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80F2B">
      <w:pPr>
        <w:widowControl/>
        <w:topLinePunct/>
        <w:autoSpaceDN w:val="0"/>
        <w:adjustRightInd w:val="0"/>
        <w:snapToGrid w:val="0"/>
        <w:spacing w:line="360" w:lineRule="auto"/>
        <w:jc w:val="center"/>
        <w:rPr>
          <w:rFonts w:ascii="黑体" w:hAnsi="宋体" w:eastAsia="黑体" w:cs="微软雅黑"/>
          <w:b/>
          <w:bCs/>
          <w:kern w:val="0"/>
          <w:sz w:val="48"/>
          <w:szCs w:val="48"/>
          <w:lang w:bidi="ar"/>
        </w:rPr>
      </w:pPr>
    </w:p>
    <w:p w14:paraId="20E0E332">
      <w:pPr>
        <w:widowControl/>
        <w:topLinePunct/>
        <w:autoSpaceDN w:val="0"/>
        <w:adjustRightInd w:val="0"/>
        <w:snapToGrid w:val="0"/>
        <w:spacing w:line="360" w:lineRule="auto"/>
        <w:jc w:val="center"/>
        <w:rPr>
          <w:rFonts w:ascii="黑体" w:hAnsi="宋体" w:eastAsia="黑体" w:cs="黑体"/>
          <w:b/>
          <w:bCs/>
          <w:sz w:val="44"/>
          <w:szCs w:val="44"/>
        </w:rPr>
      </w:pPr>
      <w:r>
        <w:rPr>
          <w:rFonts w:hint="eastAsia" w:ascii="黑体" w:hAnsi="宋体" w:eastAsia="黑体" w:cs="微软雅黑"/>
          <w:b/>
          <w:bCs/>
          <w:kern w:val="0"/>
          <w:sz w:val="44"/>
          <w:szCs w:val="44"/>
          <w:lang w:bidi="ar"/>
        </w:rPr>
        <w:t>通化县</w:t>
      </w:r>
      <w:r>
        <w:rPr>
          <w:rFonts w:hint="eastAsia" w:ascii="黑体" w:hAnsi="宋体" w:eastAsia="黑体" w:cs="黑体"/>
          <w:b/>
          <w:bCs/>
          <w:kern w:val="0"/>
          <w:sz w:val="44"/>
          <w:szCs w:val="44"/>
          <w:lang w:bidi="ar"/>
        </w:rPr>
        <w:t>2025</w:t>
      </w:r>
      <w:r>
        <w:rPr>
          <w:rFonts w:hint="eastAsia" w:ascii="黑体" w:hAnsi="宋体" w:eastAsia="黑体" w:cs="微软雅黑"/>
          <w:b/>
          <w:bCs/>
          <w:kern w:val="0"/>
          <w:sz w:val="44"/>
          <w:szCs w:val="44"/>
          <w:lang w:bidi="ar"/>
        </w:rPr>
        <w:t>年侵蚀沟治理项目（大泉源乡、英额布镇、富江乡治理项目区）工程监理服务</w:t>
      </w:r>
    </w:p>
    <w:p w14:paraId="7ADCB52D">
      <w:pPr>
        <w:widowControl/>
        <w:topLinePunct/>
        <w:autoSpaceDN w:val="0"/>
        <w:adjustRightInd w:val="0"/>
        <w:snapToGrid w:val="0"/>
        <w:jc w:val="left"/>
      </w:pPr>
    </w:p>
    <w:p w14:paraId="669F05DB">
      <w:pPr>
        <w:widowControl/>
        <w:topLinePunct/>
        <w:autoSpaceDN w:val="0"/>
        <w:adjustRightInd w:val="0"/>
        <w:snapToGrid w:val="0"/>
        <w:jc w:val="left"/>
      </w:pPr>
    </w:p>
    <w:p w14:paraId="199949CA">
      <w:pPr>
        <w:widowControl/>
        <w:topLinePunct/>
        <w:autoSpaceDN w:val="0"/>
        <w:adjustRightInd w:val="0"/>
        <w:snapToGrid w:val="0"/>
        <w:jc w:val="left"/>
      </w:pPr>
    </w:p>
    <w:p w14:paraId="1C250E9B">
      <w:pPr>
        <w:widowControl/>
        <w:topLinePunct/>
        <w:autoSpaceDN w:val="0"/>
        <w:adjustRightInd w:val="0"/>
        <w:snapToGrid w:val="0"/>
        <w:jc w:val="left"/>
      </w:pPr>
    </w:p>
    <w:p w14:paraId="405ED912">
      <w:pPr>
        <w:widowControl/>
        <w:topLinePunct/>
        <w:autoSpaceDN w:val="0"/>
        <w:adjustRightInd w:val="0"/>
        <w:snapToGrid w:val="0"/>
        <w:jc w:val="left"/>
      </w:pPr>
    </w:p>
    <w:p w14:paraId="593BA936">
      <w:pPr>
        <w:widowControl/>
        <w:topLinePunct/>
        <w:autoSpaceDN w:val="0"/>
        <w:adjustRightInd w:val="0"/>
        <w:snapToGrid w:val="0"/>
        <w:jc w:val="left"/>
      </w:pPr>
    </w:p>
    <w:p w14:paraId="6CBD85FE">
      <w:pPr>
        <w:widowControl/>
        <w:topLinePunct/>
        <w:autoSpaceDN w:val="0"/>
        <w:adjustRightInd w:val="0"/>
        <w:snapToGrid w:val="0"/>
        <w:jc w:val="left"/>
      </w:pPr>
    </w:p>
    <w:p w14:paraId="41DC6D7D">
      <w:pPr>
        <w:widowControl/>
        <w:topLinePunct/>
        <w:autoSpaceDN w:val="0"/>
        <w:adjustRightInd w:val="0"/>
        <w:snapToGrid w:val="0"/>
        <w:jc w:val="left"/>
      </w:pPr>
    </w:p>
    <w:p w14:paraId="16BFEF65">
      <w:pPr>
        <w:pStyle w:val="2"/>
        <w:kinsoku/>
        <w:topLinePunct/>
        <w:autoSpaceDE/>
        <w:rPr>
          <w:rFonts w:hint="default"/>
          <w:color w:val="auto"/>
        </w:rPr>
      </w:pPr>
    </w:p>
    <w:p w14:paraId="310C9D7C">
      <w:pPr>
        <w:widowControl/>
        <w:topLinePunct/>
        <w:autoSpaceDN w:val="0"/>
        <w:adjustRightInd w:val="0"/>
        <w:snapToGrid w:val="0"/>
        <w:spacing w:line="360" w:lineRule="auto"/>
        <w:jc w:val="center"/>
        <w:rPr>
          <w:rFonts w:ascii="黑体" w:hAnsi="宋体" w:eastAsia="黑体" w:cs="黑体"/>
          <w:b/>
          <w:bCs/>
          <w:sz w:val="72"/>
          <w:szCs w:val="72"/>
        </w:rPr>
      </w:pPr>
      <w:r>
        <w:rPr>
          <w:rFonts w:hint="eastAsia" w:ascii="黑体" w:hAnsi="宋体" w:eastAsia="黑体" w:cs="黑体"/>
          <w:b/>
          <w:bCs/>
          <w:kern w:val="0"/>
          <w:sz w:val="72"/>
          <w:szCs w:val="72"/>
          <w:lang w:bidi="ar"/>
        </w:rPr>
        <w:t>竞争性磋商文件</w:t>
      </w:r>
    </w:p>
    <w:p w14:paraId="48D6A109">
      <w:pPr>
        <w:widowControl/>
        <w:topLinePunct/>
        <w:autoSpaceDN w:val="0"/>
        <w:adjustRightInd w:val="0"/>
        <w:snapToGrid w:val="0"/>
        <w:spacing w:line="600" w:lineRule="auto"/>
        <w:jc w:val="center"/>
        <w:rPr>
          <w:rFonts w:ascii="黑体" w:hAnsi="宋体" w:eastAsia="黑体" w:cs="黑体"/>
          <w:b/>
          <w:bCs/>
          <w:sz w:val="28"/>
          <w:szCs w:val="32"/>
        </w:rPr>
      </w:pPr>
      <w:r>
        <w:rPr>
          <w:rFonts w:hint="eastAsia" w:ascii="黑体" w:hAnsi="宋体" w:eastAsia="黑体" w:cs="黑体"/>
          <w:b/>
          <w:bCs/>
          <w:kern w:val="0"/>
          <w:sz w:val="28"/>
          <w:szCs w:val="32"/>
          <w:lang w:bidi="ar"/>
        </w:rPr>
        <w:t>项目编号：</w:t>
      </w:r>
      <w:bookmarkStart w:id="0" w:name="OLE_LINK3"/>
      <w:bookmarkStart w:id="1" w:name="OLE_LINK4"/>
      <w:r>
        <w:rPr>
          <w:rFonts w:hint="eastAsia" w:ascii="黑体" w:hAnsi="宋体" w:eastAsia="黑体" w:cs="微软雅黑"/>
          <w:b/>
          <w:bCs/>
          <w:kern w:val="0"/>
          <w:sz w:val="28"/>
          <w:szCs w:val="32"/>
          <w:lang w:bidi="ar"/>
        </w:rPr>
        <w:t>采购计划</w:t>
      </w:r>
      <w:r>
        <w:rPr>
          <w:rFonts w:hint="eastAsia" w:ascii="黑体" w:hAnsi="宋体" w:eastAsia="黑体" w:cs="黑体"/>
          <w:b/>
          <w:bCs/>
          <w:kern w:val="0"/>
          <w:sz w:val="28"/>
          <w:szCs w:val="32"/>
          <w:lang w:bidi="ar"/>
        </w:rPr>
        <w:t>-[2025]-00040</w:t>
      </w:r>
      <w:r>
        <w:rPr>
          <w:rFonts w:hint="eastAsia" w:ascii="黑体" w:hAnsi="宋体" w:eastAsia="黑体" w:cs="微软雅黑"/>
          <w:b/>
          <w:bCs/>
          <w:kern w:val="0"/>
          <w:sz w:val="28"/>
          <w:szCs w:val="32"/>
          <w:lang w:bidi="ar"/>
        </w:rPr>
        <w:t>号</w:t>
      </w:r>
      <w:r>
        <w:rPr>
          <w:rFonts w:hint="eastAsia" w:ascii="黑体" w:hAnsi="宋体" w:eastAsia="黑体" w:cs="黑体"/>
          <w:b/>
          <w:bCs/>
          <w:kern w:val="0"/>
          <w:sz w:val="28"/>
          <w:szCs w:val="32"/>
          <w:lang w:bidi="ar"/>
        </w:rPr>
        <w:t>-ZH2025FW001</w:t>
      </w:r>
      <w:bookmarkEnd w:id="0"/>
      <w:bookmarkEnd w:id="1"/>
    </w:p>
    <w:p w14:paraId="72EEC507">
      <w:pPr>
        <w:widowControl/>
        <w:topLinePunct/>
        <w:autoSpaceDN w:val="0"/>
        <w:adjustRightInd w:val="0"/>
        <w:snapToGrid w:val="0"/>
        <w:jc w:val="left"/>
        <w:rPr>
          <w:rFonts w:ascii="黑体" w:hAnsi="宋体" w:eastAsia="黑体" w:cs="黑体"/>
          <w:b/>
          <w:bCs/>
          <w:sz w:val="32"/>
          <w:szCs w:val="32"/>
        </w:rPr>
      </w:pPr>
    </w:p>
    <w:p w14:paraId="4CB5369B">
      <w:pPr>
        <w:widowControl/>
        <w:topLinePunct/>
        <w:autoSpaceDN w:val="0"/>
        <w:adjustRightInd w:val="0"/>
        <w:snapToGrid w:val="0"/>
        <w:ind w:firstLine="964" w:firstLineChars="300"/>
        <w:jc w:val="left"/>
        <w:rPr>
          <w:rFonts w:ascii="黑体" w:hAnsi="宋体" w:eastAsia="黑体" w:cs="黑体"/>
          <w:b/>
          <w:bCs/>
          <w:sz w:val="32"/>
          <w:szCs w:val="32"/>
        </w:rPr>
      </w:pPr>
    </w:p>
    <w:p w14:paraId="2CB77181">
      <w:pPr>
        <w:pStyle w:val="14"/>
        <w:kinsoku/>
        <w:topLinePunct/>
        <w:autoSpaceDE/>
        <w:ind w:left="420" w:firstLine="643"/>
        <w:rPr>
          <w:rFonts w:hint="default" w:ascii="黑体" w:hAnsi="宋体" w:eastAsia="黑体" w:cs="黑体"/>
          <w:b/>
          <w:bCs/>
          <w:color w:val="auto"/>
          <w:sz w:val="32"/>
          <w:szCs w:val="32"/>
        </w:rPr>
      </w:pPr>
    </w:p>
    <w:p w14:paraId="416E77BA">
      <w:pPr>
        <w:widowControl/>
        <w:topLinePunct/>
        <w:autoSpaceDN w:val="0"/>
        <w:adjustRightInd w:val="0"/>
        <w:snapToGrid w:val="0"/>
        <w:spacing w:line="360" w:lineRule="auto"/>
        <w:jc w:val="left"/>
        <w:rPr>
          <w:rFonts w:ascii="宋体" w:hAnsi="宋体" w:eastAsia="Arial" w:cs="黑体"/>
          <w:b/>
          <w:bCs/>
          <w:sz w:val="32"/>
          <w:szCs w:val="30"/>
        </w:rPr>
      </w:pPr>
    </w:p>
    <w:p w14:paraId="19FA216C">
      <w:pPr>
        <w:pStyle w:val="14"/>
        <w:kinsoku/>
        <w:topLinePunct/>
        <w:autoSpaceDE/>
        <w:ind w:left="420" w:firstLine="643"/>
        <w:rPr>
          <w:rFonts w:hint="default" w:hAnsi="宋体" w:cs="黑体"/>
          <w:b/>
          <w:bCs/>
          <w:color w:val="auto"/>
          <w:sz w:val="32"/>
          <w:szCs w:val="30"/>
        </w:rPr>
      </w:pPr>
    </w:p>
    <w:p w14:paraId="3E3E8115">
      <w:pPr>
        <w:pStyle w:val="14"/>
        <w:kinsoku/>
        <w:topLinePunct/>
        <w:autoSpaceDE/>
        <w:ind w:left="420" w:firstLine="643"/>
        <w:rPr>
          <w:rFonts w:hint="default" w:hAnsi="宋体" w:cs="黑体"/>
          <w:b/>
          <w:bCs/>
          <w:color w:val="auto"/>
          <w:sz w:val="32"/>
          <w:szCs w:val="30"/>
        </w:rPr>
      </w:pPr>
    </w:p>
    <w:p w14:paraId="70298FF5">
      <w:pPr>
        <w:widowControl/>
        <w:topLinePunct/>
        <w:autoSpaceDN w:val="0"/>
        <w:adjustRightInd w:val="0"/>
        <w:snapToGrid w:val="0"/>
        <w:spacing w:line="360" w:lineRule="auto"/>
        <w:jc w:val="center"/>
        <w:rPr>
          <w:rFonts w:ascii="宋体" w:hAnsi="宋体" w:eastAsia="宋体" w:cs="黑体"/>
          <w:b/>
          <w:bCs/>
          <w:sz w:val="32"/>
          <w:szCs w:val="30"/>
        </w:rPr>
      </w:pPr>
      <w:r>
        <w:rPr>
          <w:rFonts w:hint="eastAsia" w:ascii="宋体" w:hAnsi="宋体" w:eastAsia="宋体" w:cs="黑体"/>
          <w:b/>
          <w:bCs/>
          <w:kern w:val="0"/>
          <w:sz w:val="32"/>
          <w:szCs w:val="30"/>
          <w:lang w:bidi="ar"/>
        </w:rPr>
        <w:t>采购人：</w:t>
      </w:r>
      <w:r>
        <w:rPr>
          <w:rFonts w:hint="eastAsia" w:ascii="宋体" w:hAnsi="宋体" w:eastAsia="宋体" w:cs="宋体"/>
          <w:b/>
          <w:kern w:val="0"/>
          <w:sz w:val="32"/>
          <w:szCs w:val="32"/>
          <w:lang w:bidi="ar"/>
        </w:rPr>
        <w:t>通化县水利局</w:t>
      </w:r>
    </w:p>
    <w:p w14:paraId="3C064BCE">
      <w:pPr>
        <w:widowControl/>
        <w:topLinePunct/>
        <w:autoSpaceDN w:val="0"/>
        <w:adjustRightInd w:val="0"/>
        <w:snapToGrid w:val="0"/>
        <w:spacing w:line="360" w:lineRule="auto"/>
        <w:jc w:val="center"/>
        <w:rPr>
          <w:rFonts w:ascii="宋体" w:hAnsi="宋体" w:eastAsia="宋体" w:cs="黑体"/>
          <w:b/>
          <w:bCs/>
          <w:sz w:val="32"/>
          <w:szCs w:val="32"/>
        </w:rPr>
      </w:pPr>
      <w:r>
        <w:rPr>
          <w:rFonts w:hint="eastAsia" w:ascii="宋体" w:hAnsi="宋体" w:eastAsia="宋体" w:cs="黑体"/>
          <w:b/>
          <w:bCs/>
          <w:kern w:val="0"/>
          <w:sz w:val="32"/>
          <w:szCs w:val="30"/>
          <w:lang w:bidi="ar"/>
        </w:rPr>
        <w:t>采购代理机构：</w:t>
      </w:r>
      <w:r>
        <w:rPr>
          <w:rFonts w:hint="eastAsia" w:ascii="宋体" w:hAnsi="宋体" w:eastAsia="宋体" w:cs="微软雅黑"/>
          <w:b/>
          <w:bCs/>
          <w:kern w:val="0"/>
          <w:sz w:val="32"/>
          <w:szCs w:val="30"/>
          <w:lang w:bidi="ar"/>
        </w:rPr>
        <w:t>吉林省中鸿项目管理有限公司</w:t>
      </w:r>
    </w:p>
    <w:p w14:paraId="3D3FBE4D">
      <w:pPr>
        <w:widowControl/>
        <w:jc w:val="center"/>
      </w:pPr>
      <w:r>
        <w:rPr>
          <w:rFonts w:hint="eastAsia" w:ascii="宋体" w:hAnsi="宋体" w:eastAsia="宋体" w:cs="黑体"/>
          <w:b/>
          <w:bCs/>
          <w:snapToGrid w:val="0"/>
          <w:color w:val="000000"/>
          <w:kern w:val="0"/>
          <w:sz w:val="32"/>
          <w:szCs w:val="30"/>
          <w:lang w:eastAsia="en-US" w:bidi="ar"/>
        </w:rPr>
        <w:t>二〇二</w:t>
      </w:r>
      <w:r>
        <w:rPr>
          <w:rFonts w:hint="eastAsia" w:ascii="宋体" w:hAnsi="宋体" w:eastAsia="宋体" w:cs="黑体"/>
          <w:b/>
          <w:bCs/>
          <w:snapToGrid w:val="0"/>
          <w:color w:val="000000"/>
          <w:kern w:val="0"/>
          <w:sz w:val="32"/>
          <w:szCs w:val="30"/>
          <w:lang w:bidi="ar"/>
        </w:rPr>
        <w:t>五</w:t>
      </w:r>
      <w:r>
        <w:rPr>
          <w:rFonts w:hint="eastAsia" w:ascii="宋体" w:hAnsi="宋体" w:eastAsia="宋体" w:cs="黑体"/>
          <w:b/>
          <w:bCs/>
          <w:snapToGrid w:val="0"/>
          <w:color w:val="000000"/>
          <w:kern w:val="0"/>
          <w:sz w:val="32"/>
          <w:szCs w:val="30"/>
          <w:lang w:eastAsia="en-US" w:bidi="ar"/>
        </w:rPr>
        <w:t>年</w:t>
      </w:r>
      <w:r>
        <w:rPr>
          <w:rFonts w:hint="eastAsia" w:ascii="宋体" w:hAnsi="宋体" w:eastAsia="宋体" w:cs="黑体"/>
          <w:b/>
          <w:bCs/>
          <w:snapToGrid w:val="0"/>
          <w:color w:val="000000"/>
          <w:kern w:val="0"/>
          <w:sz w:val="32"/>
          <w:szCs w:val="30"/>
          <w:lang w:bidi="ar"/>
        </w:rPr>
        <w:t>六</w:t>
      </w:r>
      <w:r>
        <w:rPr>
          <w:rFonts w:hint="eastAsia" w:ascii="宋体" w:hAnsi="宋体" w:eastAsia="宋体" w:cs="黑体"/>
          <w:b/>
          <w:bCs/>
          <w:snapToGrid w:val="0"/>
          <w:color w:val="000000"/>
          <w:kern w:val="0"/>
          <w:sz w:val="32"/>
          <w:szCs w:val="30"/>
          <w:lang w:eastAsia="en-US" w:bidi="ar"/>
        </w:rPr>
        <w:t>月</w:t>
      </w:r>
    </w:p>
    <w:p w14:paraId="57EF1C68">
      <w:pPr>
        <w:widowControl/>
        <w:jc w:val="left"/>
        <w:rPr>
          <w:rFonts w:ascii="宋体" w:hAnsi="宋体" w:eastAsia="宋体" w:cs="宋体"/>
          <w:color w:val="000000"/>
          <w:spacing w:val="8"/>
          <w:kern w:val="0"/>
          <w:sz w:val="35"/>
          <w:szCs w:val="35"/>
          <w:lang w:bidi="ar"/>
        </w:rPr>
      </w:pPr>
      <w:bookmarkStart w:id="2" w:name="_Toc459187164"/>
      <w:bookmarkStart w:id="3" w:name="_Toc199944344"/>
      <w:r>
        <w:rPr>
          <w:rFonts w:ascii="宋体" w:hAnsi="宋体" w:eastAsia="宋体" w:cs="宋体"/>
          <w:spacing w:val="8"/>
          <w:sz w:val="35"/>
          <w:szCs w:val="35"/>
          <w:lang w:bidi="ar"/>
        </w:rPr>
        <w:br w:type="page"/>
      </w:r>
    </w:p>
    <w:p w14:paraId="2F7D8A4A">
      <w:pPr>
        <w:jc w:val="center"/>
        <w:rPr>
          <w:sz w:val="44"/>
          <w:szCs w:val="44"/>
        </w:rPr>
      </w:pPr>
      <w:r>
        <w:rPr>
          <w:rFonts w:hint="eastAsia"/>
          <w:sz w:val="44"/>
          <w:szCs w:val="44"/>
        </w:rPr>
        <w:t>目录</w:t>
      </w:r>
    </w:p>
    <w:p w14:paraId="346BB130">
      <w:pPr>
        <w:pStyle w:val="10"/>
        <w:tabs>
          <w:tab w:val="right" w:leader="dot" w:pos="9174"/>
        </w:tabs>
        <w:spacing w:line="360" w:lineRule="auto"/>
        <w:rPr>
          <w:b/>
          <w:bCs/>
          <w:sz w:val="24"/>
        </w:rPr>
      </w:pPr>
      <w:r>
        <w:rPr>
          <w:rFonts w:ascii="宋体" w:hAnsi="宋体" w:eastAsia="宋体" w:cs="宋体"/>
          <w:spacing w:val="8"/>
          <w:sz w:val="35"/>
          <w:szCs w:val="35"/>
          <w:lang w:bidi="ar"/>
        </w:rPr>
        <w:fldChar w:fldCharType="begin"/>
      </w:r>
      <w:r>
        <w:rPr>
          <w:rFonts w:ascii="宋体" w:hAnsi="宋体" w:eastAsia="宋体" w:cs="宋体"/>
          <w:spacing w:val="8"/>
          <w:sz w:val="35"/>
          <w:szCs w:val="35"/>
          <w:lang w:bidi="ar"/>
        </w:rPr>
        <w:instrText xml:space="preserve"> TOC \o "1-2" \h \z \u </w:instrText>
      </w:r>
      <w:r>
        <w:rPr>
          <w:rFonts w:ascii="宋体" w:hAnsi="宋体" w:eastAsia="宋体" w:cs="宋体"/>
          <w:spacing w:val="8"/>
          <w:sz w:val="35"/>
          <w:szCs w:val="35"/>
          <w:lang w:bidi="ar"/>
        </w:rPr>
        <w:fldChar w:fldCharType="separate"/>
      </w:r>
      <w:r>
        <w:fldChar w:fldCharType="begin"/>
      </w:r>
      <w:r>
        <w:instrText xml:space="preserve"> HYPERLINK \l "_Toc200025566" </w:instrText>
      </w:r>
      <w:r>
        <w:fldChar w:fldCharType="separate"/>
      </w:r>
      <w:r>
        <w:rPr>
          <w:rStyle w:val="17"/>
          <w:rFonts w:ascii="宋体" w:hAnsi="宋体" w:eastAsia="宋体" w:cs="宋体"/>
          <w:b/>
          <w:bCs/>
          <w:spacing w:val="8"/>
          <w:sz w:val="24"/>
          <w:lang w:bidi="ar"/>
        </w:rPr>
        <w:t>第一章 竞争性磋商公告</w:t>
      </w:r>
      <w:r>
        <w:rPr>
          <w:b/>
          <w:bCs/>
          <w:sz w:val="24"/>
        </w:rPr>
        <w:tab/>
      </w:r>
      <w:r>
        <w:rPr>
          <w:b/>
          <w:bCs/>
          <w:sz w:val="24"/>
        </w:rPr>
        <w:fldChar w:fldCharType="begin"/>
      </w:r>
      <w:r>
        <w:rPr>
          <w:b/>
          <w:bCs/>
          <w:sz w:val="24"/>
        </w:rPr>
        <w:instrText xml:space="preserve"> PAGEREF _Toc200025566 \h </w:instrText>
      </w:r>
      <w:r>
        <w:rPr>
          <w:b/>
          <w:bCs/>
          <w:sz w:val="24"/>
        </w:rPr>
        <w:fldChar w:fldCharType="separate"/>
      </w:r>
      <w:r>
        <w:rPr>
          <w:b/>
          <w:bCs/>
          <w:sz w:val="24"/>
        </w:rPr>
        <w:t>2</w:t>
      </w:r>
      <w:r>
        <w:rPr>
          <w:b/>
          <w:bCs/>
          <w:sz w:val="24"/>
        </w:rPr>
        <w:fldChar w:fldCharType="end"/>
      </w:r>
      <w:r>
        <w:rPr>
          <w:b/>
          <w:bCs/>
          <w:sz w:val="24"/>
        </w:rPr>
        <w:fldChar w:fldCharType="end"/>
      </w:r>
    </w:p>
    <w:p w14:paraId="55AEC158">
      <w:pPr>
        <w:pStyle w:val="10"/>
        <w:tabs>
          <w:tab w:val="right" w:leader="dot" w:pos="9174"/>
        </w:tabs>
        <w:spacing w:line="360" w:lineRule="auto"/>
        <w:rPr>
          <w:b/>
          <w:bCs/>
          <w:sz w:val="24"/>
        </w:rPr>
      </w:pPr>
      <w:r>
        <w:fldChar w:fldCharType="begin"/>
      </w:r>
      <w:r>
        <w:instrText xml:space="preserve"> HYPERLINK \l "_Toc200025567" </w:instrText>
      </w:r>
      <w:r>
        <w:fldChar w:fldCharType="separate"/>
      </w:r>
      <w:r>
        <w:rPr>
          <w:rStyle w:val="17"/>
          <w:rFonts w:ascii="宋体" w:hAnsi="宋体" w:eastAsia="宋体" w:cs="宋体"/>
          <w:b/>
          <w:bCs/>
          <w:spacing w:val="8"/>
          <w:sz w:val="24"/>
          <w:lang w:bidi="ar"/>
        </w:rPr>
        <w:t>第二章 供应商须知</w:t>
      </w:r>
      <w:r>
        <w:rPr>
          <w:b/>
          <w:bCs/>
          <w:sz w:val="24"/>
        </w:rPr>
        <w:tab/>
      </w:r>
      <w:r>
        <w:rPr>
          <w:b/>
          <w:bCs/>
          <w:sz w:val="24"/>
        </w:rPr>
        <w:fldChar w:fldCharType="begin"/>
      </w:r>
      <w:r>
        <w:rPr>
          <w:b/>
          <w:bCs/>
          <w:sz w:val="24"/>
        </w:rPr>
        <w:instrText xml:space="preserve"> PAGEREF _Toc200025567 \h </w:instrText>
      </w:r>
      <w:r>
        <w:rPr>
          <w:b/>
          <w:bCs/>
          <w:sz w:val="24"/>
        </w:rPr>
        <w:fldChar w:fldCharType="separate"/>
      </w:r>
      <w:r>
        <w:rPr>
          <w:b/>
          <w:bCs/>
          <w:sz w:val="24"/>
        </w:rPr>
        <w:t>5</w:t>
      </w:r>
      <w:r>
        <w:rPr>
          <w:b/>
          <w:bCs/>
          <w:sz w:val="24"/>
        </w:rPr>
        <w:fldChar w:fldCharType="end"/>
      </w:r>
      <w:r>
        <w:rPr>
          <w:b/>
          <w:bCs/>
          <w:sz w:val="24"/>
        </w:rPr>
        <w:fldChar w:fldCharType="end"/>
      </w:r>
    </w:p>
    <w:p w14:paraId="1B7CF6DE">
      <w:pPr>
        <w:pStyle w:val="11"/>
        <w:tabs>
          <w:tab w:val="right" w:leader="dot" w:pos="9174"/>
        </w:tabs>
        <w:spacing w:line="360" w:lineRule="auto"/>
        <w:rPr>
          <w:b/>
          <w:bCs/>
          <w:sz w:val="24"/>
        </w:rPr>
      </w:pPr>
      <w:r>
        <w:fldChar w:fldCharType="begin"/>
      </w:r>
      <w:r>
        <w:instrText xml:space="preserve"> HYPERLINK \l "_Toc200025568" </w:instrText>
      </w:r>
      <w:r>
        <w:fldChar w:fldCharType="separate"/>
      </w:r>
      <w:r>
        <w:rPr>
          <w:rStyle w:val="17"/>
          <w:rFonts w:ascii="宋体" w:hAnsi="宋体" w:eastAsia="宋体" w:cs="宋体"/>
          <w:b/>
          <w:bCs/>
          <w:spacing w:val="-11"/>
          <w:sz w:val="24"/>
          <w:lang w:bidi="ar"/>
        </w:rPr>
        <w:t>1．总则</w:t>
      </w:r>
      <w:r>
        <w:rPr>
          <w:b/>
          <w:bCs/>
          <w:sz w:val="24"/>
        </w:rPr>
        <w:tab/>
      </w:r>
      <w:r>
        <w:rPr>
          <w:b/>
          <w:bCs/>
          <w:sz w:val="24"/>
        </w:rPr>
        <w:fldChar w:fldCharType="begin"/>
      </w:r>
      <w:r>
        <w:rPr>
          <w:b/>
          <w:bCs/>
          <w:sz w:val="24"/>
        </w:rPr>
        <w:instrText xml:space="preserve"> PAGEREF _Toc200025568 \h </w:instrText>
      </w:r>
      <w:r>
        <w:rPr>
          <w:b/>
          <w:bCs/>
          <w:sz w:val="24"/>
        </w:rPr>
        <w:fldChar w:fldCharType="separate"/>
      </w:r>
      <w:r>
        <w:rPr>
          <w:b/>
          <w:bCs/>
          <w:sz w:val="24"/>
        </w:rPr>
        <w:t>12</w:t>
      </w:r>
      <w:r>
        <w:rPr>
          <w:b/>
          <w:bCs/>
          <w:sz w:val="24"/>
        </w:rPr>
        <w:fldChar w:fldCharType="end"/>
      </w:r>
      <w:r>
        <w:rPr>
          <w:b/>
          <w:bCs/>
          <w:sz w:val="24"/>
        </w:rPr>
        <w:fldChar w:fldCharType="end"/>
      </w:r>
    </w:p>
    <w:p w14:paraId="23AA5E33">
      <w:pPr>
        <w:pStyle w:val="11"/>
        <w:tabs>
          <w:tab w:val="right" w:leader="dot" w:pos="9174"/>
        </w:tabs>
        <w:spacing w:line="360" w:lineRule="auto"/>
        <w:rPr>
          <w:b/>
          <w:bCs/>
          <w:sz w:val="24"/>
        </w:rPr>
      </w:pPr>
      <w:r>
        <w:fldChar w:fldCharType="begin"/>
      </w:r>
      <w:r>
        <w:instrText xml:space="preserve"> HYPERLINK \l "_Toc200025569" </w:instrText>
      </w:r>
      <w:r>
        <w:fldChar w:fldCharType="separate"/>
      </w:r>
      <w:r>
        <w:rPr>
          <w:rStyle w:val="17"/>
          <w:rFonts w:ascii="宋体" w:hAnsi="宋体" w:eastAsia="宋体" w:cs="宋体"/>
          <w:b/>
          <w:bCs/>
          <w:spacing w:val="7"/>
          <w:sz w:val="24"/>
          <w:lang w:bidi="ar"/>
        </w:rPr>
        <w:t>2．磋商文件</w:t>
      </w:r>
      <w:r>
        <w:rPr>
          <w:b/>
          <w:bCs/>
          <w:sz w:val="24"/>
        </w:rPr>
        <w:tab/>
      </w:r>
      <w:r>
        <w:rPr>
          <w:b/>
          <w:bCs/>
          <w:sz w:val="24"/>
        </w:rPr>
        <w:fldChar w:fldCharType="begin"/>
      </w:r>
      <w:r>
        <w:rPr>
          <w:b/>
          <w:bCs/>
          <w:sz w:val="24"/>
        </w:rPr>
        <w:instrText xml:space="preserve"> PAGEREF _Toc200025569 \h </w:instrText>
      </w:r>
      <w:r>
        <w:rPr>
          <w:b/>
          <w:bCs/>
          <w:sz w:val="24"/>
        </w:rPr>
        <w:fldChar w:fldCharType="separate"/>
      </w:r>
      <w:r>
        <w:rPr>
          <w:b/>
          <w:bCs/>
          <w:sz w:val="24"/>
        </w:rPr>
        <w:t>14</w:t>
      </w:r>
      <w:r>
        <w:rPr>
          <w:b/>
          <w:bCs/>
          <w:sz w:val="24"/>
        </w:rPr>
        <w:fldChar w:fldCharType="end"/>
      </w:r>
      <w:r>
        <w:rPr>
          <w:b/>
          <w:bCs/>
          <w:sz w:val="24"/>
        </w:rPr>
        <w:fldChar w:fldCharType="end"/>
      </w:r>
    </w:p>
    <w:p w14:paraId="67F082D1">
      <w:pPr>
        <w:pStyle w:val="11"/>
        <w:tabs>
          <w:tab w:val="right" w:leader="dot" w:pos="9174"/>
        </w:tabs>
        <w:spacing w:line="360" w:lineRule="auto"/>
        <w:rPr>
          <w:b/>
          <w:bCs/>
          <w:sz w:val="24"/>
        </w:rPr>
      </w:pPr>
      <w:r>
        <w:fldChar w:fldCharType="begin"/>
      </w:r>
      <w:r>
        <w:instrText xml:space="preserve"> HYPERLINK \l "_Toc200025570" </w:instrText>
      </w:r>
      <w:r>
        <w:fldChar w:fldCharType="separate"/>
      </w:r>
      <w:r>
        <w:rPr>
          <w:rStyle w:val="17"/>
          <w:rFonts w:ascii="宋体" w:hAnsi="宋体" w:eastAsia="宋体" w:cs="宋体"/>
          <w:b/>
          <w:bCs/>
          <w:spacing w:val="6"/>
          <w:sz w:val="24"/>
          <w:lang w:bidi="ar"/>
        </w:rPr>
        <w:t>3．响应文件</w:t>
      </w:r>
      <w:r>
        <w:rPr>
          <w:b/>
          <w:bCs/>
          <w:sz w:val="24"/>
        </w:rPr>
        <w:tab/>
      </w:r>
      <w:r>
        <w:rPr>
          <w:b/>
          <w:bCs/>
          <w:sz w:val="24"/>
        </w:rPr>
        <w:fldChar w:fldCharType="begin"/>
      </w:r>
      <w:r>
        <w:rPr>
          <w:b/>
          <w:bCs/>
          <w:sz w:val="24"/>
        </w:rPr>
        <w:instrText xml:space="preserve"> PAGEREF _Toc200025570 \h </w:instrText>
      </w:r>
      <w:r>
        <w:rPr>
          <w:b/>
          <w:bCs/>
          <w:sz w:val="24"/>
        </w:rPr>
        <w:fldChar w:fldCharType="separate"/>
      </w:r>
      <w:r>
        <w:rPr>
          <w:b/>
          <w:bCs/>
          <w:sz w:val="24"/>
        </w:rPr>
        <w:t>15</w:t>
      </w:r>
      <w:r>
        <w:rPr>
          <w:b/>
          <w:bCs/>
          <w:sz w:val="24"/>
        </w:rPr>
        <w:fldChar w:fldCharType="end"/>
      </w:r>
      <w:r>
        <w:rPr>
          <w:b/>
          <w:bCs/>
          <w:sz w:val="24"/>
        </w:rPr>
        <w:fldChar w:fldCharType="end"/>
      </w:r>
    </w:p>
    <w:p w14:paraId="32DD857C">
      <w:pPr>
        <w:pStyle w:val="11"/>
        <w:tabs>
          <w:tab w:val="right" w:leader="dot" w:pos="9174"/>
        </w:tabs>
        <w:spacing w:line="360" w:lineRule="auto"/>
        <w:rPr>
          <w:b/>
          <w:bCs/>
          <w:sz w:val="24"/>
        </w:rPr>
      </w:pPr>
      <w:r>
        <w:fldChar w:fldCharType="begin"/>
      </w:r>
      <w:r>
        <w:instrText xml:space="preserve"> HYPERLINK \l "_Toc200025571" </w:instrText>
      </w:r>
      <w:r>
        <w:fldChar w:fldCharType="separate"/>
      </w:r>
      <w:r>
        <w:rPr>
          <w:rStyle w:val="17"/>
          <w:rFonts w:ascii="宋体" w:hAnsi="宋体" w:eastAsia="宋体" w:cs="宋体"/>
          <w:b/>
          <w:bCs/>
          <w:spacing w:val="6"/>
          <w:sz w:val="24"/>
          <w:lang w:bidi="ar"/>
        </w:rPr>
        <w:t>4．投标</w:t>
      </w:r>
      <w:r>
        <w:rPr>
          <w:b/>
          <w:bCs/>
          <w:sz w:val="24"/>
        </w:rPr>
        <w:tab/>
      </w:r>
      <w:r>
        <w:rPr>
          <w:b/>
          <w:bCs/>
          <w:sz w:val="24"/>
        </w:rPr>
        <w:fldChar w:fldCharType="begin"/>
      </w:r>
      <w:r>
        <w:rPr>
          <w:b/>
          <w:bCs/>
          <w:sz w:val="24"/>
        </w:rPr>
        <w:instrText xml:space="preserve"> PAGEREF _Toc200025571 \h </w:instrText>
      </w:r>
      <w:r>
        <w:rPr>
          <w:b/>
          <w:bCs/>
          <w:sz w:val="24"/>
        </w:rPr>
        <w:fldChar w:fldCharType="separate"/>
      </w:r>
      <w:r>
        <w:rPr>
          <w:b/>
          <w:bCs/>
          <w:sz w:val="24"/>
        </w:rPr>
        <w:t>17</w:t>
      </w:r>
      <w:r>
        <w:rPr>
          <w:b/>
          <w:bCs/>
          <w:sz w:val="24"/>
        </w:rPr>
        <w:fldChar w:fldCharType="end"/>
      </w:r>
      <w:r>
        <w:rPr>
          <w:b/>
          <w:bCs/>
          <w:sz w:val="24"/>
        </w:rPr>
        <w:fldChar w:fldCharType="end"/>
      </w:r>
    </w:p>
    <w:p w14:paraId="6D1D124E">
      <w:pPr>
        <w:pStyle w:val="11"/>
        <w:tabs>
          <w:tab w:val="right" w:leader="dot" w:pos="9174"/>
        </w:tabs>
        <w:spacing w:line="360" w:lineRule="auto"/>
        <w:rPr>
          <w:b/>
          <w:bCs/>
          <w:sz w:val="24"/>
        </w:rPr>
      </w:pPr>
      <w:r>
        <w:fldChar w:fldCharType="begin"/>
      </w:r>
      <w:r>
        <w:instrText xml:space="preserve"> HYPERLINK \l "_Toc200025572" </w:instrText>
      </w:r>
      <w:r>
        <w:fldChar w:fldCharType="separate"/>
      </w:r>
      <w:r>
        <w:rPr>
          <w:rStyle w:val="17"/>
          <w:rFonts w:ascii="宋体" w:hAnsi="宋体" w:eastAsia="宋体" w:cs="宋体"/>
          <w:b/>
          <w:bCs/>
          <w:spacing w:val="4"/>
          <w:sz w:val="24"/>
          <w:lang w:bidi="ar"/>
        </w:rPr>
        <w:t>5．开标</w:t>
      </w:r>
      <w:r>
        <w:rPr>
          <w:b/>
          <w:bCs/>
          <w:sz w:val="24"/>
        </w:rPr>
        <w:tab/>
      </w:r>
      <w:r>
        <w:rPr>
          <w:b/>
          <w:bCs/>
          <w:sz w:val="24"/>
        </w:rPr>
        <w:fldChar w:fldCharType="begin"/>
      </w:r>
      <w:r>
        <w:rPr>
          <w:b/>
          <w:bCs/>
          <w:sz w:val="24"/>
        </w:rPr>
        <w:instrText xml:space="preserve"> PAGEREF _Toc200025572 \h </w:instrText>
      </w:r>
      <w:r>
        <w:rPr>
          <w:b/>
          <w:bCs/>
          <w:sz w:val="24"/>
        </w:rPr>
        <w:fldChar w:fldCharType="separate"/>
      </w:r>
      <w:r>
        <w:rPr>
          <w:b/>
          <w:bCs/>
          <w:sz w:val="24"/>
        </w:rPr>
        <w:t>17</w:t>
      </w:r>
      <w:r>
        <w:rPr>
          <w:b/>
          <w:bCs/>
          <w:sz w:val="24"/>
        </w:rPr>
        <w:fldChar w:fldCharType="end"/>
      </w:r>
      <w:r>
        <w:rPr>
          <w:b/>
          <w:bCs/>
          <w:sz w:val="24"/>
        </w:rPr>
        <w:fldChar w:fldCharType="end"/>
      </w:r>
    </w:p>
    <w:p w14:paraId="0C850B1D">
      <w:pPr>
        <w:pStyle w:val="11"/>
        <w:tabs>
          <w:tab w:val="right" w:leader="dot" w:pos="9174"/>
        </w:tabs>
        <w:spacing w:line="360" w:lineRule="auto"/>
        <w:rPr>
          <w:b/>
          <w:bCs/>
          <w:sz w:val="24"/>
        </w:rPr>
      </w:pPr>
      <w:r>
        <w:fldChar w:fldCharType="begin"/>
      </w:r>
      <w:r>
        <w:instrText xml:space="preserve"> HYPERLINK \l "_Toc200025573" </w:instrText>
      </w:r>
      <w:r>
        <w:fldChar w:fldCharType="separate"/>
      </w:r>
      <w:r>
        <w:rPr>
          <w:rStyle w:val="17"/>
          <w:rFonts w:ascii="宋体" w:hAnsi="宋体" w:eastAsia="宋体" w:cs="宋体"/>
          <w:b/>
          <w:bCs/>
          <w:spacing w:val="5"/>
          <w:sz w:val="24"/>
          <w:lang w:bidi="ar"/>
        </w:rPr>
        <w:t>6．评审</w:t>
      </w:r>
      <w:r>
        <w:rPr>
          <w:b/>
          <w:bCs/>
          <w:sz w:val="24"/>
        </w:rPr>
        <w:tab/>
      </w:r>
      <w:r>
        <w:rPr>
          <w:b/>
          <w:bCs/>
          <w:sz w:val="24"/>
        </w:rPr>
        <w:fldChar w:fldCharType="begin"/>
      </w:r>
      <w:r>
        <w:rPr>
          <w:b/>
          <w:bCs/>
          <w:sz w:val="24"/>
        </w:rPr>
        <w:instrText xml:space="preserve"> PAGEREF _Toc200025573 \h </w:instrText>
      </w:r>
      <w:r>
        <w:rPr>
          <w:b/>
          <w:bCs/>
          <w:sz w:val="24"/>
        </w:rPr>
        <w:fldChar w:fldCharType="separate"/>
      </w:r>
      <w:r>
        <w:rPr>
          <w:b/>
          <w:bCs/>
          <w:sz w:val="24"/>
        </w:rPr>
        <w:t>18</w:t>
      </w:r>
      <w:r>
        <w:rPr>
          <w:b/>
          <w:bCs/>
          <w:sz w:val="24"/>
        </w:rPr>
        <w:fldChar w:fldCharType="end"/>
      </w:r>
      <w:r>
        <w:rPr>
          <w:b/>
          <w:bCs/>
          <w:sz w:val="24"/>
        </w:rPr>
        <w:fldChar w:fldCharType="end"/>
      </w:r>
    </w:p>
    <w:p w14:paraId="1C23EFCD">
      <w:pPr>
        <w:pStyle w:val="11"/>
        <w:tabs>
          <w:tab w:val="right" w:leader="dot" w:pos="9174"/>
        </w:tabs>
        <w:spacing w:line="360" w:lineRule="auto"/>
        <w:rPr>
          <w:b/>
          <w:bCs/>
          <w:sz w:val="24"/>
        </w:rPr>
      </w:pPr>
      <w:r>
        <w:fldChar w:fldCharType="begin"/>
      </w:r>
      <w:r>
        <w:instrText xml:space="preserve"> HYPERLINK \l "_Toc200025574" </w:instrText>
      </w:r>
      <w:r>
        <w:fldChar w:fldCharType="separate"/>
      </w:r>
      <w:r>
        <w:rPr>
          <w:rStyle w:val="17"/>
          <w:rFonts w:ascii="宋体" w:hAnsi="宋体" w:eastAsia="宋体" w:cs="宋体"/>
          <w:b/>
          <w:bCs/>
          <w:spacing w:val="6"/>
          <w:sz w:val="24"/>
          <w:lang w:bidi="ar"/>
        </w:rPr>
        <w:t>7．合同授予</w:t>
      </w:r>
      <w:r>
        <w:rPr>
          <w:b/>
          <w:bCs/>
          <w:sz w:val="24"/>
        </w:rPr>
        <w:tab/>
      </w:r>
      <w:r>
        <w:rPr>
          <w:b/>
          <w:bCs/>
          <w:sz w:val="24"/>
        </w:rPr>
        <w:fldChar w:fldCharType="begin"/>
      </w:r>
      <w:r>
        <w:rPr>
          <w:b/>
          <w:bCs/>
          <w:sz w:val="24"/>
        </w:rPr>
        <w:instrText xml:space="preserve"> PAGEREF _Toc200025574 \h </w:instrText>
      </w:r>
      <w:r>
        <w:rPr>
          <w:b/>
          <w:bCs/>
          <w:sz w:val="24"/>
        </w:rPr>
        <w:fldChar w:fldCharType="separate"/>
      </w:r>
      <w:r>
        <w:rPr>
          <w:b/>
          <w:bCs/>
          <w:sz w:val="24"/>
        </w:rPr>
        <w:t>19</w:t>
      </w:r>
      <w:r>
        <w:rPr>
          <w:b/>
          <w:bCs/>
          <w:sz w:val="24"/>
        </w:rPr>
        <w:fldChar w:fldCharType="end"/>
      </w:r>
      <w:r>
        <w:rPr>
          <w:b/>
          <w:bCs/>
          <w:sz w:val="24"/>
        </w:rPr>
        <w:fldChar w:fldCharType="end"/>
      </w:r>
    </w:p>
    <w:p w14:paraId="579D1840">
      <w:pPr>
        <w:pStyle w:val="11"/>
        <w:tabs>
          <w:tab w:val="right" w:leader="dot" w:pos="9174"/>
        </w:tabs>
        <w:spacing w:line="360" w:lineRule="auto"/>
        <w:rPr>
          <w:b/>
          <w:bCs/>
          <w:sz w:val="24"/>
        </w:rPr>
      </w:pPr>
      <w:r>
        <w:fldChar w:fldCharType="begin"/>
      </w:r>
      <w:r>
        <w:instrText xml:space="preserve"> HYPERLINK \l "_Toc200025575" </w:instrText>
      </w:r>
      <w:r>
        <w:fldChar w:fldCharType="separate"/>
      </w:r>
      <w:r>
        <w:rPr>
          <w:rStyle w:val="17"/>
          <w:rFonts w:ascii="宋体" w:hAnsi="宋体" w:eastAsia="宋体" w:cs="宋体"/>
          <w:b/>
          <w:bCs/>
          <w:spacing w:val="9"/>
          <w:sz w:val="24"/>
          <w:lang w:bidi="ar"/>
        </w:rPr>
        <w:t>8．重新招标和终止招标</w:t>
      </w:r>
      <w:r>
        <w:rPr>
          <w:b/>
          <w:bCs/>
          <w:sz w:val="24"/>
        </w:rPr>
        <w:tab/>
      </w:r>
      <w:r>
        <w:rPr>
          <w:b/>
          <w:bCs/>
          <w:sz w:val="24"/>
        </w:rPr>
        <w:fldChar w:fldCharType="begin"/>
      </w:r>
      <w:r>
        <w:rPr>
          <w:b/>
          <w:bCs/>
          <w:sz w:val="24"/>
        </w:rPr>
        <w:instrText xml:space="preserve"> PAGEREF _Toc200025575 \h </w:instrText>
      </w:r>
      <w:r>
        <w:rPr>
          <w:b/>
          <w:bCs/>
          <w:sz w:val="24"/>
        </w:rPr>
        <w:fldChar w:fldCharType="separate"/>
      </w:r>
      <w:r>
        <w:rPr>
          <w:b/>
          <w:bCs/>
          <w:sz w:val="24"/>
        </w:rPr>
        <w:t>20</w:t>
      </w:r>
      <w:r>
        <w:rPr>
          <w:b/>
          <w:bCs/>
          <w:sz w:val="24"/>
        </w:rPr>
        <w:fldChar w:fldCharType="end"/>
      </w:r>
      <w:r>
        <w:rPr>
          <w:b/>
          <w:bCs/>
          <w:sz w:val="24"/>
        </w:rPr>
        <w:fldChar w:fldCharType="end"/>
      </w:r>
    </w:p>
    <w:p w14:paraId="78B1DAE9">
      <w:pPr>
        <w:pStyle w:val="11"/>
        <w:tabs>
          <w:tab w:val="right" w:leader="dot" w:pos="9174"/>
        </w:tabs>
        <w:spacing w:line="360" w:lineRule="auto"/>
        <w:rPr>
          <w:b/>
          <w:bCs/>
          <w:sz w:val="24"/>
        </w:rPr>
      </w:pPr>
      <w:r>
        <w:fldChar w:fldCharType="begin"/>
      </w:r>
      <w:r>
        <w:instrText xml:space="preserve"> HYPERLINK \l "_Toc200025576" </w:instrText>
      </w:r>
      <w:r>
        <w:fldChar w:fldCharType="separate"/>
      </w:r>
      <w:r>
        <w:rPr>
          <w:rStyle w:val="17"/>
          <w:rFonts w:ascii="宋体" w:hAnsi="宋体" w:eastAsia="宋体" w:cs="宋体"/>
          <w:b/>
          <w:bCs/>
          <w:spacing w:val="8"/>
          <w:sz w:val="24"/>
          <w:lang w:bidi="ar"/>
        </w:rPr>
        <w:t>9．纪律和监督</w:t>
      </w:r>
      <w:r>
        <w:rPr>
          <w:b/>
          <w:bCs/>
          <w:sz w:val="24"/>
        </w:rPr>
        <w:tab/>
      </w:r>
      <w:r>
        <w:rPr>
          <w:b/>
          <w:bCs/>
          <w:sz w:val="24"/>
        </w:rPr>
        <w:fldChar w:fldCharType="begin"/>
      </w:r>
      <w:r>
        <w:rPr>
          <w:b/>
          <w:bCs/>
          <w:sz w:val="24"/>
        </w:rPr>
        <w:instrText xml:space="preserve"> PAGEREF _Toc200025576 \h </w:instrText>
      </w:r>
      <w:r>
        <w:rPr>
          <w:b/>
          <w:bCs/>
          <w:sz w:val="24"/>
        </w:rPr>
        <w:fldChar w:fldCharType="separate"/>
      </w:r>
      <w:r>
        <w:rPr>
          <w:b/>
          <w:bCs/>
          <w:sz w:val="24"/>
        </w:rPr>
        <w:t>21</w:t>
      </w:r>
      <w:r>
        <w:rPr>
          <w:b/>
          <w:bCs/>
          <w:sz w:val="24"/>
        </w:rPr>
        <w:fldChar w:fldCharType="end"/>
      </w:r>
      <w:r>
        <w:rPr>
          <w:b/>
          <w:bCs/>
          <w:sz w:val="24"/>
        </w:rPr>
        <w:fldChar w:fldCharType="end"/>
      </w:r>
    </w:p>
    <w:p w14:paraId="2B2A4EFC">
      <w:pPr>
        <w:pStyle w:val="11"/>
        <w:tabs>
          <w:tab w:val="right" w:leader="dot" w:pos="9174"/>
        </w:tabs>
        <w:spacing w:line="360" w:lineRule="auto"/>
        <w:rPr>
          <w:b/>
          <w:bCs/>
          <w:sz w:val="24"/>
        </w:rPr>
      </w:pPr>
      <w:r>
        <w:fldChar w:fldCharType="begin"/>
      </w:r>
      <w:r>
        <w:instrText xml:space="preserve"> HYPERLINK \l "_Toc200025577" </w:instrText>
      </w:r>
      <w:r>
        <w:fldChar w:fldCharType="separate"/>
      </w:r>
      <w:r>
        <w:rPr>
          <w:rStyle w:val="17"/>
          <w:rFonts w:ascii="宋体" w:hAnsi="宋体" w:eastAsia="宋体" w:cs="宋体"/>
          <w:b/>
          <w:bCs/>
          <w:spacing w:val="7"/>
          <w:sz w:val="24"/>
          <w:lang w:bidi="ar"/>
        </w:rPr>
        <w:t>10、需要补充的其他内容</w:t>
      </w:r>
      <w:r>
        <w:rPr>
          <w:b/>
          <w:bCs/>
          <w:sz w:val="24"/>
        </w:rPr>
        <w:tab/>
      </w:r>
      <w:r>
        <w:rPr>
          <w:b/>
          <w:bCs/>
          <w:sz w:val="24"/>
        </w:rPr>
        <w:fldChar w:fldCharType="begin"/>
      </w:r>
      <w:r>
        <w:rPr>
          <w:b/>
          <w:bCs/>
          <w:sz w:val="24"/>
        </w:rPr>
        <w:instrText xml:space="preserve"> PAGEREF _Toc200025577 \h </w:instrText>
      </w:r>
      <w:r>
        <w:rPr>
          <w:b/>
          <w:bCs/>
          <w:sz w:val="24"/>
        </w:rPr>
        <w:fldChar w:fldCharType="separate"/>
      </w:r>
      <w:r>
        <w:rPr>
          <w:b/>
          <w:bCs/>
          <w:sz w:val="24"/>
        </w:rPr>
        <w:t>23</w:t>
      </w:r>
      <w:r>
        <w:rPr>
          <w:b/>
          <w:bCs/>
          <w:sz w:val="24"/>
        </w:rPr>
        <w:fldChar w:fldCharType="end"/>
      </w:r>
      <w:r>
        <w:rPr>
          <w:b/>
          <w:bCs/>
          <w:sz w:val="24"/>
        </w:rPr>
        <w:fldChar w:fldCharType="end"/>
      </w:r>
    </w:p>
    <w:p w14:paraId="1D39E2D3">
      <w:pPr>
        <w:pStyle w:val="10"/>
        <w:tabs>
          <w:tab w:val="right" w:leader="dot" w:pos="9174"/>
        </w:tabs>
        <w:spacing w:line="360" w:lineRule="auto"/>
        <w:rPr>
          <w:b/>
          <w:bCs/>
          <w:sz w:val="24"/>
        </w:rPr>
      </w:pPr>
      <w:r>
        <w:fldChar w:fldCharType="begin"/>
      </w:r>
      <w:r>
        <w:instrText xml:space="preserve"> HYPERLINK \l "_Toc200025578" </w:instrText>
      </w:r>
      <w:r>
        <w:fldChar w:fldCharType="separate"/>
      </w:r>
      <w:r>
        <w:rPr>
          <w:rStyle w:val="17"/>
          <w:rFonts w:ascii="宋体" w:hAnsi="宋体" w:eastAsia="宋体" w:cs="宋体"/>
          <w:b/>
          <w:bCs/>
          <w:spacing w:val="8"/>
          <w:sz w:val="24"/>
          <w:lang w:bidi="ar"/>
        </w:rPr>
        <w:t>第三章 评标办法</w:t>
      </w:r>
      <w:r>
        <w:rPr>
          <w:b/>
          <w:bCs/>
          <w:sz w:val="24"/>
        </w:rPr>
        <w:tab/>
      </w:r>
      <w:r>
        <w:rPr>
          <w:b/>
          <w:bCs/>
          <w:sz w:val="24"/>
        </w:rPr>
        <w:fldChar w:fldCharType="begin"/>
      </w:r>
      <w:r>
        <w:rPr>
          <w:b/>
          <w:bCs/>
          <w:sz w:val="24"/>
        </w:rPr>
        <w:instrText xml:space="preserve"> PAGEREF _Toc200025578 \h </w:instrText>
      </w:r>
      <w:r>
        <w:rPr>
          <w:b/>
          <w:bCs/>
          <w:sz w:val="24"/>
        </w:rPr>
        <w:fldChar w:fldCharType="separate"/>
      </w:r>
      <w:r>
        <w:rPr>
          <w:b/>
          <w:bCs/>
          <w:sz w:val="24"/>
        </w:rPr>
        <w:t>26</w:t>
      </w:r>
      <w:r>
        <w:rPr>
          <w:b/>
          <w:bCs/>
          <w:sz w:val="24"/>
        </w:rPr>
        <w:fldChar w:fldCharType="end"/>
      </w:r>
      <w:r>
        <w:rPr>
          <w:b/>
          <w:bCs/>
          <w:sz w:val="24"/>
        </w:rPr>
        <w:fldChar w:fldCharType="end"/>
      </w:r>
    </w:p>
    <w:p w14:paraId="09037652">
      <w:pPr>
        <w:pStyle w:val="11"/>
        <w:tabs>
          <w:tab w:val="right" w:leader="dot" w:pos="9174"/>
        </w:tabs>
        <w:spacing w:line="360" w:lineRule="auto"/>
        <w:rPr>
          <w:b/>
          <w:bCs/>
          <w:sz w:val="24"/>
        </w:rPr>
      </w:pPr>
      <w:r>
        <w:fldChar w:fldCharType="begin"/>
      </w:r>
      <w:r>
        <w:instrText xml:space="preserve"> HYPERLINK \l "_Toc200025579" </w:instrText>
      </w:r>
      <w:r>
        <w:fldChar w:fldCharType="separate"/>
      </w:r>
      <w:r>
        <w:rPr>
          <w:rStyle w:val="17"/>
          <w:rFonts w:ascii="宋体" w:hAnsi="宋体" w:eastAsia="宋体" w:cs="宋体"/>
          <w:b/>
          <w:bCs/>
          <w:spacing w:val="-4"/>
          <w:sz w:val="24"/>
          <w:lang w:bidi="ar"/>
        </w:rPr>
        <w:t>资格评审表</w:t>
      </w:r>
      <w:r>
        <w:rPr>
          <w:b/>
          <w:bCs/>
          <w:sz w:val="24"/>
        </w:rPr>
        <w:tab/>
      </w:r>
      <w:r>
        <w:rPr>
          <w:b/>
          <w:bCs/>
          <w:sz w:val="24"/>
        </w:rPr>
        <w:fldChar w:fldCharType="begin"/>
      </w:r>
      <w:r>
        <w:rPr>
          <w:b/>
          <w:bCs/>
          <w:sz w:val="24"/>
        </w:rPr>
        <w:instrText xml:space="preserve"> PAGEREF _Toc200025579 \h </w:instrText>
      </w:r>
      <w:r>
        <w:rPr>
          <w:b/>
          <w:bCs/>
          <w:sz w:val="24"/>
        </w:rPr>
        <w:fldChar w:fldCharType="separate"/>
      </w:r>
      <w:r>
        <w:rPr>
          <w:b/>
          <w:bCs/>
          <w:sz w:val="24"/>
        </w:rPr>
        <w:t>26</w:t>
      </w:r>
      <w:r>
        <w:rPr>
          <w:b/>
          <w:bCs/>
          <w:sz w:val="24"/>
        </w:rPr>
        <w:fldChar w:fldCharType="end"/>
      </w:r>
      <w:r>
        <w:rPr>
          <w:b/>
          <w:bCs/>
          <w:sz w:val="24"/>
        </w:rPr>
        <w:fldChar w:fldCharType="end"/>
      </w:r>
    </w:p>
    <w:p w14:paraId="59BD932A">
      <w:pPr>
        <w:pStyle w:val="11"/>
        <w:tabs>
          <w:tab w:val="right" w:leader="dot" w:pos="9174"/>
        </w:tabs>
        <w:spacing w:line="360" w:lineRule="auto"/>
        <w:rPr>
          <w:b/>
          <w:bCs/>
          <w:sz w:val="24"/>
        </w:rPr>
      </w:pPr>
      <w:r>
        <w:fldChar w:fldCharType="begin"/>
      </w:r>
      <w:r>
        <w:instrText xml:space="preserve"> HYPERLINK \l "_Toc200025580" </w:instrText>
      </w:r>
      <w:r>
        <w:fldChar w:fldCharType="separate"/>
      </w:r>
      <w:r>
        <w:rPr>
          <w:rStyle w:val="17"/>
          <w:rFonts w:ascii="宋体" w:hAnsi="宋体" w:eastAsia="宋体" w:cs="宋体"/>
          <w:b/>
          <w:bCs/>
          <w:spacing w:val="-4"/>
          <w:sz w:val="24"/>
          <w:lang w:eastAsia="en-US" w:bidi="ar"/>
        </w:rPr>
        <w:t>详细评审表</w:t>
      </w:r>
      <w:r>
        <w:rPr>
          <w:b/>
          <w:bCs/>
          <w:sz w:val="24"/>
        </w:rPr>
        <w:tab/>
      </w:r>
      <w:r>
        <w:rPr>
          <w:b/>
          <w:bCs/>
          <w:sz w:val="24"/>
        </w:rPr>
        <w:fldChar w:fldCharType="begin"/>
      </w:r>
      <w:r>
        <w:rPr>
          <w:b/>
          <w:bCs/>
          <w:sz w:val="24"/>
        </w:rPr>
        <w:instrText xml:space="preserve"> PAGEREF _Toc200025580 \h </w:instrText>
      </w:r>
      <w:r>
        <w:rPr>
          <w:b/>
          <w:bCs/>
          <w:sz w:val="24"/>
        </w:rPr>
        <w:fldChar w:fldCharType="separate"/>
      </w:r>
      <w:r>
        <w:rPr>
          <w:b/>
          <w:bCs/>
          <w:sz w:val="24"/>
        </w:rPr>
        <w:t>28</w:t>
      </w:r>
      <w:r>
        <w:rPr>
          <w:b/>
          <w:bCs/>
          <w:sz w:val="24"/>
        </w:rPr>
        <w:fldChar w:fldCharType="end"/>
      </w:r>
      <w:r>
        <w:rPr>
          <w:b/>
          <w:bCs/>
          <w:sz w:val="24"/>
        </w:rPr>
        <w:fldChar w:fldCharType="end"/>
      </w:r>
    </w:p>
    <w:p w14:paraId="251EB0D5">
      <w:pPr>
        <w:pStyle w:val="11"/>
        <w:tabs>
          <w:tab w:val="right" w:leader="dot" w:pos="9174"/>
        </w:tabs>
        <w:spacing w:line="360" w:lineRule="auto"/>
        <w:rPr>
          <w:b/>
          <w:bCs/>
          <w:sz w:val="24"/>
        </w:rPr>
      </w:pPr>
      <w:r>
        <w:fldChar w:fldCharType="begin"/>
      </w:r>
      <w:r>
        <w:instrText xml:space="preserve"> HYPERLINK \l "_Toc200025581" </w:instrText>
      </w:r>
      <w:r>
        <w:fldChar w:fldCharType="separate"/>
      </w:r>
      <w:r>
        <w:rPr>
          <w:rStyle w:val="17"/>
          <w:rFonts w:ascii="宋体" w:hAnsi="宋体" w:eastAsia="宋体" w:cs="宋体"/>
          <w:b/>
          <w:bCs/>
          <w:spacing w:val="2"/>
          <w:sz w:val="24"/>
          <w:lang w:bidi="ar"/>
        </w:rPr>
        <w:t>1.评标方法</w:t>
      </w:r>
      <w:r>
        <w:rPr>
          <w:b/>
          <w:bCs/>
          <w:sz w:val="24"/>
        </w:rPr>
        <w:tab/>
      </w:r>
      <w:r>
        <w:rPr>
          <w:b/>
          <w:bCs/>
          <w:sz w:val="24"/>
        </w:rPr>
        <w:fldChar w:fldCharType="begin"/>
      </w:r>
      <w:r>
        <w:rPr>
          <w:b/>
          <w:bCs/>
          <w:sz w:val="24"/>
        </w:rPr>
        <w:instrText xml:space="preserve"> PAGEREF _Toc200025581 \h </w:instrText>
      </w:r>
      <w:r>
        <w:rPr>
          <w:b/>
          <w:bCs/>
          <w:sz w:val="24"/>
        </w:rPr>
        <w:fldChar w:fldCharType="separate"/>
      </w:r>
      <w:r>
        <w:rPr>
          <w:b/>
          <w:bCs/>
          <w:sz w:val="24"/>
        </w:rPr>
        <w:t>30</w:t>
      </w:r>
      <w:r>
        <w:rPr>
          <w:b/>
          <w:bCs/>
          <w:sz w:val="24"/>
        </w:rPr>
        <w:fldChar w:fldCharType="end"/>
      </w:r>
      <w:r>
        <w:rPr>
          <w:b/>
          <w:bCs/>
          <w:sz w:val="24"/>
        </w:rPr>
        <w:fldChar w:fldCharType="end"/>
      </w:r>
    </w:p>
    <w:p w14:paraId="23EDE4D6">
      <w:pPr>
        <w:pStyle w:val="11"/>
        <w:tabs>
          <w:tab w:val="right" w:leader="dot" w:pos="9174"/>
        </w:tabs>
        <w:spacing w:line="360" w:lineRule="auto"/>
        <w:rPr>
          <w:b/>
          <w:bCs/>
          <w:sz w:val="24"/>
        </w:rPr>
      </w:pPr>
      <w:r>
        <w:fldChar w:fldCharType="begin"/>
      </w:r>
      <w:r>
        <w:instrText xml:space="preserve"> HYPERLINK \l "_Toc200025582" </w:instrText>
      </w:r>
      <w:r>
        <w:fldChar w:fldCharType="separate"/>
      </w:r>
      <w:r>
        <w:rPr>
          <w:rStyle w:val="17"/>
          <w:rFonts w:ascii="宋体" w:hAnsi="宋体" w:eastAsia="宋体" w:cs="宋体"/>
          <w:b/>
          <w:bCs/>
          <w:spacing w:val="6"/>
          <w:sz w:val="24"/>
          <w:lang w:bidi="ar"/>
        </w:rPr>
        <w:t>2.评审标准</w:t>
      </w:r>
      <w:r>
        <w:rPr>
          <w:b/>
          <w:bCs/>
          <w:sz w:val="24"/>
        </w:rPr>
        <w:tab/>
      </w:r>
      <w:r>
        <w:rPr>
          <w:b/>
          <w:bCs/>
          <w:sz w:val="24"/>
        </w:rPr>
        <w:fldChar w:fldCharType="begin"/>
      </w:r>
      <w:r>
        <w:rPr>
          <w:b/>
          <w:bCs/>
          <w:sz w:val="24"/>
        </w:rPr>
        <w:instrText xml:space="preserve"> PAGEREF _Toc200025582 \h </w:instrText>
      </w:r>
      <w:r>
        <w:rPr>
          <w:b/>
          <w:bCs/>
          <w:sz w:val="24"/>
        </w:rPr>
        <w:fldChar w:fldCharType="separate"/>
      </w:r>
      <w:r>
        <w:rPr>
          <w:b/>
          <w:bCs/>
          <w:sz w:val="24"/>
        </w:rPr>
        <w:t>30</w:t>
      </w:r>
      <w:r>
        <w:rPr>
          <w:b/>
          <w:bCs/>
          <w:sz w:val="24"/>
        </w:rPr>
        <w:fldChar w:fldCharType="end"/>
      </w:r>
      <w:r>
        <w:rPr>
          <w:b/>
          <w:bCs/>
          <w:sz w:val="24"/>
        </w:rPr>
        <w:fldChar w:fldCharType="end"/>
      </w:r>
    </w:p>
    <w:p w14:paraId="590E14D1">
      <w:pPr>
        <w:pStyle w:val="11"/>
        <w:tabs>
          <w:tab w:val="right" w:leader="dot" w:pos="9174"/>
        </w:tabs>
        <w:spacing w:line="360" w:lineRule="auto"/>
        <w:rPr>
          <w:sz w:val="24"/>
        </w:rPr>
      </w:pPr>
      <w:r>
        <w:fldChar w:fldCharType="begin"/>
      </w:r>
      <w:r>
        <w:instrText xml:space="preserve"> HYPERLINK \l "_Toc200025583" </w:instrText>
      </w:r>
      <w:r>
        <w:fldChar w:fldCharType="separate"/>
      </w:r>
      <w:r>
        <w:rPr>
          <w:rStyle w:val="17"/>
          <w:rFonts w:ascii="宋体" w:hAnsi="宋体" w:eastAsia="宋体" w:cs="宋体"/>
          <w:b/>
          <w:bCs/>
          <w:spacing w:val="5"/>
          <w:position w:val="22"/>
          <w:sz w:val="24"/>
          <w:lang w:bidi="ar"/>
        </w:rPr>
        <w:t>3.评标程序</w:t>
      </w:r>
      <w:r>
        <w:rPr>
          <w:b/>
          <w:bCs/>
          <w:sz w:val="24"/>
        </w:rPr>
        <w:tab/>
      </w:r>
      <w:r>
        <w:rPr>
          <w:b/>
          <w:bCs/>
          <w:sz w:val="24"/>
        </w:rPr>
        <w:fldChar w:fldCharType="begin"/>
      </w:r>
      <w:r>
        <w:rPr>
          <w:b/>
          <w:bCs/>
          <w:sz w:val="24"/>
        </w:rPr>
        <w:instrText xml:space="preserve"> PAGEREF _Toc200025583 \h </w:instrText>
      </w:r>
      <w:r>
        <w:rPr>
          <w:b/>
          <w:bCs/>
          <w:sz w:val="24"/>
        </w:rPr>
        <w:fldChar w:fldCharType="separate"/>
      </w:r>
      <w:r>
        <w:rPr>
          <w:b/>
          <w:bCs/>
          <w:sz w:val="24"/>
        </w:rPr>
        <w:t>31</w:t>
      </w:r>
      <w:r>
        <w:rPr>
          <w:b/>
          <w:bCs/>
          <w:sz w:val="24"/>
        </w:rPr>
        <w:fldChar w:fldCharType="end"/>
      </w:r>
      <w:r>
        <w:rPr>
          <w:b/>
          <w:bCs/>
          <w:sz w:val="24"/>
        </w:rPr>
        <w:fldChar w:fldCharType="end"/>
      </w:r>
    </w:p>
    <w:p w14:paraId="6B311801">
      <w:pPr>
        <w:pStyle w:val="10"/>
        <w:tabs>
          <w:tab w:val="right" w:leader="dot" w:pos="9174"/>
        </w:tabs>
        <w:spacing w:line="360" w:lineRule="auto"/>
        <w:rPr>
          <w:rFonts w:ascii="宋体" w:hAnsi="宋体" w:eastAsia="宋体" w:cs="宋体"/>
          <w:sz w:val="24"/>
        </w:rPr>
      </w:pPr>
      <w:r>
        <w:fldChar w:fldCharType="begin"/>
      </w:r>
      <w:r>
        <w:instrText xml:space="preserve"> HYPERLINK \l "_Toc200025584" </w:instrText>
      </w:r>
      <w:r>
        <w:fldChar w:fldCharType="separate"/>
      </w:r>
      <w:r>
        <w:rPr>
          <w:rStyle w:val="17"/>
          <w:rFonts w:hint="eastAsia" w:ascii="宋体" w:hAnsi="宋体" w:eastAsia="宋体" w:cs="宋体"/>
          <w:spacing w:val="9"/>
          <w:sz w:val="24"/>
          <w14:textOutline w14:w="7975" w14:cap="sq" w14:cmpd="sng" w14:algn="ctr">
            <w14:solidFill>
              <w14:srgbClr w14:val="000000"/>
            </w14:solidFill>
            <w14:prstDash w14:val="solid"/>
            <w14:bevel/>
          </w14:textOutline>
        </w:rPr>
        <w:t>第四章 合同条款及格式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_Toc200025584 \h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sz w:val="24"/>
        </w:rPr>
        <w:fldChar w:fldCharType="end"/>
      </w:r>
    </w:p>
    <w:p w14:paraId="5AFFB2E7">
      <w:pPr>
        <w:pStyle w:val="10"/>
        <w:tabs>
          <w:tab w:val="right" w:leader="dot" w:pos="9174"/>
        </w:tabs>
        <w:spacing w:line="360" w:lineRule="auto"/>
        <w:rPr>
          <w:rFonts w:ascii="宋体" w:hAnsi="宋体" w:eastAsia="宋体" w:cs="宋体"/>
          <w:sz w:val="24"/>
        </w:rPr>
      </w:pPr>
      <w:r>
        <w:fldChar w:fldCharType="begin"/>
      </w:r>
      <w:r>
        <w:instrText xml:space="preserve"> HYPERLINK \l "_Toc200025592" </w:instrText>
      </w:r>
      <w:r>
        <w:fldChar w:fldCharType="separate"/>
      </w:r>
      <w:r>
        <w:rPr>
          <w:rStyle w:val="17"/>
          <w:rFonts w:hint="eastAsia" w:ascii="宋体" w:hAnsi="宋体" w:eastAsia="宋体" w:cs="宋体"/>
          <w:spacing w:val="8"/>
          <w:sz w:val="24"/>
          <w14:textOutline w14:w="7975" w14:cap="sq" w14:cmpd="sng" w14:algn="ctr">
            <w14:solidFill>
              <w14:srgbClr w14:val="000000"/>
            </w14:solidFill>
            <w14:prstDash w14:val="solid"/>
            <w14:bevel/>
          </w14:textOutline>
        </w:rPr>
        <w:t>第五章 项目采购需求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_Toc200025592 \h </w:instrText>
      </w:r>
      <w:r>
        <w:rPr>
          <w:rFonts w:hint="eastAsia" w:ascii="宋体" w:hAnsi="宋体" w:eastAsia="宋体" w:cs="宋体"/>
          <w:sz w:val="24"/>
        </w:rPr>
        <w:fldChar w:fldCharType="separate"/>
      </w:r>
      <w:r>
        <w:rPr>
          <w:rFonts w:hint="eastAsia" w:ascii="宋体" w:hAnsi="宋体" w:eastAsia="宋体" w:cs="宋体"/>
          <w:sz w:val="24"/>
        </w:rPr>
        <w:t>54</w:t>
      </w:r>
      <w:r>
        <w:rPr>
          <w:rFonts w:hint="eastAsia" w:ascii="宋体" w:hAnsi="宋体" w:eastAsia="宋体" w:cs="宋体"/>
          <w:sz w:val="24"/>
        </w:rPr>
        <w:fldChar w:fldCharType="end"/>
      </w:r>
      <w:r>
        <w:rPr>
          <w:rFonts w:hint="eastAsia" w:ascii="宋体" w:hAnsi="宋体" w:eastAsia="宋体" w:cs="宋体"/>
          <w:sz w:val="24"/>
        </w:rPr>
        <w:fldChar w:fldCharType="end"/>
      </w:r>
    </w:p>
    <w:p w14:paraId="6ED3AC53">
      <w:pPr>
        <w:pStyle w:val="10"/>
        <w:tabs>
          <w:tab w:val="right" w:leader="dot" w:pos="9174"/>
        </w:tabs>
        <w:spacing w:line="360" w:lineRule="auto"/>
        <w:rPr>
          <w:rFonts w:ascii="宋体" w:hAnsi="宋体" w:eastAsia="宋体" w:cs="宋体"/>
          <w:sz w:val="24"/>
        </w:rPr>
      </w:pPr>
      <w:r>
        <w:fldChar w:fldCharType="begin"/>
      </w:r>
      <w:r>
        <w:instrText xml:space="preserve"> HYPERLINK \l "_Toc200025593" </w:instrText>
      </w:r>
      <w:r>
        <w:fldChar w:fldCharType="separate"/>
      </w:r>
      <w:r>
        <w:rPr>
          <w:rStyle w:val="17"/>
          <w:rFonts w:hint="eastAsia" w:ascii="宋体" w:hAnsi="宋体" w:eastAsia="宋体" w:cs="宋体"/>
          <w:spacing w:val="4"/>
          <w:sz w:val="24"/>
          <w14:textOutline w14:w="7975" w14:cap="sq" w14:cmpd="sng" w14:algn="ctr">
            <w14:solidFill>
              <w14:srgbClr w14:val="000000"/>
            </w14:solidFill>
            <w14:prstDash w14:val="solid"/>
            <w14:bevel/>
          </w14:textOutline>
        </w:rPr>
        <w:t>第六章 响应文件格式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_Toc200025593 \h </w:instrText>
      </w:r>
      <w:r>
        <w:rPr>
          <w:rFonts w:hint="eastAsia" w:ascii="宋体" w:hAnsi="宋体" w:eastAsia="宋体" w:cs="宋体"/>
          <w:sz w:val="24"/>
        </w:rPr>
        <w:fldChar w:fldCharType="separate"/>
      </w:r>
      <w:r>
        <w:rPr>
          <w:rFonts w:hint="eastAsia" w:ascii="宋体" w:hAnsi="宋体" w:eastAsia="宋体" w:cs="宋体"/>
          <w:sz w:val="24"/>
        </w:rPr>
        <w:t>56</w:t>
      </w:r>
      <w:r>
        <w:rPr>
          <w:rFonts w:hint="eastAsia" w:ascii="宋体" w:hAnsi="宋体" w:eastAsia="宋体" w:cs="宋体"/>
          <w:sz w:val="24"/>
        </w:rPr>
        <w:fldChar w:fldCharType="end"/>
      </w:r>
      <w:r>
        <w:rPr>
          <w:rFonts w:hint="eastAsia" w:ascii="宋体" w:hAnsi="宋体" w:eastAsia="宋体" w:cs="宋体"/>
          <w:sz w:val="24"/>
        </w:rPr>
        <w:fldChar w:fldCharType="end"/>
      </w:r>
    </w:p>
    <w:p w14:paraId="493E7694">
      <w:pPr>
        <w:pStyle w:val="11"/>
        <w:tabs>
          <w:tab w:val="right" w:leader="dot" w:pos="9174"/>
        </w:tabs>
        <w:spacing w:line="360" w:lineRule="auto"/>
        <w:rPr>
          <w:rFonts w:ascii="宋体" w:hAnsi="宋体" w:eastAsia="宋体" w:cs="宋体"/>
          <w:sz w:val="24"/>
        </w:rPr>
      </w:pPr>
      <w:r>
        <w:fldChar w:fldCharType="begin"/>
      </w:r>
      <w:r>
        <w:instrText xml:space="preserve"> HYPERLINK \l "_Toc200025594" </w:instrText>
      </w:r>
      <w:r>
        <w:fldChar w:fldCharType="separate"/>
      </w:r>
      <w:r>
        <w:rPr>
          <w:rStyle w:val="17"/>
          <w:rFonts w:hint="eastAsia" w:ascii="宋体" w:hAnsi="宋体" w:eastAsia="宋体" w:cs="宋体"/>
          <w:spacing w:val="8"/>
          <w:sz w:val="24"/>
          <w14:textOutline w14:w="6540" w14:cap="sq" w14:cmpd="sng" w14:algn="ctr">
            <w14:solidFill>
              <w14:srgbClr w14:val="000000"/>
            </w14:solidFill>
            <w14:prstDash w14:val="solid"/>
            <w14:bevel/>
          </w14:textOutline>
        </w:rPr>
        <w:t>一、响应函及响应函附录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_Toc200025594 \h </w:instrText>
      </w:r>
      <w:r>
        <w:rPr>
          <w:rFonts w:hint="eastAsia" w:ascii="宋体" w:hAnsi="宋体" w:eastAsia="宋体" w:cs="宋体"/>
          <w:sz w:val="24"/>
        </w:rPr>
        <w:fldChar w:fldCharType="separate"/>
      </w:r>
      <w:r>
        <w:rPr>
          <w:rFonts w:hint="eastAsia" w:ascii="宋体" w:hAnsi="宋体" w:eastAsia="宋体" w:cs="宋体"/>
          <w:sz w:val="24"/>
        </w:rPr>
        <w:t>59</w:t>
      </w:r>
      <w:r>
        <w:rPr>
          <w:rFonts w:hint="eastAsia" w:ascii="宋体" w:hAnsi="宋体" w:eastAsia="宋体" w:cs="宋体"/>
          <w:sz w:val="24"/>
        </w:rPr>
        <w:fldChar w:fldCharType="end"/>
      </w:r>
      <w:r>
        <w:rPr>
          <w:rFonts w:hint="eastAsia" w:ascii="宋体" w:hAnsi="宋体" w:eastAsia="宋体" w:cs="宋体"/>
          <w:sz w:val="24"/>
        </w:rPr>
        <w:fldChar w:fldCharType="end"/>
      </w:r>
    </w:p>
    <w:p w14:paraId="60709B20">
      <w:pPr>
        <w:pStyle w:val="11"/>
        <w:tabs>
          <w:tab w:val="right" w:leader="dot" w:pos="9174"/>
        </w:tabs>
        <w:spacing w:line="360" w:lineRule="auto"/>
        <w:rPr>
          <w:rFonts w:ascii="宋体" w:hAnsi="宋体" w:eastAsia="宋体" w:cs="宋体"/>
          <w:sz w:val="24"/>
        </w:rPr>
      </w:pPr>
      <w:r>
        <w:fldChar w:fldCharType="begin"/>
      </w:r>
      <w:r>
        <w:instrText xml:space="preserve"> HYPERLINK \l "_Toc200025595" </w:instrText>
      </w:r>
      <w:r>
        <w:fldChar w:fldCharType="separate"/>
      </w:r>
      <w:r>
        <w:rPr>
          <w:rStyle w:val="17"/>
          <w:rFonts w:hint="eastAsia" w:ascii="宋体" w:hAnsi="宋体" w:eastAsia="宋体" w:cs="宋体"/>
          <w:spacing w:val="9"/>
          <w:sz w:val="24"/>
          <w14:textOutline w14:w="5791" w14:cap="sq" w14:cmpd="sng" w14:algn="ctr">
            <w14:solidFill>
              <w14:srgbClr w14:val="000000"/>
            </w14:solidFill>
            <w14:prstDash w14:val="solid"/>
            <w14:bevel/>
          </w14:textOutline>
        </w:rPr>
        <w:t>二、</w:t>
      </w:r>
      <w:r>
        <w:rPr>
          <w:rStyle w:val="17"/>
          <w:rFonts w:hint="eastAsia" w:ascii="宋体" w:hAnsi="宋体" w:eastAsia="宋体" w:cs="宋体"/>
          <w:spacing w:val="9"/>
          <w:sz w:val="24"/>
          <w14:textOutline w14:w="6540" w14:cap="sq" w14:cmpd="sng" w14:algn="ctr">
            <w14:solidFill>
              <w14:srgbClr w14:val="000000"/>
            </w14:solidFill>
            <w14:prstDash w14:val="solid"/>
            <w14:bevel/>
          </w14:textOutline>
        </w:rPr>
        <w:t>法定代表人身份证明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_Toc200025595 \h </w:instrText>
      </w:r>
      <w:r>
        <w:rPr>
          <w:rFonts w:hint="eastAsia" w:ascii="宋体" w:hAnsi="宋体" w:eastAsia="宋体" w:cs="宋体"/>
          <w:sz w:val="24"/>
        </w:rPr>
        <w:fldChar w:fldCharType="separate"/>
      </w:r>
      <w:r>
        <w:rPr>
          <w:rFonts w:hint="eastAsia" w:ascii="宋体" w:hAnsi="宋体" w:eastAsia="宋体" w:cs="宋体"/>
          <w:sz w:val="24"/>
        </w:rPr>
        <w:t>61</w:t>
      </w:r>
      <w:r>
        <w:rPr>
          <w:rFonts w:hint="eastAsia" w:ascii="宋体" w:hAnsi="宋体" w:eastAsia="宋体" w:cs="宋体"/>
          <w:sz w:val="24"/>
        </w:rPr>
        <w:fldChar w:fldCharType="end"/>
      </w:r>
      <w:r>
        <w:rPr>
          <w:rFonts w:hint="eastAsia" w:ascii="宋体" w:hAnsi="宋体" w:eastAsia="宋体" w:cs="宋体"/>
          <w:sz w:val="24"/>
        </w:rPr>
        <w:fldChar w:fldCharType="end"/>
      </w:r>
    </w:p>
    <w:p w14:paraId="33E44DE1">
      <w:pPr>
        <w:pStyle w:val="11"/>
        <w:tabs>
          <w:tab w:val="right" w:leader="dot" w:pos="9174"/>
        </w:tabs>
        <w:spacing w:line="360" w:lineRule="auto"/>
        <w:rPr>
          <w:rFonts w:ascii="宋体" w:hAnsi="宋体" w:eastAsia="宋体" w:cs="宋体"/>
          <w:sz w:val="24"/>
        </w:rPr>
      </w:pPr>
      <w:r>
        <w:fldChar w:fldCharType="begin"/>
      </w:r>
      <w:r>
        <w:instrText xml:space="preserve"> HYPERLINK \l "_Toc200025596" </w:instrText>
      </w:r>
      <w:r>
        <w:fldChar w:fldCharType="separate"/>
      </w:r>
      <w:r>
        <w:rPr>
          <w:rStyle w:val="17"/>
          <w:rFonts w:hint="eastAsia" w:ascii="宋体" w:hAnsi="宋体" w:eastAsia="宋体" w:cs="宋体"/>
          <w:spacing w:val="8"/>
          <w:sz w:val="24"/>
          <w14:textOutline w14:w="6540" w14:cap="sq" w14:cmpd="sng" w14:algn="ctr">
            <w14:solidFill>
              <w14:srgbClr w14:val="000000"/>
            </w14:solidFill>
            <w14:prstDash w14:val="solid"/>
            <w14:bevel/>
          </w14:textOutline>
        </w:rPr>
        <w:t>三、</w:t>
      </w:r>
      <w:r>
        <w:rPr>
          <w:rStyle w:val="17"/>
          <w:rFonts w:hint="eastAsia" w:ascii="宋体" w:hAnsi="宋体" w:eastAsia="宋体" w:cs="宋体"/>
          <w:spacing w:val="8"/>
          <w:sz w:val="24"/>
          <w14:textOutline w14:w="5791" w14:cap="sq" w14:cmpd="sng" w14:algn="ctr">
            <w14:solidFill>
              <w14:srgbClr w14:val="000000"/>
            </w14:solidFill>
            <w14:prstDash w14:val="solid"/>
            <w14:bevel/>
          </w14:textOutline>
        </w:rPr>
        <w:t>开启一览表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_Toc200025596 \h </w:instrText>
      </w:r>
      <w:r>
        <w:rPr>
          <w:rFonts w:hint="eastAsia" w:ascii="宋体" w:hAnsi="宋体" w:eastAsia="宋体" w:cs="宋体"/>
          <w:sz w:val="24"/>
        </w:rPr>
        <w:fldChar w:fldCharType="separate"/>
      </w:r>
      <w:r>
        <w:rPr>
          <w:rFonts w:hint="eastAsia" w:ascii="宋体" w:hAnsi="宋体" w:eastAsia="宋体" w:cs="宋体"/>
          <w:sz w:val="24"/>
        </w:rPr>
        <w:t>63</w:t>
      </w:r>
      <w:r>
        <w:rPr>
          <w:rFonts w:hint="eastAsia" w:ascii="宋体" w:hAnsi="宋体" w:eastAsia="宋体" w:cs="宋体"/>
          <w:sz w:val="24"/>
        </w:rPr>
        <w:fldChar w:fldCharType="end"/>
      </w:r>
      <w:r>
        <w:rPr>
          <w:rFonts w:hint="eastAsia" w:ascii="宋体" w:hAnsi="宋体" w:eastAsia="宋体" w:cs="宋体"/>
          <w:sz w:val="24"/>
        </w:rPr>
        <w:fldChar w:fldCharType="end"/>
      </w:r>
    </w:p>
    <w:p w14:paraId="773536A4">
      <w:pPr>
        <w:pStyle w:val="11"/>
        <w:tabs>
          <w:tab w:val="right" w:leader="dot" w:pos="9174"/>
        </w:tabs>
        <w:spacing w:line="360" w:lineRule="auto"/>
        <w:rPr>
          <w:rFonts w:ascii="宋体" w:hAnsi="宋体" w:eastAsia="宋体" w:cs="宋体"/>
          <w:sz w:val="24"/>
        </w:rPr>
      </w:pPr>
      <w:r>
        <w:fldChar w:fldCharType="begin"/>
      </w:r>
      <w:r>
        <w:instrText xml:space="preserve"> HYPERLINK \l "_Toc200025597" </w:instrText>
      </w:r>
      <w:r>
        <w:fldChar w:fldCharType="separate"/>
      </w:r>
      <w:r>
        <w:rPr>
          <w:rStyle w:val="17"/>
          <w:rFonts w:hint="eastAsia" w:ascii="宋体" w:hAnsi="宋体" w:eastAsia="宋体" w:cs="宋体"/>
          <w:spacing w:val="4"/>
          <w:sz w:val="24"/>
          <w14:textOutline w14:w="5791" w14:cap="sq" w14:cmpd="sng" w14:algn="ctr">
            <w14:solidFill>
              <w14:srgbClr w14:val="000000"/>
            </w14:solidFill>
            <w14:prstDash w14:val="solid"/>
            <w14:bevel/>
          </w14:textOutline>
        </w:rPr>
        <w:t>四、磋商保证金</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_Toc200025597 \h </w:instrText>
      </w:r>
      <w:r>
        <w:rPr>
          <w:rFonts w:hint="eastAsia" w:ascii="宋体" w:hAnsi="宋体" w:eastAsia="宋体" w:cs="宋体"/>
          <w:sz w:val="24"/>
        </w:rPr>
        <w:fldChar w:fldCharType="separate"/>
      </w:r>
      <w:r>
        <w:rPr>
          <w:rFonts w:hint="eastAsia" w:ascii="宋体" w:hAnsi="宋体" w:eastAsia="宋体" w:cs="宋体"/>
          <w:sz w:val="24"/>
        </w:rPr>
        <w:t>64</w:t>
      </w:r>
      <w:r>
        <w:rPr>
          <w:rFonts w:hint="eastAsia" w:ascii="宋体" w:hAnsi="宋体" w:eastAsia="宋体" w:cs="宋体"/>
          <w:sz w:val="24"/>
        </w:rPr>
        <w:fldChar w:fldCharType="end"/>
      </w:r>
      <w:r>
        <w:rPr>
          <w:rFonts w:hint="eastAsia" w:ascii="宋体" w:hAnsi="宋体" w:eastAsia="宋体" w:cs="宋体"/>
          <w:sz w:val="24"/>
        </w:rPr>
        <w:fldChar w:fldCharType="end"/>
      </w:r>
    </w:p>
    <w:p w14:paraId="1E9E3BBA">
      <w:pPr>
        <w:pStyle w:val="11"/>
        <w:tabs>
          <w:tab w:val="right" w:leader="dot" w:pos="9174"/>
        </w:tabs>
        <w:spacing w:line="360" w:lineRule="auto"/>
        <w:rPr>
          <w:rFonts w:ascii="宋体" w:hAnsi="宋体" w:eastAsia="宋体" w:cs="宋体"/>
          <w:sz w:val="24"/>
        </w:rPr>
      </w:pPr>
      <w:r>
        <w:fldChar w:fldCharType="begin"/>
      </w:r>
      <w:r>
        <w:instrText xml:space="preserve"> HYPERLINK \l "_Toc200025598" </w:instrText>
      </w:r>
      <w:r>
        <w:fldChar w:fldCharType="separate"/>
      </w:r>
      <w:r>
        <w:rPr>
          <w:rStyle w:val="17"/>
          <w:rFonts w:hint="eastAsia" w:ascii="宋体" w:hAnsi="宋体" w:eastAsia="宋体" w:cs="宋体"/>
          <w:spacing w:val="9"/>
          <w:sz w:val="24"/>
          <w14:textOutline w14:w="5791" w14:cap="sq" w14:cmpd="sng" w14:algn="ctr">
            <w14:solidFill>
              <w14:srgbClr w14:val="000000"/>
            </w14:solidFill>
            <w14:prstDash w14:val="solid"/>
            <w14:bevel/>
          </w14:textOutline>
        </w:rPr>
        <w:t>五、供应商基本情况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_Toc200025598 \h </w:instrText>
      </w:r>
      <w:r>
        <w:rPr>
          <w:rFonts w:hint="eastAsia" w:ascii="宋体" w:hAnsi="宋体" w:eastAsia="宋体" w:cs="宋体"/>
          <w:sz w:val="24"/>
        </w:rPr>
        <w:fldChar w:fldCharType="separate"/>
      </w:r>
      <w:r>
        <w:rPr>
          <w:rFonts w:hint="eastAsia" w:ascii="宋体" w:hAnsi="宋体" w:eastAsia="宋体" w:cs="宋体"/>
          <w:sz w:val="24"/>
        </w:rPr>
        <w:t>65</w:t>
      </w:r>
      <w:r>
        <w:rPr>
          <w:rFonts w:hint="eastAsia" w:ascii="宋体" w:hAnsi="宋体" w:eastAsia="宋体" w:cs="宋体"/>
          <w:sz w:val="24"/>
        </w:rPr>
        <w:fldChar w:fldCharType="end"/>
      </w:r>
      <w:r>
        <w:rPr>
          <w:rFonts w:hint="eastAsia" w:ascii="宋体" w:hAnsi="宋体" w:eastAsia="宋体" w:cs="宋体"/>
          <w:sz w:val="24"/>
        </w:rPr>
        <w:fldChar w:fldCharType="end"/>
      </w:r>
    </w:p>
    <w:p w14:paraId="1BAD8D75">
      <w:pPr>
        <w:pStyle w:val="11"/>
        <w:tabs>
          <w:tab w:val="right" w:leader="dot" w:pos="9174"/>
        </w:tabs>
        <w:spacing w:line="360" w:lineRule="auto"/>
        <w:rPr>
          <w:rFonts w:ascii="宋体" w:hAnsi="宋体" w:eastAsia="宋体" w:cs="宋体"/>
          <w:sz w:val="24"/>
        </w:rPr>
      </w:pPr>
      <w:r>
        <w:fldChar w:fldCharType="begin"/>
      </w:r>
      <w:r>
        <w:instrText xml:space="preserve"> HYPERLINK \l "_Toc200025599" </w:instrText>
      </w:r>
      <w:r>
        <w:fldChar w:fldCharType="separate"/>
      </w:r>
      <w:r>
        <w:rPr>
          <w:rStyle w:val="17"/>
          <w:rFonts w:hint="eastAsia" w:ascii="宋体" w:hAnsi="宋体" w:eastAsia="宋体" w:cs="宋体"/>
          <w:spacing w:val="8"/>
          <w:sz w:val="24"/>
          <w14:textOutline w14:w="5791" w14:cap="sq" w14:cmpd="sng" w14:algn="ctr">
            <w14:solidFill>
              <w14:srgbClr w14:val="000000"/>
            </w14:solidFill>
            <w14:prstDash w14:val="solid"/>
            <w14:bevel/>
          </w14:textOutline>
        </w:rPr>
        <w:t>六、监理大纲</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_Toc200025599 \h </w:instrText>
      </w:r>
      <w:r>
        <w:rPr>
          <w:rFonts w:hint="eastAsia" w:ascii="宋体" w:hAnsi="宋体" w:eastAsia="宋体" w:cs="宋体"/>
          <w:sz w:val="24"/>
        </w:rPr>
        <w:fldChar w:fldCharType="separate"/>
      </w:r>
      <w:r>
        <w:rPr>
          <w:rFonts w:hint="eastAsia" w:ascii="宋体" w:hAnsi="宋体" w:eastAsia="宋体" w:cs="宋体"/>
          <w:sz w:val="24"/>
        </w:rPr>
        <w:t>74</w:t>
      </w:r>
      <w:r>
        <w:rPr>
          <w:rFonts w:hint="eastAsia" w:ascii="宋体" w:hAnsi="宋体" w:eastAsia="宋体" w:cs="宋体"/>
          <w:sz w:val="24"/>
        </w:rPr>
        <w:fldChar w:fldCharType="end"/>
      </w:r>
      <w:r>
        <w:rPr>
          <w:rFonts w:hint="eastAsia" w:ascii="宋体" w:hAnsi="宋体" w:eastAsia="宋体" w:cs="宋体"/>
          <w:sz w:val="24"/>
        </w:rPr>
        <w:fldChar w:fldCharType="end"/>
      </w:r>
    </w:p>
    <w:p w14:paraId="312B0952">
      <w:pPr>
        <w:pStyle w:val="11"/>
        <w:tabs>
          <w:tab w:val="right" w:leader="dot" w:pos="9174"/>
        </w:tabs>
        <w:spacing w:line="360" w:lineRule="auto"/>
      </w:pPr>
      <w:r>
        <w:fldChar w:fldCharType="begin"/>
      </w:r>
      <w:r>
        <w:instrText xml:space="preserve"> HYPERLINK \l "_Toc200025600" </w:instrText>
      </w:r>
      <w:r>
        <w:fldChar w:fldCharType="separate"/>
      </w:r>
      <w:r>
        <w:rPr>
          <w:rStyle w:val="17"/>
          <w:rFonts w:hint="eastAsia" w:ascii="宋体" w:hAnsi="宋体" w:eastAsia="宋体" w:cs="宋体"/>
          <w:spacing w:val="7"/>
          <w:sz w:val="24"/>
          <w14:textOutline w14:w="5791" w14:cap="sq" w14:cmpd="sng" w14:algn="ctr">
            <w14:solidFill>
              <w14:srgbClr w14:val="000000"/>
            </w14:solidFill>
            <w14:prstDash w14:val="solid"/>
            <w14:bevel/>
          </w14:textOutline>
        </w:rPr>
        <w:t>七、其他资料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_Toc200025600 \h </w:instrText>
      </w:r>
      <w:r>
        <w:rPr>
          <w:rFonts w:hint="eastAsia" w:ascii="宋体" w:hAnsi="宋体" w:eastAsia="宋体" w:cs="宋体"/>
          <w:sz w:val="24"/>
        </w:rPr>
        <w:fldChar w:fldCharType="separate"/>
      </w:r>
      <w:r>
        <w:rPr>
          <w:rFonts w:hint="eastAsia" w:ascii="宋体" w:hAnsi="宋体" w:eastAsia="宋体" w:cs="宋体"/>
          <w:sz w:val="24"/>
        </w:rPr>
        <w:t>75</w:t>
      </w:r>
      <w:r>
        <w:rPr>
          <w:rFonts w:hint="eastAsia" w:ascii="宋体" w:hAnsi="宋体" w:eastAsia="宋体" w:cs="宋体"/>
          <w:sz w:val="24"/>
        </w:rPr>
        <w:fldChar w:fldCharType="end"/>
      </w:r>
      <w:r>
        <w:rPr>
          <w:rFonts w:hint="eastAsia" w:ascii="宋体" w:hAnsi="宋体" w:eastAsia="宋体" w:cs="宋体"/>
          <w:sz w:val="24"/>
        </w:rPr>
        <w:fldChar w:fldCharType="end"/>
      </w:r>
    </w:p>
    <w:p w14:paraId="40E31451">
      <w:pPr>
        <w:widowControl/>
        <w:jc w:val="left"/>
        <w:rPr>
          <w:rFonts w:ascii="宋体" w:hAnsi="宋体" w:eastAsia="宋体" w:cs="宋体"/>
          <w:color w:val="000000"/>
          <w:spacing w:val="8"/>
          <w:kern w:val="0"/>
          <w:sz w:val="35"/>
          <w:szCs w:val="35"/>
          <w:lang w:bidi="ar"/>
        </w:rPr>
      </w:pPr>
      <w:r>
        <w:rPr>
          <w:rFonts w:ascii="宋体" w:hAnsi="宋体" w:eastAsia="宋体" w:cs="宋体"/>
          <w:spacing w:val="8"/>
          <w:sz w:val="35"/>
          <w:szCs w:val="35"/>
          <w:lang w:bidi="ar"/>
        </w:rPr>
        <w:fldChar w:fldCharType="end"/>
      </w:r>
    </w:p>
    <w:p w14:paraId="6499614F">
      <w:pPr>
        <w:pStyle w:val="13"/>
        <w:kinsoku/>
        <w:topLinePunct/>
        <w:autoSpaceDE/>
        <w:spacing w:before="71" w:beforeAutospacing="0" w:afterAutospacing="0" w:line="223" w:lineRule="auto"/>
        <w:jc w:val="center"/>
        <w:outlineLvl w:val="0"/>
        <w:rPr>
          <w:rFonts w:ascii="黑体" w:hAnsi="宋体" w:eastAsia="黑体" w:cs="黑体"/>
          <w:bCs/>
          <w:color w:val="auto"/>
          <w:sz w:val="40"/>
          <w:szCs w:val="40"/>
        </w:rPr>
      </w:pPr>
      <w:bookmarkStart w:id="4" w:name="_Toc200025566"/>
      <w:r>
        <w:rPr>
          <w:rFonts w:hint="eastAsia" w:ascii="宋体" w:hAnsi="宋体" w:eastAsia="宋体" w:cs="宋体"/>
          <w:spacing w:val="8"/>
          <w:sz w:val="35"/>
          <w:szCs w:val="35"/>
          <w:lang w:bidi="ar"/>
        </w:rPr>
        <w:t xml:space="preserve">第一章 </w:t>
      </w:r>
      <w:bookmarkEnd w:id="2"/>
      <w:r>
        <w:rPr>
          <w:rFonts w:hint="eastAsia" w:ascii="宋体" w:hAnsi="宋体" w:eastAsia="宋体" w:cs="宋体"/>
          <w:spacing w:val="8"/>
          <w:sz w:val="35"/>
          <w:szCs w:val="35"/>
          <w:lang w:bidi="ar"/>
        </w:rPr>
        <w:t>竞争性磋商公告</w:t>
      </w:r>
      <w:bookmarkEnd w:id="3"/>
      <w:bookmarkEnd w:id="4"/>
    </w:p>
    <w:p w14:paraId="194A3115">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项目概况：</w:t>
      </w:r>
    </w:p>
    <w:p w14:paraId="31A488A7">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微软雅黑"/>
          <w:kern w:val="0"/>
          <w:sz w:val="24"/>
          <w:lang w:bidi="ar"/>
        </w:rPr>
        <w:t>通化县</w:t>
      </w:r>
      <w:r>
        <w:rPr>
          <w:rFonts w:hint="eastAsia" w:ascii="宋体" w:hAnsi="宋体" w:eastAsia="宋体" w:cs="宋体"/>
          <w:kern w:val="0"/>
          <w:sz w:val="24"/>
          <w:lang w:bidi="ar"/>
        </w:rPr>
        <w:t>2025</w:t>
      </w:r>
      <w:r>
        <w:rPr>
          <w:rFonts w:hint="eastAsia" w:ascii="宋体" w:hAnsi="宋体" w:eastAsia="宋体" w:cs="微软雅黑"/>
          <w:kern w:val="0"/>
          <w:sz w:val="24"/>
          <w:lang w:bidi="ar"/>
        </w:rPr>
        <w:t>年侵蚀沟治理项目（大泉源乡、英额布镇、富江乡治理项目区）工程监理服务</w:t>
      </w:r>
      <w:r>
        <w:rPr>
          <w:rFonts w:hint="eastAsia" w:ascii="宋体" w:hAnsi="宋体" w:eastAsia="宋体" w:cs="宋体"/>
          <w:kern w:val="0"/>
          <w:sz w:val="24"/>
          <w:lang w:bidi="ar"/>
        </w:rPr>
        <w:t>项目的潜在供应商应在</w:t>
      </w:r>
      <w:r>
        <w:rPr>
          <w:rFonts w:hint="eastAsia" w:ascii="宋体" w:hAnsi="宋体" w:eastAsia="宋体" w:cs="宋体"/>
          <w:bCs/>
          <w:color w:val="000000"/>
          <w:kern w:val="0"/>
          <w:sz w:val="24"/>
          <w:lang w:bidi="ar"/>
        </w:rPr>
        <w:t>政府采购云平台（http:// www.zcygov.cn）</w:t>
      </w:r>
      <w:r>
        <w:rPr>
          <w:rFonts w:hint="eastAsia" w:ascii="宋体" w:hAnsi="宋体" w:eastAsia="宋体" w:cs="宋体"/>
          <w:kern w:val="0"/>
          <w:sz w:val="24"/>
          <w:lang w:bidi="ar"/>
        </w:rPr>
        <w:t>获取磋商文件，并于2025年06月25日09时00分（北京时间）前提交响应文件。</w:t>
      </w:r>
    </w:p>
    <w:p w14:paraId="0D059009">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一、项目基本情况</w:t>
      </w:r>
    </w:p>
    <w:p w14:paraId="30EF9C72">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1.项目编号：采购计划-[2025]-00040号-ZH2025FW001</w:t>
      </w:r>
    </w:p>
    <w:p w14:paraId="5878E382">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2.项目名称：通化县2025年侵蚀沟治理项目（大泉源乡、英额布镇、富江乡治理项目区）工程监理服务</w:t>
      </w:r>
    </w:p>
    <w:p w14:paraId="56FAB44A">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3.采购方式：竞争性磋商</w:t>
      </w:r>
    </w:p>
    <w:p w14:paraId="42CC9286">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4.预算金额：48.06万元</w:t>
      </w:r>
    </w:p>
    <w:p w14:paraId="77D93A5B">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5.最高限价：48.06万元</w:t>
      </w:r>
    </w:p>
    <w:p w14:paraId="519389C7">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6.采购需求：完成通化县2025年侵蚀沟治理项目（大泉源乡、英额布镇、富江乡治理项目区）工程监理服务工作，包含但不限于施工准备阶段、施工阶段、工程竣工验收阶段、竣工资料整理、竣工结算等阶段提供全过程监理服务。</w:t>
      </w:r>
    </w:p>
    <w:p w14:paraId="03916167">
      <w:pPr>
        <w:widowControl/>
        <w:topLinePunct/>
        <w:autoSpaceDN w:val="0"/>
        <w:adjustRightInd w:val="0"/>
        <w:snapToGrid w:val="0"/>
        <w:spacing w:line="360" w:lineRule="auto"/>
        <w:ind w:firstLine="480" w:firstLineChars="200"/>
        <w:jc w:val="left"/>
        <w:rPr>
          <w:rFonts w:hint="eastAsia" w:ascii="宋体" w:hAnsi="宋体" w:eastAsia="宋体" w:cs="宋体"/>
          <w:sz w:val="24"/>
          <w:szCs w:val="21"/>
          <w:lang w:eastAsia="zh-CN"/>
        </w:rPr>
      </w:pPr>
      <w:r>
        <w:rPr>
          <w:rFonts w:hint="eastAsia" w:ascii="宋体" w:hAnsi="宋体" w:eastAsia="宋体" w:cs="宋体"/>
          <w:color w:val="000000"/>
          <w:kern w:val="0"/>
          <w:sz w:val="24"/>
          <w:szCs w:val="21"/>
          <w:lang w:bidi="ar"/>
        </w:rPr>
        <w:t>7.合同履行期限：自监理合同签订之日起至工程竣工验收合格之日止</w:t>
      </w:r>
      <w:r>
        <w:rPr>
          <w:rFonts w:hint="eastAsia" w:ascii="宋体" w:hAnsi="宋体" w:eastAsia="宋体" w:cs="宋体"/>
          <w:color w:val="000000"/>
          <w:kern w:val="0"/>
          <w:sz w:val="24"/>
          <w:szCs w:val="21"/>
          <w:lang w:eastAsia="zh-CN" w:bidi="ar"/>
        </w:rPr>
        <w:t>。</w:t>
      </w:r>
    </w:p>
    <w:p w14:paraId="30D64BB4">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8.本项目不接受联合体</w:t>
      </w:r>
    </w:p>
    <w:p w14:paraId="2E6B25FB">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二、申请人的资格要求：</w:t>
      </w:r>
    </w:p>
    <w:p w14:paraId="7F1F45C3">
      <w:pPr>
        <w:widowControl/>
        <w:topLinePunct/>
        <w:autoSpaceDN w:val="0"/>
        <w:spacing w:line="360" w:lineRule="auto"/>
        <w:ind w:firstLine="480" w:firstLineChars="200"/>
        <w:jc w:val="left"/>
        <w:rPr>
          <w:rFonts w:ascii="宋体" w:hAnsi="宋体" w:eastAsia="宋体" w:cs="宋体"/>
          <w:sz w:val="24"/>
          <w:lang w:bidi="ar"/>
        </w:rPr>
      </w:pPr>
      <w:r>
        <w:rPr>
          <w:rFonts w:hint="eastAsia" w:ascii="宋体" w:hAnsi="宋体" w:eastAsia="宋体" w:cs="宋体"/>
          <w:color w:val="000000"/>
          <w:kern w:val="0"/>
          <w:sz w:val="24"/>
          <w:lang w:bidi="ar"/>
        </w:rPr>
        <w:t>1.满足《中华人民共和国政府采购法》第二十二条规定；</w:t>
      </w:r>
    </w:p>
    <w:p w14:paraId="1954632E">
      <w:pPr>
        <w:pStyle w:val="22"/>
        <w:widowControl/>
        <w:topLinePunct/>
        <w:autoSpaceDE/>
        <w:spacing w:line="360" w:lineRule="auto"/>
        <w:ind w:firstLine="480" w:firstLineChars="200"/>
        <w:rPr>
          <w:rFonts w:hint="default" w:hAnsi="宋体"/>
          <w:lang w:bidi="ar"/>
        </w:rPr>
      </w:pPr>
      <w:r>
        <w:rPr>
          <w:rFonts w:hAnsi="宋体"/>
          <w:lang w:bidi="ar"/>
        </w:rPr>
        <w:t>2.落实政府采购政策需满足的资格要求：</w:t>
      </w:r>
      <w:r>
        <w:rPr>
          <w:rFonts w:hAnsi="宋体"/>
          <w:color w:val="auto"/>
        </w:rPr>
        <w:t>本项目专门面向中小企业采购，供应商应为中小微企业或监狱企业或残疾人福利性单位；</w:t>
      </w:r>
    </w:p>
    <w:p w14:paraId="474A8EE7">
      <w:pPr>
        <w:widowControl/>
        <w:tabs>
          <w:tab w:val="left" w:pos="312"/>
        </w:tabs>
        <w:topLinePunct/>
        <w:autoSpaceDN w:val="0"/>
        <w:spacing w:line="360" w:lineRule="auto"/>
        <w:ind w:left="480"/>
        <w:jc w:val="left"/>
        <w:rPr>
          <w:rFonts w:ascii="宋体" w:hAnsi="宋体" w:eastAsia="宋体" w:cs="宋体"/>
          <w:sz w:val="24"/>
          <w:lang w:bidi="ar"/>
        </w:rPr>
      </w:pPr>
      <w:r>
        <w:rPr>
          <w:rFonts w:hint="eastAsia" w:ascii="宋体" w:hAnsi="宋体" w:eastAsia="宋体" w:cs="宋体"/>
          <w:color w:val="000000"/>
          <w:kern w:val="0"/>
          <w:sz w:val="24"/>
          <w:lang w:bidi="ar"/>
        </w:rPr>
        <w:t>3.本项目的特定资格要求：</w:t>
      </w:r>
    </w:p>
    <w:p w14:paraId="1200ECC1">
      <w:pPr>
        <w:widowControl/>
        <w:topLinePunct/>
        <w:autoSpaceDN w:val="0"/>
        <w:spacing w:line="360" w:lineRule="auto"/>
        <w:ind w:firstLine="480" w:firstLineChars="200"/>
        <w:jc w:val="left"/>
        <w:rPr>
          <w:rFonts w:ascii="宋体" w:hAnsi="宋体" w:eastAsia="宋体" w:cs="宋体"/>
          <w:sz w:val="24"/>
          <w:lang w:bidi="ar"/>
        </w:rPr>
      </w:pPr>
      <w:r>
        <w:rPr>
          <w:rFonts w:hint="eastAsia" w:ascii="宋体" w:hAnsi="宋体" w:eastAsia="宋体" w:cs="宋体"/>
          <w:color w:val="000000"/>
          <w:kern w:val="0"/>
          <w:sz w:val="24"/>
          <w:lang w:bidi="ar"/>
        </w:rPr>
        <w:t>（1）</w:t>
      </w:r>
      <w:bookmarkStart w:id="5" w:name="OLE_LINK20"/>
      <w:bookmarkStart w:id="6" w:name="OLE_LINK19"/>
      <w:r>
        <w:rPr>
          <w:rFonts w:hint="eastAsia" w:ascii="宋体" w:hAnsi="宋体" w:eastAsia="宋体" w:cs="宋体"/>
          <w:color w:val="000000"/>
          <w:kern w:val="0"/>
          <w:sz w:val="24"/>
          <w:lang w:bidi="ar"/>
        </w:rPr>
        <w:t>供应商须是具备行业主管部门核发的</w:t>
      </w:r>
      <w:bookmarkStart w:id="7" w:name="OLE_LINK11"/>
      <w:bookmarkStart w:id="8" w:name="OLE_LINK12"/>
      <w:r>
        <w:rPr>
          <w:rFonts w:hint="eastAsia" w:ascii="宋体" w:hAnsi="宋体" w:eastAsia="宋体" w:cs="宋体"/>
          <w:color w:val="000000"/>
          <w:kern w:val="0"/>
          <w:sz w:val="24"/>
          <w:lang w:bidi="ar"/>
        </w:rPr>
        <w:t>水土保持工程施工监理专业乙级</w:t>
      </w:r>
      <w:bookmarkEnd w:id="7"/>
      <w:bookmarkEnd w:id="8"/>
      <w:r>
        <w:rPr>
          <w:rFonts w:hint="eastAsia" w:ascii="宋体" w:hAnsi="宋体" w:eastAsia="宋体" w:cs="宋体"/>
          <w:color w:val="000000"/>
          <w:kern w:val="0"/>
          <w:sz w:val="24"/>
          <w:lang w:bidi="ar"/>
        </w:rPr>
        <w:t>及以上资质的独立法人</w:t>
      </w:r>
      <w:bookmarkEnd w:id="5"/>
      <w:bookmarkEnd w:id="6"/>
      <w:r>
        <w:rPr>
          <w:rFonts w:hint="eastAsia" w:ascii="宋体" w:hAnsi="宋体" w:eastAsia="宋体" w:cs="宋体"/>
          <w:color w:val="000000"/>
          <w:kern w:val="0"/>
          <w:sz w:val="24"/>
          <w:lang w:bidi="ar"/>
        </w:rPr>
        <w:t>，并具有履行合同所必需的设备和专业技术能力；</w:t>
      </w:r>
    </w:p>
    <w:p w14:paraId="4F13E4E0">
      <w:pPr>
        <w:widowControl/>
        <w:topLinePunct/>
        <w:autoSpaceDN w:val="0"/>
        <w:spacing w:line="360" w:lineRule="auto"/>
        <w:ind w:firstLine="480" w:firstLineChars="200"/>
        <w:jc w:val="left"/>
        <w:rPr>
          <w:rFonts w:ascii="宋体" w:hAnsi="宋体" w:eastAsia="宋体" w:cs="宋体"/>
          <w:sz w:val="24"/>
          <w:lang w:bidi="ar"/>
        </w:rPr>
      </w:pPr>
      <w:r>
        <w:rPr>
          <w:rFonts w:hint="eastAsia" w:ascii="宋体" w:hAnsi="宋体" w:eastAsia="宋体" w:cs="宋体"/>
          <w:color w:val="000000"/>
          <w:kern w:val="0"/>
          <w:sz w:val="24"/>
          <w:lang w:bidi="ar"/>
        </w:rPr>
        <w:t>（2）供应商拟派出的总监理工程师须具备水利工程监理工程师注册证书</w:t>
      </w:r>
      <w:r>
        <w:rPr>
          <w:rFonts w:hint="eastAsia" w:ascii="宋体" w:hAnsi="宋体" w:eastAsia="宋体" w:cs="宋体"/>
          <w:sz w:val="24"/>
          <w:lang w:bidi="ar"/>
        </w:rPr>
        <w:t>。</w:t>
      </w:r>
    </w:p>
    <w:p w14:paraId="2F223816">
      <w:pPr>
        <w:pStyle w:val="22"/>
        <w:widowControl/>
        <w:topLinePunct/>
        <w:autoSpaceDE/>
        <w:spacing w:line="360" w:lineRule="auto"/>
        <w:ind w:firstLine="480" w:firstLineChars="200"/>
        <w:rPr>
          <w:rFonts w:hint="default" w:hAnsi="宋体"/>
          <w:color w:val="auto"/>
        </w:rPr>
      </w:pPr>
      <w:r>
        <w:rPr>
          <w:rFonts w:hAnsi="宋体"/>
          <w:lang w:bidi="ar"/>
        </w:rPr>
        <w:t>（3）信用要求</w:t>
      </w:r>
      <w:r>
        <w:rPr>
          <w:rFonts w:hAnsi="宋体"/>
          <w:color w:val="auto"/>
        </w:rPr>
        <w:t>未被工商行政管理机关在全国企业信用信息公示系统（http://www.gsxt.gov.cn/index.html）中列入严重违法失信企业名单；未被最高人民法院在“信用中国”网站（www.creditchina.gov.cn）或各级信用信息共享平台列入失信被执行人名单；供应商、法定代表人、总监理工程师在中国裁判文书网无行贿犯罪记录。</w:t>
      </w:r>
    </w:p>
    <w:p w14:paraId="22F2947E">
      <w:pPr>
        <w:widowControl/>
        <w:topLinePunct/>
        <w:autoSpaceDN w:val="0"/>
        <w:spacing w:line="360" w:lineRule="auto"/>
        <w:ind w:firstLine="480" w:firstLineChars="200"/>
        <w:jc w:val="left"/>
        <w:rPr>
          <w:rFonts w:ascii="宋体" w:hAnsi="宋体" w:eastAsia="宋体" w:cs="宋体"/>
          <w:sz w:val="24"/>
          <w:lang w:bidi="ar"/>
        </w:rPr>
      </w:pPr>
      <w:r>
        <w:rPr>
          <w:rFonts w:hint="eastAsia" w:ascii="宋体" w:hAnsi="宋体" w:eastAsia="宋体" w:cs="宋体"/>
          <w:color w:val="000000"/>
          <w:kern w:val="0"/>
          <w:sz w:val="24"/>
          <w:lang w:bidi="ar"/>
        </w:rPr>
        <w:t>（4）拒绝列入政府不良行为记录期间的企业或个人投标；</w:t>
      </w:r>
    </w:p>
    <w:p w14:paraId="16689D38">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三、获取采购文件</w:t>
      </w:r>
    </w:p>
    <w:p w14:paraId="505EB29D">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1.时间：2025年06月</w:t>
      </w:r>
      <w:r>
        <w:rPr>
          <w:rFonts w:ascii="宋体" w:hAnsi="宋体" w:eastAsia="宋体" w:cs="宋体"/>
          <w:kern w:val="0"/>
          <w:sz w:val="24"/>
          <w:lang w:bidi="ar"/>
        </w:rPr>
        <w:t>10</w:t>
      </w:r>
      <w:r>
        <w:rPr>
          <w:rFonts w:hint="eastAsia" w:ascii="宋体" w:hAnsi="宋体" w:eastAsia="宋体" w:cs="宋体"/>
          <w:kern w:val="0"/>
          <w:sz w:val="24"/>
          <w:lang w:bidi="ar"/>
        </w:rPr>
        <w:t>日至2025年06月</w:t>
      </w:r>
      <w:r>
        <w:rPr>
          <w:rFonts w:ascii="宋体" w:hAnsi="宋体" w:eastAsia="宋体" w:cs="宋体"/>
          <w:kern w:val="0"/>
          <w:sz w:val="24"/>
          <w:lang w:bidi="ar"/>
        </w:rPr>
        <w:t>17</w:t>
      </w:r>
      <w:r>
        <w:rPr>
          <w:rFonts w:hint="eastAsia" w:ascii="宋体" w:hAnsi="宋体" w:eastAsia="宋体" w:cs="宋体"/>
          <w:kern w:val="0"/>
          <w:sz w:val="24"/>
          <w:lang w:bidi="ar"/>
        </w:rPr>
        <w:t xml:space="preserve">日（北京时间，法定节假日除外）。 </w:t>
      </w:r>
    </w:p>
    <w:p w14:paraId="7B752F74">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2.地点：</w:t>
      </w:r>
      <w:r>
        <w:rPr>
          <w:rFonts w:hint="eastAsia" w:ascii="宋体" w:hAnsi="宋体" w:eastAsia="宋体" w:cs="宋体"/>
          <w:bCs/>
          <w:color w:val="000000"/>
          <w:kern w:val="0"/>
          <w:sz w:val="24"/>
          <w:lang w:bidi="ar"/>
        </w:rPr>
        <w:t>政府采购云平台（http://www.zcygov.cn）。</w:t>
      </w:r>
    </w:p>
    <w:p w14:paraId="7622CA4C">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3.方式：供应商登录政采云平台https://www.zcygov.cn/在线申请获取采购文件（进入“项目采购”应用，在获取采购文件菜单中选择项目，申请获取采购文件）</w:t>
      </w:r>
      <w:r>
        <w:rPr>
          <w:rFonts w:hint="eastAsia" w:ascii="宋体" w:hAnsi="宋体" w:eastAsia="宋体" w:cs="宋体"/>
          <w:bCs/>
          <w:color w:val="000000"/>
          <w:kern w:val="0"/>
          <w:sz w:val="24"/>
          <w:lang w:bidi="ar"/>
        </w:rPr>
        <w:t>。</w:t>
      </w:r>
    </w:p>
    <w:p w14:paraId="09B02090">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4.售价：免费获取。</w:t>
      </w:r>
    </w:p>
    <w:p w14:paraId="1CA4D5DA">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四、响应文件提交</w:t>
      </w:r>
    </w:p>
    <w:p w14:paraId="0CF06F5A">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截止时间：2025年06月25日09时00分（北京时间）</w:t>
      </w:r>
    </w:p>
    <w:p w14:paraId="1D1F57D5">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地点：在政采云平台https://www.zcygov.cn/上传电子加密响应文件</w:t>
      </w:r>
    </w:p>
    <w:p w14:paraId="2782245E">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五、开启</w:t>
      </w:r>
    </w:p>
    <w:p w14:paraId="7EDE57A3">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时间：2025年06月25日09时00分（北京时间）</w:t>
      </w:r>
    </w:p>
    <w:p w14:paraId="285ADDAB">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地点：通化市公共资源交易中心（通化市政府采购中心）开标</w:t>
      </w: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室</w:t>
      </w:r>
    </w:p>
    <w:p w14:paraId="65F9CC36">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六、公告期限</w:t>
      </w:r>
    </w:p>
    <w:p w14:paraId="26020066">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自本公告发布之日起5个工作日。</w:t>
      </w:r>
    </w:p>
    <w:p w14:paraId="7E676CF7">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七、其他补充事宜</w:t>
      </w:r>
    </w:p>
    <w:p w14:paraId="12E32B15">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bCs/>
          <w:color w:val="000000"/>
          <w:kern w:val="0"/>
          <w:sz w:val="24"/>
          <w:lang w:bidi="ar"/>
        </w:rPr>
        <w:t>本次公告</w:t>
      </w:r>
      <w:r>
        <w:rPr>
          <w:rFonts w:hint="eastAsia" w:ascii="宋体" w:hAnsi="宋体" w:eastAsia="宋体" w:cs="宋体"/>
          <w:bCs/>
          <w:color w:val="000000"/>
          <w:kern w:val="0"/>
          <w:sz w:val="24"/>
          <w:lang w:val="en-US" w:eastAsia="zh-CN" w:bidi="ar"/>
        </w:rPr>
        <w:t>在</w:t>
      </w:r>
      <w:r>
        <w:rPr>
          <w:rFonts w:hint="eastAsia" w:ascii="宋体" w:hAnsi="宋体" w:eastAsia="宋体" w:cs="宋体"/>
          <w:bCs/>
          <w:color w:val="000000"/>
          <w:kern w:val="0"/>
          <w:sz w:val="24"/>
          <w:lang w:bidi="ar"/>
        </w:rPr>
        <w:t>政府采购云平台（http://www.zcygov.cn）</w:t>
      </w:r>
      <w:r>
        <w:rPr>
          <w:rFonts w:hint="eastAsia" w:ascii="宋体" w:hAnsi="宋体" w:eastAsia="宋体" w:cs="宋体"/>
          <w:bCs/>
          <w:color w:val="000000"/>
          <w:kern w:val="0"/>
          <w:sz w:val="24"/>
          <w:lang w:val="en-US" w:eastAsia="zh-CN" w:bidi="ar"/>
        </w:rPr>
        <w:t>发布，</w:t>
      </w:r>
      <w:r>
        <w:rPr>
          <w:rFonts w:hint="eastAsia" w:ascii="宋体" w:hAnsi="宋体" w:eastAsia="宋体" w:cs="宋体"/>
          <w:color w:val="000000"/>
          <w:kern w:val="0"/>
          <w:sz w:val="24"/>
          <w:szCs w:val="21"/>
          <w:lang w:bidi="ar"/>
        </w:rPr>
        <w:t>同步推送到吉林省政府采购网、吉林省公共资源交易公共服务平台</w:t>
      </w:r>
      <w:r>
        <w:rPr>
          <w:rFonts w:hint="eastAsia" w:ascii="宋体" w:hAnsi="宋体" w:eastAsia="宋体" w:cs="宋体"/>
          <w:bCs/>
          <w:color w:val="000000"/>
          <w:kern w:val="0"/>
          <w:sz w:val="24"/>
          <w:lang w:bidi="ar"/>
        </w:rPr>
        <w:t>；</w:t>
      </w:r>
    </w:p>
    <w:p w14:paraId="6EAA2652">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2.现场考察时间和地点：本项目不组织现场考察。</w:t>
      </w:r>
    </w:p>
    <w:p w14:paraId="61ECE23E">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3.开标前答疑会时间和地点：本项目不组织开标前答疑会。</w:t>
      </w:r>
    </w:p>
    <w:p w14:paraId="3B93A89B">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4.电子响应文件解密期限及方式：投标供应商无需到达开标现场。响应文件提交截止时间后30分钟内，投标供应商持制作该电子响应文件的同一CA数字证书（企业锁）登录政采云平台https://www.zcygov.cn/网站，远程对所投采购包响应文件进行解密（各投标供应商开标前及网上开评系统公布供应商名单前，不要提前进行远程解密</w:t>
      </w:r>
      <w:r>
        <w:rPr>
          <w:rFonts w:hint="eastAsia" w:ascii="宋体" w:hAnsi="宋体" w:eastAsia="宋体" w:cs="宋体"/>
          <w:kern w:val="0"/>
          <w:sz w:val="24"/>
          <w:lang w:eastAsia="zh-CN" w:bidi="ar"/>
        </w:rPr>
        <w:t>）</w:t>
      </w:r>
      <w:r>
        <w:rPr>
          <w:rFonts w:hint="eastAsia" w:ascii="宋体" w:hAnsi="宋体" w:eastAsia="宋体" w:cs="宋体"/>
          <w:kern w:val="0"/>
          <w:sz w:val="24"/>
          <w:lang w:bidi="ar"/>
        </w:rPr>
        <w:t>；因供应商自身原因未能成功解密的，视为逾期未提交响应文件。</w:t>
      </w:r>
    </w:p>
    <w:p w14:paraId="26A9CFFA">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5.本项目需要落实的政府采购政策：政府采购促进中小企业发展（监狱企业、残疾人福利性单位视同小微企业）政策；</w:t>
      </w:r>
    </w:p>
    <w:p w14:paraId="75659F34">
      <w:pPr>
        <w:widowControl/>
        <w:topLinePunct/>
        <w:autoSpaceDN w:val="0"/>
        <w:adjustRightInd w:val="0"/>
        <w:snapToGrid w:val="0"/>
        <w:spacing w:line="360" w:lineRule="auto"/>
        <w:jc w:val="left"/>
        <w:rPr>
          <w:rFonts w:ascii="宋体" w:hAnsi="宋体" w:eastAsia="宋体" w:cs="宋体"/>
          <w:b/>
          <w:sz w:val="24"/>
        </w:rPr>
      </w:pPr>
      <w:r>
        <w:rPr>
          <w:rFonts w:hint="eastAsia" w:ascii="宋体" w:hAnsi="宋体" w:eastAsia="宋体" w:cs="宋体"/>
          <w:b/>
          <w:kern w:val="0"/>
          <w:sz w:val="24"/>
          <w:lang w:bidi="ar"/>
        </w:rPr>
        <w:t>八、凡对本次采购提出询问，请按以下方式联系：</w:t>
      </w:r>
    </w:p>
    <w:p w14:paraId="39ABC858">
      <w:pPr>
        <w:widowControl/>
        <w:topLinePunct/>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1.采购人信息</w:t>
      </w:r>
    </w:p>
    <w:p w14:paraId="650D5191">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名称：通化县水利局</w:t>
      </w:r>
    </w:p>
    <w:p w14:paraId="485987EC">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地址：吉林省通化县快大茂镇团结路1309号</w:t>
      </w:r>
    </w:p>
    <w:p w14:paraId="109A611B">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联系方式：高松海15844513999</w:t>
      </w:r>
    </w:p>
    <w:p w14:paraId="09AC2172">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2.采购代理机构信息</w:t>
      </w:r>
    </w:p>
    <w:p w14:paraId="103336EE">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名称：吉林省中鸿项目管理有限公司</w:t>
      </w:r>
    </w:p>
    <w:p w14:paraId="42010469">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地址：长春市经济开发区临河四小区11栋206号房</w:t>
      </w:r>
    </w:p>
    <w:p w14:paraId="5D30378E">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联系电话：周丹妮</w:t>
      </w:r>
      <w:r>
        <w:rPr>
          <w:rFonts w:hint="eastAsia" w:ascii="宋体" w:hAnsi="宋体" w:eastAsia="宋体" w:cs="宋体"/>
          <w:lang w:eastAsia="zh-CN"/>
        </w:rPr>
        <w:t>13756675960</w:t>
      </w:r>
      <w:r>
        <w:rPr>
          <w:rFonts w:hint="eastAsia" w:ascii="宋体" w:hAnsi="宋体" w:eastAsia="宋体"/>
          <w:color w:val="auto"/>
          <w:szCs w:val="21"/>
        </w:rPr>
        <w:t xml:space="preserve"> </w:t>
      </w:r>
    </w:p>
    <w:p w14:paraId="55650D9F">
      <w:pPr>
        <w:widowControl/>
        <w:topLinePunct/>
        <w:autoSpaceDN w:val="0"/>
        <w:adjustRightInd w:val="0"/>
        <w:snapToGrid w:val="0"/>
        <w:spacing w:line="360" w:lineRule="auto"/>
        <w:ind w:firstLine="480" w:firstLineChars="200"/>
        <w:jc w:val="left"/>
        <w:rPr>
          <w:rFonts w:ascii="宋体" w:hAnsi="宋体" w:eastAsia="宋体" w:cs="宋体"/>
          <w:sz w:val="24"/>
          <w:szCs w:val="21"/>
        </w:rPr>
      </w:pPr>
      <w:r>
        <w:rPr>
          <w:rFonts w:hint="eastAsia" w:ascii="宋体" w:hAnsi="宋体" w:eastAsia="宋体" w:cs="宋体"/>
          <w:color w:val="000000"/>
          <w:kern w:val="0"/>
          <w:sz w:val="24"/>
          <w:szCs w:val="21"/>
          <w:lang w:bidi="ar"/>
        </w:rPr>
        <w:t>3.项目联系方式</w:t>
      </w:r>
    </w:p>
    <w:p w14:paraId="76F5EB7D">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联系人：周丹妮</w:t>
      </w:r>
    </w:p>
    <w:p w14:paraId="715DBE22">
      <w:pPr>
        <w:pStyle w:val="13"/>
        <w:kinsoku/>
        <w:topLinePunct/>
        <w:autoSpaceDE/>
        <w:spacing w:beforeAutospacing="0" w:afterAutospacing="0" w:line="360" w:lineRule="auto"/>
        <w:ind w:firstLine="480"/>
        <w:rPr>
          <w:rFonts w:ascii="宋体" w:hAnsi="宋体" w:eastAsia="宋体" w:cs="宋体"/>
        </w:rPr>
      </w:pPr>
      <w:r>
        <w:rPr>
          <w:rFonts w:hint="eastAsia" w:ascii="宋体" w:hAnsi="宋体" w:eastAsia="宋体" w:cs="宋体"/>
        </w:rPr>
        <w:t>联系电话：</w:t>
      </w:r>
      <w:r>
        <w:rPr>
          <w:rFonts w:hint="eastAsia" w:ascii="宋体" w:hAnsi="宋体" w:eastAsia="宋体" w:cs="宋体"/>
          <w:lang w:eastAsia="zh-CN"/>
        </w:rPr>
        <w:t>13756675960</w:t>
      </w:r>
      <w:r>
        <w:rPr>
          <w:rFonts w:hint="eastAsia" w:ascii="宋体" w:hAnsi="宋体" w:eastAsia="宋体"/>
          <w:color w:val="auto"/>
          <w:szCs w:val="21"/>
        </w:rPr>
        <w:t xml:space="preserve"> </w:t>
      </w:r>
    </w:p>
    <w:p w14:paraId="66164580">
      <w:pPr>
        <w:widowControl/>
        <w:topLinePunct/>
        <w:autoSpaceDN w:val="0"/>
        <w:adjustRightInd w:val="0"/>
        <w:snapToGrid w:val="0"/>
        <w:spacing w:line="360" w:lineRule="auto"/>
        <w:ind w:firstLine="480" w:firstLineChars="200"/>
        <w:jc w:val="left"/>
        <w:rPr>
          <w:rFonts w:ascii="宋体" w:hAnsi="宋体" w:eastAsia="宋体" w:cs="宋体"/>
          <w:bCs/>
          <w:sz w:val="24"/>
          <w:shd w:val="clear" w:color="auto" w:fill="FFFFFF"/>
        </w:rPr>
      </w:pPr>
      <w:r>
        <w:rPr>
          <w:rFonts w:hint="eastAsia" w:ascii="宋体" w:hAnsi="宋体" w:eastAsia="宋体" w:cs="宋体"/>
          <w:bCs/>
          <w:kern w:val="0"/>
          <w:sz w:val="24"/>
          <w:shd w:val="clear" w:color="auto" w:fill="FFFFFF"/>
          <w:lang w:bidi="ar"/>
        </w:rPr>
        <w:t>4.技术服务</w:t>
      </w:r>
    </w:p>
    <w:p w14:paraId="34E2C637">
      <w:pPr>
        <w:widowControl/>
        <w:topLinePunct/>
        <w:autoSpaceDN w:val="0"/>
        <w:adjustRightInd w:val="0"/>
        <w:snapToGrid w:val="0"/>
        <w:spacing w:line="360" w:lineRule="auto"/>
        <w:ind w:firstLine="480" w:firstLineChars="200"/>
        <w:jc w:val="left"/>
        <w:rPr>
          <w:rFonts w:ascii="宋体" w:hAnsi="宋体" w:eastAsia="宋体" w:cs="宋体"/>
          <w:bCs/>
          <w:sz w:val="24"/>
          <w:szCs w:val="21"/>
        </w:rPr>
      </w:pPr>
      <w:r>
        <w:rPr>
          <w:rFonts w:hint="eastAsia" w:ascii="宋体" w:hAnsi="宋体" w:eastAsia="宋体" w:cs="宋体"/>
          <w:bCs/>
          <w:kern w:val="0"/>
          <w:sz w:val="24"/>
          <w:lang w:bidi="ar"/>
        </w:rPr>
        <w:t>政采云平台客服电话：95763</w:t>
      </w:r>
    </w:p>
    <w:p w14:paraId="2FB6027B">
      <w:r>
        <w:br w:type="page"/>
      </w:r>
    </w:p>
    <w:p w14:paraId="67627403">
      <w:pPr>
        <w:pStyle w:val="13"/>
        <w:kinsoku/>
        <w:topLinePunct/>
        <w:autoSpaceDE/>
        <w:spacing w:before="71" w:beforeAutospacing="0" w:afterAutospacing="0" w:line="223" w:lineRule="auto"/>
        <w:jc w:val="center"/>
        <w:outlineLvl w:val="0"/>
        <w:rPr>
          <w:spacing w:val="-2"/>
        </w:rPr>
      </w:pPr>
      <w:bookmarkStart w:id="9" w:name="_Toc200025567"/>
      <w:bookmarkStart w:id="10" w:name="_Toc199944345"/>
      <w:r>
        <w:rPr>
          <w:rFonts w:hint="eastAsia" w:ascii="宋体" w:hAnsi="宋体" w:eastAsia="宋体" w:cs="宋体"/>
          <w:spacing w:val="8"/>
          <w:sz w:val="35"/>
          <w:szCs w:val="35"/>
          <w:lang w:bidi="ar"/>
        </w:rPr>
        <w:t>第二章 供应商须知</w:t>
      </w:r>
      <w:bookmarkEnd w:id="9"/>
      <w:bookmarkEnd w:id="10"/>
    </w:p>
    <w:p w14:paraId="278B1B56">
      <w:pPr>
        <w:pStyle w:val="13"/>
        <w:kinsoku/>
        <w:topLinePunct/>
        <w:autoSpaceDE/>
        <w:spacing w:before="91" w:beforeAutospacing="0" w:afterAutospacing="0" w:line="360" w:lineRule="auto"/>
        <w:ind w:left="345"/>
        <w:jc w:val="center"/>
        <w:rPr>
          <w:b/>
          <w:sz w:val="28"/>
          <w:szCs w:val="28"/>
        </w:rPr>
      </w:pPr>
      <w:r>
        <w:rPr>
          <w:rFonts w:hint="eastAsia" w:ascii="宋体" w:hAnsi="宋体" w:eastAsia="宋体" w:cs="宋体"/>
          <w:b/>
          <w:spacing w:val="-2"/>
          <w:sz w:val="28"/>
          <w:szCs w:val="28"/>
          <w:lang w:bidi="ar"/>
        </w:rPr>
        <w:t>供应商须知前附表</w:t>
      </w:r>
    </w:p>
    <w:tbl>
      <w:tblPr>
        <w:tblStyle w:val="15"/>
        <w:tblW w:w="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88"/>
        <w:gridCol w:w="2126"/>
        <w:gridCol w:w="5953"/>
      </w:tblGrid>
      <w:tr w14:paraId="0519B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3A741DCC">
            <w:pPr>
              <w:pStyle w:val="24"/>
              <w:kinsoku/>
              <w:topLinePunct/>
              <w:autoSpaceDE/>
              <w:spacing w:before="154" w:line="360" w:lineRule="auto"/>
              <w:ind w:left="204"/>
              <w:rPr>
                <w:rFonts w:hint="default"/>
              </w:rPr>
            </w:pPr>
            <w:r>
              <w:rPr>
                <w:spacing w:val="7"/>
              </w:rPr>
              <w:t>条款号</w:t>
            </w:r>
          </w:p>
        </w:tc>
        <w:tc>
          <w:tcPr>
            <w:tcW w:w="2126" w:type="dxa"/>
            <w:tcBorders>
              <w:top w:val="single" w:color="000000" w:sz="2" w:space="0"/>
              <w:left w:val="single" w:color="000000" w:sz="2" w:space="0"/>
              <w:bottom w:val="single" w:color="000000" w:sz="2" w:space="0"/>
              <w:right w:val="single" w:color="000000" w:sz="2" w:space="0"/>
            </w:tcBorders>
            <w:shd w:val="clear" w:color="auto" w:fill="auto"/>
          </w:tcPr>
          <w:p w14:paraId="6A9D73F2">
            <w:pPr>
              <w:pStyle w:val="24"/>
              <w:kinsoku/>
              <w:topLinePunct/>
              <w:autoSpaceDE/>
              <w:spacing w:before="154" w:line="360" w:lineRule="auto"/>
              <w:ind w:left="754"/>
              <w:rPr>
                <w:rFonts w:hint="default"/>
              </w:rPr>
            </w:pPr>
            <w:r>
              <w:rPr>
                <w:spacing w:val="8"/>
              </w:rPr>
              <w:t>条款名称</w:t>
            </w:r>
          </w:p>
        </w:tc>
        <w:tc>
          <w:tcPr>
            <w:tcW w:w="5953" w:type="dxa"/>
            <w:tcBorders>
              <w:top w:val="single" w:color="000000" w:sz="2" w:space="0"/>
              <w:left w:val="single" w:color="000000" w:sz="2" w:space="0"/>
              <w:bottom w:val="single" w:color="000000" w:sz="2" w:space="0"/>
              <w:right w:val="single" w:color="000000" w:sz="2" w:space="0"/>
            </w:tcBorders>
            <w:shd w:val="clear" w:color="auto" w:fill="auto"/>
          </w:tcPr>
          <w:p w14:paraId="0AC38EE2">
            <w:pPr>
              <w:pStyle w:val="24"/>
              <w:kinsoku/>
              <w:topLinePunct/>
              <w:autoSpaceDE/>
              <w:spacing w:before="154" w:line="360" w:lineRule="auto"/>
              <w:ind w:left="2818"/>
              <w:rPr>
                <w:rFonts w:hint="default"/>
              </w:rPr>
            </w:pPr>
            <w:r>
              <w:rPr>
                <w:spacing w:val="8"/>
              </w:rPr>
              <w:t>编列内容</w:t>
            </w:r>
          </w:p>
        </w:tc>
      </w:tr>
      <w:tr w14:paraId="7AA3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1"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2440D1">
            <w:pPr>
              <w:pStyle w:val="24"/>
              <w:kinsoku/>
              <w:topLinePunct/>
              <w:autoSpaceDE/>
              <w:spacing w:before="65" w:line="360" w:lineRule="auto"/>
              <w:jc w:val="center"/>
              <w:rPr>
                <w:rFonts w:hint="default"/>
              </w:rPr>
            </w:pPr>
            <w:r>
              <w:t>1.1.2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9153D0">
            <w:pPr>
              <w:pStyle w:val="24"/>
              <w:kinsoku/>
              <w:topLinePunct/>
              <w:autoSpaceDE/>
              <w:rPr>
                <w:rFonts w:hint="default"/>
              </w:rPr>
            </w:pPr>
            <w:r>
              <w:t>采购人</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B94E3C">
            <w:pPr>
              <w:pStyle w:val="24"/>
              <w:kinsoku/>
              <w:topLinePunct/>
              <w:autoSpaceDE/>
              <w:rPr>
                <w:rFonts w:hint="default"/>
              </w:rPr>
            </w:pPr>
            <w:r>
              <w:t>名称：通化县水利局</w:t>
            </w:r>
          </w:p>
          <w:p w14:paraId="52EC4313">
            <w:pPr>
              <w:pStyle w:val="24"/>
              <w:kinsoku/>
              <w:topLinePunct/>
              <w:autoSpaceDE/>
              <w:rPr>
                <w:rFonts w:hint="default"/>
              </w:rPr>
            </w:pPr>
            <w:r>
              <w:t>地址：吉林省通化县快大茂镇团结路1309号</w:t>
            </w:r>
          </w:p>
          <w:p w14:paraId="37127ED3">
            <w:pPr>
              <w:pStyle w:val="24"/>
              <w:kinsoku/>
              <w:topLinePunct/>
              <w:autoSpaceDE/>
              <w:rPr>
                <w:rFonts w:hint="default"/>
              </w:rPr>
            </w:pPr>
            <w:r>
              <w:t>联系人：高松海</w:t>
            </w:r>
          </w:p>
          <w:p w14:paraId="52AB7ECA">
            <w:pPr>
              <w:pStyle w:val="24"/>
              <w:kinsoku/>
              <w:topLinePunct/>
              <w:autoSpaceDE/>
              <w:rPr>
                <w:rFonts w:hint="default"/>
              </w:rPr>
            </w:pPr>
            <w:r>
              <w:t>联系电话：15844513999</w:t>
            </w:r>
          </w:p>
        </w:tc>
      </w:tr>
      <w:tr w14:paraId="1B2D3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CF2EAB">
            <w:pPr>
              <w:widowControl/>
              <w:topLinePunct/>
              <w:autoSpaceDN w:val="0"/>
              <w:adjustRightInd w:val="0"/>
              <w:snapToGrid w:val="0"/>
              <w:spacing w:line="360" w:lineRule="auto"/>
              <w:jc w:val="center"/>
              <w:rPr>
                <w:rFonts w:ascii="宋体" w:hAnsi="宋体" w:eastAsia="宋体" w:cs="宋体"/>
                <w:sz w:val="24"/>
              </w:rPr>
            </w:pPr>
          </w:p>
          <w:p w14:paraId="60511E61">
            <w:pPr>
              <w:pStyle w:val="24"/>
              <w:kinsoku/>
              <w:topLinePunct/>
              <w:autoSpaceDE/>
              <w:spacing w:before="65" w:line="360" w:lineRule="auto"/>
              <w:jc w:val="center"/>
              <w:rPr>
                <w:rFonts w:hint="default"/>
              </w:rPr>
            </w:pPr>
            <w:r>
              <w:t>1.1.3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BEDA95">
            <w:pPr>
              <w:pStyle w:val="24"/>
              <w:kinsoku/>
              <w:topLinePunct/>
              <w:autoSpaceDE/>
              <w:rPr>
                <w:rFonts w:hint="default"/>
              </w:rPr>
            </w:pPr>
          </w:p>
          <w:p w14:paraId="5BE226F8">
            <w:pPr>
              <w:pStyle w:val="24"/>
              <w:kinsoku/>
              <w:topLinePunct/>
              <w:autoSpaceDE/>
              <w:rPr>
                <w:rFonts w:hint="default"/>
              </w:rPr>
            </w:pPr>
            <w:r>
              <w:t>采购代理机构</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FFC3F6">
            <w:pPr>
              <w:pStyle w:val="24"/>
              <w:kinsoku/>
              <w:topLinePunct/>
              <w:autoSpaceDE/>
              <w:rPr>
                <w:rFonts w:hint="default"/>
              </w:rPr>
            </w:pPr>
            <w:r>
              <w:t>采购代理机构：吉林省中鸿项目管理有限公司</w:t>
            </w:r>
          </w:p>
          <w:p w14:paraId="59CDEF64">
            <w:pPr>
              <w:pStyle w:val="24"/>
              <w:kinsoku/>
              <w:topLinePunct/>
              <w:autoSpaceDE/>
              <w:rPr>
                <w:rFonts w:hint="default"/>
              </w:rPr>
            </w:pPr>
            <w:r>
              <w:t>地址：长春市经济开发区临河四小区11栋206号房</w:t>
            </w:r>
          </w:p>
          <w:p w14:paraId="14357DCC">
            <w:pPr>
              <w:pStyle w:val="24"/>
              <w:kinsoku/>
              <w:topLinePunct/>
              <w:autoSpaceDE/>
              <w:rPr>
                <w:rFonts w:hint="default"/>
              </w:rPr>
            </w:pPr>
            <w:r>
              <w:t>联系人：周丹妮</w:t>
            </w:r>
          </w:p>
          <w:p w14:paraId="55333EA3">
            <w:pPr>
              <w:pStyle w:val="24"/>
              <w:kinsoku/>
              <w:topLinePunct/>
              <w:autoSpaceDE/>
              <w:rPr>
                <w:rFonts w:hint="default"/>
              </w:rPr>
            </w:pPr>
            <w:r>
              <w:t>联系电话：</w:t>
            </w:r>
            <w:r>
              <w:rPr>
                <w:rFonts w:hint="eastAsia"/>
                <w:lang w:eastAsia="zh-CN"/>
              </w:rPr>
              <w:t>13756675960</w:t>
            </w:r>
            <w:r>
              <w:t xml:space="preserve"> </w:t>
            </w:r>
          </w:p>
        </w:tc>
      </w:tr>
      <w:tr w14:paraId="50811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0"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621DCC">
            <w:pPr>
              <w:widowControl/>
              <w:topLinePunct/>
              <w:autoSpaceDN w:val="0"/>
              <w:adjustRightInd w:val="0"/>
              <w:snapToGrid w:val="0"/>
              <w:spacing w:line="360" w:lineRule="auto"/>
              <w:jc w:val="center"/>
              <w:rPr>
                <w:rFonts w:ascii="宋体" w:hAnsi="宋体" w:eastAsia="宋体" w:cs="宋体"/>
                <w:sz w:val="24"/>
              </w:rPr>
            </w:pPr>
          </w:p>
          <w:p w14:paraId="63FCF2A7">
            <w:pPr>
              <w:pStyle w:val="24"/>
              <w:kinsoku/>
              <w:topLinePunct/>
              <w:autoSpaceDE/>
              <w:spacing w:before="65" w:line="360" w:lineRule="auto"/>
              <w:jc w:val="center"/>
              <w:rPr>
                <w:rFonts w:hint="default"/>
              </w:rPr>
            </w:pPr>
            <w:r>
              <w:t>1.1.4</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C46790">
            <w:pPr>
              <w:pStyle w:val="24"/>
              <w:kinsoku/>
              <w:topLinePunct/>
              <w:autoSpaceDE/>
              <w:rPr>
                <w:rFonts w:hint="default"/>
              </w:rPr>
            </w:pPr>
            <w:r>
              <w:t>标段名称及编号</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7044A7">
            <w:pPr>
              <w:pStyle w:val="24"/>
              <w:kinsoku/>
              <w:topLinePunct/>
              <w:autoSpaceDE/>
              <w:rPr>
                <w:rFonts w:hint="default"/>
              </w:rPr>
            </w:pPr>
            <w:r>
              <w:t>标段名称：通化县2025年侵蚀沟治理项目（大泉源乡、英额布镇、富江乡治理项目区）工程监理服务</w:t>
            </w:r>
          </w:p>
          <w:p w14:paraId="1E1D48BA">
            <w:pPr>
              <w:pStyle w:val="24"/>
              <w:kinsoku/>
              <w:topLinePunct/>
              <w:autoSpaceDE/>
              <w:rPr>
                <w:rFonts w:hint="default"/>
              </w:rPr>
            </w:pPr>
            <w:r>
              <w:t>标段编号：采购计划-[2025]-00040号-ZH2025FW001</w:t>
            </w:r>
          </w:p>
        </w:tc>
      </w:tr>
      <w:tr w14:paraId="75936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9797E5">
            <w:pPr>
              <w:pStyle w:val="24"/>
              <w:kinsoku/>
              <w:topLinePunct/>
              <w:autoSpaceDE/>
              <w:spacing w:before="184" w:line="360" w:lineRule="auto"/>
              <w:jc w:val="center"/>
              <w:rPr>
                <w:rFonts w:hint="default"/>
              </w:rPr>
            </w:pPr>
            <w:r>
              <w:t>1.1.5</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AC2DC6">
            <w:pPr>
              <w:pStyle w:val="24"/>
              <w:kinsoku/>
              <w:topLinePunct/>
              <w:autoSpaceDE/>
              <w:rPr>
                <w:rFonts w:hint="default"/>
              </w:rPr>
            </w:pPr>
            <w:r>
              <w:t>项目地点</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94D817">
            <w:pPr>
              <w:pStyle w:val="24"/>
              <w:kinsoku/>
              <w:topLinePunct/>
              <w:autoSpaceDE/>
              <w:rPr>
                <w:rFonts w:hint="default"/>
                <w:color w:val="auto"/>
                <w:spacing w:val="8"/>
              </w:rPr>
            </w:pPr>
            <w:r>
              <w:t>吉林省通化市通化县</w:t>
            </w:r>
          </w:p>
        </w:tc>
      </w:tr>
      <w:tr w14:paraId="69FAB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0"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AFAEA9">
            <w:pPr>
              <w:widowControl/>
              <w:topLinePunct/>
              <w:autoSpaceDN w:val="0"/>
              <w:adjustRightInd w:val="0"/>
              <w:snapToGrid w:val="0"/>
              <w:spacing w:line="360" w:lineRule="auto"/>
              <w:jc w:val="center"/>
              <w:rPr>
                <w:rFonts w:ascii="宋体" w:hAnsi="宋体" w:eastAsia="宋体" w:cs="宋体"/>
                <w:sz w:val="24"/>
              </w:rPr>
            </w:pPr>
          </w:p>
          <w:p w14:paraId="61C08C8E">
            <w:pPr>
              <w:pStyle w:val="24"/>
              <w:kinsoku/>
              <w:topLinePunct/>
              <w:autoSpaceDE/>
              <w:spacing w:before="65" w:line="360" w:lineRule="auto"/>
              <w:jc w:val="center"/>
              <w:rPr>
                <w:rFonts w:hint="default"/>
              </w:rPr>
            </w:pPr>
            <w:r>
              <w:t>1.1.6</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587EBA">
            <w:pPr>
              <w:pStyle w:val="24"/>
              <w:kinsoku/>
              <w:topLinePunct/>
              <w:autoSpaceDE/>
              <w:rPr>
                <w:rFonts w:hint="default"/>
              </w:rPr>
            </w:pPr>
          </w:p>
          <w:p w14:paraId="04584D1A">
            <w:pPr>
              <w:pStyle w:val="24"/>
              <w:kinsoku/>
              <w:topLinePunct/>
              <w:autoSpaceDE/>
              <w:rPr>
                <w:rFonts w:hint="default"/>
              </w:rPr>
            </w:pPr>
            <w:r>
              <w:t>监理范围</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22B919">
            <w:pPr>
              <w:pStyle w:val="24"/>
              <w:kinsoku/>
              <w:topLinePunct/>
              <w:autoSpaceDE/>
              <w:ind w:firstLine="1"/>
              <w:jc w:val="both"/>
              <w:rPr>
                <w:rFonts w:hint="default"/>
              </w:rPr>
            </w:pPr>
            <w:r>
              <w:t>通化县2025年侵蚀沟治理项目（大泉源乡、英额布镇、富江乡治理项目区）工程监理服务工作，包含但不限于施工准备阶段、施工阶段、工程竣工验收阶段、竣工资料整理、竣工结算等阶段提供全过程监理服务。</w:t>
            </w:r>
          </w:p>
        </w:tc>
      </w:tr>
      <w:tr w14:paraId="3CD7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45110F">
            <w:pPr>
              <w:pStyle w:val="24"/>
              <w:kinsoku/>
              <w:topLinePunct/>
              <w:autoSpaceDE/>
              <w:spacing w:before="185" w:line="360" w:lineRule="auto"/>
              <w:jc w:val="center"/>
              <w:rPr>
                <w:rFonts w:hint="default"/>
              </w:rPr>
            </w:pPr>
            <w:r>
              <w:t>1.1.7</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6DC71D">
            <w:pPr>
              <w:pStyle w:val="24"/>
              <w:kinsoku/>
              <w:topLinePunct/>
              <w:autoSpaceDE/>
              <w:rPr>
                <w:rFonts w:hint="default"/>
              </w:rPr>
            </w:pPr>
            <w:r>
              <w:t>预算金额</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58527E">
            <w:pPr>
              <w:pStyle w:val="24"/>
              <w:kinsoku/>
              <w:topLinePunct/>
              <w:autoSpaceDE/>
              <w:rPr>
                <w:rFonts w:hint="default"/>
                <w:color w:val="auto"/>
              </w:rPr>
            </w:pPr>
            <w:r>
              <w:rPr>
                <w:color w:val="auto"/>
              </w:rPr>
              <w:t>480600.00元</w:t>
            </w:r>
          </w:p>
        </w:tc>
      </w:tr>
      <w:tr w14:paraId="03F5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6"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876A0A">
            <w:pPr>
              <w:pStyle w:val="24"/>
              <w:kinsoku/>
              <w:topLinePunct/>
              <w:autoSpaceDE/>
              <w:spacing w:before="154" w:line="360" w:lineRule="auto"/>
              <w:jc w:val="center"/>
              <w:rPr>
                <w:rFonts w:hint="default"/>
              </w:rPr>
            </w:pPr>
            <w:r>
              <w:rPr>
                <w:position w:val="1"/>
              </w:rPr>
              <w:t>l.2.1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C83BEB">
            <w:pPr>
              <w:pStyle w:val="24"/>
              <w:kinsoku/>
              <w:topLinePunct/>
              <w:autoSpaceDE/>
              <w:rPr>
                <w:rFonts w:hint="default"/>
              </w:rPr>
            </w:pPr>
            <w:r>
              <w:t>资金来源及比例</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6F7792">
            <w:pPr>
              <w:pStyle w:val="24"/>
              <w:kinsoku/>
              <w:topLinePunct/>
              <w:autoSpaceDE/>
              <w:rPr>
                <w:rFonts w:hint="default"/>
              </w:rPr>
            </w:pPr>
            <w:r>
              <w:rPr>
                <w:szCs w:val="21"/>
              </w:rPr>
              <w:t>财政资金</w:t>
            </w:r>
            <w:r>
              <w:rPr>
                <w:spacing w:val="5"/>
              </w:rPr>
              <w:t>，出资比例100%</w:t>
            </w:r>
          </w:p>
        </w:tc>
      </w:tr>
      <w:tr w14:paraId="694B2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AE0239">
            <w:pPr>
              <w:pStyle w:val="24"/>
              <w:kinsoku/>
              <w:topLinePunct/>
              <w:autoSpaceDE/>
              <w:spacing w:before="187" w:line="360" w:lineRule="auto"/>
              <w:jc w:val="center"/>
              <w:rPr>
                <w:rFonts w:hint="default"/>
              </w:rPr>
            </w:pPr>
            <w:r>
              <w:t>1.2.2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2FA802">
            <w:pPr>
              <w:pStyle w:val="24"/>
              <w:kinsoku/>
              <w:topLinePunct/>
              <w:autoSpaceDE/>
              <w:rPr>
                <w:rFonts w:hint="default"/>
              </w:rPr>
            </w:pPr>
            <w:r>
              <w:t>资金落实情况</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296459">
            <w:pPr>
              <w:pStyle w:val="24"/>
              <w:kinsoku/>
              <w:topLinePunct/>
              <w:autoSpaceDE/>
              <w:rPr>
                <w:rFonts w:hint="default"/>
              </w:rPr>
            </w:pPr>
            <w:r>
              <w:rPr>
                <w:spacing w:val="-1"/>
              </w:rPr>
              <w:t>已落实</w:t>
            </w:r>
          </w:p>
        </w:tc>
      </w:tr>
      <w:tr w14:paraId="4644C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C9B737">
            <w:pPr>
              <w:pStyle w:val="24"/>
              <w:kinsoku/>
              <w:topLinePunct/>
              <w:autoSpaceDE/>
              <w:spacing w:before="202" w:line="360" w:lineRule="auto"/>
              <w:jc w:val="center"/>
              <w:rPr>
                <w:rFonts w:hint="default"/>
              </w:rPr>
            </w:pPr>
            <w:r>
              <w:t>1.3.1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450952">
            <w:pPr>
              <w:pStyle w:val="24"/>
              <w:kinsoku/>
              <w:topLinePunct/>
              <w:autoSpaceDE/>
              <w:rPr>
                <w:rFonts w:hint="default"/>
              </w:rPr>
            </w:pPr>
            <w:r>
              <w:t>监理周期</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8AD7E9">
            <w:pPr>
              <w:pStyle w:val="24"/>
              <w:kinsoku/>
              <w:topLinePunct/>
              <w:autoSpaceDE/>
              <w:rPr>
                <w:rFonts w:hint="default"/>
              </w:rPr>
            </w:pPr>
            <w:r>
              <w:t>自监理合同签订之日起至工程竣工验收合格之日止</w:t>
            </w:r>
          </w:p>
        </w:tc>
      </w:tr>
      <w:tr w14:paraId="32B77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F855C7">
            <w:pPr>
              <w:pStyle w:val="24"/>
              <w:kinsoku/>
              <w:topLinePunct/>
              <w:autoSpaceDE/>
              <w:spacing w:before="185" w:line="360" w:lineRule="auto"/>
              <w:jc w:val="center"/>
              <w:rPr>
                <w:rFonts w:hint="default"/>
              </w:rPr>
            </w:pPr>
            <w:r>
              <w:t>1.3.2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D0C942">
            <w:pPr>
              <w:pStyle w:val="24"/>
              <w:kinsoku/>
              <w:topLinePunct/>
              <w:autoSpaceDE/>
              <w:rPr>
                <w:rFonts w:hint="default"/>
              </w:rPr>
            </w:pPr>
            <w:r>
              <w:t>质量标准</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F1F81C">
            <w:pPr>
              <w:pStyle w:val="24"/>
              <w:kinsoku/>
              <w:topLinePunct/>
              <w:autoSpaceDE/>
              <w:rPr>
                <w:rFonts w:hint="default"/>
              </w:rPr>
            </w:pPr>
            <w:r>
              <w:rPr>
                <w:spacing w:val="8"/>
              </w:rPr>
              <w:t>符合国家现行标准《建设工程监理规范》要求。</w:t>
            </w:r>
          </w:p>
        </w:tc>
      </w:tr>
      <w:tr w14:paraId="6BFE7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9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B7935B">
            <w:pPr>
              <w:pStyle w:val="24"/>
              <w:kinsoku/>
              <w:topLinePunct/>
              <w:autoSpaceDE/>
              <w:spacing w:before="185" w:line="360" w:lineRule="auto"/>
              <w:jc w:val="center"/>
              <w:rPr>
                <w:rFonts w:hint="default"/>
              </w:rPr>
            </w:pPr>
            <w:r>
              <w:t>1.4.1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147925">
            <w:pPr>
              <w:pStyle w:val="24"/>
              <w:kinsoku/>
              <w:topLinePunct/>
              <w:autoSpaceDE/>
              <w:rPr>
                <w:rFonts w:hint="default"/>
              </w:rPr>
            </w:pPr>
            <w:r>
              <w:rPr>
                <w:spacing w:val="8"/>
              </w:rPr>
              <w:t>供应商资质条件、能力</w:t>
            </w:r>
            <w:r>
              <w:rPr>
                <w:spacing w:val="6"/>
              </w:rPr>
              <w:t>和信誉</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979D19">
            <w:pPr>
              <w:pStyle w:val="24"/>
              <w:kinsoku/>
              <w:topLinePunct/>
              <w:autoSpaceDE/>
              <w:rPr>
                <w:rFonts w:hint="default"/>
                <w:spacing w:val="8"/>
              </w:rPr>
            </w:pPr>
            <w:r>
              <w:rPr>
                <w:spacing w:val="8"/>
              </w:rPr>
              <w:t>1.满足《中华人民共和国政府采购法》第二十二条规定；</w:t>
            </w:r>
          </w:p>
          <w:p w14:paraId="3D30D485">
            <w:pPr>
              <w:pStyle w:val="24"/>
              <w:kinsoku/>
              <w:topLinePunct/>
              <w:autoSpaceDE/>
              <w:rPr>
                <w:rFonts w:hint="default"/>
                <w:spacing w:val="8"/>
              </w:rPr>
            </w:pPr>
            <w:r>
              <w:rPr>
                <w:spacing w:val="8"/>
              </w:rPr>
              <w:t>2.落实政府采购政策需满足的资格要求：本项目专门面向中小企业采购，供应商应为中小微企业或监狱企业或残疾人福利性单位；</w:t>
            </w:r>
          </w:p>
          <w:p w14:paraId="70C64E17">
            <w:pPr>
              <w:pStyle w:val="24"/>
              <w:kinsoku/>
              <w:topLinePunct/>
              <w:autoSpaceDE/>
              <w:rPr>
                <w:rFonts w:hint="default"/>
                <w:spacing w:val="8"/>
              </w:rPr>
            </w:pPr>
            <w:r>
              <w:rPr>
                <w:spacing w:val="8"/>
              </w:rPr>
              <w:t>3.本项目的特定资格要求：</w:t>
            </w:r>
          </w:p>
          <w:p w14:paraId="059D8A61">
            <w:pPr>
              <w:pStyle w:val="24"/>
              <w:kinsoku/>
              <w:topLinePunct/>
              <w:autoSpaceDE/>
              <w:rPr>
                <w:rFonts w:hint="default"/>
                <w:spacing w:val="8"/>
              </w:rPr>
            </w:pPr>
            <w:r>
              <w:rPr>
                <w:spacing w:val="8"/>
              </w:rPr>
              <w:t>（1）供应商须是具备行业主管部门核发的水土保持工程施工监理专业乙级及以上资质的独立法人，并具有履行合同所必需的设备和专业技术能力；</w:t>
            </w:r>
          </w:p>
          <w:p w14:paraId="1B5FD2C5">
            <w:pPr>
              <w:pStyle w:val="24"/>
              <w:kinsoku/>
              <w:topLinePunct/>
              <w:autoSpaceDE/>
              <w:rPr>
                <w:rFonts w:hint="default"/>
                <w:spacing w:val="8"/>
              </w:rPr>
            </w:pPr>
            <w:r>
              <w:rPr>
                <w:spacing w:val="8"/>
              </w:rPr>
              <w:t>（2）供应商拟派出的总监理工程师须具备水利工程监理工程师注册证书。</w:t>
            </w:r>
          </w:p>
          <w:p w14:paraId="039FAE64">
            <w:pPr>
              <w:pStyle w:val="24"/>
              <w:kinsoku/>
              <w:topLinePunct/>
              <w:autoSpaceDE/>
              <w:rPr>
                <w:rFonts w:hint="default"/>
                <w:spacing w:val="8"/>
              </w:rPr>
            </w:pPr>
            <w:r>
              <w:rPr>
                <w:spacing w:val="8"/>
              </w:rPr>
              <w:t>（3）信用要求未被工商行政管理机关在全国企业信用信息公示系统（http://www.gsxt.gov.cn/index.html）中列入严重违法失信企业名单；未被最高人民法院在“信用中国”网站（www.creditchina.gov.cn）或各级信用信息共享平台列入失信被执行人名单；供应商、法定代表人、总监理工程师在中国裁判文书网无行贿犯罪记录。</w:t>
            </w:r>
          </w:p>
          <w:p w14:paraId="7595D712">
            <w:pPr>
              <w:pStyle w:val="24"/>
              <w:kinsoku/>
              <w:topLinePunct/>
              <w:autoSpaceDE/>
              <w:rPr>
                <w:rFonts w:hint="default"/>
              </w:rPr>
            </w:pPr>
            <w:r>
              <w:rPr>
                <w:spacing w:val="8"/>
              </w:rPr>
              <w:t>（4）拒绝列入政府不良行为记录期间的企业或个人投标；</w:t>
            </w:r>
          </w:p>
        </w:tc>
      </w:tr>
      <w:tr w14:paraId="06CA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66643F82">
            <w:pPr>
              <w:pStyle w:val="24"/>
              <w:kinsoku/>
              <w:topLinePunct/>
              <w:autoSpaceDE/>
              <w:spacing w:before="185" w:line="360" w:lineRule="auto"/>
              <w:jc w:val="center"/>
              <w:rPr>
                <w:rFonts w:hint="default"/>
              </w:rPr>
            </w:pPr>
            <w:r>
              <w:t>1.4.2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59086D">
            <w:pPr>
              <w:pStyle w:val="24"/>
              <w:kinsoku/>
              <w:topLinePunct/>
              <w:autoSpaceDE/>
              <w:rPr>
                <w:rFonts w:hint="default"/>
              </w:rPr>
            </w:pPr>
            <w:r>
              <w:t>是否接受联合体投标</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4E1839">
            <w:pPr>
              <w:pStyle w:val="24"/>
              <w:kinsoku/>
              <w:topLinePunct/>
              <w:autoSpaceDE/>
              <w:rPr>
                <w:rFonts w:hint="default"/>
              </w:rPr>
            </w:pPr>
            <w:r>
              <w:rPr>
                <w:spacing w:val="4"/>
              </w:rPr>
              <w:t>不接受。</w:t>
            </w:r>
          </w:p>
        </w:tc>
      </w:tr>
      <w:tr w14:paraId="3060B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75CD79E">
            <w:pPr>
              <w:pStyle w:val="24"/>
              <w:kinsoku/>
              <w:topLinePunct/>
              <w:autoSpaceDE/>
              <w:spacing w:before="65" w:line="360" w:lineRule="auto"/>
              <w:jc w:val="center"/>
              <w:rPr>
                <w:rFonts w:hint="default"/>
              </w:rPr>
            </w:pPr>
            <w:r>
              <w:t>1.9.1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0CF67B">
            <w:pPr>
              <w:pStyle w:val="24"/>
              <w:kinsoku/>
              <w:topLinePunct/>
              <w:autoSpaceDE/>
              <w:rPr>
                <w:rFonts w:hint="default"/>
              </w:rPr>
            </w:pPr>
            <w:r>
              <w:t>踏勘现场</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CD1D7E">
            <w:pPr>
              <w:pStyle w:val="24"/>
              <w:kinsoku/>
              <w:topLinePunct/>
              <w:autoSpaceDE/>
              <w:rPr>
                <w:rFonts w:hint="default"/>
              </w:rPr>
            </w:pPr>
            <w:r>
              <w:drawing>
                <wp:inline distT="0" distB="0" distL="114300" distR="114300">
                  <wp:extent cx="180975" cy="123825"/>
                  <wp:effectExtent l="0" t="0" r="9525" b="9525"/>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pic:cNvPicPr>
                        </pic:nvPicPr>
                        <pic:blipFill>
                          <a:blip r:embed="rId6"/>
                          <a:stretch>
                            <a:fillRect/>
                          </a:stretch>
                        </pic:blipFill>
                        <pic:spPr>
                          <a:xfrm>
                            <a:off x="0" y="0"/>
                            <a:ext cx="180975" cy="123825"/>
                          </a:xfrm>
                          <a:prstGeom prst="rect">
                            <a:avLst/>
                          </a:prstGeom>
                          <a:noFill/>
                          <a:ln>
                            <a:noFill/>
                          </a:ln>
                        </pic:spPr>
                      </pic:pic>
                    </a:graphicData>
                  </a:graphic>
                </wp:inline>
              </w:drawing>
            </w:r>
            <w:r>
              <w:rPr>
                <w:spacing w:val="9"/>
              </w:rPr>
              <w:t>不组织（供应商自行踏勘现场）</w:t>
            </w:r>
          </w:p>
          <w:p w14:paraId="65777D6E">
            <w:pPr>
              <w:pStyle w:val="24"/>
              <w:kinsoku/>
              <w:topLinePunct/>
              <w:autoSpaceDE/>
              <w:rPr>
                <w:rFonts w:hint="default"/>
              </w:rPr>
            </w:pPr>
            <w:r>
              <w:rPr>
                <w:spacing w:val="5"/>
              </w:rPr>
              <w:t>□组织，踏勘时间：</w:t>
            </w:r>
          </w:p>
          <w:p w14:paraId="7CC3CEC9">
            <w:pPr>
              <w:pStyle w:val="24"/>
              <w:kinsoku/>
              <w:topLinePunct/>
              <w:autoSpaceDE/>
              <w:rPr>
                <w:rFonts w:hint="default"/>
              </w:rPr>
            </w:pPr>
            <w:r>
              <w:rPr>
                <w:spacing w:val="6"/>
              </w:rPr>
              <w:t>踏勘集中地点：</w:t>
            </w:r>
          </w:p>
        </w:tc>
      </w:tr>
      <w:tr w14:paraId="752A4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3"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21986A3F">
            <w:pPr>
              <w:pStyle w:val="24"/>
              <w:kinsoku/>
              <w:topLinePunct/>
              <w:autoSpaceDE/>
              <w:spacing w:before="187" w:line="360" w:lineRule="auto"/>
              <w:rPr>
                <w:rFonts w:hint="default"/>
              </w:rPr>
            </w:pPr>
            <w:r>
              <w:rPr>
                <w:spacing w:val="1"/>
              </w:rPr>
              <w:t>1.10.1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62E67B">
            <w:pPr>
              <w:pStyle w:val="24"/>
              <w:kinsoku/>
              <w:topLinePunct/>
              <w:autoSpaceDE/>
              <w:rPr>
                <w:rFonts w:hint="default"/>
              </w:rPr>
            </w:pPr>
            <w:r>
              <w:t>投标预备会</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61525D">
            <w:pPr>
              <w:pStyle w:val="24"/>
              <w:kinsoku/>
              <w:topLinePunct/>
              <w:autoSpaceDE/>
              <w:rPr>
                <w:rFonts w:hint="default"/>
              </w:rPr>
            </w:pPr>
            <w:r>
              <w:rPr>
                <w:spacing w:val="5"/>
              </w:rPr>
              <w:t>不召开</w:t>
            </w:r>
          </w:p>
        </w:tc>
      </w:tr>
      <w:tr w14:paraId="5F053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505A0B8B">
            <w:pPr>
              <w:pStyle w:val="24"/>
              <w:kinsoku/>
              <w:topLinePunct/>
              <w:autoSpaceDE/>
              <w:spacing w:before="272" w:line="360" w:lineRule="auto"/>
              <w:rPr>
                <w:rFonts w:hint="default"/>
              </w:rPr>
            </w:pPr>
            <w:r>
              <w:rPr>
                <w:spacing w:val="1"/>
              </w:rPr>
              <w:t>1.10.2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C93DE2">
            <w:pPr>
              <w:pStyle w:val="24"/>
              <w:kinsoku/>
              <w:topLinePunct/>
              <w:autoSpaceDE/>
              <w:rPr>
                <w:rFonts w:hint="default"/>
              </w:rPr>
            </w:pPr>
            <w:r>
              <w:t>供应商提出问题的截止时间</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84F094">
            <w:pPr>
              <w:pStyle w:val="24"/>
              <w:kinsoku/>
              <w:topLinePunct/>
              <w:autoSpaceDE/>
              <w:rPr>
                <w:rFonts w:hint="default"/>
              </w:rPr>
            </w:pPr>
            <w:r>
              <w:t>如对竞争性磋商文件有异议,请于竞争性磋商文件发布之日起7个工作日内提出书面质疑,逾期不予处理理。</w:t>
            </w:r>
          </w:p>
        </w:tc>
      </w:tr>
      <w:tr w14:paraId="03754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CC2EFC">
            <w:pPr>
              <w:pStyle w:val="24"/>
              <w:kinsoku/>
              <w:topLinePunct/>
              <w:autoSpaceDE/>
              <w:spacing w:before="187" w:line="360" w:lineRule="auto"/>
              <w:jc w:val="center"/>
              <w:rPr>
                <w:rFonts w:hint="default"/>
              </w:rPr>
            </w:pPr>
            <w:r>
              <w:rPr>
                <w:spacing w:val="1"/>
              </w:rPr>
              <w:t>1.10.3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B3F9BE">
            <w:pPr>
              <w:pStyle w:val="24"/>
              <w:kinsoku/>
              <w:topLinePunct/>
              <w:autoSpaceDE/>
              <w:rPr>
                <w:rFonts w:hint="default"/>
              </w:rPr>
            </w:pPr>
            <w:r>
              <w:t>采购人书面澄清的时间</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D7DC5A">
            <w:pPr>
              <w:pStyle w:val="24"/>
              <w:kinsoku/>
              <w:topLinePunct/>
              <w:autoSpaceDE/>
              <w:rPr>
                <w:rFonts w:hint="default"/>
              </w:rPr>
            </w:pPr>
            <w: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35D8B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6"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4C698984">
            <w:pPr>
              <w:pStyle w:val="24"/>
              <w:kinsoku/>
              <w:topLinePunct/>
              <w:autoSpaceDE/>
              <w:spacing w:before="188" w:line="360" w:lineRule="auto"/>
              <w:jc w:val="center"/>
              <w:rPr>
                <w:rFonts w:hint="default"/>
              </w:rPr>
            </w:pPr>
            <w:r>
              <w:rPr>
                <w:spacing w:val="1"/>
              </w:rPr>
              <w:t>1.11.1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37DBAE">
            <w:pPr>
              <w:pStyle w:val="24"/>
              <w:kinsoku/>
              <w:topLinePunct/>
              <w:autoSpaceDE/>
              <w:rPr>
                <w:rFonts w:hint="default"/>
              </w:rPr>
            </w:pPr>
            <w:r>
              <w:t>分包</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082D67">
            <w:pPr>
              <w:pStyle w:val="24"/>
              <w:kinsoku/>
              <w:topLinePunct/>
              <w:autoSpaceDE/>
              <w:rPr>
                <w:rFonts w:hint="default"/>
              </w:rPr>
            </w:pPr>
            <w:r>
              <w:rPr>
                <w:spacing w:val="5"/>
              </w:rPr>
              <w:t>不允许</w:t>
            </w:r>
          </w:p>
        </w:tc>
      </w:tr>
      <w:tr w14:paraId="57B0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3D0865CD">
            <w:pPr>
              <w:pStyle w:val="24"/>
              <w:kinsoku/>
              <w:topLinePunct/>
              <w:autoSpaceDE/>
              <w:spacing w:before="186" w:line="360" w:lineRule="auto"/>
              <w:jc w:val="center"/>
              <w:rPr>
                <w:rFonts w:hint="default"/>
                <w:spacing w:val="1"/>
              </w:rPr>
            </w:pPr>
            <w:r>
              <w:rPr>
                <w:spacing w:val="1"/>
              </w:rPr>
              <w:t>1.12.1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F5E75B">
            <w:pPr>
              <w:pStyle w:val="24"/>
              <w:kinsoku/>
              <w:topLinePunct/>
              <w:autoSpaceDE/>
              <w:rPr>
                <w:rFonts w:hint="default"/>
              </w:rPr>
            </w:pPr>
            <w:r>
              <w:t>偏差</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EB2297">
            <w:pPr>
              <w:pStyle w:val="24"/>
              <w:kinsoku/>
              <w:topLinePunct/>
              <w:autoSpaceDE/>
              <w:rPr>
                <w:rFonts w:hint="default"/>
                <w:spacing w:val="5"/>
              </w:rPr>
            </w:pPr>
            <w:r>
              <w:rPr>
                <w:spacing w:val="5"/>
              </w:rPr>
              <w:t>不允许</w:t>
            </w:r>
          </w:p>
        </w:tc>
      </w:tr>
      <w:tr w14:paraId="7BCBD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7"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058F3750">
            <w:pPr>
              <w:pStyle w:val="24"/>
              <w:kinsoku/>
              <w:topLinePunct/>
              <w:autoSpaceDE/>
              <w:spacing w:before="268" w:line="360" w:lineRule="auto"/>
              <w:jc w:val="center"/>
              <w:rPr>
                <w:rFonts w:hint="default"/>
                <w:spacing w:val="1"/>
              </w:rPr>
            </w:pPr>
            <w:r>
              <w:rPr>
                <w:spacing w:val="1"/>
              </w:rPr>
              <w:t>2.1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7D8C50">
            <w:pPr>
              <w:pStyle w:val="24"/>
              <w:kinsoku/>
              <w:topLinePunct/>
              <w:autoSpaceDE/>
              <w:rPr>
                <w:rFonts w:hint="default"/>
              </w:rPr>
            </w:pPr>
            <w:r>
              <w:t>构成磋商文件的其他材料</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309F83">
            <w:pPr>
              <w:pStyle w:val="24"/>
              <w:kinsoku/>
              <w:topLinePunct/>
              <w:autoSpaceDE/>
              <w:rPr>
                <w:rFonts w:hint="default"/>
                <w:spacing w:val="5"/>
              </w:rPr>
            </w:pPr>
            <w:r>
              <w:rPr>
                <w:spacing w:val="9"/>
              </w:rPr>
              <w:t>答疑（如有）、补遗文件（如有）等</w:t>
            </w:r>
          </w:p>
        </w:tc>
      </w:tr>
      <w:tr w14:paraId="41CA4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23"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27FCE6">
            <w:pPr>
              <w:pStyle w:val="24"/>
              <w:kinsoku/>
              <w:topLinePunct/>
              <w:autoSpaceDE/>
              <w:spacing w:before="65" w:line="360" w:lineRule="auto"/>
              <w:jc w:val="center"/>
              <w:rPr>
                <w:rFonts w:hint="default"/>
                <w:spacing w:val="1"/>
              </w:rPr>
            </w:pPr>
            <w:r>
              <w:rPr>
                <w:spacing w:val="2"/>
              </w:rPr>
              <w:t>2.2.2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46BFFA">
            <w:pPr>
              <w:pStyle w:val="24"/>
              <w:kinsoku/>
              <w:topLinePunct/>
              <w:autoSpaceDE/>
              <w:rPr>
                <w:rFonts w:hint="default"/>
              </w:rPr>
            </w:pPr>
            <w:r>
              <w:t>磋商文件澄清发出的形式</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6372B4">
            <w:pPr>
              <w:pStyle w:val="24"/>
              <w:kinsoku/>
              <w:topLinePunct/>
              <w:autoSpaceDE/>
              <w:ind w:hanging="4"/>
              <w:jc w:val="both"/>
              <w:rPr>
                <w:rFonts w:hint="default"/>
                <w:spacing w:val="5"/>
              </w:rPr>
            </w:pPr>
            <w:r>
              <w:rPr>
                <w:spacing w:val="-2"/>
              </w:rPr>
              <w:t>在“政采云”平台（https://www.zcygov.cn/）中发布，供应商无需</w:t>
            </w:r>
            <w:r>
              <w:rPr>
                <w:spacing w:val="3"/>
              </w:rPr>
              <w:t>回复确认。因供应商自身原因未能及时查阅所导致</w:t>
            </w:r>
            <w:r>
              <w:rPr>
                <w:spacing w:val="2"/>
              </w:rPr>
              <w:t>的对本项目有</w:t>
            </w:r>
            <w:r>
              <w:rPr>
                <w:spacing w:val="-1"/>
              </w:rPr>
              <w:t>关文件理解错误由供应商自行承担。</w:t>
            </w:r>
          </w:p>
        </w:tc>
      </w:tr>
      <w:tr w14:paraId="7FD5C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F256BA">
            <w:pPr>
              <w:pStyle w:val="24"/>
              <w:kinsoku/>
              <w:topLinePunct/>
              <w:autoSpaceDE/>
              <w:spacing w:before="269" w:line="360" w:lineRule="auto"/>
              <w:jc w:val="center"/>
              <w:rPr>
                <w:rFonts w:hint="default"/>
                <w:spacing w:val="1"/>
              </w:rPr>
            </w:pPr>
            <w:r>
              <w:rPr>
                <w:spacing w:val="2"/>
              </w:rPr>
              <w:t>2.2.3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3E91E3">
            <w:pPr>
              <w:pStyle w:val="24"/>
              <w:kinsoku/>
              <w:topLinePunct/>
              <w:autoSpaceDE/>
              <w:rPr>
                <w:rFonts w:hint="default"/>
              </w:rPr>
            </w:pPr>
            <w:r>
              <w:t>供应商确认收到磋商文件澄清的时间</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77EF73">
            <w:pPr>
              <w:pStyle w:val="24"/>
              <w:kinsoku/>
              <w:topLinePunct/>
              <w:autoSpaceDE/>
              <w:rPr>
                <w:rFonts w:hint="default"/>
                <w:spacing w:val="5"/>
              </w:rPr>
            </w:pPr>
            <w:r>
              <w:rPr>
                <w:spacing w:val="2"/>
              </w:rPr>
              <w:t>24小时内。</w:t>
            </w:r>
          </w:p>
        </w:tc>
      </w:tr>
      <w:tr w14:paraId="75458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56"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3B5E57">
            <w:pPr>
              <w:pStyle w:val="24"/>
              <w:kinsoku/>
              <w:topLinePunct/>
              <w:autoSpaceDE/>
              <w:spacing w:before="65" w:line="360" w:lineRule="auto"/>
              <w:jc w:val="center"/>
              <w:rPr>
                <w:rFonts w:hint="default"/>
                <w:spacing w:val="1"/>
              </w:rPr>
            </w:pPr>
            <w:r>
              <w:rPr>
                <w:spacing w:val="2"/>
              </w:rPr>
              <w:t>2.3.1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B44E7A">
            <w:pPr>
              <w:pStyle w:val="24"/>
              <w:kinsoku/>
              <w:topLinePunct/>
              <w:autoSpaceDE/>
              <w:rPr>
                <w:rFonts w:hint="default"/>
              </w:rPr>
            </w:pPr>
            <w:r>
              <w:t>磋商文件修改发出的形式</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A9CFCC">
            <w:pPr>
              <w:pStyle w:val="24"/>
              <w:kinsoku/>
              <w:topLinePunct/>
              <w:autoSpaceDE/>
              <w:ind w:hanging="22"/>
              <w:jc w:val="both"/>
              <w:rPr>
                <w:rFonts w:hint="default"/>
                <w:spacing w:val="5"/>
              </w:rPr>
            </w:pPr>
            <w:r>
              <w:rPr>
                <w:spacing w:val="-2"/>
              </w:rPr>
              <w:t>在“政采云”平台（https://www.zcygov.cn/）中发布，供应商无需</w:t>
            </w:r>
            <w:r>
              <w:rPr>
                <w:spacing w:val="2"/>
              </w:rPr>
              <w:t>回复确认。因供应商自身原因未能及时查阅所导致的对本项目有</w:t>
            </w:r>
            <w:r>
              <w:rPr>
                <w:spacing w:val="-1"/>
              </w:rPr>
              <w:t>关文件理解错误由供应商自行承担。</w:t>
            </w:r>
          </w:p>
        </w:tc>
      </w:tr>
      <w:tr w14:paraId="4F06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DC1DBC">
            <w:pPr>
              <w:pStyle w:val="24"/>
              <w:kinsoku/>
              <w:topLinePunct/>
              <w:autoSpaceDE/>
              <w:spacing w:before="271" w:line="360" w:lineRule="auto"/>
              <w:jc w:val="center"/>
              <w:rPr>
                <w:rFonts w:hint="default"/>
                <w:spacing w:val="1"/>
              </w:rPr>
            </w:pPr>
            <w:r>
              <w:rPr>
                <w:spacing w:val="2"/>
              </w:rPr>
              <w:t>2.3.2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E437D3">
            <w:pPr>
              <w:pStyle w:val="24"/>
              <w:kinsoku/>
              <w:topLinePunct/>
              <w:autoSpaceDE/>
              <w:rPr>
                <w:rFonts w:hint="default"/>
              </w:rPr>
            </w:pPr>
            <w:r>
              <w:t>供应商确认收到磋商文件修改的时间</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30C4C3">
            <w:pPr>
              <w:pStyle w:val="24"/>
              <w:kinsoku/>
              <w:topLinePunct/>
              <w:autoSpaceDE/>
              <w:rPr>
                <w:rFonts w:hint="default"/>
                <w:spacing w:val="5"/>
              </w:rPr>
            </w:pPr>
            <w:r>
              <w:rPr>
                <w:spacing w:val="2"/>
              </w:rPr>
              <w:t>24小时内</w:t>
            </w:r>
          </w:p>
        </w:tc>
      </w:tr>
      <w:tr w14:paraId="51BEB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BCC0C9">
            <w:pPr>
              <w:pStyle w:val="24"/>
              <w:kinsoku/>
              <w:topLinePunct/>
              <w:autoSpaceDE/>
              <w:spacing w:before="65" w:line="360" w:lineRule="auto"/>
              <w:jc w:val="center"/>
              <w:rPr>
                <w:rFonts w:hint="default"/>
                <w:spacing w:val="1"/>
              </w:rPr>
            </w:pPr>
            <w:r>
              <w:rPr>
                <w:spacing w:val="2"/>
              </w:rPr>
              <w:t>3.1.1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855E00">
            <w:pPr>
              <w:pStyle w:val="24"/>
              <w:kinsoku/>
              <w:topLinePunct/>
              <w:autoSpaceDE/>
              <w:rPr>
                <w:rFonts w:hint="default"/>
              </w:rPr>
            </w:pPr>
            <w:r>
              <w:t>构成响应文件的</w:t>
            </w:r>
          </w:p>
          <w:p w14:paraId="27C3CDE3">
            <w:pPr>
              <w:pStyle w:val="24"/>
              <w:kinsoku/>
              <w:topLinePunct/>
              <w:autoSpaceDE/>
              <w:rPr>
                <w:rFonts w:hint="default"/>
              </w:rPr>
            </w:pPr>
            <w:r>
              <w:t>其他材料</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6F5B3F">
            <w:pPr>
              <w:pStyle w:val="24"/>
              <w:kinsoku/>
              <w:topLinePunct/>
              <w:autoSpaceDE/>
              <w:ind w:firstLine="4"/>
              <w:rPr>
                <w:rFonts w:hint="default"/>
              </w:rPr>
            </w:pPr>
            <w:r>
              <w:rPr>
                <w:spacing w:val="8"/>
              </w:rPr>
              <w:t>企业法人营业执照副本、资质证书副本、总监理工程师证书等</w:t>
            </w:r>
            <w:r>
              <w:rPr>
                <w:spacing w:val="7"/>
              </w:rPr>
              <w:t>扫描件</w:t>
            </w:r>
            <w:r>
              <w:rPr>
                <w:spacing w:val="6"/>
              </w:rPr>
              <w:t>及证明资料。</w:t>
            </w:r>
          </w:p>
          <w:p w14:paraId="18D2A3DA">
            <w:pPr>
              <w:pStyle w:val="24"/>
              <w:kinsoku/>
              <w:topLinePunct/>
              <w:autoSpaceDE/>
              <w:rPr>
                <w:rFonts w:hint="default"/>
                <w:spacing w:val="5"/>
              </w:rPr>
            </w:pPr>
            <w:r>
              <w:rPr>
                <w:spacing w:val="9"/>
              </w:rPr>
              <w:t>所有证件的扫描件必须复印清楚、清晰后再装订在响应文件中。</w:t>
            </w:r>
          </w:p>
        </w:tc>
      </w:tr>
      <w:tr w14:paraId="3A992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7"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05CD9D0E">
            <w:pPr>
              <w:pStyle w:val="24"/>
              <w:kinsoku/>
              <w:topLinePunct/>
              <w:autoSpaceDE/>
              <w:spacing w:before="219" w:line="360" w:lineRule="auto"/>
              <w:jc w:val="center"/>
              <w:rPr>
                <w:rFonts w:hint="default"/>
                <w:spacing w:val="1"/>
              </w:rPr>
            </w:pPr>
            <w:r>
              <w:rPr>
                <w:spacing w:val="2"/>
              </w:rPr>
              <w:t>3.2.1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381409">
            <w:pPr>
              <w:pStyle w:val="24"/>
              <w:kinsoku/>
              <w:topLinePunct/>
              <w:autoSpaceDE/>
              <w:rPr>
                <w:rFonts w:hint="default"/>
              </w:rPr>
            </w:pPr>
            <w:r>
              <w:t>增值税税金的计算方法</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DC6A52">
            <w:pPr>
              <w:pStyle w:val="24"/>
              <w:kinsoku/>
              <w:topLinePunct/>
              <w:autoSpaceDE/>
              <w:rPr>
                <w:rFonts w:hint="default"/>
                <w:spacing w:val="5"/>
              </w:rPr>
            </w:pPr>
            <w:r>
              <w:t>/</w:t>
            </w:r>
          </w:p>
        </w:tc>
      </w:tr>
      <w:tr w14:paraId="0957F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05AF5815">
            <w:pPr>
              <w:pStyle w:val="24"/>
              <w:kinsoku/>
              <w:topLinePunct/>
              <w:autoSpaceDE/>
              <w:spacing w:before="221" w:line="360" w:lineRule="auto"/>
              <w:jc w:val="center"/>
              <w:rPr>
                <w:rFonts w:hint="default"/>
                <w:spacing w:val="1"/>
              </w:rPr>
            </w:pPr>
            <w:r>
              <w:rPr>
                <w:spacing w:val="2"/>
              </w:rPr>
              <w:t>3.2.2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AFF92C">
            <w:pPr>
              <w:pStyle w:val="24"/>
              <w:kinsoku/>
              <w:topLinePunct/>
              <w:autoSpaceDE/>
              <w:rPr>
                <w:rFonts w:hint="default"/>
              </w:rPr>
            </w:pPr>
            <w:r>
              <w:t>报价方式</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A7AE83">
            <w:pPr>
              <w:pStyle w:val="24"/>
              <w:kinsoku/>
              <w:topLinePunct/>
              <w:autoSpaceDE/>
              <w:rPr>
                <w:rFonts w:hint="default"/>
                <w:color w:val="auto"/>
                <w:spacing w:val="5"/>
              </w:rPr>
            </w:pPr>
            <w:r>
              <w:rPr>
                <w:color w:val="auto"/>
                <w:spacing w:val="5"/>
              </w:rPr>
              <w:t>通过政采云平台自行报价</w:t>
            </w:r>
          </w:p>
        </w:tc>
      </w:tr>
      <w:tr w14:paraId="778F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5491D0F9">
            <w:pPr>
              <w:pStyle w:val="24"/>
              <w:kinsoku/>
              <w:topLinePunct/>
              <w:autoSpaceDE/>
              <w:spacing w:before="186" w:line="360" w:lineRule="auto"/>
              <w:jc w:val="center"/>
              <w:rPr>
                <w:rFonts w:hint="default"/>
                <w:spacing w:val="1"/>
              </w:rPr>
            </w:pPr>
            <w:r>
              <w:rPr>
                <w:spacing w:val="2"/>
              </w:rPr>
              <w:t>3.2.3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29CD6A">
            <w:pPr>
              <w:pStyle w:val="24"/>
              <w:kinsoku/>
              <w:topLinePunct/>
              <w:autoSpaceDE/>
              <w:rPr>
                <w:rFonts w:hint="default"/>
              </w:rPr>
            </w:pPr>
            <w:r>
              <w:t>最高投标限价</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6F8808">
            <w:pPr>
              <w:pStyle w:val="24"/>
              <w:kinsoku/>
              <w:topLinePunct/>
              <w:autoSpaceDE/>
              <w:rPr>
                <w:rFonts w:hint="default"/>
                <w:color w:val="FF0000"/>
                <w:spacing w:val="5"/>
              </w:rPr>
            </w:pPr>
            <w:r>
              <w:t>48.06万元，超出最高限价的响应文件将被否决</w:t>
            </w:r>
          </w:p>
        </w:tc>
      </w:tr>
      <w:tr w14:paraId="2AF5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4"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tcPr>
          <w:p w14:paraId="28DB376D">
            <w:pPr>
              <w:pStyle w:val="24"/>
              <w:kinsoku/>
              <w:topLinePunct/>
              <w:autoSpaceDE/>
              <w:spacing w:before="185" w:line="360" w:lineRule="auto"/>
              <w:jc w:val="center"/>
              <w:rPr>
                <w:rFonts w:hint="default"/>
                <w:spacing w:val="1"/>
              </w:rPr>
            </w:pPr>
            <w:r>
              <w:rPr>
                <w:spacing w:val="2"/>
              </w:rPr>
              <w:t>3.3.1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37C559">
            <w:pPr>
              <w:pStyle w:val="24"/>
              <w:kinsoku/>
              <w:topLinePunct/>
              <w:autoSpaceDE/>
              <w:rPr>
                <w:rFonts w:hint="default"/>
              </w:rPr>
            </w:pPr>
            <w:r>
              <w:t>磋商有效期</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37D308">
            <w:pPr>
              <w:pStyle w:val="24"/>
              <w:kinsoku/>
              <w:topLinePunct/>
              <w:autoSpaceDE/>
              <w:rPr>
                <w:rFonts w:hint="default"/>
                <w:spacing w:val="5"/>
              </w:rPr>
            </w:pPr>
            <w:r>
              <w:rPr>
                <w:spacing w:val="6"/>
              </w:rPr>
              <w:t>响应文件提交截止之日后90天（日历天）</w:t>
            </w:r>
          </w:p>
        </w:tc>
      </w:tr>
      <w:tr w14:paraId="7712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27"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34F105">
            <w:pPr>
              <w:pStyle w:val="24"/>
              <w:kinsoku/>
              <w:topLinePunct/>
              <w:autoSpaceDE/>
              <w:spacing w:before="66" w:line="360" w:lineRule="auto"/>
              <w:jc w:val="center"/>
              <w:rPr>
                <w:rFonts w:hint="default"/>
              </w:rPr>
            </w:pPr>
            <w:r>
              <w:t>3.4.1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34800F">
            <w:pPr>
              <w:pStyle w:val="24"/>
              <w:kinsoku/>
              <w:topLinePunct/>
              <w:autoSpaceDE/>
              <w:rPr>
                <w:rFonts w:hint="default"/>
              </w:rPr>
            </w:pPr>
            <w:r>
              <w:t>磋商保证金</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118F30">
            <w:pPr>
              <w:pStyle w:val="24"/>
              <w:kinsoku/>
              <w:topLinePunct/>
              <w:autoSpaceDE/>
              <w:rPr>
                <w:rFonts w:hint="default"/>
                <w:spacing w:val="6"/>
              </w:rPr>
            </w:pPr>
            <w:r>
              <w:rPr>
                <w:spacing w:val="6"/>
              </w:rPr>
              <w:t>是否要求投标人递交磋商保证金：</w:t>
            </w:r>
            <w:r>
              <w:rPr>
                <w:spacing w:val="6"/>
              </w:rPr>
              <w:br w:type="textWrapping"/>
            </w:r>
            <w:r>
              <w:rPr>
                <w:rFonts w:hint="default" w:ascii="Segoe UI Symbol" w:hAnsi="Segoe UI Symbol" w:eastAsia="Segoe UI Symbol" w:cs="Segoe UI Symbol"/>
                <w:spacing w:val="6"/>
              </w:rPr>
              <w:t>☑</w:t>
            </w:r>
            <w:r>
              <w:rPr>
                <w:spacing w:val="6"/>
              </w:rPr>
              <w:t>不要求</w:t>
            </w:r>
          </w:p>
          <w:p w14:paraId="6D029297">
            <w:pPr>
              <w:pStyle w:val="24"/>
              <w:kinsoku/>
              <w:topLinePunct/>
              <w:autoSpaceDE/>
              <w:rPr>
                <w:rFonts w:hint="default"/>
                <w:color w:val="auto"/>
              </w:rPr>
            </w:pPr>
            <w:r>
              <w:rPr>
                <w:spacing w:val="6"/>
              </w:rPr>
              <w:t>□要求</w:t>
            </w:r>
          </w:p>
        </w:tc>
      </w:tr>
      <w:tr w14:paraId="1DF9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CD6C06">
            <w:pPr>
              <w:pStyle w:val="24"/>
              <w:kinsoku/>
              <w:topLinePunct/>
              <w:autoSpaceDE/>
              <w:spacing w:before="241" w:line="360" w:lineRule="auto"/>
              <w:jc w:val="center"/>
              <w:rPr>
                <w:rFonts w:hint="default"/>
                <w:spacing w:val="2"/>
              </w:rPr>
            </w:pPr>
            <w:r>
              <w:rPr>
                <w:spacing w:val="1"/>
              </w:rPr>
              <w:t>3.5</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C94A81">
            <w:pPr>
              <w:pStyle w:val="24"/>
              <w:kinsoku/>
              <w:topLinePunct/>
              <w:autoSpaceDE/>
              <w:rPr>
                <w:rFonts w:hint="default"/>
              </w:rPr>
            </w:pPr>
            <w:r>
              <w:t>资格审查资料</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122E8C">
            <w:pPr>
              <w:pStyle w:val="24"/>
              <w:kinsoku/>
              <w:topLinePunct/>
              <w:autoSpaceDE/>
              <w:ind w:firstLine="4"/>
              <w:rPr>
                <w:rFonts w:hint="default"/>
                <w:spacing w:val="8"/>
              </w:rPr>
            </w:pPr>
            <w:r>
              <w:rPr>
                <w:spacing w:val="8"/>
              </w:rPr>
              <w:t>1.有效的营业执照，提供营业执照扫描件加盖公章</w:t>
            </w:r>
          </w:p>
          <w:p w14:paraId="0AEEE865">
            <w:pPr>
              <w:pStyle w:val="24"/>
              <w:kinsoku/>
              <w:topLinePunct/>
              <w:autoSpaceDE/>
              <w:ind w:firstLine="4"/>
              <w:rPr>
                <w:rFonts w:hint="default"/>
                <w:spacing w:val="8"/>
              </w:rPr>
            </w:pPr>
            <w:r>
              <w:rPr>
                <w:spacing w:val="8"/>
              </w:rPr>
              <w:t>2.具备行业主管部门核发的水土保持工程施工监理专业乙级及以上资质，提供资质证书副本扫描件加盖公章</w:t>
            </w:r>
          </w:p>
          <w:p w14:paraId="3412DE23">
            <w:pPr>
              <w:pStyle w:val="24"/>
              <w:kinsoku/>
              <w:topLinePunct/>
              <w:autoSpaceDE/>
              <w:ind w:firstLine="4"/>
              <w:rPr>
                <w:rFonts w:hint="default"/>
                <w:spacing w:val="8"/>
              </w:rPr>
            </w:pPr>
            <w:r>
              <w:rPr>
                <w:spacing w:val="8"/>
              </w:rPr>
              <w:t>3.供应商具有良好的商业信誉和健全的财务会计制度提供2021年至2023年的财务审计报告或财务报表扫描件加盖公章。</w:t>
            </w:r>
          </w:p>
          <w:p w14:paraId="18EF5BE6">
            <w:pPr>
              <w:pStyle w:val="24"/>
              <w:kinsoku/>
              <w:topLinePunct/>
              <w:autoSpaceDE/>
              <w:ind w:firstLine="4"/>
              <w:rPr>
                <w:rFonts w:hint="default"/>
                <w:spacing w:val="8"/>
              </w:rPr>
            </w:pPr>
            <w:r>
              <w:rPr>
                <w:spacing w:val="8"/>
              </w:rPr>
              <w:t>4.供应商依法缴纳税收和社会保障资金的良好记录，提供2024年1月1日至今任意一个月的纳税证明和社会保障资金证明，提供扫描件加盖供应商公章</w:t>
            </w:r>
          </w:p>
          <w:p w14:paraId="4BA6C0E4">
            <w:pPr>
              <w:pStyle w:val="24"/>
              <w:kinsoku/>
              <w:topLinePunct/>
              <w:autoSpaceDE/>
              <w:ind w:firstLine="4"/>
              <w:rPr>
                <w:rFonts w:hint="default"/>
                <w:spacing w:val="8"/>
              </w:rPr>
            </w:pPr>
            <w:r>
              <w:rPr>
                <w:spacing w:val="8"/>
              </w:rPr>
              <w:t>5.总监理工程师具备水利工程监理专业国家注册监理工程师证书，提供注册监理工程师证书扫描件加盖公章</w:t>
            </w:r>
          </w:p>
          <w:p w14:paraId="18624E48">
            <w:pPr>
              <w:pStyle w:val="24"/>
              <w:kinsoku/>
              <w:topLinePunct/>
              <w:autoSpaceDE/>
              <w:ind w:firstLine="4"/>
              <w:rPr>
                <w:rFonts w:hint="default"/>
                <w:spacing w:val="8"/>
              </w:rPr>
            </w:pPr>
            <w:r>
              <w:rPr>
                <w:spacing w:val="8"/>
              </w:rPr>
              <w:t>6.信誉要求：</w:t>
            </w:r>
          </w:p>
          <w:p w14:paraId="1E140F03">
            <w:pPr>
              <w:pStyle w:val="24"/>
              <w:kinsoku/>
              <w:topLinePunct/>
              <w:autoSpaceDE/>
              <w:ind w:firstLine="4"/>
              <w:rPr>
                <w:rFonts w:hint="default"/>
                <w:spacing w:val="8"/>
              </w:rPr>
            </w:pPr>
            <w:r>
              <w:rPr>
                <w:spacing w:val="8"/>
              </w:rPr>
              <w:t>1）未被工商行政管理机关在全国企业信用信息公示系统（http://www.gsxt.gov.cn/index.html）中列入严重违法失信企业名单；</w:t>
            </w:r>
          </w:p>
          <w:p w14:paraId="7398EFBC">
            <w:pPr>
              <w:pStyle w:val="24"/>
              <w:kinsoku/>
              <w:topLinePunct/>
              <w:autoSpaceDE/>
              <w:ind w:firstLine="4"/>
              <w:rPr>
                <w:rFonts w:hint="default"/>
                <w:spacing w:val="8"/>
              </w:rPr>
            </w:pPr>
            <w:r>
              <w:rPr>
                <w:spacing w:val="8"/>
              </w:rPr>
              <w:t>2）未被最高人民法院在“信用中国”网站（www.creditchina.gov.cn）或各级信用信息共享平台列入失信被执行人名单；</w:t>
            </w:r>
          </w:p>
          <w:p w14:paraId="34557A51">
            <w:pPr>
              <w:pStyle w:val="24"/>
              <w:kinsoku/>
              <w:topLinePunct/>
              <w:autoSpaceDE/>
              <w:ind w:firstLine="4"/>
              <w:rPr>
                <w:rFonts w:hint="default"/>
                <w:spacing w:val="8"/>
              </w:rPr>
            </w:pPr>
            <w:r>
              <w:rPr>
                <w:spacing w:val="8"/>
              </w:rPr>
              <w:t>3）供应商、法定代表人、总监理工程师在中国裁判文书网无行贿犯罪记录。</w:t>
            </w:r>
          </w:p>
          <w:p w14:paraId="674B2764">
            <w:pPr>
              <w:pStyle w:val="24"/>
              <w:kinsoku/>
              <w:topLinePunct/>
              <w:autoSpaceDE/>
              <w:ind w:firstLine="4"/>
              <w:rPr>
                <w:rFonts w:hint="default"/>
                <w:spacing w:val="8"/>
              </w:rPr>
            </w:pPr>
            <w:r>
              <w:rPr>
                <w:spacing w:val="8"/>
              </w:rPr>
              <w:t>7.中小企业参加政府采购活动，应当出具本采购文件规定的《中小企业声明函》；监狱企业参加政府采购活动时，应当提供由省级以上监狱管理局、戒毒管理局（含新疆生产建设兵团）出具的属于监狱企业的证明文件；符合条件的残疾人福利性单位在参加政府采购活动时，应当出具本采购文件规定的《残疾人福利性单位声明函》，并对声明的真实性负责。</w:t>
            </w:r>
          </w:p>
          <w:p w14:paraId="3E7FCCEC">
            <w:pPr>
              <w:pStyle w:val="24"/>
              <w:kinsoku/>
              <w:topLinePunct/>
              <w:autoSpaceDE/>
              <w:ind w:firstLine="4"/>
              <w:rPr>
                <w:rFonts w:hint="default"/>
                <w:spacing w:val="8"/>
              </w:rPr>
            </w:pPr>
            <w:r>
              <w:rPr>
                <w:spacing w:val="8"/>
              </w:rPr>
              <w:t>8.拒绝列入政府取消投标资格记录期间的企业或个人投标，提供法定代表人或授权代理人签字并加盖公章的承诺书。</w:t>
            </w:r>
          </w:p>
          <w:p w14:paraId="1A5C6E1B">
            <w:pPr>
              <w:pStyle w:val="24"/>
              <w:kinsoku/>
              <w:topLinePunct/>
              <w:autoSpaceDE/>
              <w:ind w:firstLine="4"/>
              <w:rPr>
                <w:rFonts w:hint="default"/>
                <w:spacing w:val="8"/>
              </w:rPr>
            </w:pPr>
            <w:r>
              <w:rPr>
                <w:spacing w:val="8"/>
              </w:rPr>
              <w:t>9.与采购人存在利害关系可能影响招标公正性的法人、其他组织或者个人，不得参加投标；单位负责人为同一人或者存在直接控股、管理关系的不同供应商，不得同时参加同一标包的采购活动，提供法定代表人或授权代理人签字并加盖公章的承诺书。</w:t>
            </w:r>
          </w:p>
        </w:tc>
      </w:tr>
      <w:tr w14:paraId="7898A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9"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AB00EF">
            <w:pPr>
              <w:pStyle w:val="24"/>
              <w:kinsoku/>
              <w:topLinePunct/>
              <w:autoSpaceDE/>
              <w:spacing w:before="241" w:line="360" w:lineRule="auto"/>
              <w:jc w:val="center"/>
              <w:rPr>
                <w:rFonts w:hint="default"/>
                <w:color w:val="auto"/>
                <w:spacing w:val="2"/>
              </w:rPr>
            </w:pPr>
            <w:r>
              <w:rPr>
                <w:color w:val="auto"/>
                <w:spacing w:val="2"/>
              </w:rPr>
              <w:t>3.5.2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E49C8F">
            <w:pPr>
              <w:pStyle w:val="24"/>
              <w:kinsoku/>
              <w:topLinePunct/>
              <w:autoSpaceDE/>
              <w:rPr>
                <w:rFonts w:hint="default"/>
              </w:rPr>
            </w:pPr>
            <w:r>
              <w:t>近年财务状况的年份要求</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D29FA4">
            <w:pPr>
              <w:pStyle w:val="24"/>
              <w:kinsoku/>
              <w:topLinePunct/>
              <w:autoSpaceDE/>
              <w:rPr>
                <w:rFonts w:hint="default"/>
                <w:color w:val="auto"/>
              </w:rPr>
            </w:pPr>
            <w:r>
              <w:rPr>
                <w:color w:val="auto"/>
                <w:spacing w:val="1"/>
              </w:rPr>
              <w:t>2021年至2023年</w:t>
            </w:r>
          </w:p>
        </w:tc>
      </w:tr>
      <w:tr w14:paraId="0812F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2C8F38">
            <w:pPr>
              <w:pStyle w:val="24"/>
              <w:kinsoku/>
              <w:topLinePunct/>
              <w:autoSpaceDE/>
              <w:spacing w:before="242" w:line="360" w:lineRule="auto"/>
              <w:jc w:val="center"/>
              <w:rPr>
                <w:rFonts w:hint="default"/>
                <w:color w:val="auto"/>
                <w:spacing w:val="2"/>
              </w:rPr>
            </w:pPr>
            <w:r>
              <w:rPr>
                <w:color w:val="auto"/>
                <w:spacing w:val="2"/>
              </w:rPr>
              <w:t>3.5.3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0AD6A4">
            <w:pPr>
              <w:pStyle w:val="24"/>
              <w:kinsoku/>
              <w:topLinePunct/>
              <w:autoSpaceDE/>
              <w:rPr>
                <w:rFonts w:hint="default"/>
              </w:rPr>
            </w:pPr>
            <w:r>
              <w:t>近年完成的类似项目情况的时间要求</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6B975C">
            <w:pPr>
              <w:pStyle w:val="24"/>
              <w:kinsoku/>
              <w:topLinePunct/>
              <w:autoSpaceDE/>
              <w:rPr>
                <w:rFonts w:hint="default"/>
                <w:color w:val="auto"/>
              </w:rPr>
            </w:pPr>
            <w:r>
              <w:rPr>
                <w:color w:val="auto"/>
                <w:spacing w:val="-5"/>
              </w:rPr>
              <w:t>2022年1月1日至今</w:t>
            </w:r>
          </w:p>
        </w:tc>
      </w:tr>
      <w:tr w14:paraId="7F0B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27B43B">
            <w:pPr>
              <w:pStyle w:val="24"/>
              <w:kinsoku/>
              <w:topLinePunct/>
              <w:autoSpaceDE/>
              <w:spacing w:before="244" w:line="360" w:lineRule="auto"/>
              <w:jc w:val="center"/>
              <w:rPr>
                <w:rFonts w:hint="default"/>
                <w:color w:val="auto"/>
                <w:spacing w:val="2"/>
              </w:rPr>
            </w:pPr>
            <w:r>
              <w:rPr>
                <w:color w:val="auto"/>
                <w:spacing w:val="2"/>
              </w:rPr>
              <w:t>3.5.5</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4CB2B2">
            <w:pPr>
              <w:pStyle w:val="24"/>
              <w:kinsoku/>
              <w:topLinePunct/>
              <w:autoSpaceDE/>
              <w:rPr>
                <w:rFonts w:hint="default"/>
              </w:rPr>
            </w:pPr>
            <w:r>
              <w:t>近年发生的诉讼及仲裁情况的时间要求</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810097">
            <w:pPr>
              <w:pStyle w:val="24"/>
              <w:kinsoku/>
              <w:topLinePunct/>
              <w:autoSpaceDE/>
              <w:rPr>
                <w:rFonts w:hint="default"/>
                <w:color w:val="auto"/>
              </w:rPr>
            </w:pPr>
            <w:r>
              <w:rPr>
                <w:color w:val="auto"/>
                <w:spacing w:val="-5"/>
              </w:rPr>
              <w:t>2022年1月1日至今</w:t>
            </w:r>
          </w:p>
        </w:tc>
      </w:tr>
      <w:tr w14:paraId="7B22C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F7175B">
            <w:pPr>
              <w:pStyle w:val="24"/>
              <w:kinsoku/>
              <w:topLinePunct/>
              <w:autoSpaceDE/>
              <w:spacing w:before="242" w:line="360" w:lineRule="auto"/>
              <w:jc w:val="center"/>
              <w:rPr>
                <w:rFonts w:hint="default"/>
                <w:color w:val="auto"/>
                <w:spacing w:val="2"/>
              </w:rPr>
            </w:pPr>
            <w:r>
              <w:rPr>
                <w:color w:val="auto"/>
                <w:spacing w:val="2"/>
              </w:rPr>
              <w:t>3.6.1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0C2124">
            <w:pPr>
              <w:pStyle w:val="24"/>
              <w:kinsoku/>
              <w:topLinePunct/>
              <w:autoSpaceDE/>
              <w:rPr>
                <w:rFonts w:hint="default"/>
              </w:rPr>
            </w:pPr>
            <w:r>
              <w:t>是否允许递交备选投标方案</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14E045">
            <w:pPr>
              <w:pStyle w:val="24"/>
              <w:kinsoku/>
              <w:topLinePunct/>
              <w:autoSpaceDE/>
              <w:rPr>
                <w:rFonts w:hint="default"/>
                <w:color w:val="auto"/>
              </w:rPr>
            </w:pPr>
            <w:r>
              <w:rPr>
                <w:color w:val="auto"/>
                <w:spacing w:val="5"/>
              </w:rPr>
              <w:t>不允许</w:t>
            </w:r>
          </w:p>
        </w:tc>
      </w:tr>
      <w:tr w14:paraId="493DD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18"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FD0388">
            <w:pPr>
              <w:pStyle w:val="24"/>
              <w:kinsoku/>
              <w:topLinePunct/>
              <w:autoSpaceDE/>
              <w:spacing w:before="65" w:line="360" w:lineRule="auto"/>
              <w:jc w:val="center"/>
              <w:rPr>
                <w:rFonts w:hint="default"/>
                <w:color w:val="auto"/>
                <w:spacing w:val="2"/>
              </w:rPr>
            </w:pPr>
            <w:r>
              <w:rPr>
                <w:color w:val="auto"/>
                <w:spacing w:val="2"/>
                <w:highlight w:val="yellow"/>
              </w:rPr>
              <w:t>3.7.3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2DBFEC">
            <w:pPr>
              <w:pStyle w:val="24"/>
              <w:kinsoku/>
              <w:topLinePunct/>
              <w:autoSpaceDE/>
              <w:rPr>
                <w:rFonts w:hint="default"/>
              </w:rPr>
            </w:pPr>
            <w:r>
              <w:rPr>
                <w:highlight w:val="yellow"/>
              </w:rPr>
              <w:t>响应文件副本份数及其他要求</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9CAFE1">
            <w:pPr>
              <w:pStyle w:val="24"/>
              <w:kinsoku/>
              <w:topLinePunct/>
              <w:autoSpaceDE/>
              <w:rPr>
                <w:rFonts w:hint="default"/>
              </w:rPr>
            </w:pPr>
            <w:r>
              <w:rPr>
                <w:rFonts w:hint="eastAsia"/>
                <w:lang w:val="en-US" w:eastAsia="zh-CN"/>
              </w:rPr>
              <w:t>无需递交纸质响应文件</w:t>
            </w:r>
            <w:r>
              <w:t>。</w:t>
            </w:r>
          </w:p>
        </w:tc>
      </w:tr>
      <w:tr w14:paraId="2D6B9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D722B6">
            <w:pPr>
              <w:pStyle w:val="24"/>
              <w:kinsoku/>
              <w:topLinePunct/>
              <w:autoSpaceDE/>
              <w:spacing w:before="243" w:line="360" w:lineRule="auto"/>
              <w:jc w:val="center"/>
              <w:rPr>
                <w:rFonts w:hint="default"/>
                <w:color w:val="auto"/>
                <w:spacing w:val="2"/>
              </w:rPr>
            </w:pPr>
            <w:r>
              <w:rPr>
                <w:color w:val="auto"/>
                <w:spacing w:val="2"/>
              </w:rPr>
              <w:t>3.7.4</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9EE93B">
            <w:pPr>
              <w:pStyle w:val="24"/>
              <w:kinsoku/>
              <w:topLinePunct/>
              <w:autoSpaceDE/>
              <w:rPr>
                <w:rFonts w:hint="default"/>
              </w:rPr>
            </w:pPr>
            <w:r>
              <w:t>响应文件是否需分册装订</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1488C3">
            <w:pPr>
              <w:pStyle w:val="24"/>
              <w:kinsoku/>
              <w:topLinePunct/>
              <w:autoSpaceDE/>
              <w:rPr>
                <w:rFonts w:hint="default"/>
                <w:color w:val="auto"/>
                <w:spacing w:val="6"/>
              </w:rPr>
            </w:pPr>
            <w:r>
              <w:rPr>
                <w:color w:val="auto"/>
                <w:spacing w:val="9"/>
              </w:rPr>
              <w:t>供应商根据实际情况自行确定</w:t>
            </w:r>
          </w:p>
        </w:tc>
      </w:tr>
      <w:tr w14:paraId="39D73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2597AC">
            <w:pPr>
              <w:pStyle w:val="13"/>
              <w:kinsoku/>
              <w:topLinePunct/>
              <w:autoSpaceDE/>
              <w:spacing w:beforeAutospacing="0" w:afterAutospacing="0" w:line="360" w:lineRule="auto"/>
              <w:jc w:val="center"/>
              <w:rPr>
                <w:color w:val="auto"/>
              </w:rPr>
            </w:pPr>
          </w:p>
          <w:p w14:paraId="5E133DC7">
            <w:pPr>
              <w:pStyle w:val="13"/>
              <w:kinsoku/>
              <w:topLinePunct/>
              <w:autoSpaceDE/>
              <w:spacing w:beforeAutospacing="0" w:afterAutospacing="0" w:line="360" w:lineRule="auto"/>
              <w:jc w:val="center"/>
              <w:rPr>
                <w:color w:val="auto"/>
                <w:spacing w:val="2"/>
              </w:rPr>
            </w:pPr>
            <w:r>
              <w:rPr>
                <w:rFonts w:hint="eastAsia" w:ascii="宋体" w:hAnsi="宋体" w:eastAsia="宋体" w:cs="宋体"/>
                <w:color w:val="auto"/>
                <w:lang w:bidi="ar"/>
              </w:rPr>
              <w:t>3.7.5</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969428">
            <w:pPr>
              <w:pStyle w:val="24"/>
              <w:kinsoku/>
              <w:topLinePunct/>
              <w:autoSpaceDE/>
              <w:rPr>
                <w:rFonts w:hint="default"/>
              </w:rPr>
            </w:pPr>
          </w:p>
          <w:p w14:paraId="64F2955C">
            <w:pPr>
              <w:pStyle w:val="24"/>
              <w:kinsoku/>
              <w:topLinePunct/>
              <w:autoSpaceDE/>
              <w:rPr>
                <w:rFonts w:hint="default"/>
              </w:rPr>
            </w:pPr>
            <w:r>
              <w:t>响应文件签字或盖章要求</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DAF49D">
            <w:pPr>
              <w:pStyle w:val="24"/>
              <w:kinsoku/>
              <w:topLinePunct/>
              <w:autoSpaceDE/>
              <w:ind w:hanging="22"/>
              <w:jc w:val="both"/>
              <w:rPr>
                <w:rFonts w:hint="default"/>
                <w:spacing w:val="-2"/>
              </w:rPr>
            </w:pPr>
            <w:r>
              <w:rPr>
                <w:spacing w:val="-2"/>
              </w:rPr>
              <w:t>1.响应文件应使用打印、复印或不能擦去的墨水书写，文字要清晰，语言要明确，并按磋商文件的要求封面加盖单位公章和由法定代表人（或委托代理人）签名。</w:t>
            </w:r>
          </w:p>
          <w:p w14:paraId="43E9577E">
            <w:pPr>
              <w:pStyle w:val="24"/>
              <w:kinsoku/>
              <w:topLinePunct/>
              <w:autoSpaceDE/>
              <w:ind w:hanging="22"/>
              <w:jc w:val="both"/>
              <w:rPr>
                <w:rFonts w:hint="default"/>
                <w:spacing w:val="-2"/>
              </w:rPr>
            </w:pPr>
            <w:r>
              <w:rPr>
                <w:spacing w:val="-2"/>
              </w:rPr>
              <w:t>2.响应文件应尽量避免涂改和插字，若为了改正错误必须这样做时，除了按采购人书面指示进行修改的以外，均应由法定代表人（或委托代理人）在修改处盖章或签名确认。</w:t>
            </w:r>
          </w:p>
          <w:p w14:paraId="26E3AB96">
            <w:pPr>
              <w:pStyle w:val="24"/>
              <w:kinsoku/>
              <w:topLinePunct/>
              <w:autoSpaceDE/>
              <w:ind w:hanging="22"/>
              <w:jc w:val="both"/>
              <w:rPr>
                <w:rFonts w:hint="default"/>
                <w:spacing w:val="-2"/>
              </w:rPr>
            </w:pPr>
            <w:r>
              <w:rPr>
                <w:spacing w:val="-2"/>
              </w:rPr>
              <w:t>3.响应文件要求签字盖章处必须签字盖章，按系统要求签字盖章，如被授权人无法网上签字，需将此页打印签字后扫描上传至响应文件。</w:t>
            </w:r>
          </w:p>
        </w:tc>
      </w:tr>
      <w:tr w14:paraId="16E9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2"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B6FBC5">
            <w:pPr>
              <w:pStyle w:val="24"/>
              <w:kinsoku/>
              <w:topLinePunct/>
              <w:autoSpaceDE/>
              <w:spacing w:before="182" w:line="360" w:lineRule="auto"/>
              <w:jc w:val="center"/>
              <w:rPr>
                <w:rFonts w:hint="default"/>
                <w:color w:val="auto"/>
              </w:rPr>
            </w:pPr>
            <w:r>
              <w:rPr>
                <w:color w:val="auto"/>
                <w:spacing w:val="3"/>
              </w:rPr>
              <w:t>4.1.1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D577E5">
            <w:pPr>
              <w:pStyle w:val="24"/>
              <w:kinsoku/>
              <w:topLinePunct/>
              <w:autoSpaceDE/>
              <w:rPr>
                <w:rFonts w:hint="default"/>
              </w:rPr>
            </w:pPr>
            <w:r>
              <w:t>响应文件密封要求</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A19708">
            <w:pPr>
              <w:pStyle w:val="24"/>
              <w:kinsoku/>
              <w:topLinePunct/>
              <w:autoSpaceDE/>
              <w:rPr>
                <w:rFonts w:hint="default"/>
                <w:color w:val="auto"/>
              </w:rPr>
            </w:pPr>
            <w:r>
              <w:rPr>
                <w:color w:val="auto"/>
              </w:rPr>
              <w:t>供应商自行密封</w:t>
            </w:r>
          </w:p>
        </w:tc>
      </w:tr>
      <w:tr w14:paraId="6F590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3"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3F6C82">
            <w:pPr>
              <w:pStyle w:val="24"/>
              <w:kinsoku/>
              <w:topLinePunct/>
              <w:autoSpaceDE/>
              <w:spacing w:before="183" w:line="360" w:lineRule="auto"/>
              <w:jc w:val="center"/>
              <w:rPr>
                <w:rFonts w:hint="default"/>
                <w:color w:val="auto"/>
              </w:rPr>
            </w:pPr>
            <w:r>
              <w:rPr>
                <w:color w:val="auto"/>
                <w:spacing w:val="3"/>
              </w:rPr>
              <w:t>4.2.1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64BBE4">
            <w:pPr>
              <w:pStyle w:val="24"/>
              <w:kinsoku/>
              <w:topLinePunct/>
              <w:autoSpaceDE/>
              <w:rPr>
                <w:rFonts w:hint="default"/>
              </w:rPr>
            </w:pPr>
            <w:r>
              <w:t>响应文件提交截止时间</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0CD524">
            <w:pPr>
              <w:pStyle w:val="24"/>
              <w:kinsoku/>
              <w:topLinePunct/>
              <w:autoSpaceDE/>
              <w:rPr>
                <w:rFonts w:hint="default"/>
                <w:color w:val="auto"/>
              </w:rPr>
            </w:pPr>
            <w:r>
              <w:rPr>
                <w:color w:val="auto"/>
                <w:spacing w:val="6"/>
              </w:rPr>
              <w:t>2025年06月</w:t>
            </w:r>
            <w:r>
              <w:rPr>
                <w:rFonts w:hint="default"/>
                <w:color w:val="auto"/>
                <w:spacing w:val="6"/>
              </w:rPr>
              <w:t>25</w:t>
            </w:r>
            <w:r>
              <w:rPr>
                <w:color w:val="auto"/>
                <w:spacing w:val="6"/>
              </w:rPr>
              <w:t>日</w:t>
            </w:r>
            <w:r>
              <w:rPr>
                <w:rFonts w:hint="default"/>
                <w:color w:val="auto"/>
                <w:spacing w:val="6"/>
              </w:rPr>
              <w:t>09</w:t>
            </w:r>
            <w:r>
              <w:rPr>
                <w:color w:val="auto"/>
                <w:spacing w:val="6"/>
              </w:rPr>
              <w:t>时00分（北京时间）</w:t>
            </w:r>
          </w:p>
        </w:tc>
      </w:tr>
      <w:tr w14:paraId="183E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D75665">
            <w:pPr>
              <w:pStyle w:val="24"/>
              <w:kinsoku/>
              <w:topLinePunct/>
              <w:autoSpaceDE/>
              <w:spacing w:before="65" w:line="360" w:lineRule="auto"/>
              <w:jc w:val="center"/>
              <w:rPr>
                <w:rFonts w:hint="default"/>
                <w:color w:val="auto"/>
              </w:rPr>
            </w:pPr>
            <w:r>
              <w:rPr>
                <w:color w:val="auto"/>
                <w:spacing w:val="3"/>
                <w:highlight w:val="yellow"/>
              </w:rPr>
              <w:t>4.2.2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669273">
            <w:pPr>
              <w:pStyle w:val="24"/>
              <w:kinsoku/>
              <w:topLinePunct/>
              <w:autoSpaceDE/>
              <w:rPr>
                <w:rFonts w:hint="default"/>
              </w:rPr>
            </w:pPr>
            <w:r>
              <w:rPr>
                <w:highlight w:val="yellow"/>
              </w:rPr>
              <w:t>响应文件提交地点</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08B5B8">
            <w:pPr>
              <w:pStyle w:val="24"/>
              <w:kinsoku/>
              <w:topLinePunct/>
              <w:autoSpaceDE/>
              <w:rPr>
                <w:rFonts w:hint="default"/>
              </w:rPr>
            </w:pPr>
            <w:r>
              <w:t>在政采云平台https://www.zcygov.cn/上传电子加密响应文件。</w:t>
            </w:r>
          </w:p>
        </w:tc>
      </w:tr>
      <w:tr w14:paraId="5BE0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4"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C51FB7">
            <w:pPr>
              <w:pStyle w:val="24"/>
              <w:kinsoku/>
              <w:topLinePunct/>
              <w:autoSpaceDE/>
              <w:spacing w:before="185" w:line="360" w:lineRule="auto"/>
              <w:jc w:val="center"/>
              <w:rPr>
                <w:rFonts w:hint="default"/>
                <w:color w:val="auto"/>
              </w:rPr>
            </w:pPr>
            <w:r>
              <w:rPr>
                <w:color w:val="auto"/>
                <w:spacing w:val="3"/>
              </w:rPr>
              <w:t>4.2.3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F91099">
            <w:pPr>
              <w:pStyle w:val="24"/>
              <w:kinsoku/>
              <w:topLinePunct/>
              <w:autoSpaceDE/>
              <w:rPr>
                <w:rFonts w:hint="default"/>
              </w:rPr>
            </w:pPr>
            <w:r>
              <w:t>响应文件是否退还</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143627">
            <w:pPr>
              <w:pStyle w:val="24"/>
              <w:kinsoku/>
              <w:topLinePunct/>
              <w:autoSpaceDE/>
              <w:rPr>
                <w:rFonts w:hint="default"/>
                <w:color w:val="auto"/>
              </w:rPr>
            </w:pPr>
            <w:r>
              <w:rPr>
                <w:color w:val="auto"/>
              </w:rPr>
              <w:t>否</w:t>
            </w:r>
          </w:p>
        </w:tc>
      </w:tr>
      <w:tr w14:paraId="2A084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27"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4BE020">
            <w:pPr>
              <w:pStyle w:val="24"/>
              <w:kinsoku/>
              <w:topLinePunct/>
              <w:autoSpaceDE/>
              <w:jc w:val="center"/>
              <w:rPr>
                <w:rFonts w:hint="default"/>
                <w:color w:val="auto"/>
              </w:rPr>
            </w:pPr>
            <w:r>
              <w:rPr>
                <w:color w:val="auto"/>
                <w:spacing w:val="2"/>
              </w:rPr>
              <w:t>5.1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061829">
            <w:pPr>
              <w:pStyle w:val="24"/>
              <w:kinsoku/>
              <w:topLinePunct/>
              <w:autoSpaceDE/>
              <w:rPr>
                <w:rFonts w:hint="default"/>
              </w:rPr>
            </w:pPr>
            <w:r>
              <w:t>开启时间和地点</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B14FF9">
            <w:pPr>
              <w:pStyle w:val="24"/>
              <w:kinsoku/>
              <w:topLinePunct/>
              <w:autoSpaceDE/>
              <w:ind w:hanging="15"/>
              <w:rPr>
                <w:rFonts w:hint="default"/>
                <w:color w:val="auto"/>
              </w:rPr>
            </w:pPr>
            <w:r>
              <w:rPr>
                <w:color w:val="auto"/>
              </w:rPr>
              <w:t>开启时间（同投标截止时间</w:t>
            </w:r>
            <w:r>
              <w:rPr>
                <w:color w:val="auto"/>
                <w:spacing w:val="-4"/>
              </w:rPr>
              <w:t>）：</w:t>
            </w:r>
            <w:r>
              <w:rPr>
                <w:color w:val="auto"/>
                <w:spacing w:val="6"/>
              </w:rPr>
              <w:t>2025年06月</w:t>
            </w:r>
            <w:r>
              <w:rPr>
                <w:rFonts w:hint="default"/>
                <w:color w:val="auto"/>
                <w:spacing w:val="6"/>
              </w:rPr>
              <w:t>25</w:t>
            </w:r>
            <w:r>
              <w:rPr>
                <w:color w:val="auto"/>
                <w:spacing w:val="6"/>
              </w:rPr>
              <w:t>日</w:t>
            </w:r>
            <w:r>
              <w:rPr>
                <w:rFonts w:hint="default"/>
                <w:color w:val="auto"/>
                <w:spacing w:val="6"/>
              </w:rPr>
              <w:t>09</w:t>
            </w:r>
            <w:r>
              <w:rPr>
                <w:color w:val="auto"/>
                <w:spacing w:val="6"/>
              </w:rPr>
              <w:t>时00分</w:t>
            </w:r>
            <w:r>
              <w:rPr>
                <w:color w:val="auto"/>
              </w:rPr>
              <w:t>（北京时</w:t>
            </w:r>
            <w:r>
              <w:rPr>
                <w:color w:val="auto"/>
                <w:spacing w:val="-8"/>
              </w:rPr>
              <w:t>间）</w:t>
            </w:r>
          </w:p>
          <w:p w14:paraId="3687B3E6">
            <w:pPr>
              <w:pStyle w:val="24"/>
              <w:kinsoku/>
              <w:topLinePunct/>
              <w:autoSpaceDE/>
              <w:ind w:hanging="4"/>
              <w:rPr>
                <w:rFonts w:hint="default"/>
                <w:color w:val="auto"/>
              </w:rPr>
            </w:pPr>
            <w:r>
              <w:rPr>
                <w:color w:val="auto"/>
                <w:spacing w:val="6"/>
              </w:rPr>
              <w:t>开启地点：</w:t>
            </w:r>
            <w:r>
              <w:rPr>
                <w:color w:val="auto"/>
              </w:rPr>
              <w:t>政采云平台线上</w:t>
            </w:r>
          </w:p>
        </w:tc>
      </w:tr>
      <w:tr w14:paraId="07AA8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1988BC">
            <w:pPr>
              <w:pStyle w:val="24"/>
              <w:kinsoku/>
              <w:topLinePunct/>
              <w:autoSpaceDE/>
              <w:jc w:val="center"/>
              <w:rPr>
                <w:rFonts w:hint="default"/>
                <w:color w:val="auto"/>
              </w:rPr>
            </w:pPr>
            <w:r>
              <w:rPr>
                <w:color w:val="auto"/>
                <w:spacing w:val="1"/>
              </w:rPr>
              <w:t>5.2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191E59">
            <w:pPr>
              <w:pStyle w:val="24"/>
              <w:kinsoku/>
              <w:topLinePunct/>
              <w:autoSpaceDE/>
              <w:rPr>
                <w:rFonts w:hint="default"/>
              </w:rPr>
            </w:pPr>
            <w:r>
              <w:t>开启程序</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FE864E">
            <w:pPr>
              <w:pStyle w:val="24"/>
              <w:kinsoku/>
              <w:topLinePunct/>
              <w:autoSpaceDE/>
              <w:rPr>
                <w:rFonts w:hint="default"/>
                <w:color w:val="auto"/>
              </w:rPr>
            </w:pPr>
            <w:r>
              <w:rPr>
                <w:color w:val="auto"/>
                <w:spacing w:val="9"/>
              </w:rPr>
              <w:t>按政采云平台电子开标系统生成顺序进行</w:t>
            </w:r>
          </w:p>
        </w:tc>
      </w:tr>
      <w:tr w14:paraId="4C689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97"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1D7EBB">
            <w:pPr>
              <w:pStyle w:val="24"/>
              <w:kinsoku/>
              <w:topLinePunct/>
              <w:autoSpaceDE/>
              <w:spacing w:line="360" w:lineRule="auto"/>
              <w:jc w:val="center"/>
              <w:rPr>
                <w:rFonts w:hint="default"/>
                <w:color w:val="auto"/>
              </w:rPr>
            </w:pPr>
            <w:r>
              <w:rPr>
                <w:color w:val="auto"/>
                <w:spacing w:val="2"/>
              </w:rPr>
              <w:t>6.1.1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C82AC9">
            <w:pPr>
              <w:pStyle w:val="24"/>
              <w:kinsoku/>
              <w:topLinePunct/>
              <w:autoSpaceDE/>
              <w:rPr>
                <w:rFonts w:hint="default"/>
              </w:rPr>
            </w:pPr>
            <w:r>
              <w:t>磋商小组</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346B55">
            <w:pPr>
              <w:pStyle w:val="24"/>
              <w:kinsoku/>
              <w:topLinePunct/>
              <w:autoSpaceDE/>
              <w:rPr>
                <w:rFonts w:hint="default"/>
                <w:color w:val="auto"/>
              </w:rPr>
            </w:pPr>
            <w:r>
              <w:rPr>
                <w:color w:val="auto"/>
                <w:spacing w:val="6"/>
              </w:rPr>
              <w:t>磋商小组成员构成：评审专家3人。</w:t>
            </w:r>
          </w:p>
          <w:p w14:paraId="5AC86334">
            <w:pPr>
              <w:pStyle w:val="24"/>
              <w:kinsoku/>
              <w:topLinePunct/>
              <w:autoSpaceDE/>
              <w:ind w:hanging="2"/>
              <w:rPr>
                <w:rFonts w:hint="default"/>
                <w:color w:val="auto"/>
              </w:rPr>
            </w:pPr>
            <w:r>
              <w:rPr>
                <w:color w:val="auto"/>
                <w:spacing w:val="8"/>
              </w:rPr>
              <w:t>评审专家确定方式：由采购人在行政监督部门的监督下按专业配置要求，在政采云指定评标专家库中随机抽取</w:t>
            </w:r>
          </w:p>
        </w:tc>
      </w:tr>
      <w:tr w14:paraId="2B496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24"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674D7C">
            <w:pPr>
              <w:pStyle w:val="24"/>
              <w:kinsoku/>
              <w:topLinePunct/>
              <w:autoSpaceDE/>
              <w:jc w:val="center"/>
              <w:rPr>
                <w:rFonts w:hint="default"/>
              </w:rPr>
            </w:pPr>
            <w:r>
              <w:rPr>
                <w:spacing w:val="2"/>
              </w:rPr>
              <w:t>6.1.2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CD24C9">
            <w:pPr>
              <w:pStyle w:val="24"/>
              <w:kinsoku/>
              <w:topLinePunct/>
              <w:autoSpaceDE/>
              <w:rPr>
                <w:rFonts w:hint="default"/>
              </w:rPr>
            </w:pPr>
            <w:r>
              <w:t>磋商小组推荐成交候选供应商的人数</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20D971">
            <w:pPr>
              <w:pStyle w:val="24"/>
              <w:kinsoku/>
              <w:topLinePunct/>
              <w:autoSpaceDE/>
              <w:rPr>
                <w:rFonts w:hint="default"/>
              </w:rPr>
            </w:pPr>
            <w:r>
              <w:rPr>
                <w:color w:val="auto"/>
                <w:spacing w:val="1"/>
              </w:rPr>
              <w:t>磋商小组应当根据综合评分情况，按照评审得分由高到低顺序推荐3名以上成交候选供应商；评审得分相同的，按照最后报价由低到高的顺序推荐。评审得分且最后报价相同的，按照技术指标优劣顺序推荐</w:t>
            </w:r>
          </w:p>
        </w:tc>
      </w:tr>
      <w:tr w14:paraId="3CEBF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5"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F7EBB7">
            <w:pPr>
              <w:widowControl/>
              <w:topLinePunct/>
              <w:autoSpaceDN w:val="0"/>
              <w:adjustRightInd w:val="0"/>
              <w:snapToGrid w:val="0"/>
              <w:jc w:val="center"/>
              <w:rPr>
                <w:rFonts w:ascii="宋体" w:hAnsi="宋体" w:eastAsia="宋体" w:cs="宋体"/>
                <w:sz w:val="24"/>
              </w:rPr>
            </w:pPr>
          </w:p>
          <w:p w14:paraId="639F5BC4">
            <w:pPr>
              <w:pStyle w:val="24"/>
              <w:kinsoku/>
              <w:topLinePunct/>
              <w:autoSpaceDE/>
              <w:jc w:val="center"/>
              <w:rPr>
                <w:rFonts w:hint="default"/>
              </w:rPr>
            </w:pPr>
            <w:r>
              <w:t>7.1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5B26A3">
            <w:pPr>
              <w:pStyle w:val="24"/>
              <w:kinsoku/>
              <w:topLinePunct/>
              <w:autoSpaceDE/>
              <w:rPr>
                <w:rFonts w:hint="default"/>
              </w:rPr>
            </w:pPr>
            <w:r>
              <w:t>成交结果公告媒介及期限</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F4F4C7">
            <w:pPr>
              <w:pStyle w:val="24"/>
              <w:kinsoku/>
              <w:topLinePunct/>
              <w:autoSpaceDE/>
              <w:rPr>
                <w:rFonts w:hint="default"/>
                <w:color w:val="auto"/>
                <w:spacing w:val="9"/>
              </w:rPr>
            </w:pPr>
            <w:r>
              <w:rPr>
                <w:color w:val="auto"/>
                <w:spacing w:val="9"/>
              </w:rPr>
              <w:t>公告媒介：政采云平台发布、同步推送到吉林省政府采购网、吉林省公共资源交易公共服务平台</w:t>
            </w:r>
          </w:p>
          <w:p w14:paraId="2FB4F19A">
            <w:pPr>
              <w:pStyle w:val="24"/>
              <w:kinsoku/>
              <w:topLinePunct/>
              <w:autoSpaceDE/>
              <w:rPr>
                <w:rFonts w:hint="default"/>
              </w:rPr>
            </w:pPr>
            <w:r>
              <w:rPr>
                <w:color w:val="auto"/>
                <w:spacing w:val="9"/>
              </w:rPr>
              <w:t>公告期限：自成交结果公告发布之日起1个工作日</w:t>
            </w:r>
          </w:p>
        </w:tc>
      </w:tr>
      <w:tr w14:paraId="45B51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73"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08C92C">
            <w:pPr>
              <w:pStyle w:val="24"/>
              <w:kinsoku/>
              <w:topLinePunct/>
              <w:autoSpaceDE/>
              <w:jc w:val="center"/>
              <w:rPr>
                <w:rFonts w:hint="default"/>
              </w:rPr>
            </w:pPr>
            <w:r>
              <w:t>7.2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3A4400">
            <w:pPr>
              <w:pStyle w:val="24"/>
              <w:kinsoku/>
              <w:topLinePunct/>
              <w:autoSpaceDE/>
              <w:rPr>
                <w:rFonts w:hint="default"/>
              </w:rPr>
            </w:pPr>
            <w:r>
              <w:t>是否采用电子招标投标</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9F11D8">
            <w:pPr>
              <w:pStyle w:val="24"/>
              <w:kinsoku/>
              <w:topLinePunct/>
              <w:autoSpaceDE/>
              <w:rPr>
                <w:rFonts w:hint="default"/>
                <w:spacing w:val="3"/>
              </w:rPr>
            </w:pPr>
            <w:r>
              <w:rPr>
                <w:spacing w:val="3"/>
              </w:rPr>
              <w:t>☑采用</w:t>
            </w:r>
          </w:p>
          <w:p w14:paraId="21ACCA32">
            <w:pPr>
              <w:pStyle w:val="24"/>
              <w:kinsoku/>
              <w:topLinePunct/>
              <w:autoSpaceDE/>
              <w:rPr>
                <w:rFonts w:hint="default"/>
              </w:rPr>
            </w:pPr>
            <w:r>
              <w:rPr>
                <w:spacing w:val="6"/>
              </w:rPr>
              <w:t>□不采用</w:t>
            </w:r>
          </w:p>
        </w:tc>
      </w:tr>
      <w:tr w14:paraId="7EE61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9"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486CB0">
            <w:pPr>
              <w:pStyle w:val="24"/>
              <w:kinsoku/>
              <w:topLinePunct/>
              <w:autoSpaceDE/>
              <w:jc w:val="center"/>
              <w:rPr>
                <w:rFonts w:hint="default"/>
              </w:rPr>
            </w:pPr>
            <w:r>
              <w:t>7.4</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3DD601">
            <w:pPr>
              <w:pStyle w:val="24"/>
              <w:kinsoku/>
              <w:topLinePunct/>
              <w:autoSpaceDE/>
              <w:rPr>
                <w:rFonts w:hint="default"/>
              </w:rPr>
            </w:pPr>
            <w:r>
              <w:t>是否授权磋商小组确定中标人</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EF6556">
            <w:pPr>
              <w:pStyle w:val="24"/>
              <w:kinsoku/>
              <w:topLinePunct/>
              <w:autoSpaceDE/>
              <w:rPr>
                <w:rFonts w:hint="default"/>
              </w:rPr>
            </w:pPr>
            <w:r>
              <w:t>否</w:t>
            </w:r>
          </w:p>
        </w:tc>
      </w:tr>
      <w:tr w14:paraId="51CEA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9"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46D0D6">
            <w:pPr>
              <w:pStyle w:val="24"/>
              <w:kinsoku/>
              <w:topLinePunct/>
              <w:autoSpaceDE/>
              <w:jc w:val="center"/>
              <w:rPr>
                <w:rFonts w:hint="default"/>
              </w:rPr>
            </w:pPr>
            <w:r>
              <w:rPr>
                <w:spacing w:val="2"/>
              </w:rPr>
              <w:t>7.7.1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3D25CE">
            <w:pPr>
              <w:pStyle w:val="24"/>
              <w:kinsoku/>
              <w:topLinePunct/>
              <w:autoSpaceDE/>
              <w:rPr>
                <w:rFonts w:hint="default"/>
              </w:rPr>
            </w:pPr>
            <w:r>
              <w:t>履约保证金</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38159E">
            <w:pPr>
              <w:pStyle w:val="24"/>
              <w:kinsoku/>
              <w:topLinePunct/>
              <w:autoSpaceDE/>
              <w:rPr>
                <w:rFonts w:hint="default"/>
              </w:rPr>
            </w:pPr>
            <w:r>
              <w:t>无</w:t>
            </w:r>
          </w:p>
        </w:tc>
      </w:tr>
      <w:tr w14:paraId="77BDD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5" w:hRule="atLeast"/>
        </w:trPr>
        <w:tc>
          <w:tcPr>
            <w:tcW w:w="906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14:paraId="6F283449">
            <w:pPr>
              <w:pStyle w:val="24"/>
              <w:kinsoku/>
              <w:topLinePunct/>
              <w:autoSpaceDE/>
              <w:ind w:left="115"/>
              <w:jc w:val="center"/>
              <w:rPr>
                <w:rFonts w:hint="default"/>
                <w:b/>
              </w:rPr>
            </w:pPr>
            <w:r>
              <w:rPr>
                <w:b/>
              </w:rPr>
              <w:t>10 需要补充的其他内容</w:t>
            </w:r>
          </w:p>
        </w:tc>
      </w:tr>
      <w:tr w14:paraId="5B5C2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1"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9023FB">
            <w:pPr>
              <w:pStyle w:val="24"/>
              <w:kinsoku/>
              <w:topLinePunct/>
              <w:autoSpaceDE/>
              <w:spacing w:before="186" w:line="360" w:lineRule="auto"/>
              <w:jc w:val="center"/>
              <w:rPr>
                <w:rFonts w:hint="default"/>
              </w:rPr>
            </w:pPr>
            <w:r>
              <w:rPr>
                <w:spacing w:val="-2"/>
              </w:rPr>
              <w:t>10.1</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D76B41">
            <w:pPr>
              <w:pStyle w:val="24"/>
              <w:kinsoku/>
              <w:topLinePunct/>
              <w:autoSpaceDE/>
              <w:spacing w:before="66"/>
              <w:ind w:left="114"/>
              <w:rPr>
                <w:rFonts w:hint="default"/>
              </w:rPr>
            </w:pPr>
            <w:r>
              <w:t>类似项目</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341B46">
            <w:pPr>
              <w:pStyle w:val="24"/>
              <w:kinsoku/>
              <w:topLinePunct/>
              <w:autoSpaceDE/>
              <w:rPr>
                <w:rFonts w:hint="default"/>
              </w:rPr>
            </w:pPr>
            <w:r>
              <w:rPr>
                <w:spacing w:val="9"/>
              </w:rPr>
              <w:t>类似业绩指应符合磋商项目的内容</w:t>
            </w:r>
          </w:p>
        </w:tc>
      </w:tr>
      <w:tr w14:paraId="494C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4"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6BBE2C">
            <w:pPr>
              <w:pStyle w:val="24"/>
              <w:kinsoku/>
              <w:topLinePunct/>
              <w:autoSpaceDE/>
              <w:spacing w:before="187" w:line="360" w:lineRule="auto"/>
              <w:jc w:val="center"/>
              <w:rPr>
                <w:rFonts w:hint="default"/>
              </w:rPr>
            </w:pPr>
            <w:r>
              <w:rPr>
                <w:spacing w:val="-2"/>
              </w:rPr>
              <w:t>10.2</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C21779">
            <w:pPr>
              <w:pStyle w:val="24"/>
              <w:kinsoku/>
              <w:topLinePunct/>
              <w:autoSpaceDE/>
              <w:spacing w:before="66"/>
              <w:ind w:left="114"/>
              <w:rPr>
                <w:rFonts w:hint="default"/>
              </w:rPr>
            </w:pPr>
            <w:r>
              <w:t>不良行为记录</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0631C8">
            <w:pPr>
              <w:pStyle w:val="24"/>
              <w:kinsoku/>
              <w:topLinePunct/>
              <w:autoSpaceDE/>
              <w:rPr>
                <w:rFonts w:hint="default"/>
              </w:rPr>
            </w:pPr>
            <w:r>
              <w:rPr>
                <w:spacing w:val="9"/>
              </w:rPr>
              <w:t>被行政主管部门审查整顿并记录在案</w:t>
            </w:r>
          </w:p>
        </w:tc>
      </w:tr>
      <w:tr w14:paraId="0796D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3"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BA1161">
            <w:pPr>
              <w:pStyle w:val="24"/>
              <w:kinsoku/>
              <w:topLinePunct/>
              <w:autoSpaceDE/>
              <w:spacing w:before="65" w:line="360" w:lineRule="auto"/>
              <w:jc w:val="center"/>
              <w:rPr>
                <w:rFonts w:hint="default"/>
              </w:rPr>
            </w:pPr>
            <w:r>
              <w:rPr>
                <w:spacing w:val="-2"/>
              </w:rPr>
              <w:t>10.3</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CD0C56">
            <w:pPr>
              <w:pStyle w:val="24"/>
              <w:kinsoku/>
              <w:topLinePunct/>
              <w:autoSpaceDE/>
              <w:spacing w:before="66"/>
              <w:ind w:left="114"/>
              <w:rPr>
                <w:rFonts w:hint="default"/>
              </w:rPr>
            </w:pPr>
            <w:r>
              <w:t>供应商代表出席开标会</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A2244D">
            <w:pPr>
              <w:pStyle w:val="24"/>
              <w:kinsoku/>
              <w:topLinePunct/>
              <w:autoSpaceDE/>
              <w:rPr>
                <w:rFonts w:hint="default"/>
              </w:rPr>
            </w:pPr>
            <w:r>
              <w:rPr>
                <w:spacing w:val="8"/>
              </w:rPr>
              <w:t>本项目采取网上招标、网上投标、CA锁可以远程解密的方式进行不见面开标；在开标当天，供应商拟派代表务必于开标前提前进入政采云平台开标大厅，迟到者将按无效投标处理</w:t>
            </w:r>
          </w:p>
        </w:tc>
      </w:tr>
      <w:tr w14:paraId="1AB75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96"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F1F1F5">
            <w:pPr>
              <w:pStyle w:val="24"/>
              <w:kinsoku/>
              <w:topLinePunct/>
              <w:autoSpaceDE/>
              <w:spacing w:before="65" w:line="360" w:lineRule="auto"/>
              <w:jc w:val="center"/>
              <w:rPr>
                <w:rFonts w:hint="default"/>
                <w:color w:val="auto"/>
                <w:spacing w:val="-2"/>
              </w:rPr>
            </w:pPr>
            <w:r>
              <w:rPr>
                <w:color w:val="auto"/>
                <w:spacing w:val="-2"/>
              </w:rPr>
              <w:t>10.4</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B09EC8">
            <w:pPr>
              <w:pStyle w:val="24"/>
              <w:kinsoku/>
              <w:topLinePunct/>
              <w:autoSpaceDE/>
              <w:spacing w:before="66"/>
              <w:ind w:left="114"/>
              <w:rPr>
                <w:rFonts w:hint="default"/>
              </w:rPr>
            </w:pPr>
            <w:r>
              <w:t>知识产权</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039CF1">
            <w:pPr>
              <w:pStyle w:val="24"/>
              <w:kinsoku/>
              <w:topLinePunct/>
              <w:autoSpaceDE/>
              <w:rPr>
                <w:rFonts w:hint="default"/>
                <w:color w:val="auto"/>
                <w:spacing w:val="8"/>
              </w:rPr>
            </w:pPr>
            <w:r>
              <w:rPr>
                <w:color w:val="auto"/>
                <w:spacing w:val="8"/>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2AAE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11"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B7D26F">
            <w:pPr>
              <w:pStyle w:val="24"/>
              <w:kinsoku/>
              <w:topLinePunct/>
              <w:autoSpaceDE/>
              <w:spacing w:before="65" w:line="360" w:lineRule="auto"/>
              <w:jc w:val="center"/>
              <w:rPr>
                <w:rFonts w:hint="default"/>
                <w:color w:val="auto"/>
                <w:spacing w:val="-2"/>
              </w:rPr>
            </w:pPr>
            <w:r>
              <w:rPr>
                <w:color w:val="auto"/>
                <w:spacing w:val="-2"/>
              </w:rPr>
              <w:t>10.5</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BE9E62">
            <w:pPr>
              <w:pStyle w:val="24"/>
              <w:kinsoku/>
              <w:topLinePunct/>
              <w:autoSpaceDE/>
              <w:spacing w:before="66"/>
              <w:ind w:left="114"/>
              <w:rPr>
                <w:rFonts w:hint="default"/>
              </w:rPr>
            </w:pPr>
            <w:r>
              <w:t>不正当竞争预防措施</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5643FA">
            <w:pPr>
              <w:pStyle w:val="24"/>
              <w:kinsoku/>
              <w:topLinePunct/>
              <w:autoSpaceDE/>
              <w:ind w:firstLine="13"/>
              <w:rPr>
                <w:rFonts w:hint="default"/>
                <w:color w:val="auto"/>
                <w:spacing w:val="8"/>
              </w:rPr>
            </w:pPr>
            <w:r>
              <w:rPr>
                <w:color w:val="auto"/>
                <w:spacing w:val="8"/>
              </w:rPr>
              <w:t>1.在评审过程中，供应商报价过低，有可能影响产品质量或者不能诚信履约的，评标委员会应当要求其在合理的时间内提供书面说明，并提交相关证明材料，供应商不能证明其报价合理性的，评标委员会应当将其作为无效处理。</w:t>
            </w:r>
          </w:p>
          <w:p w14:paraId="454F0CFE">
            <w:pPr>
              <w:pStyle w:val="24"/>
              <w:kinsoku/>
              <w:topLinePunct/>
              <w:autoSpaceDE/>
              <w:ind w:firstLine="13"/>
              <w:rPr>
                <w:rFonts w:hint="default"/>
                <w:color w:val="auto"/>
                <w:spacing w:val="8"/>
              </w:rPr>
            </w:pPr>
            <w:r>
              <w:rPr>
                <w:color w:val="auto"/>
                <w:spacing w:val="8"/>
              </w:rPr>
              <w:t>供应商的书面说明材料应当按照国家财务会计制度的规定要求，逐项就供应商提供的货物、工程和服务的主营业务成本、税金及附加、销售费用、管理费用、财务费用等成本构成事项详细陈述。</w:t>
            </w:r>
          </w:p>
          <w:p w14:paraId="01010078">
            <w:pPr>
              <w:pStyle w:val="24"/>
              <w:kinsoku/>
              <w:topLinePunct/>
              <w:autoSpaceDE/>
              <w:ind w:firstLine="13"/>
              <w:rPr>
                <w:rFonts w:hint="default"/>
                <w:color w:val="auto"/>
                <w:spacing w:val="8"/>
              </w:rPr>
            </w:pPr>
            <w:r>
              <w:rPr>
                <w:color w:val="auto"/>
                <w:spacing w:val="8"/>
              </w:rPr>
              <w:t>2.供应商书面说明应当签字确认或者加盖公章，否则无效。书面说明的签字确认，由其法定代表人或企业主要负责人本人或者其授权代表签字确认。</w:t>
            </w:r>
          </w:p>
          <w:p w14:paraId="6C207F05">
            <w:pPr>
              <w:pStyle w:val="24"/>
              <w:kinsoku/>
              <w:topLinePunct/>
              <w:autoSpaceDE/>
              <w:ind w:firstLine="13"/>
              <w:rPr>
                <w:rFonts w:hint="default"/>
                <w:color w:val="auto"/>
                <w:spacing w:val="8"/>
              </w:rPr>
            </w:pPr>
            <w:r>
              <w:rPr>
                <w:color w:val="auto"/>
                <w:spacing w:val="8"/>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5A49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7"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CF7ECA">
            <w:pPr>
              <w:pStyle w:val="24"/>
              <w:kinsoku/>
              <w:topLinePunct/>
              <w:autoSpaceDE/>
              <w:spacing w:before="66" w:line="360" w:lineRule="auto"/>
              <w:jc w:val="center"/>
              <w:rPr>
                <w:rFonts w:hint="default"/>
              </w:rPr>
            </w:pPr>
            <w:r>
              <w:t>10.6</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E1B1CF">
            <w:pPr>
              <w:pStyle w:val="24"/>
              <w:kinsoku/>
              <w:topLinePunct/>
              <w:autoSpaceDE/>
              <w:spacing w:before="66"/>
              <w:ind w:left="114"/>
              <w:rPr>
                <w:rFonts w:hint="default"/>
              </w:rPr>
            </w:pPr>
            <w:r>
              <w:t>需要落实的政府采购政策</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6F7F38">
            <w:pPr>
              <w:pStyle w:val="24"/>
              <w:kinsoku/>
              <w:topLinePunct/>
              <w:autoSpaceDE/>
              <w:ind w:firstLine="2"/>
              <w:jc w:val="both"/>
              <w:rPr>
                <w:rFonts w:hint="default"/>
              </w:rPr>
            </w:pPr>
            <w:r>
              <w:t>本项目专门面向中小企业采购。</w:t>
            </w:r>
          </w:p>
          <w:p w14:paraId="032A9FDC">
            <w:pPr>
              <w:pStyle w:val="24"/>
              <w:kinsoku/>
              <w:topLinePunct/>
              <w:autoSpaceDE/>
              <w:ind w:firstLine="2"/>
              <w:jc w:val="both"/>
              <w:rPr>
                <w:rFonts w:hint="default"/>
              </w:rPr>
            </w:pPr>
            <w:r>
              <w:t>1、依照《政府采购促进中小企业发展管理办法》（财库﹝2020﹞46号）文件要求，在工程采购项目中，工程由中小企业承建，即工程施工单位为中小企业。中小企业参加政府采购活动，应当出具本采购文件规定的《中小企业声明函》。</w:t>
            </w:r>
          </w:p>
          <w:p w14:paraId="070E7621">
            <w:pPr>
              <w:pStyle w:val="24"/>
              <w:kinsoku/>
              <w:topLinePunct/>
              <w:autoSpaceDE/>
              <w:ind w:firstLine="2"/>
              <w:jc w:val="both"/>
              <w:rPr>
                <w:rFonts w:hint="default"/>
              </w:rPr>
            </w:pPr>
            <w:r>
              <w:t>2、监狱企业扶持政策：按照《财政部司法部关于政府采购支持监狱企业发展有关问题的通知》（财库【2014】68号）文件规定，在政府采购活动中，监狱企业视同小型、微型企业。监狱企业参加政府采购活动时，应当提供由省级以上监狱管理局、戒毒管理局(含新疆生产建设兵团)出具的属于监狱企业的证明文件。</w:t>
            </w:r>
          </w:p>
          <w:p w14:paraId="7466C02D">
            <w:pPr>
              <w:pStyle w:val="24"/>
              <w:kinsoku/>
              <w:topLinePunct/>
              <w:autoSpaceDE/>
              <w:ind w:firstLine="2"/>
              <w:jc w:val="both"/>
              <w:rPr>
                <w:rFonts w:hint="default"/>
              </w:rPr>
            </w:pPr>
            <w:r>
              <w:t>3、促进残疾人就业政府采购政策：根据《财政部 民政部 中国残疾人联合会关于促进残疾人就业政府采购政策的通知》（财库[2017]141号）文件规定：在政府采购活动中，残疾人福利性单位视同小型、微型企业，评审中享受同小型、微型企业相同的价格扣除。残疾人福利性单位属于小型、微型企业的，不重复享受政策。</w:t>
            </w:r>
          </w:p>
          <w:p w14:paraId="58E064C7">
            <w:pPr>
              <w:pStyle w:val="24"/>
              <w:kinsoku/>
              <w:topLinePunct/>
              <w:autoSpaceDE/>
              <w:ind w:firstLine="2"/>
              <w:jc w:val="both"/>
              <w:rPr>
                <w:rFonts w:hint="default"/>
              </w:rPr>
            </w:pPr>
            <w:r>
              <w:t>注：专门面向中小企业采购的项目或者采购包，不再执行价格评审优惠政策。</w:t>
            </w:r>
          </w:p>
        </w:tc>
      </w:tr>
      <w:tr w14:paraId="103A5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11"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2DF92C">
            <w:pPr>
              <w:pStyle w:val="24"/>
              <w:kinsoku/>
              <w:topLinePunct/>
              <w:autoSpaceDE/>
              <w:spacing w:before="241" w:line="360" w:lineRule="auto"/>
              <w:jc w:val="center"/>
              <w:rPr>
                <w:rFonts w:hint="default"/>
              </w:rPr>
            </w:pPr>
            <w:r>
              <w:t>10.7</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3494D5">
            <w:pPr>
              <w:pStyle w:val="24"/>
              <w:kinsoku/>
              <w:topLinePunct/>
              <w:autoSpaceDE/>
              <w:spacing w:before="66"/>
              <w:ind w:left="114"/>
              <w:rPr>
                <w:rFonts w:hint="default"/>
              </w:rPr>
            </w:pPr>
            <w:r>
              <w:t>中小企业划分标准所属行业</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D7EF9A">
            <w:pPr>
              <w:pStyle w:val="24"/>
              <w:kinsoku/>
              <w:topLinePunct/>
              <w:autoSpaceDE/>
              <w:ind w:hanging="16"/>
              <w:rPr>
                <w:rFonts w:hint="default"/>
              </w:rPr>
            </w:pPr>
            <w:r>
              <w:t>1.单位名称：通化县水利局</w:t>
            </w:r>
          </w:p>
          <w:p w14:paraId="00674626">
            <w:pPr>
              <w:pStyle w:val="24"/>
              <w:kinsoku/>
              <w:topLinePunct/>
              <w:autoSpaceDE/>
              <w:ind w:hanging="16"/>
              <w:rPr>
                <w:rFonts w:hint="default"/>
              </w:rPr>
            </w:pPr>
            <w:r>
              <w:t>2.项目名称：通化县2025年侵蚀沟治理项目（大泉源乡、英额布镇、富江乡治理项目区）工程监理服务</w:t>
            </w:r>
          </w:p>
          <w:p w14:paraId="78A82D77">
            <w:pPr>
              <w:pStyle w:val="24"/>
              <w:kinsoku/>
              <w:topLinePunct/>
              <w:autoSpaceDE/>
              <w:ind w:hanging="16"/>
              <w:rPr>
                <w:rFonts w:hint="default"/>
              </w:rPr>
            </w:pPr>
            <w:r>
              <w:t>3.标的名称：通化县2025年侵蚀沟治理项目（大泉源乡、英额布镇、富江乡治理项目区）工程监理服务</w:t>
            </w:r>
          </w:p>
          <w:p w14:paraId="413225A9">
            <w:pPr>
              <w:pStyle w:val="24"/>
              <w:kinsoku/>
              <w:topLinePunct/>
              <w:autoSpaceDE/>
              <w:ind w:hanging="16"/>
              <w:rPr>
                <w:rFonts w:hint="default"/>
              </w:rPr>
            </w:pPr>
            <w:r>
              <w:t>4.所属行业：其他未列明行业</w:t>
            </w:r>
          </w:p>
        </w:tc>
      </w:tr>
      <w:tr w14:paraId="374E5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3" w:hRule="atLeast"/>
        </w:trPr>
        <w:tc>
          <w:tcPr>
            <w:tcW w:w="9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0D1D6E">
            <w:pPr>
              <w:pStyle w:val="24"/>
              <w:kinsoku/>
              <w:topLinePunct/>
              <w:autoSpaceDE/>
              <w:spacing w:before="187" w:line="360" w:lineRule="auto"/>
              <w:jc w:val="center"/>
              <w:rPr>
                <w:rFonts w:hint="default"/>
              </w:rPr>
            </w:pPr>
            <w:r>
              <w:t>10.8</w:t>
            </w:r>
          </w:p>
        </w:tc>
        <w:tc>
          <w:tcPr>
            <w:tcW w:w="212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8B9C55">
            <w:pPr>
              <w:pStyle w:val="24"/>
              <w:kinsoku/>
              <w:topLinePunct/>
              <w:autoSpaceDE/>
              <w:spacing w:before="66"/>
              <w:ind w:left="114"/>
              <w:rPr>
                <w:rFonts w:hint="default"/>
              </w:rPr>
            </w:pPr>
            <w:r>
              <w:t>招标代理服务费</w:t>
            </w:r>
          </w:p>
        </w:tc>
        <w:tc>
          <w:tcPr>
            <w:tcW w:w="59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0E0E36">
            <w:pPr>
              <w:pStyle w:val="24"/>
              <w:kinsoku/>
              <w:topLinePunct/>
              <w:autoSpaceDE/>
              <w:rPr>
                <w:rFonts w:hint="default"/>
                <w:spacing w:val="6"/>
              </w:rPr>
            </w:pPr>
            <w:r>
              <w:rPr>
                <w:spacing w:val="6"/>
              </w:rPr>
              <w:t>按照国家发展改革委关于进一步放开建设项目专业服务价格的通知（发改价格【2015】299号）规定，执行市场调节价，按成交金额的1.5%为计算基数，乘以折扣系数95%，由成交供应商支付。</w:t>
            </w:r>
          </w:p>
        </w:tc>
      </w:tr>
    </w:tbl>
    <w:p w14:paraId="218388C0">
      <w:r>
        <w:br w:type="page"/>
      </w:r>
    </w:p>
    <w:p w14:paraId="2D7E58AA">
      <w:pPr>
        <w:pStyle w:val="13"/>
        <w:kinsoku/>
        <w:topLinePunct/>
        <w:autoSpaceDE/>
        <w:spacing w:before="84" w:beforeAutospacing="0" w:afterAutospacing="0" w:line="223" w:lineRule="auto"/>
        <w:outlineLvl w:val="1"/>
        <w:rPr>
          <w:spacing w:val="-6"/>
          <w:sz w:val="28"/>
          <w:szCs w:val="28"/>
        </w:rPr>
      </w:pPr>
      <w:bookmarkStart w:id="11" w:name="_Toc6063"/>
      <w:bookmarkStart w:id="12" w:name="_Toc199944346"/>
      <w:bookmarkStart w:id="13" w:name="_Toc200025568"/>
      <w:r>
        <w:rPr>
          <w:rFonts w:hint="eastAsia" w:ascii="宋体" w:hAnsi="宋体" w:eastAsia="宋体" w:cs="宋体"/>
          <w:spacing w:val="-11"/>
          <w:sz w:val="31"/>
          <w:szCs w:val="31"/>
          <w:lang w:bidi="ar"/>
        </w:rPr>
        <w:t>1．总则</w:t>
      </w:r>
      <w:bookmarkEnd w:id="11"/>
      <w:bookmarkEnd w:id="12"/>
      <w:bookmarkEnd w:id="13"/>
    </w:p>
    <w:p w14:paraId="1F9A29F0">
      <w:pPr>
        <w:pStyle w:val="13"/>
        <w:kinsoku/>
        <w:topLinePunct/>
        <w:autoSpaceDE/>
        <w:spacing w:before="91" w:beforeAutospacing="0" w:afterAutospacing="0" w:line="218" w:lineRule="auto"/>
        <w:ind w:left="22"/>
        <w:outlineLvl w:val="2"/>
        <w:rPr>
          <w:rFonts w:ascii="Arial" w:hAnsi="宋体" w:cs="宋体"/>
          <w:sz w:val="21"/>
          <w:szCs w:val="31"/>
        </w:rPr>
      </w:pPr>
      <w:bookmarkStart w:id="14" w:name="_Toc19596"/>
      <w:bookmarkStart w:id="15" w:name="_Toc199944347"/>
      <w:r>
        <w:rPr>
          <w:rFonts w:hint="eastAsia" w:ascii="宋体" w:hAnsi="宋体" w:eastAsia="宋体" w:cs="宋体"/>
          <w:spacing w:val="-6"/>
          <w:sz w:val="28"/>
          <w:szCs w:val="28"/>
          <w:lang w:bidi="ar"/>
        </w:rPr>
        <w:t>1.1项目概况</w:t>
      </w:r>
      <w:bookmarkEnd w:id="14"/>
      <w:bookmarkEnd w:id="15"/>
    </w:p>
    <w:p w14:paraId="35A75146">
      <w:pPr>
        <w:pStyle w:val="13"/>
        <w:kinsoku/>
        <w:topLinePunct/>
        <w:autoSpaceDE/>
        <w:spacing w:beforeAutospacing="0" w:afterAutospacing="0" w:line="360" w:lineRule="auto"/>
        <w:ind w:firstLine="434"/>
      </w:pPr>
      <w:r>
        <w:rPr>
          <w:rFonts w:hint="eastAsia" w:ascii="宋体" w:hAnsi="宋体" w:eastAsia="宋体" w:cs="宋体"/>
          <w:spacing w:val="9"/>
          <w:lang w:bidi="ar"/>
        </w:rPr>
        <w:t>1.1.1根据</w:t>
      </w:r>
      <w:r>
        <w:rPr>
          <w:rFonts w:hint="eastAsia" w:ascii="宋体" w:hAnsi="宋体" w:eastAsia="宋体" w:cs="宋体"/>
          <w:spacing w:val="8"/>
          <w:lang w:bidi="ar"/>
        </w:rPr>
        <w:t>《中</w:t>
      </w:r>
      <w:r>
        <w:rPr>
          <w:rFonts w:hint="eastAsia" w:ascii="宋体" w:hAnsi="宋体" w:eastAsia="宋体" w:cs="宋体"/>
          <w:spacing w:val="9"/>
          <w:lang w:bidi="ar"/>
        </w:rPr>
        <w:t>华人民共和国政府采购法》和《中华人民共和</w:t>
      </w:r>
      <w:r>
        <w:rPr>
          <w:rFonts w:hint="eastAsia" w:ascii="宋体" w:hAnsi="宋体" w:eastAsia="宋体" w:cs="宋体"/>
          <w:spacing w:val="8"/>
          <w:lang w:bidi="ar"/>
        </w:rPr>
        <w:t>国政府采购法实施条例》、财政部关于印发《政府采购竞争性磋商采购方式管理暂行办法》的通知等有关法律、法规和规章的规</w:t>
      </w:r>
      <w:r>
        <w:rPr>
          <w:rFonts w:hint="eastAsia" w:ascii="宋体" w:hAnsi="宋体" w:eastAsia="宋体" w:cs="宋体"/>
          <w:spacing w:val="9"/>
          <w:lang w:bidi="ar"/>
        </w:rPr>
        <w:t>定，现对本项目施工监理进行竞争性磋商。</w:t>
      </w:r>
    </w:p>
    <w:p w14:paraId="26E687BF">
      <w:pPr>
        <w:pStyle w:val="13"/>
        <w:kinsoku/>
        <w:topLinePunct/>
        <w:autoSpaceDE/>
        <w:spacing w:beforeAutospacing="0" w:afterAutospacing="0" w:line="360" w:lineRule="auto"/>
        <w:ind w:left="434"/>
      </w:pPr>
      <w:r>
        <w:rPr>
          <w:rFonts w:hint="eastAsia" w:ascii="宋体" w:hAnsi="宋体" w:eastAsia="宋体" w:cs="宋体"/>
          <w:spacing w:val="7"/>
          <w:lang w:bidi="ar"/>
        </w:rPr>
        <w:t>1.1.2本采购项目采购人：见供应商须知前附表。</w:t>
      </w:r>
    </w:p>
    <w:p w14:paraId="1AEDD4FF">
      <w:pPr>
        <w:pStyle w:val="13"/>
        <w:kinsoku/>
        <w:topLinePunct/>
        <w:autoSpaceDE/>
        <w:spacing w:beforeAutospacing="0" w:afterAutospacing="0" w:line="360" w:lineRule="auto"/>
        <w:ind w:left="434"/>
      </w:pPr>
      <w:r>
        <w:rPr>
          <w:rFonts w:hint="eastAsia" w:ascii="宋体" w:hAnsi="宋体" w:eastAsia="宋体" w:cs="宋体"/>
          <w:spacing w:val="7"/>
          <w:lang w:bidi="ar"/>
        </w:rPr>
        <w:t>1.1.3本标段采购代理机构：见供应商须知前附表。</w:t>
      </w:r>
    </w:p>
    <w:p w14:paraId="6C684DD0">
      <w:pPr>
        <w:pStyle w:val="13"/>
        <w:kinsoku/>
        <w:topLinePunct/>
        <w:autoSpaceDE/>
        <w:spacing w:beforeAutospacing="0" w:afterAutospacing="0" w:line="360" w:lineRule="auto"/>
        <w:ind w:left="434"/>
      </w:pPr>
      <w:r>
        <w:rPr>
          <w:rFonts w:hint="eastAsia" w:ascii="宋体" w:hAnsi="宋体" w:eastAsia="宋体" w:cs="宋体"/>
          <w:spacing w:val="7"/>
          <w:lang w:bidi="ar"/>
        </w:rPr>
        <w:t>1.1.4本采购项目名称：见供应商须知前附表。</w:t>
      </w:r>
    </w:p>
    <w:p w14:paraId="6A849185">
      <w:pPr>
        <w:pStyle w:val="13"/>
        <w:kinsoku/>
        <w:topLinePunct/>
        <w:autoSpaceDE/>
        <w:spacing w:beforeAutospacing="0" w:afterAutospacing="0" w:line="360" w:lineRule="auto"/>
        <w:ind w:left="434"/>
      </w:pPr>
      <w:r>
        <w:rPr>
          <w:rFonts w:hint="eastAsia" w:ascii="宋体" w:hAnsi="宋体" w:eastAsia="宋体" w:cs="宋体"/>
          <w:spacing w:val="7"/>
          <w:lang w:bidi="ar"/>
        </w:rPr>
        <w:t>1.1.5本标段建设地点：见供应商须知前附表。</w:t>
      </w:r>
    </w:p>
    <w:p w14:paraId="6423F739">
      <w:pPr>
        <w:pStyle w:val="13"/>
        <w:kinsoku/>
        <w:topLinePunct/>
        <w:autoSpaceDE/>
        <w:spacing w:beforeAutospacing="0" w:afterAutospacing="0" w:line="360" w:lineRule="auto"/>
        <w:ind w:left="434"/>
      </w:pPr>
      <w:r>
        <w:rPr>
          <w:rFonts w:hint="eastAsia" w:ascii="宋体" w:hAnsi="宋体" w:eastAsia="宋体" w:cs="宋体"/>
          <w:spacing w:val="7"/>
          <w:lang w:bidi="ar"/>
        </w:rPr>
        <w:t>1.1.6本标段监理范围：见供应商须知前附表。</w:t>
      </w:r>
    </w:p>
    <w:p w14:paraId="425FCE9E">
      <w:pPr>
        <w:pStyle w:val="13"/>
        <w:kinsoku/>
        <w:topLinePunct/>
        <w:autoSpaceDE/>
        <w:spacing w:beforeAutospacing="0" w:afterAutospacing="0" w:line="360" w:lineRule="auto"/>
        <w:ind w:left="434"/>
        <w:rPr>
          <w:sz w:val="28"/>
          <w:szCs w:val="28"/>
        </w:rPr>
      </w:pPr>
      <w:r>
        <w:rPr>
          <w:rFonts w:hint="eastAsia" w:ascii="宋体" w:hAnsi="宋体" w:eastAsia="宋体" w:cs="宋体"/>
          <w:spacing w:val="7"/>
          <w:lang w:bidi="ar"/>
        </w:rPr>
        <w:t>1.1.7本标段预算金额：见供应商须知前附表。</w:t>
      </w:r>
    </w:p>
    <w:p w14:paraId="6B05CEA1">
      <w:pPr>
        <w:pStyle w:val="13"/>
        <w:kinsoku/>
        <w:topLinePunct/>
        <w:autoSpaceDE/>
        <w:spacing w:beforeAutospacing="0" w:afterAutospacing="0" w:line="360" w:lineRule="auto"/>
        <w:ind w:left="22"/>
        <w:outlineLvl w:val="2"/>
        <w:rPr>
          <w:sz w:val="28"/>
          <w:szCs w:val="28"/>
        </w:rPr>
      </w:pPr>
      <w:bookmarkStart w:id="16" w:name="_Toc199944348"/>
      <w:bookmarkStart w:id="17" w:name="_Toc30153"/>
      <w:r>
        <w:rPr>
          <w:rFonts w:hint="eastAsia" w:ascii="宋体" w:hAnsi="宋体" w:eastAsia="宋体" w:cs="宋体"/>
          <w:spacing w:val="-2"/>
          <w:sz w:val="28"/>
          <w:szCs w:val="28"/>
          <w:lang w:bidi="ar"/>
        </w:rPr>
        <w:t>1.2资金来源和落实情况</w:t>
      </w:r>
      <w:bookmarkEnd w:id="16"/>
      <w:bookmarkEnd w:id="17"/>
    </w:p>
    <w:p w14:paraId="6B49331D">
      <w:pPr>
        <w:pStyle w:val="13"/>
        <w:kinsoku/>
        <w:topLinePunct/>
        <w:autoSpaceDE/>
        <w:spacing w:beforeAutospacing="0" w:afterAutospacing="0" w:line="360" w:lineRule="auto"/>
        <w:ind w:left="434"/>
      </w:pPr>
      <w:r>
        <w:rPr>
          <w:rFonts w:hint="eastAsia" w:ascii="宋体" w:hAnsi="宋体" w:eastAsia="宋体" w:cs="宋体"/>
          <w:spacing w:val="7"/>
          <w:lang w:bidi="ar"/>
        </w:rPr>
        <w:t>1.2.1本采购项目的资金来源：见供应商须知前附表。</w:t>
      </w:r>
    </w:p>
    <w:p w14:paraId="3F2E3E4C">
      <w:pPr>
        <w:pStyle w:val="13"/>
        <w:kinsoku/>
        <w:topLinePunct/>
        <w:autoSpaceDE/>
        <w:spacing w:beforeAutospacing="0" w:afterAutospacing="0" w:line="360" w:lineRule="auto"/>
        <w:ind w:left="434"/>
      </w:pPr>
      <w:r>
        <w:rPr>
          <w:rFonts w:hint="eastAsia" w:ascii="宋体" w:hAnsi="宋体" w:eastAsia="宋体" w:cs="宋体"/>
          <w:spacing w:val="7"/>
          <w:lang w:bidi="ar"/>
        </w:rPr>
        <w:t>1.2.2本采购项目的出资比例：见供应商须知前附表。</w:t>
      </w:r>
    </w:p>
    <w:p w14:paraId="01497150">
      <w:pPr>
        <w:pStyle w:val="13"/>
        <w:kinsoku/>
        <w:topLinePunct/>
        <w:autoSpaceDE/>
        <w:spacing w:beforeAutospacing="0" w:afterAutospacing="0" w:line="360" w:lineRule="auto"/>
        <w:ind w:left="434"/>
        <w:rPr>
          <w:sz w:val="28"/>
          <w:szCs w:val="28"/>
        </w:rPr>
      </w:pPr>
      <w:r>
        <w:rPr>
          <w:rFonts w:hint="eastAsia" w:ascii="宋体" w:hAnsi="宋体" w:eastAsia="宋体" w:cs="宋体"/>
          <w:spacing w:val="8"/>
          <w:lang w:bidi="ar"/>
        </w:rPr>
        <w:t>1.2.3本采购项目的资金落实情况：见供应商</w:t>
      </w:r>
      <w:r>
        <w:rPr>
          <w:rFonts w:hint="eastAsia" w:ascii="宋体" w:hAnsi="宋体" w:eastAsia="宋体" w:cs="宋体"/>
          <w:spacing w:val="7"/>
          <w:lang w:bidi="ar"/>
        </w:rPr>
        <w:t>须知前附表。</w:t>
      </w:r>
    </w:p>
    <w:p w14:paraId="29B80F18">
      <w:pPr>
        <w:pStyle w:val="13"/>
        <w:kinsoku/>
        <w:topLinePunct/>
        <w:autoSpaceDE/>
        <w:spacing w:beforeAutospacing="0" w:afterAutospacing="0" w:line="360" w:lineRule="auto"/>
        <w:ind w:left="22"/>
        <w:outlineLvl w:val="2"/>
        <w:rPr>
          <w:sz w:val="28"/>
          <w:szCs w:val="28"/>
        </w:rPr>
      </w:pPr>
      <w:bookmarkStart w:id="18" w:name="_Toc28677"/>
      <w:bookmarkStart w:id="19" w:name="_Toc199944349"/>
      <w:r>
        <w:rPr>
          <w:rFonts w:hint="eastAsia" w:ascii="宋体" w:hAnsi="宋体" w:eastAsia="宋体" w:cs="宋体"/>
          <w:spacing w:val="-1"/>
          <w:sz w:val="28"/>
          <w:szCs w:val="28"/>
          <w:lang w:bidi="ar"/>
        </w:rPr>
        <w:t>1.3采购范围、计划工期和质量要求</w:t>
      </w:r>
      <w:bookmarkEnd w:id="18"/>
      <w:bookmarkEnd w:id="19"/>
    </w:p>
    <w:p w14:paraId="416919BE">
      <w:pPr>
        <w:pStyle w:val="13"/>
        <w:kinsoku/>
        <w:topLinePunct/>
        <w:autoSpaceDE/>
        <w:spacing w:beforeAutospacing="0" w:afterAutospacing="0" w:line="360" w:lineRule="auto"/>
        <w:ind w:left="434"/>
      </w:pPr>
      <w:r>
        <w:rPr>
          <w:rFonts w:hint="eastAsia" w:ascii="宋体" w:hAnsi="宋体" w:eastAsia="宋体" w:cs="宋体"/>
          <w:spacing w:val="7"/>
          <w:lang w:bidi="ar"/>
        </w:rPr>
        <w:t>1.3.1本次监理周期：见供应商须知前附表。</w:t>
      </w:r>
    </w:p>
    <w:p w14:paraId="64B3335F">
      <w:pPr>
        <w:pStyle w:val="13"/>
        <w:kinsoku/>
        <w:topLinePunct/>
        <w:autoSpaceDE/>
        <w:spacing w:beforeAutospacing="0" w:afterAutospacing="0" w:line="360" w:lineRule="auto"/>
        <w:ind w:left="434"/>
        <w:rPr>
          <w:sz w:val="28"/>
          <w:szCs w:val="28"/>
        </w:rPr>
      </w:pPr>
      <w:r>
        <w:rPr>
          <w:rFonts w:hint="eastAsia" w:ascii="宋体" w:hAnsi="宋体" w:eastAsia="宋体" w:cs="宋体"/>
          <w:spacing w:val="7"/>
          <w:lang w:bidi="ar"/>
        </w:rPr>
        <w:t>1.3.2本标段的质量标准：见供应商须知前附表。</w:t>
      </w:r>
    </w:p>
    <w:p w14:paraId="74421043">
      <w:pPr>
        <w:pStyle w:val="13"/>
        <w:kinsoku/>
        <w:topLinePunct/>
        <w:autoSpaceDE/>
        <w:spacing w:beforeAutospacing="0" w:afterAutospacing="0" w:line="360" w:lineRule="auto"/>
        <w:ind w:left="22"/>
        <w:outlineLvl w:val="2"/>
        <w:rPr>
          <w:sz w:val="28"/>
          <w:szCs w:val="28"/>
        </w:rPr>
      </w:pPr>
      <w:bookmarkStart w:id="20" w:name="_Toc30506"/>
      <w:bookmarkStart w:id="21" w:name="_Toc199944350"/>
      <w:r>
        <w:rPr>
          <w:rFonts w:hint="eastAsia" w:ascii="宋体" w:hAnsi="宋体" w:eastAsia="宋体" w:cs="宋体"/>
          <w:spacing w:val="-2"/>
          <w:sz w:val="28"/>
          <w:szCs w:val="28"/>
          <w:lang w:bidi="ar"/>
        </w:rPr>
        <w:t>1.4供应商资格要求</w:t>
      </w:r>
      <w:bookmarkEnd w:id="20"/>
      <w:bookmarkEnd w:id="21"/>
    </w:p>
    <w:p w14:paraId="65909D95">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1.4.1供应商应具备承担本标段施工监理的资质条件、能力和信誉。</w:t>
      </w:r>
    </w:p>
    <w:p w14:paraId="197554FB">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1.4.2供应商须知前附表规定接受联合体投标的，除应符合本章第1.4.1项和供应商须知前附表的要求外，还应遵守以下规定：</w:t>
      </w:r>
    </w:p>
    <w:p w14:paraId="35D6A590">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(1）联合体各方应按磋商文件提供的格式签订联合体协议书，明确联合体牵头人和各方权利义务；</w:t>
      </w:r>
    </w:p>
    <w:p w14:paraId="4C08DEE5">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(2）由同一专业的单位组成的联合体，按照资质等级较低的单位确定资质等级；</w:t>
      </w:r>
    </w:p>
    <w:p w14:paraId="23C26287">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(3）联合体各方不得再以自己名义单独或参加其他联合体在同一标段中投标。</w:t>
      </w:r>
    </w:p>
    <w:p w14:paraId="5FEB9A23">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1.4.3供应商不得存在下列情形之一：</w:t>
      </w:r>
      <w:bookmarkStart w:id="22" w:name="_Toc14624"/>
    </w:p>
    <w:p w14:paraId="1B52C2A8">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（1）为招标人不具有独立法人资格的附属机构（单位）</w:t>
      </w:r>
    </w:p>
    <w:p w14:paraId="16EA9468">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（2）与招标人存在利害关系且可能影响采购公正性；</w:t>
      </w:r>
    </w:p>
    <w:p w14:paraId="34A3A760">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（3）与本采购项目的其他供应商为同一个单位负责人；</w:t>
      </w:r>
    </w:p>
    <w:p w14:paraId="7CC76A79">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（4）与本采购项目的其他供应商存在控股、管理关系；</w:t>
      </w:r>
    </w:p>
    <w:p w14:paraId="119F3DD5">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（5）为本采购项目的代建人；</w:t>
      </w:r>
    </w:p>
    <w:p w14:paraId="56814329">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（6）为本采购项目的招标代理机构；</w:t>
      </w:r>
    </w:p>
    <w:p w14:paraId="5FD838D4">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（7）与本采购项目的代建人或采购代理机构同为一个法定代表人；</w:t>
      </w:r>
    </w:p>
    <w:p w14:paraId="08C13875">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（8）与本采购项目的代建人或采购代理机构存在控股或参股关系；</w:t>
      </w:r>
    </w:p>
    <w:p w14:paraId="3AB15158">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（9）与本采购项目的施工承包人以及建筑材料、建筑构配件和设备供应商有隶属关系或者其他利害关系；</w:t>
      </w:r>
    </w:p>
    <w:p w14:paraId="4D46F5B1">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（10）被依法暂停或者取消投标资格；</w:t>
      </w:r>
    </w:p>
    <w:p w14:paraId="5CFFCE80">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（11）被责令停产停业、暂扣或者吊销许可证、暂扣或者吊销执照；</w:t>
      </w:r>
    </w:p>
    <w:p w14:paraId="446032BB">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（12）进入清算程序，或被宣告破产，或其他丧失履约能力的情形；</w:t>
      </w:r>
    </w:p>
    <w:p w14:paraId="344CB853">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（13）在最近三年内发生重大监理质量问题（以相关行业主管部门的行政处罚决定或司法机关出具的有关法律文书为准）；</w:t>
      </w:r>
    </w:p>
    <w:p w14:paraId="04A89E3C">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（14）法律法规或供应商须知前附表规定的其他情形。</w:t>
      </w:r>
    </w:p>
    <w:p w14:paraId="19DE12C3">
      <w:pPr>
        <w:pStyle w:val="13"/>
        <w:kinsoku/>
        <w:topLinePunct/>
        <w:autoSpaceDE/>
        <w:spacing w:beforeAutospacing="0" w:afterAutospacing="0" w:line="360" w:lineRule="auto"/>
        <w:rPr>
          <w:sz w:val="28"/>
          <w:szCs w:val="28"/>
        </w:rPr>
      </w:pPr>
      <w:r>
        <w:rPr>
          <w:rFonts w:hint="eastAsia" w:ascii="宋体" w:hAnsi="宋体" w:eastAsia="宋体" w:cs="宋体"/>
          <w:spacing w:val="-8"/>
          <w:sz w:val="28"/>
          <w:szCs w:val="28"/>
          <w:lang w:bidi="ar"/>
        </w:rPr>
        <w:t>1.5费用承担</w:t>
      </w:r>
      <w:bookmarkEnd w:id="22"/>
    </w:p>
    <w:p w14:paraId="0EB57137">
      <w:pPr>
        <w:pStyle w:val="13"/>
        <w:kinsoku/>
        <w:topLinePunct/>
        <w:autoSpaceDE/>
        <w:spacing w:beforeAutospacing="0" w:afterAutospacing="0" w:line="360" w:lineRule="auto"/>
        <w:ind w:left="420"/>
        <w:rPr>
          <w:sz w:val="28"/>
          <w:szCs w:val="28"/>
        </w:rPr>
      </w:pPr>
      <w:r>
        <w:rPr>
          <w:rFonts w:hint="eastAsia" w:ascii="宋体" w:hAnsi="宋体" w:eastAsia="宋体" w:cs="宋体"/>
          <w:spacing w:val="8"/>
          <w:lang w:bidi="ar"/>
        </w:rPr>
        <w:t>供应商准备和参加磋商活动发生的费用自理。</w:t>
      </w:r>
    </w:p>
    <w:p w14:paraId="23873562">
      <w:pPr>
        <w:pStyle w:val="13"/>
        <w:kinsoku/>
        <w:topLinePunct/>
        <w:autoSpaceDE/>
        <w:spacing w:beforeAutospacing="0" w:afterAutospacing="0" w:line="360" w:lineRule="auto"/>
        <w:ind w:left="21"/>
        <w:outlineLvl w:val="2"/>
        <w:rPr>
          <w:sz w:val="28"/>
          <w:szCs w:val="28"/>
        </w:rPr>
      </w:pPr>
      <w:bookmarkStart w:id="23" w:name="_Toc199944351"/>
      <w:bookmarkStart w:id="24" w:name="_Toc579"/>
      <w:r>
        <w:rPr>
          <w:rFonts w:hint="eastAsia" w:ascii="宋体" w:hAnsi="宋体" w:eastAsia="宋体" w:cs="宋体"/>
          <w:spacing w:val="-8"/>
          <w:sz w:val="28"/>
          <w:szCs w:val="28"/>
          <w:lang w:bidi="ar"/>
        </w:rPr>
        <w:t>1.6保密</w:t>
      </w:r>
      <w:bookmarkEnd w:id="23"/>
      <w:bookmarkEnd w:id="24"/>
    </w:p>
    <w:p w14:paraId="375EB1E1">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参与磋商活动的各方应对磋商文件和响应文件中的商业和技术等秘密保密，违者应对由此造成的后果承担法律责任。</w:t>
      </w:r>
    </w:p>
    <w:p w14:paraId="00011B52">
      <w:pPr>
        <w:pStyle w:val="13"/>
        <w:kinsoku/>
        <w:topLinePunct/>
        <w:autoSpaceDE/>
        <w:spacing w:beforeAutospacing="0" w:afterAutospacing="0" w:line="360" w:lineRule="auto"/>
        <w:ind w:left="24"/>
        <w:outlineLvl w:val="2"/>
        <w:rPr>
          <w:sz w:val="28"/>
          <w:szCs w:val="28"/>
        </w:rPr>
      </w:pPr>
      <w:bookmarkStart w:id="25" w:name="_Toc31288"/>
      <w:bookmarkStart w:id="26" w:name="_Toc199944352"/>
      <w:r>
        <w:rPr>
          <w:rFonts w:hint="eastAsia" w:ascii="宋体" w:hAnsi="宋体" w:eastAsia="宋体" w:cs="宋体"/>
          <w:spacing w:val="-4"/>
          <w:sz w:val="28"/>
          <w:szCs w:val="28"/>
          <w:lang w:bidi="ar"/>
        </w:rPr>
        <w:t>1.7语言文字</w:t>
      </w:r>
      <w:bookmarkEnd w:id="25"/>
      <w:bookmarkEnd w:id="26"/>
    </w:p>
    <w:p w14:paraId="691F8130">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除专用术语外，与磋商活动有关的语言均使用中文。必要时专用术语应附有中文注释。</w:t>
      </w:r>
    </w:p>
    <w:p w14:paraId="70AD0257">
      <w:pPr>
        <w:pStyle w:val="13"/>
        <w:kinsoku/>
        <w:topLinePunct/>
        <w:autoSpaceDE/>
        <w:spacing w:beforeAutospacing="0" w:afterAutospacing="0" w:line="360" w:lineRule="auto"/>
        <w:ind w:left="24"/>
        <w:outlineLvl w:val="2"/>
        <w:rPr>
          <w:sz w:val="22"/>
          <w:szCs w:val="22"/>
        </w:rPr>
      </w:pPr>
      <w:bookmarkStart w:id="27" w:name="_Toc22249"/>
      <w:bookmarkStart w:id="28" w:name="_Toc199944353"/>
      <w:r>
        <w:rPr>
          <w:rFonts w:hint="eastAsia" w:ascii="宋体" w:hAnsi="宋体" w:eastAsia="宋体" w:cs="宋体"/>
          <w:spacing w:val="-4"/>
          <w:sz w:val="32"/>
          <w:szCs w:val="32"/>
          <w:lang w:bidi="ar"/>
        </w:rPr>
        <w:t>1.8计量单位</w:t>
      </w:r>
      <w:bookmarkEnd w:id="27"/>
      <w:bookmarkEnd w:id="28"/>
    </w:p>
    <w:p w14:paraId="452E3766">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所有计量均采用中华人民共和国法定计量单位。</w:t>
      </w:r>
    </w:p>
    <w:p w14:paraId="3B6EAF05">
      <w:pPr>
        <w:pStyle w:val="13"/>
        <w:kinsoku/>
        <w:topLinePunct/>
        <w:autoSpaceDE/>
        <w:spacing w:beforeAutospacing="0" w:afterAutospacing="0" w:line="360" w:lineRule="auto"/>
        <w:ind w:left="24"/>
        <w:outlineLvl w:val="2"/>
        <w:rPr>
          <w:sz w:val="28"/>
          <w:szCs w:val="28"/>
        </w:rPr>
      </w:pPr>
      <w:bookmarkStart w:id="29" w:name="_Toc30485"/>
      <w:bookmarkStart w:id="30" w:name="_Toc199944354"/>
      <w:r>
        <w:rPr>
          <w:rFonts w:hint="eastAsia" w:ascii="宋体" w:hAnsi="宋体" w:eastAsia="宋体" w:cs="宋体"/>
          <w:spacing w:val="-6"/>
          <w:sz w:val="32"/>
          <w:szCs w:val="32"/>
          <w:lang w:bidi="ar"/>
        </w:rPr>
        <w:t>1.9踏勘现场</w:t>
      </w:r>
      <w:bookmarkEnd w:id="29"/>
      <w:bookmarkEnd w:id="30"/>
    </w:p>
    <w:p w14:paraId="6422F8CA">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1.9.1供应商须知前附表规定组织踏勘现场的，采购人按供应商须知前附表规定的时间、地点组织供应商踏勘项目现场。</w:t>
      </w:r>
    </w:p>
    <w:p w14:paraId="0800DF08">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1.9.2供应商踏勘现场发生的费用自理。</w:t>
      </w:r>
    </w:p>
    <w:p w14:paraId="37BDDBBB">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1.9.3除采购人的原因外，供应商自行负责在踏勘现场中所发生的人员伤亡和财产损失。</w:t>
      </w:r>
    </w:p>
    <w:p w14:paraId="394D9FF5">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1.9.4采购人在踏勘现场中介绍的工程场地和相关的周边环境情况，供供应商在编制响应文件时参考，采购人不对供应商据此作出的判断和决策负责。</w:t>
      </w:r>
    </w:p>
    <w:p w14:paraId="3B064102">
      <w:pPr>
        <w:pStyle w:val="13"/>
        <w:kinsoku/>
        <w:topLinePunct/>
        <w:autoSpaceDE/>
        <w:spacing w:beforeAutospacing="0" w:afterAutospacing="0" w:line="360" w:lineRule="auto"/>
        <w:ind w:left="24"/>
        <w:outlineLvl w:val="2"/>
        <w:rPr>
          <w:sz w:val="28"/>
          <w:szCs w:val="28"/>
        </w:rPr>
      </w:pPr>
      <w:bookmarkStart w:id="31" w:name="_Toc10243"/>
      <w:bookmarkStart w:id="32" w:name="_Toc199944355"/>
      <w:r>
        <w:rPr>
          <w:rFonts w:hint="eastAsia" w:ascii="宋体" w:hAnsi="宋体" w:eastAsia="宋体" w:cs="宋体"/>
          <w:spacing w:val="-3"/>
          <w:sz w:val="32"/>
          <w:szCs w:val="32"/>
          <w:lang w:bidi="ar"/>
        </w:rPr>
        <w:t>1.10磋商预备会</w:t>
      </w:r>
      <w:bookmarkEnd w:id="31"/>
      <w:bookmarkEnd w:id="32"/>
    </w:p>
    <w:p w14:paraId="4B9DA7FF">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1.10.1供应商须知前附表规定召开磋商预备会的，采购人按供应商须知前附表规定的时间和地点召开磋商预备会，澄清供应商提出的问题。</w:t>
      </w:r>
    </w:p>
    <w:p w14:paraId="059D9433">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1.10.2供应商应在供应商须知前附表规定的时间前，以书面形式将提出的问题送达采购人，以便采购人在会议期间澄清。</w:t>
      </w:r>
    </w:p>
    <w:p w14:paraId="1FAB0839">
      <w:pPr>
        <w:pStyle w:val="13"/>
        <w:kinsoku/>
        <w:topLinePunct/>
        <w:autoSpaceDE/>
        <w:spacing w:beforeAutospacing="0" w:afterAutospacing="0" w:line="360" w:lineRule="auto"/>
        <w:ind w:firstLine="512" w:firstLineChars="200"/>
        <w:rPr>
          <w:sz w:val="28"/>
          <w:szCs w:val="28"/>
        </w:rPr>
      </w:pPr>
      <w:r>
        <w:rPr>
          <w:rFonts w:hint="eastAsia" w:ascii="宋体" w:hAnsi="宋体" w:eastAsia="宋体" w:cs="宋体"/>
          <w:spacing w:val="8"/>
          <w:lang w:bidi="ar"/>
        </w:rPr>
        <w:t>1.10.3磋商预备会后，采购人在供应商须知前附表规定的时间内，将对供应商所提问题的澄清，</w:t>
      </w:r>
      <w:r>
        <w:rPr>
          <w:rFonts w:hint="eastAsia" w:ascii="宋体" w:hAnsi="宋体" w:eastAsia="宋体" w:cs="宋体"/>
          <w:spacing w:val="9"/>
          <w:lang w:bidi="ar"/>
        </w:rPr>
        <w:t>以书面方式通知所有购买磋商文件的供应商。该澄清内容为磋</w:t>
      </w:r>
      <w:r>
        <w:rPr>
          <w:rFonts w:hint="eastAsia" w:ascii="宋体" w:hAnsi="宋体" w:eastAsia="宋体" w:cs="宋体"/>
          <w:spacing w:val="8"/>
          <w:lang w:bidi="ar"/>
        </w:rPr>
        <w:t>商文件的组成部分。</w:t>
      </w:r>
    </w:p>
    <w:p w14:paraId="05F73C42">
      <w:pPr>
        <w:pStyle w:val="13"/>
        <w:kinsoku/>
        <w:topLinePunct/>
        <w:autoSpaceDE/>
        <w:spacing w:beforeAutospacing="0" w:afterAutospacing="0" w:line="360" w:lineRule="auto"/>
        <w:ind w:left="24"/>
        <w:outlineLvl w:val="2"/>
        <w:rPr>
          <w:sz w:val="28"/>
          <w:szCs w:val="28"/>
        </w:rPr>
      </w:pPr>
      <w:bookmarkStart w:id="33" w:name="_Toc1108"/>
      <w:bookmarkStart w:id="34" w:name="_Toc199944356"/>
      <w:r>
        <w:rPr>
          <w:rFonts w:hint="eastAsia" w:ascii="宋体" w:hAnsi="宋体" w:eastAsia="宋体" w:cs="宋体"/>
          <w:spacing w:val="-7"/>
          <w:sz w:val="28"/>
          <w:szCs w:val="28"/>
          <w:lang w:bidi="ar"/>
        </w:rPr>
        <w:t>1.11分包</w:t>
      </w:r>
      <w:bookmarkEnd w:id="33"/>
      <w:bookmarkEnd w:id="34"/>
    </w:p>
    <w:p w14:paraId="1C7DC7D4">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供应商拟在成交后将中标项目的部分非主体、非关键性工作进行分包的，应符合供应商须知前附表规定的分包内容、分包金额和接受分包的第三人资质要求等限制性条件。</w:t>
      </w:r>
    </w:p>
    <w:p w14:paraId="6F85A6A7">
      <w:pPr>
        <w:pStyle w:val="13"/>
        <w:kinsoku/>
        <w:topLinePunct/>
        <w:autoSpaceDE/>
        <w:spacing w:beforeAutospacing="0" w:afterAutospacing="0" w:line="360" w:lineRule="auto"/>
        <w:outlineLvl w:val="2"/>
        <w:rPr>
          <w:sz w:val="28"/>
          <w:szCs w:val="28"/>
        </w:rPr>
      </w:pPr>
      <w:bookmarkStart w:id="35" w:name="_Toc30661"/>
      <w:bookmarkStart w:id="36" w:name="_Toc199944357"/>
      <w:r>
        <w:rPr>
          <w:rFonts w:hint="eastAsia" w:ascii="宋体" w:hAnsi="宋体" w:eastAsia="宋体" w:cs="宋体"/>
          <w:spacing w:val="-6"/>
          <w:sz w:val="28"/>
          <w:szCs w:val="28"/>
          <w:lang w:bidi="ar"/>
        </w:rPr>
        <w:t>1.12偏离</w:t>
      </w:r>
      <w:bookmarkEnd w:id="35"/>
      <w:bookmarkEnd w:id="36"/>
    </w:p>
    <w:p w14:paraId="52F6A1C8">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供应商须知前附表允许响应文件偏离磋商文件某些要求的，偏离应当符合磋商文件规定的偏离范围和幅度。</w:t>
      </w:r>
    </w:p>
    <w:p w14:paraId="292B1EDD">
      <w:pPr>
        <w:pStyle w:val="13"/>
        <w:kinsoku/>
        <w:topLinePunct/>
        <w:autoSpaceDE/>
        <w:spacing w:beforeAutospacing="0" w:afterAutospacing="0" w:line="360" w:lineRule="auto"/>
        <w:ind w:left="8"/>
        <w:outlineLvl w:val="1"/>
        <w:rPr>
          <w:sz w:val="21"/>
          <w:szCs w:val="21"/>
        </w:rPr>
      </w:pPr>
      <w:bookmarkStart w:id="37" w:name="_Toc199944358"/>
      <w:bookmarkStart w:id="38" w:name="_Toc17207"/>
      <w:bookmarkStart w:id="39" w:name="_Toc200025569"/>
      <w:r>
        <w:rPr>
          <w:rFonts w:hint="eastAsia" w:ascii="宋体" w:hAnsi="宋体" w:eastAsia="宋体" w:cs="宋体"/>
          <w:spacing w:val="7"/>
          <w:sz w:val="28"/>
          <w:szCs w:val="28"/>
          <w:lang w:bidi="ar"/>
        </w:rPr>
        <w:t>2．磋商文件</w:t>
      </w:r>
      <w:bookmarkEnd w:id="37"/>
      <w:bookmarkEnd w:id="38"/>
      <w:bookmarkEnd w:id="39"/>
    </w:p>
    <w:p w14:paraId="055C9362">
      <w:pPr>
        <w:pStyle w:val="13"/>
        <w:kinsoku/>
        <w:topLinePunct/>
        <w:autoSpaceDE/>
        <w:spacing w:beforeAutospacing="0" w:afterAutospacing="0" w:line="360" w:lineRule="auto"/>
        <w:ind w:left="6"/>
        <w:outlineLvl w:val="2"/>
        <w:rPr>
          <w:sz w:val="28"/>
          <w:szCs w:val="28"/>
        </w:rPr>
      </w:pPr>
      <w:bookmarkStart w:id="40" w:name="_Toc199944359"/>
      <w:bookmarkStart w:id="41" w:name="_Toc29373"/>
      <w:r>
        <w:rPr>
          <w:rFonts w:hint="eastAsia" w:ascii="宋体" w:hAnsi="宋体" w:eastAsia="宋体" w:cs="宋体"/>
          <w:spacing w:val="-1"/>
          <w:sz w:val="28"/>
          <w:szCs w:val="28"/>
          <w:lang w:bidi="ar"/>
        </w:rPr>
        <w:t>2.1磋商文件的组成</w:t>
      </w:r>
      <w:bookmarkEnd w:id="40"/>
      <w:bookmarkEnd w:id="41"/>
    </w:p>
    <w:p w14:paraId="0E6306B1">
      <w:pPr>
        <w:pStyle w:val="13"/>
        <w:kinsoku/>
        <w:topLinePunct/>
        <w:autoSpaceDE/>
        <w:spacing w:beforeAutospacing="0" w:afterAutospacing="0" w:line="360" w:lineRule="auto"/>
        <w:ind w:left="420"/>
      </w:pPr>
      <w:r>
        <w:rPr>
          <w:rFonts w:hint="eastAsia" w:ascii="宋体" w:hAnsi="宋体" w:eastAsia="宋体" w:cs="宋体"/>
          <w:spacing w:val="7"/>
          <w:lang w:bidi="ar"/>
        </w:rPr>
        <w:t>本磋商文件包括：</w:t>
      </w:r>
    </w:p>
    <w:p w14:paraId="0EF6C634">
      <w:pPr>
        <w:pStyle w:val="13"/>
        <w:kinsoku/>
        <w:topLinePunct/>
        <w:autoSpaceDE/>
        <w:spacing w:beforeAutospacing="0" w:afterAutospacing="0" w:line="360" w:lineRule="auto"/>
        <w:ind w:left="456"/>
      </w:pPr>
      <w:r>
        <w:rPr>
          <w:rFonts w:hint="eastAsia" w:ascii="宋体" w:hAnsi="宋体" w:eastAsia="宋体" w:cs="宋体"/>
          <w:spacing w:val="4"/>
          <w:lang w:bidi="ar"/>
        </w:rPr>
        <w:t>(1）竞争性磋商公告；</w:t>
      </w:r>
    </w:p>
    <w:p w14:paraId="7C5A1641">
      <w:pPr>
        <w:pStyle w:val="13"/>
        <w:kinsoku/>
        <w:topLinePunct/>
        <w:autoSpaceDE/>
        <w:spacing w:beforeAutospacing="0" w:afterAutospacing="0" w:line="360" w:lineRule="auto"/>
        <w:ind w:left="456"/>
      </w:pPr>
      <w:r>
        <w:rPr>
          <w:rFonts w:hint="eastAsia" w:ascii="宋体" w:hAnsi="宋体" w:eastAsia="宋体" w:cs="宋体"/>
          <w:spacing w:val="2"/>
          <w:lang w:bidi="ar"/>
        </w:rPr>
        <w:t>(2）供应商须知；</w:t>
      </w:r>
    </w:p>
    <w:p w14:paraId="1742D14B">
      <w:pPr>
        <w:pStyle w:val="13"/>
        <w:kinsoku/>
        <w:topLinePunct/>
        <w:autoSpaceDE/>
        <w:spacing w:beforeAutospacing="0" w:afterAutospacing="0" w:line="360" w:lineRule="auto"/>
        <w:ind w:left="456"/>
      </w:pPr>
      <w:r>
        <w:rPr>
          <w:rFonts w:hint="eastAsia" w:ascii="宋体" w:hAnsi="宋体" w:eastAsia="宋体" w:cs="宋体"/>
          <w:spacing w:val="1"/>
          <w:lang w:bidi="ar"/>
        </w:rPr>
        <w:t>(3）评标办法；</w:t>
      </w:r>
    </w:p>
    <w:p w14:paraId="0DDAF886">
      <w:pPr>
        <w:pStyle w:val="13"/>
        <w:kinsoku/>
        <w:topLinePunct/>
        <w:autoSpaceDE/>
        <w:spacing w:beforeAutospacing="0" w:afterAutospacing="0" w:line="360" w:lineRule="auto"/>
        <w:ind w:left="456"/>
      </w:pPr>
      <w:r>
        <w:rPr>
          <w:rFonts w:hint="eastAsia" w:ascii="宋体" w:hAnsi="宋体" w:eastAsia="宋体" w:cs="宋体"/>
          <w:spacing w:val="4"/>
          <w:lang w:bidi="ar"/>
        </w:rPr>
        <w:t>(4）合同条款及格式；</w:t>
      </w:r>
    </w:p>
    <w:p w14:paraId="0ED5CF9E">
      <w:pPr>
        <w:pStyle w:val="13"/>
        <w:kinsoku/>
        <w:topLinePunct/>
        <w:autoSpaceDE/>
        <w:spacing w:beforeAutospacing="0" w:afterAutospacing="0" w:line="360" w:lineRule="auto"/>
        <w:ind w:left="456"/>
        <w:rPr>
          <w:color w:val="auto"/>
        </w:rPr>
      </w:pPr>
      <w:r>
        <w:rPr>
          <w:rFonts w:hint="eastAsia" w:ascii="宋体" w:hAnsi="宋体" w:eastAsia="宋体" w:cs="宋体"/>
          <w:color w:val="auto"/>
          <w:spacing w:val="2"/>
          <w:lang w:bidi="ar"/>
        </w:rPr>
        <w:t>(5）发包人要求；</w:t>
      </w:r>
    </w:p>
    <w:p w14:paraId="74A48A93">
      <w:pPr>
        <w:pStyle w:val="13"/>
        <w:kinsoku/>
        <w:topLinePunct/>
        <w:autoSpaceDE/>
        <w:spacing w:beforeAutospacing="0" w:afterAutospacing="0" w:line="360" w:lineRule="auto"/>
        <w:ind w:left="456"/>
      </w:pPr>
      <w:r>
        <w:rPr>
          <w:rFonts w:hint="eastAsia" w:ascii="宋体" w:hAnsi="宋体" w:eastAsia="宋体" w:cs="宋体"/>
          <w:spacing w:val="3"/>
          <w:lang w:bidi="ar"/>
        </w:rPr>
        <w:t>(6）响应文件格式；</w:t>
      </w:r>
    </w:p>
    <w:p w14:paraId="5B82D389">
      <w:pPr>
        <w:pStyle w:val="13"/>
        <w:kinsoku/>
        <w:topLinePunct/>
        <w:autoSpaceDE/>
        <w:spacing w:beforeAutospacing="0" w:afterAutospacing="0" w:line="360" w:lineRule="auto"/>
        <w:ind w:firstLine="524" w:firstLineChars="200"/>
        <w:rPr>
          <w:sz w:val="28"/>
          <w:szCs w:val="28"/>
        </w:rPr>
      </w:pPr>
      <w:r>
        <w:rPr>
          <w:rFonts w:hint="eastAsia" w:ascii="宋体" w:hAnsi="宋体" w:eastAsia="宋体" w:cs="宋体"/>
          <w:spacing w:val="11"/>
          <w:lang w:bidi="ar"/>
        </w:rPr>
        <w:t>根据本章第1.10款、第2.2款和第2.3款对磋商文件所作的澄清、修改，构成磋商文件的组成部分。</w:t>
      </w:r>
    </w:p>
    <w:p w14:paraId="6DE2576B">
      <w:pPr>
        <w:pStyle w:val="13"/>
        <w:kinsoku/>
        <w:topLinePunct/>
        <w:autoSpaceDE/>
        <w:spacing w:beforeAutospacing="0" w:afterAutospacing="0" w:line="360" w:lineRule="auto"/>
        <w:ind w:left="6"/>
        <w:outlineLvl w:val="2"/>
        <w:rPr>
          <w:spacing w:val="11"/>
        </w:rPr>
      </w:pPr>
      <w:bookmarkStart w:id="42" w:name="_Toc199944360"/>
      <w:bookmarkStart w:id="43" w:name="_Toc25866"/>
      <w:r>
        <w:rPr>
          <w:rFonts w:hint="eastAsia" w:ascii="宋体" w:hAnsi="宋体" w:eastAsia="宋体" w:cs="宋体"/>
          <w:spacing w:val="-1"/>
          <w:sz w:val="28"/>
          <w:szCs w:val="28"/>
          <w:lang w:bidi="ar"/>
        </w:rPr>
        <w:t>2.2磋商文件的澄清</w:t>
      </w:r>
      <w:bookmarkEnd w:id="42"/>
      <w:bookmarkEnd w:id="43"/>
    </w:p>
    <w:p w14:paraId="1913BE04">
      <w:pPr>
        <w:pStyle w:val="13"/>
        <w:kinsoku/>
        <w:topLinePunct/>
        <w:autoSpaceDE/>
        <w:spacing w:beforeAutospacing="0" w:afterAutospacing="0" w:line="360" w:lineRule="auto"/>
        <w:ind w:firstLine="524" w:firstLineChars="200"/>
        <w:rPr>
          <w:spacing w:val="11"/>
        </w:rPr>
      </w:pPr>
      <w:r>
        <w:rPr>
          <w:rFonts w:hint="eastAsia" w:ascii="宋体" w:hAnsi="宋体" w:eastAsia="宋体" w:cs="宋体"/>
          <w:spacing w:val="11"/>
          <w:lang w:bidi="ar"/>
        </w:rPr>
        <w:t>2.2.1供应商应仔细阅读和检查磋商文件的全部内容。如发现缺页或附件不全，应及时向采购人提出，以便补齐。如有疑问，应在供应商须知前附表规定的时间前以书面形式及政采云平台提出，要求采购人对磋商文件予以澄清。</w:t>
      </w:r>
    </w:p>
    <w:p w14:paraId="07E00A5B">
      <w:pPr>
        <w:pStyle w:val="13"/>
        <w:kinsoku/>
        <w:topLinePunct/>
        <w:autoSpaceDE/>
        <w:spacing w:beforeAutospacing="0" w:afterAutospacing="0" w:line="360" w:lineRule="auto"/>
        <w:ind w:left="2" w:firstLine="420"/>
      </w:pPr>
      <w:r>
        <w:rPr>
          <w:rFonts w:hint="eastAsia" w:ascii="宋体" w:hAnsi="宋体" w:eastAsia="宋体" w:cs="宋体"/>
          <w:spacing w:val="11"/>
          <w:lang w:bidi="ar"/>
        </w:rPr>
        <w:t>2.2.2磋商文件的澄清将在供应商须知前附表规定的时间</w:t>
      </w:r>
      <w:r>
        <w:rPr>
          <w:rFonts w:hint="eastAsia" w:ascii="宋体" w:hAnsi="宋体" w:eastAsia="宋体" w:cs="宋体"/>
          <w:spacing w:val="10"/>
          <w:lang w:bidi="ar"/>
        </w:rPr>
        <w:t>在政采云平台通知</w:t>
      </w:r>
      <w:r>
        <w:rPr>
          <w:rFonts w:hint="eastAsia" w:ascii="宋体" w:hAnsi="宋体" w:eastAsia="宋体" w:cs="宋体"/>
          <w:spacing w:val="8"/>
          <w:lang w:bidi="ar"/>
        </w:rPr>
        <w:t>的供应商。</w:t>
      </w:r>
    </w:p>
    <w:p w14:paraId="59BAE0C6">
      <w:pPr>
        <w:pStyle w:val="13"/>
        <w:kinsoku/>
        <w:topLinePunct/>
        <w:autoSpaceDE/>
        <w:spacing w:beforeAutospacing="0" w:afterAutospacing="0" w:line="360" w:lineRule="auto"/>
        <w:ind w:firstLine="524" w:firstLineChars="200"/>
        <w:rPr>
          <w:spacing w:val="-1"/>
          <w:sz w:val="40"/>
          <w:szCs w:val="40"/>
        </w:rPr>
      </w:pPr>
      <w:r>
        <w:rPr>
          <w:rFonts w:hint="eastAsia" w:ascii="宋体" w:hAnsi="宋体" w:eastAsia="宋体" w:cs="宋体"/>
          <w:spacing w:val="11"/>
          <w:lang w:bidi="ar"/>
        </w:rPr>
        <w:t>2.2.3供应商在收到澄清后，应在供应商须知前附表规定的时间内以书面形式通知采购人，确认己收到该澄清。</w:t>
      </w:r>
    </w:p>
    <w:p w14:paraId="3B85B690">
      <w:pPr>
        <w:pStyle w:val="13"/>
        <w:kinsoku/>
        <w:topLinePunct/>
        <w:autoSpaceDE/>
        <w:spacing w:beforeAutospacing="0" w:afterAutospacing="0" w:line="360" w:lineRule="auto"/>
        <w:ind w:left="7"/>
        <w:outlineLvl w:val="2"/>
        <w:rPr>
          <w:sz w:val="28"/>
          <w:szCs w:val="28"/>
        </w:rPr>
      </w:pPr>
      <w:bookmarkStart w:id="44" w:name="_Toc10292"/>
      <w:bookmarkStart w:id="45" w:name="_Toc199944361"/>
      <w:r>
        <w:rPr>
          <w:rFonts w:hint="eastAsia" w:ascii="宋体" w:hAnsi="宋体" w:eastAsia="宋体" w:cs="宋体"/>
          <w:spacing w:val="-1"/>
          <w:sz w:val="28"/>
          <w:szCs w:val="28"/>
          <w:lang w:bidi="ar"/>
        </w:rPr>
        <w:t>2.3磋商文件的修改</w:t>
      </w:r>
      <w:bookmarkEnd w:id="44"/>
      <w:bookmarkEnd w:id="45"/>
    </w:p>
    <w:p w14:paraId="2B6F7961">
      <w:pPr>
        <w:pStyle w:val="13"/>
        <w:kinsoku/>
        <w:topLinePunct/>
        <w:autoSpaceDE/>
        <w:spacing w:beforeAutospacing="0" w:afterAutospacing="0" w:line="360" w:lineRule="auto"/>
        <w:ind w:left="425"/>
        <w:rPr>
          <w:spacing w:val="8"/>
        </w:rPr>
      </w:pPr>
      <w:bookmarkStart w:id="46" w:name="_Toc199944362"/>
      <w:bookmarkStart w:id="47" w:name="_Toc31347"/>
      <w:r>
        <w:rPr>
          <w:rFonts w:hint="eastAsia" w:ascii="宋体" w:hAnsi="宋体" w:eastAsia="宋体" w:cs="宋体"/>
          <w:spacing w:val="8"/>
          <w:lang w:bidi="ar"/>
        </w:rPr>
        <w:t>详见供应商须知前附表</w:t>
      </w:r>
      <w:bookmarkEnd w:id="46"/>
      <w:bookmarkEnd w:id="47"/>
    </w:p>
    <w:p w14:paraId="4D8FE380">
      <w:pPr>
        <w:pStyle w:val="13"/>
        <w:kinsoku/>
        <w:topLinePunct/>
        <w:autoSpaceDE/>
        <w:spacing w:beforeAutospacing="0" w:afterAutospacing="0" w:line="360" w:lineRule="auto"/>
        <w:ind w:left="12"/>
        <w:outlineLvl w:val="1"/>
        <w:rPr>
          <w:sz w:val="21"/>
          <w:szCs w:val="21"/>
        </w:rPr>
      </w:pPr>
      <w:bookmarkStart w:id="48" w:name="_Toc12981"/>
      <w:bookmarkStart w:id="49" w:name="_Toc200025570"/>
      <w:bookmarkStart w:id="50" w:name="_Toc199944363"/>
      <w:r>
        <w:rPr>
          <w:rFonts w:hint="eastAsia" w:ascii="宋体" w:hAnsi="宋体" w:eastAsia="宋体" w:cs="宋体"/>
          <w:spacing w:val="6"/>
          <w:sz w:val="28"/>
          <w:szCs w:val="28"/>
          <w:lang w:bidi="ar"/>
        </w:rPr>
        <w:t>3．响应文件</w:t>
      </w:r>
      <w:bookmarkEnd w:id="48"/>
      <w:bookmarkEnd w:id="49"/>
      <w:bookmarkEnd w:id="50"/>
    </w:p>
    <w:p w14:paraId="7034D73B">
      <w:pPr>
        <w:pStyle w:val="13"/>
        <w:kinsoku/>
        <w:topLinePunct/>
        <w:autoSpaceDE/>
        <w:spacing w:beforeAutospacing="0" w:afterAutospacing="0" w:line="360" w:lineRule="auto"/>
        <w:ind w:left="10"/>
        <w:outlineLvl w:val="2"/>
        <w:rPr>
          <w:sz w:val="21"/>
          <w:szCs w:val="21"/>
        </w:rPr>
      </w:pPr>
      <w:bookmarkStart w:id="51" w:name="_Toc199944364"/>
      <w:bookmarkStart w:id="52" w:name="_Toc13920"/>
      <w:r>
        <w:rPr>
          <w:rFonts w:hint="eastAsia" w:ascii="宋体" w:hAnsi="宋体" w:eastAsia="宋体" w:cs="宋体"/>
          <w:spacing w:val="-4"/>
          <w:sz w:val="28"/>
          <w:szCs w:val="28"/>
          <w:lang w:bidi="ar"/>
        </w:rPr>
        <w:t>3.1响应文件的组成</w:t>
      </w:r>
      <w:bookmarkEnd w:id="51"/>
      <w:bookmarkEnd w:id="52"/>
    </w:p>
    <w:p w14:paraId="61B029A8">
      <w:pPr>
        <w:pStyle w:val="13"/>
        <w:kinsoku/>
        <w:topLinePunct/>
        <w:autoSpaceDE/>
        <w:spacing w:beforeAutospacing="0" w:afterAutospacing="0" w:line="360" w:lineRule="auto"/>
        <w:ind w:left="425"/>
      </w:pPr>
      <w:r>
        <w:rPr>
          <w:rFonts w:hint="eastAsia" w:ascii="宋体" w:hAnsi="宋体" w:eastAsia="宋体" w:cs="宋体"/>
          <w:spacing w:val="7"/>
          <w:lang w:bidi="ar"/>
        </w:rPr>
        <w:t>3.1.1响应文件应包括下列内容：</w:t>
      </w:r>
    </w:p>
    <w:p w14:paraId="02BB536F">
      <w:pPr>
        <w:pStyle w:val="13"/>
        <w:kinsoku/>
        <w:topLinePunct/>
        <w:autoSpaceDE/>
        <w:spacing w:beforeAutospacing="0" w:afterAutospacing="0" w:line="360" w:lineRule="auto"/>
        <w:ind w:left="425"/>
      </w:pPr>
      <w:r>
        <w:rPr>
          <w:rFonts w:hint="eastAsia" w:ascii="宋体" w:hAnsi="宋体" w:eastAsia="宋体" w:cs="宋体"/>
          <w:spacing w:val="8"/>
          <w:lang w:bidi="ar"/>
        </w:rPr>
        <w:t>一、投标函及投标函附录</w:t>
      </w:r>
    </w:p>
    <w:p w14:paraId="470D1197">
      <w:pPr>
        <w:pStyle w:val="13"/>
        <w:kinsoku/>
        <w:topLinePunct/>
        <w:autoSpaceDE/>
        <w:spacing w:beforeAutospacing="0" w:afterAutospacing="0" w:line="360" w:lineRule="auto"/>
        <w:ind w:left="425"/>
      </w:pPr>
      <w:r>
        <w:rPr>
          <w:rFonts w:hint="eastAsia" w:ascii="宋体" w:hAnsi="宋体" w:eastAsia="宋体" w:cs="宋体"/>
          <w:spacing w:val="9"/>
          <w:position w:val="14"/>
          <w:lang w:bidi="ar"/>
        </w:rPr>
        <w:t>二、法定代表人身份证明、授权委托书</w:t>
      </w:r>
    </w:p>
    <w:p w14:paraId="58FB77A9">
      <w:pPr>
        <w:pStyle w:val="13"/>
        <w:kinsoku/>
        <w:topLinePunct/>
        <w:autoSpaceDE/>
        <w:spacing w:beforeAutospacing="0" w:afterAutospacing="0" w:line="360" w:lineRule="auto"/>
        <w:ind w:left="421"/>
      </w:pPr>
      <w:r>
        <w:rPr>
          <w:rFonts w:hint="eastAsia" w:ascii="宋体" w:hAnsi="宋体" w:eastAsia="宋体" w:cs="宋体"/>
          <w:spacing w:val="8"/>
          <w:lang w:bidi="ar"/>
        </w:rPr>
        <w:t>三、开标一览表</w:t>
      </w:r>
    </w:p>
    <w:p w14:paraId="21A57CDF">
      <w:pPr>
        <w:pStyle w:val="13"/>
        <w:kinsoku/>
        <w:topLinePunct/>
        <w:autoSpaceDE/>
        <w:spacing w:beforeAutospacing="0" w:afterAutospacing="0" w:line="360" w:lineRule="auto"/>
        <w:ind w:left="441"/>
      </w:pPr>
      <w:r>
        <w:rPr>
          <w:rFonts w:hint="eastAsia" w:ascii="宋体" w:hAnsi="宋体" w:eastAsia="宋体" w:cs="宋体"/>
          <w:spacing w:val="5"/>
          <w:lang w:bidi="ar"/>
        </w:rPr>
        <w:t>四、投标保证金</w:t>
      </w:r>
    </w:p>
    <w:p w14:paraId="06FC770E">
      <w:pPr>
        <w:pStyle w:val="13"/>
        <w:kinsoku/>
        <w:topLinePunct/>
        <w:autoSpaceDE/>
        <w:spacing w:beforeAutospacing="0" w:afterAutospacing="0" w:line="360" w:lineRule="auto"/>
        <w:ind w:left="425"/>
      </w:pPr>
      <w:r>
        <w:rPr>
          <w:rFonts w:hint="eastAsia" w:ascii="宋体" w:hAnsi="宋体" w:eastAsia="宋体" w:cs="宋体"/>
          <w:spacing w:val="8"/>
          <w:position w:val="14"/>
          <w:lang w:bidi="ar"/>
        </w:rPr>
        <w:t>五、供应商基本情况表</w:t>
      </w:r>
    </w:p>
    <w:p w14:paraId="611D927B">
      <w:pPr>
        <w:pStyle w:val="13"/>
        <w:kinsoku/>
        <w:topLinePunct/>
        <w:autoSpaceDE/>
        <w:spacing w:beforeAutospacing="0" w:afterAutospacing="0" w:line="360" w:lineRule="auto"/>
        <w:ind w:left="441"/>
        <w:rPr>
          <w:spacing w:val="5"/>
        </w:rPr>
      </w:pPr>
      <w:r>
        <w:rPr>
          <w:rFonts w:hint="eastAsia" w:ascii="宋体" w:hAnsi="宋体" w:eastAsia="宋体" w:cs="宋体"/>
          <w:spacing w:val="5"/>
          <w:lang w:bidi="ar"/>
        </w:rPr>
        <w:t>六、监理大纲</w:t>
      </w:r>
    </w:p>
    <w:p w14:paraId="656F5CB9">
      <w:pPr>
        <w:pStyle w:val="13"/>
        <w:kinsoku/>
        <w:topLinePunct/>
        <w:autoSpaceDE/>
        <w:spacing w:beforeAutospacing="0" w:afterAutospacing="0" w:line="360" w:lineRule="auto"/>
        <w:ind w:left="441"/>
        <w:rPr>
          <w:spacing w:val="5"/>
        </w:rPr>
      </w:pPr>
      <w:r>
        <w:rPr>
          <w:rFonts w:hint="eastAsia" w:ascii="宋体" w:hAnsi="宋体" w:eastAsia="宋体" w:cs="宋体"/>
          <w:spacing w:val="5"/>
          <w:lang w:bidi="ar"/>
        </w:rPr>
        <w:t>七、其他材料</w:t>
      </w:r>
    </w:p>
    <w:p w14:paraId="298A03EF">
      <w:pPr>
        <w:pStyle w:val="13"/>
        <w:kinsoku/>
        <w:topLinePunct/>
        <w:autoSpaceDE/>
        <w:spacing w:beforeAutospacing="0" w:afterAutospacing="0" w:line="360" w:lineRule="auto"/>
        <w:ind w:firstLine="524" w:firstLineChars="200"/>
        <w:rPr>
          <w:sz w:val="28"/>
          <w:szCs w:val="28"/>
        </w:rPr>
      </w:pPr>
      <w:r>
        <w:rPr>
          <w:rFonts w:hint="eastAsia" w:ascii="宋体" w:hAnsi="宋体" w:eastAsia="宋体" w:cs="宋体"/>
          <w:spacing w:val="11"/>
          <w:lang w:bidi="ar"/>
        </w:rPr>
        <w:t>3.1.2供应商须知前附表规定不接受联合体投标的，或供应商没有组成联合体的，响应文件不包括本章第3.1.1(3）目所指的联合体协议书。</w:t>
      </w:r>
    </w:p>
    <w:p w14:paraId="3A206F6A">
      <w:pPr>
        <w:pStyle w:val="13"/>
        <w:kinsoku/>
        <w:topLinePunct/>
        <w:autoSpaceDE/>
        <w:spacing w:beforeAutospacing="0" w:afterAutospacing="0" w:line="360" w:lineRule="auto"/>
        <w:ind w:left="10"/>
        <w:outlineLvl w:val="2"/>
        <w:rPr>
          <w:sz w:val="28"/>
          <w:szCs w:val="28"/>
        </w:rPr>
      </w:pPr>
      <w:bookmarkStart w:id="53" w:name="_Toc14780"/>
      <w:bookmarkStart w:id="54" w:name="_Toc199944365"/>
      <w:r>
        <w:rPr>
          <w:rFonts w:hint="eastAsia" w:ascii="宋体" w:hAnsi="宋体" w:eastAsia="宋体" w:cs="宋体"/>
          <w:spacing w:val="-2"/>
          <w:sz w:val="28"/>
          <w:szCs w:val="28"/>
          <w:lang w:bidi="ar"/>
        </w:rPr>
        <w:t>3.2磋商报价</w:t>
      </w:r>
      <w:bookmarkEnd w:id="53"/>
      <w:bookmarkEnd w:id="54"/>
    </w:p>
    <w:p w14:paraId="58B4B53E">
      <w:pPr>
        <w:pStyle w:val="13"/>
        <w:kinsoku/>
        <w:topLinePunct/>
        <w:autoSpaceDE/>
        <w:spacing w:beforeAutospacing="0" w:afterAutospacing="0" w:line="360" w:lineRule="auto"/>
        <w:ind w:firstLine="524" w:firstLineChars="200"/>
        <w:rPr>
          <w:spacing w:val="11"/>
        </w:rPr>
      </w:pPr>
      <w:r>
        <w:rPr>
          <w:rFonts w:hint="eastAsia" w:ascii="宋体" w:hAnsi="宋体" w:eastAsia="宋体" w:cs="宋体"/>
          <w:spacing w:val="11"/>
          <w:lang w:bidi="ar"/>
        </w:rPr>
        <w:t>3.2.1供应商应按磋商文件的要求填写相应表格。</w:t>
      </w:r>
    </w:p>
    <w:p w14:paraId="653BFA1C">
      <w:pPr>
        <w:pStyle w:val="13"/>
        <w:kinsoku/>
        <w:topLinePunct/>
        <w:autoSpaceDE/>
        <w:spacing w:beforeAutospacing="0" w:afterAutospacing="0" w:line="360" w:lineRule="auto"/>
        <w:ind w:firstLine="524" w:firstLineChars="200"/>
        <w:rPr>
          <w:spacing w:val="11"/>
        </w:rPr>
      </w:pPr>
      <w:r>
        <w:rPr>
          <w:rFonts w:hint="eastAsia" w:ascii="宋体" w:hAnsi="宋体" w:eastAsia="宋体" w:cs="宋体"/>
          <w:spacing w:val="11"/>
          <w:lang w:bidi="ar"/>
        </w:rPr>
        <w:t>3.2.2供应商在投标截止时间前修改磋商函中的磋商报价，应同时修改开标一览表表中的相应报价。此修改须符合本章第4.3款的有关要求。</w:t>
      </w:r>
    </w:p>
    <w:p w14:paraId="1634E1EA">
      <w:pPr>
        <w:pStyle w:val="13"/>
        <w:kinsoku/>
        <w:topLinePunct/>
        <w:autoSpaceDE/>
        <w:spacing w:beforeAutospacing="0" w:afterAutospacing="0" w:line="360" w:lineRule="auto"/>
        <w:ind w:firstLine="524" w:firstLineChars="200"/>
      </w:pPr>
      <w:r>
        <w:rPr>
          <w:rFonts w:hint="eastAsia" w:ascii="宋体" w:hAnsi="宋体" w:eastAsia="宋体" w:cs="宋体"/>
          <w:spacing w:val="11"/>
          <w:lang w:bidi="ar"/>
        </w:rPr>
        <w:t>3.2.3报价次数：供应商须知前附表规定</w:t>
      </w:r>
      <w:r>
        <w:rPr>
          <w:rFonts w:hint="eastAsia" w:ascii="宋体" w:hAnsi="宋体" w:eastAsia="宋体" w:cs="宋体"/>
          <w:spacing w:val="7"/>
          <w:lang w:bidi="ar"/>
        </w:rPr>
        <w:t>。</w:t>
      </w:r>
    </w:p>
    <w:p w14:paraId="185A0DD3">
      <w:pPr>
        <w:pStyle w:val="13"/>
        <w:kinsoku/>
        <w:topLinePunct/>
        <w:autoSpaceDE/>
        <w:spacing w:beforeAutospacing="0" w:afterAutospacing="0" w:line="360" w:lineRule="auto"/>
        <w:ind w:left="9"/>
        <w:outlineLvl w:val="2"/>
        <w:rPr>
          <w:sz w:val="21"/>
          <w:szCs w:val="21"/>
        </w:rPr>
      </w:pPr>
      <w:bookmarkStart w:id="55" w:name="_Toc2433"/>
      <w:bookmarkStart w:id="56" w:name="_Toc199944366"/>
      <w:r>
        <w:rPr>
          <w:rFonts w:hint="eastAsia" w:ascii="宋体" w:hAnsi="宋体" w:eastAsia="宋体" w:cs="宋体"/>
          <w:spacing w:val="-5"/>
          <w:sz w:val="28"/>
          <w:szCs w:val="28"/>
          <w:lang w:bidi="ar"/>
        </w:rPr>
        <w:t>3.3响应有效期</w:t>
      </w:r>
      <w:bookmarkEnd w:id="55"/>
      <w:bookmarkEnd w:id="56"/>
    </w:p>
    <w:p w14:paraId="0496BC73">
      <w:pPr>
        <w:pStyle w:val="13"/>
        <w:kinsoku/>
        <w:topLinePunct/>
        <w:autoSpaceDE/>
        <w:spacing w:beforeAutospacing="0" w:afterAutospacing="0" w:line="360" w:lineRule="auto"/>
        <w:ind w:left="425"/>
      </w:pPr>
      <w:r>
        <w:rPr>
          <w:rFonts w:hint="eastAsia" w:ascii="宋体" w:hAnsi="宋体" w:eastAsia="宋体" w:cs="宋体"/>
          <w:spacing w:val="9"/>
          <w:lang w:bidi="ar"/>
        </w:rPr>
        <w:t>3.3.1在供应商须知前附表规定的响应有效期内，供应商不得要</w:t>
      </w:r>
      <w:r>
        <w:rPr>
          <w:rFonts w:hint="eastAsia" w:ascii="宋体" w:hAnsi="宋体" w:eastAsia="宋体" w:cs="宋体"/>
          <w:spacing w:val="8"/>
          <w:lang w:bidi="ar"/>
        </w:rPr>
        <w:t>求撤销或修改其响应文件。</w:t>
      </w:r>
    </w:p>
    <w:p w14:paraId="20609C04">
      <w:pPr>
        <w:pStyle w:val="13"/>
        <w:kinsoku/>
        <w:topLinePunct/>
        <w:autoSpaceDE/>
        <w:spacing w:beforeAutospacing="0" w:afterAutospacing="0" w:line="360" w:lineRule="auto"/>
        <w:ind w:left="3" w:right="54" w:firstLine="421"/>
        <w:rPr>
          <w:sz w:val="28"/>
          <w:szCs w:val="28"/>
        </w:rPr>
      </w:pPr>
      <w:r>
        <w:rPr>
          <w:rFonts w:hint="eastAsia" w:ascii="宋体" w:hAnsi="宋体" w:eastAsia="宋体" w:cs="宋体"/>
          <w:spacing w:val="12"/>
          <w:lang w:bidi="ar"/>
        </w:rPr>
        <w:t>3.3.2出现特殊情况需要延长响应有效期的，采购人以书面形式通知所有供应商延长响</w:t>
      </w:r>
      <w:r>
        <w:rPr>
          <w:rFonts w:hint="eastAsia" w:ascii="宋体" w:hAnsi="宋体" w:eastAsia="宋体" w:cs="宋体"/>
          <w:spacing w:val="11"/>
          <w:lang w:bidi="ar"/>
        </w:rPr>
        <w:t>应有效</w:t>
      </w:r>
      <w:r>
        <w:rPr>
          <w:rFonts w:hint="eastAsia" w:ascii="宋体" w:hAnsi="宋体" w:eastAsia="宋体" w:cs="宋体"/>
          <w:spacing w:val="8"/>
          <w:lang w:bidi="ar"/>
        </w:rPr>
        <w:t>期。供应商同意延长的，应相应延长其磋商保证金的有效期，但不得要求或被允许修改或撤销其响应</w:t>
      </w:r>
      <w:r>
        <w:rPr>
          <w:rFonts w:hint="eastAsia" w:ascii="宋体" w:hAnsi="宋体" w:eastAsia="宋体" w:cs="宋体"/>
          <w:spacing w:val="9"/>
          <w:lang w:bidi="ar"/>
        </w:rPr>
        <w:t>文件；供应商拒绝延长的，其投标失效，但供应商有权收回其磋商保证金。</w:t>
      </w:r>
    </w:p>
    <w:p w14:paraId="48F595E3">
      <w:pPr>
        <w:pStyle w:val="13"/>
        <w:kinsoku/>
        <w:topLinePunct/>
        <w:autoSpaceDE/>
        <w:spacing w:beforeAutospacing="0" w:afterAutospacing="0" w:line="360" w:lineRule="auto"/>
        <w:ind w:left="9"/>
        <w:outlineLvl w:val="2"/>
        <w:rPr>
          <w:sz w:val="28"/>
          <w:szCs w:val="28"/>
        </w:rPr>
      </w:pPr>
      <w:bookmarkStart w:id="57" w:name="_Toc15828"/>
      <w:bookmarkStart w:id="58" w:name="_Toc199944367"/>
      <w:r>
        <w:rPr>
          <w:rFonts w:hint="eastAsia" w:ascii="宋体" w:hAnsi="宋体" w:eastAsia="宋体" w:cs="宋体"/>
          <w:spacing w:val="-1"/>
          <w:sz w:val="28"/>
          <w:szCs w:val="28"/>
          <w:lang w:bidi="ar"/>
        </w:rPr>
        <w:t>3.4磋商保证金（不适用）</w:t>
      </w:r>
      <w:bookmarkEnd w:id="57"/>
      <w:bookmarkEnd w:id="58"/>
    </w:p>
    <w:p w14:paraId="62F3F1BF">
      <w:pPr>
        <w:pStyle w:val="13"/>
        <w:kinsoku/>
        <w:topLinePunct/>
        <w:autoSpaceDE/>
        <w:spacing w:beforeAutospacing="0" w:afterAutospacing="0" w:line="360" w:lineRule="auto"/>
        <w:ind w:firstLine="492" w:firstLineChars="200"/>
      </w:pPr>
      <w:r>
        <w:rPr>
          <w:rFonts w:hint="eastAsia" w:ascii="宋体" w:hAnsi="宋体" w:eastAsia="宋体" w:cs="宋体"/>
          <w:spacing w:val="3"/>
          <w:lang w:bidi="ar"/>
        </w:rPr>
        <w:t>3.4.1供应商在递交响应文件的同时，应按供应商须知前附表规定的金额、担保形式和第六章“响</w:t>
      </w:r>
      <w:r>
        <w:rPr>
          <w:rFonts w:hint="eastAsia" w:ascii="宋体" w:hAnsi="宋体" w:eastAsia="宋体" w:cs="宋体"/>
          <w:spacing w:val="4"/>
          <w:lang w:bidi="ar"/>
        </w:rPr>
        <w:t>应文件格式”规定的磋商保证金格式递交磋商保证金，并作为其响应文件的组成部分。联合体投标的，</w:t>
      </w:r>
      <w:r>
        <w:rPr>
          <w:rFonts w:hint="eastAsia" w:ascii="宋体" w:hAnsi="宋体" w:eastAsia="宋体" w:cs="宋体"/>
          <w:spacing w:val="9"/>
          <w:lang w:bidi="ar"/>
        </w:rPr>
        <w:t>其磋商保证金由牵头人递交，并应符合供应商须知前附表的规定。</w:t>
      </w:r>
    </w:p>
    <w:p w14:paraId="33843E51">
      <w:pPr>
        <w:pStyle w:val="13"/>
        <w:kinsoku/>
        <w:topLinePunct/>
        <w:autoSpaceDE/>
        <w:spacing w:beforeAutospacing="0" w:afterAutospacing="0" w:line="360" w:lineRule="auto"/>
        <w:ind w:firstLine="508" w:firstLineChars="200"/>
        <w:rPr>
          <w:spacing w:val="7"/>
        </w:rPr>
      </w:pPr>
      <w:r>
        <w:rPr>
          <w:rFonts w:hint="eastAsia" w:ascii="宋体" w:hAnsi="宋体" w:eastAsia="宋体" w:cs="宋体"/>
          <w:spacing w:val="7"/>
          <w:lang w:bidi="ar"/>
        </w:rPr>
        <w:t>3.4.2供应商不按本章第3.4.1项要求提交磋商保证金的，其响应文件作废标处理。</w:t>
      </w:r>
    </w:p>
    <w:p w14:paraId="100481B6">
      <w:pPr>
        <w:pStyle w:val="13"/>
        <w:kinsoku/>
        <w:topLinePunct/>
        <w:autoSpaceDE/>
        <w:spacing w:beforeAutospacing="0" w:afterAutospacing="0" w:line="360" w:lineRule="auto"/>
        <w:ind w:firstLine="508" w:firstLineChars="200"/>
        <w:rPr>
          <w:spacing w:val="7"/>
        </w:rPr>
      </w:pPr>
      <w:r>
        <w:rPr>
          <w:rFonts w:hint="eastAsia" w:ascii="宋体" w:hAnsi="宋体" w:eastAsia="宋体" w:cs="宋体"/>
          <w:spacing w:val="7"/>
          <w:lang w:bidi="ar"/>
        </w:rPr>
        <w:t>3.4.3未成交供应商的磋商保证金应当在成交通知书发出后5个工作日内退还，成交供应商的磋商保证金应当在项目合同签订后5个工作日内退还。</w:t>
      </w:r>
    </w:p>
    <w:p w14:paraId="5D7E5DB4">
      <w:pPr>
        <w:pStyle w:val="13"/>
        <w:kinsoku/>
        <w:topLinePunct/>
        <w:autoSpaceDE/>
        <w:spacing w:beforeAutospacing="0" w:afterAutospacing="0" w:line="360" w:lineRule="auto"/>
        <w:ind w:firstLine="508" w:firstLineChars="200"/>
        <w:rPr>
          <w:spacing w:val="7"/>
        </w:rPr>
      </w:pPr>
      <w:r>
        <w:rPr>
          <w:rFonts w:hint="eastAsia" w:ascii="宋体" w:hAnsi="宋体" w:eastAsia="宋体" w:cs="宋体"/>
          <w:spacing w:val="7"/>
          <w:lang w:bidi="ar"/>
        </w:rPr>
        <w:t>3.4.4有下列情形之一的，磋商保证金将不予退还：</w:t>
      </w:r>
    </w:p>
    <w:p w14:paraId="1727FCA3">
      <w:pPr>
        <w:pStyle w:val="13"/>
        <w:kinsoku/>
        <w:topLinePunct/>
        <w:autoSpaceDE/>
        <w:spacing w:beforeAutospacing="0" w:afterAutospacing="0" w:line="360" w:lineRule="auto"/>
        <w:ind w:firstLine="508" w:firstLineChars="200"/>
        <w:rPr>
          <w:spacing w:val="7"/>
        </w:rPr>
      </w:pPr>
      <w:r>
        <w:rPr>
          <w:rFonts w:hint="eastAsia" w:ascii="宋体" w:hAnsi="宋体" w:eastAsia="宋体" w:cs="宋体"/>
          <w:spacing w:val="7"/>
          <w:lang w:bidi="ar"/>
        </w:rPr>
        <w:t>(1）供应商在规定的响应有效期内撤销或修改其响应文件；</w:t>
      </w:r>
    </w:p>
    <w:p w14:paraId="7E6A0820">
      <w:pPr>
        <w:pStyle w:val="13"/>
        <w:kinsoku/>
        <w:topLinePunct/>
        <w:autoSpaceDE/>
        <w:spacing w:beforeAutospacing="0" w:afterAutospacing="0" w:line="360" w:lineRule="auto"/>
        <w:ind w:firstLine="508" w:firstLineChars="200"/>
        <w:rPr>
          <w:sz w:val="28"/>
          <w:szCs w:val="28"/>
        </w:rPr>
      </w:pPr>
      <w:r>
        <w:rPr>
          <w:rFonts w:hint="eastAsia" w:ascii="宋体" w:hAnsi="宋体" w:eastAsia="宋体" w:cs="宋体"/>
          <w:spacing w:val="7"/>
          <w:lang w:bidi="ar"/>
        </w:rPr>
        <w:t>(2）成交单位在收到成交通知书后，无正当理由拒签合同协议书或未按磋商文件规定提交履约担保。供应商在编制响应文件时，应按新情况更新或补充其在申请资格预审时提供的资料，以证实其各项资格条件仍能继续满足资格预审文件的要求，具备承担本标段施工监理的资质条件、能力和信誉。</w:t>
      </w:r>
    </w:p>
    <w:p w14:paraId="4FDDF79E">
      <w:pPr>
        <w:pStyle w:val="13"/>
        <w:kinsoku/>
        <w:topLinePunct/>
        <w:autoSpaceDE/>
        <w:spacing w:beforeAutospacing="0" w:afterAutospacing="0" w:line="360" w:lineRule="auto"/>
        <w:ind w:left="9"/>
        <w:outlineLvl w:val="2"/>
        <w:rPr>
          <w:sz w:val="28"/>
          <w:szCs w:val="28"/>
        </w:rPr>
      </w:pPr>
      <w:bookmarkStart w:id="59" w:name="_Toc199944368"/>
      <w:bookmarkStart w:id="60" w:name="_Toc25193"/>
      <w:r>
        <w:rPr>
          <w:rFonts w:hint="eastAsia" w:ascii="宋体" w:hAnsi="宋体" w:eastAsia="宋体" w:cs="宋体"/>
          <w:spacing w:val="-4"/>
          <w:sz w:val="28"/>
          <w:szCs w:val="28"/>
          <w:lang w:bidi="ar"/>
        </w:rPr>
        <w:t>3.5资格审查资料</w:t>
      </w:r>
      <w:bookmarkEnd w:id="59"/>
      <w:bookmarkEnd w:id="60"/>
    </w:p>
    <w:p w14:paraId="4F73CF26">
      <w:pPr>
        <w:widowControl/>
        <w:topLinePunct/>
        <w:autoSpaceDN w:val="0"/>
        <w:adjustRightInd w:val="0"/>
        <w:snapToGrid w:val="0"/>
        <w:spacing w:line="360" w:lineRule="auto"/>
        <w:ind w:firstLine="512" w:firstLineChars="200"/>
        <w:jc w:val="left"/>
        <w:rPr>
          <w:rFonts w:ascii="宋体" w:hAnsi="宋体" w:eastAsia="宋体" w:cs="宋体"/>
          <w:spacing w:val="8"/>
          <w:sz w:val="24"/>
        </w:rPr>
      </w:pPr>
      <w:r>
        <w:rPr>
          <w:rFonts w:hint="eastAsia" w:ascii="宋体" w:hAnsi="宋体" w:eastAsia="宋体" w:cs="宋体"/>
          <w:color w:val="000000"/>
          <w:spacing w:val="8"/>
          <w:kern w:val="0"/>
          <w:sz w:val="24"/>
          <w:lang w:bidi="ar"/>
        </w:rPr>
        <w:t>详见投标人须知前附表。</w:t>
      </w:r>
    </w:p>
    <w:p w14:paraId="2FED46DC">
      <w:pPr>
        <w:pStyle w:val="13"/>
        <w:kinsoku/>
        <w:topLinePunct/>
        <w:autoSpaceDE/>
        <w:spacing w:beforeAutospacing="0" w:afterAutospacing="0" w:line="360" w:lineRule="auto"/>
        <w:ind w:left="9"/>
        <w:outlineLvl w:val="2"/>
        <w:rPr>
          <w:sz w:val="28"/>
          <w:szCs w:val="28"/>
        </w:rPr>
      </w:pPr>
      <w:bookmarkStart w:id="61" w:name="_Toc27310"/>
      <w:bookmarkStart w:id="62" w:name="_Toc199944369"/>
      <w:r>
        <w:rPr>
          <w:rFonts w:hint="eastAsia" w:ascii="宋体" w:hAnsi="宋体" w:eastAsia="宋体" w:cs="宋体"/>
          <w:spacing w:val="-1"/>
          <w:sz w:val="28"/>
          <w:szCs w:val="28"/>
          <w:lang w:bidi="ar"/>
        </w:rPr>
        <w:t>3.6备选投标方案</w:t>
      </w:r>
      <w:bookmarkEnd w:id="61"/>
      <w:bookmarkEnd w:id="62"/>
    </w:p>
    <w:p w14:paraId="27B02629">
      <w:pPr>
        <w:widowControl/>
        <w:topLinePunct/>
        <w:autoSpaceDN w:val="0"/>
        <w:adjustRightInd w:val="0"/>
        <w:snapToGrid w:val="0"/>
        <w:spacing w:line="360" w:lineRule="auto"/>
        <w:ind w:firstLine="512" w:firstLineChars="200"/>
        <w:jc w:val="left"/>
        <w:rPr>
          <w:rFonts w:ascii="宋体" w:hAnsi="宋体" w:eastAsia="宋体" w:cs="宋体"/>
          <w:sz w:val="28"/>
          <w:szCs w:val="28"/>
        </w:rPr>
      </w:pPr>
      <w:r>
        <w:rPr>
          <w:rFonts w:hint="eastAsia" w:ascii="宋体" w:hAnsi="宋体" w:eastAsia="宋体" w:cs="宋体"/>
          <w:color w:val="000000"/>
          <w:spacing w:val="8"/>
          <w:kern w:val="0"/>
          <w:sz w:val="24"/>
          <w:lang w:bidi="ar"/>
        </w:rPr>
        <w:t>不允许。</w:t>
      </w:r>
    </w:p>
    <w:p w14:paraId="1678A638">
      <w:pPr>
        <w:pStyle w:val="13"/>
        <w:kinsoku/>
        <w:topLinePunct/>
        <w:autoSpaceDE/>
        <w:spacing w:beforeAutospacing="0" w:afterAutospacing="0" w:line="360" w:lineRule="auto"/>
        <w:ind w:left="9"/>
        <w:outlineLvl w:val="2"/>
        <w:rPr>
          <w:sz w:val="28"/>
          <w:szCs w:val="28"/>
        </w:rPr>
      </w:pPr>
      <w:bookmarkStart w:id="63" w:name="_Toc199944370"/>
      <w:bookmarkStart w:id="64" w:name="_Toc32710"/>
      <w:r>
        <w:rPr>
          <w:rFonts w:hint="eastAsia" w:ascii="宋体" w:hAnsi="宋体" w:eastAsia="宋体" w:cs="宋体"/>
          <w:spacing w:val="-4"/>
          <w:sz w:val="28"/>
          <w:szCs w:val="28"/>
          <w:lang w:bidi="ar"/>
        </w:rPr>
        <w:t>3.7响应文件的编制</w:t>
      </w:r>
      <w:bookmarkEnd w:id="63"/>
      <w:bookmarkEnd w:id="64"/>
    </w:p>
    <w:p w14:paraId="35C90714">
      <w:pPr>
        <w:pStyle w:val="13"/>
        <w:kinsoku/>
        <w:topLinePunct/>
        <w:autoSpaceDE/>
        <w:spacing w:beforeAutospacing="0" w:afterAutospacing="0" w:line="360" w:lineRule="auto"/>
        <w:ind w:firstLine="424"/>
        <w:rPr>
          <w:spacing w:val="8"/>
        </w:rPr>
      </w:pPr>
      <w:r>
        <w:rPr>
          <w:rFonts w:hint="eastAsia" w:ascii="宋体" w:hAnsi="宋体" w:eastAsia="宋体" w:cs="宋体"/>
          <w:spacing w:val="7"/>
          <w:lang w:bidi="ar"/>
        </w:rPr>
        <w:t>3.7.1响应文件应按第六章“响应文件格式”进行编写，如有必要，可以增加附页，作为响</w:t>
      </w:r>
      <w:r>
        <w:rPr>
          <w:rFonts w:hint="eastAsia" w:ascii="宋体" w:hAnsi="宋体" w:eastAsia="宋体" w:cs="宋体"/>
          <w:spacing w:val="8"/>
          <w:lang w:bidi="ar"/>
        </w:rPr>
        <w:t>应文件的组成部分。其中，磋商函附录在满足磋商文件实质性要求的基础上，可以提出比磋商文件要求更有利于采购人的承诺。</w:t>
      </w:r>
    </w:p>
    <w:p w14:paraId="30023C76">
      <w:pPr>
        <w:pStyle w:val="13"/>
        <w:kinsoku/>
        <w:topLinePunct/>
        <w:autoSpaceDE/>
        <w:spacing w:beforeAutospacing="0" w:afterAutospacing="0" w:line="360" w:lineRule="auto"/>
        <w:ind w:firstLine="424"/>
        <w:rPr>
          <w:spacing w:val="8"/>
        </w:rPr>
      </w:pPr>
      <w:r>
        <w:rPr>
          <w:rFonts w:hint="eastAsia" w:ascii="宋体" w:hAnsi="宋体" w:eastAsia="宋体" w:cs="宋体"/>
          <w:spacing w:val="8"/>
          <w:lang w:bidi="ar"/>
        </w:rPr>
        <w:t>3.7.2响应文件应当对磋商文件有关工期、响应有效期、质量要求、技术标准和要求、采购范围等实质性内容作出响应。</w:t>
      </w:r>
    </w:p>
    <w:p w14:paraId="11CCB907">
      <w:pPr>
        <w:rPr>
          <w:rFonts w:hint="eastAsia" w:ascii="宋体" w:hAnsi="宋体" w:eastAsia="宋体" w:cs="宋体"/>
          <w:spacing w:val="8"/>
          <w:lang w:bidi="ar"/>
        </w:rPr>
      </w:pPr>
      <w:r>
        <w:rPr>
          <w:rFonts w:hint="eastAsia" w:ascii="宋体" w:hAnsi="宋体" w:eastAsia="宋体" w:cs="宋体"/>
          <w:spacing w:val="8"/>
          <w:lang w:bidi="ar"/>
        </w:rPr>
        <w:br w:type="page"/>
      </w:r>
    </w:p>
    <w:p w14:paraId="410FF5F9">
      <w:pPr>
        <w:pStyle w:val="13"/>
        <w:kinsoku/>
        <w:topLinePunct/>
        <w:autoSpaceDE/>
        <w:spacing w:beforeAutospacing="0" w:afterAutospacing="0" w:line="360" w:lineRule="auto"/>
        <w:ind w:firstLine="424"/>
        <w:rPr>
          <w:spacing w:val="9"/>
        </w:rPr>
      </w:pPr>
      <w:r>
        <w:rPr>
          <w:rFonts w:hint="eastAsia" w:ascii="宋体" w:hAnsi="宋体" w:eastAsia="宋体" w:cs="宋体"/>
          <w:spacing w:val="8"/>
          <w:lang w:bidi="ar"/>
        </w:rPr>
        <w:t>3.7.3响应文件</w:t>
      </w:r>
      <w:r>
        <w:rPr>
          <w:rFonts w:hint="eastAsia" w:ascii="宋体" w:hAnsi="宋体" w:eastAsia="宋体" w:cs="宋体"/>
          <w:spacing w:val="8"/>
          <w:lang w:val="en-US" w:eastAsia="zh-CN" w:bidi="ar"/>
        </w:rPr>
        <w:t>要求：</w:t>
      </w:r>
      <w:r>
        <w:rPr>
          <w:rFonts w:hint="eastAsia" w:ascii="宋体" w:hAnsi="宋体" w:eastAsia="宋体" w:cs="宋体"/>
          <w:spacing w:val="8"/>
          <w:lang w:bidi="ar"/>
        </w:rPr>
        <w:t>见供应商须知前附表</w:t>
      </w:r>
      <w:r>
        <w:rPr>
          <w:rFonts w:hint="eastAsia" w:ascii="宋体" w:hAnsi="宋体" w:eastAsia="宋体" w:cs="宋体"/>
          <w:spacing w:val="9"/>
          <w:lang w:bidi="ar"/>
        </w:rPr>
        <w:t>。</w:t>
      </w:r>
    </w:p>
    <w:p w14:paraId="3DE1F09E">
      <w:pPr>
        <w:pStyle w:val="13"/>
        <w:kinsoku/>
        <w:topLinePunct/>
        <w:autoSpaceDE/>
        <w:spacing w:beforeAutospacing="0" w:afterAutospacing="0" w:line="360" w:lineRule="auto"/>
        <w:ind w:left="3"/>
        <w:outlineLvl w:val="1"/>
        <w:rPr>
          <w:sz w:val="21"/>
          <w:szCs w:val="21"/>
        </w:rPr>
      </w:pPr>
      <w:bookmarkStart w:id="65" w:name="_Toc199944371"/>
      <w:bookmarkStart w:id="66" w:name="_Toc200025571"/>
      <w:bookmarkStart w:id="67" w:name="_Toc18171"/>
      <w:r>
        <w:rPr>
          <w:rFonts w:hint="eastAsia" w:ascii="宋体" w:hAnsi="宋体" w:eastAsia="宋体" w:cs="宋体"/>
          <w:spacing w:val="6"/>
          <w:sz w:val="28"/>
          <w:szCs w:val="28"/>
          <w:lang w:bidi="ar"/>
        </w:rPr>
        <w:t>4．投标</w:t>
      </w:r>
      <w:bookmarkEnd w:id="65"/>
      <w:bookmarkEnd w:id="66"/>
      <w:bookmarkEnd w:id="67"/>
    </w:p>
    <w:p w14:paraId="50F65F63">
      <w:pPr>
        <w:pStyle w:val="13"/>
        <w:kinsoku/>
        <w:topLinePunct/>
        <w:autoSpaceDE/>
        <w:spacing w:beforeAutospacing="0" w:afterAutospacing="0" w:line="360" w:lineRule="auto"/>
        <w:ind w:left="2"/>
        <w:outlineLvl w:val="2"/>
        <w:rPr>
          <w:sz w:val="28"/>
          <w:szCs w:val="28"/>
        </w:rPr>
      </w:pPr>
      <w:bookmarkStart w:id="68" w:name="_Toc199944372"/>
      <w:bookmarkStart w:id="69" w:name="_Toc27987"/>
      <w:r>
        <w:rPr>
          <w:rFonts w:hint="eastAsia" w:ascii="宋体" w:hAnsi="宋体" w:eastAsia="宋体" w:cs="宋体"/>
          <w:sz w:val="28"/>
          <w:szCs w:val="28"/>
          <w:lang w:bidi="ar"/>
        </w:rPr>
        <w:t>4.1响应文件的密封和标记</w:t>
      </w:r>
      <w:bookmarkEnd w:id="68"/>
      <w:bookmarkEnd w:id="69"/>
    </w:p>
    <w:p w14:paraId="321D1A99">
      <w:pPr>
        <w:widowControl/>
        <w:topLinePunct/>
        <w:autoSpaceDN w:val="0"/>
        <w:adjustRightInd w:val="0"/>
        <w:snapToGrid w:val="0"/>
        <w:spacing w:line="360" w:lineRule="auto"/>
        <w:jc w:val="left"/>
      </w:pPr>
      <w:r>
        <w:rPr>
          <w:rFonts w:hint="eastAsia" w:ascii="宋体" w:hAnsi="宋体" w:eastAsia="宋体" w:cs="宋体"/>
          <w:color w:val="000000"/>
          <w:kern w:val="0"/>
          <w:sz w:val="28"/>
          <w:szCs w:val="28"/>
          <w:lang w:bidi="ar"/>
        </w:rPr>
        <w:t>/</w:t>
      </w:r>
    </w:p>
    <w:p w14:paraId="7508C67A">
      <w:pPr>
        <w:pStyle w:val="13"/>
        <w:kinsoku/>
        <w:topLinePunct/>
        <w:autoSpaceDE/>
        <w:spacing w:beforeAutospacing="0" w:afterAutospacing="0" w:line="360" w:lineRule="auto"/>
        <w:ind w:left="2"/>
        <w:outlineLvl w:val="2"/>
        <w:rPr>
          <w:sz w:val="21"/>
          <w:szCs w:val="21"/>
        </w:rPr>
      </w:pPr>
      <w:bookmarkStart w:id="70" w:name="_Toc199944373"/>
      <w:bookmarkStart w:id="71" w:name="_Toc6160"/>
      <w:r>
        <w:rPr>
          <w:rFonts w:hint="eastAsia" w:ascii="宋体" w:hAnsi="宋体" w:eastAsia="宋体" w:cs="宋体"/>
          <w:spacing w:val="-3"/>
          <w:sz w:val="28"/>
          <w:szCs w:val="28"/>
          <w:lang w:bidi="ar"/>
        </w:rPr>
        <w:t>4.2响应文件的递交</w:t>
      </w:r>
      <w:bookmarkEnd w:id="70"/>
      <w:bookmarkEnd w:id="71"/>
    </w:p>
    <w:p w14:paraId="22E199CA">
      <w:pPr>
        <w:pStyle w:val="13"/>
        <w:kinsoku/>
        <w:topLinePunct/>
        <w:autoSpaceDE/>
        <w:spacing w:beforeAutospacing="0" w:afterAutospacing="0" w:line="360" w:lineRule="auto"/>
        <w:ind w:firstLine="512" w:firstLineChars="200"/>
      </w:pPr>
      <w:r>
        <w:rPr>
          <w:rFonts w:hint="eastAsia" w:ascii="宋体" w:hAnsi="宋体" w:eastAsia="宋体" w:cs="宋体"/>
          <w:spacing w:val="8"/>
          <w:lang w:bidi="ar"/>
        </w:rPr>
        <w:t>4.2.1供应商应在本章第2.2.2项规定的递交响应文件截止时间前递</w:t>
      </w:r>
      <w:r>
        <w:rPr>
          <w:rFonts w:hint="eastAsia" w:ascii="宋体" w:hAnsi="宋体" w:eastAsia="宋体" w:cs="宋体"/>
          <w:spacing w:val="7"/>
          <w:lang w:bidi="ar"/>
        </w:rPr>
        <w:t>交响应文件。</w:t>
      </w:r>
    </w:p>
    <w:p w14:paraId="68ECF375">
      <w:pPr>
        <w:pStyle w:val="13"/>
        <w:kinsoku/>
        <w:topLinePunct/>
        <w:autoSpaceDE/>
        <w:spacing w:beforeAutospacing="0" w:afterAutospacing="0" w:line="360" w:lineRule="auto"/>
        <w:ind w:firstLine="512" w:firstLineChars="200"/>
      </w:pPr>
      <w:r>
        <w:rPr>
          <w:rFonts w:hint="eastAsia" w:ascii="宋体" w:hAnsi="宋体" w:eastAsia="宋体" w:cs="宋体"/>
          <w:spacing w:val="8"/>
          <w:lang w:bidi="ar"/>
        </w:rPr>
        <w:t>4.2.2供应商递交响应文件的地点：见供应商须知前附表。</w:t>
      </w:r>
    </w:p>
    <w:p w14:paraId="7D4AC9A9">
      <w:pPr>
        <w:pStyle w:val="13"/>
        <w:kinsoku/>
        <w:topLinePunct/>
        <w:autoSpaceDE/>
        <w:spacing w:beforeAutospacing="0" w:afterAutospacing="0" w:line="360" w:lineRule="auto"/>
        <w:ind w:firstLine="516" w:firstLineChars="200"/>
      </w:pPr>
      <w:r>
        <w:rPr>
          <w:rFonts w:hint="eastAsia" w:ascii="宋体" w:hAnsi="宋体" w:eastAsia="宋体" w:cs="宋体"/>
          <w:spacing w:val="9"/>
          <w:lang w:bidi="ar"/>
        </w:rPr>
        <w:t>4.2.3除供应商须知前附表另有规定外，供应商</w:t>
      </w:r>
      <w:r>
        <w:rPr>
          <w:rFonts w:hint="eastAsia" w:ascii="宋体" w:hAnsi="宋体" w:eastAsia="宋体" w:cs="宋体"/>
          <w:spacing w:val="8"/>
          <w:lang w:bidi="ar"/>
        </w:rPr>
        <w:t>所递交的响应文件不予还。</w:t>
      </w:r>
    </w:p>
    <w:p w14:paraId="5838F8D1">
      <w:pPr>
        <w:pStyle w:val="13"/>
        <w:kinsoku/>
        <w:topLinePunct/>
        <w:autoSpaceDE/>
        <w:spacing w:beforeAutospacing="0" w:afterAutospacing="0" w:line="360" w:lineRule="auto"/>
        <w:ind w:firstLine="512" w:firstLineChars="200"/>
      </w:pPr>
      <w:r>
        <w:rPr>
          <w:rFonts w:hint="eastAsia" w:ascii="宋体" w:hAnsi="宋体" w:eastAsia="宋体" w:cs="宋体"/>
          <w:spacing w:val="8"/>
          <w:lang w:bidi="ar"/>
        </w:rPr>
        <w:t>4.2.4采购人收到响应文件后，向供应商出具签收凭证。</w:t>
      </w:r>
    </w:p>
    <w:p w14:paraId="1413F8E3">
      <w:pPr>
        <w:pStyle w:val="13"/>
        <w:kinsoku/>
        <w:topLinePunct/>
        <w:autoSpaceDE/>
        <w:spacing w:beforeAutospacing="0" w:afterAutospacing="0" w:line="360" w:lineRule="auto"/>
        <w:ind w:firstLine="516" w:firstLineChars="200"/>
      </w:pPr>
      <w:r>
        <w:rPr>
          <w:rFonts w:hint="eastAsia" w:ascii="宋体" w:hAnsi="宋体" w:eastAsia="宋体" w:cs="宋体"/>
          <w:spacing w:val="9"/>
          <w:lang w:bidi="ar"/>
        </w:rPr>
        <w:t>4.2.5逾期送达的或者未送达指定地</w:t>
      </w:r>
      <w:r>
        <w:rPr>
          <w:rFonts w:hint="eastAsia" w:ascii="宋体" w:hAnsi="宋体" w:eastAsia="宋体" w:cs="宋体"/>
          <w:spacing w:val="8"/>
          <w:lang w:bidi="ar"/>
        </w:rPr>
        <w:t>点的响应文件，采购人不予受理。</w:t>
      </w:r>
    </w:p>
    <w:p w14:paraId="09FBA3F4">
      <w:pPr>
        <w:pStyle w:val="13"/>
        <w:kinsoku/>
        <w:topLinePunct/>
        <w:autoSpaceDE/>
        <w:spacing w:beforeAutospacing="0" w:afterAutospacing="0" w:line="360" w:lineRule="auto"/>
        <w:ind w:firstLine="516" w:firstLineChars="200"/>
        <w:outlineLvl w:val="2"/>
        <w:rPr>
          <w:spacing w:val="9"/>
        </w:rPr>
      </w:pPr>
      <w:bookmarkStart w:id="72" w:name="_Toc18808"/>
      <w:bookmarkStart w:id="73" w:name="_Toc199944374"/>
      <w:r>
        <w:rPr>
          <w:rFonts w:hint="eastAsia" w:ascii="宋体" w:hAnsi="宋体" w:eastAsia="宋体" w:cs="宋体"/>
          <w:spacing w:val="9"/>
          <w:lang w:bidi="ar"/>
        </w:rPr>
        <w:t>4.3响应文件的修改与撤回</w:t>
      </w:r>
      <w:bookmarkEnd w:id="72"/>
      <w:bookmarkEnd w:id="73"/>
    </w:p>
    <w:p w14:paraId="51FF85B5">
      <w:pPr>
        <w:pStyle w:val="13"/>
        <w:kinsoku/>
        <w:topLinePunct/>
        <w:autoSpaceDE/>
        <w:spacing w:beforeAutospacing="0" w:afterAutospacing="0" w:line="360" w:lineRule="auto"/>
        <w:ind w:firstLine="516" w:firstLineChars="200"/>
        <w:rPr>
          <w:spacing w:val="9"/>
        </w:rPr>
      </w:pPr>
      <w:r>
        <w:rPr>
          <w:rFonts w:hint="eastAsia" w:ascii="宋体" w:hAnsi="宋体" w:eastAsia="宋体" w:cs="宋体"/>
          <w:spacing w:val="9"/>
          <w:lang w:bidi="ar"/>
        </w:rPr>
        <w:t>4.3.1在规定的递交响应文件截止时间前，供应商可以修改或撤回已递交的响应文件，但需在政采云平台说明理由。</w:t>
      </w:r>
    </w:p>
    <w:p w14:paraId="1211FB92">
      <w:pPr>
        <w:pStyle w:val="13"/>
        <w:kinsoku/>
        <w:topLinePunct/>
        <w:autoSpaceDE/>
        <w:spacing w:beforeAutospacing="0" w:afterAutospacing="0" w:line="360" w:lineRule="auto"/>
        <w:ind w:firstLine="516" w:firstLineChars="200"/>
        <w:rPr>
          <w:spacing w:val="9"/>
        </w:rPr>
      </w:pPr>
      <w:r>
        <w:rPr>
          <w:rFonts w:hint="eastAsia" w:ascii="宋体" w:hAnsi="宋体" w:eastAsia="宋体" w:cs="宋体"/>
          <w:spacing w:val="9"/>
          <w:lang w:bidi="ar"/>
        </w:rPr>
        <w:t>4.3.2供应商修改或撤回已递交响应文件的书面通知应按照本章第3.7.3项的要求签字或盖章。采购人收到书面通知后，向供应商出具签收凭证。</w:t>
      </w:r>
    </w:p>
    <w:p w14:paraId="0009F75F">
      <w:pPr>
        <w:pStyle w:val="13"/>
        <w:kinsoku/>
        <w:topLinePunct/>
        <w:autoSpaceDE/>
        <w:spacing w:beforeAutospacing="0" w:afterAutospacing="0" w:line="360" w:lineRule="auto"/>
        <w:ind w:firstLine="516" w:firstLineChars="200"/>
        <w:rPr>
          <w:sz w:val="28"/>
          <w:szCs w:val="28"/>
        </w:rPr>
      </w:pPr>
      <w:r>
        <w:rPr>
          <w:rFonts w:hint="eastAsia" w:ascii="宋体" w:hAnsi="宋体" w:eastAsia="宋体" w:cs="宋体"/>
          <w:spacing w:val="9"/>
          <w:lang w:bidi="ar"/>
        </w:rPr>
        <w:t>4.3.3修改的内容为响应文件的组成部分。修改的响应文件应按照本章第3条、第4条规定进行编制、标记和递交，并标明“修改”字样。</w:t>
      </w:r>
    </w:p>
    <w:p w14:paraId="483654F6">
      <w:pPr>
        <w:pStyle w:val="13"/>
        <w:kinsoku/>
        <w:topLinePunct/>
        <w:autoSpaceDE/>
        <w:spacing w:beforeAutospacing="0" w:afterAutospacing="0" w:line="360" w:lineRule="auto"/>
        <w:ind w:left="11"/>
        <w:outlineLvl w:val="1"/>
        <w:rPr>
          <w:sz w:val="21"/>
          <w:szCs w:val="21"/>
        </w:rPr>
      </w:pPr>
      <w:bookmarkStart w:id="74" w:name="_Toc200025572"/>
      <w:bookmarkStart w:id="75" w:name="_Toc199944375"/>
      <w:bookmarkStart w:id="76" w:name="_Toc16279"/>
      <w:r>
        <w:rPr>
          <w:rFonts w:hint="eastAsia" w:ascii="宋体" w:hAnsi="宋体" w:eastAsia="宋体" w:cs="宋体"/>
          <w:spacing w:val="4"/>
          <w:sz w:val="28"/>
          <w:szCs w:val="28"/>
          <w:lang w:bidi="ar"/>
        </w:rPr>
        <w:t>5．开标</w:t>
      </w:r>
      <w:bookmarkEnd w:id="74"/>
      <w:bookmarkEnd w:id="75"/>
      <w:bookmarkEnd w:id="76"/>
    </w:p>
    <w:p w14:paraId="6272F815">
      <w:pPr>
        <w:pStyle w:val="13"/>
        <w:kinsoku/>
        <w:topLinePunct/>
        <w:autoSpaceDE/>
        <w:spacing w:beforeAutospacing="0" w:afterAutospacing="0" w:line="360" w:lineRule="auto"/>
        <w:ind w:left="9"/>
        <w:outlineLvl w:val="2"/>
        <w:rPr>
          <w:sz w:val="28"/>
          <w:szCs w:val="28"/>
        </w:rPr>
      </w:pPr>
      <w:bookmarkStart w:id="77" w:name="_Toc8360"/>
      <w:bookmarkStart w:id="78" w:name="_Toc199944376"/>
      <w:r>
        <w:rPr>
          <w:rFonts w:hint="eastAsia" w:ascii="宋体" w:hAnsi="宋体" w:eastAsia="宋体" w:cs="宋体"/>
          <w:spacing w:val="-1"/>
          <w:sz w:val="28"/>
          <w:szCs w:val="28"/>
          <w:lang w:bidi="ar"/>
        </w:rPr>
        <w:t>5.1开启时间和地点</w:t>
      </w:r>
      <w:bookmarkEnd w:id="77"/>
      <w:bookmarkEnd w:id="78"/>
    </w:p>
    <w:p w14:paraId="56D3DD00">
      <w:pPr>
        <w:pStyle w:val="13"/>
        <w:kinsoku/>
        <w:topLinePunct/>
        <w:autoSpaceDE/>
        <w:spacing w:beforeAutospacing="0" w:afterAutospacing="0" w:line="360" w:lineRule="auto"/>
        <w:ind w:firstLine="524" w:firstLineChars="200"/>
        <w:rPr>
          <w:sz w:val="28"/>
          <w:szCs w:val="28"/>
        </w:rPr>
      </w:pPr>
      <w:r>
        <w:rPr>
          <w:rFonts w:hint="eastAsia" w:ascii="宋体" w:hAnsi="宋体" w:eastAsia="宋体" w:cs="宋体"/>
          <w:spacing w:val="11"/>
          <w:position w:val="20"/>
          <w:lang w:bidi="ar"/>
        </w:rPr>
        <w:t>采购人在前附表规定的递交响应文件截止时间（开启时间）和供应商须知前附表规定。</w:t>
      </w:r>
    </w:p>
    <w:p w14:paraId="64EDBD18">
      <w:pPr>
        <w:pStyle w:val="13"/>
        <w:kinsoku/>
        <w:topLinePunct/>
        <w:autoSpaceDE/>
        <w:spacing w:beforeAutospacing="0" w:afterAutospacing="0" w:line="360" w:lineRule="auto"/>
        <w:ind w:left="9"/>
        <w:outlineLvl w:val="2"/>
        <w:rPr>
          <w:sz w:val="28"/>
          <w:szCs w:val="28"/>
        </w:rPr>
      </w:pPr>
      <w:bookmarkStart w:id="79" w:name="_Toc199944377"/>
      <w:bookmarkStart w:id="80" w:name="_Toc19419"/>
      <w:r>
        <w:rPr>
          <w:rFonts w:hint="eastAsia" w:ascii="宋体" w:hAnsi="宋体" w:eastAsia="宋体" w:cs="宋体"/>
          <w:spacing w:val="-2"/>
          <w:sz w:val="28"/>
          <w:szCs w:val="28"/>
          <w:lang w:bidi="ar"/>
        </w:rPr>
        <w:t>5.2磋商程序</w:t>
      </w:r>
      <w:bookmarkEnd w:id="79"/>
      <w:bookmarkEnd w:id="80"/>
    </w:p>
    <w:p w14:paraId="2BA5FCAC">
      <w:pPr>
        <w:pStyle w:val="13"/>
        <w:kinsoku/>
        <w:topLinePunct/>
        <w:autoSpaceDE/>
        <w:spacing w:beforeAutospacing="0" w:afterAutospacing="0" w:line="360" w:lineRule="auto"/>
        <w:ind w:left="422"/>
      </w:pPr>
      <w:r>
        <w:rPr>
          <w:rFonts w:hint="eastAsia" w:ascii="宋体" w:hAnsi="宋体" w:eastAsia="宋体" w:cs="宋体"/>
          <w:spacing w:val="8"/>
          <w:lang w:bidi="ar"/>
        </w:rPr>
        <w:t>主持人按开标流程进行开标。</w:t>
      </w:r>
    </w:p>
    <w:p w14:paraId="7C3F71A2">
      <w:pPr>
        <w:pStyle w:val="13"/>
        <w:kinsoku/>
        <w:topLinePunct/>
        <w:autoSpaceDE/>
        <w:spacing w:beforeAutospacing="0" w:afterAutospacing="0" w:line="360" w:lineRule="auto"/>
        <w:ind w:left="7"/>
        <w:outlineLvl w:val="1"/>
        <w:rPr>
          <w:sz w:val="21"/>
          <w:szCs w:val="21"/>
        </w:rPr>
      </w:pPr>
      <w:bookmarkStart w:id="81" w:name="_Toc199944378"/>
      <w:bookmarkStart w:id="82" w:name="_Toc200025573"/>
      <w:bookmarkStart w:id="83" w:name="_Toc21763"/>
      <w:r>
        <w:rPr>
          <w:rFonts w:hint="eastAsia" w:ascii="宋体" w:hAnsi="宋体" w:eastAsia="宋体" w:cs="宋体"/>
          <w:spacing w:val="5"/>
          <w:sz w:val="28"/>
          <w:szCs w:val="28"/>
          <w:lang w:bidi="ar"/>
        </w:rPr>
        <w:t>6．评审</w:t>
      </w:r>
      <w:bookmarkEnd w:id="81"/>
      <w:bookmarkEnd w:id="82"/>
      <w:bookmarkEnd w:id="83"/>
    </w:p>
    <w:p w14:paraId="786B956B">
      <w:pPr>
        <w:pStyle w:val="13"/>
        <w:kinsoku/>
        <w:topLinePunct/>
        <w:autoSpaceDE/>
        <w:spacing w:beforeAutospacing="0" w:afterAutospacing="0" w:line="360" w:lineRule="auto"/>
        <w:ind w:left="5"/>
        <w:outlineLvl w:val="2"/>
        <w:rPr>
          <w:sz w:val="28"/>
          <w:szCs w:val="28"/>
        </w:rPr>
      </w:pPr>
      <w:bookmarkStart w:id="84" w:name="_Toc199944379"/>
      <w:bookmarkStart w:id="85" w:name="_Toc30582"/>
      <w:r>
        <w:rPr>
          <w:rFonts w:hint="eastAsia" w:ascii="宋体" w:hAnsi="宋体" w:eastAsia="宋体" w:cs="宋体"/>
          <w:spacing w:val="-1"/>
          <w:sz w:val="28"/>
          <w:szCs w:val="28"/>
          <w:lang w:bidi="ar"/>
        </w:rPr>
        <w:t>6.1磋商小组</w:t>
      </w:r>
      <w:bookmarkEnd w:id="84"/>
      <w:bookmarkEnd w:id="85"/>
    </w:p>
    <w:p w14:paraId="7D742450">
      <w:pPr>
        <w:pStyle w:val="13"/>
        <w:kinsoku/>
        <w:topLinePunct/>
        <w:autoSpaceDE/>
        <w:spacing w:beforeAutospacing="0" w:afterAutospacing="0" w:line="360" w:lineRule="auto"/>
        <w:ind w:firstLine="512" w:firstLineChars="200"/>
        <w:rPr>
          <w:spacing w:val="8"/>
          <w:position w:val="20"/>
        </w:rPr>
      </w:pPr>
      <w:r>
        <w:rPr>
          <w:rFonts w:hint="eastAsia" w:ascii="宋体" w:hAnsi="宋体" w:eastAsia="宋体" w:cs="宋体"/>
          <w:spacing w:val="8"/>
          <w:position w:val="20"/>
          <w:lang w:bidi="ar"/>
        </w:rPr>
        <w:t>6.1.1评审工作由采购人依法组建的磋商小组负责。磋商小组由有关技术、经济等方面的专家组成。磋商小组成员人数以及技术、经济等方面专家的确定方式见供应商须知前附表。</w:t>
      </w:r>
    </w:p>
    <w:p w14:paraId="448FB384">
      <w:pPr>
        <w:pStyle w:val="13"/>
        <w:kinsoku/>
        <w:topLinePunct/>
        <w:autoSpaceDE/>
        <w:spacing w:beforeAutospacing="0" w:afterAutospacing="0" w:line="360" w:lineRule="auto"/>
        <w:ind w:firstLine="512" w:firstLineChars="200"/>
      </w:pPr>
      <w:r>
        <w:rPr>
          <w:rFonts w:hint="eastAsia" w:ascii="宋体" w:hAnsi="宋体" w:eastAsia="宋体" w:cs="宋体"/>
          <w:spacing w:val="8"/>
          <w:position w:val="20"/>
          <w:lang w:bidi="ar"/>
        </w:rPr>
        <w:t>6.1.2磋商小组成员有下列情形之一的，应当回避：</w:t>
      </w:r>
    </w:p>
    <w:p w14:paraId="082DCE29">
      <w:pPr>
        <w:pStyle w:val="13"/>
        <w:kinsoku/>
        <w:topLinePunct/>
        <w:autoSpaceDE/>
        <w:spacing w:beforeAutospacing="0" w:afterAutospacing="0" w:line="360" w:lineRule="auto"/>
        <w:ind w:firstLine="504" w:firstLineChars="200"/>
      </w:pPr>
      <w:r>
        <w:rPr>
          <w:rFonts w:hint="eastAsia" w:ascii="宋体" w:hAnsi="宋体" w:eastAsia="宋体" w:cs="宋体"/>
          <w:spacing w:val="6"/>
          <w:lang w:bidi="ar"/>
        </w:rPr>
        <w:t>(1）采购人或供应商的主要负责人的近亲属；</w:t>
      </w:r>
    </w:p>
    <w:p w14:paraId="2D9C4503">
      <w:pPr>
        <w:pStyle w:val="13"/>
        <w:kinsoku/>
        <w:topLinePunct/>
        <w:autoSpaceDE/>
        <w:spacing w:beforeAutospacing="0" w:afterAutospacing="0" w:line="360" w:lineRule="auto"/>
        <w:ind w:firstLine="504" w:firstLineChars="200"/>
      </w:pPr>
      <w:r>
        <w:rPr>
          <w:rFonts w:hint="eastAsia" w:ascii="宋体" w:hAnsi="宋体" w:eastAsia="宋体" w:cs="宋体"/>
          <w:spacing w:val="6"/>
          <w:lang w:bidi="ar"/>
        </w:rPr>
        <w:t>(2）项目主管部门或者行政监督部门的人员；</w:t>
      </w:r>
    </w:p>
    <w:p w14:paraId="65E648BF">
      <w:pPr>
        <w:pStyle w:val="13"/>
        <w:kinsoku/>
        <w:topLinePunct/>
        <w:autoSpaceDE/>
        <w:spacing w:beforeAutospacing="0" w:afterAutospacing="0" w:line="360" w:lineRule="auto"/>
        <w:ind w:firstLine="516" w:firstLineChars="200"/>
        <w:rPr>
          <w:spacing w:val="9"/>
        </w:rPr>
      </w:pPr>
      <w:r>
        <w:rPr>
          <w:rFonts w:hint="eastAsia" w:ascii="宋体" w:hAnsi="宋体" w:eastAsia="宋体" w:cs="宋体"/>
          <w:spacing w:val="9"/>
          <w:lang w:bidi="ar"/>
        </w:rPr>
        <w:t>(3）与供应商有经济利益关系，可能影响对投标公正评审的；</w:t>
      </w:r>
    </w:p>
    <w:p w14:paraId="5B745F20">
      <w:pPr>
        <w:pStyle w:val="13"/>
        <w:kinsoku/>
        <w:topLinePunct/>
        <w:autoSpaceDE/>
        <w:spacing w:beforeAutospacing="0" w:afterAutospacing="0" w:line="360" w:lineRule="auto"/>
        <w:ind w:firstLine="516" w:firstLineChars="200"/>
        <w:rPr>
          <w:spacing w:val="9"/>
        </w:rPr>
      </w:pPr>
      <w:r>
        <w:rPr>
          <w:rFonts w:hint="eastAsia" w:ascii="宋体" w:hAnsi="宋体" w:eastAsia="宋体" w:cs="宋体"/>
          <w:spacing w:val="9"/>
          <w:lang w:bidi="ar"/>
        </w:rPr>
        <w:t>(4）曾因在招标、评审工作以及其他与招标投标有关活动中从事违法行为而受过行政处罚或刑事处罚的。</w:t>
      </w:r>
    </w:p>
    <w:p w14:paraId="75D142BF">
      <w:pPr>
        <w:pStyle w:val="13"/>
        <w:kinsoku/>
        <w:topLinePunct/>
        <w:autoSpaceDE/>
        <w:spacing w:beforeAutospacing="0" w:afterAutospacing="0" w:line="360" w:lineRule="auto"/>
        <w:ind w:left="5"/>
        <w:outlineLvl w:val="2"/>
        <w:rPr>
          <w:sz w:val="28"/>
          <w:szCs w:val="28"/>
        </w:rPr>
      </w:pPr>
      <w:bookmarkStart w:id="86" w:name="_Toc31693"/>
      <w:bookmarkStart w:id="87" w:name="_Toc199944380"/>
      <w:r>
        <w:rPr>
          <w:rFonts w:hint="eastAsia" w:ascii="宋体" w:hAnsi="宋体" w:eastAsia="宋体" w:cs="宋体"/>
          <w:spacing w:val="-1"/>
          <w:sz w:val="28"/>
          <w:szCs w:val="28"/>
          <w:lang w:bidi="ar"/>
        </w:rPr>
        <w:t>6.2评审原则</w:t>
      </w:r>
      <w:bookmarkEnd w:id="86"/>
      <w:bookmarkEnd w:id="87"/>
    </w:p>
    <w:p w14:paraId="14B5AC0E">
      <w:pPr>
        <w:pStyle w:val="13"/>
        <w:kinsoku/>
        <w:topLinePunct/>
        <w:autoSpaceDE/>
        <w:spacing w:beforeAutospacing="0" w:afterAutospacing="0" w:line="360" w:lineRule="auto"/>
        <w:ind w:left="420"/>
        <w:rPr>
          <w:sz w:val="28"/>
          <w:szCs w:val="28"/>
        </w:rPr>
      </w:pPr>
      <w:r>
        <w:rPr>
          <w:rFonts w:hint="eastAsia" w:ascii="宋体" w:hAnsi="宋体" w:eastAsia="宋体" w:cs="宋体"/>
          <w:spacing w:val="9"/>
          <w:lang w:bidi="ar"/>
        </w:rPr>
        <w:t>评审工作活动遵循公平、公正、科学和择优的原则。</w:t>
      </w:r>
    </w:p>
    <w:p w14:paraId="0EF01CAC">
      <w:pPr>
        <w:pStyle w:val="13"/>
        <w:kinsoku/>
        <w:topLinePunct/>
        <w:autoSpaceDE/>
        <w:spacing w:beforeAutospacing="0" w:afterAutospacing="0" w:line="360" w:lineRule="auto"/>
        <w:ind w:left="5"/>
        <w:outlineLvl w:val="2"/>
        <w:rPr>
          <w:sz w:val="21"/>
          <w:szCs w:val="21"/>
        </w:rPr>
      </w:pPr>
      <w:bookmarkStart w:id="88" w:name="_Toc31591"/>
      <w:bookmarkStart w:id="89" w:name="_Toc199944381"/>
      <w:r>
        <w:rPr>
          <w:rFonts w:hint="eastAsia" w:ascii="宋体" w:hAnsi="宋体" w:eastAsia="宋体" w:cs="宋体"/>
          <w:spacing w:val="-1"/>
          <w:sz w:val="28"/>
          <w:szCs w:val="28"/>
          <w:lang w:bidi="ar"/>
        </w:rPr>
        <w:t>6.3评审工作</w:t>
      </w:r>
      <w:bookmarkEnd w:id="88"/>
      <w:bookmarkEnd w:id="89"/>
    </w:p>
    <w:p w14:paraId="4EB33B7C">
      <w:pPr>
        <w:pStyle w:val="13"/>
        <w:kinsoku/>
        <w:topLinePunct/>
        <w:autoSpaceDE/>
        <w:spacing w:beforeAutospacing="0" w:afterAutospacing="0" w:line="360" w:lineRule="auto"/>
        <w:ind w:left="1" w:firstLine="420"/>
        <w:rPr>
          <w:spacing w:val="9"/>
        </w:rPr>
      </w:pPr>
      <w:r>
        <w:rPr>
          <w:rFonts w:hint="eastAsia" w:ascii="宋体" w:hAnsi="宋体" w:eastAsia="宋体" w:cs="宋体"/>
          <w:spacing w:val="9"/>
          <w:lang w:bidi="ar"/>
        </w:rPr>
        <w:t>磋商小组按照第三章“评审办法”规定的方法、评审因素、标准和程序对响应文件进行评审。第三章“评审办法”没有规定的方法、评审因素和标准，不作为评审工作依据。</w:t>
      </w:r>
    </w:p>
    <w:p w14:paraId="2C3FB592">
      <w:pPr>
        <w:pStyle w:val="13"/>
        <w:kinsoku/>
        <w:topLinePunct/>
        <w:autoSpaceDE/>
        <w:spacing w:beforeAutospacing="0" w:afterAutospacing="0" w:line="360" w:lineRule="auto"/>
        <w:ind w:left="1" w:firstLine="420"/>
        <w:rPr>
          <w:spacing w:val="9"/>
        </w:rPr>
      </w:pPr>
      <w:r>
        <w:rPr>
          <w:rFonts w:hint="eastAsia" w:ascii="宋体" w:hAnsi="宋体" w:eastAsia="宋体" w:cs="宋体"/>
          <w:spacing w:val="9"/>
          <w:lang w:bidi="ar"/>
        </w:rPr>
        <w:t>6.3.1磋商小组对所有响应文件进行形式、资格、</w:t>
      </w:r>
      <w:r>
        <w:rPr>
          <w:rFonts w:hint="eastAsia" w:ascii="宋体" w:hAnsi="宋体" w:eastAsia="宋体" w:cs="宋体"/>
          <w:spacing w:val="9"/>
          <w:lang w:eastAsia="zh-CN" w:bidi="ar"/>
        </w:rPr>
        <w:t>符合性</w:t>
      </w:r>
      <w:r>
        <w:rPr>
          <w:rFonts w:hint="eastAsia" w:ascii="宋体" w:hAnsi="宋体" w:eastAsia="宋体" w:cs="宋体"/>
          <w:spacing w:val="9"/>
          <w:lang w:bidi="ar"/>
        </w:rPr>
        <w:t>评审；</w:t>
      </w:r>
    </w:p>
    <w:p w14:paraId="2F22729C">
      <w:pPr>
        <w:pStyle w:val="13"/>
        <w:kinsoku/>
        <w:topLinePunct/>
        <w:autoSpaceDE/>
        <w:spacing w:beforeAutospacing="0" w:afterAutospacing="0" w:line="360" w:lineRule="auto"/>
        <w:ind w:left="1" w:firstLine="420"/>
      </w:pPr>
      <w:r>
        <w:rPr>
          <w:rFonts w:hint="eastAsia" w:ascii="宋体" w:hAnsi="宋体" w:eastAsia="宋体" w:cs="宋体"/>
          <w:spacing w:val="9"/>
          <w:lang w:bidi="ar"/>
        </w:rPr>
        <w:t>6.3.2磋商小组所有成员集中与通过形式、资格、</w:t>
      </w:r>
      <w:r>
        <w:rPr>
          <w:rFonts w:hint="eastAsia" w:ascii="宋体" w:hAnsi="宋体" w:eastAsia="宋体" w:cs="宋体"/>
          <w:spacing w:val="9"/>
          <w:lang w:eastAsia="zh-CN" w:bidi="ar"/>
        </w:rPr>
        <w:t>符合性</w:t>
      </w:r>
      <w:r>
        <w:rPr>
          <w:rFonts w:hint="eastAsia" w:ascii="宋体" w:hAnsi="宋体" w:eastAsia="宋体" w:cs="宋体"/>
          <w:spacing w:val="9"/>
          <w:lang w:bidi="ar"/>
        </w:rPr>
        <w:t>评审的单一供应商分别进行磋</w:t>
      </w:r>
      <w:r>
        <w:rPr>
          <w:rFonts w:hint="eastAsia" w:ascii="宋体" w:hAnsi="宋体" w:eastAsia="宋体" w:cs="宋体"/>
          <w:spacing w:val="8"/>
          <w:lang w:bidi="ar"/>
        </w:rPr>
        <w:t>商，并给</w:t>
      </w:r>
      <w:r>
        <w:rPr>
          <w:rFonts w:hint="eastAsia" w:ascii="宋体" w:hAnsi="宋体" w:eastAsia="宋体" w:cs="宋体"/>
          <w:spacing w:val="9"/>
          <w:lang w:bidi="ar"/>
        </w:rPr>
        <w:t>予所有参加磋商的供应商平等的磋商机会。在</w:t>
      </w:r>
      <w:r>
        <w:rPr>
          <w:rFonts w:hint="eastAsia" w:ascii="宋体" w:hAnsi="宋体" w:eastAsia="宋体" w:cs="宋体"/>
          <w:spacing w:val="8"/>
          <w:lang w:bidi="ar"/>
        </w:rPr>
        <w:t>磋商过程中，磋商小组可以根据磋商文件和磋商情况实质性变动采购需求中的技术、服务要求以及合同草案条款，但不得变动磋商文件中的其他内容。实质性变动的内容，须经采购人代表确认。</w:t>
      </w:r>
    </w:p>
    <w:p w14:paraId="261ECED3">
      <w:pPr>
        <w:pStyle w:val="13"/>
        <w:kinsoku/>
        <w:topLinePunct/>
        <w:autoSpaceDE/>
        <w:spacing w:beforeAutospacing="0" w:afterAutospacing="0" w:line="360" w:lineRule="auto"/>
        <w:ind w:firstLine="423"/>
        <w:rPr>
          <w:spacing w:val="9"/>
        </w:rPr>
      </w:pPr>
      <w:r>
        <w:rPr>
          <w:rFonts w:hint="eastAsia" w:ascii="宋体" w:hAnsi="宋体" w:eastAsia="宋体" w:cs="宋体"/>
          <w:spacing w:val="9"/>
          <w:lang w:bidi="ar"/>
        </w:rPr>
        <w:t>对磋商文件作出的实质性变动是磋商文件的有效组成部分，磋商小组应当及时以书面形式同时通知所有参加磋商的供应商。</w:t>
      </w:r>
    </w:p>
    <w:p w14:paraId="1C6ACDBB">
      <w:pPr>
        <w:pStyle w:val="13"/>
        <w:kinsoku/>
        <w:topLinePunct/>
        <w:autoSpaceDE/>
        <w:spacing w:beforeAutospacing="0" w:afterAutospacing="0" w:line="360" w:lineRule="auto"/>
        <w:ind w:firstLine="423"/>
      </w:pPr>
      <w:r>
        <w:rPr>
          <w:rFonts w:hint="eastAsia" w:ascii="宋体" w:hAnsi="宋体" w:eastAsia="宋体" w:cs="宋体"/>
          <w:spacing w:val="8"/>
          <w:lang w:bidi="ar"/>
        </w:rPr>
        <w:t>供应商应当按照磋商文件的变动情况和磋商小组的要求重新提交响应文件，并由其法定代表人或</w:t>
      </w:r>
      <w:r>
        <w:rPr>
          <w:rFonts w:hint="eastAsia" w:ascii="宋体" w:hAnsi="宋体" w:eastAsia="宋体" w:cs="宋体"/>
          <w:spacing w:val="9"/>
          <w:lang w:bidi="ar"/>
        </w:rPr>
        <w:t>授权代表签字或者加盖公章。由授权代表签字的，</w:t>
      </w:r>
      <w:r>
        <w:rPr>
          <w:rFonts w:hint="eastAsia" w:ascii="宋体" w:hAnsi="宋体" w:eastAsia="宋体" w:cs="宋体"/>
          <w:spacing w:val="8"/>
          <w:lang w:bidi="ar"/>
        </w:rPr>
        <w:t>应当附法定代表人授权书。供应商为自然人的，应</w:t>
      </w:r>
      <w:r>
        <w:rPr>
          <w:rFonts w:hint="eastAsia" w:ascii="宋体" w:hAnsi="宋体" w:eastAsia="宋体" w:cs="宋体"/>
          <w:spacing w:val="7"/>
          <w:lang w:bidi="ar"/>
        </w:rPr>
        <w:t>当由本人签字并附身份证明。</w:t>
      </w:r>
    </w:p>
    <w:p w14:paraId="1718E71D">
      <w:pPr>
        <w:pStyle w:val="13"/>
        <w:kinsoku/>
        <w:topLinePunct/>
        <w:autoSpaceDE/>
        <w:spacing w:beforeAutospacing="0" w:afterAutospacing="0" w:line="360" w:lineRule="auto"/>
        <w:ind w:firstLine="423"/>
        <w:rPr>
          <w:spacing w:val="9"/>
        </w:rPr>
      </w:pPr>
      <w:r>
        <w:rPr>
          <w:rFonts w:hint="eastAsia" w:ascii="宋体" w:hAnsi="宋体" w:eastAsia="宋体" w:cs="宋体"/>
          <w:spacing w:val="9"/>
          <w:lang w:bidi="ar"/>
        </w:rPr>
        <w:t>6.3.3磋商文件能够详细列明采购标的的技术、服务要求的，磋商结束后，磋商小组应当要求所有实质性响应的供应商在规定时间内提交最后报价，提交最后报价的供应商不得少于3家。</w:t>
      </w:r>
    </w:p>
    <w:p w14:paraId="20A217DC">
      <w:pPr>
        <w:pStyle w:val="13"/>
        <w:kinsoku/>
        <w:topLinePunct/>
        <w:autoSpaceDE/>
        <w:spacing w:beforeAutospacing="0" w:afterAutospacing="0" w:line="360" w:lineRule="auto"/>
        <w:ind w:left="1" w:right="54" w:firstLine="418"/>
        <w:rPr>
          <w:spacing w:val="5"/>
        </w:rPr>
      </w:pPr>
      <w:r>
        <w:rPr>
          <w:rFonts w:hint="eastAsia" w:ascii="宋体" w:hAnsi="宋体" w:eastAsia="宋体" w:cs="宋体"/>
          <w:spacing w:val="8"/>
          <w:lang w:bidi="ar"/>
        </w:rPr>
        <w:t>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eastAsia="宋体" w:cs="宋体"/>
          <w:spacing w:val="7"/>
          <w:lang w:bidi="ar"/>
        </w:rPr>
        <w:t>供应商的设计方案或</w:t>
      </w:r>
      <w:r>
        <w:rPr>
          <w:rFonts w:hint="eastAsia" w:ascii="宋体" w:hAnsi="宋体" w:eastAsia="宋体" w:cs="宋体"/>
          <w:spacing w:val="5"/>
          <w:lang w:bidi="ar"/>
        </w:rPr>
        <w:t>者解决方案，并要求其在规定时间内提交最后报价。最后报价是供应商响应文件的有效组成部分。</w:t>
      </w:r>
    </w:p>
    <w:p w14:paraId="0C824D74">
      <w:pPr>
        <w:pStyle w:val="13"/>
        <w:kinsoku/>
        <w:topLinePunct/>
        <w:autoSpaceDE/>
        <w:spacing w:beforeAutospacing="0" w:afterAutospacing="0" w:line="360" w:lineRule="auto"/>
        <w:ind w:left="5" w:firstLine="416"/>
        <w:rPr>
          <w:spacing w:val="5"/>
        </w:rPr>
      </w:pPr>
      <w:r>
        <w:rPr>
          <w:rFonts w:hint="eastAsia" w:ascii="宋体" w:hAnsi="宋体" w:eastAsia="宋体" w:cs="宋体"/>
          <w:spacing w:val="5"/>
          <w:lang w:bidi="ar"/>
        </w:rPr>
        <w:t>已提交响应文件的供应商，在提交最后报价之前，可以根据磋商情况退出磋商。采购人、采购代理机构应当退还退出磋商的供应商的磋商保证金。</w:t>
      </w:r>
    </w:p>
    <w:p w14:paraId="77C8BB29">
      <w:pPr>
        <w:pStyle w:val="13"/>
        <w:kinsoku/>
        <w:topLinePunct/>
        <w:autoSpaceDE/>
        <w:spacing w:beforeAutospacing="0" w:afterAutospacing="0" w:line="360" w:lineRule="auto"/>
        <w:ind w:left="5" w:firstLine="416"/>
        <w:rPr>
          <w:spacing w:val="5"/>
        </w:rPr>
      </w:pPr>
      <w:r>
        <w:rPr>
          <w:rFonts w:hint="eastAsia" w:ascii="宋体" w:hAnsi="宋体" w:eastAsia="宋体" w:cs="宋体"/>
          <w:spacing w:val="5"/>
          <w:lang w:bidi="ar"/>
        </w:rPr>
        <w:t>6.3.4经磋商确定最终采购需求和提交最后报价的供应商后，由磋商小组采用综合评分法对提交最后报价的供应商的响应文件和最后报价进行综合评分；</w:t>
      </w:r>
    </w:p>
    <w:p w14:paraId="1BC4363F">
      <w:pPr>
        <w:pStyle w:val="13"/>
        <w:kinsoku/>
        <w:topLinePunct/>
        <w:autoSpaceDE/>
        <w:spacing w:beforeAutospacing="0" w:afterAutospacing="0" w:line="360" w:lineRule="auto"/>
        <w:ind w:left="5" w:firstLine="416"/>
        <w:rPr>
          <w:sz w:val="21"/>
          <w:szCs w:val="21"/>
        </w:rPr>
      </w:pPr>
      <w:r>
        <w:rPr>
          <w:rFonts w:hint="eastAsia" w:ascii="宋体" w:hAnsi="宋体" w:eastAsia="宋体" w:cs="宋体"/>
          <w:spacing w:val="9"/>
          <w:lang w:bidi="ar"/>
        </w:rPr>
        <w:t>6.3.5磋商小组应当根据综合评分情况，按照评审得分由高到低顺序推荐3名</w:t>
      </w:r>
      <w:r>
        <w:rPr>
          <w:rFonts w:hint="eastAsia" w:ascii="宋体" w:hAnsi="宋体" w:eastAsia="宋体" w:cs="宋体"/>
          <w:spacing w:val="8"/>
          <w:lang w:bidi="ar"/>
        </w:rPr>
        <w:t>以上成交候选人，</w:t>
      </w:r>
      <w:r>
        <w:rPr>
          <w:rFonts w:hint="eastAsia" w:ascii="宋体" w:hAnsi="宋体" w:eastAsia="宋体" w:cs="宋体"/>
          <w:spacing w:val="5"/>
          <w:lang w:bidi="ar"/>
        </w:rPr>
        <w:t>并编写评审报告。评审得分相同的，按照最后报价由低到高的顺序推荐。评审得分且最后报价相</w:t>
      </w:r>
      <w:r>
        <w:rPr>
          <w:rFonts w:hint="eastAsia" w:ascii="宋体" w:hAnsi="宋体" w:eastAsia="宋体" w:cs="宋体"/>
          <w:spacing w:val="4"/>
          <w:lang w:bidi="ar"/>
        </w:rPr>
        <w:t>同的，</w:t>
      </w:r>
      <w:r>
        <w:rPr>
          <w:rFonts w:hint="eastAsia" w:ascii="宋体" w:hAnsi="宋体" w:eastAsia="宋体" w:cs="宋体"/>
          <w:spacing w:val="8"/>
          <w:lang w:bidi="ar"/>
        </w:rPr>
        <w:t>按照技术指标优劣顺序推荐。</w:t>
      </w:r>
    </w:p>
    <w:p w14:paraId="5E7F8879">
      <w:pPr>
        <w:pStyle w:val="13"/>
        <w:kinsoku/>
        <w:topLinePunct/>
        <w:autoSpaceDE/>
        <w:spacing w:beforeAutospacing="0" w:afterAutospacing="0" w:line="360" w:lineRule="auto"/>
        <w:ind w:left="12"/>
        <w:outlineLvl w:val="1"/>
        <w:rPr>
          <w:sz w:val="21"/>
          <w:szCs w:val="21"/>
        </w:rPr>
      </w:pPr>
      <w:bookmarkStart w:id="90" w:name="_Toc200025574"/>
      <w:bookmarkStart w:id="91" w:name="_Toc10155"/>
      <w:bookmarkStart w:id="92" w:name="_Toc199944382"/>
      <w:r>
        <w:rPr>
          <w:rFonts w:hint="eastAsia" w:ascii="宋体" w:hAnsi="宋体" w:eastAsia="宋体" w:cs="宋体"/>
          <w:spacing w:val="6"/>
          <w:sz w:val="28"/>
          <w:szCs w:val="28"/>
          <w:lang w:bidi="ar"/>
        </w:rPr>
        <w:t>7．合同授予</w:t>
      </w:r>
      <w:bookmarkEnd w:id="90"/>
      <w:bookmarkEnd w:id="91"/>
      <w:bookmarkEnd w:id="92"/>
    </w:p>
    <w:p w14:paraId="48AAE3E5">
      <w:pPr>
        <w:pStyle w:val="13"/>
        <w:kinsoku/>
        <w:topLinePunct/>
        <w:autoSpaceDE/>
        <w:spacing w:beforeAutospacing="0" w:afterAutospacing="0" w:line="360" w:lineRule="auto"/>
        <w:ind w:left="10"/>
        <w:outlineLvl w:val="2"/>
        <w:rPr>
          <w:sz w:val="28"/>
          <w:szCs w:val="28"/>
        </w:rPr>
      </w:pPr>
      <w:bookmarkStart w:id="93" w:name="_Toc199944383"/>
      <w:bookmarkStart w:id="94" w:name="_Toc28377"/>
      <w:r>
        <w:rPr>
          <w:rFonts w:hint="eastAsia" w:ascii="宋体" w:hAnsi="宋体" w:eastAsia="宋体" w:cs="宋体"/>
          <w:spacing w:val="-5"/>
          <w:sz w:val="28"/>
          <w:szCs w:val="28"/>
          <w:lang w:bidi="ar"/>
        </w:rPr>
        <w:t>7.1定标方式</w:t>
      </w:r>
      <w:bookmarkEnd w:id="93"/>
      <w:bookmarkEnd w:id="94"/>
    </w:p>
    <w:p w14:paraId="64D192D0">
      <w:pPr>
        <w:pStyle w:val="13"/>
        <w:kinsoku/>
        <w:topLinePunct/>
        <w:autoSpaceDE/>
        <w:spacing w:beforeAutospacing="0" w:afterAutospacing="0" w:line="360" w:lineRule="auto"/>
        <w:ind w:left="6" w:right="54" w:firstLine="413"/>
        <w:rPr>
          <w:spacing w:val="8"/>
        </w:rPr>
      </w:pPr>
      <w:r>
        <w:rPr>
          <w:rFonts w:hint="eastAsia" w:ascii="宋体" w:hAnsi="宋体" w:eastAsia="宋体" w:cs="宋体"/>
          <w:spacing w:val="8"/>
          <w:lang w:bidi="ar"/>
        </w:rPr>
        <w:t>除供应商须知前附表规定磋商小组直接确定成交单位外，采购人依据磋商小组推荐的成交候选人确定中标成交单位，磋商小组推荐成交候选人的人数见供应商须知前附表。</w:t>
      </w:r>
    </w:p>
    <w:p w14:paraId="5FE692B1">
      <w:pPr>
        <w:pStyle w:val="13"/>
        <w:kinsoku/>
        <w:topLinePunct/>
        <w:autoSpaceDE/>
        <w:spacing w:beforeAutospacing="0" w:afterAutospacing="0" w:line="360" w:lineRule="auto"/>
        <w:ind w:left="6" w:right="54" w:firstLine="413"/>
        <w:rPr>
          <w:spacing w:val="8"/>
        </w:rPr>
      </w:pPr>
      <w:r>
        <w:rPr>
          <w:rFonts w:hint="eastAsia" w:ascii="宋体" w:hAnsi="宋体" w:eastAsia="宋体" w:cs="宋体"/>
          <w:spacing w:val="8"/>
          <w:lang w:bidi="ar"/>
        </w:rPr>
        <w:t>采购代理机构应当在评审结束后2个工作日内将评审报告送采购人确认。</w:t>
      </w:r>
    </w:p>
    <w:p w14:paraId="4A36A16B">
      <w:pPr>
        <w:pStyle w:val="13"/>
        <w:kinsoku/>
        <w:topLinePunct/>
        <w:autoSpaceDE/>
        <w:spacing w:beforeAutospacing="0" w:afterAutospacing="0" w:line="360" w:lineRule="auto"/>
        <w:ind w:left="6" w:right="54" w:firstLine="413"/>
        <w:rPr>
          <w:sz w:val="28"/>
          <w:szCs w:val="28"/>
        </w:rPr>
      </w:pPr>
      <w:r>
        <w:rPr>
          <w:rFonts w:hint="eastAsia" w:ascii="宋体" w:hAnsi="宋体" w:eastAsia="宋体" w:cs="宋体"/>
          <w:spacing w:val="8"/>
          <w:lang w:bidi="ar"/>
        </w:rPr>
        <w:t>采购人应当在收到评审报告后5个工作日内，从评审报告提出的成交候选供应商中，按照</w:t>
      </w:r>
      <w:r>
        <w:rPr>
          <w:rFonts w:hint="eastAsia" w:ascii="宋体" w:hAnsi="宋体" w:eastAsia="宋体" w:cs="宋体"/>
          <w:spacing w:val="7"/>
          <w:lang w:bidi="ar"/>
        </w:rPr>
        <w:t>排序由</w:t>
      </w:r>
      <w:r>
        <w:rPr>
          <w:rFonts w:hint="eastAsia" w:ascii="宋体" w:hAnsi="宋体" w:eastAsia="宋体" w:cs="宋体"/>
          <w:spacing w:val="8"/>
          <w:lang w:bidi="ar"/>
        </w:rPr>
        <w:t>高到低的原则确定成交供应商，也可以书面授权磋商小组直接确定成交供应商。采购人逾期未确定成</w:t>
      </w:r>
      <w:r>
        <w:rPr>
          <w:rFonts w:hint="eastAsia" w:ascii="宋体" w:hAnsi="宋体" w:eastAsia="宋体" w:cs="宋体"/>
          <w:spacing w:val="9"/>
          <w:lang w:bidi="ar"/>
        </w:rPr>
        <w:t>交供应商且不提出异议的，视为确定评审报告提出的排序第一的供应商为成交供应商。</w:t>
      </w:r>
    </w:p>
    <w:p w14:paraId="641E134B">
      <w:pPr>
        <w:pStyle w:val="13"/>
        <w:kinsoku/>
        <w:topLinePunct/>
        <w:autoSpaceDE/>
        <w:spacing w:beforeAutospacing="0" w:afterAutospacing="0" w:line="360" w:lineRule="auto"/>
        <w:ind w:left="10"/>
        <w:outlineLvl w:val="2"/>
        <w:rPr>
          <w:sz w:val="21"/>
          <w:szCs w:val="21"/>
        </w:rPr>
      </w:pPr>
      <w:bookmarkStart w:id="95" w:name="_Toc199944384"/>
      <w:bookmarkStart w:id="96" w:name="_Toc3535"/>
      <w:r>
        <w:rPr>
          <w:rFonts w:hint="eastAsia" w:ascii="宋体" w:hAnsi="宋体" w:eastAsia="宋体" w:cs="宋体"/>
          <w:spacing w:val="-4"/>
          <w:sz w:val="28"/>
          <w:szCs w:val="28"/>
          <w:lang w:bidi="ar"/>
        </w:rPr>
        <w:t>7.2成交通知</w:t>
      </w:r>
      <w:bookmarkEnd w:id="95"/>
      <w:bookmarkEnd w:id="96"/>
    </w:p>
    <w:p w14:paraId="6D30C82F">
      <w:pPr>
        <w:pStyle w:val="13"/>
        <w:kinsoku/>
        <w:topLinePunct/>
        <w:autoSpaceDE/>
        <w:spacing w:beforeAutospacing="0" w:afterAutospacing="0" w:line="360" w:lineRule="auto"/>
        <w:ind w:right="54" w:firstLine="420"/>
      </w:pPr>
      <w:r>
        <w:rPr>
          <w:rFonts w:hint="eastAsia" w:ascii="宋体" w:hAnsi="宋体" w:eastAsia="宋体" w:cs="宋体"/>
          <w:spacing w:val="8"/>
          <w:lang w:bidi="ar"/>
        </w:rPr>
        <w:t>采购人或者采购代理机构应当在成交供应商确定后2个工作日内，在省级以上财政部门指定的政</w:t>
      </w:r>
      <w:r>
        <w:rPr>
          <w:rFonts w:hint="eastAsia" w:ascii="宋体" w:hAnsi="宋体" w:eastAsia="宋体" w:cs="宋体"/>
          <w:spacing w:val="9"/>
          <w:lang w:bidi="ar"/>
        </w:rPr>
        <w:t>府采购信息发布媒体上公告成交结果，同时向成交</w:t>
      </w:r>
      <w:r>
        <w:rPr>
          <w:rFonts w:hint="eastAsia" w:ascii="宋体" w:hAnsi="宋体" w:eastAsia="宋体" w:cs="宋体"/>
          <w:spacing w:val="8"/>
          <w:lang w:bidi="ar"/>
        </w:rPr>
        <w:t>供应商发出成交通知书，并将磋商文件随成交结果。</w:t>
      </w:r>
    </w:p>
    <w:p w14:paraId="2A3327B7">
      <w:pPr>
        <w:pStyle w:val="13"/>
        <w:kinsoku/>
        <w:topLinePunct/>
        <w:autoSpaceDE/>
        <w:spacing w:beforeAutospacing="0" w:afterAutospacing="0" w:line="360" w:lineRule="auto"/>
        <w:ind w:left="21"/>
        <w:rPr>
          <w:sz w:val="28"/>
          <w:szCs w:val="28"/>
        </w:rPr>
      </w:pPr>
      <w:r>
        <w:rPr>
          <w:rFonts w:hint="eastAsia" w:ascii="宋体" w:hAnsi="宋体" w:eastAsia="宋体" w:cs="宋体"/>
          <w:spacing w:val="1"/>
          <w:lang w:bidi="ar"/>
        </w:rPr>
        <w:t>同时公告。</w:t>
      </w:r>
    </w:p>
    <w:p w14:paraId="2D7DC786">
      <w:pPr>
        <w:pStyle w:val="13"/>
        <w:kinsoku/>
        <w:topLinePunct/>
        <w:autoSpaceDE/>
        <w:spacing w:beforeAutospacing="0" w:afterAutospacing="0" w:line="360" w:lineRule="auto"/>
        <w:ind w:left="10"/>
        <w:outlineLvl w:val="2"/>
        <w:rPr>
          <w:sz w:val="28"/>
          <w:szCs w:val="28"/>
        </w:rPr>
      </w:pPr>
      <w:bookmarkStart w:id="97" w:name="_Toc199944385"/>
      <w:bookmarkStart w:id="98" w:name="_Toc2595"/>
      <w:r>
        <w:rPr>
          <w:rFonts w:hint="eastAsia" w:ascii="宋体" w:hAnsi="宋体" w:eastAsia="宋体" w:cs="宋体"/>
          <w:spacing w:val="-4"/>
          <w:sz w:val="28"/>
          <w:szCs w:val="28"/>
          <w:lang w:bidi="ar"/>
        </w:rPr>
        <w:t>7.3履约担保</w:t>
      </w:r>
      <w:bookmarkEnd w:id="97"/>
      <w:bookmarkEnd w:id="98"/>
    </w:p>
    <w:p w14:paraId="74D34197">
      <w:pPr>
        <w:pStyle w:val="13"/>
        <w:kinsoku/>
        <w:topLinePunct/>
        <w:autoSpaceDE/>
        <w:spacing w:beforeAutospacing="0" w:afterAutospacing="0" w:line="360" w:lineRule="auto"/>
        <w:ind w:left="6" w:right="6" w:firstLine="512" w:firstLineChars="200"/>
      </w:pPr>
      <w:r>
        <w:rPr>
          <w:rFonts w:hint="eastAsia" w:ascii="宋体" w:hAnsi="宋体" w:eastAsia="宋体" w:cs="宋体"/>
          <w:spacing w:val="8"/>
          <w:lang w:bidi="ar"/>
        </w:rPr>
        <w:t>7.3.1在签订合同前，中标人应按供应商须知前附表规定的金额、担保形式和磋商文件第四章“合同条款及格式”</w:t>
      </w:r>
      <w:r>
        <w:rPr>
          <w:rFonts w:hint="eastAsia" w:ascii="宋体" w:hAnsi="宋体" w:eastAsia="宋体" w:cs="宋体"/>
          <w:spacing w:val="7"/>
          <w:lang w:bidi="ar"/>
        </w:rPr>
        <w:t>规定的履约担保格式向采购人提交履约担保。联合体中标的，其履约担保由牵头人递</w:t>
      </w:r>
      <w:r>
        <w:rPr>
          <w:rFonts w:hint="eastAsia" w:ascii="宋体" w:hAnsi="宋体" w:eastAsia="宋体" w:cs="宋体"/>
          <w:spacing w:val="8"/>
          <w:lang w:bidi="ar"/>
        </w:rPr>
        <w:t>交，并应符合供应商须知前附表规定的金额、担保形式和磋商文件第四</w:t>
      </w:r>
      <w:r>
        <w:rPr>
          <w:rFonts w:hint="eastAsia" w:ascii="宋体" w:hAnsi="宋体" w:eastAsia="宋体" w:cs="宋体"/>
          <w:spacing w:val="7"/>
          <w:lang w:bidi="ar"/>
        </w:rPr>
        <w:t>章“合同条款及格式”规定的履约担保格式要求。</w:t>
      </w:r>
    </w:p>
    <w:p w14:paraId="7D1CBC10">
      <w:pPr>
        <w:pStyle w:val="13"/>
        <w:kinsoku/>
        <w:topLinePunct/>
        <w:autoSpaceDE/>
        <w:spacing w:beforeAutospacing="0" w:afterAutospacing="0" w:line="360" w:lineRule="auto"/>
        <w:ind w:left="6" w:right="6" w:firstLine="512" w:firstLineChars="200"/>
        <w:rPr>
          <w:spacing w:val="8"/>
        </w:rPr>
      </w:pPr>
      <w:r>
        <w:rPr>
          <w:rFonts w:hint="eastAsia" w:ascii="宋体" w:hAnsi="宋体" w:eastAsia="宋体" w:cs="宋体"/>
          <w:spacing w:val="8"/>
          <w:lang w:bidi="ar"/>
        </w:rPr>
        <w:t>7.3.2中标人不能按本章第7.3.1项要求提交履约担保的，视为放弃中标，其磋商保证金不予退还，给采购人造成的损失超过磋商保证金数额的，中标人还应当对超过部分予以赔偿。</w:t>
      </w:r>
    </w:p>
    <w:p w14:paraId="38BD6B9A">
      <w:pPr>
        <w:pStyle w:val="13"/>
        <w:kinsoku/>
        <w:topLinePunct/>
        <w:autoSpaceDE/>
        <w:spacing w:beforeAutospacing="0" w:afterAutospacing="0" w:line="360" w:lineRule="auto"/>
        <w:ind w:left="10"/>
        <w:outlineLvl w:val="2"/>
        <w:rPr>
          <w:sz w:val="28"/>
          <w:szCs w:val="28"/>
        </w:rPr>
      </w:pPr>
      <w:bookmarkStart w:id="99" w:name="_Toc199944386"/>
      <w:bookmarkStart w:id="100" w:name="_Toc9587"/>
      <w:r>
        <w:rPr>
          <w:rFonts w:hint="eastAsia" w:ascii="宋体" w:hAnsi="宋体" w:eastAsia="宋体" w:cs="宋体"/>
          <w:spacing w:val="-2"/>
          <w:sz w:val="28"/>
          <w:szCs w:val="28"/>
          <w:lang w:bidi="ar"/>
        </w:rPr>
        <w:t>7.4签订合同</w:t>
      </w:r>
      <w:bookmarkEnd w:id="99"/>
      <w:bookmarkEnd w:id="100"/>
    </w:p>
    <w:p w14:paraId="5D8121C5">
      <w:pPr>
        <w:pStyle w:val="13"/>
        <w:kinsoku/>
        <w:topLinePunct/>
        <w:autoSpaceDE/>
        <w:spacing w:beforeAutospacing="0" w:afterAutospacing="0" w:line="360" w:lineRule="auto"/>
        <w:ind w:left="6" w:right="6" w:firstLine="512" w:firstLineChars="200"/>
        <w:rPr>
          <w:spacing w:val="8"/>
        </w:rPr>
      </w:pPr>
      <w:r>
        <w:rPr>
          <w:rFonts w:hint="eastAsia" w:ascii="宋体" w:hAnsi="宋体" w:eastAsia="宋体" w:cs="宋体"/>
          <w:spacing w:val="8"/>
          <w:lang w:bidi="ar"/>
        </w:rPr>
        <w:t>7.4.1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21C0A337">
      <w:pPr>
        <w:pStyle w:val="13"/>
        <w:kinsoku/>
        <w:topLinePunct/>
        <w:autoSpaceDE/>
        <w:spacing w:beforeAutospacing="0" w:afterAutospacing="0" w:line="360" w:lineRule="auto"/>
        <w:ind w:left="6" w:right="6" w:firstLine="512" w:firstLineChars="200"/>
        <w:rPr>
          <w:spacing w:val="8"/>
        </w:rPr>
      </w:pPr>
      <w:r>
        <w:rPr>
          <w:rFonts w:hint="eastAsia" w:ascii="宋体" w:hAnsi="宋体" w:eastAsia="宋体" w:cs="宋体"/>
          <w:spacing w:val="8"/>
          <w:lang w:bidi="ar"/>
        </w:rPr>
        <w:t>7.4.2发出成交通知书后，采购人无正当理由拒签合同的，采购人向中标人退还磋商保证金；给中标人造成损失的，还应当赔偿损失。</w:t>
      </w:r>
    </w:p>
    <w:p w14:paraId="1D88EF6B">
      <w:pPr>
        <w:pStyle w:val="13"/>
        <w:kinsoku/>
        <w:topLinePunct/>
        <w:autoSpaceDE/>
        <w:spacing w:beforeAutospacing="0" w:afterAutospacing="0" w:line="360" w:lineRule="auto"/>
        <w:ind w:left="6" w:right="6" w:firstLine="512" w:firstLineChars="200"/>
        <w:rPr>
          <w:spacing w:val="8"/>
        </w:rPr>
      </w:pPr>
      <w:r>
        <w:rPr>
          <w:rFonts w:hint="eastAsia" w:ascii="宋体" w:hAnsi="宋体" w:eastAsia="宋体" w:cs="宋体"/>
          <w:spacing w:val="8"/>
          <w:lang w:bidi="ar"/>
        </w:rPr>
        <w:t>7.4.3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6A40B948">
      <w:pPr>
        <w:pStyle w:val="13"/>
        <w:kinsoku/>
        <w:topLinePunct/>
        <w:autoSpaceDE/>
        <w:spacing w:beforeAutospacing="0" w:afterAutospacing="0" w:line="360" w:lineRule="auto"/>
        <w:ind w:left="6"/>
        <w:outlineLvl w:val="1"/>
        <w:rPr>
          <w:sz w:val="21"/>
          <w:szCs w:val="21"/>
        </w:rPr>
      </w:pPr>
      <w:bookmarkStart w:id="101" w:name="_Toc3786"/>
      <w:bookmarkStart w:id="102" w:name="_Toc199944387"/>
      <w:bookmarkStart w:id="103" w:name="_Toc200025575"/>
      <w:r>
        <w:rPr>
          <w:rFonts w:hint="eastAsia" w:ascii="宋体" w:hAnsi="宋体" w:eastAsia="宋体" w:cs="宋体"/>
          <w:spacing w:val="9"/>
          <w:sz w:val="28"/>
          <w:szCs w:val="28"/>
          <w:lang w:bidi="ar"/>
        </w:rPr>
        <w:t>8．重新招标和终止招标</w:t>
      </w:r>
      <w:bookmarkEnd w:id="101"/>
      <w:bookmarkEnd w:id="102"/>
      <w:bookmarkEnd w:id="103"/>
    </w:p>
    <w:p w14:paraId="253CAE1B">
      <w:pPr>
        <w:pStyle w:val="13"/>
        <w:kinsoku/>
        <w:topLinePunct/>
        <w:autoSpaceDE/>
        <w:spacing w:beforeAutospacing="0" w:afterAutospacing="0" w:line="360" w:lineRule="auto"/>
        <w:ind w:left="4"/>
        <w:outlineLvl w:val="2"/>
        <w:rPr>
          <w:sz w:val="28"/>
          <w:szCs w:val="28"/>
        </w:rPr>
      </w:pPr>
      <w:bookmarkStart w:id="104" w:name="_Toc199944388"/>
      <w:bookmarkStart w:id="105" w:name="_Toc7262"/>
      <w:r>
        <w:rPr>
          <w:rFonts w:hint="eastAsia" w:ascii="宋体" w:hAnsi="宋体" w:eastAsia="宋体" w:cs="宋体"/>
          <w:spacing w:val="-1"/>
          <w:sz w:val="28"/>
          <w:szCs w:val="28"/>
          <w:lang w:bidi="ar"/>
        </w:rPr>
        <w:t>8.1重新招标</w:t>
      </w:r>
      <w:bookmarkEnd w:id="104"/>
      <w:bookmarkEnd w:id="105"/>
    </w:p>
    <w:p w14:paraId="56D3A80B">
      <w:pPr>
        <w:pStyle w:val="13"/>
        <w:kinsoku/>
        <w:topLinePunct/>
        <w:autoSpaceDE/>
        <w:spacing w:beforeAutospacing="0" w:afterAutospacing="0" w:line="360" w:lineRule="auto"/>
        <w:ind w:left="6" w:right="6" w:firstLine="512" w:firstLineChars="200"/>
        <w:rPr>
          <w:spacing w:val="8"/>
        </w:rPr>
      </w:pPr>
      <w:r>
        <w:rPr>
          <w:rFonts w:hint="eastAsia" w:ascii="宋体" w:hAnsi="宋体" w:eastAsia="宋体" w:cs="宋体"/>
          <w:spacing w:val="8"/>
          <w:lang w:bidi="ar"/>
        </w:rPr>
        <w:t>出现下列情形之一的，采购人或者采购代理机构应当终止竞争性磋商采购活动，发布项目终止公告并说明原因，重新开展采购活动：</w:t>
      </w:r>
    </w:p>
    <w:p w14:paraId="38FB40E6">
      <w:pPr>
        <w:pStyle w:val="13"/>
        <w:kinsoku/>
        <w:topLinePunct/>
        <w:autoSpaceDE/>
        <w:spacing w:beforeAutospacing="0" w:afterAutospacing="0" w:line="360" w:lineRule="auto"/>
        <w:ind w:left="6" w:right="6" w:firstLine="512" w:firstLineChars="200"/>
        <w:rPr>
          <w:spacing w:val="8"/>
        </w:rPr>
      </w:pPr>
    </w:p>
    <w:p w14:paraId="684FFFAD">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（一）因情况变化，不再符合规定的竞争性磋商采购方式适用情形的；</w:t>
      </w:r>
    </w:p>
    <w:p w14:paraId="7FB21430">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（二）出现影响采购公正的违法、违规行为的；</w:t>
      </w:r>
    </w:p>
    <w:p w14:paraId="525FF978">
      <w:pPr>
        <w:pStyle w:val="13"/>
        <w:kinsoku/>
        <w:topLinePunct/>
        <w:autoSpaceDE/>
        <w:spacing w:beforeAutospacing="0" w:afterAutospacing="0" w:line="360" w:lineRule="auto"/>
        <w:ind w:firstLine="512" w:firstLineChars="200"/>
        <w:rPr>
          <w:spacing w:val="8"/>
        </w:rPr>
      </w:pPr>
      <w:r>
        <w:rPr>
          <w:rFonts w:hint="eastAsia" w:ascii="宋体" w:hAnsi="宋体" w:eastAsia="宋体" w:cs="宋体"/>
          <w:spacing w:val="8"/>
          <w:lang w:bidi="ar"/>
        </w:rPr>
        <w:t>（三）除《政府采购竞争性磋商采购方式管理暂行办法》第二十一条第三款规定的情形外，在采购过程中符合要求的供应商或者报价未超过采购预算的供应商不足3家的。</w:t>
      </w:r>
    </w:p>
    <w:p w14:paraId="140D93FA">
      <w:pPr>
        <w:pStyle w:val="13"/>
        <w:kinsoku/>
        <w:topLinePunct/>
        <w:autoSpaceDE/>
        <w:spacing w:beforeAutospacing="0" w:afterAutospacing="0" w:line="360" w:lineRule="auto"/>
        <w:ind w:left="4"/>
        <w:outlineLvl w:val="2"/>
        <w:rPr>
          <w:sz w:val="28"/>
          <w:szCs w:val="28"/>
        </w:rPr>
      </w:pPr>
      <w:bookmarkStart w:id="106" w:name="_Toc25737"/>
      <w:bookmarkStart w:id="107" w:name="_Toc199944389"/>
      <w:r>
        <w:rPr>
          <w:rFonts w:hint="eastAsia" w:ascii="宋体" w:hAnsi="宋体" w:eastAsia="宋体" w:cs="宋体"/>
          <w:spacing w:val="-3"/>
          <w:sz w:val="28"/>
          <w:szCs w:val="28"/>
          <w:lang w:bidi="ar"/>
        </w:rPr>
        <w:t>8.2终止招标</w:t>
      </w:r>
      <w:bookmarkEnd w:id="106"/>
      <w:bookmarkEnd w:id="107"/>
    </w:p>
    <w:p w14:paraId="345AD597">
      <w:pPr>
        <w:pStyle w:val="13"/>
        <w:kinsoku/>
        <w:topLinePunct/>
        <w:autoSpaceDE/>
        <w:spacing w:beforeAutospacing="0" w:afterAutospacing="0" w:line="360" w:lineRule="auto"/>
        <w:ind w:left="6" w:right="6" w:firstLine="512" w:firstLineChars="200"/>
        <w:rPr>
          <w:spacing w:val="8"/>
        </w:rPr>
      </w:pPr>
      <w:r>
        <w:rPr>
          <w:rFonts w:hint="eastAsia" w:ascii="宋体" w:hAnsi="宋体" w:eastAsia="宋体" w:cs="宋体"/>
          <w:spacing w:val="8"/>
          <w:lang w:bidi="ar"/>
        </w:rPr>
        <w:t>在采购活动中因重大变故，采购任务取消的，采购人或者采购代理机构应当终止采购活动，通知所有参加采购活动的供应商，并将项目实施情况和采购任务取消原因报送本级财政部门。</w:t>
      </w:r>
    </w:p>
    <w:p w14:paraId="15C85154">
      <w:pPr>
        <w:pStyle w:val="13"/>
        <w:kinsoku/>
        <w:topLinePunct/>
        <w:autoSpaceDE/>
        <w:spacing w:beforeAutospacing="0" w:afterAutospacing="0" w:line="360" w:lineRule="auto"/>
        <w:ind w:left="5"/>
        <w:outlineLvl w:val="1"/>
        <w:rPr>
          <w:sz w:val="21"/>
          <w:szCs w:val="21"/>
        </w:rPr>
      </w:pPr>
      <w:bookmarkStart w:id="108" w:name="_Toc4158"/>
      <w:bookmarkStart w:id="109" w:name="_Toc199944390"/>
      <w:bookmarkStart w:id="110" w:name="_Toc200025576"/>
      <w:r>
        <w:rPr>
          <w:rFonts w:hint="eastAsia" w:ascii="宋体" w:hAnsi="宋体" w:eastAsia="宋体" w:cs="宋体"/>
          <w:spacing w:val="8"/>
          <w:sz w:val="28"/>
          <w:szCs w:val="28"/>
          <w:lang w:bidi="ar"/>
        </w:rPr>
        <w:t>9．纪律和监督</w:t>
      </w:r>
      <w:bookmarkEnd w:id="108"/>
      <w:bookmarkEnd w:id="109"/>
      <w:bookmarkEnd w:id="110"/>
    </w:p>
    <w:p w14:paraId="255B3073">
      <w:pPr>
        <w:pStyle w:val="13"/>
        <w:kinsoku/>
        <w:topLinePunct/>
        <w:autoSpaceDE/>
        <w:spacing w:beforeAutospacing="0" w:afterAutospacing="0" w:line="360" w:lineRule="auto"/>
        <w:ind w:left="3"/>
        <w:outlineLvl w:val="2"/>
        <w:rPr>
          <w:sz w:val="28"/>
          <w:szCs w:val="28"/>
        </w:rPr>
      </w:pPr>
      <w:bookmarkStart w:id="111" w:name="_Toc199944391"/>
      <w:bookmarkStart w:id="112" w:name="_Toc15279"/>
      <w:r>
        <w:rPr>
          <w:rFonts w:hint="eastAsia" w:ascii="宋体" w:hAnsi="宋体" w:eastAsia="宋体" w:cs="宋体"/>
          <w:sz w:val="28"/>
          <w:szCs w:val="28"/>
          <w:lang w:bidi="ar"/>
        </w:rPr>
        <w:t>9.1对采购人的纪律要求</w:t>
      </w:r>
      <w:bookmarkEnd w:id="111"/>
      <w:bookmarkEnd w:id="112"/>
    </w:p>
    <w:p w14:paraId="19F95CC1">
      <w:pPr>
        <w:pStyle w:val="13"/>
        <w:kinsoku/>
        <w:topLinePunct/>
        <w:autoSpaceDE/>
        <w:spacing w:beforeAutospacing="0" w:afterAutospacing="0" w:line="360" w:lineRule="auto"/>
        <w:ind w:right="70" w:firstLine="421"/>
        <w:rPr>
          <w:sz w:val="28"/>
          <w:szCs w:val="28"/>
        </w:rPr>
      </w:pPr>
      <w:r>
        <w:rPr>
          <w:rFonts w:hint="eastAsia" w:ascii="宋体" w:hAnsi="宋体" w:eastAsia="宋体" w:cs="宋体"/>
          <w:spacing w:val="13"/>
          <w:lang w:bidi="ar"/>
        </w:rPr>
        <w:t>采购人不得泄漏磋商活动中应当保密的情况和资料，不得与供应商串通损害国家利益、社会公共利益或者他人合法权益。</w:t>
      </w:r>
    </w:p>
    <w:p w14:paraId="3C14D5D7">
      <w:pPr>
        <w:pStyle w:val="13"/>
        <w:kinsoku/>
        <w:topLinePunct/>
        <w:autoSpaceDE/>
        <w:spacing w:beforeAutospacing="0" w:afterAutospacing="0" w:line="360" w:lineRule="auto"/>
        <w:ind w:left="3"/>
        <w:outlineLvl w:val="2"/>
        <w:rPr>
          <w:sz w:val="21"/>
          <w:szCs w:val="21"/>
        </w:rPr>
      </w:pPr>
      <w:bookmarkStart w:id="113" w:name="_Toc199944392"/>
      <w:bookmarkStart w:id="114" w:name="_Toc15386"/>
      <w:r>
        <w:rPr>
          <w:rFonts w:hint="eastAsia" w:ascii="宋体" w:hAnsi="宋体" w:eastAsia="宋体" w:cs="宋体"/>
          <w:sz w:val="28"/>
          <w:szCs w:val="28"/>
          <w:lang w:bidi="ar"/>
        </w:rPr>
        <w:t>9.2对供应商的纪律要求</w:t>
      </w:r>
      <w:bookmarkEnd w:id="113"/>
      <w:bookmarkEnd w:id="114"/>
    </w:p>
    <w:p w14:paraId="00D8E91D">
      <w:pPr>
        <w:pStyle w:val="13"/>
        <w:kinsoku/>
        <w:topLinePunct/>
        <w:autoSpaceDE/>
        <w:spacing w:beforeAutospacing="0" w:afterAutospacing="0" w:line="360" w:lineRule="auto"/>
        <w:ind w:right="70" w:firstLine="421"/>
        <w:rPr>
          <w:sz w:val="21"/>
          <w:szCs w:val="21"/>
        </w:rPr>
      </w:pPr>
      <w:r>
        <w:rPr>
          <w:rFonts w:hint="eastAsia" w:ascii="宋体" w:hAnsi="宋体" w:eastAsia="宋体" w:cs="宋体"/>
          <w:spacing w:val="13"/>
          <w:lang w:bidi="ar"/>
        </w:rPr>
        <w:t>供应商不得相互串通投标或者与采购人串通投标，不得向采购人或者磋商小组成员行贿谋取中</w:t>
      </w:r>
      <w:r>
        <w:rPr>
          <w:rFonts w:hint="eastAsia" w:ascii="宋体" w:hAnsi="宋体" w:eastAsia="宋体" w:cs="宋体"/>
          <w:spacing w:val="9"/>
          <w:lang w:bidi="ar"/>
        </w:rPr>
        <w:t>标，不得以他人名义投标或者以其他方式弄虚</w:t>
      </w:r>
      <w:r>
        <w:rPr>
          <w:rFonts w:hint="eastAsia" w:ascii="宋体" w:hAnsi="宋体" w:eastAsia="宋体" w:cs="宋体"/>
          <w:spacing w:val="8"/>
          <w:lang w:bidi="ar"/>
        </w:rPr>
        <w:t>作假骗取中标；供应商不得以任何方式干扰、影响评审</w:t>
      </w:r>
      <w:r>
        <w:rPr>
          <w:rFonts w:hint="eastAsia" w:ascii="宋体" w:hAnsi="宋体" w:eastAsia="宋体" w:cs="宋体"/>
          <w:spacing w:val="5"/>
          <w:lang w:bidi="ar"/>
        </w:rPr>
        <w:t>工作工作。</w:t>
      </w:r>
    </w:p>
    <w:p w14:paraId="27A1EDF9">
      <w:pPr>
        <w:pStyle w:val="13"/>
        <w:kinsoku/>
        <w:topLinePunct/>
        <w:autoSpaceDE/>
        <w:spacing w:beforeAutospacing="0" w:afterAutospacing="0" w:line="360" w:lineRule="auto"/>
        <w:ind w:left="3"/>
        <w:outlineLvl w:val="2"/>
        <w:rPr>
          <w:sz w:val="28"/>
          <w:szCs w:val="28"/>
        </w:rPr>
      </w:pPr>
      <w:bookmarkStart w:id="115" w:name="_Toc199944393"/>
      <w:bookmarkStart w:id="116" w:name="_Toc18257"/>
      <w:r>
        <w:rPr>
          <w:rFonts w:hint="eastAsia" w:ascii="宋体" w:hAnsi="宋体" w:eastAsia="宋体" w:cs="宋体"/>
          <w:sz w:val="28"/>
          <w:szCs w:val="28"/>
          <w:lang w:bidi="ar"/>
        </w:rPr>
        <w:t>9.3对磋商小组成员的纪律要求</w:t>
      </w:r>
      <w:bookmarkEnd w:id="115"/>
      <w:bookmarkEnd w:id="116"/>
    </w:p>
    <w:p w14:paraId="0709F9A8">
      <w:pPr>
        <w:pStyle w:val="13"/>
        <w:kinsoku/>
        <w:topLinePunct/>
        <w:autoSpaceDE/>
        <w:spacing w:beforeAutospacing="0" w:afterAutospacing="0" w:line="360" w:lineRule="auto"/>
        <w:ind w:left="4" w:right="16" w:firstLine="414"/>
        <w:rPr>
          <w:sz w:val="28"/>
          <w:szCs w:val="28"/>
        </w:rPr>
      </w:pPr>
      <w:r>
        <w:rPr>
          <w:rFonts w:hint="eastAsia" w:ascii="宋体" w:hAnsi="宋体" w:eastAsia="宋体" w:cs="宋体"/>
          <w:spacing w:val="8"/>
          <w:lang w:bidi="ar"/>
        </w:rPr>
        <w:t>磋商小组成员不得收受他人的财物或者其他好处，不得向他人透漏对响应文件的评审和比较、成</w:t>
      </w:r>
      <w:r>
        <w:rPr>
          <w:rFonts w:hint="eastAsia" w:ascii="宋体" w:hAnsi="宋体" w:eastAsia="宋体" w:cs="宋体"/>
          <w:spacing w:val="5"/>
          <w:lang w:bidi="ar"/>
        </w:rPr>
        <w:t>交候选人的推荐情况以及评审工作有关的其他情况。在评审工作活动中，磋商小组成员不得擅离职</w:t>
      </w:r>
      <w:r>
        <w:rPr>
          <w:rFonts w:hint="eastAsia" w:ascii="宋体" w:hAnsi="宋体" w:eastAsia="宋体" w:cs="宋体"/>
          <w:spacing w:val="4"/>
          <w:lang w:bidi="ar"/>
        </w:rPr>
        <w:t>守，</w:t>
      </w:r>
      <w:r>
        <w:rPr>
          <w:rFonts w:hint="eastAsia" w:ascii="宋体" w:hAnsi="宋体" w:eastAsia="宋体" w:cs="宋体"/>
          <w:spacing w:val="5"/>
          <w:lang w:bidi="ar"/>
        </w:rPr>
        <w:t>影响评审工作程序正常进行，不得使用第三章“评审办法”没有规定的评审因</w:t>
      </w:r>
      <w:r>
        <w:rPr>
          <w:rFonts w:hint="eastAsia" w:ascii="宋体" w:hAnsi="宋体" w:eastAsia="宋体" w:cs="宋体"/>
          <w:spacing w:val="4"/>
          <w:lang w:bidi="ar"/>
        </w:rPr>
        <w:t>素和标准进行评审工作。</w:t>
      </w:r>
    </w:p>
    <w:p w14:paraId="15E7C6E3">
      <w:pPr>
        <w:pStyle w:val="13"/>
        <w:kinsoku/>
        <w:topLinePunct/>
        <w:autoSpaceDE/>
        <w:spacing w:beforeAutospacing="0" w:afterAutospacing="0" w:line="360" w:lineRule="auto"/>
        <w:ind w:left="3"/>
        <w:outlineLvl w:val="2"/>
        <w:rPr>
          <w:sz w:val="28"/>
          <w:szCs w:val="28"/>
        </w:rPr>
      </w:pPr>
      <w:bookmarkStart w:id="117" w:name="_Toc199944394"/>
      <w:bookmarkStart w:id="118" w:name="_Toc565"/>
      <w:r>
        <w:rPr>
          <w:rFonts w:hint="eastAsia" w:ascii="宋体" w:hAnsi="宋体" w:eastAsia="宋体" w:cs="宋体"/>
          <w:sz w:val="28"/>
          <w:szCs w:val="28"/>
          <w:lang w:bidi="ar"/>
        </w:rPr>
        <w:t>9.4对与评审活动有关的工作人员的纪律要求</w:t>
      </w:r>
      <w:bookmarkEnd w:id="117"/>
      <w:bookmarkEnd w:id="118"/>
    </w:p>
    <w:p w14:paraId="30BE10F1">
      <w:pPr>
        <w:pStyle w:val="13"/>
        <w:kinsoku/>
        <w:topLinePunct/>
        <w:autoSpaceDE/>
        <w:spacing w:beforeAutospacing="0" w:afterAutospacing="0" w:line="360" w:lineRule="auto"/>
        <w:ind w:left="10" w:right="70" w:firstLine="413"/>
        <w:rPr>
          <w:sz w:val="28"/>
          <w:szCs w:val="28"/>
        </w:rPr>
      </w:pPr>
      <w:r>
        <w:rPr>
          <w:rFonts w:hint="eastAsia" w:ascii="宋体" w:hAnsi="宋体" w:eastAsia="宋体" w:cs="宋体"/>
          <w:spacing w:val="8"/>
          <w:lang w:bidi="ar"/>
        </w:rPr>
        <w:t>与评审活动有关的工作人员不得收受他人的财物或者其他好处，不得向他人透漏对响应文件的评审和比较、成交候选人的推荐情况以及评审工作有关的其他情况。在评审活动中，与评审活动有关的</w:t>
      </w:r>
      <w:r>
        <w:rPr>
          <w:rFonts w:hint="eastAsia" w:ascii="宋体" w:hAnsi="宋体" w:eastAsia="宋体" w:cs="宋体"/>
          <w:spacing w:val="9"/>
          <w:lang w:bidi="ar"/>
        </w:rPr>
        <w:t>工作人员不得擅离职守，影响评审工作程序正常进行。</w:t>
      </w:r>
    </w:p>
    <w:p w14:paraId="3A3D33CA">
      <w:pPr>
        <w:pStyle w:val="13"/>
        <w:kinsoku/>
        <w:topLinePunct/>
        <w:autoSpaceDE/>
        <w:spacing w:beforeAutospacing="0" w:afterAutospacing="0" w:line="360" w:lineRule="auto"/>
        <w:ind w:left="3"/>
        <w:outlineLvl w:val="2"/>
        <w:rPr>
          <w:sz w:val="21"/>
          <w:szCs w:val="21"/>
        </w:rPr>
      </w:pPr>
      <w:bookmarkStart w:id="119" w:name="_Toc199944395"/>
      <w:bookmarkStart w:id="120" w:name="_Toc30240"/>
      <w:r>
        <w:rPr>
          <w:rFonts w:hint="eastAsia" w:ascii="宋体" w:hAnsi="宋体" w:eastAsia="宋体" w:cs="宋体"/>
          <w:spacing w:val="-5"/>
          <w:sz w:val="28"/>
          <w:szCs w:val="28"/>
          <w:lang w:bidi="ar"/>
        </w:rPr>
        <w:t>9.5询问、质疑、投诉</w:t>
      </w:r>
      <w:bookmarkEnd w:id="119"/>
      <w:bookmarkEnd w:id="120"/>
    </w:p>
    <w:p w14:paraId="70DE182A">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9.5.1供应商询问</w:t>
      </w:r>
    </w:p>
    <w:p w14:paraId="6D628EB6">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214895">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9.5.2供应商质疑</w:t>
      </w:r>
    </w:p>
    <w:p w14:paraId="21C299B2">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（1）提出质疑的供应商应当是参与所质疑项目采购活动的供应商。潜在供应商已依法获取其可质疑的采购文件的，可以对该文件提出质疑。</w:t>
      </w:r>
    </w:p>
    <w:p w14:paraId="2A3F9F09">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91B2416">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（3）对采购文件提出质疑的，质疑期限为供应商获得采购文件之日或者采购文件公告期限届满之日起计算。</w:t>
      </w:r>
    </w:p>
    <w:p w14:paraId="11D1A98C">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（4）对采购过程提出质疑的，质疑期限为各采购程序环节结束之日起计算。</w:t>
      </w:r>
    </w:p>
    <w:p w14:paraId="49C8D5C4">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（5）对采购结果提出质疑的，质疑期限自采购结果公告期限届满之日起计算。</w:t>
      </w:r>
    </w:p>
    <w:p w14:paraId="78A30326">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（6）供应商提出质疑应当提交质疑函和必要的证明材料。质疑函应当包括下列内容：</w:t>
      </w:r>
    </w:p>
    <w:p w14:paraId="06532D98">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1）供应商的姓名或者名称、地址、邮编、联系人及联系电话；</w:t>
      </w:r>
    </w:p>
    <w:p w14:paraId="18FE428F">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2)质疑项目的名称、编号；</w:t>
      </w:r>
    </w:p>
    <w:p w14:paraId="2F5CC35F">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3)具体、明确的质疑事项和与质疑事项相关的请求；</w:t>
      </w:r>
    </w:p>
    <w:p w14:paraId="3DEAC133">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4)事实依据；</w:t>
      </w:r>
    </w:p>
    <w:p w14:paraId="4B64B677">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5)必要的法律依据；</w:t>
      </w:r>
    </w:p>
    <w:p w14:paraId="36B0EF50">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6)提出质疑的日期。</w:t>
      </w:r>
    </w:p>
    <w:p w14:paraId="4DE7B88E">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供应商提交的质疑函需一式三份。供应商为自然人的，应当由本人签字；供应商为法人或者其他组织的，应当由法定代表人、主要负责人，或者其授权代表签字或者盖章，并加盖公章。</w:t>
      </w:r>
    </w:p>
    <w:p w14:paraId="3A6D6822">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（7）对同一采购程序环节的质疑，供应商须在法定质疑期内一次性提出。</w:t>
      </w:r>
    </w:p>
    <w:p w14:paraId="32D81371">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（8）采购人或者采购代理机构应当在收到供应商的书面质疑后七个工作日内作出答复，并以书面形式通知质疑供应商和其他与质疑处理结果有利害关系的政府采购当事人，但答复的内容不得涉及商业秘密。</w:t>
      </w:r>
    </w:p>
    <w:p w14:paraId="108BC185">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（9）询问或者质疑事项可能影响采购结果的，采购人应当暂停签订合同，已经签订合同的，应当中止履行合同。</w:t>
      </w:r>
    </w:p>
    <w:p w14:paraId="3819C39F">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9.5.3供应商投诉</w:t>
      </w:r>
    </w:p>
    <w:p w14:paraId="777B0710">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（1）质疑供应商对采购人、采购代理机构的答复不满意或者采购人、采购代理机构未在规定的时间内作出答复的，可以在答复期满后十五个工作日内向同级政府采购监督管理部门提出投诉。</w:t>
      </w:r>
    </w:p>
    <w:p w14:paraId="12411352">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（2）供应商投诉的事项不得超出已质疑事项的范围，基于质疑答复内容提出的投诉事项除外。</w:t>
      </w:r>
    </w:p>
    <w:p w14:paraId="5FD269B1">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（3）供应商投诉应当有明确的请求和必要的证明材料。</w:t>
      </w:r>
    </w:p>
    <w:p w14:paraId="45922E9A">
      <w:pPr>
        <w:pStyle w:val="13"/>
        <w:kinsoku/>
        <w:topLinePunct/>
        <w:autoSpaceDE/>
        <w:spacing w:beforeAutospacing="0" w:afterAutospacing="0" w:line="360" w:lineRule="auto"/>
        <w:ind w:left="10" w:right="70" w:firstLine="413"/>
        <w:rPr>
          <w:spacing w:val="8"/>
        </w:rPr>
      </w:pPr>
      <w:r>
        <w:rPr>
          <w:rFonts w:hint="eastAsia" w:ascii="宋体" w:hAnsi="宋体" w:eastAsia="宋体" w:cs="宋体"/>
          <w:spacing w:val="8"/>
          <w:lang w:bidi="ar"/>
        </w:rPr>
        <w:t>（4）以联合体形式参加政府采购活动的，其投诉应当由组成联合体的所有供应商共同提出。</w:t>
      </w:r>
    </w:p>
    <w:p w14:paraId="3DC24516">
      <w:pPr>
        <w:pStyle w:val="13"/>
        <w:kinsoku/>
        <w:topLinePunct/>
        <w:autoSpaceDE/>
        <w:spacing w:beforeAutospacing="0" w:afterAutospacing="0" w:line="360" w:lineRule="auto"/>
        <w:ind w:left="10" w:right="70" w:firstLine="413"/>
        <w:outlineLvl w:val="1"/>
        <w:rPr>
          <w:sz w:val="28"/>
          <w:szCs w:val="28"/>
        </w:rPr>
      </w:pPr>
      <w:bookmarkStart w:id="121" w:name="_Toc200025577"/>
      <w:bookmarkStart w:id="122" w:name="_Toc199944396"/>
      <w:bookmarkStart w:id="123" w:name="_Toc15886"/>
      <w:r>
        <w:rPr>
          <w:rFonts w:hint="eastAsia" w:ascii="宋体" w:hAnsi="宋体" w:eastAsia="宋体" w:cs="宋体"/>
          <w:spacing w:val="7"/>
          <w:sz w:val="28"/>
          <w:szCs w:val="28"/>
          <w:lang w:bidi="ar"/>
        </w:rPr>
        <w:t>10、需要补充的其他内容</w:t>
      </w:r>
      <w:bookmarkEnd w:id="121"/>
      <w:bookmarkEnd w:id="122"/>
      <w:bookmarkEnd w:id="123"/>
    </w:p>
    <w:p w14:paraId="07994361">
      <w:pPr>
        <w:pStyle w:val="13"/>
        <w:kinsoku/>
        <w:topLinePunct/>
        <w:autoSpaceDE/>
        <w:spacing w:beforeAutospacing="0" w:afterAutospacing="0" w:line="360" w:lineRule="auto"/>
        <w:ind w:left="403"/>
      </w:pPr>
      <w:r>
        <w:rPr>
          <w:rFonts w:hint="eastAsia" w:ascii="宋体" w:hAnsi="宋体" w:eastAsia="宋体" w:cs="宋体"/>
          <w:spacing w:val="8"/>
          <w:lang w:bidi="ar"/>
        </w:rPr>
        <w:t>需要补充的其他内容：见供应商须知前附表。</w:t>
      </w:r>
    </w:p>
    <w:p w14:paraId="7C1BD4D6">
      <w:r>
        <w:br w:type="page"/>
      </w:r>
    </w:p>
    <w:p w14:paraId="7DBC982A">
      <w:pPr>
        <w:pStyle w:val="13"/>
        <w:kinsoku/>
        <w:topLinePunct/>
        <w:autoSpaceDE/>
        <w:spacing w:before="78" w:beforeAutospacing="0" w:afterAutospacing="0" w:line="218" w:lineRule="auto"/>
        <w:ind w:left="28"/>
      </w:pPr>
      <w:r>
        <w:rPr>
          <w:rFonts w:hint="eastAsia" w:ascii="宋体" w:hAnsi="宋体" w:eastAsia="宋体" w:cs="宋体"/>
          <w:spacing w:val="-3"/>
          <w:lang w:bidi="ar"/>
        </w:rPr>
        <w:t>附表一：问题澄清通知</w:t>
      </w:r>
    </w:p>
    <w:p w14:paraId="6D7EEAE1">
      <w:pPr>
        <w:widowControl/>
        <w:topLinePunct/>
        <w:autoSpaceDN w:val="0"/>
        <w:adjustRightInd w:val="0"/>
        <w:snapToGrid w:val="0"/>
        <w:spacing w:line="300" w:lineRule="auto"/>
        <w:jc w:val="left"/>
      </w:pPr>
    </w:p>
    <w:p w14:paraId="2A53C912">
      <w:pPr>
        <w:widowControl/>
        <w:kinsoku w:val="0"/>
        <w:autoSpaceDE w:val="0"/>
        <w:autoSpaceDN w:val="0"/>
        <w:adjustRightInd w:val="0"/>
        <w:snapToGrid w:val="0"/>
        <w:jc w:val="center"/>
        <w:rPr>
          <w:rFonts w:ascii="宋体" w:hAnsi="宋体" w:eastAsia="宋体" w:cs="宋体"/>
          <w:b/>
          <w:sz w:val="28"/>
          <w:szCs w:val="28"/>
        </w:rPr>
      </w:pPr>
      <w:bookmarkStart w:id="124" w:name="_Toc1765"/>
      <w:r>
        <w:rPr>
          <w:rFonts w:hint="eastAsia" w:ascii="宋体" w:hAnsi="宋体" w:eastAsia="宋体" w:cs="微软雅黑"/>
          <w:b/>
          <w:color w:val="000000"/>
          <w:kern w:val="0"/>
          <w:sz w:val="28"/>
          <w:szCs w:val="28"/>
          <w:lang w:bidi="ar"/>
        </w:rPr>
        <w:t>问题澄清通知</w:t>
      </w:r>
      <w:bookmarkEnd w:id="124"/>
    </w:p>
    <w:p w14:paraId="33D6506F">
      <w:pPr>
        <w:widowControl/>
        <w:topLinePunct/>
        <w:autoSpaceDN w:val="0"/>
        <w:adjustRightInd w:val="0"/>
        <w:snapToGrid w:val="0"/>
        <w:spacing w:line="367" w:lineRule="auto"/>
        <w:jc w:val="left"/>
        <w:rPr>
          <w:sz w:val="22"/>
          <w:szCs w:val="22"/>
        </w:rPr>
      </w:pPr>
    </w:p>
    <w:p w14:paraId="3C0FF492">
      <w:pPr>
        <w:pStyle w:val="13"/>
        <w:kinsoku/>
        <w:topLinePunct/>
        <w:autoSpaceDE/>
        <w:spacing w:before="65" w:beforeAutospacing="0" w:afterAutospacing="0" w:line="228" w:lineRule="auto"/>
        <w:ind w:left="5365"/>
      </w:pPr>
      <w:r>
        <w:rPr>
          <w:rFonts w:hint="eastAsia" w:ascii="宋体" w:hAnsi="宋体" w:eastAsia="宋体" w:cs="宋体"/>
          <w:spacing w:val="6"/>
          <w:lang w:bidi="ar"/>
        </w:rPr>
        <w:t>编号：</w:t>
      </w:r>
    </w:p>
    <w:p w14:paraId="66AFEBD2">
      <w:pPr>
        <w:pStyle w:val="13"/>
        <w:tabs>
          <w:tab w:val="left" w:pos="3255"/>
        </w:tabs>
        <w:kinsoku/>
        <w:topLinePunct/>
        <w:autoSpaceDE/>
        <w:spacing w:before="216" w:beforeAutospacing="0" w:afterAutospacing="0" w:line="228" w:lineRule="auto"/>
        <w:ind w:left="420"/>
      </w:pPr>
      <w:r>
        <w:rPr>
          <w:rFonts w:hint="eastAsia" w:ascii="宋体" w:hAnsi="宋体" w:eastAsia="宋体" w:cs="宋体"/>
          <w:u w:val="single"/>
          <w:lang w:bidi="ar"/>
        </w:rPr>
        <w:tab/>
      </w:r>
      <w:r>
        <w:rPr>
          <w:rFonts w:hint="eastAsia" w:ascii="宋体" w:hAnsi="宋体" w:eastAsia="宋体" w:cs="宋体"/>
          <w:spacing w:val="9"/>
          <w:lang w:bidi="ar"/>
        </w:rPr>
        <w:t>（供应商名称</w:t>
      </w:r>
      <w:r>
        <w:rPr>
          <w:rFonts w:hint="eastAsia" w:ascii="宋体" w:hAnsi="宋体" w:eastAsia="宋体" w:cs="宋体"/>
          <w:spacing w:val="1"/>
          <w:lang w:bidi="ar"/>
        </w:rPr>
        <w:t>）：</w:t>
      </w:r>
    </w:p>
    <w:p w14:paraId="42E0791E">
      <w:pPr>
        <w:pStyle w:val="13"/>
        <w:tabs>
          <w:tab w:val="left" w:pos="1786"/>
        </w:tabs>
        <w:kinsoku/>
        <w:topLinePunct/>
        <w:autoSpaceDE/>
        <w:spacing w:before="233" w:beforeAutospacing="0" w:afterAutospacing="0" w:line="441" w:lineRule="auto"/>
        <w:ind w:left="420"/>
      </w:pPr>
      <w:r>
        <w:rPr>
          <w:rFonts w:hint="eastAsia" w:ascii="宋体" w:hAnsi="宋体" w:eastAsia="宋体" w:cs="宋体"/>
          <w:u w:val="single"/>
          <w:lang w:bidi="ar"/>
        </w:rPr>
        <w:tab/>
      </w:r>
      <w:r>
        <w:rPr>
          <w:rFonts w:hint="eastAsia" w:ascii="宋体" w:hAnsi="宋体" w:eastAsia="宋体" w:cs="宋体"/>
          <w:spacing w:val="10"/>
          <w:lang w:bidi="ar"/>
        </w:rPr>
        <w:t>（项目名称）采购的磋商小组，对你</w:t>
      </w:r>
      <w:r>
        <w:rPr>
          <w:rFonts w:hint="eastAsia" w:ascii="宋体" w:hAnsi="宋体" w:eastAsia="宋体" w:cs="宋体"/>
          <w:spacing w:val="9"/>
          <w:lang w:bidi="ar"/>
        </w:rPr>
        <w:t>方的响应文件进行了仔细的审查，现需你方对本通知所附质疑问卷中的问题以书面形式予以澄清、说明或者补正。</w:t>
      </w:r>
    </w:p>
    <w:p w14:paraId="4734882F">
      <w:pPr>
        <w:pStyle w:val="13"/>
        <w:kinsoku/>
        <w:topLinePunct/>
        <w:autoSpaceDE/>
        <w:spacing w:beforeAutospacing="0" w:afterAutospacing="0" w:line="441" w:lineRule="auto"/>
        <w:ind w:firstLine="508" w:firstLineChars="200"/>
      </w:pPr>
      <w:r>
        <w:rPr>
          <w:rFonts w:hint="eastAsia" w:ascii="宋体" w:hAnsi="宋体" w:eastAsia="宋体" w:cs="宋体"/>
          <w:spacing w:val="7"/>
          <w:lang w:bidi="ar"/>
        </w:rPr>
        <w:t>请将上述问题的澄清、说明或者补正于年月日时前密封递交至</w:t>
      </w:r>
      <w:r>
        <w:rPr>
          <w:rFonts w:hint="eastAsia" w:ascii="宋体" w:hAnsi="宋体" w:eastAsia="宋体" w:cs="宋体"/>
          <w:spacing w:val="7"/>
          <w:u w:val="single"/>
          <w:lang w:bidi="ar"/>
        </w:rPr>
        <w:t>（详细</w:t>
      </w:r>
      <w:r>
        <w:rPr>
          <w:rFonts w:hint="eastAsia" w:ascii="宋体" w:hAnsi="宋体" w:eastAsia="宋体" w:cs="宋体"/>
          <w:spacing w:val="8"/>
          <w:u w:val="single"/>
          <w:lang w:bidi="ar"/>
        </w:rPr>
        <w:t xml:space="preserve">地址） </w:t>
      </w:r>
      <w:r>
        <w:rPr>
          <w:rFonts w:hint="eastAsia" w:ascii="宋体" w:hAnsi="宋体" w:eastAsia="宋体" w:cs="宋体"/>
          <w:spacing w:val="8"/>
          <w:lang w:bidi="ar"/>
        </w:rPr>
        <w:t>或传真至</w:t>
      </w:r>
      <w:r>
        <w:rPr>
          <w:rFonts w:hint="eastAsia" w:ascii="宋体" w:hAnsi="宋体" w:eastAsia="宋体" w:cs="宋体"/>
          <w:spacing w:val="8"/>
          <w:u w:val="single"/>
          <w:lang w:bidi="ar"/>
        </w:rPr>
        <w:t>（传真号码）</w:t>
      </w:r>
      <w:r>
        <w:rPr>
          <w:rFonts w:hint="eastAsia" w:ascii="宋体" w:hAnsi="宋体" w:eastAsia="宋体" w:cs="宋体"/>
          <w:spacing w:val="8"/>
          <w:lang w:bidi="ar"/>
        </w:rPr>
        <w:t>。采用</w:t>
      </w:r>
      <w:r>
        <w:rPr>
          <w:rFonts w:hint="eastAsia" w:ascii="宋体" w:hAnsi="宋体" w:eastAsia="宋体" w:cs="宋体"/>
          <w:spacing w:val="7"/>
          <w:lang w:bidi="ar"/>
        </w:rPr>
        <w:t>传真方式的，应在</w:t>
      </w:r>
      <w:r>
        <w:rPr>
          <w:rFonts w:hint="eastAsia" w:ascii="宋体" w:hAnsi="宋体" w:eastAsia="宋体" w:cs="宋体"/>
          <w:spacing w:val="7"/>
          <w:u w:val="single"/>
          <w:lang w:bidi="ar"/>
        </w:rPr>
        <w:t xml:space="preserve">   </w:t>
      </w:r>
      <w:r>
        <w:rPr>
          <w:rFonts w:hint="eastAsia" w:ascii="宋体" w:hAnsi="宋体" w:eastAsia="宋体" w:cs="宋体"/>
          <w:spacing w:val="7"/>
          <w:lang w:bidi="ar"/>
        </w:rPr>
        <w:t>年</w:t>
      </w:r>
      <w:r>
        <w:rPr>
          <w:rFonts w:hint="eastAsia" w:ascii="宋体" w:hAnsi="宋体" w:eastAsia="宋体" w:cs="宋体"/>
          <w:spacing w:val="7"/>
          <w:u w:val="single"/>
          <w:lang w:bidi="ar"/>
        </w:rPr>
        <w:t xml:space="preserve">   </w:t>
      </w:r>
      <w:r>
        <w:rPr>
          <w:rFonts w:hint="eastAsia" w:ascii="宋体" w:hAnsi="宋体" w:eastAsia="宋体" w:cs="宋体"/>
          <w:spacing w:val="7"/>
          <w:lang w:bidi="ar"/>
        </w:rPr>
        <w:t>月</w:t>
      </w:r>
      <w:r>
        <w:rPr>
          <w:rFonts w:hint="eastAsia" w:ascii="宋体" w:hAnsi="宋体" w:eastAsia="宋体" w:cs="宋体"/>
          <w:spacing w:val="7"/>
          <w:u w:val="single"/>
          <w:lang w:bidi="ar"/>
        </w:rPr>
        <w:t xml:space="preserve">   </w:t>
      </w:r>
      <w:r>
        <w:rPr>
          <w:rFonts w:hint="eastAsia" w:ascii="宋体" w:hAnsi="宋体" w:eastAsia="宋体" w:cs="宋体"/>
          <w:spacing w:val="7"/>
          <w:lang w:bidi="ar"/>
        </w:rPr>
        <w:t>日</w:t>
      </w:r>
      <w:r>
        <w:rPr>
          <w:rFonts w:hint="eastAsia" w:ascii="宋体" w:hAnsi="宋体" w:eastAsia="宋体" w:cs="宋体"/>
          <w:u w:val="single"/>
          <w:lang w:bidi="ar"/>
        </w:rPr>
        <w:tab/>
      </w:r>
      <w:r>
        <w:rPr>
          <w:rFonts w:hint="eastAsia" w:ascii="宋体" w:hAnsi="宋体" w:eastAsia="宋体" w:cs="宋体"/>
          <w:u w:val="single"/>
          <w:lang w:bidi="ar"/>
        </w:rPr>
        <w:t xml:space="preserve"> </w:t>
      </w:r>
      <w:r>
        <w:rPr>
          <w:rFonts w:hint="eastAsia" w:ascii="宋体" w:hAnsi="宋体" w:eastAsia="宋体" w:cs="宋体"/>
          <w:spacing w:val="6"/>
          <w:lang w:bidi="ar"/>
        </w:rPr>
        <w:t>时前将原件递交至</w:t>
      </w:r>
      <w:r>
        <w:rPr>
          <w:rFonts w:hint="eastAsia" w:ascii="宋体" w:hAnsi="宋体" w:eastAsia="宋体" w:cs="宋体"/>
          <w:spacing w:val="5"/>
          <w:u w:val="single"/>
          <w:lang w:bidi="ar"/>
        </w:rPr>
        <w:t>（详细地址）</w:t>
      </w:r>
      <w:r>
        <w:rPr>
          <w:rFonts w:hint="eastAsia" w:ascii="宋体" w:hAnsi="宋体" w:eastAsia="宋体" w:cs="宋体"/>
          <w:spacing w:val="5"/>
          <w:lang w:bidi="ar"/>
        </w:rPr>
        <w:t>。</w:t>
      </w:r>
    </w:p>
    <w:p w14:paraId="1E80302A">
      <w:pPr>
        <w:widowControl/>
        <w:topLinePunct/>
        <w:autoSpaceDN w:val="0"/>
        <w:adjustRightInd w:val="0"/>
        <w:snapToGrid w:val="0"/>
        <w:spacing w:line="321" w:lineRule="auto"/>
        <w:jc w:val="left"/>
        <w:rPr>
          <w:sz w:val="28"/>
          <w:szCs w:val="28"/>
        </w:rPr>
      </w:pPr>
    </w:p>
    <w:p w14:paraId="2C73E7B2">
      <w:pPr>
        <w:widowControl/>
        <w:topLinePunct/>
        <w:autoSpaceDN w:val="0"/>
        <w:adjustRightInd w:val="0"/>
        <w:snapToGrid w:val="0"/>
        <w:spacing w:line="321" w:lineRule="auto"/>
        <w:jc w:val="left"/>
        <w:rPr>
          <w:sz w:val="28"/>
          <w:szCs w:val="28"/>
        </w:rPr>
      </w:pPr>
    </w:p>
    <w:p w14:paraId="56B14941">
      <w:pPr>
        <w:pStyle w:val="13"/>
        <w:kinsoku/>
        <w:topLinePunct/>
        <w:autoSpaceDE/>
        <w:spacing w:before="65" w:beforeAutospacing="0" w:afterAutospacing="0" w:line="225" w:lineRule="auto"/>
        <w:ind w:left="25"/>
      </w:pPr>
      <w:r>
        <w:rPr>
          <w:rFonts w:hint="eastAsia" w:ascii="宋体" w:hAnsi="宋体" w:eastAsia="宋体" w:cs="宋体"/>
          <w:spacing w:val="6"/>
          <w:lang w:bidi="ar"/>
        </w:rPr>
        <w:t>附件：质疑问卷</w:t>
      </w:r>
    </w:p>
    <w:p w14:paraId="32AA4FF1">
      <w:pPr>
        <w:pStyle w:val="13"/>
        <w:tabs>
          <w:tab w:val="left" w:pos="4095"/>
        </w:tabs>
        <w:kinsoku/>
        <w:topLinePunct/>
        <w:autoSpaceDE/>
        <w:spacing w:before="234" w:beforeAutospacing="0" w:afterAutospacing="0" w:line="441" w:lineRule="auto"/>
        <w:ind w:left="3572"/>
      </w:pPr>
      <w:r>
        <w:rPr>
          <w:rFonts w:hint="eastAsia" w:ascii="宋体" w:hAnsi="宋体" w:eastAsia="宋体" w:cs="宋体"/>
          <w:u w:val="single"/>
          <w:lang w:bidi="ar"/>
        </w:rPr>
        <w:tab/>
      </w:r>
      <w:r>
        <w:rPr>
          <w:rFonts w:hint="eastAsia" w:ascii="宋体" w:hAnsi="宋体" w:eastAsia="宋体" w:cs="宋体"/>
          <w:spacing w:val="8"/>
          <w:lang w:bidi="ar"/>
        </w:rPr>
        <w:t>（项目名称）磋</w:t>
      </w:r>
      <w:r>
        <w:rPr>
          <w:rFonts w:hint="eastAsia" w:ascii="宋体" w:hAnsi="宋体" w:eastAsia="宋体" w:cs="宋体"/>
          <w:spacing w:val="7"/>
          <w:lang w:bidi="ar"/>
        </w:rPr>
        <w:t>商小组</w:t>
      </w:r>
    </w:p>
    <w:p w14:paraId="2100F4DC">
      <w:pPr>
        <w:pStyle w:val="13"/>
        <w:kinsoku/>
        <w:topLinePunct/>
        <w:autoSpaceDE/>
        <w:spacing w:before="1" w:beforeAutospacing="0" w:afterAutospacing="0" w:line="225" w:lineRule="auto"/>
        <w:jc w:val="right"/>
      </w:pPr>
      <w:r>
        <w:rPr>
          <w:rFonts w:hint="eastAsia" w:ascii="宋体" w:hAnsi="宋体" w:eastAsia="宋体" w:cs="宋体"/>
          <w:spacing w:val="9"/>
          <w:lang w:bidi="ar"/>
        </w:rPr>
        <w:t>（经磋商小组授权的采购人代表签字或采购人加</w:t>
      </w:r>
      <w:r>
        <w:rPr>
          <w:rFonts w:hint="eastAsia" w:ascii="宋体" w:hAnsi="宋体" w:eastAsia="宋体" w:cs="宋体"/>
          <w:spacing w:val="8"/>
          <w:lang w:bidi="ar"/>
        </w:rPr>
        <w:t>盖单位章）</w:t>
      </w:r>
    </w:p>
    <w:p w14:paraId="72BA432E">
      <w:pPr>
        <w:pStyle w:val="13"/>
        <w:tabs>
          <w:tab w:val="left" w:pos="5252"/>
        </w:tabs>
        <w:kinsoku/>
        <w:topLinePunct/>
        <w:autoSpaceDE/>
        <w:spacing w:before="234" w:beforeAutospacing="0" w:afterAutospacing="0" w:line="228" w:lineRule="auto"/>
        <w:ind w:left="4620"/>
      </w:pPr>
      <w:r>
        <w:rPr>
          <w:rFonts w:hint="eastAsia" w:ascii="宋体" w:hAnsi="宋体" w:eastAsia="宋体" w:cs="宋体"/>
          <w:u w:val="single"/>
          <w:lang w:bidi="ar"/>
        </w:rPr>
        <w:tab/>
      </w:r>
      <w:r>
        <w:rPr>
          <w:rFonts w:hint="eastAsia" w:ascii="宋体" w:hAnsi="宋体" w:eastAsia="宋体" w:cs="宋体"/>
          <w:spacing w:val="-2"/>
          <w:lang w:bidi="ar"/>
        </w:rPr>
        <w:t>年月日</w:t>
      </w:r>
    </w:p>
    <w:p w14:paraId="2C85893E">
      <w:pPr>
        <w:spacing w:line="228" w:lineRule="auto"/>
        <w:rPr>
          <w:rFonts w:ascii="Arial" w:hAnsi="Arial" w:eastAsia="Arial" w:cs="Arial"/>
          <w:snapToGrid w:val="0"/>
          <w:color w:val="000000"/>
          <w:sz w:val="22"/>
          <w:szCs w:val="22"/>
          <w:lang w:eastAsia="en-US" w:bidi="ar"/>
        </w:rPr>
        <w:sectPr>
          <w:footerReference r:id="rId3" w:type="default"/>
          <w:pgSz w:w="11906" w:h="16839"/>
          <w:pgMar w:top="1431" w:right="1362" w:bottom="957" w:left="1360" w:header="1" w:footer="795" w:gutter="0"/>
          <w:pgNumType w:start="0"/>
          <w:cols w:space="425" w:num="1"/>
          <w:titlePg/>
          <w:docGrid w:type="lines" w:linePitch="312" w:charSpace="0"/>
        </w:sectPr>
      </w:pPr>
    </w:p>
    <w:p w14:paraId="5315BF53">
      <w:pPr>
        <w:pStyle w:val="13"/>
        <w:kinsoku/>
        <w:topLinePunct/>
        <w:autoSpaceDE/>
        <w:spacing w:before="107" w:beforeAutospacing="0" w:afterAutospacing="0" w:line="218" w:lineRule="auto"/>
      </w:pPr>
      <w:r>
        <w:rPr>
          <w:rFonts w:hint="eastAsia" w:ascii="宋体" w:hAnsi="宋体" w:eastAsia="宋体" w:cs="宋体"/>
          <w:spacing w:val="-4"/>
          <w:lang w:bidi="ar"/>
        </w:rPr>
        <w:t>附表二：问题的澄清</w:t>
      </w:r>
    </w:p>
    <w:p w14:paraId="13AB27A3">
      <w:pPr>
        <w:widowControl/>
        <w:topLinePunct/>
        <w:autoSpaceDN w:val="0"/>
        <w:adjustRightInd w:val="0"/>
        <w:snapToGrid w:val="0"/>
        <w:spacing w:line="376" w:lineRule="auto"/>
        <w:jc w:val="left"/>
      </w:pPr>
    </w:p>
    <w:p w14:paraId="03386C56">
      <w:pPr>
        <w:pStyle w:val="13"/>
        <w:kinsoku/>
        <w:topLinePunct/>
        <w:autoSpaceDE/>
        <w:spacing w:before="91" w:beforeAutospacing="0" w:afterAutospacing="0" w:line="218" w:lineRule="auto"/>
        <w:ind w:left="3060"/>
        <w:rPr>
          <w:sz w:val="28"/>
          <w:szCs w:val="28"/>
        </w:rPr>
      </w:pPr>
      <w:r>
        <w:rPr>
          <w:rFonts w:hint="eastAsia" w:ascii="宋体" w:hAnsi="宋体" w:eastAsia="宋体" w:cs="宋体"/>
          <w:spacing w:val="-3"/>
          <w:sz w:val="28"/>
          <w:szCs w:val="28"/>
          <w:lang w:bidi="ar"/>
        </w:rPr>
        <w:t>问题的澄清、说明或补正</w:t>
      </w:r>
    </w:p>
    <w:p w14:paraId="7584E834">
      <w:pPr>
        <w:widowControl/>
        <w:topLinePunct/>
        <w:autoSpaceDN w:val="0"/>
        <w:adjustRightInd w:val="0"/>
        <w:snapToGrid w:val="0"/>
        <w:spacing w:line="386" w:lineRule="auto"/>
        <w:jc w:val="left"/>
        <w:rPr>
          <w:sz w:val="28"/>
          <w:szCs w:val="28"/>
        </w:rPr>
      </w:pPr>
    </w:p>
    <w:p w14:paraId="4EDAE33F">
      <w:pPr>
        <w:pStyle w:val="13"/>
        <w:kinsoku/>
        <w:topLinePunct/>
        <w:autoSpaceDE/>
        <w:spacing w:before="65" w:beforeAutospacing="0" w:afterAutospacing="0" w:line="228" w:lineRule="auto"/>
        <w:ind w:left="5336"/>
      </w:pPr>
      <w:r>
        <w:rPr>
          <w:rFonts w:hint="eastAsia" w:ascii="宋体" w:hAnsi="宋体" w:eastAsia="宋体" w:cs="宋体"/>
          <w:spacing w:val="6"/>
          <w:lang w:bidi="ar"/>
        </w:rPr>
        <w:t>编号：</w:t>
      </w:r>
    </w:p>
    <w:p w14:paraId="53C645D8">
      <w:pPr>
        <w:pStyle w:val="13"/>
        <w:tabs>
          <w:tab w:val="left" w:pos="1443"/>
        </w:tabs>
        <w:kinsoku/>
        <w:topLinePunct/>
        <w:autoSpaceDE/>
        <w:spacing w:before="216" w:beforeAutospacing="0" w:afterAutospacing="0" w:line="228" w:lineRule="auto"/>
        <w:ind w:left="183"/>
      </w:pPr>
      <w:r>
        <w:rPr>
          <w:rFonts w:hint="eastAsia" w:ascii="宋体" w:hAnsi="宋体" w:eastAsia="宋体" w:cs="宋体"/>
          <w:u w:val="single"/>
          <w:lang w:bidi="ar"/>
        </w:rPr>
        <w:tab/>
      </w:r>
      <w:r>
        <w:rPr>
          <w:rFonts w:hint="eastAsia" w:ascii="宋体" w:hAnsi="宋体" w:eastAsia="宋体" w:cs="宋体"/>
          <w:spacing w:val="6"/>
          <w:lang w:bidi="ar"/>
        </w:rPr>
        <w:t>（项目名称）磋商小组：</w:t>
      </w:r>
    </w:p>
    <w:p w14:paraId="7923E64E">
      <w:pPr>
        <w:pStyle w:val="13"/>
        <w:kinsoku/>
        <w:topLinePunct/>
        <w:autoSpaceDE/>
        <w:spacing w:before="233" w:beforeAutospacing="0" w:afterAutospacing="0" w:line="472" w:lineRule="auto"/>
        <w:ind w:left="423"/>
      </w:pPr>
      <w:r>
        <w:rPr>
          <w:rFonts w:hint="eastAsia" w:ascii="宋体" w:hAnsi="宋体" w:eastAsia="宋体" w:cs="宋体"/>
          <w:spacing w:val="7"/>
          <w:lang w:bidi="ar"/>
        </w:rPr>
        <w:t>问题澄清通知（编号</w:t>
      </w:r>
      <w:r>
        <w:rPr>
          <w:rFonts w:hint="eastAsia" w:ascii="宋体" w:hAnsi="宋体" w:eastAsia="宋体" w:cs="宋体"/>
          <w:spacing w:val="11"/>
          <w:lang w:bidi="ar"/>
        </w:rPr>
        <w:t>：）</w:t>
      </w:r>
      <w:r>
        <w:rPr>
          <w:rFonts w:hint="eastAsia" w:ascii="宋体" w:hAnsi="宋体" w:eastAsia="宋体" w:cs="宋体"/>
          <w:spacing w:val="7"/>
          <w:lang w:bidi="ar"/>
        </w:rPr>
        <w:t>已收悉，现澄清、说明或者补正如下：</w:t>
      </w:r>
    </w:p>
    <w:p w14:paraId="279037F8">
      <w:pPr>
        <w:pStyle w:val="13"/>
        <w:kinsoku/>
        <w:topLinePunct/>
        <w:autoSpaceDE/>
        <w:spacing w:beforeAutospacing="0" w:afterAutospacing="0" w:line="187" w:lineRule="auto"/>
        <w:ind w:left="415"/>
      </w:pPr>
      <w:r>
        <w:rPr>
          <w:rFonts w:hint="eastAsia" w:ascii="宋体" w:hAnsi="宋体" w:eastAsia="宋体" w:cs="宋体"/>
          <w:spacing w:val="-7"/>
          <w:lang w:bidi="ar"/>
        </w:rPr>
        <w:t>1.</w:t>
      </w:r>
    </w:p>
    <w:p w14:paraId="5346E9B2">
      <w:pPr>
        <w:pStyle w:val="13"/>
        <w:kinsoku/>
        <w:topLinePunct/>
        <w:autoSpaceDE/>
        <w:spacing w:before="276" w:beforeAutospacing="0" w:afterAutospacing="0" w:line="187" w:lineRule="auto"/>
        <w:ind w:left="402"/>
      </w:pPr>
      <w:r>
        <w:rPr>
          <w:rFonts w:hint="eastAsia" w:ascii="宋体" w:hAnsi="宋体" w:eastAsia="宋体" w:cs="宋体"/>
          <w:spacing w:val="-1"/>
          <w:lang w:bidi="ar"/>
        </w:rPr>
        <w:t>2.</w:t>
      </w:r>
    </w:p>
    <w:p w14:paraId="0B42FF4F">
      <w:pPr>
        <w:widowControl/>
        <w:topLinePunct/>
        <w:autoSpaceDN w:val="0"/>
        <w:adjustRightInd w:val="0"/>
        <w:snapToGrid w:val="0"/>
        <w:spacing w:line="324" w:lineRule="auto"/>
        <w:jc w:val="left"/>
        <w:rPr>
          <w:sz w:val="28"/>
          <w:szCs w:val="28"/>
        </w:rPr>
      </w:pPr>
    </w:p>
    <w:p w14:paraId="706C7F0F">
      <w:pPr>
        <w:widowControl/>
        <w:topLinePunct/>
        <w:autoSpaceDN w:val="0"/>
        <w:adjustRightInd w:val="0"/>
        <w:snapToGrid w:val="0"/>
        <w:spacing w:line="326" w:lineRule="auto"/>
        <w:jc w:val="left"/>
        <w:rPr>
          <w:sz w:val="28"/>
          <w:szCs w:val="28"/>
        </w:rPr>
      </w:pPr>
    </w:p>
    <w:p w14:paraId="5FC9C6FC">
      <w:pPr>
        <w:pStyle w:val="13"/>
        <w:kinsoku/>
        <w:topLinePunct/>
        <w:autoSpaceDE/>
        <w:spacing w:before="65" w:beforeAutospacing="0" w:afterAutospacing="0" w:line="324" w:lineRule="exact"/>
        <w:ind w:left="413"/>
      </w:pPr>
      <w:r>
        <w:rPr>
          <w:rFonts w:hint="eastAsia" w:ascii="宋体" w:hAnsi="宋体" w:eastAsia="宋体" w:cs="宋体"/>
          <w:spacing w:val="-2"/>
          <w:position w:val="2"/>
          <w:lang w:bidi="ar"/>
        </w:rPr>
        <w:t>……</w:t>
      </w:r>
    </w:p>
    <w:p w14:paraId="353E1683">
      <w:pPr>
        <w:widowControl/>
        <w:topLinePunct/>
        <w:autoSpaceDN w:val="0"/>
        <w:adjustRightInd w:val="0"/>
        <w:snapToGrid w:val="0"/>
        <w:spacing w:line="244" w:lineRule="auto"/>
        <w:jc w:val="left"/>
        <w:rPr>
          <w:sz w:val="28"/>
          <w:szCs w:val="28"/>
        </w:rPr>
      </w:pPr>
    </w:p>
    <w:p w14:paraId="54348737">
      <w:pPr>
        <w:widowControl/>
        <w:topLinePunct/>
        <w:autoSpaceDN w:val="0"/>
        <w:adjustRightInd w:val="0"/>
        <w:snapToGrid w:val="0"/>
        <w:spacing w:line="244" w:lineRule="auto"/>
        <w:jc w:val="left"/>
        <w:rPr>
          <w:sz w:val="28"/>
          <w:szCs w:val="28"/>
        </w:rPr>
      </w:pPr>
    </w:p>
    <w:p w14:paraId="66DFD1DB">
      <w:pPr>
        <w:widowControl/>
        <w:topLinePunct/>
        <w:autoSpaceDN w:val="0"/>
        <w:adjustRightInd w:val="0"/>
        <w:snapToGrid w:val="0"/>
        <w:spacing w:line="244" w:lineRule="auto"/>
        <w:jc w:val="left"/>
        <w:rPr>
          <w:sz w:val="28"/>
          <w:szCs w:val="28"/>
        </w:rPr>
      </w:pPr>
    </w:p>
    <w:p w14:paraId="4388A2DC">
      <w:pPr>
        <w:widowControl/>
        <w:topLinePunct/>
        <w:autoSpaceDN w:val="0"/>
        <w:adjustRightInd w:val="0"/>
        <w:snapToGrid w:val="0"/>
        <w:spacing w:line="244" w:lineRule="auto"/>
        <w:jc w:val="left"/>
        <w:rPr>
          <w:sz w:val="28"/>
          <w:szCs w:val="28"/>
        </w:rPr>
      </w:pPr>
    </w:p>
    <w:p w14:paraId="5DB2EBFF">
      <w:pPr>
        <w:widowControl/>
        <w:topLinePunct/>
        <w:autoSpaceDN w:val="0"/>
        <w:adjustRightInd w:val="0"/>
        <w:snapToGrid w:val="0"/>
        <w:spacing w:line="244" w:lineRule="auto"/>
        <w:jc w:val="left"/>
        <w:rPr>
          <w:sz w:val="28"/>
          <w:szCs w:val="28"/>
        </w:rPr>
      </w:pPr>
    </w:p>
    <w:p w14:paraId="3351B621">
      <w:pPr>
        <w:widowControl/>
        <w:topLinePunct/>
        <w:autoSpaceDN w:val="0"/>
        <w:adjustRightInd w:val="0"/>
        <w:snapToGrid w:val="0"/>
        <w:spacing w:line="244" w:lineRule="auto"/>
        <w:jc w:val="left"/>
        <w:rPr>
          <w:sz w:val="28"/>
          <w:szCs w:val="28"/>
        </w:rPr>
      </w:pPr>
    </w:p>
    <w:p w14:paraId="1B47C8EE">
      <w:pPr>
        <w:widowControl/>
        <w:topLinePunct/>
        <w:autoSpaceDN w:val="0"/>
        <w:adjustRightInd w:val="0"/>
        <w:snapToGrid w:val="0"/>
        <w:spacing w:line="244" w:lineRule="auto"/>
        <w:jc w:val="left"/>
        <w:rPr>
          <w:sz w:val="28"/>
          <w:szCs w:val="28"/>
        </w:rPr>
      </w:pPr>
    </w:p>
    <w:p w14:paraId="65E061B7">
      <w:pPr>
        <w:widowControl/>
        <w:topLinePunct/>
        <w:autoSpaceDN w:val="0"/>
        <w:adjustRightInd w:val="0"/>
        <w:snapToGrid w:val="0"/>
        <w:spacing w:line="244" w:lineRule="auto"/>
        <w:jc w:val="left"/>
        <w:rPr>
          <w:sz w:val="28"/>
          <w:szCs w:val="28"/>
        </w:rPr>
      </w:pPr>
    </w:p>
    <w:p w14:paraId="4800DFD2">
      <w:pPr>
        <w:widowControl/>
        <w:topLinePunct/>
        <w:autoSpaceDN w:val="0"/>
        <w:adjustRightInd w:val="0"/>
        <w:snapToGrid w:val="0"/>
        <w:spacing w:line="244" w:lineRule="auto"/>
        <w:jc w:val="left"/>
        <w:rPr>
          <w:sz w:val="28"/>
          <w:szCs w:val="28"/>
        </w:rPr>
      </w:pPr>
    </w:p>
    <w:p w14:paraId="4A5963F5">
      <w:pPr>
        <w:widowControl/>
        <w:topLinePunct/>
        <w:autoSpaceDN w:val="0"/>
        <w:adjustRightInd w:val="0"/>
        <w:snapToGrid w:val="0"/>
        <w:spacing w:line="244" w:lineRule="auto"/>
        <w:jc w:val="left"/>
        <w:rPr>
          <w:sz w:val="28"/>
          <w:szCs w:val="28"/>
        </w:rPr>
      </w:pPr>
    </w:p>
    <w:p w14:paraId="4E139F51">
      <w:pPr>
        <w:widowControl/>
        <w:topLinePunct/>
        <w:autoSpaceDN w:val="0"/>
        <w:adjustRightInd w:val="0"/>
        <w:snapToGrid w:val="0"/>
        <w:spacing w:line="244" w:lineRule="auto"/>
        <w:jc w:val="left"/>
        <w:rPr>
          <w:sz w:val="28"/>
          <w:szCs w:val="28"/>
        </w:rPr>
      </w:pPr>
    </w:p>
    <w:p w14:paraId="589A7F3B">
      <w:pPr>
        <w:widowControl/>
        <w:topLinePunct/>
        <w:autoSpaceDN w:val="0"/>
        <w:adjustRightInd w:val="0"/>
        <w:snapToGrid w:val="0"/>
        <w:spacing w:line="244" w:lineRule="auto"/>
        <w:jc w:val="left"/>
        <w:rPr>
          <w:sz w:val="28"/>
          <w:szCs w:val="28"/>
        </w:rPr>
      </w:pPr>
    </w:p>
    <w:p w14:paraId="2D12A2BF">
      <w:pPr>
        <w:pStyle w:val="13"/>
        <w:kinsoku/>
        <w:topLinePunct/>
        <w:autoSpaceDE/>
        <w:spacing w:before="66" w:beforeAutospacing="0" w:afterAutospacing="0" w:line="585" w:lineRule="auto"/>
        <w:jc w:val="right"/>
      </w:pPr>
      <w:r>
        <w:rPr>
          <w:rFonts w:hint="eastAsia" w:ascii="宋体" w:hAnsi="宋体" w:eastAsia="宋体" w:cs="宋体"/>
          <w:spacing w:val="9"/>
          <w:lang w:bidi="ar"/>
        </w:rPr>
        <w:t>供应商</w:t>
      </w:r>
      <w:r>
        <w:rPr>
          <w:rFonts w:hint="eastAsia" w:ascii="宋体" w:hAnsi="宋体" w:eastAsia="宋体" w:cs="宋体"/>
          <w:spacing w:val="-3"/>
          <w:lang w:bidi="ar"/>
        </w:rPr>
        <w:t>：（</w:t>
      </w:r>
      <w:r>
        <w:rPr>
          <w:rFonts w:hint="eastAsia" w:ascii="宋体" w:hAnsi="宋体" w:eastAsia="宋体" w:cs="宋体"/>
          <w:spacing w:val="9"/>
          <w:lang w:bidi="ar"/>
        </w:rPr>
        <w:t>盖单位章）</w:t>
      </w:r>
    </w:p>
    <w:p w14:paraId="317C40D6">
      <w:pPr>
        <w:pStyle w:val="13"/>
        <w:kinsoku/>
        <w:topLinePunct/>
        <w:autoSpaceDE/>
        <w:spacing w:beforeAutospacing="0" w:afterAutospacing="0" w:line="225" w:lineRule="auto"/>
        <w:ind w:left="4125"/>
      </w:pPr>
      <w:r>
        <w:rPr>
          <w:rFonts w:hint="eastAsia" w:ascii="宋体" w:hAnsi="宋体" w:eastAsia="宋体" w:cs="宋体"/>
          <w:spacing w:val="10"/>
          <w:lang w:bidi="ar"/>
        </w:rPr>
        <w:t>法定代表人或其委托代理人</w:t>
      </w:r>
      <w:r>
        <w:rPr>
          <w:rFonts w:hint="eastAsia" w:ascii="宋体" w:hAnsi="宋体" w:eastAsia="宋体" w:cs="宋体"/>
          <w:spacing w:val="-2"/>
          <w:lang w:bidi="ar"/>
        </w:rPr>
        <w:t>：（</w:t>
      </w:r>
      <w:r>
        <w:rPr>
          <w:rFonts w:hint="eastAsia" w:ascii="宋体" w:hAnsi="宋体" w:eastAsia="宋体" w:cs="宋体"/>
          <w:spacing w:val="10"/>
          <w:lang w:bidi="ar"/>
        </w:rPr>
        <w:t>签字）</w:t>
      </w:r>
    </w:p>
    <w:p w14:paraId="2283D7D1">
      <w:pPr>
        <w:widowControl/>
        <w:topLinePunct/>
        <w:autoSpaceDN w:val="0"/>
        <w:adjustRightInd w:val="0"/>
        <w:snapToGrid w:val="0"/>
        <w:spacing w:line="321" w:lineRule="auto"/>
        <w:jc w:val="left"/>
        <w:rPr>
          <w:sz w:val="28"/>
          <w:szCs w:val="28"/>
        </w:rPr>
      </w:pPr>
    </w:p>
    <w:p w14:paraId="5E5561FE">
      <w:pPr>
        <w:pStyle w:val="13"/>
        <w:tabs>
          <w:tab w:val="left" w:pos="6377"/>
        </w:tabs>
        <w:kinsoku/>
        <w:topLinePunct/>
        <w:autoSpaceDE/>
        <w:spacing w:before="65" w:beforeAutospacing="0" w:afterAutospacing="0" w:line="228" w:lineRule="auto"/>
        <w:ind w:left="5746"/>
        <w:rPr>
          <w:rFonts w:ascii="宋体" w:hAnsi="宋体" w:eastAsia="宋体" w:cs="宋体"/>
          <w:spacing w:val="-2"/>
          <w:lang w:bidi="ar"/>
        </w:rPr>
      </w:pPr>
      <w:r>
        <w:rPr>
          <w:rFonts w:hint="eastAsia" w:ascii="宋体" w:hAnsi="宋体" w:eastAsia="宋体" w:cs="宋体"/>
          <w:u w:val="single"/>
          <w:lang w:bidi="ar"/>
        </w:rPr>
        <w:tab/>
      </w:r>
      <w:r>
        <w:rPr>
          <w:rFonts w:hint="eastAsia" w:ascii="宋体" w:hAnsi="宋体" w:eastAsia="宋体" w:cs="宋体"/>
          <w:spacing w:val="-2"/>
          <w:lang w:bidi="ar"/>
        </w:rPr>
        <w:t>年</w:t>
      </w:r>
      <w:r>
        <w:rPr>
          <w:rFonts w:hint="eastAsia" w:ascii="宋体" w:hAnsi="宋体" w:eastAsia="宋体" w:cs="宋体"/>
          <w:spacing w:val="-2"/>
          <w:u w:val="single"/>
          <w:lang w:bidi="ar"/>
        </w:rPr>
        <w:t xml:space="preserve">    </w:t>
      </w:r>
      <w:r>
        <w:rPr>
          <w:rFonts w:hint="eastAsia" w:ascii="宋体" w:hAnsi="宋体" w:eastAsia="宋体" w:cs="宋体"/>
          <w:spacing w:val="-2"/>
          <w:lang w:bidi="ar"/>
        </w:rPr>
        <w:t>月</w:t>
      </w:r>
      <w:r>
        <w:rPr>
          <w:rFonts w:hint="eastAsia" w:ascii="宋体" w:hAnsi="宋体" w:eastAsia="宋体" w:cs="宋体"/>
          <w:spacing w:val="-2"/>
          <w:u w:val="single"/>
          <w:lang w:bidi="ar"/>
        </w:rPr>
        <w:t xml:space="preserve">   </w:t>
      </w:r>
      <w:r>
        <w:rPr>
          <w:rFonts w:hint="eastAsia" w:ascii="宋体" w:hAnsi="宋体" w:eastAsia="宋体" w:cs="宋体"/>
          <w:spacing w:val="-2"/>
          <w:lang w:bidi="ar"/>
        </w:rPr>
        <w:t>日</w:t>
      </w:r>
    </w:p>
    <w:p w14:paraId="58FBE316">
      <w:pPr>
        <w:rPr>
          <w:rFonts w:ascii="宋体" w:hAnsi="宋体" w:eastAsia="宋体" w:cs="宋体"/>
          <w:color w:val="000000"/>
          <w:spacing w:val="-2"/>
          <w:kern w:val="0"/>
          <w:sz w:val="24"/>
          <w:lang w:bidi="ar"/>
        </w:rPr>
      </w:pPr>
      <w:r>
        <w:rPr>
          <w:rFonts w:hint="eastAsia" w:ascii="宋体" w:hAnsi="宋体" w:eastAsia="宋体" w:cs="宋体"/>
          <w:color w:val="000000"/>
          <w:spacing w:val="-2"/>
          <w:kern w:val="0"/>
          <w:sz w:val="24"/>
          <w:lang w:bidi="ar"/>
        </w:rPr>
        <w:br w:type="page"/>
      </w:r>
    </w:p>
    <w:p w14:paraId="52422FDD">
      <w:pPr>
        <w:pStyle w:val="13"/>
        <w:kinsoku/>
        <w:topLinePunct/>
        <w:autoSpaceDE/>
        <w:spacing w:before="334" w:beforeAutospacing="0" w:afterAutospacing="0" w:line="220" w:lineRule="auto"/>
        <w:ind w:left="2929"/>
        <w:outlineLvl w:val="0"/>
        <w:rPr>
          <w:sz w:val="43"/>
          <w:szCs w:val="43"/>
        </w:rPr>
      </w:pPr>
      <w:bookmarkStart w:id="125" w:name="_Toc200025578"/>
      <w:bookmarkStart w:id="126" w:name="_Toc199944397"/>
      <w:r>
        <w:rPr>
          <w:rFonts w:hint="eastAsia" w:ascii="宋体" w:hAnsi="宋体" w:eastAsia="宋体" w:cs="宋体"/>
          <w:spacing w:val="8"/>
          <w:sz w:val="43"/>
          <w:szCs w:val="43"/>
          <w:lang w:bidi="ar"/>
        </w:rPr>
        <w:t>第三章 评标办法</w:t>
      </w:r>
      <w:bookmarkEnd w:id="125"/>
      <w:bookmarkEnd w:id="126"/>
    </w:p>
    <w:p w14:paraId="1865B6A8">
      <w:pPr>
        <w:pStyle w:val="13"/>
        <w:kinsoku/>
        <w:topLinePunct/>
        <w:autoSpaceDE/>
        <w:spacing w:before="186" w:beforeAutospacing="0" w:afterAutospacing="0" w:line="218" w:lineRule="auto"/>
        <w:jc w:val="center"/>
        <w:outlineLvl w:val="1"/>
        <w:rPr>
          <w:sz w:val="28"/>
          <w:szCs w:val="28"/>
        </w:rPr>
      </w:pPr>
      <w:bookmarkStart w:id="127" w:name="_Toc199944398"/>
      <w:bookmarkStart w:id="128" w:name="_Toc200025579"/>
      <w:r>
        <w:rPr>
          <w:rFonts w:hint="eastAsia" w:ascii="宋体" w:hAnsi="宋体" w:eastAsia="宋体" w:cs="宋体"/>
          <w:spacing w:val="-4"/>
          <w:sz w:val="28"/>
          <w:szCs w:val="28"/>
          <w:lang w:bidi="ar"/>
        </w:rPr>
        <w:t>资格评审表</w:t>
      </w:r>
      <w:bookmarkEnd w:id="127"/>
      <w:bookmarkEnd w:id="128"/>
    </w:p>
    <w:tbl>
      <w:tblPr>
        <w:tblStyle w:val="15"/>
        <w:tblW w:w="9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4"/>
        <w:gridCol w:w="969"/>
        <w:gridCol w:w="1824"/>
        <w:gridCol w:w="5669"/>
      </w:tblGrid>
      <w:tr w14:paraId="5C8F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3" w:hRule="atLeast"/>
          <w:jc w:val="center"/>
        </w:trPr>
        <w:tc>
          <w:tcPr>
            <w:tcW w:w="1893" w:type="dxa"/>
            <w:gridSpan w:val="2"/>
            <w:tcBorders>
              <w:top w:val="single" w:color="000000" w:sz="2" w:space="0"/>
              <w:left w:val="single" w:color="000000" w:sz="2" w:space="0"/>
              <w:bottom w:val="single" w:color="000000" w:sz="2" w:space="0"/>
              <w:right w:val="single" w:color="000000" w:sz="2" w:space="0"/>
            </w:tcBorders>
            <w:shd w:val="clear" w:color="auto" w:fill="auto"/>
          </w:tcPr>
          <w:p w14:paraId="56E2F227">
            <w:pPr>
              <w:pStyle w:val="13"/>
              <w:kinsoku/>
              <w:topLinePunct/>
              <w:autoSpaceDE/>
              <w:spacing w:before="127" w:beforeAutospacing="0" w:afterAutospacing="0" w:line="228" w:lineRule="auto"/>
              <w:ind w:left="639"/>
            </w:pPr>
            <w:r>
              <w:rPr>
                <w:rFonts w:hint="eastAsia" w:ascii="宋体" w:hAnsi="宋体" w:eastAsia="宋体" w:cs="宋体"/>
                <w:spacing w:val="6"/>
                <w:lang w:bidi="ar"/>
              </w:rPr>
              <w:t>条款号</w:t>
            </w:r>
          </w:p>
        </w:tc>
        <w:tc>
          <w:tcPr>
            <w:tcW w:w="1824" w:type="dxa"/>
            <w:tcBorders>
              <w:top w:val="single" w:color="000000" w:sz="2" w:space="0"/>
              <w:left w:val="single" w:color="000000" w:sz="2" w:space="0"/>
              <w:bottom w:val="single" w:color="000000" w:sz="2" w:space="0"/>
              <w:right w:val="single" w:color="000000" w:sz="2" w:space="0"/>
            </w:tcBorders>
            <w:shd w:val="clear" w:color="auto" w:fill="auto"/>
          </w:tcPr>
          <w:p w14:paraId="2CA02614">
            <w:pPr>
              <w:pStyle w:val="13"/>
              <w:kinsoku/>
              <w:topLinePunct/>
              <w:autoSpaceDE/>
              <w:spacing w:before="127" w:beforeAutospacing="0" w:afterAutospacing="0" w:line="228" w:lineRule="auto"/>
              <w:ind w:left="496"/>
            </w:pPr>
            <w:r>
              <w:rPr>
                <w:rFonts w:hint="eastAsia" w:ascii="宋体" w:hAnsi="宋体" w:eastAsia="宋体" w:cs="宋体"/>
                <w:spacing w:val="7"/>
                <w:lang w:bidi="ar"/>
              </w:rPr>
              <w:t>评审因素</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765592E8">
            <w:pPr>
              <w:pStyle w:val="13"/>
              <w:kinsoku/>
              <w:topLinePunct/>
              <w:autoSpaceDE/>
              <w:spacing w:before="128" w:beforeAutospacing="0" w:afterAutospacing="0" w:line="228" w:lineRule="auto"/>
              <w:ind w:left="2226"/>
            </w:pPr>
            <w:r>
              <w:rPr>
                <w:rFonts w:hint="eastAsia" w:ascii="宋体" w:hAnsi="宋体" w:eastAsia="宋体" w:cs="宋体"/>
                <w:spacing w:val="7"/>
                <w:lang w:bidi="ar"/>
              </w:rPr>
              <w:t>评审标准</w:t>
            </w:r>
          </w:p>
        </w:tc>
      </w:tr>
      <w:tr w14:paraId="49745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9" w:hRule="atLeast"/>
          <w:jc w:val="center"/>
        </w:trPr>
        <w:tc>
          <w:tcPr>
            <w:tcW w:w="924" w:type="dxa"/>
            <w:vMerge w:val="restart"/>
            <w:tcBorders>
              <w:top w:val="single" w:color="000000" w:sz="2" w:space="0"/>
              <w:left w:val="single" w:color="000000" w:sz="2" w:space="0"/>
              <w:bottom w:val="single" w:color="000000" w:sz="2" w:space="0"/>
              <w:right w:val="single" w:color="000000" w:sz="2" w:space="0"/>
            </w:tcBorders>
            <w:shd w:val="clear" w:color="auto" w:fill="auto"/>
          </w:tcPr>
          <w:p w14:paraId="65850C00">
            <w:pPr>
              <w:widowControl/>
              <w:topLinePunct/>
              <w:autoSpaceDN w:val="0"/>
              <w:adjustRightInd w:val="0"/>
              <w:snapToGrid w:val="0"/>
              <w:spacing w:line="247" w:lineRule="auto"/>
              <w:jc w:val="left"/>
              <w:rPr>
                <w:sz w:val="24"/>
              </w:rPr>
            </w:pPr>
          </w:p>
          <w:p w14:paraId="56318E88">
            <w:pPr>
              <w:widowControl/>
              <w:topLinePunct/>
              <w:autoSpaceDN w:val="0"/>
              <w:adjustRightInd w:val="0"/>
              <w:snapToGrid w:val="0"/>
              <w:spacing w:line="247" w:lineRule="auto"/>
              <w:jc w:val="left"/>
              <w:rPr>
                <w:sz w:val="24"/>
              </w:rPr>
            </w:pPr>
          </w:p>
          <w:p w14:paraId="00F2545F">
            <w:pPr>
              <w:widowControl/>
              <w:topLinePunct/>
              <w:autoSpaceDN w:val="0"/>
              <w:adjustRightInd w:val="0"/>
              <w:snapToGrid w:val="0"/>
              <w:spacing w:line="247" w:lineRule="auto"/>
              <w:jc w:val="left"/>
              <w:rPr>
                <w:sz w:val="24"/>
              </w:rPr>
            </w:pPr>
          </w:p>
          <w:p w14:paraId="683F2959">
            <w:pPr>
              <w:widowControl/>
              <w:topLinePunct/>
              <w:autoSpaceDN w:val="0"/>
              <w:adjustRightInd w:val="0"/>
              <w:snapToGrid w:val="0"/>
              <w:spacing w:line="247" w:lineRule="auto"/>
              <w:jc w:val="left"/>
              <w:rPr>
                <w:sz w:val="24"/>
              </w:rPr>
            </w:pPr>
          </w:p>
          <w:p w14:paraId="443EFEDE">
            <w:pPr>
              <w:widowControl/>
              <w:topLinePunct/>
              <w:autoSpaceDN w:val="0"/>
              <w:adjustRightInd w:val="0"/>
              <w:snapToGrid w:val="0"/>
              <w:spacing w:line="247" w:lineRule="auto"/>
              <w:jc w:val="left"/>
              <w:rPr>
                <w:sz w:val="24"/>
              </w:rPr>
            </w:pPr>
          </w:p>
          <w:p w14:paraId="30E728DE">
            <w:pPr>
              <w:widowControl/>
              <w:topLinePunct/>
              <w:autoSpaceDN w:val="0"/>
              <w:adjustRightInd w:val="0"/>
              <w:snapToGrid w:val="0"/>
              <w:spacing w:line="247" w:lineRule="auto"/>
              <w:jc w:val="left"/>
              <w:rPr>
                <w:sz w:val="24"/>
              </w:rPr>
            </w:pPr>
          </w:p>
          <w:p w14:paraId="10241F4D">
            <w:pPr>
              <w:widowControl/>
              <w:topLinePunct/>
              <w:autoSpaceDN w:val="0"/>
              <w:adjustRightInd w:val="0"/>
              <w:snapToGrid w:val="0"/>
              <w:spacing w:line="247" w:lineRule="auto"/>
              <w:jc w:val="left"/>
              <w:rPr>
                <w:sz w:val="24"/>
              </w:rPr>
            </w:pPr>
          </w:p>
          <w:p w14:paraId="63671328">
            <w:pPr>
              <w:widowControl/>
              <w:topLinePunct/>
              <w:autoSpaceDN w:val="0"/>
              <w:adjustRightInd w:val="0"/>
              <w:snapToGrid w:val="0"/>
              <w:spacing w:line="247" w:lineRule="auto"/>
              <w:jc w:val="left"/>
              <w:rPr>
                <w:sz w:val="24"/>
              </w:rPr>
            </w:pPr>
          </w:p>
          <w:p w14:paraId="1DFB6172">
            <w:pPr>
              <w:widowControl/>
              <w:topLinePunct/>
              <w:autoSpaceDN w:val="0"/>
              <w:adjustRightInd w:val="0"/>
              <w:snapToGrid w:val="0"/>
              <w:spacing w:line="247" w:lineRule="auto"/>
              <w:jc w:val="left"/>
              <w:rPr>
                <w:sz w:val="24"/>
              </w:rPr>
            </w:pPr>
          </w:p>
          <w:p w14:paraId="467704CF">
            <w:pPr>
              <w:widowControl/>
              <w:topLinePunct/>
              <w:autoSpaceDN w:val="0"/>
              <w:adjustRightInd w:val="0"/>
              <w:snapToGrid w:val="0"/>
              <w:spacing w:line="247" w:lineRule="auto"/>
              <w:jc w:val="left"/>
              <w:rPr>
                <w:sz w:val="24"/>
              </w:rPr>
            </w:pPr>
          </w:p>
          <w:p w14:paraId="17F15F07">
            <w:pPr>
              <w:widowControl/>
              <w:topLinePunct/>
              <w:autoSpaceDN w:val="0"/>
              <w:adjustRightInd w:val="0"/>
              <w:snapToGrid w:val="0"/>
              <w:spacing w:line="247" w:lineRule="auto"/>
              <w:jc w:val="left"/>
              <w:rPr>
                <w:sz w:val="24"/>
              </w:rPr>
            </w:pPr>
          </w:p>
          <w:p w14:paraId="2DD831A6">
            <w:pPr>
              <w:widowControl/>
              <w:topLinePunct/>
              <w:autoSpaceDN w:val="0"/>
              <w:adjustRightInd w:val="0"/>
              <w:snapToGrid w:val="0"/>
              <w:spacing w:line="247" w:lineRule="auto"/>
              <w:jc w:val="left"/>
              <w:rPr>
                <w:sz w:val="24"/>
              </w:rPr>
            </w:pPr>
          </w:p>
          <w:p w14:paraId="49836144">
            <w:pPr>
              <w:widowControl/>
              <w:topLinePunct/>
              <w:autoSpaceDN w:val="0"/>
              <w:adjustRightInd w:val="0"/>
              <w:snapToGrid w:val="0"/>
              <w:spacing w:line="247" w:lineRule="auto"/>
              <w:jc w:val="left"/>
              <w:rPr>
                <w:sz w:val="24"/>
              </w:rPr>
            </w:pPr>
          </w:p>
          <w:p w14:paraId="284B57F0">
            <w:pPr>
              <w:widowControl/>
              <w:topLinePunct/>
              <w:autoSpaceDN w:val="0"/>
              <w:adjustRightInd w:val="0"/>
              <w:snapToGrid w:val="0"/>
              <w:spacing w:line="247" w:lineRule="auto"/>
              <w:jc w:val="left"/>
              <w:rPr>
                <w:sz w:val="24"/>
              </w:rPr>
            </w:pPr>
          </w:p>
          <w:p w14:paraId="10E91BA8">
            <w:pPr>
              <w:widowControl/>
              <w:topLinePunct/>
              <w:autoSpaceDN w:val="0"/>
              <w:adjustRightInd w:val="0"/>
              <w:snapToGrid w:val="0"/>
              <w:spacing w:line="249" w:lineRule="auto"/>
              <w:jc w:val="left"/>
              <w:rPr>
                <w:sz w:val="24"/>
              </w:rPr>
            </w:pPr>
          </w:p>
          <w:p w14:paraId="301F32F7">
            <w:pPr>
              <w:widowControl/>
              <w:topLinePunct/>
              <w:autoSpaceDN w:val="0"/>
              <w:adjustRightInd w:val="0"/>
              <w:snapToGrid w:val="0"/>
              <w:spacing w:line="249" w:lineRule="auto"/>
              <w:jc w:val="left"/>
              <w:rPr>
                <w:sz w:val="24"/>
              </w:rPr>
            </w:pPr>
          </w:p>
          <w:p w14:paraId="318DF433">
            <w:pPr>
              <w:widowControl/>
              <w:topLinePunct/>
              <w:autoSpaceDN w:val="0"/>
              <w:adjustRightInd w:val="0"/>
              <w:snapToGrid w:val="0"/>
              <w:spacing w:line="249" w:lineRule="auto"/>
              <w:jc w:val="left"/>
              <w:rPr>
                <w:sz w:val="24"/>
              </w:rPr>
            </w:pPr>
          </w:p>
          <w:p w14:paraId="547A47C9">
            <w:pPr>
              <w:pStyle w:val="13"/>
              <w:kinsoku/>
              <w:topLinePunct/>
              <w:autoSpaceDE/>
              <w:spacing w:beforeAutospacing="0" w:afterAutospacing="0"/>
            </w:pPr>
            <w:r>
              <w:rPr>
                <w:rFonts w:hint="eastAsia" w:ascii="宋体" w:hAnsi="宋体" w:eastAsia="宋体" w:cs="宋体"/>
                <w:spacing w:val="2"/>
                <w:lang w:bidi="ar"/>
              </w:rPr>
              <w:t>2.1.1</w:t>
            </w:r>
          </w:p>
        </w:tc>
        <w:tc>
          <w:tcPr>
            <w:tcW w:w="969" w:type="dxa"/>
            <w:vMerge w:val="restart"/>
            <w:tcBorders>
              <w:top w:val="single" w:color="000000" w:sz="2" w:space="0"/>
              <w:left w:val="single" w:color="000000" w:sz="2" w:space="0"/>
              <w:bottom w:val="single" w:color="000000" w:sz="2" w:space="0"/>
              <w:right w:val="single" w:color="000000" w:sz="2" w:space="0"/>
            </w:tcBorders>
            <w:shd w:val="clear" w:color="auto" w:fill="auto"/>
          </w:tcPr>
          <w:p w14:paraId="441E6668">
            <w:pPr>
              <w:widowControl/>
              <w:topLinePunct/>
              <w:autoSpaceDN w:val="0"/>
              <w:adjustRightInd w:val="0"/>
              <w:snapToGrid w:val="0"/>
              <w:spacing w:line="242" w:lineRule="auto"/>
              <w:jc w:val="left"/>
              <w:rPr>
                <w:sz w:val="24"/>
              </w:rPr>
            </w:pPr>
          </w:p>
          <w:p w14:paraId="10D868BD">
            <w:pPr>
              <w:widowControl/>
              <w:topLinePunct/>
              <w:autoSpaceDN w:val="0"/>
              <w:adjustRightInd w:val="0"/>
              <w:snapToGrid w:val="0"/>
              <w:spacing w:line="242" w:lineRule="auto"/>
              <w:jc w:val="left"/>
              <w:rPr>
                <w:sz w:val="24"/>
              </w:rPr>
            </w:pPr>
          </w:p>
          <w:p w14:paraId="3FBED242">
            <w:pPr>
              <w:widowControl/>
              <w:topLinePunct/>
              <w:autoSpaceDN w:val="0"/>
              <w:adjustRightInd w:val="0"/>
              <w:snapToGrid w:val="0"/>
              <w:spacing w:line="242" w:lineRule="auto"/>
              <w:jc w:val="left"/>
              <w:rPr>
                <w:sz w:val="24"/>
              </w:rPr>
            </w:pPr>
          </w:p>
          <w:p w14:paraId="7EA5CE77">
            <w:pPr>
              <w:widowControl/>
              <w:topLinePunct/>
              <w:autoSpaceDN w:val="0"/>
              <w:adjustRightInd w:val="0"/>
              <w:snapToGrid w:val="0"/>
              <w:spacing w:line="242" w:lineRule="auto"/>
              <w:jc w:val="left"/>
              <w:rPr>
                <w:sz w:val="24"/>
              </w:rPr>
            </w:pPr>
          </w:p>
          <w:p w14:paraId="384B8FF6">
            <w:pPr>
              <w:widowControl/>
              <w:topLinePunct/>
              <w:autoSpaceDN w:val="0"/>
              <w:adjustRightInd w:val="0"/>
              <w:snapToGrid w:val="0"/>
              <w:spacing w:line="242" w:lineRule="auto"/>
              <w:jc w:val="left"/>
              <w:rPr>
                <w:sz w:val="24"/>
              </w:rPr>
            </w:pPr>
          </w:p>
          <w:p w14:paraId="71C4DE7C">
            <w:pPr>
              <w:widowControl/>
              <w:topLinePunct/>
              <w:autoSpaceDN w:val="0"/>
              <w:adjustRightInd w:val="0"/>
              <w:snapToGrid w:val="0"/>
              <w:spacing w:line="242" w:lineRule="auto"/>
              <w:jc w:val="left"/>
              <w:rPr>
                <w:sz w:val="24"/>
              </w:rPr>
            </w:pPr>
          </w:p>
          <w:p w14:paraId="26FA0BF6">
            <w:pPr>
              <w:widowControl/>
              <w:topLinePunct/>
              <w:autoSpaceDN w:val="0"/>
              <w:adjustRightInd w:val="0"/>
              <w:snapToGrid w:val="0"/>
              <w:spacing w:line="242" w:lineRule="auto"/>
              <w:jc w:val="left"/>
              <w:rPr>
                <w:sz w:val="24"/>
              </w:rPr>
            </w:pPr>
          </w:p>
          <w:p w14:paraId="234C30D3">
            <w:pPr>
              <w:widowControl/>
              <w:topLinePunct/>
              <w:autoSpaceDN w:val="0"/>
              <w:adjustRightInd w:val="0"/>
              <w:snapToGrid w:val="0"/>
              <w:spacing w:line="242" w:lineRule="auto"/>
              <w:jc w:val="left"/>
              <w:rPr>
                <w:sz w:val="24"/>
              </w:rPr>
            </w:pPr>
          </w:p>
          <w:p w14:paraId="79F00084">
            <w:pPr>
              <w:widowControl/>
              <w:topLinePunct/>
              <w:autoSpaceDN w:val="0"/>
              <w:adjustRightInd w:val="0"/>
              <w:snapToGrid w:val="0"/>
              <w:spacing w:line="242" w:lineRule="auto"/>
              <w:jc w:val="left"/>
              <w:rPr>
                <w:sz w:val="24"/>
              </w:rPr>
            </w:pPr>
          </w:p>
          <w:p w14:paraId="52E7C8ED">
            <w:pPr>
              <w:widowControl/>
              <w:topLinePunct/>
              <w:autoSpaceDN w:val="0"/>
              <w:adjustRightInd w:val="0"/>
              <w:snapToGrid w:val="0"/>
              <w:spacing w:line="242" w:lineRule="auto"/>
              <w:jc w:val="left"/>
              <w:rPr>
                <w:sz w:val="24"/>
              </w:rPr>
            </w:pPr>
          </w:p>
          <w:p w14:paraId="40C669F5">
            <w:pPr>
              <w:widowControl/>
              <w:topLinePunct/>
              <w:autoSpaceDN w:val="0"/>
              <w:adjustRightInd w:val="0"/>
              <w:snapToGrid w:val="0"/>
              <w:spacing w:line="242" w:lineRule="auto"/>
              <w:jc w:val="left"/>
              <w:rPr>
                <w:sz w:val="24"/>
              </w:rPr>
            </w:pPr>
          </w:p>
          <w:p w14:paraId="0F98D89B">
            <w:pPr>
              <w:widowControl/>
              <w:topLinePunct/>
              <w:autoSpaceDN w:val="0"/>
              <w:adjustRightInd w:val="0"/>
              <w:snapToGrid w:val="0"/>
              <w:spacing w:line="242" w:lineRule="auto"/>
              <w:jc w:val="left"/>
              <w:rPr>
                <w:sz w:val="24"/>
              </w:rPr>
            </w:pPr>
          </w:p>
          <w:p w14:paraId="1B88A4D9">
            <w:pPr>
              <w:widowControl/>
              <w:topLinePunct/>
              <w:autoSpaceDN w:val="0"/>
              <w:adjustRightInd w:val="0"/>
              <w:snapToGrid w:val="0"/>
              <w:spacing w:line="242" w:lineRule="auto"/>
              <w:jc w:val="left"/>
              <w:rPr>
                <w:sz w:val="24"/>
              </w:rPr>
            </w:pPr>
          </w:p>
          <w:p w14:paraId="116D7BFA">
            <w:pPr>
              <w:widowControl/>
              <w:topLinePunct/>
              <w:autoSpaceDN w:val="0"/>
              <w:adjustRightInd w:val="0"/>
              <w:snapToGrid w:val="0"/>
              <w:spacing w:line="242" w:lineRule="auto"/>
              <w:jc w:val="left"/>
              <w:rPr>
                <w:sz w:val="24"/>
              </w:rPr>
            </w:pPr>
          </w:p>
          <w:p w14:paraId="51C6724F">
            <w:pPr>
              <w:widowControl/>
              <w:topLinePunct/>
              <w:autoSpaceDN w:val="0"/>
              <w:adjustRightInd w:val="0"/>
              <w:snapToGrid w:val="0"/>
              <w:spacing w:line="242" w:lineRule="auto"/>
              <w:jc w:val="left"/>
              <w:rPr>
                <w:sz w:val="24"/>
              </w:rPr>
            </w:pPr>
          </w:p>
          <w:p w14:paraId="29975C22">
            <w:pPr>
              <w:widowControl/>
              <w:topLinePunct/>
              <w:autoSpaceDN w:val="0"/>
              <w:adjustRightInd w:val="0"/>
              <w:snapToGrid w:val="0"/>
              <w:spacing w:line="242" w:lineRule="auto"/>
              <w:jc w:val="left"/>
              <w:rPr>
                <w:sz w:val="24"/>
              </w:rPr>
            </w:pPr>
          </w:p>
          <w:p w14:paraId="199CB48B">
            <w:pPr>
              <w:pStyle w:val="13"/>
              <w:kinsoku/>
              <w:topLinePunct/>
              <w:autoSpaceDE/>
              <w:spacing w:beforeAutospacing="0" w:afterAutospacing="0"/>
            </w:pPr>
            <w:r>
              <w:rPr>
                <w:rFonts w:hint="eastAsia" w:ascii="宋体" w:hAnsi="宋体" w:eastAsia="宋体" w:cs="宋体"/>
                <w:spacing w:val="5"/>
                <w:lang w:bidi="ar"/>
              </w:rPr>
              <w:t>资格评审</w:t>
            </w:r>
            <w:r>
              <w:rPr>
                <w:rFonts w:hint="eastAsia" w:ascii="宋体" w:hAnsi="宋体" w:eastAsia="宋体" w:cs="宋体"/>
                <w:lang w:bidi="ar"/>
              </w:rPr>
              <w:t>标准</w:t>
            </w: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AA764A">
            <w:pPr>
              <w:pStyle w:val="13"/>
              <w:kinsoku/>
              <w:topLinePunct/>
              <w:autoSpaceDE/>
              <w:spacing w:before="207" w:beforeAutospacing="0" w:afterAutospacing="0"/>
              <w:ind w:left="119"/>
              <w:jc w:val="center"/>
            </w:pPr>
            <w:r>
              <w:rPr>
                <w:rFonts w:hint="eastAsia" w:ascii="宋体" w:hAnsi="宋体" w:eastAsia="宋体" w:cs="宋体"/>
                <w:spacing w:val="5"/>
                <w:lang w:bidi="ar"/>
              </w:rPr>
              <w:t>营业执照</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2B41AE86">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具备有效的营业执照。</w:t>
            </w:r>
          </w:p>
          <w:p w14:paraId="66D0B7A7">
            <w:pPr>
              <w:widowControl/>
              <w:topLinePunct/>
              <w:autoSpaceDN w:val="0"/>
              <w:jc w:val="left"/>
              <w:rPr>
                <w:rFonts w:ascii="宋体" w:hAnsi="宋体" w:eastAsia="宋体" w:cs="宋体"/>
                <w:b/>
                <w:sz w:val="24"/>
                <w:lang w:bidi="ar"/>
              </w:rPr>
            </w:pPr>
            <w:r>
              <w:rPr>
                <w:rFonts w:hint="eastAsia" w:ascii="宋体" w:hAnsi="宋体" w:eastAsia="宋体" w:cs="宋体"/>
                <w:b/>
                <w:color w:val="000000"/>
                <w:kern w:val="0"/>
                <w:sz w:val="24"/>
                <w:lang w:bidi="ar"/>
              </w:rPr>
              <w:t>（响应文件内提供营业执照扫描件加盖公章）</w:t>
            </w:r>
          </w:p>
        </w:tc>
      </w:tr>
      <w:tr w14:paraId="37459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5C012D29">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19D4D2DF">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8B9759">
            <w:pPr>
              <w:pStyle w:val="13"/>
              <w:kinsoku/>
              <w:topLinePunct/>
              <w:autoSpaceDE/>
              <w:spacing w:before="65" w:beforeAutospacing="0" w:afterAutospacing="0"/>
              <w:jc w:val="center"/>
            </w:pPr>
            <w:r>
              <w:rPr>
                <w:rFonts w:hint="eastAsia" w:ascii="宋体" w:hAnsi="宋体" w:eastAsia="宋体" w:cs="宋体"/>
                <w:spacing w:val="5"/>
                <w:lang w:bidi="ar"/>
              </w:rPr>
              <w:t>资质等级</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2F8EAA1F">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具备独立法人资格，供应商须是具备行业主管部门核发的水土保持工程施工监理专业乙级及以上资质。</w:t>
            </w:r>
          </w:p>
          <w:p w14:paraId="2E610A08">
            <w:pPr>
              <w:widowControl/>
              <w:topLinePunct/>
              <w:autoSpaceDN w:val="0"/>
              <w:jc w:val="left"/>
              <w:rPr>
                <w:rFonts w:ascii="宋体" w:hAnsi="宋体" w:eastAsia="宋体" w:cs="宋体"/>
                <w:b/>
                <w:sz w:val="24"/>
                <w:lang w:bidi="ar"/>
              </w:rPr>
            </w:pPr>
            <w:r>
              <w:rPr>
                <w:rFonts w:hint="eastAsia" w:ascii="宋体" w:hAnsi="宋体" w:eastAsia="宋体" w:cs="宋体"/>
                <w:b/>
                <w:color w:val="000000"/>
                <w:kern w:val="0"/>
                <w:sz w:val="24"/>
                <w:lang w:bidi="ar"/>
              </w:rPr>
              <w:t>（响应文件内提供资质证书副本扫描件加盖公章）</w:t>
            </w:r>
          </w:p>
        </w:tc>
      </w:tr>
      <w:tr w14:paraId="023CF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0"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77554760">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3197244E">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203849">
            <w:pPr>
              <w:pStyle w:val="13"/>
              <w:kinsoku/>
              <w:topLinePunct/>
              <w:autoSpaceDE/>
              <w:spacing w:before="65" w:beforeAutospacing="0" w:afterAutospacing="0"/>
              <w:jc w:val="center"/>
              <w:rPr>
                <w:color w:val="auto"/>
              </w:rPr>
            </w:pPr>
            <w:r>
              <w:rPr>
                <w:rFonts w:hint="eastAsia" w:ascii="宋体" w:hAnsi="宋体" w:eastAsia="宋体" w:cs="宋体"/>
                <w:color w:val="auto"/>
                <w:lang w:bidi="ar"/>
              </w:rPr>
              <w:t>财务审计报告</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51493C7F">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供应商具有良好的商业信誉和健全的财务会计制度提供2021年至2023年的财务审计报告或财务报表。</w:t>
            </w:r>
          </w:p>
          <w:p w14:paraId="3D90D0E4">
            <w:pPr>
              <w:widowControl/>
              <w:topLinePunct/>
              <w:autoSpaceDN w:val="0"/>
              <w:jc w:val="left"/>
              <w:rPr>
                <w:rFonts w:ascii="宋体" w:hAnsi="宋体" w:eastAsia="宋体" w:cs="宋体"/>
                <w:b/>
                <w:sz w:val="24"/>
                <w:lang w:bidi="ar"/>
              </w:rPr>
            </w:pPr>
            <w:r>
              <w:rPr>
                <w:rFonts w:hint="eastAsia" w:ascii="宋体" w:hAnsi="宋体" w:eastAsia="宋体" w:cs="宋体"/>
                <w:b/>
                <w:color w:val="000000"/>
                <w:kern w:val="0"/>
                <w:sz w:val="24"/>
                <w:lang w:bidi="ar"/>
              </w:rPr>
              <w:t>（响应文件提供扫描件内加盖供应商公章）</w:t>
            </w:r>
          </w:p>
        </w:tc>
      </w:tr>
      <w:tr w14:paraId="79D78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0"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16353F5C">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7638C24F">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45225C">
            <w:pPr>
              <w:pStyle w:val="13"/>
              <w:kinsoku/>
              <w:topLinePunct/>
              <w:autoSpaceDE/>
              <w:spacing w:before="65" w:beforeAutospacing="0" w:afterAutospacing="0"/>
              <w:jc w:val="center"/>
              <w:rPr>
                <w:color w:val="auto"/>
              </w:rPr>
            </w:pPr>
            <w:r>
              <w:rPr>
                <w:rFonts w:hint="eastAsia" w:ascii="宋体" w:hAnsi="宋体" w:eastAsia="宋体" w:cs="宋体"/>
                <w:color w:val="auto"/>
                <w:spacing w:val="5"/>
                <w:lang w:bidi="ar"/>
              </w:rPr>
              <w:t>依法缴纳税收和社会保障资金证明</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46C3EF86">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供应商依法缴纳税收和社会保障资金的良好记录，提供2024年1月1日至今任意一个月的纳税证明和社会保障资金证明。</w:t>
            </w:r>
          </w:p>
          <w:p w14:paraId="0634249D">
            <w:pPr>
              <w:widowControl/>
              <w:topLinePunct/>
              <w:autoSpaceDN w:val="0"/>
              <w:jc w:val="left"/>
              <w:rPr>
                <w:rFonts w:ascii="宋体" w:hAnsi="宋体" w:eastAsia="宋体" w:cs="宋体"/>
                <w:b/>
                <w:sz w:val="24"/>
                <w:lang w:bidi="ar"/>
              </w:rPr>
            </w:pPr>
            <w:r>
              <w:rPr>
                <w:rFonts w:hint="eastAsia" w:ascii="宋体" w:hAnsi="宋体" w:eastAsia="宋体" w:cs="宋体"/>
                <w:b/>
                <w:color w:val="000000"/>
                <w:kern w:val="0"/>
                <w:sz w:val="24"/>
                <w:lang w:bidi="ar"/>
              </w:rPr>
              <w:t>（响应文件内提供扫描件加盖供应商公章）</w:t>
            </w:r>
          </w:p>
        </w:tc>
      </w:tr>
      <w:tr w14:paraId="1079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4BAC84A1">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0B716730">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BC2C7D">
            <w:pPr>
              <w:pStyle w:val="13"/>
              <w:kinsoku/>
              <w:topLinePunct/>
              <w:autoSpaceDE/>
              <w:spacing w:before="65" w:beforeAutospacing="0" w:afterAutospacing="0"/>
              <w:jc w:val="center"/>
            </w:pPr>
            <w:r>
              <w:rPr>
                <w:rFonts w:hint="eastAsia" w:ascii="宋体" w:hAnsi="宋体" w:eastAsia="宋体" w:cs="宋体"/>
                <w:spacing w:val="7"/>
                <w:lang w:bidi="ar"/>
              </w:rPr>
              <w:t>总监理工程师</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0CE0C57C">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具备水利工程监理专业国家注册监理工程师证书。</w:t>
            </w:r>
          </w:p>
          <w:p w14:paraId="27331C4A">
            <w:pPr>
              <w:widowControl/>
              <w:topLinePunct/>
              <w:autoSpaceDN w:val="0"/>
              <w:jc w:val="left"/>
              <w:rPr>
                <w:rFonts w:ascii="宋体" w:hAnsi="宋体" w:eastAsia="宋体" w:cs="宋体"/>
                <w:b/>
                <w:sz w:val="24"/>
                <w:lang w:bidi="ar"/>
              </w:rPr>
            </w:pPr>
            <w:r>
              <w:rPr>
                <w:rFonts w:hint="eastAsia" w:ascii="宋体" w:hAnsi="宋体" w:eastAsia="宋体" w:cs="宋体"/>
                <w:b/>
                <w:color w:val="000000"/>
                <w:kern w:val="0"/>
                <w:sz w:val="24"/>
                <w:lang w:bidi="ar"/>
              </w:rPr>
              <w:t>（响应文件内提供监理工程师注册证书扫描件加盖公章）</w:t>
            </w:r>
          </w:p>
        </w:tc>
      </w:tr>
      <w:tr w14:paraId="233A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1"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623109AB">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2FDD2223">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092DF9">
            <w:pPr>
              <w:pStyle w:val="13"/>
              <w:kinsoku/>
              <w:topLinePunct/>
              <w:autoSpaceDE/>
              <w:spacing w:before="65" w:beforeAutospacing="0" w:afterAutospacing="0"/>
              <w:jc w:val="center"/>
            </w:pPr>
            <w:r>
              <w:rPr>
                <w:rFonts w:hint="eastAsia" w:ascii="宋体" w:hAnsi="宋体" w:eastAsia="宋体" w:cs="宋体"/>
                <w:spacing w:val="7"/>
                <w:lang w:bidi="ar"/>
              </w:rPr>
              <w:t>信誉要求</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34ED8D5B">
            <w:pPr>
              <w:pStyle w:val="13"/>
              <w:widowControl w:val="0"/>
              <w:tabs>
                <w:tab w:val="left" w:pos="312"/>
              </w:tabs>
              <w:kinsoku/>
              <w:topLinePunct/>
              <w:autoSpaceDE/>
              <w:snapToGrid/>
              <w:spacing w:beforeAutospacing="0" w:afterAutospacing="0"/>
              <w:rPr>
                <w:rFonts w:hAnsi="宋体"/>
                <w:color w:val="auto"/>
              </w:rPr>
            </w:pPr>
            <w:r>
              <w:rPr>
                <w:rFonts w:hint="eastAsia" w:ascii="宋体" w:hAnsi="宋体" w:eastAsia="宋体" w:cs="宋体"/>
                <w:color w:val="auto"/>
                <w:lang w:bidi="ar"/>
              </w:rPr>
              <w:t>1</w:t>
            </w:r>
            <w:r>
              <w:rPr>
                <w:rFonts w:ascii="宋体" w:hAnsi="宋体" w:eastAsia="宋体" w:cs="宋体"/>
                <w:color w:val="auto"/>
                <w:lang w:bidi="ar"/>
              </w:rPr>
              <w:t>.</w:t>
            </w:r>
            <w:r>
              <w:rPr>
                <w:rFonts w:hint="eastAsia" w:ascii="宋体" w:hAnsi="宋体" w:eastAsia="宋体" w:cs="宋体"/>
                <w:color w:val="auto"/>
                <w:lang w:bidi="ar"/>
              </w:rPr>
              <w:t>未被工商行政管理机关在全国企业信用信息公示系统（http://www.gsxt.gov.cn/index.html）中列入严重违法失信企业名单；</w:t>
            </w:r>
          </w:p>
          <w:p w14:paraId="4162CE94">
            <w:pPr>
              <w:pStyle w:val="13"/>
              <w:widowControl w:val="0"/>
              <w:tabs>
                <w:tab w:val="left" w:pos="312"/>
              </w:tabs>
              <w:kinsoku/>
              <w:topLinePunct/>
              <w:autoSpaceDE/>
              <w:snapToGrid/>
              <w:spacing w:beforeAutospacing="0" w:afterAutospacing="0"/>
              <w:rPr>
                <w:rFonts w:hAnsi="宋体"/>
                <w:color w:val="auto"/>
              </w:rPr>
            </w:pPr>
            <w:r>
              <w:rPr>
                <w:rFonts w:hint="eastAsia" w:ascii="宋体" w:hAnsi="宋体" w:eastAsia="宋体" w:cs="宋体"/>
                <w:color w:val="auto"/>
                <w:lang w:bidi="ar"/>
              </w:rPr>
              <w:t>2</w:t>
            </w:r>
            <w:r>
              <w:rPr>
                <w:rFonts w:ascii="宋体" w:hAnsi="宋体" w:eastAsia="宋体" w:cs="宋体"/>
                <w:color w:val="auto"/>
                <w:lang w:bidi="ar"/>
              </w:rPr>
              <w:t>.</w:t>
            </w:r>
            <w:r>
              <w:rPr>
                <w:rFonts w:hint="eastAsia" w:ascii="宋体" w:hAnsi="宋体" w:eastAsia="宋体" w:cs="宋体"/>
                <w:color w:val="auto"/>
                <w:lang w:bidi="ar"/>
              </w:rPr>
              <w:t>未被最高人民法院在“信用中国”网站（www.creditchina.gov.cn）或各级信用信息共享平台列入失信被执行人名单；</w:t>
            </w:r>
          </w:p>
          <w:p w14:paraId="4F681EDE">
            <w:pPr>
              <w:pStyle w:val="13"/>
              <w:widowControl w:val="0"/>
              <w:kinsoku/>
              <w:topLinePunct/>
              <w:autoSpaceDE/>
              <w:snapToGrid/>
              <w:spacing w:beforeAutospacing="0" w:afterAutospacing="0"/>
              <w:rPr>
                <w:rFonts w:hAnsi="宋体"/>
                <w:color w:val="auto"/>
              </w:rPr>
            </w:pPr>
            <w:r>
              <w:rPr>
                <w:rFonts w:hint="eastAsia" w:ascii="宋体" w:hAnsi="宋体" w:eastAsia="宋体" w:cs="宋体"/>
                <w:color w:val="auto"/>
                <w:lang w:bidi="ar"/>
              </w:rPr>
              <w:t>3.供应商、法定代表人、总监理工程师在中国裁判文书网无行贿犯罪记录。</w:t>
            </w:r>
          </w:p>
        </w:tc>
      </w:tr>
      <w:tr w14:paraId="6819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2FCD6E12">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78A2CD73">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A45DF5">
            <w:pPr>
              <w:widowControl/>
              <w:topLinePunct/>
              <w:autoSpaceDN w:val="0"/>
              <w:adjustRightInd w:val="0"/>
              <w:snapToGrid w:val="0"/>
              <w:jc w:val="center"/>
              <w:rPr>
                <w:spacing w:val="7"/>
                <w:sz w:val="24"/>
              </w:rPr>
            </w:pPr>
            <w:r>
              <w:rPr>
                <w:rFonts w:hint="eastAsia" w:ascii="宋体" w:hAnsi="宋体" w:eastAsia="宋体" w:cs="宋体"/>
                <w:bCs/>
                <w:kern w:val="0"/>
                <w:sz w:val="24"/>
                <w:lang w:val="zh-CN" w:bidi="ar"/>
              </w:rPr>
              <w:t>落实政府采购政策需满足的资格要求</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629342">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中小企业参加政府采购活动，应当出具本采购文件规定的《中小企业声明函》；</w:t>
            </w:r>
          </w:p>
          <w:p w14:paraId="3E58C9E1">
            <w:pPr>
              <w:widowControl/>
              <w:topLinePunct/>
              <w:autoSpaceDN w:val="0"/>
              <w:jc w:val="left"/>
              <w:rPr>
                <w:rFonts w:ascii="宋体" w:hAnsi="宋体" w:eastAsia="宋体" w:cs="宋体"/>
                <w:sz w:val="24"/>
                <w:lang w:bidi="ar"/>
              </w:rPr>
            </w:pPr>
            <w:r>
              <w:rPr>
                <w:rFonts w:hint="eastAsia" w:ascii="宋体" w:hAnsi="宋体" w:eastAsia="宋体" w:cs="宋体"/>
                <w:color w:val="000000"/>
                <w:kern w:val="0"/>
                <w:sz w:val="24"/>
                <w:lang w:bidi="ar"/>
              </w:rPr>
              <w:t>监狱企业参加政府采购活动时，应当提供由省级以上监狱管理局、戒毒管理局（含新疆生产建设兵团）出具的属于监狱企业的证明文件；</w:t>
            </w:r>
          </w:p>
          <w:p w14:paraId="26E061F9">
            <w:pPr>
              <w:widowControl/>
              <w:topLinePunct/>
              <w:autoSpaceDN w:val="0"/>
              <w:jc w:val="left"/>
              <w:rPr>
                <w:spacing w:val="9"/>
                <w:sz w:val="24"/>
              </w:rPr>
            </w:pPr>
            <w:r>
              <w:rPr>
                <w:rFonts w:hint="eastAsia" w:ascii="宋体" w:hAnsi="宋体" w:eastAsia="宋体" w:cs="宋体"/>
                <w:color w:val="000000"/>
                <w:kern w:val="0"/>
                <w:sz w:val="24"/>
                <w:lang w:bidi="ar"/>
              </w:rPr>
              <w:t>符合条件的残疾人福利性单位在参加政府采购活动时，应当出具本采购文件规定的《残疾人福利性单位声明函》，并对声明的真实性负责。</w:t>
            </w:r>
          </w:p>
        </w:tc>
      </w:tr>
      <w:tr w14:paraId="5F01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56" w:hRule="atLeast"/>
          <w:jc w:val="center"/>
        </w:trPr>
        <w:tc>
          <w:tcPr>
            <w:tcW w:w="924"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14CC9120">
            <w:pPr>
              <w:rPr>
                <w:rFonts w:ascii="Calibri" w:hAnsi="Calibri" w:cs="Times New Roman"/>
                <w:sz w:val="20"/>
                <w:szCs w:val="20"/>
              </w:rPr>
            </w:pPr>
          </w:p>
        </w:tc>
        <w:tc>
          <w:tcPr>
            <w:tcW w:w="969"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663B44F7">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00F432">
            <w:pPr>
              <w:widowControl/>
              <w:topLinePunct/>
              <w:autoSpaceDN w:val="0"/>
              <w:adjustRightInd w:val="0"/>
              <w:snapToGrid w:val="0"/>
              <w:jc w:val="center"/>
              <w:rPr>
                <w:rFonts w:ascii="宋体" w:hAnsi="宋体" w:eastAsia="宋体" w:cs="宋体"/>
                <w:sz w:val="24"/>
                <w:lang w:val="zh-CN"/>
              </w:rPr>
            </w:pPr>
            <w:r>
              <w:rPr>
                <w:rFonts w:hint="eastAsia" w:ascii="宋体" w:hAnsi="宋体" w:eastAsia="宋体" w:cs="宋体"/>
                <w:kern w:val="0"/>
                <w:sz w:val="24"/>
                <w:lang w:val="zh-CN" w:bidi="ar"/>
              </w:rPr>
              <w:t>其他要求</w:t>
            </w:r>
          </w:p>
        </w:tc>
        <w:tc>
          <w:tcPr>
            <w:tcW w:w="5669" w:type="dxa"/>
            <w:tcBorders>
              <w:top w:val="single" w:color="000000" w:sz="2" w:space="0"/>
              <w:left w:val="single" w:color="000000" w:sz="2" w:space="0"/>
              <w:bottom w:val="single" w:color="000000" w:sz="2" w:space="0"/>
              <w:right w:val="single" w:color="000000" w:sz="2" w:space="0"/>
            </w:tcBorders>
            <w:shd w:val="clear" w:color="auto" w:fill="auto"/>
          </w:tcPr>
          <w:p w14:paraId="536E4357">
            <w:pPr>
              <w:widowControl/>
              <w:topLinePunct/>
              <w:autoSpaceDN w:val="0"/>
              <w:adjustRightInd w:val="0"/>
              <w:snapToGrid w:val="0"/>
              <w:jc w:val="left"/>
              <w:rPr>
                <w:rFonts w:ascii="宋体" w:hAnsi="宋体" w:eastAsia="宋体" w:cs="宋体"/>
                <w:sz w:val="24"/>
                <w:lang w:val="zh-CN"/>
              </w:rPr>
            </w:pPr>
            <w:r>
              <w:rPr>
                <w:rFonts w:hint="eastAsia" w:ascii="宋体" w:hAnsi="宋体" w:eastAsia="宋体" w:cs="宋体"/>
                <w:kern w:val="0"/>
                <w:sz w:val="24"/>
                <w:lang w:val="zh-CN" w:bidi="ar"/>
              </w:rPr>
              <w:t>拒绝列入政府取消投标资格记录期间的企业或个人投标。</w:t>
            </w:r>
          </w:p>
          <w:p w14:paraId="4D2CA502">
            <w:pPr>
              <w:widowControl/>
              <w:topLinePunct/>
              <w:autoSpaceDN w:val="0"/>
              <w:adjustRightInd w:val="0"/>
              <w:snapToGrid w:val="0"/>
              <w:jc w:val="left"/>
              <w:rPr>
                <w:rFonts w:ascii="宋体" w:hAnsi="宋体" w:eastAsia="宋体" w:cs="宋体"/>
                <w:b/>
                <w:sz w:val="24"/>
                <w:lang w:val="zh-CN"/>
              </w:rPr>
            </w:pPr>
            <w:r>
              <w:rPr>
                <w:rFonts w:hint="eastAsia" w:ascii="宋体" w:hAnsi="宋体" w:eastAsia="宋体" w:cs="宋体"/>
                <w:b/>
                <w:kern w:val="0"/>
                <w:sz w:val="24"/>
                <w:lang w:val="zh-CN" w:bidi="ar"/>
              </w:rPr>
              <w:t>（提供法定代表人或授权代理人签字并加盖公章的承诺书）</w:t>
            </w:r>
          </w:p>
        </w:tc>
      </w:tr>
      <w:tr w14:paraId="64BF6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3" w:hRule="atLeast"/>
          <w:jc w:val="center"/>
        </w:trPr>
        <w:tc>
          <w:tcPr>
            <w:tcW w:w="924" w:type="dxa"/>
            <w:vMerge w:val="restart"/>
            <w:tcBorders>
              <w:top w:val="single" w:color="000000" w:sz="2" w:space="0"/>
              <w:left w:val="single" w:color="000000" w:sz="2" w:space="0"/>
              <w:right w:val="single" w:color="000000" w:sz="2" w:space="0"/>
            </w:tcBorders>
            <w:shd w:val="clear" w:color="auto" w:fill="auto"/>
            <w:vAlign w:val="center"/>
          </w:tcPr>
          <w:p w14:paraId="485CC507">
            <w:pPr>
              <w:pStyle w:val="13"/>
              <w:kinsoku/>
              <w:topLinePunct/>
              <w:autoSpaceDE/>
              <w:spacing w:before="65" w:beforeAutospacing="0" w:afterAutospacing="0" w:line="189" w:lineRule="auto"/>
            </w:pPr>
            <w:r>
              <w:rPr>
                <w:rFonts w:hint="eastAsia" w:ascii="宋体" w:hAnsi="宋体" w:eastAsia="宋体" w:cs="宋体"/>
                <w:spacing w:val="2"/>
                <w:lang w:bidi="ar"/>
              </w:rPr>
              <w:t>2.1.2</w:t>
            </w:r>
          </w:p>
        </w:tc>
        <w:tc>
          <w:tcPr>
            <w:tcW w:w="969" w:type="dxa"/>
            <w:vMerge w:val="restart"/>
            <w:tcBorders>
              <w:top w:val="single" w:color="000000" w:sz="2" w:space="0"/>
              <w:left w:val="single" w:color="000000" w:sz="2" w:space="0"/>
              <w:right w:val="single" w:color="000000" w:sz="2" w:space="0"/>
            </w:tcBorders>
            <w:shd w:val="clear" w:color="auto" w:fill="auto"/>
            <w:vAlign w:val="center"/>
          </w:tcPr>
          <w:p w14:paraId="5CF53EA6">
            <w:pPr>
              <w:widowControl/>
              <w:topLinePunct/>
              <w:autoSpaceDN w:val="0"/>
              <w:adjustRightInd w:val="0"/>
              <w:snapToGrid w:val="0"/>
              <w:spacing w:line="360" w:lineRule="auto"/>
              <w:jc w:val="center"/>
              <w:rPr>
                <w:rFonts w:ascii="宋体" w:hAnsi="宋体" w:eastAsia="宋体" w:cs="宋体"/>
                <w:sz w:val="24"/>
                <w:lang w:val="zh-CN"/>
              </w:rPr>
            </w:pPr>
            <w:r>
              <w:rPr>
                <w:rFonts w:hint="eastAsia" w:ascii="宋体" w:hAnsi="宋体" w:eastAsia="宋体" w:cs="宋体"/>
                <w:kern w:val="0"/>
                <w:sz w:val="24"/>
                <w:lang w:val="en-US" w:eastAsia="zh-CN" w:bidi="ar"/>
              </w:rPr>
              <w:t>符合</w:t>
            </w:r>
            <w:r>
              <w:rPr>
                <w:rFonts w:hint="eastAsia" w:ascii="宋体" w:hAnsi="宋体" w:eastAsia="宋体" w:cs="宋体"/>
                <w:kern w:val="0"/>
                <w:sz w:val="24"/>
                <w:lang w:val="zh-CN" w:bidi="ar"/>
              </w:rPr>
              <w:t>性评审标准</w:t>
            </w: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032D09">
            <w:pPr>
              <w:pStyle w:val="13"/>
              <w:kinsoku/>
              <w:topLinePunct/>
              <w:autoSpaceDE/>
              <w:spacing w:beforeAutospacing="0" w:afterAutospacing="0"/>
              <w:ind w:left="113"/>
              <w:rPr>
                <w:color w:val="auto"/>
                <w:lang w:val="zh-CN"/>
              </w:rPr>
            </w:pPr>
            <w:r>
              <w:rPr>
                <w:rFonts w:hint="eastAsia" w:ascii="宋体" w:hAnsi="宋体" w:eastAsia="宋体" w:cs="宋体"/>
                <w:spacing w:val="8"/>
                <w:lang w:bidi="ar"/>
              </w:rPr>
              <w:t>供应商名称</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D93CD5">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与营业执照、资质证书一致</w:t>
            </w:r>
          </w:p>
        </w:tc>
      </w:tr>
      <w:tr w14:paraId="3E16E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3" w:hRule="atLeast"/>
          <w:jc w:val="center"/>
        </w:trPr>
        <w:tc>
          <w:tcPr>
            <w:tcW w:w="924" w:type="dxa"/>
            <w:vMerge w:val="continue"/>
            <w:tcBorders>
              <w:left w:val="single" w:color="000000" w:sz="2" w:space="0"/>
              <w:right w:val="single" w:color="000000" w:sz="2" w:space="0"/>
            </w:tcBorders>
            <w:shd w:val="clear" w:color="auto" w:fill="auto"/>
            <w:vAlign w:val="center"/>
          </w:tcPr>
          <w:p w14:paraId="3309D86C">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305BDE1C">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C5C245">
            <w:pPr>
              <w:pStyle w:val="13"/>
              <w:kinsoku/>
              <w:topLinePunct/>
              <w:autoSpaceDE/>
              <w:spacing w:beforeAutospacing="0" w:afterAutospacing="0"/>
              <w:jc w:val="center"/>
              <w:rPr>
                <w:color w:val="auto"/>
                <w:lang w:val="zh-CN"/>
              </w:rPr>
            </w:pPr>
            <w:r>
              <w:rPr>
                <w:rFonts w:hint="eastAsia" w:ascii="宋体" w:hAnsi="宋体" w:eastAsia="宋体" w:cs="宋体"/>
                <w:spacing w:val="8"/>
                <w:lang w:bidi="ar"/>
              </w:rPr>
              <w:t>投标函签字盖章</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B4D959">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有法定代表人或其委托代理人签字并加盖单位章</w:t>
            </w:r>
          </w:p>
        </w:tc>
      </w:tr>
      <w:tr w14:paraId="6839A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3" w:hRule="atLeast"/>
          <w:jc w:val="center"/>
        </w:trPr>
        <w:tc>
          <w:tcPr>
            <w:tcW w:w="924" w:type="dxa"/>
            <w:vMerge w:val="continue"/>
            <w:tcBorders>
              <w:left w:val="single" w:color="000000" w:sz="2" w:space="0"/>
              <w:right w:val="single" w:color="000000" w:sz="2" w:space="0"/>
            </w:tcBorders>
            <w:shd w:val="clear" w:color="auto" w:fill="auto"/>
            <w:vAlign w:val="center"/>
          </w:tcPr>
          <w:p w14:paraId="64372DB9">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5FF2EF1F">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887A94">
            <w:pPr>
              <w:pStyle w:val="13"/>
              <w:kinsoku/>
              <w:topLinePunct/>
              <w:autoSpaceDE/>
              <w:spacing w:beforeAutospacing="0" w:afterAutospacing="0"/>
              <w:jc w:val="center"/>
              <w:rPr>
                <w:color w:val="auto"/>
                <w:lang w:val="zh-CN"/>
              </w:rPr>
            </w:pPr>
            <w:r>
              <w:rPr>
                <w:rFonts w:hint="eastAsia" w:ascii="宋体" w:hAnsi="宋体" w:eastAsia="宋体" w:cs="宋体"/>
                <w:spacing w:val="6"/>
                <w:lang w:bidi="ar"/>
              </w:rPr>
              <w:t>响应文件格式</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5297DE">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符合第六章“响应文件格式”的要求</w:t>
            </w:r>
          </w:p>
        </w:tc>
      </w:tr>
      <w:tr w14:paraId="4FA80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3" w:hRule="atLeast"/>
          <w:jc w:val="center"/>
        </w:trPr>
        <w:tc>
          <w:tcPr>
            <w:tcW w:w="924" w:type="dxa"/>
            <w:vMerge w:val="continue"/>
            <w:tcBorders>
              <w:left w:val="single" w:color="000000" w:sz="2" w:space="0"/>
              <w:right w:val="single" w:color="000000" w:sz="2" w:space="0"/>
            </w:tcBorders>
            <w:shd w:val="clear" w:color="auto" w:fill="auto"/>
            <w:vAlign w:val="center"/>
          </w:tcPr>
          <w:p w14:paraId="0C051F0D">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51F7C384">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E78726">
            <w:pPr>
              <w:pStyle w:val="13"/>
              <w:kinsoku/>
              <w:topLinePunct/>
              <w:autoSpaceDE/>
              <w:spacing w:beforeAutospacing="0" w:afterAutospacing="0"/>
              <w:ind w:left="113"/>
              <w:rPr>
                <w:spacing w:val="8"/>
              </w:rPr>
            </w:pPr>
            <w:r>
              <w:rPr>
                <w:rFonts w:hint="eastAsia" w:ascii="宋体" w:hAnsi="宋体" w:eastAsia="宋体" w:cs="宋体"/>
                <w:spacing w:val="8"/>
                <w:lang w:bidi="ar"/>
              </w:rPr>
              <w:t>响应内容</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4936F9">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符合磋商文件规定</w:t>
            </w:r>
          </w:p>
        </w:tc>
      </w:tr>
      <w:tr w14:paraId="1FC79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924" w:type="dxa"/>
            <w:vMerge w:val="continue"/>
            <w:tcBorders>
              <w:left w:val="single" w:color="000000" w:sz="2" w:space="0"/>
              <w:right w:val="single" w:color="000000" w:sz="2" w:space="0"/>
            </w:tcBorders>
            <w:shd w:val="clear" w:color="auto" w:fill="auto"/>
            <w:vAlign w:val="center"/>
          </w:tcPr>
          <w:p w14:paraId="443F365A">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3EDFB225">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638457">
            <w:pPr>
              <w:pStyle w:val="13"/>
              <w:kinsoku/>
              <w:topLinePunct/>
              <w:autoSpaceDE/>
              <w:spacing w:beforeAutospacing="0" w:afterAutospacing="0"/>
              <w:ind w:left="113"/>
              <w:rPr>
                <w:spacing w:val="8"/>
              </w:rPr>
            </w:pPr>
            <w:r>
              <w:rPr>
                <w:rFonts w:hint="eastAsia" w:ascii="宋体" w:hAnsi="宋体" w:eastAsia="宋体" w:cs="宋体"/>
                <w:spacing w:val="8"/>
                <w:lang w:bidi="ar"/>
              </w:rPr>
              <w:t>监理周期</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6CF822">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自监理合同签订之日起至工程竣工验收合格之日止。</w:t>
            </w:r>
          </w:p>
        </w:tc>
      </w:tr>
      <w:tr w14:paraId="1FB91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jc w:val="center"/>
        </w:trPr>
        <w:tc>
          <w:tcPr>
            <w:tcW w:w="924" w:type="dxa"/>
            <w:vMerge w:val="continue"/>
            <w:tcBorders>
              <w:left w:val="single" w:color="000000" w:sz="2" w:space="0"/>
              <w:right w:val="single" w:color="000000" w:sz="2" w:space="0"/>
            </w:tcBorders>
            <w:shd w:val="clear" w:color="auto" w:fill="auto"/>
            <w:vAlign w:val="center"/>
          </w:tcPr>
          <w:p w14:paraId="41AA5DEE">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486E262B">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A71BA6">
            <w:pPr>
              <w:pStyle w:val="13"/>
              <w:kinsoku/>
              <w:topLinePunct/>
              <w:autoSpaceDE/>
              <w:spacing w:beforeAutospacing="0" w:afterAutospacing="0"/>
              <w:ind w:left="113"/>
              <w:rPr>
                <w:spacing w:val="8"/>
              </w:rPr>
            </w:pPr>
            <w:r>
              <w:rPr>
                <w:rFonts w:hint="eastAsia" w:ascii="宋体" w:hAnsi="宋体" w:eastAsia="宋体" w:cs="宋体"/>
                <w:spacing w:val="8"/>
                <w:lang w:bidi="ar"/>
              </w:rPr>
              <w:t>质量标准</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99815D">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符合国家现行标准《建设工程监理规范》要求。</w:t>
            </w:r>
          </w:p>
        </w:tc>
      </w:tr>
      <w:tr w14:paraId="7D9C8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jc w:val="center"/>
        </w:trPr>
        <w:tc>
          <w:tcPr>
            <w:tcW w:w="924" w:type="dxa"/>
            <w:vMerge w:val="continue"/>
            <w:tcBorders>
              <w:left w:val="single" w:color="000000" w:sz="2" w:space="0"/>
              <w:right w:val="single" w:color="000000" w:sz="2" w:space="0"/>
            </w:tcBorders>
            <w:shd w:val="clear" w:color="auto" w:fill="auto"/>
            <w:vAlign w:val="center"/>
          </w:tcPr>
          <w:p w14:paraId="430E4259">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13A4805F">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1045CF">
            <w:pPr>
              <w:pStyle w:val="13"/>
              <w:kinsoku/>
              <w:topLinePunct/>
              <w:autoSpaceDE/>
              <w:spacing w:beforeAutospacing="0" w:afterAutospacing="0"/>
              <w:ind w:left="113" w:leftChars="0"/>
              <w:rPr>
                <w:rFonts w:hint="eastAsia" w:ascii="??" w:hAnsi="??" w:eastAsia="Arial" w:cs="Times New Roman"/>
                <w:color w:val="000000"/>
                <w:spacing w:val="8"/>
                <w:kern w:val="0"/>
                <w:sz w:val="24"/>
                <w:szCs w:val="24"/>
                <w:lang w:val="en-US" w:eastAsia="zh-CN" w:bidi="ar-SA"/>
              </w:rPr>
            </w:pPr>
            <w:r>
              <w:rPr>
                <w:rFonts w:hint="eastAsia" w:ascii="宋体" w:hAnsi="宋体" w:eastAsia="宋体" w:cs="宋体"/>
                <w:spacing w:val="8"/>
                <w:lang w:bidi="ar"/>
              </w:rPr>
              <w:t>磋商有效期</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3962B1">
            <w:pPr>
              <w:widowControl/>
              <w:topLinePunct/>
              <w:autoSpaceDN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lang w:bidi="ar"/>
              </w:rPr>
              <w:t>投标截止之日后90天（日历天）</w:t>
            </w:r>
          </w:p>
        </w:tc>
      </w:tr>
      <w:tr w14:paraId="67A47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jc w:val="center"/>
        </w:trPr>
        <w:tc>
          <w:tcPr>
            <w:tcW w:w="924" w:type="dxa"/>
            <w:vMerge w:val="continue"/>
            <w:tcBorders>
              <w:left w:val="single" w:color="000000" w:sz="2" w:space="0"/>
              <w:right w:val="single" w:color="000000" w:sz="2" w:space="0"/>
            </w:tcBorders>
            <w:shd w:val="clear" w:color="auto" w:fill="auto"/>
            <w:vAlign w:val="center"/>
          </w:tcPr>
          <w:p w14:paraId="7CCC1AED">
            <w:pPr>
              <w:rPr>
                <w:rFonts w:ascii="Calibri" w:hAnsi="Calibri" w:cs="Times New Roman"/>
                <w:sz w:val="20"/>
                <w:szCs w:val="20"/>
              </w:rPr>
            </w:pPr>
          </w:p>
        </w:tc>
        <w:tc>
          <w:tcPr>
            <w:tcW w:w="969" w:type="dxa"/>
            <w:vMerge w:val="continue"/>
            <w:tcBorders>
              <w:left w:val="single" w:color="000000" w:sz="2" w:space="0"/>
              <w:right w:val="single" w:color="000000" w:sz="2" w:space="0"/>
            </w:tcBorders>
            <w:shd w:val="clear" w:color="auto" w:fill="auto"/>
            <w:vAlign w:val="center"/>
          </w:tcPr>
          <w:p w14:paraId="2F2B1FF8">
            <w:pPr>
              <w:rPr>
                <w:rFonts w:ascii="Calibri" w:hAnsi="Calibri" w:cs="Times New Roman"/>
                <w:sz w:val="20"/>
                <w:szCs w:val="20"/>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B9DDFF">
            <w:pPr>
              <w:pStyle w:val="13"/>
              <w:kinsoku/>
              <w:topLinePunct/>
              <w:autoSpaceDE/>
              <w:spacing w:beforeAutospacing="0" w:afterAutospacing="0"/>
              <w:ind w:left="113" w:leftChars="0"/>
              <w:rPr>
                <w:rFonts w:hint="eastAsia" w:ascii="宋体" w:hAnsi="宋体" w:eastAsia="宋体" w:cs="宋体"/>
                <w:spacing w:val="8"/>
                <w:lang w:bidi="ar"/>
              </w:rPr>
            </w:pPr>
            <w:r>
              <w:rPr>
                <w:rFonts w:hint="eastAsia" w:ascii="宋体" w:hAnsi="宋体" w:eastAsia="宋体" w:cs="宋体"/>
                <w:color w:val="000000"/>
                <w:kern w:val="0"/>
                <w:sz w:val="24"/>
                <w:lang w:bidi="ar"/>
              </w:rPr>
              <w:t>报价</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D54576">
            <w:pPr>
              <w:widowControl/>
              <w:topLinePunct/>
              <w:autoSpaceDN w:val="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有效报价且不超过采购预算或最高限价</w:t>
            </w:r>
          </w:p>
        </w:tc>
      </w:tr>
      <w:tr w14:paraId="2C0A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jc w:val="center"/>
        </w:trPr>
        <w:tc>
          <w:tcPr>
            <w:tcW w:w="924" w:type="dxa"/>
            <w:vMerge w:val="continue"/>
            <w:tcBorders>
              <w:left w:val="single" w:color="000000" w:sz="2" w:space="0"/>
              <w:bottom w:val="single" w:color="auto" w:sz="4" w:space="0"/>
              <w:right w:val="single" w:color="000000" w:sz="2" w:space="0"/>
            </w:tcBorders>
            <w:shd w:val="clear" w:color="auto" w:fill="auto"/>
            <w:vAlign w:val="center"/>
          </w:tcPr>
          <w:p w14:paraId="60C912E8">
            <w:pPr>
              <w:widowControl/>
              <w:topLinePunct/>
              <w:autoSpaceDN w:val="0"/>
              <w:adjustRightInd w:val="0"/>
              <w:snapToGrid w:val="0"/>
              <w:jc w:val="left"/>
              <w:rPr>
                <w:sz w:val="24"/>
              </w:rPr>
            </w:pPr>
          </w:p>
        </w:tc>
        <w:tc>
          <w:tcPr>
            <w:tcW w:w="969" w:type="dxa"/>
            <w:vMerge w:val="continue"/>
            <w:tcBorders>
              <w:left w:val="single" w:color="000000" w:sz="2" w:space="0"/>
              <w:bottom w:val="single" w:color="auto" w:sz="4" w:space="0"/>
              <w:right w:val="single" w:color="000000" w:sz="2" w:space="0"/>
            </w:tcBorders>
            <w:shd w:val="clear" w:color="auto" w:fill="auto"/>
            <w:vAlign w:val="center"/>
          </w:tcPr>
          <w:p w14:paraId="5A51A944">
            <w:pPr>
              <w:widowControl/>
              <w:topLinePunct/>
              <w:autoSpaceDN w:val="0"/>
              <w:adjustRightInd w:val="0"/>
              <w:snapToGrid w:val="0"/>
              <w:spacing w:line="360" w:lineRule="auto"/>
              <w:jc w:val="left"/>
              <w:rPr>
                <w:rFonts w:ascii="宋体" w:hAnsi="宋体" w:eastAsia="宋体" w:cs="宋体"/>
                <w:sz w:val="24"/>
                <w:lang w:val="zh-CN"/>
              </w:rPr>
            </w:pPr>
          </w:p>
        </w:tc>
        <w:tc>
          <w:tcPr>
            <w:tcW w:w="182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27FAF5">
            <w:pPr>
              <w:pStyle w:val="13"/>
              <w:kinsoku/>
              <w:topLinePunct/>
              <w:autoSpaceDE/>
              <w:spacing w:beforeAutospacing="0" w:afterAutospacing="0"/>
              <w:ind w:left="113"/>
              <w:rPr>
                <w:rFonts w:hint="eastAsia" w:eastAsia="宋体"/>
                <w:spacing w:val="8"/>
                <w:lang w:val="en-US" w:eastAsia="zh-CN"/>
              </w:rPr>
            </w:pPr>
            <w:r>
              <w:rPr>
                <w:rFonts w:hint="eastAsia" w:eastAsia="宋体"/>
                <w:spacing w:val="8"/>
                <w:lang w:val="en-US" w:eastAsia="zh-CN"/>
              </w:rPr>
              <w:t>其他要求</w:t>
            </w:r>
          </w:p>
        </w:tc>
        <w:tc>
          <w:tcPr>
            <w:tcW w:w="56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96A9B2">
            <w:pPr>
              <w:widowControl/>
              <w:topLinePunct/>
              <w:autoSpaceDN w:val="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招标文件要求的其他无效投标情形: 围标、串标和法律法规规定的其它无效投标条款。</w:t>
            </w:r>
          </w:p>
        </w:tc>
      </w:tr>
    </w:tbl>
    <w:p w14:paraId="0EC8CEE8">
      <w:r>
        <w:br w:type="page"/>
      </w:r>
    </w:p>
    <w:p w14:paraId="536D164C">
      <w:pPr>
        <w:pStyle w:val="13"/>
        <w:kinsoku/>
        <w:topLinePunct/>
        <w:autoSpaceDE/>
        <w:spacing w:before="186" w:beforeAutospacing="0" w:afterAutospacing="0" w:line="218" w:lineRule="auto"/>
        <w:jc w:val="center"/>
        <w:outlineLvl w:val="1"/>
        <w:rPr>
          <w:rFonts w:ascii="宋体" w:hAnsi="宋体" w:eastAsia="宋体" w:cs="宋体"/>
          <w:spacing w:val="-4"/>
          <w:sz w:val="28"/>
          <w:szCs w:val="28"/>
          <w:lang w:eastAsia="en-US" w:bidi="ar"/>
        </w:rPr>
      </w:pPr>
      <w:bookmarkStart w:id="129" w:name="_Toc200025580"/>
      <w:r>
        <w:rPr>
          <w:rFonts w:ascii="宋体" w:hAnsi="宋体" w:eastAsia="宋体" w:cs="宋体"/>
          <w:spacing w:val="-4"/>
          <w:sz w:val="28"/>
          <w:szCs w:val="28"/>
          <w:lang w:eastAsia="en-US" w:bidi="ar"/>
        </w:rPr>
        <w:t>详细评审表</w:t>
      </w:r>
      <w:bookmarkEnd w:id="129"/>
    </w:p>
    <w:tbl>
      <w:tblPr>
        <w:tblStyle w:val="15"/>
        <w:tblW w:w="9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29"/>
        <w:gridCol w:w="1130"/>
        <w:gridCol w:w="1907"/>
        <w:gridCol w:w="5709"/>
      </w:tblGrid>
      <w:tr w14:paraId="111DE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1959" w:type="dxa"/>
            <w:gridSpan w:val="2"/>
            <w:tcBorders>
              <w:top w:val="single" w:color="000000" w:sz="12" w:space="0"/>
              <w:left w:val="single" w:color="000000" w:sz="12" w:space="0"/>
              <w:bottom w:val="single" w:color="000000" w:sz="2" w:space="0"/>
              <w:right w:val="single" w:color="000000" w:sz="2" w:space="0"/>
            </w:tcBorders>
            <w:shd w:val="clear" w:color="auto" w:fill="auto"/>
          </w:tcPr>
          <w:p w14:paraId="5F304B13">
            <w:pPr>
              <w:pStyle w:val="13"/>
              <w:kinsoku/>
              <w:topLinePunct/>
              <w:autoSpaceDE/>
              <w:spacing w:before="114" w:beforeAutospacing="0" w:afterAutospacing="0" w:line="220" w:lineRule="auto"/>
              <w:ind w:left="659"/>
              <w:rPr>
                <w:color w:val="auto"/>
              </w:rPr>
            </w:pPr>
            <w:r>
              <w:rPr>
                <w:rFonts w:hint="eastAsia" w:ascii="宋体" w:hAnsi="宋体" w:eastAsia="宋体" w:cs="宋体"/>
                <w:color w:val="auto"/>
                <w:spacing w:val="7"/>
                <w:lang w:bidi="ar"/>
              </w:rPr>
              <w:t>条款号</w:t>
            </w:r>
          </w:p>
        </w:tc>
        <w:tc>
          <w:tcPr>
            <w:tcW w:w="1907" w:type="dxa"/>
            <w:tcBorders>
              <w:top w:val="single" w:color="000000" w:sz="12" w:space="0"/>
              <w:left w:val="single" w:color="000000" w:sz="2" w:space="0"/>
              <w:bottom w:val="single" w:color="000000" w:sz="2" w:space="0"/>
              <w:right w:val="single" w:color="000000" w:sz="2" w:space="0"/>
            </w:tcBorders>
            <w:shd w:val="clear" w:color="auto" w:fill="auto"/>
          </w:tcPr>
          <w:p w14:paraId="75568C80">
            <w:pPr>
              <w:pStyle w:val="13"/>
              <w:kinsoku/>
              <w:topLinePunct/>
              <w:autoSpaceDE/>
              <w:spacing w:before="114" w:beforeAutospacing="0" w:afterAutospacing="0" w:line="220" w:lineRule="auto"/>
              <w:ind w:left="534"/>
              <w:rPr>
                <w:color w:val="auto"/>
              </w:rPr>
            </w:pPr>
            <w:r>
              <w:rPr>
                <w:rFonts w:hint="eastAsia" w:ascii="宋体" w:hAnsi="宋体" w:eastAsia="宋体" w:cs="宋体"/>
                <w:color w:val="auto"/>
                <w:spacing w:val="8"/>
                <w:lang w:bidi="ar"/>
              </w:rPr>
              <w:t>条款内容</w:t>
            </w:r>
          </w:p>
        </w:tc>
        <w:tc>
          <w:tcPr>
            <w:tcW w:w="5709" w:type="dxa"/>
            <w:tcBorders>
              <w:top w:val="single" w:color="000000" w:sz="12" w:space="0"/>
              <w:left w:val="single" w:color="000000" w:sz="2" w:space="0"/>
              <w:bottom w:val="single" w:color="000000" w:sz="2" w:space="0"/>
              <w:right w:val="single" w:color="000000" w:sz="12" w:space="0"/>
            </w:tcBorders>
            <w:shd w:val="clear" w:color="auto" w:fill="auto"/>
          </w:tcPr>
          <w:p w14:paraId="0889787E">
            <w:pPr>
              <w:pStyle w:val="13"/>
              <w:kinsoku/>
              <w:topLinePunct/>
              <w:autoSpaceDE/>
              <w:spacing w:before="114" w:beforeAutospacing="0" w:afterAutospacing="0" w:line="220" w:lineRule="auto"/>
              <w:ind w:left="112"/>
              <w:rPr>
                <w:color w:val="auto"/>
              </w:rPr>
            </w:pPr>
            <w:r>
              <w:rPr>
                <w:rFonts w:hint="eastAsia" w:ascii="宋体" w:hAnsi="宋体" w:eastAsia="宋体" w:cs="宋体"/>
                <w:color w:val="auto"/>
                <w:spacing w:val="8"/>
                <w:lang w:bidi="ar"/>
              </w:rPr>
              <w:t>编列内容</w:t>
            </w:r>
          </w:p>
        </w:tc>
      </w:tr>
      <w:tr w14:paraId="3DC39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37" w:hRule="atLeast"/>
          <w:jc w:val="center"/>
        </w:trPr>
        <w:tc>
          <w:tcPr>
            <w:tcW w:w="1959" w:type="dxa"/>
            <w:gridSpan w:val="2"/>
            <w:tcBorders>
              <w:top w:val="single" w:color="000000" w:sz="2" w:space="0"/>
              <w:left w:val="single" w:color="000000" w:sz="12" w:space="0"/>
              <w:bottom w:val="single" w:color="000000" w:sz="2" w:space="0"/>
              <w:right w:val="single" w:color="000000" w:sz="2" w:space="0"/>
            </w:tcBorders>
            <w:shd w:val="clear" w:color="auto" w:fill="auto"/>
          </w:tcPr>
          <w:p w14:paraId="7F552E32">
            <w:pPr>
              <w:widowControl/>
              <w:topLinePunct/>
              <w:autoSpaceDN w:val="0"/>
              <w:adjustRightInd w:val="0"/>
              <w:snapToGrid w:val="0"/>
              <w:spacing w:line="304" w:lineRule="auto"/>
              <w:jc w:val="left"/>
              <w:rPr>
                <w:sz w:val="28"/>
                <w:szCs w:val="28"/>
              </w:rPr>
            </w:pPr>
          </w:p>
          <w:p w14:paraId="37EA9CDE">
            <w:pPr>
              <w:widowControl/>
              <w:topLinePunct/>
              <w:autoSpaceDN w:val="0"/>
              <w:adjustRightInd w:val="0"/>
              <w:snapToGrid w:val="0"/>
              <w:spacing w:line="304" w:lineRule="auto"/>
              <w:jc w:val="left"/>
              <w:rPr>
                <w:sz w:val="28"/>
                <w:szCs w:val="28"/>
              </w:rPr>
            </w:pPr>
          </w:p>
          <w:p w14:paraId="44EC9C33">
            <w:pPr>
              <w:pStyle w:val="13"/>
              <w:kinsoku/>
              <w:topLinePunct/>
              <w:autoSpaceDE/>
              <w:spacing w:before="65" w:beforeAutospacing="0" w:afterAutospacing="0" w:line="189" w:lineRule="auto"/>
              <w:ind w:left="712"/>
              <w:rPr>
                <w:color w:val="auto"/>
              </w:rPr>
            </w:pPr>
            <w:r>
              <w:rPr>
                <w:rFonts w:hint="eastAsia" w:ascii="宋体" w:hAnsi="宋体" w:eastAsia="宋体" w:cs="宋体"/>
                <w:color w:val="auto"/>
                <w:spacing w:val="2"/>
                <w:lang w:bidi="ar"/>
              </w:rPr>
              <w:t>2.2.1</w:t>
            </w:r>
          </w:p>
        </w:tc>
        <w:tc>
          <w:tcPr>
            <w:tcW w:w="1907" w:type="dxa"/>
            <w:tcBorders>
              <w:top w:val="single" w:color="000000" w:sz="2" w:space="0"/>
              <w:left w:val="single" w:color="000000" w:sz="2" w:space="0"/>
              <w:bottom w:val="single" w:color="000000" w:sz="2" w:space="0"/>
              <w:right w:val="single" w:color="000000" w:sz="2" w:space="0"/>
            </w:tcBorders>
            <w:shd w:val="clear" w:color="auto" w:fill="auto"/>
          </w:tcPr>
          <w:p w14:paraId="5D8DB20E">
            <w:pPr>
              <w:widowControl/>
              <w:topLinePunct/>
              <w:autoSpaceDN w:val="0"/>
              <w:adjustRightInd w:val="0"/>
              <w:snapToGrid w:val="0"/>
              <w:spacing w:line="398" w:lineRule="auto"/>
              <w:jc w:val="left"/>
              <w:rPr>
                <w:sz w:val="28"/>
                <w:szCs w:val="28"/>
              </w:rPr>
            </w:pPr>
          </w:p>
          <w:p w14:paraId="262CE6CA">
            <w:pPr>
              <w:pStyle w:val="13"/>
              <w:kinsoku/>
              <w:topLinePunct/>
              <w:autoSpaceDE/>
              <w:spacing w:before="65" w:beforeAutospacing="0" w:afterAutospacing="0" w:line="228" w:lineRule="auto"/>
              <w:ind w:left="537"/>
              <w:rPr>
                <w:color w:val="auto"/>
              </w:rPr>
            </w:pPr>
            <w:r>
              <w:rPr>
                <w:rFonts w:hint="eastAsia" w:ascii="宋体" w:hAnsi="宋体" w:eastAsia="宋体" w:cs="宋体"/>
                <w:color w:val="auto"/>
                <w:spacing w:val="6"/>
                <w:lang w:bidi="ar"/>
              </w:rPr>
              <w:t>分值构成</w:t>
            </w:r>
          </w:p>
          <w:p w14:paraId="45538C46">
            <w:pPr>
              <w:pStyle w:val="13"/>
              <w:kinsoku/>
              <w:topLinePunct/>
              <w:autoSpaceDE/>
              <w:spacing w:before="113" w:beforeAutospacing="0" w:afterAutospacing="0" w:line="228" w:lineRule="auto"/>
              <w:ind w:left="230"/>
              <w:rPr>
                <w:color w:val="auto"/>
              </w:rPr>
            </w:pPr>
            <w:r>
              <w:rPr>
                <w:rFonts w:hint="eastAsia" w:ascii="宋体" w:hAnsi="宋体" w:eastAsia="宋体" w:cs="宋体"/>
                <w:color w:val="auto"/>
                <w:lang w:bidi="ar"/>
              </w:rPr>
              <w:t>（总分100分）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tcPr>
          <w:p w14:paraId="465B55DC">
            <w:pPr>
              <w:pStyle w:val="13"/>
              <w:kinsoku/>
              <w:topLinePunct/>
              <w:autoSpaceDE/>
              <w:spacing w:before="107" w:beforeAutospacing="0" w:afterAutospacing="0" w:line="228" w:lineRule="auto"/>
              <w:ind w:left="119"/>
              <w:rPr>
                <w:color w:val="auto"/>
              </w:rPr>
            </w:pPr>
            <w:r>
              <w:rPr>
                <w:rFonts w:hint="eastAsia" w:ascii="宋体" w:hAnsi="宋体" w:eastAsia="宋体" w:cs="宋体"/>
                <w:color w:val="auto"/>
                <w:spacing w:val="6"/>
                <w:lang w:bidi="ar"/>
              </w:rPr>
              <w:t>资信业绩部分：20分</w:t>
            </w:r>
          </w:p>
          <w:p w14:paraId="5328884C">
            <w:pPr>
              <w:pStyle w:val="13"/>
              <w:kinsoku/>
              <w:topLinePunct/>
              <w:autoSpaceDE/>
              <w:spacing w:before="113" w:beforeAutospacing="0" w:afterAutospacing="0" w:line="228" w:lineRule="auto"/>
              <w:ind w:left="111"/>
              <w:rPr>
                <w:color w:val="auto"/>
              </w:rPr>
            </w:pPr>
            <w:r>
              <w:rPr>
                <w:rFonts w:hint="eastAsia" w:ascii="宋体" w:hAnsi="宋体" w:eastAsia="宋体" w:cs="宋体"/>
                <w:color w:val="auto"/>
                <w:spacing w:val="7"/>
                <w:lang w:bidi="ar"/>
              </w:rPr>
              <w:t>监理大纲部分：60分</w:t>
            </w:r>
          </w:p>
          <w:p w14:paraId="2C4554EE">
            <w:pPr>
              <w:pStyle w:val="13"/>
              <w:kinsoku/>
              <w:topLinePunct/>
              <w:autoSpaceDE/>
              <w:spacing w:before="113" w:beforeAutospacing="0" w:afterAutospacing="0" w:line="225" w:lineRule="auto"/>
              <w:ind w:left="110"/>
              <w:rPr>
                <w:color w:val="auto"/>
              </w:rPr>
            </w:pPr>
            <w:r>
              <w:rPr>
                <w:rFonts w:hint="eastAsia" w:ascii="宋体" w:hAnsi="宋体" w:eastAsia="宋体" w:cs="宋体"/>
                <w:color w:val="auto"/>
                <w:spacing w:val="6"/>
                <w:lang w:bidi="ar"/>
              </w:rPr>
              <w:t>磋商报价：15分</w:t>
            </w:r>
          </w:p>
          <w:p w14:paraId="3274793C">
            <w:pPr>
              <w:pStyle w:val="13"/>
              <w:kinsoku/>
              <w:topLinePunct/>
              <w:autoSpaceDE/>
              <w:spacing w:before="114" w:beforeAutospacing="0" w:afterAutospacing="0" w:line="220" w:lineRule="auto"/>
              <w:ind w:left="111"/>
              <w:rPr>
                <w:color w:val="auto"/>
              </w:rPr>
            </w:pPr>
            <w:r>
              <w:rPr>
                <w:rFonts w:hint="eastAsia" w:ascii="宋体" w:hAnsi="宋体" w:eastAsia="宋体" w:cs="宋体"/>
                <w:color w:val="auto"/>
                <w:spacing w:val="7"/>
                <w:lang w:bidi="ar"/>
              </w:rPr>
              <w:t>其他评分因素：5分</w:t>
            </w:r>
          </w:p>
        </w:tc>
      </w:tr>
      <w:tr w14:paraId="1933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9" w:hRule="atLeast"/>
          <w:jc w:val="center"/>
        </w:trPr>
        <w:tc>
          <w:tcPr>
            <w:tcW w:w="1959" w:type="dxa"/>
            <w:gridSpan w:val="2"/>
            <w:tcBorders>
              <w:top w:val="single" w:color="000000" w:sz="2" w:space="0"/>
              <w:left w:val="single" w:color="000000" w:sz="12" w:space="0"/>
              <w:bottom w:val="single" w:color="000000" w:sz="2" w:space="0"/>
              <w:right w:val="single" w:color="000000" w:sz="2" w:space="0"/>
            </w:tcBorders>
            <w:shd w:val="clear" w:color="auto" w:fill="auto"/>
          </w:tcPr>
          <w:p w14:paraId="5DB27170">
            <w:pPr>
              <w:pStyle w:val="13"/>
              <w:kinsoku/>
              <w:topLinePunct/>
              <w:autoSpaceDE/>
              <w:spacing w:before="113" w:beforeAutospacing="0" w:afterAutospacing="0" w:line="216" w:lineRule="auto"/>
              <w:ind w:left="659"/>
              <w:rPr>
                <w:color w:val="auto"/>
              </w:rPr>
            </w:pPr>
            <w:r>
              <w:rPr>
                <w:rFonts w:hint="eastAsia" w:ascii="宋体" w:hAnsi="宋体" w:eastAsia="宋体" w:cs="宋体"/>
                <w:color w:val="auto"/>
                <w:spacing w:val="7"/>
                <w:lang w:bidi="ar"/>
              </w:rPr>
              <w:t>条款号</w:t>
            </w:r>
          </w:p>
        </w:tc>
        <w:tc>
          <w:tcPr>
            <w:tcW w:w="1907" w:type="dxa"/>
            <w:tcBorders>
              <w:top w:val="single" w:color="000000" w:sz="2" w:space="0"/>
              <w:left w:val="single" w:color="000000" w:sz="2" w:space="0"/>
              <w:bottom w:val="single" w:color="000000" w:sz="2" w:space="0"/>
              <w:right w:val="single" w:color="000000" w:sz="2" w:space="0"/>
            </w:tcBorders>
            <w:shd w:val="clear" w:color="auto" w:fill="auto"/>
          </w:tcPr>
          <w:p w14:paraId="7CEA2580">
            <w:pPr>
              <w:pStyle w:val="13"/>
              <w:kinsoku/>
              <w:topLinePunct/>
              <w:autoSpaceDE/>
              <w:spacing w:before="113" w:beforeAutospacing="0" w:afterAutospacing="0" w:line="216" w:lineRule="auto"/>
              <w:ind w:left="531"/>
              <w:rPr>
                <w:color w:val="auto"/>
              </w:rPr>
            </w:pPr>
            <w:r>
              <w:rPr>
                <w:rFonts w:hint="eastAsia" w:ascii="宋体" w:hAnsi="宋体" w:eastAsia="宋体" w:cs="宋体"/>
                <w:color w:val="auto"/>
                <w:spacing w:val="8"/>
                <w:lang w:bidi="ar"/>
              </w:rPr>
              <w:t>评审因素</w:t>
            </w:r>
          </w:p>
        </w:tc>
        <w:tc>
          <w:tcPr>
            <w:tcW w:w="5709" w:type="dxa"/>
            <w:tcBorders>
              <w:top w:val="single" w:color="000000" w:sz="2" w:space="0"/>
              <w:left w:val="single" w:color="000000" w:sz="2" w:space="0"/>
              <w:bottom w:val="single" w:color="000000" w:sz="2" w:space="0"/>
              <w:right w:val="single" w:color="000000" w:sz="12" w:space="0"/>
            </w:tcBorders>
            <w:shd w:val="clear" w:color="auto" w:fill="auto"/>
          </w:tcPr>
          <w:p w14:paraId="657A0BAC">
            <w:pPr>
              <w:pStyle w:val="13"/>
              <w:kinsoku/>
              <w:topLinePunct/>
              <w:autoSpaceDE/>
              <w:spacing w:before="113" w:beforeAutospacing="0" w:afterAutospacing="0" w:line="216" w:lineRule="auto"/>
              <w:ind w:left="2553"/>
              <w:rPr>
                <w:color w:val="auto"/>
              </w:rPr>
            </w:pPr>
            <w:r>
              <w:rPr>
                <w:rFonts w:hint="eastAsia" w:ascii="宋体" w:hAnsi="宋体" w:eastAsia="宋体" w:cs="宋体"/>
                <w:color w:val="auto"/>
                <w:spacing w:val="8"/>
                <w:lang w:bidi="ar"/>
              </w:rPr>
              <w:t>评审标准</w:t>
            </w:r>
          </w:p>
        </w:tc>
      </w:tr>
      <w:tr w14:paraId="3400F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7" w:hRule="atLeast"/>
          <w:jc w:val="center"/>
        </w:trPr>
        <w:tc>
          <w:tcPr>
            <w:tcW w:w="829" w:type="dxa"/>
            <w:vMerge w:val="restart"/>
            <w:tcBorders>
              <w:top w:val="single" w:color="000000" w:sz="2" w:space="0"/>
              <w:left w:val="single" w:color="000000" w:sz="12" w:space="0"/>
              <w:bottom w:val="single" w:color="000000" w:sz="2" w:space="0"/>
              <w:right w:val="single" w:color="000000" w:sz="2" w:space="0"/>
            </w:tcBorders>
            <w:shd w:val="clear" w:color="auto" w:fill="auto"/>
            <w:vAlign w:val="center"/>
          </w:tcPr>
          <w:p w14:paraId="46224D2D">
            <w:pPr>
              <w:pStyle w:val="13"/>
              <w:kinsoku/>
              <w:topLinePunct/>
              <w:autoSpaceDE/>
              <w:spacing w:beforeAutospacing="0" w:afterAutospacing="0"/>
              <w:jc w:val="center"/>
              <w:rPr>
                <w:color w:val="auto"/>
              </w:rPr>
            </w:pPr>
            <w:r>
              <w:rPr>
                <w:rFonts w:hint="eastAsia" w:ascii="宋体" w:hAnsi="宋体" w:eastAsia="宋体" w:cs="宋体"/>
                <w:color w:val="auto"/>
                <w:spacing w:val="2"/>
                <w:position w:val="12"/>
                <w:lang w:bidi="ar"/>
              </w:rPr>
              <w:t>2.2.2</w:t>
            </w:r>
          </w:p>
          <w:p w14:paraId="7B3C97C5">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（1）</w:t>
            </w:r>
          </w:p>
        </w:tc>
        <w:tc>
          <w:tcPr>
            <w:tcW w:w="113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1EBB66F8">
            <w:pPr>
              <w:pStyle w:val="13"/>
              <w:kinsoku/>
              <w:topLinePunct/>
              <w:autoSpaceDE/>
              <w:spacing w:beforeAutospacing="0" w:afterAutospacing="0"/>
              <w:jc w:val="center"/>
              <w:rPr>
                <w:color w:val="auto"/>
                <w:spacing w:val="27"/>
              </w:rPr>
            </w:pPr>
            <w:r>
              <w:rPr>
                <w:rFonts w:hint="eastAsia" w:ascii="宋体" w:hAnsi="宋体" w:eastAsia="宋体" w:cs="宋体"/>
                <w:color w:val="auto"/>
                <w:spacing w:val="24"/>
                <w:lang w:bidi="ar"/>
              </w:rPr>
              <w:t>资信业绩</w:t>
            </w:r>
            <w:r>
              <w:rPr>
                <w:rFonts w:hint="eastAsia" w:ascii="宋体" w:hAnsi="宋体" w:eastAsia="宋体" w:cs="宋体"/>
                <w:color w:val="auto"/>
                <w:spacing w:val="27"/>
                <w:lang w:bidi="ar"/>
              </w:rPr>
              <w:t>评分标准</w:t>
            </w:r>
          </w:p>
          <w:p w14:paraId="6731E0E7">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w:t>
            </w:r>
            <w:r>
              <w:rPr>
                <w:rFonts w:ascii="Times New Roman" w:hAnsi="Times New Roman" w:eastAsia="宋体"/>
                <w:color w:val="auto"/>
                <w:spacing w:val="2"/>
                <w:lang w:bidi="ar"/>
              </w:rPr>
              <w:t>20</w:t>
            </w:r>
            <w:r>
              <w:rPr>
                <w:rFonts w:hint="eastAsia" w:ascii="宋体" w:hAnsi="宋体" w:eastAsia="宋体" w:cs="宋体"/>
                <w:color w:val="auto"/>
                <w:spacing w:val="2"/>
                <w:lang w:bidi="ar"/>
              </w:rPr>
              <w:t>分）</w:t>
            </w: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81E21B">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类似项目业绩</w:t>
            </w:r>
          </w:p>
          <w:p w14:paraId="2576E995">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（6分）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5C80230B">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供应商近三年（2022年1月1日至今）具有与本项目相类似的项目业绩，每有一项得2分，满分6分。</w:t>
            </w:r>
          </w:p>
        </w:tc>
      </w:tr>
      <w:tr w14:paraId="233D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99"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12AE73D1">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101580F">
            <w:pPr>
              <w:rPr>
                <w:rFonts w:ascii="Calibri" w:hAnsi="Calibri" w:cs="Times New Roman"/>
                <w:sz w:val="20"/>
                <w:szCs w:val="20"/>
              </w:rPr>
            </w:pPr>
          </w:p>
        </w:tc>
        <w:tc>
          <w:tcPr>
            <w:tcW w:w="1907" w:type="dxa"/>
            <w:tcBorders>
              <w:top w:val="single" w:color="000000" w:sz="2" w:space="0"/>
              <w:left w:val="single" w:color="000000" w:sz="2" w:space="0"/>
              <w:bottom w:val="single" w:color="auto" w:sz="4" w:space="0"/>
              <w:right w:val="single" w:color="000000" w:sz="2" w:space="0"/>
            </w:tcBorders>
            <w:shd w:val="clear" w:color="auto" w:fill="auto"/>
            <w:vAlign w:val="center"/>
          </w:tcPr>
          <w:p w14:paraId="5E13DE9C">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其他人员配备</w:t>
            </w:r>
          </w:p>
          <w:p w14:paraId="4498FA50">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（5分）</w:t>
            </w:r>
          </w:p>
        </w:tc>
        <w:tc>
          <w:tcPr>
            <w:tcW w:w="5709" w:type="dxa"/>
            <w:tcBorders>
              <w:top w:val="single" w:color="000000" w:sz="2" w:space="0"/>
              <w:left w:val="single" w:color="000000" w:sz="2" w:space="0"/>
              <w:bottom w:val="single" w:color="auto" w:sz="4" w:space="0"/>
              <w:right w:val="single" w:color="000000" w:sz="12" w:space="0"/>
            </w:tcBorders>
            <w:shd w:val="clear" w:color="auto" w:fill="auto"/>
            <w:vAlign w:val="center"/>
          </w:tcPr>
          <w:p w14:paraId="180C87E7">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其他主要人员配备齐全，满足监理要求，对监理人员配备情况进行比较，配备合理得5分，基本合理得4分，一般得2分。否则不得分。附与其相对应的岗位证书或资格证书或职称证书，证书扫描件加盖供应商单位公章。</w:t>
            </w:r>
          </w:p>
        </w:tc>
      </w:tr>
      <w:tr w14:paraId="6B193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62385D4E">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D10E9CC">
            <w:pPr>
              <w:rPr>
                <w:rFonts w:ascii="Calibri" w:hAnsi="Calibri" w:cs="Times New Roman"/>
                <w:sz w:val="20"/>
                <w:szCs w:val="20"/>
              </w:rPr>
            </w:pPr>
          </w:p>
        </w:tc>
        <w:tc>
          <w:tcPr>
            <w:tcW w:w="1907" w:type="dxa"/>
            <w:tcBorders>
              <w:top w:val="single" w:color="auto" w:sz="4" w:space="0"/>
              <w:left w:val="single" w:color="000000" w:sz="2" w:space="0"/>
              <w:bottom w:val="single" w:color="000000" w:sz="2" w:space="0"/>
              <w:right w:val="single" w:color="000000" w:sz="2" w:space="0"/>
            </w:tcBorders>
            <w:shd w:val="clear" w:color="auto" w:fill="auto"/>
            <w:vAlign w:val="center"/>
          </w:tcPr>
          <w:p w14:paraId="010DDE73">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总监理工程师业绩</w:t>
            </w:r>
          </w:p>
          <w:p w14:paraId="3F0C8EF8">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（4分）</w:t>
            </w:r>
          </w:p>
        </w:tc>
        <w:tc>
          <w:tcPr>
            <w:tcW w:w="5709" w:type="dxa"/>
            <w:tcBorders>
              <w:top w:val="single" w:color="auto" w:sz="4" w:space="0"/>
              <w:left w:val="single" w:color="000000" w:sz="2" w:space="0"/>
              <w:bottom w:val="single" w:color="000000" w:sz="2" w:space="0"/>
              <w:right w:val="single" w:color="000000" w:sz="12" w:space="0"/>
            </w:tcBorders>
            <w:shd w:val="clear" w:color="auto" w:fill="auto"/>
            <w:vAlign w:val="center"/>
          </w:tcPr>
          <w:p w14:paraId="188A4BBC">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总监理工程师在近三年(2022年1月1日至今)具有与本项目相类似的项目业绩，每有一项得2分，最高得4分，无不得分。响应文件内附中标通知书或合同协议书扫描件加盖供应商单位公章。</w:t>
            </w:r>
          </w:p>
        </w:tc>
      </w:tr>
      <w:tr w14:paraId="171B8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00"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48DEFD17">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0B2CB0A">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AEC20B">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拟投入的试验检测仪器设备</w:t>
            </w:r>
          </w:p>
          <w:p w14:paraId="559E90B5">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（5分）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0FF8BBC8">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拟投入的试验检测仪器设备配备齐全，满足监理要求，提供相关设备证明，对试验检测仪器设备配备情况进行比较，配备合理得5分，基本合理得4分，一般得2分，无不得分。响应文件内附试验检测仪器设备相关证明材料扫描件加盖供应商公章。</w:t>
            </w:r>
          </w:p>
        </w:tc>
      </w:tr>
      <w:tr w14:paraId="3AD5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restart"/>
            <w:tcBorders>
              <w:top w:val="single" w:color="000000" w:sz="2" w:space="0"/>
              <w:left w:val="single" w:color="000000" w:sz="12" w:space="0"/>
              <w:bottom w:val="single" w:color="000000" w:sz="2" w:space="0"/>
              <w:right w:val="single" w:color="000000" w:sz="2" w:space="0"/>
            </w:tcBorders>
            <w:shd w:val="clear" w:color="auto" w:fill="auto"/>
            <w:vAlign w:val="center"/>
          </w:tcPr>
          <w:p w14:paraId="5B282231">
            <w:pPr>
              <w:pStyle w:val="13"/>
              <w:kinsoku/>
              <w:topLinePunct/>
              <w:autoSpaceDE/>
              <w:spacing w:beforeAutospacing="0" w:afterAutospacing="0"/>
              <w:jc w:val="center"/>
              <w:rPr>
                <w:color w:val="auto"/>
              </w:rPr>
            </w:pPr>
            <w:r>
              <w:rPr>
                <w:rFonts w:hint="eastAsia" w:ascii="宋体" w:hAnsi="宋体" w:eastAsia="宋体" w:cs="宋体"/>
                <w:color w:val="auto"/>
                <w:spacing w:val="2"/>
                <w:position w:val="12"/>
                <w:lang w:bidi="ar"/>
              </w:rPr>
              <w:t>2.2.3</w:t>
            </w:r>
          </w:p>
          <w:p w14:paraId="65C0CCB4">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（2）</w:t>
            </w:r>
          </w:p>
        </w:tc>
        <w:tc>
          <w:tcPr>
            <w:tcW w:w="113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52783593">
            <w:pPr>
              <w:pStyle w:val="13"/>
              <w:kinsoku/>
              <w:topLinePunct/>
              <w:autoSpaceDE/>
              <w:spacing w:beforeAutospacing="0" w:afterAutospacing="0"/>
              <w:jc w:val="center"/>
              <w:rPr>
                <w:color w:val="auto"/>
                <w:spacing w:val="7"/>
              </w:rPr>
            </w:pPr>
            <w:r>
              <w:rPr>
                <w:rFonts w:hint="eastAsia" w:ascii="宋体" w:hAnsi="宋体" w:eastAsia="宋体" w:cs="宋体"/>
                <w:color w:val="auto"/>
                <w:spacing w:val="7"/>
                <w:lang w:bidi="ar"/>
              </w:rPr>
              <w:t>监理大纲评分标准</w:t>
            </w:r>
          </w:p>
          <w:p w14:paraId="75D1498D">
            <w:pPr>
              <w:pStyle w:val="13"/>
              <w:kinsoku/>
              <w:topLinePunct/>
              <w:autoSpaceDE/>
              <w:spacing w:beforeAutospacing="0" w:afterAutospacing="0"/>
              <w:jc w:val="center"/>
              <w:rPr>
                <w:color w:val="auto"/>
              </w:rPr>
            </w:pPr>
            <w:r>
              <w:rPr>
                <w:rFonts w:hint="eastAsia" w:ascii="宋体" w:hAnsi="宋体" w:eastAsia="宋体" w:cs="宋体"/>
                <w:color w:val="auto"/>
                <w:lang w:bidi="ar"/>
              </w:rPr>
              <w:t>（60分）</w:t>
            </w: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7FA384">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监理范围、监理理内容</w:t>
            </w:r>
          </w:p>
          <w:p w14:paraId="09452A52">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（3分）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7F95045D">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监理范围明晰；监理内容阐述内容完整、合理、重点突出，符合磋商文件要求。合理得3分，基本合理得2分，一般得1分，否则不得分。</w:t>
            </w:r>
          </w:p>
        </w:tc>
      </w:tr>
      <w:tr w14:paraId="4630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414C5AF3">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37E5F5B">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917B4D">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监理依据、监理工作目标</w:t>
            </w:r>
          </w:p>
          <w:p w14:paraId="601678EE">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（5分）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430B7082">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监理依据、监理工作目标进行比较，内容完整、合理、可行；合理得5分，基本合理得3分，一般得1分，否则不得分。</w:t>
            </w:r>
          </w:p>
        </w:tc>
      </w:tr>
      <w:tr w14:paraId="3C08A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103EE2D0">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D43E349">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AFB08F">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监理机构设置和岗位职责</w:t>
            </w:r>
          </w:p>
          <w:p w14:paraId="2C512FE2">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（5分）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7B2E286E">
            <w:pPr>
              <w:pStyle w:val="13"/>
              <w:kinsoku/>
              <w:topLinePunct/>
              <w:autoSpaceDE/>
              <w:spacing w:beforeAutospacing="0" w:afterAutospacing="0"/>
              <w:ind w:right="3"/>
              <w:rPr>
                <w:color w:val="auto"/>
                <w:spacing w:val="6"/>
              </w:rPr>
            </w:pPr>
            <w:r>
              <w:rPr>
                <w:rFonts w:hint="eastAsia" w:ascii="宋体" w:hAnsi="宋体" w:eastAsia="宋体" w:cs="宋体"/>
                <w:color w:val="auto"/>
                <w:spacing w:val="6"/>
                <w:lang w:bidi="ar"/>
              </w:rPr>
              <w:t>监理机构设置和岗位职责进行比较，内容完整、合理、可行；合理得5分，基本合理得3分，一般得1分，否则不得分。</w:t>
            </w:r>
          </w:p>
        </w:tc>
      </w:tr>
      <w:tr w14:paraId="4F7C1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5E82EB6D">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25AD968">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FB81A4">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监理工作程序、方法和制度</w:t>
            </w:r>
          </w:p>
          <w:p w14:paraId="5A64BE97">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（5分）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4010D3F4">
            <w:pPr>
              <w:pStyle w:val="13"/>
              <w:kinsoku/>
              <w:topLinePunct/>
              <w:autoSpaceDE/>
              <w:spacing w:beforeAutospacing="0" w:afterAutospacing="0"/>
              <w:ind w:right="3"/>
              <w:rPr>
                <w:color w:val="auto"/>
              </w:rPr>
            </w:pPr>
            <w:r>
              <w:rPr>
                <w:rFonts w:hint="eastAsia" w:ascii="宋体" w:hAnsi="宋体" w:eastAsia="宋体" w:cs="宋体"/>
                <w:color w:val="auto"/>
                <w:spacing w:val="6"/>
                <w:lang w:bidi="ar"/>
              </w:rPr>
              <w:t>监理工作程序、方法和制度进行比较，内容完整、合理、可行；</w:t>
            </w:r>
            <w:r>
              <w:rPr>
                <w:rFonts w:hint="eastAsia" w:ascii="宋体" w:hAnsi="宋体" w:eastAsia="宋体" w:cs="宋体"/>
                <w:color w:val="auto"/>
                <w:spacing w:val="8"/>
                <w:lang w:bidi="ar"/>
              </w:rPr>
              <w:t>合理得5分，基本合理得3分，一般得1分，否则不得分。</w:t>
            </w:r>
          </w:p>
        </w:tc>
      </w:tr>
      <w:tr w14:paraId="15F77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08A00E3C">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A00DF47">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2EEB6A">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质量控制措施</w:t>
            </w:r>
          </w:p>
          <w:p w14:paraId="21055D71">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（6分）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6F1B838F">
            <w:pPr>
              <w:pStyle w:val="25"/>
              <w:widowControl w:val="0"/>
              <w:kinsoku/>
              <w:topLinePunct/>
              <w:autoSpaceDE/>
              <w:adjustRightInd/>
              <w:snapToGrid/>
              <w:ind w:left="20" w:right="-44"/>
              <w:rPr>
                <w:rFonts w:hint="default"/>
                <w:color w:val="auto"/>
                <w:spacing w:val="8"/>
                <w:sz w:val="24"/>
                <w:szCs w:val="24"/>
                <w:lang w:eastAsia="en-US"/>
              </w:rPr>
            </w:pPr>
            <w:r>
              <w:rPr>
                <w:color w:val="auto"/>
                <w:spacing w:val="8"/>
                <w:sz w:val="24"/>
                <w:szCs w:val="24"/>
                <w:lang w:bidi="ar"/>
              </w:rPr>
              <w:t>质量控制内容重点部位齐全、施工阶段质量控制的程序、模式、方法手段科学合理得6分，基本合理得4分，一般得2分，否则不得分。</w:t>
            </w:r>
          </w:p>
        </w:tc>
      </w:tr>
      <w:tr w14:paraId="7283A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7CE94811">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78B2C78">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1B5714">
            <w:pPr>
              <w:pStyle w:val="13"/>
              <w:kinsoku/>
              <w:topLinePunct/>
              <w:autoSpaceDE/>
              <w:spacing w:beforeAutospacing="0" w:afterAutospacing="0"/>
              <w:ind w:right="16"/>
              <w:jc w:val="center"/>
              <w:rPr>
                <w:color w:val="auto"/>
                <w:spacing w:val="-3"/>
              </w:rPr>
            </w:pPr>
            <w:r>
              <w:rPr>
                <w:rFonts w:hint="eastAsia" w:ascii="宋体" w:hAnsi="宋体" w:eastAsia="宋体" w:cs="宋体"/>
                <w:color w:val="auto"/>
                <w:spacing w:val="-3"/>
                <w:lang w:bidi="ar"/>
              </w:rPr>
              <w:t>进度控制措施</w:t>
            </w:r>
          </w:p>
          <w:p w14:paraId="1CDE844E">
            <w:pPr>
              <w:pStyle w:val="13"/>
              <w:kinsoku/>
              <w:topLinePunct/>
              <w:autoSpaceDE/>
              <w:spacing w:beforeAutospacing="0" w:afterAutospacing="0"/>
              <w:ind w:right="16"/>
              <w:jc w:val="center"/>
              <w:rPr>
                <w:color w:val="auto"/>
                <w:spacing w:val="3"/>
              </w:rPr>
            </w:pPr>
            <w:r>
              <w:rPr>
                <w:rFonts w:hint="eastAsia" w:ascii="宋体" w:hAnsi="宋体" w:eastAsia="宋体" w:cs="宋体"/>
                <w:color w:val="auto"/>
                <w:spacing w:val="-3"/>
                <w:lang w:bidi="ar"/>
              </w:rPr>
              <w:t>（3分）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1AB278AD">
            <w:pPr>
              <w:pStyle w:val="25"/>
              <w:widowControl w:val="0"/>
              <w:kinsoku/>
              <w:topLinePunct/>
              <w:autoSpaceDE/>
              <w:adjustRightInd/>
              <w:snapToGrid/>
              <w:ind w:left="20" w:right="-44"/>
              <w:rPr>
                <w:rFonts w:hint="default"/>
                <w:color w:val="auto"/>
                <w:spacing w:val="8"/>
                <w:sz w:val="24"/>
                <w:szCs w:val="24"/>
                <w:lang w:eastAsia="en-US"/>
              </w:rPr>
            </w:pPr>
            <w:r>
              <w:rPr>
                <w:color w:val="auto"/>
                <w:spacing w:val="8"/>
                <w:sz w:val="24"/>
                <w:szCs w:val="24"/>
                <w:lang w:bidi="ar"/>
              </w:rPr>
              <w:t>结合工作实际，提出合理施工进度计划，进度控制方法和程序，进度措施得力合理得3分，基本合理得2分，一般得1分，否则不得分。</w:t>
            </w:r>
          </w:p>
        </w:tc>
      </w:tr>
      <w:tr w14:paraId="795C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47CE4ED4">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1557CA7">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EDEFBB">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投资控制（3分）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2D949E01">
            <w:pPr>
              <w:pStyle w:val="25"/>
              <w:widowControl w:val="0"/>
              <w:kinsoku/>
              <w:topLinePunct/>
              <w:autoSpaceDE/>
              <w:adjustRightInd/>
              <w:snapToGrid/>
              <w:ind w:left="20"/>
              <w:rPr>
                <w:rFonts w:hint="default"/>
                <w:color w:val="auto"/>
                <w:spacing w:val="8"/>
                <w:sz w:val="24"/>
                <w:szCs w:val="24"/>
                <w:lang w:eastAsia="en-US"/>
              </w:rPr>
            </w:pPr>
            <w:r>
              <w:rPr>
                <w:color w:val="auto"/>
                <w:spacing w:val="8"/>
                <w:sz w:val="24"/>
                <w:szCs w:val="24"/>
                <w:lang w:bidi="ar"/>
              </w:rPr>
              <w:t>投资控制方法和程序正确，投资控制得力，措施齐全3分，基本齐全得2分，一般得1分，否则不得分。</w:t>
            </w:r>
          </w:p>
        </w:tc>
      </w:tr>
      <w:tr w14:paraId="62120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31358F9E">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823F326">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97A611">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施工安全和环境保护现场监理制度（8分）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3CE41F8C">
            <w:pPr>
              <w:pStyle w:val="25"/>
              <w:widowControl w:val="0"/>
              <w:kinsoku/>
              <w:topLinePunct/>
              <w:autoSpaceDE/>
              <w:adjustRightInd/>
              <w:snapToGrid/>
              <w:ind w:left="20" w:right="-44"/>
              <w:rPr>
                <w:rFonts w:hint="default"/>
                <w:color w:val="auto"/>
                <w:spacing w:val="8"/>
                <w:sz w:val="24"/>
                <w:szCs w:val="24"/>
                <w:lang w:eastAsia="en-US"/>
              </w:rPr>
            </w:pPr>
            <w:r>
              <w:rPr>
                <w:color w:val="auto"/>
                <w:spacing w:val="8"/>
                <w:sz w:val="24"/>
                <w:szCs w:val="24"/>
                <w:lang w:bidi="ar"/>
              </w:rPr>
              <w:t>有完善的施工安全和环境保护现场监理制度，优得8分，合理得6分，基本合理得4分，一般得2分，否则不得分。</w:t>
            </w:r>
          </w:p>
        </w:tc>
      </w:tr>
      <w:tr w14:paraId="6CF97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105C701C">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E77EFDE">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AEE70E">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突发状况处理预案（6分）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34DDF7F0">
            <w:pPr>
              <w:pStyle w:val="25"/>
              <w:widowControl w:val="0"/>
              <w:kinsoku/>
              <w:topLinePunct/>
              <w:autoSpaceDE/>
              <w:adjustRightInd/>
              <w:snapToGrid/>
              <w:ind w:left="20" w:right="-44"/>
              <w:rPr>
                <w:color w:val="auto"/>
                <w:spacing w:val="8"/>
                <w:sz w:val="24"/>
                <w:szCs w:val="24"/>
                <w:lang w:bidi="ar"/>
              </w:rPr>
            </w:pPr>
            <w:r>
              <w:rPr>
                <w:color w:val="auto"/>
                <w:spacing w:val="8"/>
                <w:sz w:val="24"/>
                <w:szCs w:val="24"/>
                <w:lang w:bidi="ar"/>
              </w:rPr>
              <w:t>预案切实可行、合理、内容完整；优得6分，良得4分，一般得2分，无不得分。</w:t>
            </w:r>
          </w:p>
        </w:tc>
      </w:tr>
      <w:tr w14:paraId="47257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12A47E2B">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911F5E9">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ED8C99">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合同、信息管理方案（5分）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35666F7C">
            <w:pPr>
              <w:pStyle w:val="25"/>
              <w:widowControl w:val="0"/>
              <w:kinsoku/>
              <w:topLinePunct/>
              <w:autoSpaceDE/>
              <w:adjustRightInd/>
              <w:snapToGrid/>
              <w:ind w:left="20" w:right="-44"/>
              <w:rPr>
                <w:color w:val="auto"/>
                <w:spacing w:val="8"/>
                <w:sz w:val="24"/>
                <w:szCs w:val="24"/>
                <w:lang w:bidi="ar"/>
              </w:rPr>
            </w:pPr>
            <w:r>
              <w:rPr>
                <w:color w:val="auto"/>
                <w:spacing w:val="8"/>
                <w:sz w:val="24"/>
                <w:szCs w:val="24"/>
                <w:lang w:bidi="ar"/>
              </w:rPr>
              <w:t>合同、信息管理方案进行比较，内容完整、合理、可行；优得5分，良得3分，一般得1分，无不得分。</w:t>
            </w:r>
          </w:p>
        </w:tc>
      </w:tr>
      <w:tr w14:paraId="5A879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74DA6D62">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B1A942E">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5AA278">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监理组织协调内容及措施</w:t>
            </w:r>
          </w:p>
          <w:p w14:paraId="678561FD">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（4分）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42240E95">
            <w:pPr>
              <w:pStyle w:val="25"/>
              <w:widowControl w:val="0"/>
              <w:kinsoku/>
              <w:topLinePunct/>
              <w:autoSpaceDE/>
              <w:adjustRightInd/>
              <w:snapToGrid/>
              <w:ind w:left="20" w:right="-44"/>
              <w:rPr>
                <w:color w:val="auto"/>
                <w:spacing w:val="8"/>
                <w:sz w:val="24"/>
                <w:szCs w:val="24"/>
                <w:lang w:bidi="ar"/>
              </w:rPr>
            </w:pPr>
            <w:r>
              <w:rPr>
                <w:color w:val="auto"/>
                <w:spacing w:val="8"/>
                <w:sz w:val="24"/>
                <w:szCs w:val="24"/>
                <w:lang w:bidi="ar"/>
              </w:rPr>
              <w:t>监理组织协调内容及措施进行比较，内容完整、合理、可行；优得4分，良得2分，一般得1分，无不得分。</w:t>
            </w:r>
          </w:p>
        </w:tc>
      </w:tr>
      <w:tr w14:paraId="3A3CE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128E8E54">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737D32F">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0108E3">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监理工作重点、难点分析</w:t>
            </w:r>
          </w:p>
          <w:p w14:paraId="7E201EA0">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（4分）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7CA82D54">
            <w:pPr>
              <w:pStyle w:val="25"/>
              <w:widowControl w:val="0"/>
              <w:kinsoku/>
              <w:topLinePunct/>
              <w:autoSpaceDE/>
              <w:adjustRightInd/>
              <w:snapToGrid/>
              <w:ind w:left="20" w:right="-44"/>
              <w:rPr>
                <w:color w:val="auto"/>
                <w:spacing w:val="8"/>
                <w:sz w:val="24"/>
                <w:szCs w:val="24"/>
                <w:lang w:bidi="ar"/>
              </w:rPr>
            </w:pPr>
            <w:r>
              <w:rPr>
                <w:color w:val="auto"/>
                <w:spacing w:val="8"/>
                <w:sz w:val="24"/>
                <w:szCs w:val="24"/>
                <w:lang w:bidi="ar"/>
              </w:rPr>
              <w:t>监理工作重点、难点分析进行比较，内容完整、合理、可行；优者得4分，良者得2分，一般者得1分，无不得分。</w:t>
            </w:r>
          </w:p>
        </w:tc>
      </w:tr>
      <w:tr w14:paraId="05B51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vMerge w:val="continue"/>
            <w:tcBorders>
              <w:top w:val="single" w:color="000000" w:sz="2" w:space="0"/>
              <w:left w:val="single" w:color="000000" w:sz="12" w:space="0"/>
              <w:bottom w:val="single" w:color="000000" w:sz="2" w:space="0"/>
              <w:right w:val="single" w:color="000000" w:sz="2" w:space="0"/>
            </w:tcBorders>
            <w:shd w:val="clear" w:color="auto" w:fill="auto"/>
            <w:vAlign w:val="center"/>
          </w:tcPr>
          <w:p w14:paraId="74632B16">
            <w:pPr>
              <w:rPr>
                <w:rFonts w:ascii="Calibri" w:hAnsi="Calibri" w:cs="Times New Roman"/>
                <w:sz w:val="20"/>
                <w:szCs w:val="20"/>
              </w:rPr>
            </w:pPr>
          </w:p>
        </w:tc>
        <w:tc>
          <w:tcPr>
            <w:tcW w:w="113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F6E5C91">
            <w:pPr>
              <w:rPr>
                <w:rFonts w:ascii="Calibri" w:hAnsi="Calibri" w:cs="Times New Roman"/>
                <w:sz w:val="20"/>
                <w:szCs w:val="20"/>
              </w:rPr>
            </w:pP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CD2915">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合理化建议</w:t>
            </w:r>
          </w:p>
          <w:p w14:paraId="03FCC5F6">
            <w:pPr>
              <w:pStyle w:val="13"/>
              <w:kinsoku/>
              <w:topLinePunct/>
              <w:autoSpaceDE/>
              <w:spacing w:beforeAutospacing="0" w:afterAutospacing="0"/>
              <w:ind w:right="3"/>
              <w:jc w:val="center"/>
              <w:rPr>
                <w:rFonts w:ascii="宋体" w:hAnsi="宋体" w:eastAsia="宋体" w:cs="宋体"/>
                <w:color w:val="auto"/>
                <w:spacing w:val="6"/>
                <w:lang w:bidi="ar"/>
              </w:rPr>
            </w:pPr>
            <w:r>
              <w:rPr>
                <w:rFonts w:hint="eastAsia" w:ascii="宋体" w:hAnsi="宋体" w:eastAsia="宋体" w:cs="宋体"/>
                <w:color w:val="auto"/>
                <w:spacing w:val="6"/>
                <w:lang w:bidi="ar"/>
              </w:rPr>
              <w:t>（3分）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71A70633">
            <w:pPr>
              <w:pStyle w:val="25"/>
              <w:widowControl w:val="0"/>
              <w:kinsoku/>
              <w:topLinePunct/>
              <w:autoSpaceDE/>
              <w:adjustRightInd/>
              <w:snapToGrid/>
              <w:ind w:left="20" w:right="-44"/>
              <w:rPr>
                <w:color w:val="auto"/>
                <w:spacing w:val="8"/>
                <w:sz w:val="24"/>
                <w:szCs w:val="24"/>
                <w:lang w:bidi="ar"/>
              </w:rPr>
            </w:pPr>
            <w:r>
              <w:rPr>
                <w:color w:val="auto"/>
                <w:spacing w:val="8"/>
                <w:sz w:val="24"/>
                <w:szCs w:val="24"/>
                <w:lang w:bidi="ar"/>
              </w:rPr>
              <w:t>合理化建议进行比较，内容完整、合理、可行；优者得3分，良者得2分，一般者得1分，无不得分。</w:t>
            </w:r>
          </w:p>
        </w:tc>
      </w:tr>
      <w:tr w14:paraId="5C166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tcBorders>
              <w:top w:val="single" w:color="000000" w:sz="2" w:space="0"/>
              <w:left w:val="single" w:color="000000" w:sz="12" w:space="0"/>
              <w:bottom w:val="single" w:color="000000" w:sz="2" w:space="0"/>
              <w:right w:val="single" w:color="000000" w:sz="2" w:space="0"/>
            </w:tcBorders>
            <w:shd w:val="clear" w:color="auto" w:fill="auto"/>
            <w:vAlign w:val="center"/>
          </w:tcPr>
          <w:p w14:paraId="4C1B4E98">
            <w:pPr>
              <w:pStyle w:val="13"/>
              <w:kinsoku/>
              <w:topLinePunct/>
              <w:autoSpaceDE/>
              <w:spacing w:beforeAutospacing="0" w:afterAutospacing="0"/>
              <w:jc w:val="center"/>
              <w:rPr>
                <w:color w:val="auto"/>
              </w:rPr>
            </w:pPr>
            <w:r>
              <w:rPr>
                <w:rFonts w:hint="eastAsia" w:ascii="宋体" w:hAnsi="宋体" w:eastAsia="宋体" w:cs="宋体"/>
                <w:color w:val="auto"/>
                <w:spacing w:val="2"/>
                <w:position w:val="12"/>
                <w:lang w:bidi="ar"/>
              </w:rPr>
              <w:t>2.2.4</w:t>
            </w:r>
          </w:p>
          <w:p w14:paraId="1573E27D">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（3）</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DF72E3">
            <w:pPr>
              <w:pStyle w:val="13"/>
              <w:kinsoku/>
              <w:topLinePunct/>
              <w:autoSpaceDE/>
              <w:spacing w:beforeAutospacing="0" w:afterAutospacing="0"/>
              <w:jc w:val="center"/>
              <w:rPr>
                <w:color w:val="auto"/>
                <w:spacing w:val="11"/>
              </w:rPr>
            </w:pPr>
            <w:r>
              <w:rPr>
                <w:rFonts w:hint="eastAsia" w:ascii="宋体" w:hAnsi="宋体" w:eastAsia="宋体" w:cs="宋体"/>
                <w:color w:val="auto"/>
                <w:spacing w:val="6"/>
                <w:lang w:bidi="ar"/>
              </w:rPr>
              <w:t>磋商报价</w:t>
            </w:r>
            <w:r>
              <w:rPr>
                <w:rFonts w:hint="eastAsia" w:ascii="宋体" w:hAnsi="宋体" w:eastAsia="宋体" w:cs="宋体"/>
                <w:color w:val="auto"/>
                <w:spacing w:val="11"/>
                <w:lang w:bidi="ar"/>
              </w:rPr>
              <w:t>评分标</w:t>
            </w:r>
          </w:p>
          <w:p w14:paraId="3A91BE24">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（15分）</w:t>
            </w:r>
          </w:p>
        </w:tc>
        <w:tc>
          <w:tcPr>
            <w:tcW w:w="19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5E4BCA">
            <w:pPr>
              <w:pStyle w:val="13"/>
              <w:kinsoku/>
              <w:topLinePunct/>
              <w:autoSpaceDE/>
              <w:spacing w:before="65" w:beforeAutospacing="0" w:afterAutospacing="0" w:line="278" w:lineRule="auto"/>
              <w:ind w:left="110" w:right="123"/>
              <w:jc w:val="center"/>
              <w:rPr>
                <w:color w:val="auto"/>
                <w:spacing w:val="7"/>
              </w:rPr>
            </w:pPr>
            <w:r>
              <w:rPr>
                <w:rFonts w:hint="eastAsia" w:ascii="宋体" w:hAnsi="宋体" w:eastAsia="宋体" w:cs="宋体"/>
                <w:color w:val="auto"/>
                <w:spacing w:val="7"/>
                <w:lang w:bidi="ar"/>
              </w:rPr>
              <w:t>磋商报价得分（15</w:t>
            </w:r>
            <w:r>
              <w:rPr>
                <w:rFonts w:hint="eastAsia" w:ascii="宋体" w:hAnsi="宋体" w:eastAsia="宋体" w:cs="宋体"/>
                <w:color w:val="auto"/>
                <w:spacing w:val="-1"/>
                <w:lang w:bidi="ar"/>
              </w:rPr>
              <w:t>分）</w:t>
            </w:r>
          </w:p>
        </w:tc>
        <w:tc>
          <w:tcPr>
            <w:tcW w:w="5709" w:type="dxa"/>
            <w:tcBorders>
              <w:top w:val="single" w:color="000000" w:sz="2" w:space="0"/>
              <w:left w:val="single" w:color="000000" w:sz="2" w:space="0"/>
              <w:bottom w:val="single" w:color="000000" w:sz="2" w:space="0"/>
              <w:right w:val="single" w:color="000000" w:sz="12" w:space="0"/>
            </w:tcBorders>
            <w:shd w:val="clear" w:color="auto" w:fill="auto"/>
            <w:vAlign w:val="center"/>
          </w:tcPr>
          <w:p w14:paraId="4F5DCF6C">
            <w:pPr>
              <w:pStyle w:val="13"/>
              <w:kinsoku/>
              <w:topLinePunct/>
              <w:autoSpaceDE/>
              <w:spacing w:beforeAutospacing="0" w:afterAutospacing="0"/>
              <w:ind w:left="113" w:right="96"/>
              <w:jc w:val="both"/>
              <w:rPr>
                <w:color w:val="auto"/>
                <w:spacing w:val="11"/>
              </w:rPr>
            </w:pPr>
            <w:r>
              <w:rPr>
                <w:rFonts w:hint="eastAsia" w:ascii="宋体" w:hAnsi="宋体" w:eastAsia="宋体" w:cs="宋体"/>
                <w:color w:val="auto"/>
                <w:spacing w:val="11"/>
                <w:lang w:bidi="ar"/>
              </w:rPr>
              <w:t>价格分统一采用低价优先法计算，即满足磋商文件要求且最后报价最低的供应商的价格为磋商基准价，其价格分为满分。其他供应商的价格分统一按照下列公式计算：</w:t>
            </w:r>
          </w:p>
          <w:p w14:paraId="525F1B56">
            <w:pPr>
              <w:pStyle w:val="13"/>
              <w:kinsoku/>
              <w:topLinePunct/>
              <w:autoSpaceDE/>
              <w:spacing w:beforeAutospacing="0" w:afterAutospacing="0"/>
              <w:ind w:left="113" w:right="96"/>
              <w:jc w:val="both"/>
              <w:rPr>
                <w:color w:val="auto"/>
                <w:spacing w:val="11"/>
              </w:rPr>
            </w:pPr>
            <w:r>
              <w:rPr>
                <w:rFonts w:hint="eastAsia" w:ascii="宋体" w:hAnsi="宋体" w:eastAsia="宋体" w:cs="宋体"/>
                <w:color w:val="auto"/>
                <w:spacing w:val="11"/>
                <w:lang w:bidi="ar"/>
              </w:rPr>
              <w:t>磋商报价得分=（磋商基准价/最后磋商报价）×价格权值×100（</w:t>
            </w:r>
            <w:r>
              <w:rPr>
                <w:rFonts w:hint="eastAsia" w:ascii="宋体" w:hAnsi="宋体" w:eastAsia="宋体" w:cs="宋体"/>
                <w:color w:val="auto"/>
                <w:spacing w:val="6"/>
                <w:lang w:bidi="ar"/>
              </w:rPr>
              <w:t>四舍五入保留小数点后两位）。</w:t>
            </w:r>
          </w:p>
          <w:p w14:paraId="7E620B9D">
            <w:pPr>
              <w:pStyle w:val="13"/>
              <w:kinsoku/>
              <w:topLinePunct/>
              <w:autoSpaceDE/>
              <w:spacing w:beforeAutospacing="0" w:afterAutospacing="0"/>
              <w:ind w:left="113" w:right="96"/>
              <w:jc w:val="both"/>
              <w:rPr>
                <w:color w:val="auto"/>
                <w:spacing w:val="-4"/>
              </w:rPr>
            </w:pPr>
            <w:r>
              <w:rPr>
                <w:rFonts w:hint="eastAsia" w:ascii="宋体" w:hAnsi="宋体" w:eastAsia="宋体" w:cs="宋体"/>
                <w:color w:val="auto"/>
                <w:spacing w:val="11"/>
                <w:lang w:bidi="ar"/>
              </w:rPr>
              <w:t>项目评审过程中，不得去掉最后报价中的最高报价和最低报价。</w:t>
            </w:r>
          </w:p>
          <w:p w14:paraId="52C2D76A">
            <w:pPr>
              <w:pStyle w:val="13"/>
              <w:kinsoku/>
              <w:topLinePunct/>
              <w:autoSpaceDE/>
              <w:spacing w:beforeAutospacing="0" w:afterAutospacing="0"/>
              <w:ind w:left="113" w:right="96"/>
              <w:jc w:val="both"/>
              <w:rPr>
                <w:color w:val="auto"/>
                <w:spacing w:val="-4"/>
              </w:rPr>
            </w:pPr>
            <w:r>
              <w:rPr>
                <w:rFonts w:hint="eastAsia" w:ascii="宋体" w:hAnsi="宋体" w:eastAsia="宋体" w:cs="宋体"/>
                <w:color w:val="auto"/>
                <w:spacing w:val="-4"/>
                <w:lang w:val="zh-CN" w:bidi="ar"/>
              </w:rPr>
              <w:t>（</w:t>
            </w:r>
            <w:r>
              <w:rPr>
                <w:rFonts w:hint="eastAsia" w:ascii="宋体" w:hAnsi="宋体" w:eastAsia="宋体" w:cs="宋体"/>
                <w:color w:val="auto"/>
                <w:spacing w:val="-4"/>
                <w:lang w:bidi="ar"/>
              </w:rPr>
              <w:t>本次采购为专门面向中小企业，不再享受优惠政策）</w:t>
            </w:r>
          </w:p>
        </w:tc>
      </w:tr>
      <w:tr w14:paraId="44054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7" w:hRule="atLeast"/>
          <w:jc w:val="center"/>
        </w:trPr>
        <w:tc>
          <w:tcPr>
            <w:tcW w:w="829" w:type="dxa"/>
            <w:tcBorders>
              <w:top w:val="single" w:color="000000" w:sz="2" w:space="0"/>
              <w:left w:val="single" w:color="000000" w:sz="12" w:space="0"/>
              <w:bottom w:val="single" w:color="000000" w:sz="12" w:space="0"/>
              <w:right w:val="single" w:color="000000" w:sz="2" w:space="0"/>
            </w:tcBorders>
            <w:shd w:val="clear" w:color="auto" w:fill="auto"/>
            <w:vAlign w:val="center"/>
          </w:tcPr>
          <w:p w14:paraId="4E9BBA88">
            <w:pPr>
              <w:pStyle w:val="13"/>
              <w:kinsoku/>
              <w:topLinePunct/>
              <w:autoSpaceDE/>
              <w:spacing w:beforeAutospacing="0" w:afterAutospacing="0"/>
              <w:jc w:val="center"/>
              <w:rPr>
                <w:color w:val="auto"/>
              </w:rPr>
            </w:pPr>
            <w:r>
              <w:rPr>
                <w:rFonts w:hint="eastAsia" w:ascii="宋体" w:hAnsi="宋体" w:eastAsia="宋体" w:cs="宋体"/>
                <w:color w:val="auto"/>
                <w:spacing w:val="2"/>
                <w:position w:val="12"/>
                <w:lang w:bidi="ar"/>
              </w:rPr>
              <w:t>2.2.5</w:t>
            </w:r>
          </w:p>
          <w:p w14:paraId="200A9F73">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（4）</w:t>
            </w:r>
          </w:p>
        </w:tc>
        <w:tc>
          <w:tcPr>
            <w:tcW w:w="1130" w:type="dxa"/>
            <w:tcBorders>
              <w:top w:val="single" w:color="000000" w:sz="2" w:space="0"/>
              <w:left w:val="single" w:color="000000" w:sz="2" w:space="0"/>
              <w:bottom w:val="single" w:color="000000" w:sz="12" w:space="0"/>
              <w:right w:val="single" w:color="000000" w:sz="2" w:space="0"/>
            </w:tcBorders>
            <w:shd w:val="clear" w:color="auto" w:fill="auto"/>
            <w:vAlign w:val="center"/>
          </w:tcPr>
          <w:p w14:paraId="5BE96E19">
            <w:pPr>
              <w:pStyle w:val="13"/>
              <w:kinsoku/>
              <w:topLinePunct/>
              <w:autoSpaceDE/>
              <w:spacing w:beforeAutospacing="0" w:afterAutospacing="0"/>
              <w:jc w:val="center"/>
              <w:rPr>
                <w:color w:val="auto"/>
                <w:spacing w:val="11"/>
              </w:rPr>
            </w:pPr>
            <w:r>
              <w:rPr>
                <w:rFonts w:hint="eastAsia" w:ascii="宋体" w:hAnsi="宋体" w:eastAsia="宋体" w:cs="宋体"/>
                <w:color w:val="auto"/>
                <w:spacing w:val="7"/>
                <w:lang w:bidi="ar"/>
              </w:rPr>
              <w:t>其他因素</w:t>
            </w:r>
            <w:r>
              <w:rPr>
                <w:rFonts w:hint="eastAsia" w:ascii="宋体" w:hAnsi="宋体" w:eastAsia="宋体" w:cs="宋体"/>
                <w:color w:val="auto"/>
                <w:spacing w:val="11"/>
                <w:lang w:bidi="ar"/>
              </w:rPr>
              <w:t>评分标准</w:t>
            </w:r>
          </w:p>
          <w:p w14:paraId="332550A8">
            <w:pPr>
              <w:pStyle w:val="13"/>
              <w:kinsoku/>
              <w:topLinePunct/>
              <w:autoSpaceDE/>
              <w:spacing w:beforeAutospacing="0" w:afterAutospacing="0"/>
              <w:jc w:val="center"/>
              <w:rPr>
                <w:color w:val="auto"/>
              </w:rPr>
            </w:pPr>
            <w:r>
              <w:rPr>
                <w:rFonts w:hint="eastAsia" w:ascii="宋体" w:hAnsi="宋体" w:eastAsia="宋体" w:cs="宋体"/>
                <w:color w:val="auto"/>
                <w:spacing w:val="-2"/>
                <w:lang w:bidi="ar"/>
              </w:rPr>
              <w:t>（5分）</w:t>
            </w:r>
          </w:p>
        </w:tc>
        <w:tc>
          <w:tcPr>
            <w:tcW w:w="1907" w:type="dxa"/>
            <w:tcBorders>
              <w:top w:val="single" w:color="000000" w:sz="2" w:space="0"/>
              <w:left w:val="single" w:color="000000" w:sz="2" w:space="0"/>
              <w:bottom w:val="single" w:color="000000" w:sz="12" w:space="0"/>
              <w:right w:val="single" w:color="000000" w:sz="2" w:space="0"/>
            </w:tcBorders>
            <w:shd w:val="clear" w:color="auto" w:fill="auto"/>
            <w:vAlign w:val="center"/>
          </w:tcPr>
          <w:p w14:paraId="37F83154">
            <w:pPr>
              <w:pStyle w:val="13"/>
              <w:kinsoku/>
              <w:topLinePunct/>
              <w:autoSpaceDE/>
              <w:spacing w:before="65" w:beforeAutospacing="0" w:afterAutospacing="0" w:line="228" w:lineRule="auto"/>
              <w:jc w:val="center"/>
              <w:rPr>
                <w:color w:val="auto"/>
                <w:spacing w:val="5"/>
              </w:rPr>
            </w:pPr>
            <w:r>
              <w:rPr>
                <w:rFonts w:hint="eastAsia" w:ascii="宋体" w:hAnsi="宋体" w:eastAsia="宋体" w:cs="宋体"/>
                <w:color w:val="auto"/>
                <w:spacing w:val="5"/>
                <w:lang w:bidi="ar"/>
              </w:rPr>
              <w:t>服务承诺</w:t>
            </w:r>
          </w:p>
          <w:p w14:paraId="6E128624">
            <w:pPr>
              <w:pStyle w:val="13"/>
              <w:kinsoku/>
              <w:topLinePunct/>
              <w:autoSpaceDE/>
              <w:spacing w:before="65" w:beforeAutospacing="0" w:afterAutospacing="0" w:line="228" w:lineRule="auto"/>
              <w:ind w:left="141"/>
              <w:jc w:val="center"/>
              <w:rPr>
                <w:color w:val="auto"/>
              </w:rPr>
            </w:pPr>
            <w:r>
              <w:rPr>
                <w:rFonts w:hint="eastAsia" w:ascii="宋体" w:hAnsi="宋体" w:eastAsia="宋体" w:cs="宋体"/>
                <w:color w:val="auto"/>
                <w:spacing w:val="5"/>
                <w:lang w:bidi="ar"/>
              </w:rPr>
              <w:t>（5分）</w:t>
            </w:r>
          </w:p>
        </w:tc>
        <w:tc>
          <w:tcPr>
            <w:tcW w:w="5709" w:type="dxa"/>
            <w:tcBorders>
              <w:top w:val="single" w:color="000000" w:sz="2" w:space="0"/>
              <w:left w:val="single" w:color="000000" w:sz="2" w:space="0"/>
              <w:bottom w:val="single" w:color="000000" w:sz="12" w:space="0"/>
              <w:right w:val="single" w:color="000000" w:sz="12" w:space="0"/>
            </w:tcBorders>
            <w:shd w:val="clear" w:color="auto" w:fill="auto"/>
            <w:vAlign w:val="center"/>
          </w:tcPr>
          <w:p w14:paraId="38230A27">
            <w:pPr>
              <w:pStyle w:val="13"/>
              <w:kinsoku/>
              <w:topLinePunct/>
              <w:autoSpaceDE/>
              <w:spacing w:before="130" w:beforeAutospacing="0" w:afterAutospacing="0" w:line="228" w:lineRule="auto"/>
              <w:ind w:left="110"/>
              <w:rPr>
                <w:color w:val="auto"/>
              </w:rPr>
            </w:pPr>
            <w:r>
              <w:rPr>
                <w:rFonts w:hint="eastAsia" w:ascii="宋体" w:hAnsi="宋体" w:eastAsia="宋体" w:cs="宋体"/>
                <w:color w:val="auto"/>
                <w:spacing w:val="9"/>
                <w:lang w:bidi="ar"/>
              </w:rPr>
              <w:t>对供应商提出的合理的服务承诺进行综合评</w:t>
            </w:r>
            <w:r>
              <w:rPr>
                <w:rFonts w:hint="eastAsia" w:ascii="宋体" w:hAnsi="宋体" w:eastAsia="宋体" w:cs="宋体"/>
                <w:color w:val="auto"/>
                <w:spacing w:val="4"/>
                <w:lang w:bidi="ar"/>
              </w:rPr>
              <w:t>价，综合评价优得5分，良得3分，一般得1分</w:t>
            </w:r>
            <w:r>
              <w:rPr>
                <w:rFonts w:hint="eastAsia" w:ascii="宋体" w:hAnsi="宋体" w:eastAsia="宋体" w:cs="宋体"/>
                <w:color w:val="auto"/>
                <w:spacing w:val="3"/>
                <w:lang w:bidi="ar"/>
              </w:rPr>
              <w:t>，无不得分。</w:t>
            </w:r>
          </w:p>
        </w:tc>
      </w:tr>
    </w:tbl>
    <w:p w14:paraId="56D90357">
      <w:pPr>
        <w:rPr>
          <w:rFonts w:ascii="宋体" w:hAnsi="宋体" w:eastAsia="宋体" w:cs="宋体"/>
          <w:color w:val="000000"/>
          <w:spacing w:val="-4"/>
          <w:kern w:val="0"/>
          <w:sz w:val="28"/>
          <w:szCs w:val="28"/>
          <w:lang w:bidi="ar"/>
        </w:rPr>
      </w:pPr>
      <w:r>
        <w:rPr>
          <w:rFonts w:hint="eastAsia" w:ascii="宋体" w:hAnsi="宋体" w:eastAsia="宋体" w:cs="宋体"/>
          <w:color w:val="000000"/>
          <w:spacing w:val="-4"/>
          <w:kern w:val="0"/>
          <w:sz w:val="28"/>
          <w:szCs w:val="28"/>
          <w:lang w:bidi="ar"/>
        </w:rPr>
        <w:br w:type="page"/>
      </w:r>
    </w:p>
    <w:p w14:paraId="219309DB">
      <w:pPr>
        <w:pStyle w:val="13"/>
        <w:kinsoku/>
        <w:topLinePunct/>
        <w:autoSpaceDE/>
        <w:spacing w:beforeAutospacing="0" w:afterAutospacing="0" w:line="360" w:lineRule="auto"/>
        <w:ind w:left="31"/>
        <w:outlineLvl w:val="1"/>
        <w:rPr>
          <w:b/>
          <w:sz w:val="32"/>
          <w:szCs w:val="32"/>
        </w:rPr>
      </w:pPr>
      <w:bookmarkStart w:id="130" w:name="_Toc200025581"/>
      <w:bookmarkStart w:id="131" w:name="_Toc199944399"/>
      <w:r>
        <w:rPr>
          <w:rFonts w:hint="eastAsia" w:ascii="宋体" w:hAnsi="宋体" w:eastAsia="宋体" w:cs="宋体"/>
          <w:b/>
          <w:spacing w:val="2"/>
          <w:sz w:val="32"/>
          <w:szCs w:val="32"/>
          <w:lang w:bidi="ar"/>
        </w:rPr>
        <w:t>1.评标方法</w:t>
      </w:r>
      <w:bookmarkEnd w:id="130"/>
      <w:bookmarkEnd w:id="131"/>
    </w:p>
    <w:p w14:paraId="309AABCB">
      <w:pPr>
        <w:pStyle w:val="13"/>
        <w:kinsoku/>
        <w:topLinePunct/>
        <w:autoSpaceDE/>
        <w:spacing w:beforeAutospacing="0" w:afterAutospacing="0" w:line="360" w:lineRule="auto"/>
        <w:ind w:left="4" w:firstLine="414"/>
        <w:jc w:val="both"/>
      </w:pPr>
      <w:r>
        <w:rPr>
          <w:rFonts w:hint="eastAsia" w:ascii="宋体" w:hAnsi="宋体" w:eastAsia="宋体" w:cs="宋体"/>
          <w:spacing w:val="7"/>
          <w:lang w:bidi="ar"/>
        </w:rPr>
        <w:t xml:space="preserve"> 经磋商确定最终采购需求和提交最后报价的供应商后，由磋商小组采用综合评分法对提交最后报价的供应商的响应文件和最后报价进行综合评分。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r>
        <w:rPr>
          <w:rFonts w:hint="eastAsia" w:ascii="宋体" w:hAnsi="宋体" w:eastAsia="宋体" w:cs="宋体"/>
          <w:spacing w:val="9"/>
          <w:lang w:bidi="ar"/>
        </w:rPr>
        <w:t>。</w:t>
      </w:r>
    </w:p>
    <w:p w14:paraId="40C55D7D">
      <w:pPr>
        <w:pStyle w:val="13"/>
        <w:kinsoku/>
        <w:topLinePunct/>
        <w:autoSpaceDE/>
        <w:spacing w:beforeAutospacing="0" w:afterAutospacing="0" w:line="360" w:lineRule="auto"/>
        <w:ind w:left="9"/>
        <w:outlineLvl w:val="1"/>
        <w:rPr>
          <w:b/>
          <w:sz w:val="32"/>
          <w:szCs w:val="32"/>
        </w:rPr>
      </w:pPr>
      <w:bookmarkStart w:id="132" w:name="_Toc199944400"/>
      <w:bookmarkStart w:id="133" w:name="_Toc200025582"/>
      <w:r>
        <w:rPr>
          <w:rFonts w:hint="eastAsia" w:ascii="宋体" w:hAnsi="宋体" w:eastAsia="宋体" w:cs="宋体"/>
          <w:b/>
          <w:spacing w:val="6"/>
          <w:sz w:val="32"/>
          <w:szCs w:val="32"/>
          <w:lang w:bidi="ar"/>
        </w:rPr>
        <w:t>2.评审标准</w:t>
      </w:r>
      <w:bookmarkEnd w:id="132"/>
      <w:bookmarkEnd w:id="133"/>
    </w:p>
    <w:p w14:paraId="1CEE251C">
      <w:pPr>
        <w:pStyle w:val="13"/>
        <w:kinsoku/>
        <w:topLinePunct/>
        <w:autoSpaceDE/>
        <w:spacing w:beforeAutospacing="0" w:afterAutospacing="0" w:line="360" w:lineRule="auto"/>
        <w:ind w:left="6"/>
        <w:outlineLvl w:val="2"/>
        <w:rPr>
          <w:b/>
          <w:sz w:val="28"/>
          <w:szCs w:val="28"/>
        </w:rPr>
      </w:pPr>
      <w:bookmarkStart w:id="134" w:name="_Toc199944401"/>
      <w:r>
        <w:rPr>
          <w:rFonts w:hint="eastAsia" w:ascii="宋体" w:hAnsi="宋体" w:eastAsia="宋体" w:cs="宋体"/>
          <w:b/>
          <w:spacing w:val="-1"/>
          <w:sz w:val="28"/>
          <w:szCs w:val="28"/>
          <w:lang w:bidi="ar"/>
        </w:rPr>
        <w:t>2.1初步评审标准</w:t>
      </w:r>
      <w:bookmarkEnd w:id="134"/>
    </w:p>
    <w:p w14:paraId="3230E157">
      <w:pPr>
        <w:pStyle w:val="13"/>
        <w:kinsoku/>
        <w:topLinePunct/>
        <w:autoSpaceDE/>
        <w:spacing w:beforeAutospacing="0" w:afterAutospacing="0" w:line="360" w:lineRule="auto"/>
        <w:ind w:left="421"/>
      </w:pPr>
      <w:r>
        <w:rPr>
          <w:rFonts w:hint="eastAsia" w:ascii="宋体" w:hAnsi="宋体" w:eastAsia="宋体" w:cs="宋体"/>
          <w:spacing w:val="7"/>
          <w:lang w:bidi="ar"/>
        </w:rPr>
        <w:t>2.1.1形式评审标准：见评标办法前附表。</w:t>
      </w:r>
    </w:p>
    <w:p w14:paraId="700E9092">
      <w:pPr>
        <w:pStyle w:val="13"/>
        <w:kinsoku/>
        <w:topLinePunct/>
        <w:autoSpaceDE/>
        <w:spacing w:beforeAutospacing="0" w:afterAutospacing="0" w:line="360" w:lineRule="auto"/>
        <w:ind w:left="421"/>
      </w:pPr>
      <w:r>
        <w:rPr>
          <w:rFonts w:hint="eastAsia" w:ascii="宋体" w:hAnsi="宋体" w:eastAsia="宋体" w:cs="宋体"/>
          <w:spacing w:val="7"/>
          <w:lang w:bidi="ar"/>
        </w:rPr>
        <w:t>2.1.2资格评审标准：见评标办法前附表。</w:t>
      </w:r>
    </w:p>
    <w:p w14:paraId="04FBE6F3">
      <w:pPr>
        <w:pStyle w:val="13"/>
        <w:kinsoku/>
        <w:topLinePunct/>
        <w:autoSpaceDE/>
        <w:spacing w:beforeAutospacing="0" w:afterAutospacing="0" w:line="360" w:lineRule="auto"/>
        <w:ind w:left="421"/>
      </w:pPr>
      <w:r>
        <w:rPr>
          <w:rFonts w:hint="eastAsia" w:ascii="宋体" w:hAnsi="宋体" w:eastAsia="宋体" w:cs="宋体"/>
          <w:spacing w:val="7"/>
          <w:lang w:bidi="ar"/>
        </w:rPr>
        <w:t>2.1.3</w:t>
      </w:r>
      <w:r>
        <w:rPr>
          <w:rFonts w:hint="eastAsia" w:ascii="宋体" w:hAnsi="宋体" w:eastAsia="宋体" w:cs="宋体"/>
          <w:spacing w:val="7"/>
          <w:lang w:val="en-US" w:eastAsia="zh-CN" w:bidi="ar"/>
        </w:rPr>
        <w:t>符合</w:t>
      </w:r>
      <w:r>
        <w:rPr>
          <w:rFonts w:hint="eastAsia" w:ascii="宋体" w:hAnsi="宋体" w:eastAsia="宋体" w:cs="宋体"/>
          <w:spacing w:val="7"/>
          <w:lang w:bidi="ar"/>
        </w:rPr>
        <w:t>性评审标准：见评标办法前附表。</w:t>
      </w:r>
    </w:p>
    <w:p w14:paraId="0967ABA0">
      <w:pPr>
        <w:pStyle w:val="13"/>
        <w:kinsoku/>
        <w:topLinePunct/>
        <w:autoSpaceDE/>
        <w:spacing w:beforeAutospacing="0" w:afterAutospacing="0" w:line="360" w:lineRule="auto"/>
        <w:ind w:left="111"/>
        <w:outlineLvl w:val="2"/>
        <w:rPr>
          <w:b/>
          <w:sz w:val="28"/>
          <w:szCs w:val="28"/>
        </w:rPr>
      </w:pPr>
      <w:bookmarkStart w:id="135" w:name="_Toc199944402"/>
      <w:r>
        <w:rPr>
          <w:rFonts w:hint="eastAsia" w:ascii="宋体" w:hAnsi="宋体" w:eastAsia="宋体" w:cs="宋体"/>
          <w:b/>
          <w:spacing w:val="-1"/>
          <w:sz w:val="28"/>
          <w:szCs w:val="28"/>
          <w:lang w:bidi="ar"/>
        </w:rPr>
        <w:t>2.2分值构成与评分标准</w:t>
      </w:r>
      <w:bookmarkEnd w:id="135"/>
    </w:p>
    <w:p w14:paraId="0CB8CCC1">
      <w:pPr>
        <w:pStyle w:val="13"/>
        <w:kinsoku/>
        <w:topLinePunct/>
        <w:autoSpaceDE/>
        <w:spacing w:beforeAutospacing="0" w:afterAutospacing="0" w:line="360" w:lineRule="auto"/>
        <w:ind w:left="429"/>
        <w:rPr>
          <w:rFonts w:ascii="宋体" w:hAnsi="宋体" w:eastAsia="宋体" w:cs="宋体"/>
          <w:spacing w:val="8"/>
          <w:position w:val="14"/>
          <w:lang w:bidi="ar"/>
        </w:rPr>
      </w:pPr>
      <w:r>
        <w:rPr>
          <w:rFonts w:hint="eastAsia" w:ascii="宋体" w:hAnsi="宋体" w:eastAsia="宋体" w:cs="宋体"/>
          <w:spacing w:val="8"/>
          <w:position w:val="14"/>
          <w:lang w:bidi="ar"/>
        </w:rPr>
        <w:t>2.2.1分值构成</w:t>
      </w:r>
    </w:p>
    <w:p w14:paraId="022A8BE1">
      <w:pPr>
        <w:pStyle w:val="13"/>
        <w:kinsoku/>
        <w:topLinePunct/>
        <w:autoSpaceDE/>
        <w:spacing w:beforeAutospacing="0" w:afterAutospacing="0" w:line="360" w:lineRule="auto"/>
        <w:ind w:left="429"/>
      </w:pPr>
      <w:r>
        <w:rPr>
          <w:rFonts w:hint="eastAsia" w:ascii="宋体" w:hAnsi="宋体" w:eastAsia="宋体" w:cs="宋体"/>
          <w:spacing w:val="8"/>
          <w:position w:val="14"/>
          <w:lang w:bidi="ar"/>
        </w:rPr>
        <w:t>（1）资信业绩部分：见评标办法前附表；</w:t>
      </w:r>
    </w:p>
    <w:p w14:paraId="16DF5028">
      <w:pPr>
        <w:pStyle w:val="13"/>
        <w:kinsoku/>
        <w:topLinePunct/>
        <w:autoSpaceDE/>
        <w:spacing w:beforeAutospacing="0" w:afterAutospacing="0" w:line="360" w:lineRule="auto"/>
        <w:ind w:left="429"/>
      </w:pPr>
      <w:r>
        <w:rPr>
          <w:rFonts w:hint="eastAsia" w:ascii="宋体" w:hAnsi="宋体" w:eastAsia="宋体" w:cs="宋体"/>
          <w:spacing w:val="8"/>
          <w:lang w:bidi="ar"/>
        </w:rPr>
        <w:t>（2）监理大纲部分：见评标办法前附表；</w:t>
      </w:r>
    </w:p>
    <w:p w14:paraId="2FB2D363">
      <w:pPr>
        <w:pStyle w:val="13"/>
        <w:kinsoku/>
        <w:topLinePunct/>
        <w:autoSpaceDE/>
        <w:spacing w:beforeAutospacing="0" w:afterAutospacing="0" w:line="360" w:lineRule="auto"/>
        <w:ind w:left="429"/>
      </w:pPr>
      <w:r>
        <w:rPr>
          <w:rFonts w:hint="eastAsia" w:ascii="宋体" w:hAnsi="宋体" w:eastAsia="宋体" w:cs="宋体"/>
          <w:spacing w:val="8"/>
          <w:lang w:bidi="ar"/>
        </w:rPr>
        <w:t>（3）磋商报价部分：见评标办法前附表；</w:t>
      </w:r>
    </w:p>
    <w:p w14:paraId="774E5DB2">
      <w:pPr>
        <w:pStyle w:val="13"/>
        <w:kinsoku/>
        <w:topLinePunct/>
        <w:autoSpaceDE/>
        <w:spacing w:beforeAutospacing="0" w:afterAutospacing="0" w:line="360" w:lineRule="auto"/>
        <w:ind w:left="429"/>
      </w:pPr>
      <w:r>
        <w:rPr>
          <w:rFonts w:hint="eastAsia" w:ascii="宋体" w:hAnsi="宋体" w:eastAsia="宋体" w:cs="宋体"/>
          <w:spacing w:val="8"/>
          <w:position w:val="13"/>
          <w:lang w:bidi="ar"/>
        </w:rPr>
        <w:t>（4）其他因素部分：见评标办法前附表。</w:t>
      </w:r>
    </w:p>
    <w:p w14:paraId="15741AD8">
      <w:pPr>
        <w:pStyle w:val="13"/>
        <w:kinsoku/>
        <w:topLinePunct/>
        <w:autoSpaceDE/>
        <w:spacing w:beforeAutospacing="0" w:afterAutospacing="0" w:line="360" w:lineRule="auto"/>
        <w:ind w:left="421"/>
      </w:pPr>
      <w:r>
        <w:rPr>
          <w:rFonts w:hint="eastAsia" w:ascii="宋体" w:hAnsi="宋体" w:eastAsia="宋体" w:cs="宋体"/>
          <w:spacing w:val="6"/>
          <w:lang w:bidi="ar"/>
        </w:rPr>
        <w:t>2.2.2评标基准价计算</w:t>
      </w:r>
    </w:p>
    <w:p w14:paraId="1977CC1F">
      <w:pPr>
        <w:pStyle w:val="13"/>
        <w:kinsoku/>
        <w:topLinePunct/>
        <w:autoSpaceDE/>
        <w:spacing w:beforeAutospacing="0" w:afterAutospacing="0" w:line="360" w:lineRule="auto"/>
        <w:ind w:left="418"/>
      </w:pPr>
      <w:r>
        <w:rPr>
          <w:rFonts w:hint="eastAsia" w:ascii="宋体" w:hAnsi="宋体" w:eastAsia="宋体" w:cs="宋体"/>
          <w:spacing w:val="8"/>
          <w:position w:val="14"/>
          <w:lang w:bidi="ar"/>
        </w:rPr>
        <w:t>评标基准价计算方法：见评标办法前附表。</w:t>
      </w:r>
    </w:p>
    <w:p w14:paraId="7D6A4340">
      <w:pPr>
        <w:pStyle w:val="13"/>
        <w:kinsoku/>
        <w:topLinePunct/>
        <w:autoSpaceDE/>
        <w:spacing w:beforeAutospacing="0" w:afterAutospacing="0" w:line="360" w:lineRule="auto"/>
        <w:ind w:left="421"/>
      </w:pPr>
      <w:r>
        <w:rPr>
          <w:rFonts w:hint="eastAsia" w:ascii="宋体" w:hAnsi="宋体" w:eastAsia="宋体" w:cs="宋体"/>
          <w:spacing w:val="7"/>
          <w:lang w:bidi="ar"/>
        </w:rPr>
        <w:t>2.2.3磋商报价的偏差率计算</w:t>
      </w:r>
    </w:p>
    <w:p w14:paraId="34A0CBF9">
      <w:pPr>
        <w:pStyle w:val="13"/>
        <w:kinsoku/>
        <w:topLinePunct/>
        <w:autoSpaceDE/>
        <w:spacing w:beforeAutospacing="0" w:afterAutospacing="0" w:line="360" w:lineRule="auto"/>
        <w:ind w:left="421"/>
      </w:pPr>
      <w:r>
        <w:rPr>
          <w:rFonts w:hint="eastAsia" w:ascii="宋体" w:hAnsi="宋体" w:eastAsia="宋体" w:cs="宋体"/>
          <w:spacing w:val="9"/>
          <w:position w:val="14"/>
          <w:lang w:bidi="ar"/>
        </w:rPr>
        <w:t>投标报价的偏差率计算公式：见评标办法前附表。</w:t>
      </w:r>
    </w:p>
    <w:p w14:paraId="5489B278">
      <w:pPr>
        <w:pStyle w:val="13"/>
        <w:kinsoku/>
        <w:topLinePunct/>
        <w:autoSpaceDE/>
        <w:spacing w:beforeAutospacing="0" w:afterAutospacing="0" w:line="360" w:lineRule="auto"/>
        <w:ind w:left="421"/>
      </w:pPr>
      <w:r>
        <w:rPr>
          <w:rFonts w:hint="eastAsia" w:ascii="宋体" w:hAnsi="宋体" w:eastAsia="宋体" w:cs="宋体"/>
          <w:spacing w:val="5"/>
          <w:lang w:bidi="ar"/>
        </w:rPr>
        <w:t>2.2.4评分标准</w:t>
      </w:r>
    </w:p>
    <w:p w14:paraId="436236E9">
      <w:pPr>
        <w:pStyle w:val="13"/>
        <w:kinsoku/>
        <w:topLinePunct/>
        <w:autoSpaceDE/>
        <w:spacing w:beforeAutospacing="0" w:afterAutospacing="0" w:line="360" w:lineRule="auto"/>
        <w:ind w:left="429"/>
      </w:pPr>
      <w:r>
        <w:rPr>
          <w:rFonts w:hint="eastAsia" w:ascii="宋体" w:hAnsi="宋体" w:eastAsia="宋体" w:cs="宋体"/>
          <w:spacing w:val="8"/>
          <w:position w:val="13"/>
          <w:lang w:bidi="ar"/>
        </w:rPr>
        <w:t>（1）资信业绩评分标准：见评标办法前附表；</w:t>
      </w:r>
    </w:p>
    <w:p w14:paraId="18E5CE67">
      <w:pPr>
        <w:pStyle w:val="13"/>
        <w:kinsoku/>
        <w:topLinePunct/>
        <w:autoSpaceDE/>
        <w:spacing w:beforeAutospacing="0" w:afterAutospacing="0" w:line="360" w:lineRule="auto"/>
        <w:ind w:left="429"/>
      </w:pPr>
      <w:r>
        <w:rPr>
          <w:rFonts w:hint="eastAsia" w:ascii="宋体" w:hAnsi="宋体" w:eastAsia="宋体" w:cs="宋体"/>
          <w:spacing w:val="8"/>
          <w:lang w:bidi="ar"/>
        </w:rPr>
        <w:t>（2）监理大纲评分标准：见评标办法前附表；</w:t>
      </w:r>
    </w:p>
    <w:p w14:paraId="7CC85E36">
      <w:pPr>
        <w:pStyle w:val="13"/>
        <w:kinsoku/>
        <w:topLinePunct/>
        <w:autoSpaceDE/>
        <w:spacing w:beforeAutospacing="0" w:afterAutospacing="0" w:line="360" w:lineRule="auto"/>
        <w:ind w:left="429"/>
      </w:pPr>
      <w:r>
        <w:rPr>
          <w:rFonts w:hint="eastAsia" w:ascii="宋体" w:hAnsi="宋体" w:eastAsia="宋体" w:cs="宋体"/>
          <w:spacing w:val="8"/>
          <w:lang w:bidi="ar"/>
        </w:rPr>
        <w:t>（3）磋商报价评分标准：见评标办法前附表；</w:t>
      </w:r>
    </w:p>
    <w:p w14:paraId="1C96E310">
      <w:pPr>
        <w:pStyle w:val="13"/>
        <w:kinsoku/>
        <w:topLinePunct/>
        <w:autoSpaceDE/>
        <w:spacing w:beforeAutospacing="0" w:afterAutospacing="0" w:line="360" w:lineRule="auto"/>
        <w:ind w:left="429"/>
      </w:pPr>
      <w:r>
        <w:rPr>
          <w:rFonts w:hint="eastAsia" w:ascii="宋体" w:hAnsi="宋体" w:eastAsia="宋体" w:cs="宋体"/>
          <w:spacing w:val="8"/>
          <w:lang w:bidi="ar"/>
        </w:rPr>
        <w:t>（4）其他因素评分标准：见评标办法前附表。</w:t>
      </w:r>
    </w:p>
    <w:p w14:paraId="1556F1A9">
      <w:pPr>
        <w:pStyle w:val="13"/>
        <w:kinsoku/>
        <w:topLinePunct/>
        <w:autoSpaceDE/>
        <w:spacing w:before="186" w:beforeAutospacing="0" w:afterAutospacing="0" w:line="654" w:lineRule="exact"/>
        <w:ind w:left="12"/>
        <w:outlineLvl w:val="1"/>
        <w:rPr>
          <w:b/>
          <w:sz w:val="32"/>
          <w:szCs w:val="32"/>
        </w:rPr>
      </w:pPr>
      <w:bookmarkStart w:id="136" w:name="_Toc199944403"/>
      <w:bookmarkStart w:id="137" w:name="_Toc200025583"/>
      <w:r>
        <w:rPr>
          <w:rFonts w:hint="eastAsia" w:ascii="宋体" w:hAnsi="宋体" w:eastAsia="宋体" w:cs="宋体"/>
          <w:b/>
          <w:spacing w:val="5"/>
          <w:position w:val="22"/>
          <w:sz w:val="32"/>
          <w:szCs w:val="32"/>
          <w:lang w:bidi="ar"/>
        </w:rPr>
        <w:t>3.评标程序</w:t>
      </w:r>
      <w:bookmarkEnd w:id="136"/>
      <w:bookmarkEnd w:id="137"/>
    </w:p>
    <w:p w14:paraId="2EEBC3BF">
      <w:pPr>
        <w:pStyle w:val="13"/>
        <w:kinsoku/>
        <w:topLinePunct/>
        <w:autoSpaceDE/>
        <w:spacing w:before="1" w:beforeAutospacing="0" w:afterAutospacing="0" w:line="360" w:lineRule="auto"/>
        <w:ind w:left="8"/>
        <w:outlineLvl w:val="2"/>
        <w:rPr>
          <w:b/>
          <w:sz w:val="28"/>
          <w:szCs w:val="28"/>
        </w:rPr>
      </w:pPr>
      <w:bookmarkStart w:id="138" w:name="_Toc199944404"/>
      <w:r>
        <w:rPr>
          <w:rFonts w:hint="eastAsia" w:ascii="宋体" w:hAnsi="宋体" w:eastAsia="宋体" w:cs="宋体"/>
          <w:b/>
          <w:spacing w:val="-2"/>
          <w:sz w:val="28"/>
          <w:szCs w:val="28"/>
          <w:lang w:bidi="ar"/>
        </w:rPr>
        <w:t>3.1初步评审</w:t>
      </w:r>
      <w:bookmarkEnd w:id="138"/>
    </w:p>
    <w:p w14:paraId="68917A24">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3.1.1评标委员会可以要求供应商提交第二章“供应商须知”规定的有关证明和证件的原件，以便核验。评标委员会依据本章第2.1款规定的标准对响应文件进行初步评审。有一项不符合评审标准的，评标委员会应当否决其投标。</w:t>
      </w:r>
    </w:p>
    <w:p w14:paraId="1F83115A">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3.1.2供应商有以下情形之一的，评标委员会应当否决其投标：</w:t>
      </w:r>
    </w:p>
    <w:p w14:paraId="58283AAA">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（1）响应文件没有对磋商文件的实质性要求和条件作出响应，或者对磋商文件的偏差超出磋商文件规定的偏差范围或最高项数；</w:t>
      </w:r>
    </w:p>
    <w:p w14:paraId="352ECE49">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（2）有串通投标、弄虚作假、行贿等违法行为。</w:t>
      </w:r>
    </w:p>
    <w:p w14:paraId="2740D3DF">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3.1.3投标报价有算术错误及其他错误的，评标委员会按以下原则要求供应商对投标报价进行修正，并要求供应商书面澄清确认。供应商拒不澄清确认的，评标委员会应当否决其投标：</w:t>
      </w:r>
    </w:p>
    <w:p w14:paraId="56DB55E8">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（1）响应文件中的大写金额与小写金额不一致的，以大写金额为准；</w:t>
      </w:r>
    </w:p>
    <w:p w14:paraId="51A60A46">
      <w:pPr>
        <w:pStyle w:val="13"/>
        <w:kinsoku/>
        <w:topLinePunct/>
        <w:autoSpaceDE/>
        <w:spacing w:beforeAutospacing="0" w:afterAutospacing="0" w:line="360" w:lineRule="auto"/>
        <w:ind w:firstLine="414"/>
        <w:jc w:val="both"/>
        <w:rPr>
          <w:rFonts w:ascii="宋体" w:hAnsi="宋体" w:eastAsia="宋体" w:cs="宋体"/>
          <w:spacing w:val="7"/>
          <w:lang w:bidi="ar"/>
        </w:rPr>
      </w:pPr>
      <w:r>
        <w:rPr>
          <w:rFonts w:hint="eastAsia" w:ascii="宋体" w:hAnsi="宋体" w:eastAsia="宋体" w:cs="宋体"/>
          <w:spacing w:val="7"/>
          <w:lang w:bidi="ar"/>
        </w:rPr>
        <w:t>（2）总价金额与单价金额不一致的，以单价金额为准，但单价金额小数点有明显错误的除外。</w:t>
      </w:r>
    </w:p>
    <w:p w14:paraId="6B476A1C">
      <w:pPr>
        <w:pStyle w:val="13"/>
        <w:kinsoku/>
        <w:topLinePunct/>
        <w:autoSpaceDE/>
        <w:spacing w:beforeAutospacing="0" w:afterAutospacing="0" w:line="360" w:lineRule="auto"/>
        <w:outlineLvl w:val="2"/>
        <w:rPr>
          <w:b/>
          <w:sz w:val="28"/>
          <w:szCs w:val="28"/>
        </w:rPr>
      </w:pPr>
      <w:bookmarkStart w:id="139" w:name="_Toc199944405"/>
      <w:r>
        <w:rPr>
          <w:rFonts w:hint="eastAsia" w:ascii="宋体" w:hAnsi="宋体" w:eastAsia="宋体" w:cs="宋体"/>
          <w:b/>
          <w:spacing w:val="-5"/>
          <w:sz w:val="28"/>
          <w:szCs w:val="28"/>
          <w:lang w:bidi="ar"/>
        </w:rPr>
        <w:t>3.2详细评审</w:t>
      </w:r>
      <w:bookmarkEnd w:id="139"/>
    </w:p>
    <w:p w14:paraId="25180C00">
      <w:pPr>
        <w:pStyle w:val="13"/>
        <w:kinsoku/>
        <w:topLinePunct/>
        <w:autoSpaceDE/>
        <w:spacing w:beforeAutospacing="0" w:afterAutospacing="0" w:line="360" w:lineRule="auto"/>
        <w:ind w:firstLine="512" w:firstLineChars="200"/>
      </w:pPr>
      <w:r>
        <w:rPr>
          <w:rFonts w:hint="eastAsia" w:ascii="宋体" w:hAnsi="宋体" w:eastAsia="宋体" w:cs="宋体"/>
          <w:spacing w:val="8"/>
          <w:position w:val="14"/>
          <w:lang w:bidi="ar"/>
        </w:rPr>
        <w:t>3.2.1评标委员会按本章第2.2款规定的量化因素和分值进行打分，并计算出综合评估得分。</w:t>
      </w:r>
    </w:p>
    <w:p w14:paraId="2AA8E567">
      <w:pPr>
        <w:pStyle w:val="13"/>
        <w:kinsoku/>
        <w:topLinePunct/>
        <w:autoSpaceDE/>
        <w:spacing w:beforeAutospacing="0" w:afterAutospacing="0" w:line="360" w:lineRule="auto"/>
        <w:ind w:firstLine="508" w:firstLineChars="200"/>
      </w:pPr>
      <w:r>
        <w:rPr>
          <w:rFonts w:hint="eastAsia" w:ascii="宋体" w:hAnsi="宋体" w:eastAsia="宋体" w:cs="宋体"/>
          <w:spacing w:val="7"/>
          <w:lang w:bidi="ar"/>
        </w:rPr>
        <w:t>（1）按本章第2.2.4（1）目规定的评审因素和分值对资信业绩部</w:t>
      </w:r>
      <w:r>
        <w:rPr>
          <w:rFonts w:hint="eastAsia" w:ascii="宋体" w:hAnsi="宋体" w:eastAsia="宋体" w:cs="宋体"/>
          <w:spacing w:val="6"/>
          <w:lang w:bidi="ar"/>
        </w:rPr>
        <w:t>分计算出得分A；</w:t>
      </w:r>
    </w:p>
    <w:p w14:paraId="26C3B699">
      <w:pPr>
        <w:pStyle w:val="13"/>
        <w:kinsoku/>
        <w:topLinePunct/>
        <w:autoSpaceDE/>
        <w:spacing w:beforeAutospacing="0" w:afterAutospacing="0" w:line="360" w:lineRule="auto"/>
        <w:ind w:firstLine="504" w:firstLineChars="200"/>
        <w:jc w:val="both"/>
        <w:rPr>
          <w:spacing w:val="5"/>
        </w:rPr>
      </w:pPr>
      <w:r>
        <w:rPr>
          <w:rFonts w:hint="eastAsia" w:ascii="宋体" w:hAnsi="宋体" w:eastAsia="宋体" w:cs="宋体"/>
          <w:spacing w:val="6"/>
          <w:lang w:bidi="ar"/>
        </w:rPr>
        <w:t>（2）按本章第2.2.4（2）目规定的评审因素和分值对监理大纲</w:t>
      </w:r>
      <w:r>
        <w:rPr>
          <w:rFonts w:hint="eastAsia" w:ascii="宋体" w:hAnsi="宋体" w:eastAsia="宋体" w:cs="宋体"/>
          <w:spacing w:val="5"/>
          <w:lang w:bidi="ar"/>
        </w:rPr>
        <w:t>部分计算出得分B；</w:t>
      </w:r>
    </w:p>
    <w:p w14:paraId="59BEB374">
      <w:pPr>
        <w:pStyle w:val="13"/>
        <w:kinsoku/>
        <w:topLinePunct/>
        <w:autoSpaceDE/>
        <w:spacing w:beforeAutospacing="0" w:afterAutospacing="0" w:line="360" w:lineRule="auto"/>
        <w:ind w:firstLine="504" w:firstLineChars="200"/>
        <w:jc w:val="both"/>
      </w:pPr>
      <w:r>
        <w:rPr>
          <w:rFonts w:hint="eastAsia" w:ascii="宋体" w:hAnsi="宋体" w:eastAsia="宋体" w:cs="宋体"/>
          <w:spacing w:val="6"/>
          <w:lang w:bidi="ar"/>
        </w:rPr>
        <w:t>（3）按本章第2.2.4（3）目规定的评审因素和分值对磋商</w:t>
      </w:r>
      <w:r>
        <w:rPr>
          <w:rFonts w:hint="eastAsia" w:ascii="宋体" w:hAnsi="宋体" w:eastAsia="宋体" w:cs="宋体"/>
          <w:spacing w:val="5"/>
          <w:lang w:bidi="ar"/>
        </w:rPr>
        <w:t>报价部分计算出得分C；</w:t>
      </w:r>
    </w:p>
    <w:p w14:paraId="605DE8B8">
      <w:pPr>
        <w:pStyle w:val="13"/>
        <w:kinsoku/>
        <w:topLinePunct/>
        <w:autoSpaceDE/>
        <w:spacing w:beforeAutospacing="0" w:afterAutospacing="0" w:line="360" w:lineRule="auto"/>
        <w:ind w:firstLine="508" w:firstLineChars="200"/>
      </w:pPr>
      <w:r>
        <w:rPr>
          <w:rFonts w:hint="eastAsia" w:ascii="宋体" w:hAnsi="宋体" w:eastAsia="宋体" w:cs="宋体"/>
          <w:spacing w:val="7"/>
          <w:lang w:bidi="ar"/>
        </w:rPr>
        <w:t>（4）按本章第2.2.4（4）目规定的评审因素和分值对其他因素部</w:t>
      </w:r>
      <w:r>
        <w:rPr>
          <w:rFonts w:hint="eastAsia" w:ascii="宋体" w:hAnsi="宋体" w:eastAsia="宋体" w:cs="宋体"/>
          <w:spacing w:val="6"/>
          <w:lang w:bidi="ar"/>
        </w:rPr>
        <w:t>分计算出得分D。</w:t>
      </w:r>
    </w:p>
    <w:p w14:paraId="25C6B9CE">
      <w:pPr>
        <w:pStyle w:val="13"/>
        <w:kinsoku/>
        <w:topLinePunct/>
        <w:autoSpaceDE/>
        <w:spacing w:beforeAutospacing="0" w:afterAutospacing="0" w:line="360" w:lineRule="auto"/>
        <w:ind w:firstLine="508" w:firstLineChars="200"/>
      </w:pPr>
      <w:r>
        <w:rPr>
          <w:rFonts w:hint="eastAsia" w:ascii="宋体" w:hAnsi="宋体" w:eastAsia="宋体" w:cs="宋体"/>
          <w:spacing w:val="7"/>
          <w:lang w:bidi="ar"/>
        </w:rPr>
        <w:t>3.2.2评分分值计算保留小数点后两位，小数点后第三位“四舍五入”。</w:t>
      </w:r>
    </w:p>
    <w:p w14:paraId="18F52AEC">
      <w:pPr>
        <w:pStyle w:val="13"/>
        <w:kinsoku/>
        <w:topLinePunct/>
        <w:autoSpaceDE/>
        <w:spacing w:beforeAutospacing="0" w:afterAutospacing="0" w:line="360" w:lineRule="auto"/>
        <w:ind w:firstLine="500" w:firstLineChars="200"/>
      </w:pPr>
      <w:r>
        <w:rPr>
          <w:rFonts w:hint="eastAsia" w:ascii="宋体" w:hAnsi="宋体" w:eastAsia="宋体" w:cs="宋体"/>
          <w:spacing w:val="5"/>
          <w:lang w:bidi="ar"/>
        </w:rPr>
        <w:t>3.2.3供应商得分=A+B+C+D。</w:t>
      </w:r>
    </w:p>
    <w:p w14:paraId="34C32189">
      <w:pPr>
        <w:pStyle w:val="13"/>
        <w:kinsoku/>
        <w:topLinePunct/>
        <w:autoSpaceDE/>
        <w:spacing w:beforeAutospacing="0" w:afterAutospacing="0" w:line="360" w:lineRule="auto"/>
        <w:ind w:firstLine="508" w:firstLineChars="200"/>
        <w:rPr>
          <w:spacing w:val="7"/>
        </w:rPr>
      </w:pPr>
      <w:r>
        <w:rPr>
          <w:rFonts w:hint="eastAsia" w:ascii="宋体" w:hAnsi="宋体" w:eastAsia="宋体" w:cs="宋体"/>
          <w:spacing w:val="7"/>
          <w:lang w:bidi="ar"/>
        </w:rPr>
        <w:t>3.2.4评标委员会发现供应商的报价明显低于其他投标报价，使得其投标报价可能低于其个别成本的，应当要求该供应商作出书面说明并提供相应的证明材料。供应商不能合理说明或者不能提供相应证明材料的，评标委员会应当认定该供应商以低于成本报价竞标，并否决其投标。</w:t>
      </w:r>
    </w:p>
    <w:p w14:paraId="792D0628">
      <w:pPr>
        <w:pStyle w:val="13"/>
        <w:kinsoku/>
        <w:topLinePunct/>
        <w:autoSpaceDE/>
        <w:spacing w:beforeAutospacing="0" w:afterAutospacing="0" w:line="360" w:lineRule="auto"/>
        <w:outlineLvl w:val="2"/>
        <w:rPr>
          <w:b/>
          <w:sz w:val="28"/>
          <w:szCs w:val="28"/>
        </w:rPr>
      </w:pPr>
      <w:bookmarkStart w:id="140" w:name="_Toc199944406"/>
      <w:r>
        <w:rPr>
          <w:rFonts w:hint="eastAsia" w:ascii="宋体" w:hAnsi="宋体" w:eastAsia="宋体" w:cs="宋体"/>
          <w:b/>
          <w:spacing w:val="-1"/>
          <w:sz w:val="28"/>
          <w:szCs w:val="28"/>
          <w:lang w:bidi="ar"/>
        </w:rPr>
        <w:t>3.3响应文件的澄清</w:t>
      </w:r>
      <w:bookmarkEnd w:id="140"/>
    </w:p>
    <w:p w14:paraId="0FD81A6B">
      <w:pPr>
        <w:widowControl/>
        <w:spacing w:line="360" w:lineRule="auto"/>
        <w:ind w:firstLine="516" w:firstLineChars="200"/>
        <w:jc w:val="left"/>
        <w:rPr>
          <w:rFonts w:ascii="Arial" w:hAnsi="Arial" w:eastAsia="Arial" w:cs="Arial"/>
          <w:snapToGrid w:val="0"/>
          <w:color w:val="000000"/>
          <w:spacing w:val="9"/>
          <w:kern w:val="0"/>
          <w:sz w:val="24"/>
          <w:lang w:eastAsia="en-US" w:bidi="ar"/>
        </w:rPr>
      </w:pPr>
      <w:r>
        <w:rPr>
          <w:rFonts w:hint="eastAsia" w:ascii="Arial" w:hAnsi="Arial" w:eastAsia="Arial" w:cs="Arial"/>
          <w:snapToGrid w:val="0"/>
          <w:color w:val="000000"/>
          <w:spacing w:val="9"/>
          <w:kern w:val="0"/>
          <w:sz w:val="24"/>
          <w:lang w:bidi="ar"/>
        </w:rPr>
        <w:t>3.3.1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EBFD3D">
      <w:pPr>
        <w:widowControl/>
        <w:spacing w:line="360" w:lineRule="auto"/>
        <w:ind w:firstLine="516" w:firstLineChars="200"/>
        <w:jc w:val="left"/>
        <w:rPr>
          <w:rFonts w:ascii="Arial" w:hAnsi="Arial" w:eastAsia="Arial" w:cs="Arial"/>
          <w:snapToGrid w:val="0"/>
          <w:color w:val="000000"/>
          <w:spacing w:val="9"/>
          <w:kern w:val="0"/>
          <w:sz w:val="24"/>
          <w:lang w:eastAsia="en-US" w:bidi="ar"/>
        </w:rPr>
      </w:pPr>
      <w:r>
        <w:rPr>
          <w:rFonts w:hint="eastAsia" w:ascii="Arial" w:hAnsi="Arial" w:eastAsia="Arial" w:cs="Arial"/>
          <w:snapToGrid w:val="0"/>
          <w:color w:val="000000"/>
          <w:spacing w:val="9"/>
          <w:kern w:val="0"/>
          <w:sz w:val="24"/>
          <w:lang w:bidi="ar"/>
        </w:rPr>
        <w:t>3.3.2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A3DEDB3">
      <w:pPr>
        <w:widowControl/>
        <w:spacing w:line="360" w:lineRule="auto"/>
        <w:ind w:firstLine="516" w:firstLineChars="200"/>
        <w:jc w:val="left"/>
        <w:rPr>
          <w:sz w:val="24"/>
        </w:rPr>
      </w:pPr>
      <w:r>
        <w:rPr>
          <w:rFonts w:hint="eastAsia" w:ascii="Arial" w:hAnsi="Arial" w:eastAsia="Arial" w:cs="Arial"/>
          <w:snapToGrid w:val="0"/>
          <w:color w:val="000000"/>
          <w:spacing w:val="9"/>
          <w:kern w:val="0"/>
          <w:sz w:val="24"/>
          <w:lang w:bidi="ar"/>
        </w:rPr>
        <w:t>3.3.3磋商小组对供应商提交的澄清、说明或补正有疑问的，可以要求供应商进一步澄清、说明或补正，直至满足磋商小组的要求</w:t>
      </w:r>
      <w:r>
        <w:rPr>
          <w:rFonts w:hint="eastAsia" w:ascii="宋体" w:hAnsi="宋体" w:eastAsia="宋体" w:cs="宋体"/>
          <w:color w:val="000000"/>
          <w:spacing w:val="9"/>
          <w:kern w:val="0"/>
          <w:sz w:val="24"/>
          <w:lang w:bidi="ar"/>
        </w:rPr>
        <w:t>。</w:t>
      </w:r>
    </w:p>
    <w:p w14:paraId="404AC4FD">
      <w:pPr>
        <w:pStyle w:val="13"/>
        <w:kinsoku/>
        <w:topLinePunct/>
        <w:autoSpaceDE/>
        <w:spacing w:beforeAutospacing="0" w:afterAutospacing="0" w:line="360" w:lineRule="auto"/>
        <w:outlineLvl w:val="2"/>
        <w:rPr>
          <w:b/>
          <w:sz w:val="28"/>
          <w:szCs w:val="28"/>
        </w:rPr>
      </w:pPr>
      <w:bookmarkStart w:id="141" w:name="_Toc199944407"/>
      <w:r>
        <w:rPr>
          <w:rFonts w:hint="eastAsia" w:ascii="宋体" w:hAnsi="宋体" w:eastAsia="宋体" w:cs="宋体"/>
          <w:b/>
          <w:spacing w:val="-2"/>
          <w:sz w:val="28"/>
          <w:szCs w:val="28"/>
          <w:lang w:bidi="ar"/>
        </w:rPr>
        <w:t>3.4评标结果</w:t>
      </w:r>
      <w:bookmarkEnd w:id="141"/>
    </w:p>
    <w:p w14:paraId="4EF66E3B">
      <w:pPr>
        <w:widowControl/>
        <w:spacing w:line="360" w:lineRule="auto"/>
        <w:ind w:firstLine="516" w:firstLineChars="200"/>
        <w:jc w:val="left"/>
      </w:pPr>
      <w:r>
        <w:rPr>
          <w:rFonts w:ascii="Arial" w:hAnsi="Arial" w:eastAsia="Arial" w:cs="Arial"/>
          <w:snapToGrid w:val="0"/>
          <w:color w:val="000000"/>
          <w:spacing w:val="9"/>
          <w:kern w:val="0"/>
          <w:sz w:val="24"/>
          <w:lang w:eastAsia="en-US" w:bidi="ar"/>
        </w:rPr>
        <w:t>3.4.1磋商小组应当根据综合评分情况，按照评审得分由高到低顺序推荐3名以上成交候选供应商，并编写评审报告。</w:t>
      </w:r>
    </w:p>
    <w:p w14:paraId="4C832DA6">
      <w:pPr>
        <w:widowControl/>
        <w:jc w:val="left"/>
        <w:rPr>
          <w:rFonts w:ascii="宋体" w:hAnsi="宋体" w:eastAsia="宋体" w:cs="宋体"/>
          <w:color w:val="000000"/>
          <w:spacing w:val="-4"/>
          <w:kern w:val="0"/>
          <w:sz w:val="28"/>
          <w:szCs w:val="28"/>
          <w:lang w:bidi="ar"/>
        </w:rPr>
      </w:pPr>
      <w:r>
        <w:rPr>
          <w:rFonts w:ascii="宋体" w:hAnsi="宋体" w:eastAsia="宋体" w:cs="宋体"/>
          <w:spacing w:val="-4"/>
          <w:sz w:val="28"/>
          <w:szCs w:val="28"/>
          <w:lang w:bidi="ar"/>
        </w:rPr>
        <w:br w:type="page"/>
      </w:r>
    </w:p>
    <w:p w14:paraId="3CCED0A2">
      <w:pPr>
        <w:pStyle w:val="2"/>
        <w:kinsoku/>
        <w:topLinePunct/>
        <w:autoSpaceDE/>
        <w:autoSpaceDN/>
        <w:spacing w:line="360" w:lineRule="auto"/>
        <w:ind w:left="420"/>
        <w:jc w:val="center"/>
        <w:outlineLvl w:val="0"/>
        <w:rPr>
          <w:rFonts w:hint="default"/>
          <w:sz w:val="43"/>
          <w:szCs w:val="43"/>
        </w:rPr>
      </w:pPr>
      <w:bookmarkStart w:id="142" w:name="_Toc199944408"/>
      <w:bookmarkStart w:id="143" w:name="_Toc200025584"/>
      <w:r>
        <w:rPr>
          <w:spacing w:val="9"/>
          <w:sz w:val="43"/>
          <w:szCs w:val="43"/>
          <w14:textOutline w14:w="7975" w14:cap="sq" w14:cmpd="sng" w14:algn="ctr">
            <w14:solidFill>
              <w14:srgbClr w14:val="000000"/>
            </w14:solidFill>
            <w14:prstDash w14:val="solid"/>
            <w14:bevel/>
          </w14:textOutline>
        </w:rPr>
        <w:t>第四章 合同条款及格式</w:t>
      </w:r>
      <w:bookmarkEnd w:id="142"/>
      <w:bookmarkEnd w:id="143"/>
    </w:p>
    <w:p w14:paraId="6B253962">
      <w:pPr>
        <w:topLinePunct/>
        <w:spacing w:line="360" w:lineRule="auto"/>
      </w:pPr>
    </w:p>
    <w:p w14:paraId="1398E41C">
      <w:pPr>
        <w:rPr>
          <w:sz w:val="24"/>
        </w:rPr>
      </w:pPr>
      <w:r>
        <w:rPr>
          <w:rFonts w:hint="eastAsia"/>
          <w:sz w:val="24"/>
        </w:rPr>
        <w:t>采用建设工程监理合同（示范文本）（ＧＦ－2012－0202）。</w:t>
      </w:r>
    </w:p>
    <w:p w14:paraId="63EDFF34">
      <w:pPr>
        <w:widowControl/>
        <w:jc w:val="left"/>
        <w:rPr>
          <w:rFonts w:cs="Times New Roman" w:asciiTheme="minorEastAsia" w:hAnsiTheme="minorEastAsia"/>
          <w:color w:val="000000"/>
          <w:kern w:val="0"/>
          <w:sz w:val="28"/>
          <w:szCs w:val="28"/>
        </w:rPr>
      </w:pPr>
      <w:r>
        <w:rPr>
          <w:rFonts w:asciiTheme="minorEastAsia" w:hAnsiTheme="minorEastAsia"/>
          <w:sz w:val="28"/>
          <w:szCs w:val="28"/>
        </w:rPr>
        <w:br w:type="page"/>
      </w:r>
    </w:p>
    <w:p w14:paraId="632FF60D">
      <w:pPr>
        <w:tabs>
          <w:tab w:val="left" w:pos="3120"/>
        </w:tabs>
        <w:spacing w:line="360" w:lineRule="auto"/>
        <w:jc w:val="center"/>
        <w:rPr>
          <w:rFonts w:ascii="华文中宋" w:hAnsi="华文中宋" w:eastAsia="华文中宋"/>
          <w:b/>
          <w:bCs/>
          <w:sz w:val="32"/>
          <w:szCs w:val="32"/>
        </w:rPr>
      </w:pPr>
      <w:r>
        <w:rPr>
          <w:rFonts w:hint="eastAsia" w:ascii="微软雅黑" w:hAnsi="微软雅黑" w:eastAsia="微软雅黑" w:cs="微软雅黑"/>
          <w:b/>
          <w:bCs/>
          <w:sz w:val="32"/>
          <w:szCs w:val="32"/>
        </w:rPr>
        <w:t>第一部分</w:t>
      </w:r>
      <w:r>
        <w:rPr>
          <w:rFonts w:hint="eastAsia" w:ascii="华文中宋" w:hAnsi="华文中宋" w:eastAsia="华文中宋"/>
          <w:b/>
          <w:bCs/>
          <w:sz w:val="32"/>
          <w:szCs w:val="32"/>
        </w:rPr>
        <w:t xml:space="preserve">  </w:t>
      </w:r>
      <w:r>
        <w:rPr>
          <w:rFonts w:hint="eastAsia" w:ascii="微软雅黑" w:hAnsi="微软雅黑" w:eastAsia="微软雅黑" w:cs="微软雅黑"/>
          <w:b/>
          <w:bCs/>
          <w:sz w:val="32"/>
          <w:szCs w:val="32"/>
        </w:rPr>
        <w:t>协议书</w:t>
      </w:r>
    </w:p>
    <w:p w14:paraId="113388EB">
      <w:pPr>
        <w:spacing w:line="360" w:lineRule="auto"/>
        <w:ind w:firstLine="602" w:firstLineChars="250"/>
        <w:rPr>
          <w:rFonts w:ascii="仿宋_GB2312" w:hAnsi="宋体" w:eastAsia="仿宋_GB2312"/>
          <w:b/>
          <w:sz w:val="24"/>
        </w:rPr>
      </w:pPr>
      <w:r>
        <w:rPr>
          <w:rFonts w:hint="eastAsia" w:ascii="仿宋_GB2312" w:hAnsi="宋体" w:eastAsia="仿宋_GB2312"/>
          <w:b/>
          <w:sz w:val="24"/>
        </w:rPr>
        <w:t xml:space="preserve"> </w:t>
      </w:r>
    </w:p>
    <w:p w14:paraId="3D72C723">
      <w:pPr>
        <w:spacing w:line="360" w:lineRule="auto"/>
        <w:ind w:firstLine="482" w:firstLineChars="200"/>
        <w:rPr>
          <w:rFonts w:ascii="仿宋_GB2312" w:hAnsi="宋体" w:eastAsia="仿宋_GB2312"/>
          <w:b/>
          <w:sz w:val="24"/>
        </w:rPr>
      </w:pPr>
      <w:r>
        <w:rPr>
          <w:rFonts w:hint="eastAsia" w:ascii="仿宋_GB2312" w:hAnsi="宋体" w:eastAsia="仿宋_GB2312"/>
          <w:b/>
          <w:sz w:val="24"/>
        </w:rPr>
        <w:t>委托人（全称）：</w:t>
      </w:r>
      <w:r>
        <w:rPr>
          <w:rFonts w:hint="eastAsia" w:ascii="仿宋_GB2312" w:hAnsi="宋体" w:eastAsia="仿宋_GB2312"/>
          <w:b/>
          <w:sz w:val="24"/>
          <w:u w:val="single"/>
        </w:rPr>
        <w:t xml:space="preserve">                                      </w:t>
      </w:r>
    </w:p>
    <w:p w14:paraId="3CDB1937">
      <w:pPr>
        <w:spacing w:line="360" w:lineRule="auto"/>
        <w:ind w:firstLine="482" w:firstLineChars="200"/>
        <w:rPr>
          <w:rFonts w:ascii="仿宋_GB2312" w:hAnsi="宋体" w:eastAsia="仿宋_GB2312"/>
          <w:sz w:val="24"/>
        </w:rPr>
      </w:pPr>
      <w:r>
        <w:rPr>
          <w:rFonts w:hint="eastAsia" w:ascii="仿宋_GB2312" w:hAnsi="宋体" w:eastAsia="仿宋_GB2312"/>
          <w:b/>
          <w:sz w:val="24"/>
        </w:rPr>
        <w:t>监理人（全称）：</w:t>
      </w:r>
      <w:r>
        <w:rPr>
          <w:rFonts w:hint="eastAsia" w:ascii="仿宋_GB2312" w:hAnsi="宋体" w:eastAsia="仿宋_GB2312"/>
          <w:b/>
          <w:sz w:val="24"/>
          <w:u w:val="single"/>
        </w:rPr>
        <w:t xml:space="preserve">                                   </w:t>
      </w:r>
      <w:r>
        <w:rPr>
          <w:rFonts w:hint="eastAsia" w:ascii="仿宋_GB2312" w:hAnsi="宋体" w:eastAsia="仿宋_GB2312"/>
          <w:sz w:val="24"/>
          <w:u w:val="single"/>
        </w:rPr>
        <w:t xml:space="preserve">   </w:t>
      </w:r>
    </w:p>
    <w:p w14:paraId="5441CC54">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根据《中华人民共和国合同法》、《中华人民共和国建筑法》及其他有关法律、法规，遵循平等、自愿、公平和诚信的原则，双方就下述工程委托监理与相关服务事项协商一致，订立本合同。</w:t>
      </w:r>
    </w:p>
    <w:p w14:paraId="06A25A8B">
      <w:pPr>
        <w:spacing w:line="360" w:lineRule="auto"/>
        <w:ind w:firstLine="477" w:firstLineChars="198"/>
        <w:outlineLvl w:val="0"/>
        <w:rPr>
          <w:rFonts w:hint="eastAsia" w:ascii="仿宋_GB2312" w:hAnsi="华文楷体" w:eastAsia="仿宋_GB2312"/>
          <w:b/>
          <w:sz w:val="24"/>
        </w:rPr>
      </w:pPr>
      <w:bookmarkStart w:id="144" w:name="_Toc200025585"/>
      <w:bookmarkStart w:id="145" w:name="_Toc199944409"/>
      <w:r>
        <w:rPr>
          <w:rFonts w:hint="eastAsia" w:ascii="仿宋_GB2312" w:hAnsi="华文楷体" w:eastAsia="仿宋_GB2312"/>
          <w:b/>
          <w:sz w:val="24"/>
        </w:rPr>
        <w:t>一、工程概况</w:t>
      </w:r>
      <w:bookmarkEnd w:id="144"/>
      <w:bookmarkEnd w:id="145"/>
    </w:p>
    <w:p w14:paraId="3931B9B6">
      <w:pPr>
        <w:spacing w:line="360" w:lineRule="auto"/>
        <w:ind w:firstLine="475" w:firstLineChars="198"/>
        <w:rPr>
          <w:rFonts w:ascii="仿宋_GB2312" w:hAnsi="Courier New" w:eastAsia="仿宋_GB2312"/>
          <w:sz w:val="24"/>
        </w:rPr>
      </w:pPr>
      <w:r>
        <w:rPr>
          <w:rFonts w:hint="eastAsia" w:ascii="仿宋_GB2312" w:eastAsia="仿宋_GB2312"/>
          <w:sz w:val="24"/>
        </w:rPr>
        <w:t xml:space="preserve">1. </w:t>
      </w:r>
      <w:r>
        <w:rPr>
          <w:rFonts w:hint="eastAsia" w:ascii="仿宋_GB2312" w:hAnsi="宋体" w:eastAsia="仿宋_GB2312"/>
          <w:sz w:val="24"/>
        </w:rPr>
        <w:t>工程名称：</w:t>
      </w:r>
      <w:r>
        <w:rPr>
          <w:rFonts w:hint="eastAsia" w:ascii="仿宋_GB2312" w:hAnsi="宋体" w:eastAsia="仿宋_GB2312"/>
          <w:sz w:val="24"/>
          <w:u w:val="single"/>
        </w:rPr>
        <w:t xml:space="preserve">                                        </w:t>
      </w:r>
      <w:r>
        <w:rPr>
          <w:rFonts w:hint="eastAsia" w:ascii="仿宋_GB2312" w:hAnsi="宋体" w:eastAsia="仿宋_GB2312"/>
          <w:sz w:val="24"/>
        </w:rPr>
        <w:t>；</w:t>
      </w:r>
    </w:p>
    <w:p w14:paraId="2C34F704">
      <w:pPr>
        <w:spacing w:line="360" w:lineRule="auto"/>
        <w:ind w:firstLine="475" w:firstLineChars="198"/>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工程地点：</w:t>
      </w:r>
      <w:r>
        <w:rPr>
          <w:rFonts w:hint="eastAsia" w:ascii="仿宋_GB2312" w:hAnsi="宋体" w:eastAsia="仿宋_GB2312"/>
          <w:sz w:val="24"/>
          <w:u w:val="single"/>
        </w:rPr>
        <w:t xml:space="preserve">                                        </w:t>
      </w:r>
      <w:r>
        <w:rPr>
          <w:rFonts w:hint="eastAsia" w:ascii="仿宋_GB2312" w:hAnsi="宋体" w:eastAsia="仿宋_GB2312"/>
          <w:sz w:val="24"/>
        </w:rPr>
        <w:t>；</w:t>
      </w:r>
    </w:p>
    <w:p w14:paraId="5ABC4C90">
      <w:pPr>
        <w:spacing w:line="360" w:lineRule="auto"/>
        <w:ind w:firstLine="475" w:firstLineChars="198"/>
        <w:rPr>
          <w:rFonts w:ascii="仿宋_GB2312" w:eastAsia="仿宋_GB2312"/>
          <w:sz w:val="24"/>
        </w:rPr>
      </w:pPr>
      <w:r>
        <w:rPr>
          <w:rFonts w:hint="eastAsia" w:ascii="仿宋_GB2312" w:eastAsia="仿宋_GB2312"/>
          <w:sz w:val="24"/>
        </w:rPr>
        <w:t xml:space="preserve">3. </w:t>
      </w:r>
      <w:r>
        <w:rPr>
          <w:rFonts w:hint="eastAsia" w:ascii="仿宋_GB2312" w:hAnsi="宋体" w:eastAsia="仿宋_GB2312"/>
          <w:sz w:val="24"/>
        </w:rPr>
        <w:t>工程规模：</w:t>
      </w:r>
      <w:r>
        <w:rPr>
          <w:rFonts w:hint="eastAsia" w:ascii="仿宋_GB2312" w:hAnsi="宋体" w:eastAsia="仿宋_GB2312"/>
          <w:sz w:val="24"/>
          <w:u w:val="single"/>
        </w:rPr>
        <w:t xml:space="preserve">                                        </w:t>
      </w:r>
      <w:r>
        <w:rPr>
          <w:rFonts w:hint="eastAsia" w:ascii="仿宋_GB2312" w:hAnsi="宋体" w:eastAsia="仿宋_GB2312"/>
          <w:sz w:val="24"/>
        </w:rPr>
        <w:t>；</w:t>
      </w:r>
    </w:p>
    <w:p w14:paraId="5D91517B">
      <w:pPr>
        <w:spacing w:line="360" w:lineRule="auto"/>
        <w:ind w:firstLine="475" w:firstLineChars="198"/>
        <w:rPr>
          <w:rFonts w:ascii="仿宋_GB2312" w:hAnsi="宋体" w:eastAsia="仿宋_GB2312"/>
          <w:sz w:val="24"/>
        </w:rPr>
      </w:pPr>
      <w:r>
        <w:rPr>
          <w:rFonts w:hint="eastAsia" w:ascii="仿宋_GB2312" w:eastAsia="仿宋_GB2312"/>
          <w:sz w:val="24"/>
        </w:rPr>
        <w:t xml:space="preserve">4. </w:t>
      </w:r>
      <w:r>
        <w:rPr>
          <w:rFonts w:hint="eastAsia" w:ascii="仿宋_GB2312" w:hAnsi="宋体" w:eastAsia="仿宋_GB2312"/>
          <w:sz w:val="24"/>
        </w:rPr>
        <w:t>工程概算投资</w:t>
      </w:r>
      <w:r>
        <w:rPr>
          <w:rFonts w:hint="eastAsia" w:ascii="仿宋_GB2312" w:hAnsi="宋体" w:eastAsia="仿宋_GB2312" w:cs="宋体"/>
          <w:sz w:val="24"/>
        </w:rPr>
        <w:t>额或建筑安装工程费</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w:t>
      </w:r>
    </w:p>
    <w:p w14:paraId="3562A094">
      <w:pPr>
        <w:spacing w:line="360" w:lineRule="auto"/>
        <w:ind w:firstLine="477" w:firstLineChars="198"/>
        <w:rPr>
          <w:rFonts w:ascii="仿宋_GB2312" w:hAnsi="宋体" w:eastAsia="仿宋_GB2312"/>
          <w:b/>
          <w:sz w:val="24"/>
        </w:rPr>
      </w:pPr>
      <w:r>
        <w:rPr>
          <w:rFonts w:hint="eastAsia" w:ascii="仿宋_GB2312" w:hAnsi="宋体" w:eastAsia="仿宋_GB2312"/>
          <w:b/>
          <w:sz w:val="24"/>
        </w:rPr>
        <w:t>二、词语限定</w:t>
      </w:r>
    </w:p>
    <w:p w14:paraId="6E68021E">
      <w:pPr>
        <w:spacing w:line="360" w:lineRule="auto"/>
        <w:ind w:firstLine="475" w:firstLineChars="198"/>
        <w:rPr>
          <w:rFonts w:ascii="仿宋_GB2312" w:hAnsi="宋体" w:eastAsia="仿宋_GB2312"/>
          <w:sz w:val="24"/>
        </w:rPr>
      </w:pPr>
      <w:r>
        <w:rPr>
          <w:rFonts w:hint="eastAsia" w:ascii="仿宋_GB2312" w:hAnsi="宋体" w:eastAsia="仿宋_GB2312"/>
          <w:sz w:val="24"/>
        </w:rPr>
        <w:t>协议书中相关词语的含义与通用条件中的定义与解释相同。</w:t>
      </w:r>
    </w:p>
    <w:p w14:paraId="0EB604E0">
      <w:pPr>
        <w:spacing w:line="360" w:lineRule="auto"/>
        <w:ind w:firstLine="477" w:firstLineChars="198"/>
        <w:outlineLvl w:val="0"/>
        <w:rPr>
          <w:rFonts w:ascii="仿宋_GB2312" w:hAnsi="宋体" w:eastAsia="仿宋_GB2312"/>
          <w:b/>
          <w:sz w:val="24"/>
        </w:rPr>
      </w:pPr>
      <w:bookmarkStart w:id="146" w:name="_Toc200025586"/>
      <w:bookmarkStart w:id="147" w:name="_Toc199944410"/>
      <w:r>
        <w:rPr>
          <w:rFonts w:hint="eastAsia" w:ascii="仿宋_GB2312" w:hAnsi="宋体" w:eastAsia="仿宋_GB2312"/>
          <w:b/>
          <w:sz w:val="24"/>
        </w:rPr>
        <w:t>三、组成本合同的文件</w:t>
      </w:r>
      <w:bookmarkEnd w:id="146"/>
      <w:bookmarkEnd w:id="147"/>
    </w:p>
    <w:p w14:paraId="1E949A1D">
      <w:pPr>
        <w:spacing w:line="360" w:lineRule="auto"/>
        <w:ind w:firstLine="475" w:firstLineChars="198"/>
        <w:rPr>
          <w:rFonts w:ascii="仿宋_GB2312" w:hAnsi="Courier New" w:eastAsia="仿宋_GB2312"/>
          <w:sz w:val="24"/>
        </w:rPr>
      </w:pPr>
      <w:r>
        <w:rPr>
          <w:rFonts w:hint="eastAsia" w:ascii="仿宋_GB2312" w:eastAsia="仿宋_GB2312"/>
          <w:sz w:val="24"/>
        </w:rPr>
        <w:t xml:space="preserve">1. </w:t>
      </w:r>
      <w:r>
        <w:rPr>
          <w:rFonts w:hint="eastAsia" w:ascii="仿宋_GB2312" w:hAnsi="宋体" w:eastAsia="仿宋_GB2312"/>
          <w:sz w:val="24"/>
        </w:rPr>
        <w:t>协议书；</w:t>
      </w:r>
    </w:p>
    <w:p w14:paraId="2BD5F1C8">
      <w:pPr>
        <w:spacing w:line="360" w:lineRule="auto"/>
        <w:ind w:firstLine="475" w:firstLineChars="198"/>
        <w:rPr>
          <w:rFonts w:ascii="仿宋_GB2312" w:hAnsi="宋体" w:eastAsia="仿宋_GB2312"/>
          <w:sz w:val="24"/>
        </w:rPr>
      </w:pPr>
      <w:r>
        <w:rPr>
          <w:rFonts w:hint="eastAsia" w:ascii="仿宋_GB2312" w:eastAsia="仿宋_GB2312"/>
          <w:sz w:val="24"/>
        </w:rPr>
        <w:t xml:space="preserve">2. </w:t>
      </w:r>
      <w:r>
        <w:rPr>
          <w:rFonts w:hint="eastAsia" w:ascii="仿宋_GB2312" w:hAnsi="宋体" w:eastAsia="仿宋_GB2312"/>
          <w:sz w:val="24"/>
        </w:rPr>
        <w:t>中标通知书（适用于招标工程）或委托书（适用于非招标工程）；</w:t>
      </w:r>
    </w:p>
    <w:p w14:paraId="090CF363">
      <w:pPr>
        <w:spacing w:line="360" w:lineRule="auto"/>
        <w:ind w:firstLine="475" w:firstLineChars="198"/>
        <w:rPr>
          <w:rFonts w:ascii="仿宋_GB2312" w:hAnsi="宋体" w:eastAsia="仿宋_GB2312"/>
          <w:sz w:val="24"/>
        </w:rPr>
      </w:pPr>
      <w:r>
        <w:rPr>
          <w:rFonts w:hint="eastAsia" w:ascii="仿宋_GB2312" w:hAnsi="宋体" w:eastAsia="仿宋_GB2312"/>
          <w:sz w:val="24"/>
        </w:rPr>
        <w:t>3. 投标文件（适用于招标工程）或监理与相关服务建议书（适用于非招标工程）；</w:t>
      </w:r>
    </w:p>
    <w:p w14:paraId="4EC6FC1C">
      <w:pPr>
        <w:spacing w:line="360" w:lineRule="auto"/>
        <w:rPr>
          <w:rFonts w:ascii="仿宋_GB2312" w:hAnsi="Courier New" w:eastAsia="仿宋_GB2312"/>
          <w:sz w:val="24"/>
        </w:rPr>
      </w:pPr>
      <w:r>
        <w:rPr>
          <w:rFonts w:hint="eastAsia" w:ascii="仿宋_GB2312" w:eastAsia="仿宋_GB2312"/>
          <w:sz w:val="24"/>
        </w:rPr>
        <w:t xml:space="preserve">    4. </w:t>
      </w:r>
      <w:r>
        <w:rPr>
          <w:rFonts w:hint="eastAsia" w:ascii="仿宋_GB2312" w:hAnsi="宋体" w:eastAsia="仿宋_GB2312"/>
          <w:sz w:val="24"/>
        </w:rPr>
        <w:t>专用条件；</w:t>
      </w:r>
    </w:p>
    <w:p w14:paraId="619FF1A5">
      <w:pPr>
        <w:spacing w:line="360" w:lineRule="auto"/>
        <w:ind w:firstLine="475" w:firstLineChars="198"/>
        <w:rPr>
          <w:rFonts w:ascii="仿宋_GB2312" w:eastAsia="仿宋_GB2312"/>
          <w:sz w:val="24"/>
        </w:rPr>
      </w:pPr>
      <w:r>
        <w:rPr>
          <w:rFonts w:hint="eastAsia" w:ascii="仿宋_GB2312" w:eastAsia="仿宋_GB2312"/>
          <w:sz w:val="24"/>
        </w:rPr>
        <w:t xml:space="preserve">5. </w:t>
      </w:r>
      <w:r>
        <w:rPr>
          <w:rFonts w:hint="eastAsia" w:ascii="仿宋_GB2312" w:hAnsi="宋体" w:eastAsia="仿宋_GB2312"/>
          <w:sz w:val="24"/>
        </w:rPr>
        <w:t>通用条件；</w:t>
      </w:r>
    </w:p>
    <w:p w14:paraId="312F4552">
      <w:pPr>
        <w:spacing w:line="360" w:lineRule="auto"/>
        <w:ind w:firstLine="475" w:firstLineChars="198"/>
        <w:rPr>
          <w:rFonts w:ascii="仿宋_GB2312" w:eastAsia="仿宋_GB2312"/>
          <w:sz w:val="24"/>
        </w:rPr>
      </w:pPr>
      <w:r>
        <w:rPr>
          <w:rFonts w:hint="eastAsia" w:ascii="仿宋_GB2312" w:eastAsia="仿宋_GB2312"/>
          <w:sz w:val="24"/>
        </w:rPr>
        <w:t>6.</w:t>
      </w:r>
      <w:r>
        <w:rPr>
          <w:rFonts w:hint="eastAsia" w:ascii="仿宋_GB2312" w:hAnsi="宋体" w:eastAsia="仿宋_GB2312"/>
          <w:sz w:val="24"/>
        </w:rPr>
        <w:t xml:space="preserve"> 附录，即：</w:t>
      </w:r>
    </w:p>
    <w:p w14:paraId="309AB628">
      <w:pPr>
        <w:spacing w:line="360" w:lineRule="auto"/>
        <w:ind w:firstLine="475" w:firstLineChars="198"/>
        <w:rPr>
          <w:rFonts w:ascii="仿宋_GB2312" w:eastAsia="仿宋_GB2312"/>
          <w:sz w:val="24"/>
        </w:rPr>
      </w:pPr>
      <w:r>
        <w:rPr>
          <w:rFonts w:hint="eastAsia" w:ascii="仿宋_GB2312" w:hAnsi="宋体" w:eastAsia="仿宋_GB2312"/>
          <w:sz w:val="24"/>
        </w:rPr>
        <w:t>附录</w:t>
      </w:r>
      <w:r>
        <w:rPr>
          <w:rFonts w:hint="eastAsia" w:ascii="仿宋_GB2312" w:eastAsia="仿宋_GB2312"/>
          <w:sz w:val="24"/>
        </w:rPr>
        <w:t xml:space="preserve">A  </w:t>
      </w:r>
      <w:r>
        <w:rPr>
          <w:rFonts w:hint="eastAsia" w:ascii="仿宋_GB2312" w:hAnsi="宋体" w:eastAsia="仿宋_GB2312"/>
          <w:sz w:val="24"/>
        </w:rPr>
        <w:t>相关服务的范围和内容</w:t>
      </w:r>
    </w:p>
    <w:p w14:paraId="0DA44475">
      <w:pPr>
        <w:spacing w:line="360" w:lineRule="auto"/>
        <w:ind w:firstLine="480" w:firstLineChars="200"/>
        <w:rPr>
          <w:rFonts w:ascii="仿宋_GB2312" w:eastAsia="仿宋_GB2312"/>
          <w:sz w:val="24"/>
        </w:rPr>
      </w:pPr>
      <w:r>
        <w:rPr>
          <w:rFonts w:hint="eastAsia" w:ascii="仿宋_GB2312" w:hAnsi="宋体" w:eastAsia="仿宋_GB2312"/>
          <w:sz w:val="24"/>
        </w:rPr>
        <w:t>附录</w:t>
      </w:r>
      <w:r>
        <w:rPr>
          <w:rFonts w:hint="eastAsia" w:ascii="仿宋_GB2312" w:eastAsia="仿宋_GB2312"/>
          <w:sz w:val="24"/>
        </w:rPr>
        <w:t xml:space="preserve">B  </w:t>
      </w:r>
      <w:r>
        <w:rPr>
          <w:rFonts w:hint="eastAsia" w:ascii="仿宋_GB2312" w:hAnsi="宋体" w:eastAsia="仿宋_GB2312"/>
          <w:sz w:val="24"/>
        </w:rPr>
        <w:t>委托人派遣的人员和提供的</w:t>
      </w:r>
      <w:r>
        <w:rPr>
          <w:rFonts w:hint="eastAsia" w:ascii="仿宋_GB2312" w:hAnsi="宋体" w:eastAsia="仿宋_GB2312"/>
          <w:bCs/>
          <w:sz w:val="24"/>
        </w:rPr>
        <w:t>房屋、资料</w:t>
      </w:r>
      <w:r>
        <w:rPr>
          <w:rFonts w:hint="eastAsia" w:ascii="仿宋_GB2312" w:hAnsi="宋体" w:eastAsia="仿宋_GB2312"/>
          <w:sz w:val="24"/>
        </w:rPr>
        <w:t>、设备</w:t>
      </w:r>
    </w:p>
    <w:p w14:paraId="7DA1F363">
      <w:pPr>
        <w:spacing w:line="360" w:lineRule="auto"/>
        <w:ind w:firstLine="475" w:firstLineChars="198"/>
        <w:rPr>
          <w:rFonts w:ascii="仿宋_GB2312" w:hAnsi="宋体" w:eastAsia="仿宋_GB2312"/>
          <w:sz w:val="24"/>
        </w:rPr>
      </w:pPr>
      <w:r>
        <w:rPr>
          <w:rFonts w:hint="eastAsia" w:ascii="仿宋_GB2312" w:hAnsi="宋体" w:eastAsia="仿宋_GB2312"/>
          <w:sz w:val="24"/>
        </w:rPr>
        <w:t>本合同签订后，双方依法签订的补充协议也是本合同文件的组成部分。</w:t>
      </w:r>
    </w:p>
    <w:p w14:paraId="1D433ECB">
      <w:pPr>
        <w:spacing w:line="360" w:lineRule="auto"/>
        <w:ind w:firstLine="477" w:firstLineChars="198"/>
        <w:outlineLvl w:val="0"/>
        <w:rPr>
          <w:rFonts w:ascii="仿宋_GB2312" w:hAnsi="宋体" w:eastAsia="仿宋_GB2312"/>
          <w:b/>
          <w:sz w:val="24"/>
        </w:rPr>
      </w:pPr>
      <w:bookmarkStart w:id="148" w:name="_Toc200025587"/>
      <w:bookmarkStart w:id="149" w:name="_Toc199944411"/>
      <w:r>
        <w:rPr>
          <w:rFonts w:hint="eastAsia" w:ascii="仿宋_GB2312" w:hAnsi="宋体" w:eastAsia="仿宋_GB2312"/>
          <w:b/>
          <w:sz w:val="24"/>
        </w:rPr>
        <w:t>四、总监理工程师</w:t>
      </w:r>
      <w:bookmarkEnd w:id="148"/>
      <w:bookmarkEnd w:id="149"/>
    </w:p>
    <w:p w14:paraId="020CF6AA">
      <w:pPr>
        <w:spacing w:line="360" w:lineRule="auto"/>
        <w:ind w:firstLine="475" w:firstLineChars="198"/>
        <w:rPr>
          <w:rFonts w:ascii="仿宋_GB2312" w:hAnsi="宋体" w:eastAsia="仿宋_GB2312"/>
          <w:sz w:val="24"/>
        </w:rPr>
      </w:pPr>
      <w:r>
        <w:rPr>
          <w:rFonts w:hint="eastAsia" w:ascii="仿宋_GB2312" w:hAnsi="宋体" w:eastAsia="仿宋_GB2312"/>
          <w:sz w:val="24"/>
        </w:rPr>
        <w:t>总监理工程师姓名：</w:t>
      </w:r>
      <w:r>
        <w:rPr>
          <w:rFonts w:hint="eastAsia" w:ascii="仿宋_GB2312" w:hAnsi="宋体" w:eastAsia="仿宋_GB2312"/>
          <w:sz w:val="24"/>
          <w:u w:val="single"/>
        </w:rPr>
        <w:t xml:space="preserve">           </w:t>
      </w:r>
      <w:r>
        <w:rPr>
          <w:rFonts w:hint="eastAsia" w:ascii="仿宋_GB2312" w:hAnsi="宋体" w:eastAsia="仿宋_GB2312"/>
          <w:sz w:val="24"/>
        </w:rPr>
        <w:t>，身份证号码：</w:t>
      </w:r>
      <w:r>
        <w:rPr>
          <w:rFonts w:hint="eastAsia" w:ascii="仿宋_GB2312" w:hAnsi="宋体" w:eastAsia="仿宋_GB2312"/>
          <w:sz w:val="24"/>
          <w:u w:val="single"/>
        </w:rPr>
        <w:t xml:space="preserve">            </w:t>
      </w:r>
      <w:r>
        <w:rPr>
          <w:rFonts w:hint="eastAsia" w:ascii="仿宋_GB2312" w:hAnsi="宋体" w:eastAsia="仿宋_GB2312"/>
          <w:sz w:val="24"/>
        </w:rPr>
        <w:t>，注册号：</w:t>
      </w:r>
      <w:r>
        <w:rPr>
          <w:rFonts w:hint="eastAsia" w:ascii="仿宋_GB2312" w:hAnsi="宋体" w:eastAsia="仿宋_GB2312"/>
          <w:sz w:val="24"/>
          <w:u w:val="single"/>
        </w:rPr>
        <w:t xml:space="preserve">                 </w:t>
      </w:r>
      <w:r>
        <w:rPr>
          <w:rFonts w:hint="eastAsia" w:ascii="仿宋_GB2312" w:hAnsi="宋体" w:eastAsia="仿宋_GB2312"/>
          <w:sz w:val="24"/>
        </w:rPr>
        <w:t>。</w:t>
      </w:r>
    </w:p>
    <w:p w14:paraId="25744B3D">
      <w:pPr>
        <w:spacing w:line="360" w:lineRule="auto"/>
        <w:ind w:firstLine="477" w:firstLineChars="198"/>
        <w:outlineLvl w:val="0"/>
        <w:rPr>
          <w:rFonts w:ascii="仿宋_GB2312" w:hAnsi="宋体" w:eastAsia="仿宋_GB2312"/>
          <w:b/>
          <w:sz w:val="24"/>
        </w:rPr>
      </w:pPr>
      <w:bookmarkStart w:id="150" w:name="_Toc199944412"/>
      <w:bookmarkStart w:id="151" w:name="_Toc200025588"/>
      <w:r>
        <w:rPr>
          <w:rFonts w:hint="eastAsia" w:ascii="仿宋_GB2312" w:hAnsi="宋体" w:eastAsia="仿宋_GB2312"/>
          <w:b/>
          <w:sz w:val="24"/>
        </w:rPr>
        <w:t>五、签约酬金</w:t>
      </w:r>
      <w:bookmarkEnd w:id="150"/>
      <w:bookmarkEnd w:id="151"/>
    </w:p>
    <w:p w14:paraId="5C2B69CB">
      <w:pPr>
        <w:spacing w:line="360" w:lineRule="auto"/>
        <w:ind w:firstLine="475" w:firstLineChars="198"/>
        <w:rPr>
          <w:rFonts w:ascii="仿宋_GB2312" w:hAnsi="宋体" w:eastAsia="仿宋_GB2312"/>
          <w:sz w:val="24"/>
        </w:rPr>
      </w:pPr>
      <w:r>
        <w:rPr>
          <w:rFonts w:hint="eastAsia" w:ascii="仿宋_GB2312" w:hAnsi="宋体" w:eastAsia="仿宋_GB2312"/>
          <w:sz w:val="24"/>
        </w:rPr>
        <w:t>签约酬金（大写）：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eastAsia="仿宋_GB2312"/>
          <w:sz w:val="24"/>
        </w:rPr>
        <w:t>¥</w:t>
      </w:r>
      <w:r>
        <w:rPr>
          <w:rFonts w:hint="eastAsia" w:ascii="仿宋_GB2312" w:hAnsi="宋体" w:eastAsia="仿宋_GB2312"/>
          <w:sz w:val="24"/>
        </w:rPr>
        <w:t xml:space="preserve">        ）。</w:t>
      </w:r>
    </w:p>
    <w:p w14:paraId="07086CB8">
      <w:pPr>
        <w:spacing w:line="360" w:lineRule="auto"/>
        <w:ind w:firstLine="475" w:firstLineChars="198"/>
        <w:rPr>
          <w:rFonts w:ascii="仿宋_GB2312" w:hAnsi="宋体" w:eastAsia="仿宋_GB2312"/>
          <w:sz w:val="24"/>
        </w:rPr>
      </w:pPr>
      <w:r>
        <w:rPr>
          <w:rFonts w:hint="eastAsia" w:ascii="仿宋_GB2312" w:hAnsi="宋体" w:eastAsia="仿宋_GB2312"/>
          <w:sz w:val="24"/>
        </w:rPr>
        <w:t>包括：</w:t>
      </w:r>
    </w:p>
    <w:p w14:paraId="387B1AD3">
      <w:pPr>
        <w:spacing w:line="360" w:lineRule="auto"/>
        <w:ind w:firstLine="600" w:firstLineChars="250"/>
        <w:rPr>
          <w:rFonts w:ascii="仿宋_GB2312" w:hAnsi="宋体" w:eastAsia="仿宋_GB2312"/>
          <w:sz w:val="24"/>
        </w:rPr>
      </w:pPr>
      <w:r>
        <w:rPr>
          <w:rFonts w:hint="eastAsia" w:ascii="仿宋_GB2312" w:eastAsia="仿宋_GB2312"/>
          <w:sz w:val="24"/>
        </w:rPr>
        <w:t xml:space="preserve">1. </w:t>
      </w:r>
      <w:r>
        <w:rPr>
          <w:rFonts w:hint="eastAsia" w:ascii="仿宋_GB2312" w:hAnsi="宋体" w:eastAsia="仿宋_GB2312"/>
          <w:sz w:val="24"/>
        </w:rPr>
        <w:t>监理酬金：</w:t>
      </w:r>
      <w:r>
        <w:rPr>
          <w:rFonts w:hint="eastAsia" w:ascii="仿宋_GB2312" w:eastAsia="仿宋_GB2312"/>
          <w:sz w:val="24"/>
          <w:u w:val="single"/>
        </w:rPr>
        <w:t xml:space="preserve">                                 </w:t>
      </w:r>
      <w:r>
        <w:rPr>
          <w:rFonts w:hint="eastAsia" w:ascii="仿宋_GB2312" w:hAnsi="宋体" w:eastAsia="仿宋_GB2312"/>
          <w:sz w:val="24"/>
        </w:rPr>
        <w:t>。</w:t>
      </w:r>
    </w:p>
    <w:p w14:paraId="044B6E82">
      <w:pPr>
        <w:spacing w:line="360" w:lineRule="auto"/>
        <w:ind w:firstLine="600" w:firstLineChars="250"/>
        <w:rPr>
          <w:rFonts w:ascii="仿宋_GB2312" w:hAnsi="Courier New" w:eastAsia="仿宋_GB2312"/>
          <w:sz w:val="24"/>
        </w:rPr>
      </w:pPr>
      <w:r>
        <w:rPr>
          <w:rFonts w:hint="eastAsia" w:ascii="仿宋_GB2312" w:eastAsia="仿宋_GB2312"/>
          <w:sz w:val="24"/>
        </w:rPr>
        <w:t xml:space="preserve">2. </w:t>
      </w:r>
      <w:r>
        <w:rPr>
          <w:rFonts w:hint="eastAsia" w:ascii="仿宋_GB2312" w:hAnsi="宋体" w:eastAsia="仿宋_GB2312"/>
          <w:sz w:val="24"/>
        </w:rPr>
        <w:t>相关服务酬金：</w:t>
      </w:r>
      <w:r>
        <w:rPr>
          <w:rFonts w:hint="eastAsia" w:ascii="仿宋_GB2312" w:eastAsia="仿宋_GB2312"/>
          <w:sz w:val="24"/>
          <w:u w:val="single"/>
        </w:rPr>
        <w:t xml:space="preserve">                            </w:t>
      </w:r>
      <w:r>
        <w:rPr>
          <w:rFonts w:hint="eastAsia" w:ascii="仿宋_GB2312" w:hAnsi="宋体" w:eastAsia="仿宋_GB2312"/>
          <w:sz w:val="24"/>
        </w:rPr>
        <w:t>。</w:t>
      </w:r>
    </w:p>
    <w:p w14:paraId="3336E9AE">
      <w:pPr>
        <w:spacing w:line="360" w:lineRule="auto"/>
        <w:ind w:firstLine="600" w:firstLineChars="250"/>
        <w:rPr>
          <w:rFonts w:ascii="仿宋_GB2312" w:eastAsia="仿宋_GB2312"/>
          <w:sz w:val="24"/>
        </w:rPr>
      </w:pPr>
      <w:r>
        <w:rPr>
          <w:rFonts w:hint="eastAsia" w:ascii="仿宋_GB2312" w:hAnsi="宋体" w:eastAsia="仿宋_GB2312"/>
          <w:sz w:val="24"/>
        </w:rPr>
        <w:t>其中：</w:t>
      </w:r>
    </w:p>
    <w:p w14:paraId="7E22AF50">
      <w:pPr>
        <w:spacing w:line="360" w:lineRule="auto"/>
        <w:ind w:firstLine="960" w:firstLineChars="400"/>
        <w:rPr>
          <w:rFonts w:ascii="仿宋_GB2312" w:eastAsia="仿宋_GB2312"/>
          <w:sz w:val="24"/>
        </w:rPr>
      </w:pPr>
      <w:r>
        <w:rPr>
          <w:rFonts w:hint="eastAsia" w:ascii="仿宋_GB2312" w:hAnsi="宋体" w:eastAsia="仿宋_GB2312"/>
          <w:sz w:val="24"/>
        </w:rPr>
        <w:t>（1）勘察阶段服务酬金：</w:t>
      </w:r>
      <w:r>
        <w:rPr>
          <w:rFonts w:hint="eastAsia" w:ascii="仿宋_GB2312" w:eastAsia="仿宋_GB2312"/>
          <w:sz w:val="24"/>
          <w:u w:val="single"/>
        </w:rPr>
        <w:t xml:space="preserve">                           </w:t>
      </w:r>
      <w:r>
        <w:rPr>
          <w:rFonts w:hint="eastAsia" w:ascii="仿宋_GB2312" w:hAnsi="宋体" w:eastAsia="仿宋_GB2312"/>
          <w:sz w:val="24"/>
        </w:rPr>
        <w:t>。</w:t>
      </w:r>
    </w:p>
    <w:p w14:paraId="11CE7E6F">
      <w:pPr>
        <w:spacing w:line="360" w:lineRule="auto"/>
        <w:ind w:firstLine="960" w:firstLineChars="400"/>
        <w:rPr>
          <w:rFonts w:ascii="仿宋_GB2312" w:hAnsi="宋体" w:eastAsia="仿宋_GB2312"/>
          <w:sz w:val="24"/>
        </w:rPr>
      </w:pPr>
      <w:r>
        <w:rPr>
          <w:rFonts w:hint="eastAsia" w:ascii="仿宋_GB2312" w:hAnsi="宋体" w:eastAsia="仿宋_GB2312"/>
          <w:sz w:val="24"/>
        </w:rPr>
        <w:t>（2）设计阶段服务酬金：</w:t>
      </w:r>
      <w:r>
        <w:rPr>
          <w:rFonts w:hint="eastAsia" w:ascii="仿宋_GB2312" w:hAnsi="宋体" w:eastAsia="仿宋_GB2312"/>
          <w:sz w:val="24"/>
          <w:u w:val="single"/>
        </w:rPr>
        <w:t xml:space="preserve">                           </w:t>
      </w:r>
      <w:r>
        <w:rPr>
          <w:rFonts w:hint="eastAsia" w:ascii="仿宋_GB2312" w:hAnsi="宋体" w:eastAsia="仿宋_GB2312"/>
          <w:sz w:val="24"/>
        </w:rPr>
        <w:t>。</w:t>
      </w:r>
    </w:p>
    <w:p w14:paraId="31E9706D">
      <w:pPr>
        <w:spacing w:line="360" w:lineRule="auto"/>
        <w:ind w:firstLine="960" w:firstLineChars="400"/>
        <w:rPr>
          <w:rFonts w:ascii="仿宋_GB2312" w:hAnsi="Courier New" w:eastAsia="仿宋_GB2312"/>
          <w:sz w:val="24"/>
        </w:rPr>
      </w:pPr>
      <w:r>
        <w:rPr>
          <w:rFonts w:hint="eastAsia" w:ascii="仿宋_GB2312" w:hAnsi="宋体" w:eastAsia="仿宋_GB2312"/>
          <w:sz w:val="24"/>
        </w:rPr>
        <w:t>（3）保修阶段服务酬金：</w:t>
      </w:r>
      <w:r>
        <w:rPr>
          <w:rFonts w:hint="eastAsia" w:ascii="仿宋_GB2312" w:eastAsia="仿宋_GB2312"/>
          <w:sz w:val="24"/>
          <w:u w:val="single"/>
        </w:rPr>
        <w:t xml:space="preserve">                           </w:t>
      </w:r>
      <w:r>
        <w:rPr>
          <w:rFonts w:hint="eastAsia" w:ascii="仿宋_GB2312" w:hAnsi="宋体" w:eastAsia="仿宋_GB2312"/>
          <w:sz w:val="24"/>
        </w:rPr>
        <w:t>。</w:t>
      </w:r>
    </w:p>
    <w:p w14:paraId="3516DCB5">
      <w:pPr>
        <w:spacing w:line="360" w:lineRule="auto"/>
        <w:ind w:firstLine="960" w:firstLineChars="400"/>
        <w:rPr>
          <w:rFonts w:ascii="仿宋_GB2312" w:hAnsi="宋体" w:eastAsia="仿宋_GB2312"/>
          <w:sz w:val="24"/>
        </w:rPr>
      </w:pPr>
      <w:r>
        <w:rPr>
          <w:rFonts w:hint="eastAsia" w:ascii="仿宋_GB2312" w:hAnsi="宋体" w:eastAsia="仿宋_GB2312"/>
          <w:sz w:val="24"/>
        </w:rPr>
        <w:t>（4）其他相关服务酬金：</w:t>
      </w:r>
      <w:r>
        <w:rPr>
          <w:rFonts w:hint="eastAsia" w:ascii="仿宋_GB2312" w:hAnsi="宋体" w:eastAsia="仿宋_GB2312"/>
          <w:sz w:val="24"/>
          <w:u w:val="single"/>
        </w:rPr>
        <w:t xml:space="preserve">                           </w:t>
      </w:r>
      <w:r>
        <w:rPr>
          <w:rFonts w:hint="eastAsia" w:ascii="仿宋_GB2312" w:hAnsi="宋体" w:eastAsia="仿宋_GB2312"/>
          <w:sz w:val="24"/>
        </w:rPr>
        <w:t>。</w:t>
      </w:r>
    </w:p>
    <w:p w14:paraId="7CBB7FB1">
      <w:pPr>
        <w:spacing w:line="360" w:lineRule="auto"/>
        <w:ind w:firstLine="477" w:firstLineChars="198"/>
        <w:outlineLvl w:val="0"/>
        <w:rPr>
          <w:rFonts w:ascii="仿宋_GB2312" w:hAnsi="宋体" w:eastAsia="仿宋_GB2312"/>
          <w:b/>
          <w:sz w:val="24"/>
        </w:rPr>
      </w:pPr>
      <w:bookmarkStart w:id="152" w:name="_Toc200025589"/>
      <w:bookmarkStart w:id="153" w:name="_Toc199944413"/>
      <w:r>
        <w:rPr>
          <w:rFonts w:hint="eastAsia" w:ascii="仿宋_GB2312" w:hAnsi="宋体" w:eastAsia="仿宋_GB2312"/>
          <w:b/>
          <w:sz w:val="24"/>
        </w:rPr>
        <w:t>六、期限</w:t>
      </w:r>
      <w:bookmarkEnd w:id="152"/>
      <w:bookmarkEnd w:id="153"/>
    </w:p>
    <w:p w14:paraId="11C06D21">
      <w:pPr>
        <w:spacing w:line="360" w:lineRule="auto"/>
        <w:ind w:firstLine="600" w:firstLineChars="250"/>
        <w:rPr>
          <w:rFonts w:ascii="仿宋_GB2312" w:hAnsi="Courier New" w:eastAsia="仿宋_GB2312"/>
          <w:sz w:val="24"/>
        </w:rPr>
      </w:pPr>
      <w:r>
        <w:rPr>
          <w:rFonts w:hint="eastAsia" w:ascii="仿宋_GB2312" w:hAnsi="宋体" w:eastAsia="仿宋_GB2312"/>
          <w:sz w:val="24"/>
        </w:rPr>
        <w:t>1. 监理期限：</w:t>
      </w:r>
    </w:p>
    <w:p w14:paraId="6A9281B9">
      <w:pPr>
        <w:spacing w:line="360" w:lineRule="auto"/>
        <w:ind w:firstLine="600" w:firstLineChars="250"/>
        <w:rPr>
          <w:rFonts w:ascii="仿宋_GB2312" w:eastAsia="仿宋_GB2312"/>
          <w:sz w:val="24"/>
        </w:rPr>
      </w:pPr>
      <w:r>
        <w:rPr>
          <w:rFonts w:hint="eastAsia" w:ascii="仿宋_GB2312" w:hAnsi="宋体" w:eastAsia="仿宋_GB2312"/>
          <w:sz w:val="24"/>
        </w:rPr>
        <w:t>自</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日始，至</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日止。</w:t>
      </w:r>
    </w:p>
    <w:p w14:paraId="13A8D805">
      <w:pPr>
        <w:spacing w:line="360" w:lineRule="auto"/>
        <w:ind w:firstLine="600" w:firstLineChars="250"/>
        <w:rPr>
          <w:rFonts w:ascii="仿宋_GB2312" w:eastAsia="仿宋_GB2312"/>
          <w:sz w:val="24"/>
        </w:rPr>
      </w:pPr>
      <w:r>
        <w:rPr>
          <w:rFonts w:hint="eastAsia" w:ascii="仿宋_GB2312" w:hAnsi="宋体" w:eastAsia="仿宋_GB2312"/>
          <w:sz w:val="24"/>
        </w:rPr>
        <w:t>2. 相关服务期限：</w:t>
      </w:r>
    </w:p>
    <w:p w14:paraId="38A96A9C">
      <w:pPr>
        <w:spacing w:line="360" w:lineRule="auto"/>
        <w:ind w:firstLine="600" w:firstLineChars="250"/>
        <w:rPr>
          <w:rFonts w:ascii="仿宋_GB2312" w:eastAsia="仿宋_GB2312"/>
          <w:sz w:val="24"/>
        </w:rPr>
      </w:pPr>
      <w:r>
        <w:rPr>
          <w:rFonts w:hint="eastAsia" w:ascii="仿宋_GB2312" w:hAnsi="宋体" w:eastAsia="仿宋_GB2312"/>
          <w:sz w:val="24"/>
        </w:rPr>
        <w:t>（1）勘察阶段服务期限自</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日始，至</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日止。</w:t>
      </w:r>
    </w:p>
    <w:p w14:paraId="30D603B0">
      <w:pPr>
        <w:spacing w:line="360" w:lineRule="auto"/>
        <w:ind w:firstLine="600" w:firstLineChars="250"/>
        <w:rPr>
          <w:rFonts w:ascii="仿宋_GB2312" w:eastAsia="仿宋_GB2312"/>
          <w:sz w:val="24"/>
        </w:rPr>
      </w:pPr>
      <w:r>
        <w:rPr>
          <w:rFonts w:hint="eastAsia" w:ascii="仿宋_GB2312" w:hAnsi="宋体" w:eastAsia="仿宋_GB2312"/>
          <w:sz w:val="24"/>
        </w:rPr>
        <w:t>（2）设计阶段服务期限自</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日始，至</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日止。</w:t>
      </w:r>
    </w:p>
    <w:p w14:paraId="1A6B46E5">
      <w:pPr>
        <w:spacing w:line="360" w:lineRule="auto"/>
        <w:ind w:firstLine="600" w:firstLineChars="250"/>
        <w:rPr>
          <w:rFonts w:ascii="仿宋_GB2312" w:eastAsia="仿宋_GB2312"/>
          <w:sz w:val="24"/>
        </w:rPr>
      </w:pPr>
      <w:r>
        <w:rPr>
          <w:rFonts w:hint="eastAsia" w:ascii="仿宋_GB2312" w:hAnsi="宋体" w:eastAsia="仿宋_GB2312"/>
          <w:sz w:val="24"/>
        </w:rPr>
        <w:t>（3）保修阶段服务期限自</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日始，至</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日止。</w:t>
      </w:r>
    </w:p>
    <w:p w14:paraId="50E93C8C">
      <w:pPr>
        <w:spacing w:line="360" w:lineRule="auto"/>
        <w:ind w:firstLine="600" w:firstLineChars="250"/>
        <w:rPr>
          <w:rFonts w:ascii="仿宋_GB2312" w:eastAsia="仿宋_GB2312"/>
          <w:sz w:val="24"/>
        </w:rPr>
      </w:pPr>
      <w:r>
        <w:rPr>
          <w:rFonts w:hint="eastAsia" w:ascii="仿宋_GB2312" w:hAnsi="宋体" w:eastAsia="仿宋_GB2312"/>
          <w:sz w:val="24"/>
        </w:rPr>
        <w:t>（4）其他相关服务期限自</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日始，至</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日止。</w:t>
      </w:r>
    </w:p>
    <w:p w14:paraId="54920963">
      <w:pPr>
        <w:spacing w:line="360" w:lineRule="auto"/>
        <w:ind w:firstLine="477" w:firstLineChars="198"/>
        <w:outlineLvl w:val="0"/>
        <w:rPr>
          <w:rFonts w:ascii="仿宋_GB2312" w:hAnsi="宋体" w:eastAsia="仿宋_GB2312"/>
          <w:b/>
          <w:sz w:val="24"/>
        </w:rPr>
      </w:pPr>
      <w:bookmarkStart w:id="154" w:name="_Toc199944414"/>
      <w:bookmarkStart w:id="155" w:name="_Toc200025590"/>
      <w:r>
        <w:rPr>
          <w:rFonts w:hint="eastAsia" w:ascii="仿宋_GB2312" w:hAnsi="宋体" w:eastAsia="仿宋_GB2312"/>
          <w:b/>
          <w:sz w:val="24"/>
        </w:rPr>
        <w:t>七、双方承诺</w:t>
      </w:r>
      <w:bookmarkEnd w:id="154"/>
      <w:bookmarkEnd w:id="155"/>
    </w:p>
    <w:p w14:paraId="771F1434">
      <w:pPr>
        <w:spacing w:line="360" w:lineRule="auto"/>
        <w:ind w:firstLine="475" w:firstLineChars="198"/>
        <w:rPr>
          <w:rFonts w:ascii="仿宋_GB2312" w:eastAsia="仿宋_GB2312"/>
          <w:sz w:val="24"/>
        </w:rPr>
      </w:pPr>
      <w:bookmarkStart w:id="156" w:name="_Toc199944415"/>
      <w:r>
        <w:rPr>
          <w:rFonts w:hint="eastAsia" w:ascii="仿宋_GB2312" w:eastAsia="仿宋_GB2312"/>
          <w:sz w:val="24"/>
        </w:rPr>
        <w:t>1. 监理人向委托人承诺，按照本合同约定提供监理与相关服务。</w:t>
      </w:r>
      <w:bookmarkEnd w:id="156"/>
    </w:p>
    <w:p w14:paraId="0B834F72">
      <w:pPr>
        <w:spacing w:line="360" w:lineRule="auto"/>
        <w:ind w:firstLine="475" w:firstLineChars="198"/>
        <w:rPr>
          <w:rFonts w:ascii="仿宋_GB2312" w:eastAsia="仿宋_GB2312"/>
          <w:sz w:val="24"/>
        </w:rPr>
      </w:pPr>
      <w:bookmarkStart w:id="157" w:name="_Toc199944416"/>
      <w:r>
        <w:rPr>
          <w:rFonts w:hint="eastAsia" w:ascii="仿宋_GB2312" w:eastAsia="仿宋_GB2312"/>
          <w:sz w:val="24"/>
        </w:rPr>
        <w:t>2. 委托人向监理人承诺，按照本合同约定派遣相应的人员，提供房屋、资料、设备，并按本合同约定支付酬金。</w:t>
      </w:r>
      <w:bookmarkEnd w:id="157"/>
    </w:p>
    <w:p w14:paraId="576D1368">
      <w:pPr>
        <w:spacing w:line="360" w:lineRule="auto"/>
        <w:ind w:firstLine="477" w:firstLineChars="198"/>
        <w:outlineLvl w:val="0"/>
        <w:rPr>
          <w:rFonts w:ascii="仿宋_GB2312" w:hAnsi="宋体" w:eastAsia="仿宋_GB2312"/>
          <w:b/>
          <w:sz w:val="24"/>
        </w:rPr>
      </w:pPr>
      <w:bookmarkStart w:id="158" w:name="_Toc199944417"/>
      <w:bookmarkStart w:id="159" w:name="_Toc200025591"/>
      <w:r>
        <w:rPr>
          <w:rFonts w:hint="eastAsia" w:ascii="仿宋_GB2312" w:hAnsi="宋体" w:eastAsia="仿宋_GB2312"/>
          <w:b/>
          <w:sz w:val="24"/>
        </w:rPr>
        <w:t>八、合同订立</w:t>
      </w:r>
      <w:bookmarkEnd w:id="158"/>
      <w:bookmarkEnd w:id="159"/>
    </w:p>
    <w:p w14:paraId="58D252F3">
      <w:pPr>
        <w:spacing w:line="360" w:lineRule="auto"/>
        <w:ind w:firstLine="475" w:firstLineChars="198"/>
        <w:rPr>
          <w:rFonts w:ascii="仿宋_GB2312" w:hAnsi="Courier New" w:eastAsia="仿宋_GB2312"/>
          <w:sz w:val="24"/>
        </w:rPr>
      </w:pPr>
      <w:r>
        <w:rPr>
          <w:rFonts w:hint="eastAsia" w:ascii="仿宋_GB2312" w:eastAsia="仿宋_GB2312"/>
          <w:sz w:val="24"/>
        </w:rPr>
        <w:t xml:space="preserve">1. </w:t>
      </w:r>
      <w:r>
        <w:rPr>
          <w:rFonts w:hint="eastAsia" w:ascii="仿宋_GB2312" w:hAnsi="宋体" w:eastAsia="仿宋_GB2312"/>
          <w:sz w:val="24"/>
        </w:rPr>
        <w:t>订立时间：</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w:t>
      </w:r>
    </w:p>
    <w:p w14:paraId="3294C924">
      <w:pPr>
        <w:spacing w:line="360" w:lineRule="auto"/>
        <w:ind w:firstLine="475" w:firstLineChars="198"/>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订立地点：</w:t>
      </w:r>
      <w:r>
        <w:rPr>
          <w:rFonts w:hint="eastAsia" w:ascii="仿宋_GB2312" w:eastAsia="仿宋_GB2312"/>
          <w:sz w:val="24"/>
          <w:u w:val="single"/>
        </w:rPr>
        <w:t xml:space="preserve">                                 </w:t>
      </w:r>
      <w:r>
        <w:rPr>
          <w:rFonts w:hint="eastAsia" w:ascii="仿宋_GB2312" w:hAnsi="宋体" w:eastAsia="仿宋_GB2312"/>
          <w:sz w:val="24"/>
        </w:rPr>
        <w:t>。</w:t>
      </w:r>
    </w:p>
    <w:p w14:paraId="6B1614BC">
      <w:pPr>
        <w:spacing w:line="360" w:lineRule="auto"/>
        <w:ind w:firstLine="480" w:firstLineChars="200"/>
        <w:rPr>
          <w:rFonts w:ascii="仿宋_GB2312" w:hAnsi="宋体" w:eastAsia="仿宋_GB2312"/>
          <w:sz w:val="24"/>
        </w:rPr>
      </w:pPr>
      <w:r>
        <w:rPr>
          <w:rFonts w:hint="eastAsia" w:ascii="仿宋_GB2312" w:eastAsia="仿宋_GB2312"/>
          <w:sz w:val="24"/>
        </w:rPr>
        <w:t xml:space="preserve">3.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份，具有同等法律效力，双方各执</w:t>
      </w:r>
      <w:r>
        <w:rPr>
          <w:rFonts w:hint="eastAsia" w:ascii="仿宋_GB2312" w:eastAsia="仿宋_GB2312"/>
          <w:sz w:val="24"/>
          <w:u w:val="single"/>
        </w:rPr>
        <w:t xml:space="preserve">     </w:t>
      </w:r>
      <w:r>
        <w:rPr>
          <w:rFonts w:hint="eastAsia" w:ascii="仿宋_GB2312" w:hAnsi="宋体" w:eastAsia="仿宋_GB2312"/>
          <w:sz w:val="24"/>
        </w:rPr>
        <w:t>份。</w:t>
      </w:r>
    </w:p>
    <w:p w14:paraId="2EC519CE">
      <w:pPr>
        <w:spacing w:line="360" w:lineRule="auto"/>
        <w:ind w:firstLine="475" w:firstLineChars="198"/>
        <w:rPr>
          <w:rFonts w:ascii="仿宋_GB2312" w:hAnsi="宋体" w:eastAsia="仿宋_GB2312"/>
          <w:sz w:val="24"/>
        </w:rPr>
      </w:pPr>
    </w:p>
    <w:p w14:paraId="64427DA0">
      <w:pPr>
        <w:spacing w:line="360" w:lineRule="auto"/>
        <w:ind w:firstLine="475" w:firstLineChars="198"/>
        <w:rPr>
          <w:rFonts w:ascii="仿宋_GB2312" w:hAnsi="宋体" w:eastAsia="仿宋_GB2312"/>
          <w:sz w:val="24"/>
        </w:rPr>
      </w:pPr>
      <w:r>
        <w:rPr>
          <w:rFonts w:hint="eastAsia" w:ascii="仿宋_GB2312" w:hAnsi="宋体" w:eastAsia="仿宋_GB2312"/>
          <w:sz w:val="24"/>
        </w:rPr>
        <w:t>委托人：</w:t>
      </w:r>
      <w:r>
        <w:rPr>
          <w:rFonts w:hint="eastAsia" w:ascii="仿宋_GB2312" w:hAnsi="宋体" w:eastAsia="仿宋_GB2312"/>
          <w:sz w:val="24"/>
          <w:u w:val="single"/>
        </w:rPr>
        <w:t xml:space="preserve">   （盖章）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监理人：</w:t>
      </w:r>
      <w:r>
        <w:rPr>
          <w:rFonts w:hint="eastAsia" w:ascii="仿宋_GB2312" w:hAnsi="宋体" w:eastAsia="仿宋_GB2312"/>
          <w:sz w:val="24"/>
          <w:u w:val="single"/>
        </w:rPr>
        <w:t xml:space="preserve">   （盖章）    </w:t>
      </w:r>
    </w:p>
    <w:p w14:paraId="3AAACD9F">
      <w:pPr>
        <w:spacing w:line="360" w:lineRule="auto"/>
        <w:ind w:firstLine="475" w:firstLineChars="198"/>
        <w:rPr>
          <w:rFonts w:ascii="仿宋_GB2312" w:hAnsi="宋体" w:eastAsia="仿宋_GB2312"/>
          <w:sz w:val="24"/>
        </w:rPr>
      </w:pPr>
      <w:r>
        <w:rPr>
          <w:rFonts w:hint="eastAsia" w:ascii="仿宋_GB2312" w:hAnsi="宋体" w:eastAsia="仿宋_GB2312"/>
          <w:sz w:val="24"/>
        </w:rPr>
        <w:t xml:space="preserve">住所： </w:t>
      </w:r>
      <w:r>
        <w:rPr>
          <w:rFonts w:hint="eastAsia" w:ascii="仿宋_GB2312" w:hAnsi="宋体" w:eastAsia="仿宋_GB2312"/>
          <w:sz w:val="24"/>
          <w:u w:val="single"/>
        </w:rPr>
        <w:t xml:space="preserve">                     </w:t>
      </w:r>
      <w:r>
        <w:rPr>
          <w:rFonts w:hint="eastAsia" w:ascii="仿宋_GB2312" w:hAnsi="宋体" w:eastAsia="仿宋_GB2312"/>
          <w:sz w:val="24"/>
        </w:rPr>
        <w:t xml:space="preserve">  住所： </w:t>
      </w:r>
      <w:r>
        <w:rPr>
          <w:rFonts w:hint="eastAsia" w:ascii="仿宋_GB2312" w:hAnsi="宋体" w:eastAsia="仿宋_GB2312"/>
          <w:sz w:val="24"/>
          <w:u w:val="single"/>
        </w:rPr>
        <w:t xml:space="preserve">                      </w:t>
      </w:r>
    </w:p>
    <w:p w14:paraId="0B3D3801">
      <w:pPr>
        <w:spacing w:line="360" w:lineRule="auto"/>
        <w:ind w:firstLine="480" w:firstLineChars="200"/>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r>
        <w:rPr>
          <w:rFonts w:hint="eastAsia" w:ascii="仿宋_GB2312" w:hAnsi="宋体" w:eastAsia="仿宋_GB2312"/>
          <w:sz w:val="24"/>
        </w:rPr>
        <w:t xml:space="preserve">   邮政编码：</w:t>
      </w:r>
      <w:r>
        <w:rPr>
          <w:rFonts w:hint="eastAsia" w:ascii="仿宋_GB2312" w:hAnsi="宋体" w:eastAsia="仿宋_GB2312"/>
          <w:sz w:val="24"/>
          <w:u w:val="single"/>
        </w:rPr>
        <w:t xml:space="preserve">                  </w:t>
      </w:r>
    </w:p>
    <w:p w14:paraId="7AB86F6A">
      <w:pPr>
        <w:spacing w:line="360" w:lineRule="auto"/>
        <w:ind w:firstLine="475" w:firstLineChars="198"/>
        <w:rPr>
          <w:rFonts w:ascii="仿宋_GB2312" w:hAnsi="宋体" w:eastAsia="仿宋_GB2312"/>
          <w:sz w:val="24"/>
        </w:rPr>
      </w:pPr>
      <w:r>
        <w:rPr>
          <w:rFonts w:hint="eastAsia" w:ascii="仿宋_GB2312" w:hAnsi="宋体" w:eastAsia="仿宋_GB2312"/>
          <w:sz w:val="24"/>
        </w:rPr>
        <w:t xml:space="preserve">法定代表人或其授权       </w:t>
      </w:r>
      <w:r>
        <w:rPr>
          <w:rFonts w:ascii="仿宋_GB2312" w:hAnsi="宋体" w:eastAsia="仿宋_GB2312"/>
          <w:sz w:val="24"/>
        </w:rPr>
        <w:t xml:space="preserve">     </w:t>
      </w:r>
      <w:r>
        <w:rPr>
          <w:rFonts w:hint="eastAsia" w:ascii="仿宋_GB2312" w:hAnsi="宋体" w:eastAsia="仿宋_GB2312"/>
          <w:sz w:val="24"/>
        </w:rPr>
        <w:t>法定代表人或其授权</w:t>
      </w:r>
    </w:p>
    <w:p w14:paraId="7817F718">
      <w:pPr>
        <w:spacing w:line="360" w:lineRule="auto"/>
        <w:ind w:firstLine="475" w:firstLineChars="198"/>
        <w:rPr>
          <w:rFonts w:ascii="仿宋_GB2312" w:hAnsi="宋体" w:eastAsia="仿宋_GB2312"/>
          <w:sz w:val="24"/>
        </w:rPr>
      </w:pPr>
      <w:r>
        <w:rPr>
          <w:rFonts w:hint="eastAsia" w:ascii="仿宋_GB2312" w:hAnsi="宋体" w:eastAsia="仿宋_GB2312"/>
          <w:sz w:val="24"/>
        </w:rPr>
        <w:t>的代理人：</w:t>
      </w:r>
      <w:r>
        <w:rPr>
          <w:rFonts w:hint="eastAsia" w:ascii="仿宋_GB2312" w:hAnsi="宋体" w:eastAsia="仿宋_GB2312"/>
          <w:sz w:val="24"/>
          <w:u w:val="single"/>
        </w:rPr>
        <w:t xml:space="preserve">（签字）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的代理人：</w:t>
      </w:r>
      <w:r>
        <w:rPr>
          <w:rFonts w:hint="eastAsia" w:ascii="仿宋_GB2312" w:hAnsi="宋体" w:eastAsia="仿宋_GB2312"/>
          <w:sz w:val="24"/>
          <w:u w:val="single"/>
        </w:rPr>
        <w:t xml:space="preserve">（签字）          </w:t>
      </w:r>
    </w:p>
    <w:p w14:paraId="30D7614F">
      <w:pPr>
        <w:spacing w:line="360" w:lineRule="auto"/>
        <w:ind w:firstLine="475" w:firstLineChars="198"/>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r>
        <w:rPr>
          <w:rFonts w:hint="eastAsia" w:ascii="仿宋_GB2312" w:hAnsi="宋体" w:eastAsia="仿宋_GB2312"/>
          <w:sz w:val="24"/>
        </w:rPr>
        <w:t xml:space="preserve">   开户银行：</w:t>
      </w:r>
      <w:r>
        <w:rPr>
          <w:rFonts w:hint="eastAsia" w:ascii="仿宋_GB2312" w:hAnsi="宋体" w:eastAsia="仿宋_GB2312"/>
          <w:sz w:val="24"/>
          <w:u w:val="single"/>
        </w:rPr>
        <w:t xml:space="preserve">                  </w:t>
      </w:r>
    </w:p>
    <w:p w14:paraId="060D9CCD">
      <w:pPr>
        <w:spacing w:line="360" w:lineRule="auto"/>
        <w:ind w:firstLine="475" w:firstLineChars="198"/>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r>
        <w:rPr>
          <w:rFonts w:hint="eastAsia" w:ascii="仿宋_GB2312" w:hAnsi="宋体" w:eastAsia="仿宋_GB2312"/>
          <w:sz w:val="24"/>
        </w:rPr>
        <w:t xml:space="preserve">   账号：</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271692F">
      <w:pPr>
        <w:spacing w:line="360" w:lineRule="auto"/>
        <w:ind w:firstLine="475" w:firstLineChars="198"/>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电话：</w:t>
      </w:r>
      <w:r>
        <w:rPr>
          <w:rFonts w:hint="eastAsia" w:ascii="仿宋_GB2312" w:hAnsi="宋体" w:eastAsia="仿宋_GB2312"/>
          <w:sz w:val="24"/>
          <w:u w:val="single"/>
        </w:rPr>
        <w:t xml:space="preserve">                       </w:t>
      </w:r>
    </w:p>
    <w:p w14:paraId="635C46AD">
      <w:pPr>
        <w:spacing w:line="360" w:lineRule="auto"/>
        <w:ind w:firstLine="475" w:firstLineChars="198"/>
        <w:rPr>
          <w:rFonts w:ascii="仿宋_GB2312" w:hAnsi="宋体" w:eastAsia="仿宋_GB2312"/>
          <w:sz w:val="24"/>
        </w:rPr>
      </w:pPr>
      <w:r>
        <w:rPr>
          <w:rFonts w:hint="eastAsia" w:ascii="仿宋_GB2312" w:hAnsi="宋体" w:eastAsia="仿宋_GB2312"/>
          <w:sz w:val="24"/>
        </w:rPr>
        <w:t>传真：</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14:paraId="685154A3">
      <w:pPr>
        <w:spacing w:line="360" w:lineRule="auto"/>
        <w:ind w:firstLine="475" w:firstLineChars="198"/>
        <w:rPr>
          <w:rFonts w:ascii="仿宋_GB2312" w:hAnsi="宋体" w:eastAsia="仿宋_GB2312"/>
          <w:sz w:val="24"/>
        </w:rPr>
      </w:pPr>
      <w:r>
        <w:rPr>
          <w:rFonts w:hint="eastAsia" w:ascii="仿宋_GB2312" w:hAnsi="宋体" w:eastAsia="仿宋_GB2312"/>
          <w:sz w:val="24"/>
        </w:rPr>
        <w:t>电子邮箱：</w:t>
      </w:r>
      <w:r>
        <w:rPr>
          <w:rFonts w:hint="eastAsia" w:ascii="仿宋_GB2312" w:hAnsi="宋体" w:eastAsia="仿宋_GB2312"/>
          <w:sz w:val="24"/>
          <w:u w:val="single"/>
        </w:rPr>
        <w:t xml:space="preserve">                   </w:t>
      </w:r>
      <w:r>
        <w:rPr>
          <w:rFonts w:hint="eastAsia" w:ascii="仿宋_GB2312" w:hAnsi="宋体" w:eastAsia="仿宋_GB2312"/>
          <w:sz w:val="24"/>
        </w:rPr>
        <w:t xml:space="preserve">  电子邮箱：</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5CC84F1B"/>
    <w:p w14:paraId="20B0FD51">
      <w:pPr>
        <w:widowControl/>
        <w:jc w:val="left"/>
        <w:rPr>
          <w:rFonts w:ascii="宋体" w:hAnsi="宋体" w:eastAsia="宋体" w:cs="宋体"/>
          <w:color w:val="000000"/>
          <w:spacing w:val="-4"/>
          <w:kern w:val="0"/>
          <w:sz w:val="28"/>
          <w:szCs w:val="28"/>
          <w:lang w:bidi="ar"/>
        </w:rPr>
      </w:pPr>
      <w:r>
        <w:rPr>
          <w:rFonts w:ascii="宋体" w:hAnsi="宋体" w:eastAsia="宋体" w:cs="宋体"/>
          <w:spacing w:val="-4"/>
          <w:sz w:val="28"/>
          <w:szCs w:val="28"/>
          <w:lang w:bidi="ar"/>
        </w:rPr>
        <w:br w:type="page"/>
      </w:r>
    </w:p>
    <w:p w14:paraId="1FC9E109">
      <w:pPr>
        <w:pageBreakBefore/>
        <w:spacing w:line="360" w:lineRule="auto"/>
        <w:jc w:val="center"/>
        <w:rPr>
          <w:rFonts w:ascii="华文中宋" w:hAnsi="华文中宋" w:eastAsia="华文中宋"/>
          <w:b/>
          <w:sz w:val="32"/>
          <w:szCs w:val="32"/>
        </w:rPr>
      </w:pPr>
      <w:r>
        <w:rPr>
          <w:rFonts w:hint="eastAsia" w:ascii="微软雅黑" w:hAnsi="微软雅黑" w:eastAsia="微软雅黑" w:cs="微软雅黑"/>
          <w:b/>
          <w:sz w:val="32"/>
          <w:szCs w:val="32"/>
        </w:rPr>
        <w:t>第二部分</w:t>
      </w:r>
      <w:r>
        <w:rPr>
          <w:rFonts w:hint="eastAsia" w:ascii="华文中宋" w:hAnsi="华文中宋" w:eastAsia="华文中宋"/>
          <w:b/>
          <w:sz w:val="32"/>
          <w:szCs w:val="32"/>
        </w:rPr>
        <w:t xml:space="preserve">  </w:t>
      </w:r>
      <w:r>
        <w:rPr>
          <w:rFonts w:hint="eastAsia" w:ascii="微软雅黑" w:hAnsi="微软雅黑" w:eastAsia="微软雅黑" w:cs="微软雅黑"/>
          <w:b/>
          <w:sz w:val="32"/>
          <w:szCs w:val="32"/>
        </w:rPr>
        <w:t>通用条件</w:t>
      </w:r>
    </w:p>
    <w:p w14:paraId="7A80783C">
      <w:pPr>
        <w:spacing w:line="360" w:lineRule="auto"/>
        <w:rPr>
          <w:rFonts w:ascii="仿宋_GB2312" w:hAnsi="黑体" w:eastAsia="仿宋_GB2312"/>
          <w:b/>
          <w:sz w:val="24"/>
        </w:rPr>
      </w:pPr>
      <w:r>
        <w:rPr>
          <w:rFonts w:hint="eastAsia" w:ascii="仿宋_GB2312" w:hAnsi="黑体" w:eastAsia="仿宋_GB2312"/>
          <w:b/>
          <w:sz w:val="24"/>
        </w:rPr>
        <w:t>1. 定义与解释</w:t>
      </w:r>
    </w:p>
    <w:p w14:paraId="65D1E6B3">
      <w:pPr>
        <w:spacing w:line="360" w:lineRule="auto"/>
        <w:ind w:left="210" w:leftChars="100"/>
        <w:rPr>
          <w:rFonts w:ascii="仿宋_GB2312" w:hAnsi="宋体" w:eastAsia="仿宋_GB2312"/>
          <w:bCs/>
          <w:sz w:val="24"/>
        </w:rPr>
      </w:pPr>
      <w:r>
        <w:rPr>
          <w:rFonts w:hint="eastAsia" w:ascii="仿宋_GB2312" w:eastAsia="仿宋_GB2312"/>
          <w:sz w:val="24"/>
        </w:rPr>
        <w:t xml:space="preserve">1.1 </w:t>
      </w:r>
      <w:r>
        <w:rPr>
          <w:rFonts w:hint="eastAsia" w:ascii="仿宋_GB2312" w:hAnsi="宋体" w:eastAsia="仿宋_GB2312"/>
          <w:bCs/>
          <w:sz w:val="24"/>
        </w:rPr>
        <w:t>定义</w:t>
      </w:r>
    </w:p>
    <w:p w14:paraId="5D35443F">
      <w:pPr>
        <w:spacing w:line="360" w:lineRule="auto"/>
        <w:ind w:firstLine="480" w:firstLineChars="200"/>
        <w:rPr>
          <w:rFonts w:ascii="仿宋_GB2312" w:hAnsi="Courier New" w:eastAsia="仿宋_GB2312"/>
          <w:sz w:val="24"/>
        </w:rPr>
      </w:pPr>
      <w:r>
        <w:rPr>
          <w:rFonts w:hint="eastAsia" w:ascii="仿宋_GB2312" w:hAnsi="宋体" w:eastAsia="仿宋_GB2312"/>
          <w:sz w:val="24"/>
        </w:rPr>
        <w:t>除根据上下文另有其意义外</w:t>
      </w:r>
      <w:r>
        <w:rPr>
          <w:rFonts w:hint="eastAsia" w:ascii="仿宋_GB2312" w:eastAsia="仿宋_GB2312"/>
          <w:sz w:val="24"/>
        </w:rPr>
        <w:t>，组成</w:t>
      </w:r>
      <w:r>
        <w:rPr>
          <w:rFonts w:hint="eastAsia" w:ascii="仿宋_GB2312" w:hAnsi="宋体" w:eastAsia="仿宋_GB2312"/>
          <w:sz w:val="24"/>
        </w:rPr>
        <w:t>本合同</w:t>
      </w:r>
      <w:r>
        <w:rPr>
          <w:rFonts w:hint="eastAsia" w:ascii="仿宋_GB2312" w:eastAsia="仿宋_GB2312"/>
          <w:sz w:val="24"/>
        </w:rPr>
        <w:t>的全部文件中的</w:t>
      </w:r>
      <w:r>
        <w:rPr>
          <w:rFonts w:hint="eastAsia" w:ascii="仿宋_GB2312" w:hAnsi="宋体" w:eastAsia="仿宋_GB2312"/>
          <w:sz w:val="24"/>
        </w:rPr>
        <w:t>下列名词和用语应具有本款所赋予的含义</w:t>
      </w:r>
      <w:r>
        <w:rPr>
          <w:rFonts w:hint="eastAsia" w:ascii="仿宋_GB2312" w:eastAsia="仿宋_GB2312"/>
          <w:sz w:val="24"/>
        </w:rPr>
        <w:t>：</w:t>
      </w:r>
    </w:p>
    <w:p w14:paraId="41BF3007">
      <w:pPr>
        <w:spacing w:line="360" w:lineRule="auto"/>
        <w:ind w:firstLine="480" w:firstLineChars="200"/>
        <w:rPr>
          <w:rFonts w:ascii="仿宋_GB2312" w:eastAsia="仿宋_GB2312"/>
          <w:sz w:val="24"/>
        </w:rPr>
      </w:pPr>
      <w:r>
        <w:rPr>
          <w:rFonts w:hint="eastAsia" w:ascii="仿宋_GB2312" w:eastAsia="仿宋_GB2312"/>
          <w:sz w:val="24"/>
        </w:rPr>
        <w:t xml:space="preserve">1.1.1 </w:t>
      </w:r>
      <w:r>
        <w:rPr>
          <w:rFonts w:hint="eastAsia" w:ascii="仿宋_GB2312" w:hAnsi="宋体" w:eastAsia="仿宋_GB2312"/>
          <w:sz w:val="24"/>
        </w:rPr>
        <w:t>“</w:t>
      </w:r>
      <w:r>
        <w:rPr>
          <w:rFonts w:hint="eastAsia" w:ascii="仿宋_GB2312" w:eastAsia="仿宋_GB2312"/>
          <w:sz w:val="24"/>
        </w:rPr>
        <w:t>工程</w:t>
      </w:r>
      <w:r>
        <w:rPr>
          <w:rFonts w:hint="eastAsia" w:ascii="仿宋_GB2312" w:hAnsi="宋体" w:eastAsia="仿宋_GB2312"/>
          <w:sz w:val="24"/>
        </w:rPr>
        <w:t>”</w:t>
      </w:r>
      <w:r>
        <w:rPr>
          <w:rFonts w:hint="eastAsia" w:ascii="仿宋_GB2312" w:eastAsia="仿宋_GB2312"/>
          <w:sz w:val="24"/>
        </w:rPr>
        <w:t>是指按照本合同约定实施监理与相关服务的建设</w:t>
      </w:r>
      <w:r>
        <w:rPr>
          <w:rFonts w:hint="eastAsia" w:ascii="仿宋_GB2312" w:hAnsi="ˎ̥" w:eastAsia="仿宋_GB2312"/>
          <w:sz w:val="24"/>
        </w:rPr>
        <w:t>工程</w:t>
      </w:r>
      <w:r>
        <w:rPr>
          <w:rFonts w:hint="eastAsia" w:ascii="仿宋_GB2312" w:eastAsia="仿宋_GB2312"/>
          <w:sz w:val="24"/>
        </w:rPr>
        <w:t>。</w:t>
      </w:r>
    </w:p>
    <w:p w14:paraId="24277ED6">
      <w:pPr>
        <w:spacing w:line="360" w:lineRule="auto"/>
        <w:ind w:firstLine="480" w:firstLineChars="200"/>
        <w:rPr>
          <w:rFonts w:ascii="仿宋_GB2312" w:hAnsi="宋体" w:eastAsia="仿宋_GB2312"/>
          <w:sz w:val="24"/>
        </w:rPr>
      </w:pPr>
      <w:r>
        <w:rPr>
          <w:rFonts w:hint="eastAsia" w:ascii="仿宋_GB2312" w:eastAsia="仿宋_GB2312"/>
          <w:sz w:val="24"/>
        </w:rPr>
        <w:t>1.1.2 “委托人”</w:t>
      </w:r>
      <w:r>
        <w:rPr>
          <w:rFonts w:hint="eastAsia" w:ascii="仿宋_GB2312" w:hAnsi="宋体" w:eastAsia="仿宋_GB2312"/>
          <w:sz w:val="24"/>
        </w:rPr>
        <w:t>是指本合同中委托监理与相关服务的一方，及其合法的继承人或受让人。</w:t>
      </w:r>
    </w:p>
    <w:p w14:paraId="367AA051">
      <w:pPr>
        <w:spacing w:line="360" w:lineRule="auto"/>
        <w:ind w:firstLine="480" w:firstLineChars="200"/>
        <w:rPr>
          <w:rFonts w:ascii="仿宋_GB2312" w:hAnsi="宋体" w:eastAsia="仿宋_GB2312"/>
          <w:sz w:val="24"/>
        </w:rPr>
      </w:pPr>
      <w:r>
        <w:rPr>
          <w:rFonts w:hint="eastAsia" w:ascii="仿宋_GB2312" w:eastAsia="仿宋_GB2312"/>
          <w:sz w:val="24"/>
        </w:rPr>
        <w:t xml:space="preserve">1.1.3 </w:t>
      </w:r>
      <w:r>
        <w:rPr>
          <w:rFonts w:hint="eastAsia" w:ascii="仿宋_GB2312" w:hAnsi="宋体" w:eastAsia="仿宋_GB2312"/>
          <w:sz w:val="24"/>
        </w:rPr>
        <w:t>“监理人”是指本合同中提供监理与相关服务的一方，及其合法的继承人。</w:t>
      </w:r>
    </w:p>
    <w:p w14:paraId="7ADD8BF7">
      <w:pPr>
        <w:spacing w:line="360" w:lineRule="auto"/>
        <w:ind w:firstLine="480" w:firstLineChars="200"/>
        <w:rPr>
          <w:rFonts w:ascii="仿宋_GB2312" w:hAnsi="Courier New" w:eastAsia="仿宋_GB2312"/>
          <w:sz w:val="24"/>
        </w:rPr>
      </w:pPr>
      <w:r>
        <w:rPr>
          <w:rFonts w:hint="eastAsia" w:ascii="仿宋_GB2312" w:eastAsia="仿宋_GB2312"/>
          <w:sz w:val="24"/>
        </w:rPr>
        <w:t>1.1.4 “承包人”是指在工程范围内与委托人签订勘察、设计、施工等有关合同的当事人，及其合法的继承人。</w:t>
      </w:r>
    </w:p>
    <w:p w14:paraId="682FB9ED">
      <w:pPr>
        <w:pStyle w:val="6"/>
        <w:spacing w:line="360" w:lineRule="auto"/>
        <w:ind w:firstLine="240"/>
        <w:rPr>
          <w:rFonts w:ascii="仿宋_GB2312" w:eastAsia="仿宋_GB2312"/>
        </w:rPr>
      </w:pPr>
      <w:r>
        <w:rPr>
          <w:rFonts w:hint="eastAsia" w:ascii="仿宋_GB2312" w:eastAsia="仿宋_GB2312"/>
        </w:rPr>
        <w:t>1.1.5</w:t>
      </w:r>
      <w:r>
        <w:rPr>
          <w:rFonts w:hint="eastAsia" w:ascii="仿宋_GB2312" w:hAnsi="宋体" w:eastAsia="仿宋_GB2312"/>
        </w:rPr>
        <w:t xml:space="preserve"> “监理”是指监理人受</w:t>
      </w:r>
      <w:r>
        <w:rPr>
          <w:rFonts w:hint="eastAsia" w:ascii="仿宋_GB2312" w:eastAsia="仿宋_GB2312"/>
        </w:rPr>
        <w:t xml:space="preserve">委托人的委托 </w:t>
      </w:r>
      <w:r>
        <w:rPr>
          <w:rFonts w:hint="eastAsia" w:ascii="仿宋_GB2312" w:hAnsi="宋体" w:eastAsia="仿宋_GB2312"/>
        </w:rPr>
        <w:t>，</w:t>
      </w:r>
      <w:r>
        <w:rPr>
          <w:rFonts w:hint="eastAsia" w:ascii="仿宋_GB2312" w:eastAsia="仿宋_GB2312"/>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883F427">
      <w:pPr>
        <w:spacing w:line="360" w:lineRule="auto"/>
        <w:ind w:firstLine="480" w:firstLineChars="200"/>
        <w:rPr>
          <w:rFonts w:ascii="仿宋_GB2312" w:hAnsi="宋体" w:eastAsia="仿宋_GB2312"/>
          <w:sz w:val="24"/>
        </w:rPr>
      </w:pPr>
      <w:r>
        <w:rPr>
          <w:rFonts w:hint="eastAsia" w:ascii="仿宋_GB2312" w:eastAsia="仿宋_GB2312"/>
          <w:sz w:val="24"/>
        </w:rPr>
        <w:t>1.1.6</w:t>
      </w:r>
      <w:r>
        <w:rPr>
          <w:rFonts w:hint="eastAsia" w:ascii="仿宋_GB2312" w:hAnsi="宋体" w:eastAsia="仿宋_GB2312"/>
          <w:sz w:val="24"/>
        </w:rPr>
        <w:t xml:space="preserve"> “相关服务”是指监理人受</w:t>
      </w:r>
      <w:r>
        <w:rPr>
          <w:rFonts w:hint="eastAsia" w:ascii="仿宋_GB2312" w:eastAsia="仿宋_GB2312"/>
          <w:sz w:val="24"/>
        </w:rPr>
        <w:t xml:space="preserve">委托人的委托 </w:t>
      </w:r>
      <w:r>
        <w:rPr>
          <w:rFonts w:hint="eastAsia" w:ascii="仿宋_GB2312" w:hAnsi="宋体" w:eastAsia="仿宋_GB2312"/>
          <w:sz w:val="24"/>
        </w:rPr>
        <w:t>，</w:t>
      </w:r>
      <w:r>
        <w:rPr>
          <w:rFonts w:hint="eastAsia" w:ascii="仿宋_GB2312" w:eastAsia="仿宋_GB2312"/>
          <w:sz w:val="24"/>
        </w:rPr>
        <w:t>按照本合同约定，在勘察、设计、保修等阶段提供的服务活动</w:t>
      </w:r>
      <w:r>
        <w:rPr>
          <w:rFonts w:hint="eastAsia" w:ascii="仿宋_GB2312" w:hAnsi="宋体" w:eastAsia="仿宋_GB2312"/>
          <w:sz w:val="24"/>
        </w:rPr>
        <w:t>。</w:t>
      </w:r>
    </w:p>
    <w:p w14:paraId="68768024">
      <w:pPr>
        <w:spacing w:line="360" w:lineRule="auto"/>
        <w:ind w:firstLine="480" w:firstLineChars="200"/>
        <w:rPr>
          <w:rFonts w:ascii="仿宋_GB2312" w:hAnsi="宋体" w:eastAsia="仿宋_GB2312"/>
          <w:sz w:val="24"/>
        </w:rPr>
      </w:pPr>
      <w:r>
        <w:rPr>
          <w:rFonts w:hint="eastAsia" w:ascii="仿宋_GB2312" w:eastAsia="仿宋_GB2312"/>
          <w:sz w:val="24"/>
        </w:rPr>
        <w:t>1.1.7</w:t>
      </w:r>
      <w:r>
        <w:rPr>
          <w:rFonts w:hint="eastAsia" w:ascii="仿宋_GB2312" w:hAnsi="宋体" w:eastAsia="仿宋_GB2312"/>
          <w:sz w:val="24"/>
        </w:rPr>
        <w:t xml:space="preserve"> “正常工作”指本合同订立时通用条件和专用条件中约定的监理人的工作。</w:t>
      </w:r>
    </w:p>
    <w:p w14:paraId="70612151">
      <w:pPr>
        <w:spacing w:line="360" w:lineRule="auto"/>
        <w:ind w:firstLine="480" w:firstLineChars="200"/>
        <w:rPr>
          <w:rFonts w:ascii="仿宋_GB2312" w:hAnsi="宋体" w:eastAsia="仿宋_GB2312"/>
          <w:sz w:val="24"/>
        </w:rPr>
      </w:pPr>
      <w:r>
        <w:rPr>
          <w:rFonts w:hint="eastAsia" w:ascii="仿宋_GB2312" w:eastAsia="仿宋_GB2312"/>
          <w:sz w:val="24"/>
        </w:rPr>
        <w:t>1.1.8</w:t>
      </w:r>
      <w:r>
        <w:rPr>
          <w:rFonts w:hint="eastAsia" w:ascii="仿宋_GB2312" w:hAnsi="宋体" w:eastAsia="仿宋_GB2312"/>
          <w:sz w:val="24"/>
        </w:rPr>
        <w:t xml:space="preserve"> “附加工作”是指本合同约定的正常工作以外监理人的工作。</w:t>
      </w:r>
    </w:p>
    <w:p w14:paraId="2463264C">
      <w:pPr>
        <w:spacing w:line="360" w:lineRule="auto"/>
        <w:ind w:firstLine="480" w:firstLineChars="200"/>
        <w:rPr>
          <w:rFonts w:ascii="仿宋_GB2312" w:hAnsi="宋体" w:eastAsia="仿宋_GB2312"/>
          <w:sz w:val="24"/>
        </w:rPr>
      </w:pPr>
      <w:r>
        <w:rPr>
          <w:rFonts w:hint="eastAsia" w:ascii="仿宋_GB2312" w:eastAsia="仿宋_GB2312"/>
          <w:sz w:val="24"/>
        </w:rPr>
        <w:t>1.1.9</w:t>
      </w:r>
      <w:r>
        <w:rPr>
          <w:rFonts w:hint="eastAsia" w:ascii="仿宋_GB2312" w:hAnsi="宋体" w:eastAsia="仿宋_GB2312"/>
          <w:sz w:val="24"/>
        </w:rPr>
        <w:t xml:space="preserve"> “项目监理机构”是指监理人派驻工程负责履行本合同的组织机构。</w:t>
      </w:r>
    </w:p>
    <w:p w14:paraId="3BBF5B8F">
      <w:pPr>
        <w:spacing w:line="360" w:lineRule="auto"/>
        <w:ind w:firstLine="480" w:firstLineChars="200"/>
        <w:rPr>
          <w:rFonts w:ascii="仿宋_GB2312" w:hAnsi="宋体" w:eastAsia="仿宋_GB2312"/>
          <w:sz w:val="24"/>
        </w:rPr>
      </w:pPr>
      <w:r>
        <w:rPr>
          <w:rFonts w:hint="eastAsia" w:ascii="仿宋_GB2312" w:eastAsia="仿宋_GB2312"/>
          <w:sz w:val="24"/>
        </w:rPr>
        <w:t xml:space="preserve">1.1.10 </w:t>
      </w:r>
      <w:r>
        <w:rPr>
          <w:rFonts w:hint="eastAsia" w:ascii="仿宋_GB2312" w:hAnsi="宋体" w:eastAsia="仿宋_GB2312"/>
          <w:sz w:val="24"/>
        </w:rPr>
        <w:t>“总监理工程师”是指由监理人的法定代表人书面授权，全面负责履行本合同、主持项目监理机构工作的注册监理工程师。</w:t>
      </w:r>
    </w:p>
    <w:p w14:paraId="6FD1A29D">
      <w:pPr>
        <w:spacing w:line="360" w:lineRule="auto"/>
        <w:ind w:firstLine="475" w:firstLineChars="198"/>
        <w:rPr>
          <w:rFonts w:ascii="仿宋_GB2312" w:hAnsi="宋体" w:eastAsia="仿宋_GB2312"/>
          <w:sz w:val="24"/>
        </w:rPr>
      </w:pPr>
      <w:r>
        <w:rPr>
          <w:rFonts w:hint="eastAsia" w:ascii="仿宋_GB2312" w:eastAsia="仿宋_GB2312"/>
          <w:sz w:val="24"/>
        </w:rPr>
        <w:t>1.1.11</w:t>
      </w:r>
      <w:r>
        <w:rPr>
          <w:rFonts w:hint="eastAsia" w:ascii="仿宋_GB2312" w:hAnsi="宋体" w:eastAsia="仿宋_GB2312"/>
          <w:sz w:val="24"/>
        </w:rPr>
        <w:t xml:space="preserve"> “酬金”是指监理人履行本合同义务，委托人按照本合同约定给付监理人的金额。</w:t>
      </w:r>
    </w:p>
    <w:p w14:paraId="63F289D9">
      <w:pPr>
        <w:spacing w:line="360" w:lineRule="auto"/>
        <w:ind w:firstLine="475" w:firstLineChars="198"/>
        <w:rPr>
          <w:rFonts w:ascii="仿宋_GB2312" w:hAnsi="宋体" w:eastAsia="仿宋_GB2312"/>
          <w:sz w:val="24"/>
        </w:rPr>
      </w:pPr>
      <w:r>
        <w:rPr>
          <w:rFonts w:hint="eastAsia" w:ascii="仿宋_GB2312" w:eastAsia="仿宋_GB2312"/>
          <w:sz w:val="24"/>
        </w:rPr>
        <w:t xml:space="preserve">1.1.12 </w:t>
      </w:r>
      <w:r>
        <w:rPr>
          <w:rFonts w:hint="eastAsia" w:ascii="仿宋_GB2312" w:hAnsi="宋体" w:eastAsia="仿宋_GB2312"/>
          <w:sz w:val="24"/>
        </w:rPr>
        <w:t>“正常工作</w:t>
      </w:r>
      <w:r>
        <w:rPr>
          <w:rFonts w:hint="eastAsia" w:ascii="仿宋_GB2312" w:hAnsi="ˎ̥" w:eastAsia="仿宋_GB2312" w:cs="宋体"/>
          <w:sz w:val="24"/>
        </w:rPr>
        <w:t>酬金”</w:t>
      </w:r>
      <w:r>
        <w:rPr>
          <w:rFonts w:hint="eastAsia" w:ascii="仿宋_GB2312" w:hAnsi="宋体" w:eastAsia="仿宋_GB2312"/>
          <w:sz w:val="24"/>
        </w:rPr>
        <w:t>是指监理人完成正常工作，委托人应给付监理人并在协议书中载明的签约</w:t>
      </w:r>
      <w:r>
        <w:rPr>
          <w:rFonts w:hint="eastAsia" w:ascii="仿宋_GB2312" w:hAnsi="ˎ̥" w:eastAsia="仿宋_GB2312" w:cs="宋体"/>
          <w:sz w:val="24"/>
        </w:rPr>
        <w:t>酬金额</w:t>
      </w:r>
      <w:r>
        <w:rPr>
          <w:rFonts w:hint="eastAsia" w:ascii="仿宋_GB2312" w:hAnsi="宋体" w:eastAsia="仿宋_GB2312"/>
          <w:sz w:val="24"/>
        </w:rPr>
        <w:t>。</w:t>
      </w:r>
    </w:p>
    <w:p w14:paraId="13D50FBE">
      <w:pPr>
        <w:spacing w:line="360" w:lineRule="auto"/>
        <w:ind w:firstLine="475" w:firstLineChars="198"/>
        <w:rPr>
          <w:rFonts w:ascii="仿宋_GB2312" w:hAnsi="宋体" w:eastAsia="仿宋_GB2312"/>
          <w:sz w:val="24"/>
        </w:rPr>
      </w:pPr>
      <w:r>
        <w:rPr>
          <w:rFonts w:hint="eastAsia" w:ascii="仿宋_GB2312" w:eastAsia="仿宋_GB2312"/>
          <w:sz w:val="24"/>
        </w:rPr>
        <w:t xml:space="preserve">1.1.13 </w:t>
      </w:r>
      <w:r>
        <w:rPr>
          <w:rFonts w:hint="eastAsia" w:ascii="仿宋_GB2312" w:hAnsi="宋体" w:eastAsia="仿宋_GB2312"/>
          <w:sz w:val="24"/>
        </w:rPr>
        <w:t>“附加工作酬金”是指监理人完成附加工作，委托人应给付监理人的金额。</w:t>
      </w:r>
    </w:p>
    <w:p w14:paraId="04FC40C0">
      <w:pPr>
        <w:spacing w:line="360" w:lineRule="auto"/>
        <w:ind w:firstLine="480" w:firstLineChars="200"/>
        <w:rPr>
          <w:rFonts w:ascii="仿宋_GB2312" w:hAnsi="宋体" w:eastAsia="仿宋_GB2312"/>
          <w:sz w:val="24"/>
        </w:rPr>
      </w:pPr>
      <w:r>
        <w:rPr>
          <w:rFonts w:hint="eastAsia" w:ascii="仿宋_GB2312" w:eastAsia="仿宋_GB2312"/>
          <w:sz w:val="24"/>
        </w:rPr>
        <w:t xml:space="preserve">1.1.14 </w:t>
      </w:r>
      <w:r>
        <w:rPr>
          <w:rFonts w:hint="eastAsia" w:ascii="仿宋_GB2312" w:hAnsi="宋体" w:eastAsia="仿宋_GB2312"/>
          <w:sz w:val="24"/>
        </w:rPr>
        <w:t>“一方”是指委托人或监理人</w:t>
      </w:r>
      <w:r>
        <w:rPr>
          <w:rFonts w:hint="eastAsia" w:ascii="仿宋_GB2312" w:eastAsia="仿宋_GB2312"/>
          <w:sz w:val="24"/>
        </w:rPr>
        <w:t>；</w:t>
      </w:r>
      <w:r>
        <w:rPr>
          <w:rFonts w:hint="eastAsia" w:ascii="仿宋_GB2312" w:hAnsi="宋体" w:eastAsia="仿宋_GB2312"/>
          <w:sz w:val="24"/>
        </w:rPr>
        <w:t>“双方”是指委托人和监理人</w:t>
      </w:r>
      <w:r>
        <w:rPr>
          <w:rFonts w:hint="eastAsia" w:ascii="仿宋_GB2312" w:eastAsia="仿宋_GB2312"/>
          <w:sz w:val="24"/>
        </w:rPr>
        <w:t>；</w:t>
      </w:r>
      <w:r>
        <w:rPr>
          <w:rFonts w:hint="eastAsia" w:ascii="仿宋_GB2312" w:hAnsi="宋体" w:eastAsia="仿宋_GB2312"/>
          <w:sz w:val="24"/>
        </w:rPr>
        <w:t>“第三方”是指除委托人和监理人以外的有关方。</w:t>
      </w:r>
    </w:p>
    <w:p w14:paraId="3937F0B2">
      <w:pPr>
        <w:spacing w:line="360" w:lineRule="auto"/>
        <w:ind w:firstLine="480" w:firstLineChars="200"/>
        <w:rPr>
          <w:rFonts w:ascii="仿宋_GB2312" w:hAnsi="宋体" w:eastAsia="仿宋_GB2312"/>
          <w:sz w:val="24"/>
        </w:rPr>
      </w:pPr>
      <w:r>
        <w:rPr>
          <w:rFonts w:hint="eastAsia" w:ascii="仿宋_GB2312" w:hAnsi="宋体" w:eastAsia="仿宋_GB2312"/>
          <w:sz w:val="24"/>
        </w:rPr>
        <w:t>1.1.15 “书面形式”是指合同书、信件和数据电文（包括电报、电传、传真、电子数据交换和电子邮件）等可以有形地表现所载内容的形式。</w:t>
      </w:r>
    </w:p>
    <w:p w14:paraId="5B72963A">
      <w:pPr>
        <w:spacing w:line="360" w:lineRule="auto"/>
        <w:ind w:firstLine="480" w:firstLineChars="200"/>
        <w:rPr>
          <w:rFonts w:ascii="仿宋_GB2312" w:hAnsi="宋体" w:eastAsia="仿宋_GB2312"/>
          <w:sz w:val="24"/>
        </w:rPr>
      </w:pPr>
      <w:r>
        <w:rPr>
          <w:rFonts w:hint="eastAsia" w:ascii="仿宋_GB2312" w:eastAsia="仿宋_GB2312"/>
          <w:sz w:val="24"/>
        </w:rPr>
        <w:t xml:space="preserve">1.1.16 </w:t>
      </w:r>
      <w:r>
        <w:rPr>
          <w:rFonts w:hint="eastAsia" w:ascii="仿宋_GB2312" w:hAnsi="宋体" w:eastAsia="仿宋_GB2312"/>
          <w:sz w:val="24"/>
        </w:rPr>
        <w:t>“天”是指第一天零时至第二天零时的时间。</w:t>
      </w:r>
    </w:p>
    <w:p w14:paraId="6B40536D">
      <w:pPr>
        <w:spacing w:line="360" w:lineRule="auto"/>
        <w:ind w:firstLine="480" w:firstLineChars="200"/>
        <w:rPr>
          <w:rFonts w:ascii="仿宋_GB2312" w:hAnsi="宋体" w:eastAsia="仿宋_GB2312"/>
          <w:sz w:val="24"/>
        </w:rPr>
      </w:pPr>
      <w:r>
        <w:rPr>
          <w:rFonts w:hint="eastAsia" w:ascii="仿宋_GB2312" w:eastAsia="仿宋_GB2312"/>
          <w:sz w:val="24"/>
        </w:rPr>
        <w:t>1.1.17</w:t>
      </w:r>
      <w:r>
        <w:rPr>
          <w:rFonts w:hint="eastAsia" w:ascii="仿宋_GB2312" w:hAnsi="宋体" w:eastAsia="仿宋_GB2312"/>
          <w:sz w:val="24"/>
        </w:rPr>
        <w:t>“月”是指按公历从一个月中任何一天开始的一个公历月时间。</w:t>
      </w:r>
    </w:p>
    <w:p w14:paraId="3C6711D0">
      <w:pPr>
        <w:spacing w:line="360" w:lineRule="auto"/>
        <w:ind w:firstLine="645"/>
        <w:rPr>
          <w:rFonts w:ascii="Courier New" w:hAnsi="Courier New" w:eastAsia="宋体"/>
          <w:sz w:val="24"/>
        </w:rPr>
      </w:pPr>
      <w:r>
        <w:rPr>
          <w:rFonts w:hint="eastAsia" w:ascii="仿宋_GB2312" w:eastAsia="仿宋_GB2312"/>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02F87CA">
      <w:pPr>
        <w:spacing w:line="360" w:lineRule="auto"/>
        <w:ind w:left="210" w:leftChars="100"/>
        <w:rPr>
          <w:rFonts w:ascii="仿宋_GB2312" w:eastAsia="仿宋_GB2312"/>
          <w:sz w:val="24"/>
        </w:rPr>
      </w:pPr>
      <w:r>
        <w:rPr>
          <w:rFonts w:hint="eastAsia" w:ascii="仿宋_GB2312" w:eastAsia="仿宋_GB2312"/>
          <w:bCs/>
          <w:sz w:val="24"/>
        </w:rPr>
        <w:t xml:space="preserve">1.2 </w:t>
      </w:r>
      <w:r>
        <w:rPr>
          <w:rFonts w:hint="eastAsia" w:ascii="仿宋_GB2312" w:hAnsi="宋体" w:eastAsia="仿宋_GB2312"/>
          <w:sz w:val="24"/>
        </w:rPr>
        <w:t>解释</w:t>
      </w:r>
    </w:p>
    <w:p w14:paraId="76B5B80B">
      <w:pPr>
        <w:tabs>
          <w:tab w:val="left" w:pos="6140"/>
        </w:tabs>
        <w:spacing w:line="360" w:lineRule="auto"/>
        <w:ind w:firstLine="480" w:firstLineChars="200"/>
        <w:rPr>
          <w:rFonts w:ascii="仿宋_GB2312" w:hAnsi="宋体" w:eastAsia="仿宋_GB2312"/>
          <w:sz w:val="24"/>
        </w:rPr>
      </w:pPr>
      <w:r>
        <w:rPr>
          <w:rFonts w:hint="eastAsia" w:ascii="仿宋_GB2312" w:eastAsia="仿宋_GB2312"/>
          <w:sz w:val="24"/>
        </w:rPr>
        <w:t>1.2.1</w:t>
      </w:r>
      <w:r>
        <w:rPr>
          <w:rFonts w:hint="eastAsia" w:ascii="仿宋_GB2312" w:hAnsi="宋体" w:eastAsia="仿宋_GB2312"/>
          <w:sz w:val="24"/>
        </w:rPr>
        <w:t>本合同使用中文书写、解释和说明。如专用条件约定使用两种及以上语言文字时，应以中文为准。</w:t>
      </w:r>
    </w:p>
    <w:p w14:paraId="6BB958FC">
      <w:pPr>
        <w:tabs>
          <w:tab w:val="left" w:pos="6140"/>
        </w:tabs>
        <w:spacing w:line="360" w:lineRule="auto"/>
        <w:ind w:firstLine="480" w:firstLineChars="200"/>
        <w:rPr>
          <w:rFonts w:ascii="仿宋_GB2312" w:hAnsi="宋体" w:eastAsia="仿宋_GB2312"/>
          <w:sz w:val="24"/>
        </w:rPr>
      </w:pPr>
      <w:r>
        <w:rPr>
          <w:rFonts w:hint="eastAsia" w:ascii="仿宋_GB2312" w:eastAsia="仿宋_GB2312"/>
          <w:sz w:val="24"/>
        </w:rPr>
        <w:t xml:space="preserve">1.2.2 </w:t>
      </w:r>
      <w:r>
        <w:rPr>
          <w:rFonts w:hint="eastAsia" w:ascii="仿宋_GB2312" w:hAnsi="宋体" w:eastAsia="仿宋_GB2312"/>
          <w:sz w:val="24"/>
        </w:rPr>
        <w:t>组成本合同的下列文件彼此应能相互解释、互为说明。除专用条件另有约定外，本合同文件的解释顺序如下：</w:t>
      </w:r>
    </w:p>
    <w:p w14:paraId="13899670">
      <w:pPr>
        <w:spacing w:line="360" w:lineRule="auto"/>
        <w:ind w:firstLine="480" w:firstLineChars="200"/>
        <w:rPr>
          <w:rFonts w:ascii="仿宋_GB2312" w:hAnsi="Courier New"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）协议书；</w:t>
      </w:r>
    </w:p>
    <w:p w14:paraId="5C230917">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）中标通知书（适用于招标工程）或委托书（适用于非招标工程）；</w:t>
      </w:r>
    </w:p>
    <w:p w14:paraId="5033F9E6">
      <w:pPr>
        <w:spacing w:line="360" w:lineRule="auto"/>
        <w:ind w:firstLine="480" w:firstLineChars="200"/>
        <w:rPr>
          <w:rFonts w:ascii="仿宋_GB2312" w:eastAsia="仿宋_GB2312"/>
          <w:sz w:val="24"/>
        </w:rPr>
      </w:pPr>
      <w:r>
        <w:rPr>
          <w:rFonts w:hint="eastAsia" w:ascii="仿宋_GB2312" w:hAnsi="宋体" w:eastAsia="仿宋_GB2312"/>
          <w:sz w:val="24"/>
        </w:rPr>
        <w:t>（3）专用条件及附录</w:t>
      </w:r>
      <w:r>
        <w:rPr>
          <w:rFonts w:hint="eastAsia" w:ascii="仿宋_GB2312" w:eastAsia="仿宋_GB2312"/>
          <w:sz w:val="24"/>
        </w:rPr>
        <w:t>A</w:t>
      </w:r>
      <w:r>
        <w:rPr>
          <w:rFonts w:hint="eastAsia" w:ascii="仿宋_GB2312" w:hAnsi="宋体" w:eastAsia="仿宋_GB2312"/>
          <w:sz w:val="24"/>
        </w:rPr>
        <w:t>、附录</w:t>
      </w:r>
      <w:r>
        <w:rPr>
          <w:rFonts w:hint="eastAsia" w:ascii="仿宋_GB2312" w:eastAsia="仿宋_GB2312"/>
          <w:sz w:val="24"/>
        </w:rPr>
        <w:t>B</w:t>
      </w:r>
      <w:r>
        <w:rPr>
          <w:rFonts w:hint="eastAsia" w:ascii="仿宋_GB2312" w:hAnsi="宋体" w:eastAsia="仿宋_GB2312"/>
          <w:sz w:val="24"/>
        </w:rPr>
        <w:t>；</w:t>
      </w:r>
    </w:p>
    <w:p w14:paraId="52A52D2E">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4</w:t>
      </w:r>
      <w:r>
        <w:rPr>
          <w:rFonts w:hint="eastAsia" w:ascii="仿宋_GB2312" w:hAnsi="宋体" w:eastAsia="仿宋_GB2312"/>
          <w:sz w:val="24"/>
        </w:rPr>
        <w:t>）通用条件；</w:t>
      </w:r>
    </w:p>
    <w:p w14:paraId="2776517E">
      <w:pPr>
        <w:spacing w:line="360" w:lineRule="auto"/>
        <w:ind w:firstLine="480" w:firstLineChars="200"/>
        <w:rPr>
          <w:rFonts w:ascii="仿宋_GB2312" w:hAnsi="宋体" w:eastAsia="仿宋_GB2312"/>
          <w:sz w:val="24"/>
        </w:rPr>
      </w:pPr>
      <w:r>
        <w:rPr>
          <w:rFonts w:hint="eastAsia" w:ascii="仿宋_GB2312" w:hAnsi="宋体" w:eastAsia="仿宋_GB2312"/>
          <w:sz w:val="24"/>
        </w:rPr>
        <w:t>（5）投标文件（适用于招标工程）或监理与相关服务建议书（适用于非招标工程）。</w:t>
      </w:r>
    </w:p>
    <w:p w14:paraId="47DB4382">
      <w:pPr>
        <w:spacing w:line="360" w:lineRule="auto"/>
        <w:ind w:firstLine="480" w:firstLineChars="200"/>
        <w:rPr>
          <w:rFonts w:ascii="仿宋_GB2312" w:hAnsi="宋体" w:eastAsia="仿宋_GB2312"/>
          <w:sz w:val="24"/>
        </w:rPr>
      </w:pPr>
      <w:r>
        <w:rPr>
          <w:rFonts w:hint="eastAsia" w:ascii="仿宋_GB2312" w:hAnsi="宋体" w:eastAsia="仿宋_GB2312"/>
          <w:sz w:val="24"/>
        </w:rPr>
        <w:t>双方签订的补充协议与其他文件发生矛盾或歧义时，属于同一类内容的文件，应以最新签署的为准。</w:t>
      </w:r>
    </w:p>
    <w:p w14:paraId="064C90B2">
      <w:pPr>
        <w:spacing w:line="360" w:lineRule="auto"/>
        <w:rPr>
          <w:rFonts w:ascii="仿宋_GB2312" w:hAnsi="黑体" w:eastAsia="仿宋_GB2312"/>
          <w:b/>
          <w:sz w:val="24"/>
        </w:rPr>
      </w:pPr>
      <w:r>
        <w:rPr>
          <w:rFonts w:hint="eastAsia" w:ascii="仿宋_GB2312" w:hAnsi="黑体" w:eastAsia="仿宋_GB2312"/>
          <w:b/>
          <w:sz w:val="24"/>
        </w:rPr>
        <w:t>2. 监理人的义务</w:t>
      </w:r>
    </w:p>
    <w:p w14:paraId="19AD92E6">
      <w:pPr>
        <w:spacing w:line="360" w:lineRule="auto"/>
        <w:ind w:left="210" w:leftChars="100"/>
        <w:rPr>
          <w:rFonts w:ascii="仿宋_GB2312" w:hAnsi="宋体" w:eastAsia="仿宋_GB2312"/>
          <w:bCs/>
          <w:sz w:val="24"/>
        </w:rPr>
      </w:pPr>
      <w:r>
        <w:rPr>
          <w:rFonts w:hint="eastAsia" w:ascii="仿宋_GB2312" w:eastAsia="仿宋_GB2312"/>
          <w:sz w:val="24"/>
        </w:rPr>
        <w:t xml:space="preserve">2.1 </w:t>
      </w:r>
      <w:r>
        <w:rPr>
          <w:rFonts w:hint="eastAsia" w:ascii="仿宋_GB2312" w:hAnsi="宋体" w:eastAsia="仿宋_GB2312"/>
          <w:sz w:val="24"/>
        </w:rPr>
        <w:t>监理的范围和工作内容</w:t>
      </w:r>
    </w:p>
    <w:p w14:paraId="62F51433">
      <w:pPr>
        <w:spacing w:line="360" w:lineRule="auto"/>
        <w:ind w:left="420" w:leftChars="200"/>
        <w:rPr>
          <w:rFonts w:ascii="仿宋_GB2312" w:hAnsi="宋体" w:eastAsia="仿宋_GB2312"/>
          <w:sz w:val="24"/>
        </w:rPr>
      </w:pPr>
      <w:r>
        <w:rPr>
          <w:rFonts w:hint="eastAsia" w:ascii="仿宋_GB2312" w:hAnsi="宋体" w:eastAsia="仿宋_GB2312"/>
          <w:sz w:val="24"/>
        </w:rPr>
        <w:t>2.1.1 监理范围在专用条件中约定。</w:t>
      </w:r>
    </w:p>
    <w:p w14:paraId="3F1EB459">
      <w:pPr>
        <w:spacing w:line="360" w:lineRule="auto"/>
        <w:ind w:left="420" w:leftChars="200"/>
        <w:rPr>
          <w:rFonts w:ascii="仿宋_GB2312" w:hAnsi="Courier New" w:eastAsia="仿宋_GB2312"/>
          <w:sz w:val="24"/>
        </w:rPr>
      </w:pPr>
      <w:r>
        <w:rPr>
          <w:rFonts w:hint="eastAsia" w:ascii="仿宋_GB2312" w:hAnsi="宋体" w:eastAsia="仿宋_GB2312"/>
          <w:sz w:val="24"/>
        </w:rPr>
        <w:t>2.1.2 除专用条件另有约定外，监理工作内容包括：</w:t>
      </w:r>
    </w:p>
    <w:p w14:paraId="66E520E8">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收到工程设计文件后</w:t>
      </w:r>
      <w:r>
        <w:rPr>
          <w:rFonts w:hint="eastAsia" w:ascii="仿宋_GB2312" w:hAnsi="宋体" w:eastAsia="仿宋_GB2312"/>
          <w:sz w:val="24"/>
        </w:rPr>
        <w:t>编制监理规划，并在第一次工地会议7天前报委托人。根据有关规定和监理工作需要，编制监理实施细则；</w:t>
      </w:r>
    </w:p>
    <w:p w14:paraId="1694ED4B">
      <w:pPr>
        <w:spacing w:line="360" w:lineRule="auto"/>
        <w:ind w:firstLine="480" w:firstLineChars="200"/>
        <w:rPr>
          <w:rFonts w:ascii="仿宋_GB2312" w:hAnsi="Courier New"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）熟悉工程设计文件，并参加由委托人主持的图纸会审和设计交底会议；</w:t>
      </w:r>
    </w:p>
    <w:p w14:paraId="5867A6BF">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3</w:t>
      </w:r>
      <w:r>
        <w:rPr>
          <w:rFonts w:hint="eastAsia" w:ascii="仿宋_GB2312" w:hAnsi="宋体" w:eastAsia="仿宋_GB2312"/>
          <w:sz w:val="24"/>
        </w:rPr>
        <w:t>）参加由委托人主持的第一次工地会议；主持监理例会并根据工程需要主持或参加专题会议；</w:t>
      </w:r>
    </w:p>
    <w:p w14:paraId="568CB5B4">
      <w:pPr>
        <w:spacing w:line="360" w:lineRule="auto"/>
        <w:rPr>
          <w:rFonts w:ascii="仿宋_GB2312" w:hAnsi="Courier New" w:eastAsia="仿宋_GB2312"/>
          <w:sz w:val="24"/>
        </w:rPr>
      </w:pPr>
      <w:r>
        <w:rPr>
          <w:rFonts w:hint="eastAsia" w:ascii="仿宋_GB2312" w:hAnsi="宋体" w:eastAsia="仿宋_GB2312"/>
          <w:sz w:val="24"/>
        </w:rPr>
        <w:t xml:space="preserve">    （</w:t>
      </w:r>
      <w:r>
        <w:rPr>
          <w:rFonts w:hint="eastAsia" w:ascii="仿宋_GB2312" w:eastAsia="仿宋_GB2312"/>
          <w:sz w:val="24"/>
        </w:rPr>
        <w:t>4</w:t>
      </w:r>
      <w:r>
        <w:rPr>
          <w:rFonts w:hint="eastAsia" w:ascii="仿宋_GB2312" w:hAnsi="宋体" w:eastAsia="仿宋_GB2312"/>
          <w:sz w:val="24"/>
        </w:rPr>
        <w:t>）审查施工承包人提交的施工组织设计，重点审查其中的质量安全技术措施、专项施工方案与工程建设强制性标准的符合性；</w:t>
      </w:r>
    </w:p>
    <w:p w14:paraId="40B181D5">
      <w:pPr>
        <w:spacing w:line="360" w:lineRule="auto"/>
        <w:ind w:firstLine="645"/>
        <w:rPr>
          <w:rFonts w:ascii="仿宋_GB2312" w:eastAsia="仿宋_GB2312"/>
          <w:sz w:val="24"/>
        </w:rPr>
      </w:pPr>
      <w:r>
        <w:rPr>
          <w:rFonts w:hint="eastAsia" w:ascii="仿宋_GB2312" w:hAnsi="宋体" w:eastAsia="仿宋_GB2312"/>
          <w:sz w:val="24"/>
        </w:rPr>
        <w:t>（</w:t>
      </w:r>
      <w:r>
        <w:rPr>
          <w:rFonts w:hint="eastAsia" w:ascii="仿宋_GB2312" w:eastAsia="仿宋_GB2312"/>
          <w:sz w:val="24"/>
        </w:rPr>
        <w:t>5</w:t>
      </w:r>
      <w:r>
        <w:rPr>
          <w:rFonts w:hint="eastAsia" w:ascii="仿宋_GB2312" w:hAnsi="宋体" w:eastAsia="仿宋_GB2312"/>
          <w:sz w:val="24"/>
        </w:rPr>
        <w:t>）检查施工承包人工程质量、安全生产管理制度及组织机构和人员资格；</w:t>
      </w:r>
      <w:r>
        <w:rPr>
          <w:rFonts w:hint="eastAsia" w:ascii="仿宋_GB2312" w:eastAsia="仿宋_GB2312"/>
          <w:sz w:val="24"/>
        </w:rPr>
        <w:t xml:space="preserve"> </w:t>
      </w:r>
    </w:p>
    <w:p w14:paraId="30A18585">
      <w:pPr>
        <w:spacing w:line="360" w:lineRule="auto"/>
        <w:rPr>
          <w:rFonts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6</w:t>
      </w:r>
      <w:r>
        <w:rPr>
          <w:rFonts w:hint="eastAsia" w:ascii="仿宋_GB2312" w:hAnsi="宋体" w:eastAsia="仿宋_GB2312"/>
          <w:sz w:val="24"/>
        </w:rPr>
        <w:t>）检查施工承包人专职安全生产管理人员的配备情况；</w:t>
      </w:r>
    </w:p>
    <w:p w14:paraId="01E715DF">
      <w:pPr>
        <w:spacing w:line="360" w:lineRule="auto"/>
        <w:rPr>
          <w:rFonts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7</w:t>
      </w:r>
      <w:r>
        <w:rPr>
          <w:rFonts w:hint="eastAsia" w:ascii="仿宋_GB2312" w:hAnsi="宋体" w:eastAsia="仿宋_GB2312"/>
          <w:sz w:val="24"/>
        </w:rPr>
        <w:t>）审查施工承包人提交的施工进度计划，核查承包人对施工进度计划的调整；</w:t>
      </w:r>
    </w:p>
    <w:p w14:paraId="2B4AE6E4">
      <w:pPr>
        <w:spacing w:line="360" w:lineRule="auto"/>
        <w:ind w:firstLine="645"/>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8</w:t>
      </w:r>
      <w:r>
        <w:rPr>
          <w:rFonts w:hint="eastAsia" w:ascii="仿宋_GB2312" w:hAnsi="宋体" w:eastAsia="仿宋_GB2312"/>
          <w:sz w:val="24"/>
        </w:rPr>
        <w:t>）检查施工承包人的试验室；</w:t>
      </w:r>
    </w:p>
    <w:p w14:paraId="486D2B6D">
      <w:pPr>
        <w:spacing w:line="360" w:lineRule="auto"/>
        <w:rPr>
          <w:rFonts w:ascii="仿宋_GB2312" w:hAnsi="Courier New" w:eastAsia="仿宋_GB2312"/>
          <w:sz w:val="24"/>
        </w:rPr>
      </w:pPr>
      <w:r>
        <w:rPr>
          <w:rFonts w:hint="eastAsia" w:ascii="仿宋_GB2312" w:hAnsi="宋体" w:eastAsia="仿宋_GB2312"/>
          <w:sz w:val="24"/>
        </w:rPr>
        <w:t xml:space="preserve">    （</w:t>
      </w:r>
      <w:r>
        <w:rPr>
          <w:rFonts w:hint="eastAsia" w:ascii="仿宋_GB2312" w:eastAsia="仿宋_GB2312"/>
          <w:sz w:val="24"/>
        </w:rPr>
        <w:t>9</w:t>
      </w:r>
      <w:r>
        <w:rPr>
          <w:rFonts w:hint="eastAsia" w:ascii="仿宋_GB2312" w:hAnsi="宋体" w:eastAsia="仿宋_GB2312"/>
          <w:sz w:val="24"/>
        </w:rPr>
        <w:t>）审核施工分包人资质条件；</w:t>
      </w:r>
    </w:p>
    <w:p w14:paraId="797E4E50">
      <w:pPr>
        <w:rPr>
          <w:rFonts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sz w:val="24"/>
        </w:rPr>
        <w:t>10</w:t>
      </w:r>
      <w:r>
        <w:rPr>
          <w:rFonts w:hint="eastAsia" w:ascii="仿宋_GB2312" w:hAnsi="宋体" w:eastAsia="仿宋_GB2312"/>
          <w:sz w:val="24"/>
        </w:rPr>
        <w:t>）查验施工承包人的施工测量放线成果；</w:t>
      </w:r>
    </w:p>
    <w:p w14:paraId="711A623A">
      <w:pPr>
        <w:spacing w:line="360" w:lineRule="auto"/>
        <w:ind w:firstLine="645"/>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11</w:t>
      </w:r>
      <w:r>
        <w:rPr>
          <w:rFonts w:hint="eastAsia" w:ascii="仿宋_GB2312" w:hAnsi="宋体" w:eastAsia="仿宋_GB2312"/>
          <w:sz w:val="24"/>
        </w:rPr>
        <w:t>）审查工程开工条件</w:t>
      </w:r>
      <w:r>
        <w:rPr>
          <w:rFonts w:hint="eastAsia" w:ascii="仿宋_GB2312" w:eastAsia="仿宋_GB2312"/>
          <w:sz w:val="24"/>
        </w:rPr>
        <w:t>，对条件具备的</w:t>
      </w:r>
      <w:r>
        <w:rPr>
          <w:rFonts w:hint="eastAsia" w:ascii="仿宋_GB2312" w:hAnsi="宋体" w:eastAsia="仿宋_GB2312"/>
          <w:sz w:val="24"/>
        </w:rPr>
        <w:t>签发开工令；</w:t>
      </w:r>
    </w:p>
    <w:p w14:paraId="08A23703">
      <w:pPr>
        <w:spacing w:line="360" w:lineRule="auto"/>
        <w:ind w:firstLine="645"/>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12</w:t>
      </w:r>
      <w:r>
        <w:rPr>
          <w:rFonts w:hint="eastAsia" w:ascii="仿宋_GB2312" w:hAnsi="宋体" w:eastAsia="仿宋_GB2312"/>
          <w:sz w:val="24"/>
        </w:rPr>
        <w:t>）审查施工承包人报送的工程材料、构配件、设备质量证明文件的有效性和符合性，并按规定对用于工程的材料采取平行检验或见证取样方式进行抽检；</w:t>
      </w:r>
    </w:p>
    <w:p w14:paraId="4E75194E">
      <w:pPr>
        <w:spacing w:line="360" w:lineRule="auto"/>
        <w:ind w:left="-97" w:leftChars="-46"/>
        <w:rPr>
          <w:rFonts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sz w:val="24"/>
        </w:rPr>
        <w:t>13</w:t>
      </w:r>
      <w:r>
        <w:rPr>
          <w:rFonts w:hint="eastAsia" w:ascii="仿宋_GB2312" w:hAnsi="宋体" w:eastAsia="仿宋_GB2312"/>
          <w:sz w:val="24"/>
        </w:rPr>
        <w:t>）审核施工承包人提交的工程款支付申请，签发或出具工程款支付证书，并报委托人审核、批准；</w:t>
      </w:r>
    </w:p>
    <w:p w14:paraId="5976532E">
      <w:pPr>
        <w:spacing w:line="360" w:lineRule="auto"/>
        <w:ind w:firstLine="645"/>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14</w:t>
      </w:r>
      <w:r>
        <w:rPr>
          <w:rFonts w:hint="eastAsia" w:ascii="仿宋_GB2312" w:hAnsi="宋体" w:eastAsia="仿宋_GB2312"/>
          <w:sz w:val="24"/>
        </w:rPr>
        <w:t>）在巡视、旁站和检验过程中，发现工程质量、施工安全存在事故隐患的</w:t>
      </w:r>
      <w:r>
        <w:rPr>
          <w:rFonts w:hint="eastAsia" w:ascii="仿宋_GB2312" w:eastAsia="仿宋_GB2312"/>
          <w:sz w:val="24"/>
        </w:rPr>
        <w:t>，</w:t>
      </w:r>
      <w:r>
        <w:rPr>
          <w:rFonts w:hint="eastAsia" w:ascii="仿宋_GB2312" w:hAnsi="宋体" w:eastAsia="仿宋_GB2312"/>
          <w:sz w:val="24"/>
        </w:rPr>
        <w:t>要求施工承包人整改并报委托人；</w:t>
      </w:r>
    </w:p>
    <w:p w14:paraId="481DCADB">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15</w:t>
      </w:r>
      <w:r>
        <w:rPr>
          <w:rFonts w:hint="eastAsia" w:ascii="仿宋_GB2312" w:hAnsi="宋体" w:eastAsia="仿宋_GB2312"/>
          <w:sz w:val="24"/>
        </w:rPr>
        <w:t>）经委托人同意，签发工程暂停令和复工令；</w:t>
      </w:r>
    </w:p>
    <w:p w14:paraId="20567D5D">
      <w:pPr>
        <w:spacing w:line="360" w:lineRule="auto"/>
        <w:rPr>
          <w:rFonts w:ascii="仿宋_GB2312" w:hAnsi="Courier New" w:eastAsia="仿宋_GB2312"/>
          <w:sz w:val="24"/>
        </w:rPr>
      </w:pPr>
      <w:r>
        <w:rPr>
          <w:rFonts w:hint="eastAsia" w:ascii="仿宋_GB2312" w:hAnsi="宋体" w:eastAsia="仿宋_GB2312"/>
          <w:sz w:val="24"/>
        </w:rPr>
        <w:t xml:space="preserve">    （</w:t>
      </w:r>
      <w:r>
        <w:rPr>
          <w:rFonts w:hint="eastAsia" w:ascii="仿宋_GB2312" w:eastAsia="仿宋_GB2312"/>
          <w:sz w:val="24"/>
        </w:rPr>
        <w:t>16</w:t>
      </w:r>
      <w:r>
        <w:rPr>
          <w:rFonts w:hint="eastAsia" w:ascii="仿宋_GB2312" w:hAnsi="宋体" w:eastAsia="仿宋_GB2312"/>
          <w:sz w:val="24"/>
        </w:rPr>
        <w:t>）审查施工承包人提交的采用新材料、新工艺、新技术、新设备的论证材料及相关验收标准；</w:t>
      </w:r>
    </w:p>
    <w:p w14:paraId="0F04ADDE">
      <w:pPr>
        <w:spacing w:line="360" w:lineRule="auto"/>
        <w:ind w:firstLine="66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17</w:t>
      </w:r>
      <w:r>
        <w:rPr>
          <w:rFonts w:hint="eastAsia" w:ascii="仿宋_GB2312" w:hAnsi="宋体" w:eastAsia="仿宋_GB2312"/>
          <w:sz w:val="24"/>
        </w:rPr>
        <w:t>）验收隐蔽工程、分部分项工程；</w:t>
      </w:r>
    </w:p>
    <w:p w14:paraId="2B98C91B">
      <w:pPr>
        <w:spacing w:line="360" w:lineRule="auto"/>
        <w:rPr>
          <w:rFonts w:ascii="仿宋_GB2312" w:hAnsi="Courier New" w:eastAsia="仿宋_GB2312"/>
          <w:sz w:val="24"/>
        </w:rPr>
      </w:pPr>
      <w:r>
        <w:rPr>
          <w:rFonts w:hint="eastAsia" w:ascii="仿宋_GB2312" w:hAnsi="宋体" w:eastAsia="仿宋_GB2312"/>
          <w:sz w:val="24"/>
        </w:rPr>
        <w:t xml:space="preserve">    （</w:t>
      </w:r>
      <w:r>
        <w:rPr>
          <w:rFonts w:hint="eastAsia" w:ascii="仿宋_GB2312" w:eastAsia="仿宋_GB2312"/>
          <w:sz w:val="24"/>
        </w:rPr>
        <w:t>18</w:t>
      </w:r>
      <w:r>
        <w:rPr>
          <w:rFonts w:hint="eastAsia" w:ascii="仿宋_GB2312" w:hAnsi="宋体" w:eastAsia="仿宋_GB2312"/>
          <w:sz w:val="24"/>
        </w:rPr>
        <w:t>）审查施工承包人提交的工程变更申请，协调处理施工进度调整、费用索赔、合同争议等事项；</w:t>
      </w:r>
    </w:p>
    <w:p w14:paraId="56019FCE">
      <w:pPr>
        <w:spacing w:line="360" w:lineRule="auto"/>
        <w:ind w:firstLine="645"/>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19</w:t>
      </w:r>
      <w:r>
        <w:rPr>
          <w:rFonts w:hint="eastAsia" w:ascii="仿宋_GB2312" w:hAnsi="宋体" w:eastAsia="仿宋_GB2312"/>
          <w:sz w:val="24"/>
        </w:rPr>
        <w:t>）审查施工承包人提交的竣工验收申请，编写工程质量评估报告；</w:t>
      </w:r>
    </w:p>
    <w:p w14:paraId="6F1FF912">
      <w:pPr>
        <w:spacing w:line="360" w:lineRule="auto"/>
        <w:ind w:firstLine="480" w:firstLineChars="200"/>
        <w:rPr>
          <w:rFonts w:ascii="仿宋_GB2312" w:hAnsi="宋体" w:eastAsia="仿宋_GB2312"/>
          <w:sz w:val="24"/>
        </w:rPr>
      </w:pPr>
      <w:r>
        <w:rPr>
          <w:rFonts w:hint="eastAsia" w:ascii="仿宋_GB2312" w:hAnsi="宋体" w:eastAsia="仿宋_GB2312"/>
          <w:sz w:val="24"/>
        </w:rPr>
        <w:t>（20）参加工程竣工验收，签署竣工验收意见；</w:t>
      </w:r>
    </w:p>
    <w:p w14:paraId="25C05FDC">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21</w:t>
      </w:r>
      <w:r>
        <w:rPr>
          <w:rFonts w:hint="eastAsia" w:ascii="仿宋_GB2312" w:hAnsi="宋体" w:eastAsia="仿宋_GB2312"/>
          <w:sz w:val="24"/>
        </w:rPr>
        <w:t>）审查施工承包人提交的竣工结算申请并报委托人；</w:t>
      </w:r>
    </w:p>
    <w:p w14:paraId="6CEBB369">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22</w:t>
      </w:r>
      <w:r>
        <w:rPr>
          <w:rFonts w:hint="eastAsia" w:ascii="仿宋_GB2312" w:hAnsi="宋体" w:eastAsia="仿宋_GB2312"/>
          <w:sz w:val="24"/>
        </w:rPr>
        <w:t>）编制、整理工程监理归档文件并报委托人。</w:t>
      </w:r>
    </w:p>
    <w:p w14:paraId="750A1F9C">
      <w:pPr>
        <w:spacing w:line="360" w:lineRule="auto"/>
        <w:ind w:left="420" w:leftChars="200" w:firstLine="120" w:firstLineChars="50"/>
        <w:rPr>
          <w:rFonts w:ascii="仿宋_GB2312" w:hAnsi="宋体" w:eastAsia="仿宋_GB2312"/>
          <w:sz w:val="24"/>
        </w:rPr>
      </w:pPr>
      <w:r>
        <w:rPr>
          <w:rFonts w:hint="eastAsia" w:ascii="仿宋_GB2312" w:eastAsia="仿宋_GB2312"/>
          <w:sz w:val="24"/>
        </w:rPr>
        <w:t xml:space="preserve">2.1.3 </w:t>
      </w:r>
      <w:r>
        <w:rPr>
          <w:rFonts w:hint="eastAsia" w:ascii="仿宋_GB2312" w:hAnsi="宋体" w:eastAsia="仿宋_GB2312"/>
          <w:sz w:val="24"/>
        </w:rPr>
        <w:t>相关服务的范围和内容在附录</w:t>
      </w:r>
      <w:r>
        <w:rPr>
          <w:rFonts w:hint="eastAsia" w:ascii="仿宋_GB2312" w:eastAsia="仿宋_GB2312"/>
          <w:sz w:val="24"/>
        </w:rPr>
        <w:t>A</w:t>
      </w:r>
      <w:r>
        <w:rPr>
          <w:rFonts w:hint="eastAsia" w:ascii="仿宋_GB2312" w:hAnsi="宋体" w:eastAsia="仿宋_GB2312"/>
          <w:sz w:val="24"/>
        </w:rPr>
        <w:t>中约定。</w:t>
      </w:r>
    </w:p>
    <w:p w14:paraId="2F23EE8E">
      <w:pPr>
        <w:spacing w:line="360" w:lineRule="auto"/>
        <w:ind w:firstLine="240" w:firstLineChars="100"/>
        <w:rPr>
          <w:rFonts w:ascii="仿宋_GB2312" w:hAnsi="宋体" w:eastAsia="仿宋_GB2312"/>
          <w:bCs/>
          <w:sz w:val="24"/>
        </w:rPr>
      </w:pPr>
      <w:r>
        <w:rPr>
          <w:rFonts w:hint="eastAsia" w:ascii="仿宋_GB2312" w:eastAsia="仿宋_GB2312"/>
          <w:sz w:val="24"/>
        </w:rPr>
        <w:t xml:space="preserve">2.2 </w:t>
      </w:r>
      <w:r>
        <w:rPr>
          <w:rFonts w:hint="eastAsia" w:ascii="仿宋_GB2312" w:hAnsi="宋体" w:eastAsia="仿宋_GB2312"/>
          <w:bCs/>
          <w:sz w:val="24"/>
        </w:rPr>
        <w:t>监理与相关服务依据</w:t>
      </w:r>
    </w:p>
    <w:p w14:paraId="0B15D535">
      <w:pPr>
        <w:spacing w:line="360" w:lineRule="auto"/>
        <w:ind w:firstLine="480" w:firstLineChars="200"/>
        <w:rPr>
          <w:rFonts w:ascii="仿宋_GB2312" w:hAnsi="Courier New" w:eastAsia="仿宋_GB2312"/>
          <w:sz w:val="24"/>
        </w:rPr>
      </w:pPr>
      <w:r>
        <w:rPr>
          <w:rFonts w:hint="eastAsia" w:ascii="仿宋_GB2312" w:hAnsi="宋体" w:eastAsia="仿宋_GB2312"/>
          <w:sz w:val="24"/>
        </w:rPr>
        <w:t>2.2.1 监理依据包括：</w:t>
      </w:r>
    </w:p>
    <w:p w14:paraId="74D55A48">
      <w:pPr>
        <w:spacing w:line="360" w:lineRule="auto"/>
        <w:ind w:firstLine="600" w:firstLineChars="25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）适用的法律、行政法规及部门规章；</w:t>
      </w:r>
    </w:p>
    <w:p w14:paraId="241F1B91">
      <w:pPr>
        <w:spacing w:line="360" w:lineRule="auto"/>
        <w:ind w:firstLine="600" w:firstLineChars="25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）与工程有关的标准；</w:t>
      </w:r>
    </w:p>
    <w:p w14:paraId="5AA935E7">
      <w:pPr>
        <w:spacing w:line="360" w:lineRule="auto"/>
        <w:ind w:firstLine="600" w:firstLineChars="250"/>
        <w:rPr>
          <w:rFonts w:ascii="仿宋_GB2312" w:hAnsi="宋体" w:eastAsia="仿宋_GB2312"/>
          <w:sz w:val="24"/>
        </w:rPr>
      </w:pPr>
      <w:r>
        <w:rPr>
          <w:rFonts w:hint="eastAsia" w:ascii="仿宋_GB2312" w:hAnsi="宋体" w:eastAsia="仿宋_GB2312"/>
          <w:sz w:val="24"/>
        </w:rPr>
        <w:t>（3）工程设计及有关文件；</w:t>
      </w:r>
    </w:p>
    <w:p w14:paraId="3E9D70A4">
      <w:pPr>
        <w:spacing w:line="360" w:lineRule="auto"/>
        <w:ind w:firstLine="600" w:firstLineChars="25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4</w:t>
      </w:r>
      <w:r>
        <w:rPr>
          <w:rFonts w:hint="eastAsia" w:ascii="仿宋_GB2312" w:hAnsi="宋体" w:eastAsia="仿宋_GB2312"/>
          <w:sz w:val="24"/>
        </w:rPr>
        <w:t>）本合同及委托人与第三方签订的与实施工程有关的其他合同。</w:t>
      </w:r>
    </w:p>
    <w:p w14:paraId="44240448">
      <w:pPr>
        <w:spacing w:line="360" w:lineRule="auto"/>
        <w:ind w:left="210" w:leftChars="100" w:firstLine="480" w:firstLineChars="200"/>
        <w:rPr>
          <w:rFonts w:ascii="仿宋_GB2312" w:hAnsi="宋体" w:eastAsia="仿宋_GB2312"/>
          <w:bCs/>
          <w:sz w:val="24"/>
        </w:rPr>
      </w:pPr>
      <w:r>
        <w:rPr>
          <w:rFonts w:hint="eastAsia" w:ascii="仿宋_GB2312" w:hAnsi="宋体" w:eastAsia="仿宋_GB2312"/>
          <w:bCs/>
          <w:sz w:val="24"/>
        </w:rPr>
        <w:t>双方根据工程的行业和地域特点，在专用条件中具体约定监理依据。</w:t>
      </w:r>
    </w:p>
    <w:p w14:paraId="50A02FBD">
      <w:pPr>
        <w:spacing w:line="360" w:lineRule="auto"/>
        <w:ind w:firstLine="480" w:firstLineChars="200"/>
        <w:rPr>
          <w:rFonts w:ascii="仿宋_GB2312" w:hAnsi="宋体" w:eastAsia="仿宋_GB2312"/>
          <w:sz w:val="24"/>
        </w:rPr>
      </w:pPr>
      <w:r>
        <w:rPr>
          <w:rFonts w:hint="eastAsia" w:ascii="仿宋_GB2312" w:hAnsi="宋体" w:eastAsia="仿宋_GB2312"/>
          <w:sz w:val="24"/>
        </w:rPr>
        <w:t>2.2.2 相关服务依据在专用条件中约定。</w:t>
      </w:r>
    </w:p>
    <w:p w14:paraId="0BC587C4">
      <w:pPr>
        <w:spacing w:line="360" w:lineRule="auto"/>
        <w:ind w:firstLine="240" w:firstLineChars="100"/>
        <w:rPr>
          <w:rFonts w:ascii="仿宋_GB2312" w:hAnsi="宋体" w:eastAsia="仿宋_GB2312" w:cs="宋体"/>
          <w:sz w:val="24"/>
        </w:rPr>
      </w:pPr>
      <w:r>
        <w:rPr>
          <w:rFonts w:hint="eastAsia" w:ascii="仿宋_GB2312" w:eastAsia="仿宋_GB2312"/>
          <w:sz w:val="24"/>
        </w:rPr>
        <w:t xml:space="preserve">2.3 </w:t>
      </w:r>
      <w:r>
        <w:rPr>
          <w:rFonts w:hint="eastAsia" w:ascii="仿宋_GB2312" w:hAnsi="宋体" w:eastAsia="仿宋_GB2312" w:cs="宋体"/>
          <w:sz w:val="24"/>
        </w:rPr>
        <w:t>项目监理机构和人员</w:t>
      </w:r>
    </w:p>
    <w:p w14:paraId="1A33A645">
      <w:pPr>
        <w:spacing w:line="360" w:lineRule="auto"/>
        <w:ind w:firstLine="645"/>
        <w:rPr>
          <w:rFonts w:ascii="仿宋_GB2312" w:hAnsi="宋体" w:eastAsia="仿宋_GB2312" w:cs="Courier New"/>
          <w:sz w:val="24"/>
        </w:rPr>
      </w:pPr>
      <w:r>
        <w:rPr>
          <w:rFonts w:hint="eastAsia" w:ascii="仿宋_GB2312" w:eastAsia="仿宋_GB2312"/>
          <w:sz w:val="24"/>
        </w:rPr>
        <w:t xml:space="preserve">2.3.1 </w:t>
      </w:r>
      <w:r>
        <w:rPr>
          <w:rFonts w:hint="eastAsia" w:ascii="仿宋_GB2312" w:hAnsi="宋体" w:eastAsia="仿宋_GB2312"/>
          <w:sz w:val="24"/>
        </w:rPr>
        <w:t>监理人应组建满足工作需要的项目监理机构，配备必要的检测设备。项目监理机构的主要人员应具有相应的资格条件。</w:t>
      </w:r>
    </w:p>
    <w:p w14:paraId="473D5EA8">
      <w:pPr>
        <w:spacing w:line="360" w:lineRule="auto"/>
        <w:ind w:firstLine="480" w:firstLineChars="200"/>
        <w:rPr>
          <w:rFonts w:ascii="仿宋_GB2312" w:hAnsi="宋体" w:eastAsia="仿宋_GB2312"/>
          <w:sz w:val="24"/>
        </w:rPr>
      </w:pPr>
      <w:r>
        <w:rPr>
          <w:rFonts w:hint="eastAsia" w:ascii="仿宋_GB2312" w:eastAsia="仿宋_GB2312"/>
          <w:sz w:val="24"/>
        </w:rPr>
        <w:t>2.3.2</w:t>
      </w:r>
      <w:r>
        <w:rPr>
          <w:rFonts w:hint="eastAsia" w:ascii="仿宋_GB2312" w:hAnsi="宋体" w:eastAsia="仿宋_GB2312"/>
          <w:sz w:val="24"/>
        </w:rPr>
        <w:t>本合同履行过程中，总监理工程师及重要岗位监理人员应保持相对稳定，以保证监理工作正常进行。</w:t>
      </w:r>
    </w:p>
    <w:p w14:paraId="127B73F4">
      <w:pPr>
        <w:spacing w:line="360" w:lineRule="auto"/>
        <w:ind w:firstLine="480" w:firstLineChars="200"/>
        <w:rPr>
          <w:rFonts w:ascii="仿宋_GB2312" w:hAnsi="宋体" w:eastAsia="仿宋_GB2312"/>
          <w:sz w:val="24"/>
        </w:rPr>
      </w:pPr>
      <w:r>
        <w:rPr>
          <w:rFonts w:hint="eastAsia" w:ascii="仿宋_GB2312" w:eastAsia="仿宋_GB2312"/>
          <w:sz w:val="24"/>
        </w:rPr>
        <w:t>2.3.3</w:t>
      </w:r>
      <w:r>
        <w:rPr>
          <w:rFonts w:hint="eastAsia" w:ascii="仿宋_GB2312" w:hAnsi="宋体" w:eastAsia="仿宋_GB2312"/>
          <w:sz w:val="24"/>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05DB8DAE">
      <w:pPr>
        <w:spacing w:line="360" w:lineRule="auto"/>
        <w:ind w:firstLine="480" w:firstLineChars="200"/>
        <w:rPr>
          <w:rFonts w:ascii="仿宋_GB2312" w:hAnsi="Courier New" w:eastAsia="仿宋_GB2312"/>
          <w:sz w:val="24"/>
        </w:rPr>
      </w:pPr>
      <w:r>
        <w:rPr>
          <w:rFonts w:hint="eastAsia" w:ascii="仿宋_GB2312" w:eastAsia="仿宋_GB2312"/>
          <w:sz w:val="24"/>
        </w:rPr>
        <w:t xml:space="preserve">2.3.4 </w:t>
      </w:r>
      <w:r>
        <w:rPr>
          <w:rFonts w:hint="eastAsia" w:ascii="仿宋_GB2312" w:hAnsi="宋体" w:eastAsia="仿宋_GB2312"/>
          <w:sz w:val="24"/>
        </w:rPr>
        <w:t>监理人应及时更换有下列情形之一的监理人员：</w:t>
      </w:r>
    </w:p>
    <w:p w14:paraId="155C7831">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）严重过失行为的；</w:t>
      </w:r>
    </w:p>
    <w:p w14:paraId="7F4ADC25">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）有违法行为不能履行职责的；</w:t>
      </w:r>
    </w:p>
    <w:p w14:paraId="2978825D">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3</w:t>
      </w:r>
      <w:r>
        <w:rPr>
          <w:rFonts w:hint="eastAsia" w:ascii="仿宋_GB2312" w:hAnsi="宋体" w:eastAsia="仿宋_GB2312"/>
          <w:sz w:val="24"/>
        </w:rPr>
        <w:t>）涉嫌犯罪的；</w:t>
      </w:r>
    </w:p>
    <w:p w14:paraId="7B7DD163">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4</w:t>
      </w:r>
      <w:r>
        <w:rPr>
          <w:rFonts w:hint="eastAsia" w:ascii="仿宋_GB2312" w:hAnsi="宋体" w:eastAsia="仿宋_GB2312"/>
          <w:sz w:val="24"/>
        </w:rPr>
        <w:t>）不能胜任岗位职责的；</w:t>
      </w:r>
    </w:p>
    <w:p w14:paraId="38ADE63B">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5</w:t>
      </w:r>
      <w:r>
        <w:rPr>
          <w:rFonts w:hint="eastAsia" w:ascii="仿宋_GB2312" w:hAnsi="宋体" w:eastAsia="仿宋_GB2312"/>
          <w:sz w:val="24"/>
        </w:rPr>
        <w:t>）严重违反职业道德的；</w:t>
      </w:r>
    </w:p>
    <w:p w14:paraId="394494E5">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6</w:t>
      </w:r>
      <w:r>
        <w:rPr>
          <w:rFonts w:hint="eastAsia" w:ascii="仿宋_GB2312" w:hAnsi="宋体" w:eastAsia="仿宋_GB2312"/>
          <w:sz w:val="24"/>
        </w:rPr>
        <w:t>）专用条件约定的其他情形。</w:t>
      </w:r>
    </w:p>
    <w:p w14:paraId="7EB9358A">
      <w:pPr>
        <w:spacing w:line="360" w:lineRule="auto"/>
        <w:ind w:firstLine="480" w:firstLineChars="200"/>
        <w:rPr>
          <w:rFonts w:ascii="仿宋_GB2312" w:hAnsi="Courier New" w:eastAsia="仿宋_GB2312"/>
          <w:sz w:val="24"/>
        </w:rPr>
      </w:pPr>
      <w:r>
        <w:rPr>
          <w:rFonts w:hint="eastAsia" w:ascii="仿宋_GB2312" w:eastAsia="仿宋_GB2312"/>
          <w:sz w:val="24"/>
        </w:rPr>
        <w:t>2.3.5 委托人可要求监理人更换不能</w:t>
      </w:r>
      <w:r>
        <w:rPr>
          <w:rFonts w:hint="eastAsia" w:ascii="仿宋_GB2312" w:hAnsi="宋体" w:eastAsia="仿宋_GB2312"/>
          <w:sz w:val="24"/>
        </w:rPr>
        <w:t>胜任本职工作</w:t>
      </w:r>
      <w:r>
        <w:rPr>
          <w:rFonts w:hint="eastAsia" w:ascii="仿宋_GB2312" w:eastAsia="仿宋_GB2312"/>
          <w:sz w:val="24"/>
        </w:rPr>
        <w:t>的</w:t>
      </w:r>
      <w:r>
        <w:rPr>
          <w:rFonts w:hint="eastAsia" w:ascii="仿宋_GB2312" w:hAnsi="宋体" w:eastAsia="仿宋_GB2312"/>
          <w:sz w:val="24"/>
        </w:rPr>
        <w:t>项目监理机构</w:t>
      </w:r>
      <w:r>
        <w:rPr>
          <w:rFonts w:hint="eastAsia" w:ascii="仿宋_GB2312" w:eastAsia="仿宋_GB2312"/>
          <w:sz w:val="24"/>
        </w:rPr>
        <w:t>人员。</w:t>
      </w:r>
    </w:p>
    <w:p w14:paraId="43F147BE">
      <w:pPr>
        <w:spacing w:line="360" w:lineRule="auto"/>
        <w:ind w:left="210" w:leftChars="100"/>
        <w:rPr>
          <w:rFonts w:ascii="仿宋_GB2312" w:hAnsi="宋体" w:eastAsia="仿宋_GB2312" w:cs="宋体"/>
          <w:sz w:val="24"/>
        </w:rPr>
      </w:pPr>
      <w:r>
        <w:rPr>
          <w:rFonts w:hint="eastAsia" w:ascii="仿宋_GB2312" w:eastAsia="仿宋_GB2312"/>
          <w:sz w:val="24"/>
        </w:rPr>
        <w:t xml:space="preserve">2.4 </w:t>
      </w:r>
      <w:r>
        <w:rPr>
          <w:rFonts w:hint="eastAsia" w:ascii="仿宋_GB2312" w:hAnsi="宋体" w:eastAsia="仿宋_GB2312" w:cs="宋体"/>
          <w:sz w:val="24"/>
        </w:rPr>
        <w:t>履行职责</w:t>
      </w:r>
    </w:p>
    <w:p w14:paraId="1F40C610">
      <w:pPr>
        <w:spacing w:line="360" w:lineRule="auto"/>
        <w:ind w:firstLine="480" w:firstLineChars="200"/>
        <w:rPr>
          <w:rFonts w:ascii="仿宋_GB2312" w:hAnsi="Courier New" w:eastAsia="仿宋_GB2312" w:cs="Courier New"/>
          <w:sz w:val="24"/>
        </w:rPr>
      </w:pPr>
      <w:r>
        <w:rPr>
          <w:rFonts w:hint="eastAsia" w:ascii="仿宋_GB2312" w:hAnsi="宋体" w:eastAsia="仿宋_GB2312"/>
          <w:sz w:val="24"/>
        </w:rPr>
        <w:t>监理人应遵循职业道德准则和行为规范，严格按照法律法规、工程建设有关标准及本合同履行职责。</w:t>
      </w:r>
    </w:p>
    <w:p w14:paraId="2A84611D">
      <w:pPr>
        <w:spacing w:line="360" w:lineRule="auto"/>
        <w:ind w:firstLine="480" w:firstLineChars="200"/>
        <w:rPr>
          <w:rFonts w:ascii="仿宋_GB2312" w:hAnsi="宋体" w:eastAsia="仿宋_GB2312"/>
          <w:sz w:val="24"/>
        </w:rPr>
      </w:pPr>
      <w:r>
        <w:rPr>
          <w:rFonts w:hint="eastAsia" w:ascii="仿宋_GB2312" w:eastAsia="仿宋_GB2312"/>
          <w:sz w:val="24"/>
        </w:rPr>
        <w:t xml:space="preserve">2.4.1 </w:t>
      </w:r>
      <w:r>
        <w:rPr>
          <w:rFonts w:hint="eastAsia" w:ascii="仿宋_GB2312" w:hAnsi="宋体" w:eastAsia="仿宋_GB2312"/>
          <w:sz w:val="24"/>
        </w:rPr>
        <w:t>在监理与相关服务范围内，委托人和承包人提出的意见和要求，监理人应及时提出处置意见。当委托人与承包人之间发生合同争议时，监理人应协助委托人、承包人协商解决。</w:t>
      </w:r>
    </w:p>
    <w:p w14:paraId="57EE4311">
      <w:pPr>
        <w:spacing w:line="360" w:lineRule="auto"/>
        <w:ind w:firstLine="480" w:firstLineChars="200"/>
        <w:rPr>
          <w:rFonts w:ascii="仿宋_GB2312" w:hAnsi="Courier New" w:eastAsia="仿宋_GB2312"/>
          <w:sz w:val="24"/>
        </w:rPr>
      </w:pPr>
      <w:r>
        <w:rPr>
          <w:rFonts w:hint="eastAsia" w:ascii="仿宋_GB2312" w:eastAsia="仿宋_GB2312"/>
          <w:sz w:val="24"/>
        </w:rPr>
        <w:t xml:space="preserve">2.4.2 </w:t>
      </w:r>
      <w:r>
        <w:rPr>
          <w:rFonts w:hint="eastAsia" w:ascii="仿宋_GB2312" w:hAnsi="宋体" w:eastAsia="仿宋_GB2312"/>
          <w:sz w:val="24"/>
        </w:rPr>
        <w:t>当委托人与承包人之间的合同争议提交仲裁机构仲裁或人民法院审理时，监理人应提供必要的证明资料。</w:t>
      </w:r>
    </w:p>
    <w:p w14:paraId="5C64132B">
      <w:pPr>
        <w:spacing w:line="360" w:lineRule="auto"/>
        <w:ind w:firstLine="480" w:firstLineChars="200"/>
        <w:rPr>
          <w:rFonts w:ascii="仿宋_GB2312" w:eastAsia="仿宋_GB2312"/>
          <w:sz w:val="24"/>
        </w:rPr>
      </w:pPr>
      <w:r>
        <w:rPr>
          <w:rFonts w:hint="eastAsia" w:ascii="仿宋_GB2312" w:eastAsia="仿宋_GB2312"/>
          <w:sz w:val="24"/>
        </w:rPr>
        <w:t xml:space="preserve">2.4.3 </w:t>
      </w:r>
      <w:r>
        <w:rPr>
          <w:rFonts w:hint="eastAsia" w:ascii="仿宋_GB2312" w:hAnsi="宋体" w:eastAsia="仿宋_GB2312"/>
          <w:sz w:val="24"/>
        </w:rPr>
        <w:t>监理人应在专用条件约定的授权范围内，处理委托人与承包人所签订合同的变更事宜。如果变更超过授权范围，应以书面形式报委托人批准。</w:t>
      </w:r>
    </w:p>
    <w:p w14:paraId="7271B7D3">
      <w:pPr>
        <w:spacing w:line="360" w:lineRule="auto"/>
        <w:ind w:firstLine="480" w:firstLineChars="200"/>
        <w:rPr>
          <w:rFonts w:ascii="仿宋_GB2312" w:hAnsi="宋体" w:eastAsia="仿宋_GB2312"/>
          <w:sz w:val="24"/>
        </w:rPr>
      </w:pPr>
      <w:r>
        <w:rPr>
          <w:rFonts w:hint="eastAsia" w:ascii="仿宋_GB2312" w:hAnsi="宋体" w:eastAsia="仿宋_GB2312"/>
          <w:sz w:val="24"/>
        </w:rPr>
        <w:t>在紧急情况下，为了保护财产和人身安全，监理人所发出的指令未能事先报委托人批准时，应在发出指令后的</w:t>
      </w:r>
      <w:r>
        <w:rPr>
          <w:rFonts w:hint="eastAsia" w:ascii="仿宋_GB2312" w:eastAsia="仿宋_GB2312"/>
          <w:sz w:val="24"/>
        </w:rPr>
        <w:t>24</w:t>
      </w:r>
      <w:r>
        <w:rPr>
          <w:rFonts w:hint="eastAsia" w:ascii="仿宋_GB2312" w:hAnsi="宋体" w:eastAsia="仿宋_GB2312"/>
          <w:sz w:val="24"/>
        </w:rPr>
        <w:t>小时内以书面形式报委托人。</w:t>
      </w:r>
    </w:p>
    <w:p w14:paraId="4777FE1D">
      <w:pPr>
        <w:spacing w:line="360" w:lineRule="auto"/>
        <w:ind w:firstLine="480" w:firstLineChars="200"/>
        <w:rPr>
          <w:rFonts w:ascii="仿宋_GB2312" w:hAnsi="宋体" w:eastAsia="仿宋_GB2312"/>
          <w:sz w:val="24"/>
        </w:rPr>
      </w:pPr>
      <w:r>
        <w:rPr>
          <w:rFonts w:hint="eastAsia" w:ascii="仿宋_GB2312" w:hAnsi="宋体" w:eastAsia="仿宋_GB2312"/>
          <w:sz w:val="24"/>
        </w:rPr>
        <w:t>2.4.4 除专用条件另有约定外，监理人发现承包人的人员不能胜任本职工作的，有权要求承包人予以调换。</w:t>
      </w:r>
    </w:p>
    <w:p w14:paraId="1B35F4BC">
      <w:pPr>
        <w:spacing w:line="360" w:lineRule="auto"/>
        <w:ind w:left="210" w:leftChars="100"/>
        <w:rPr>
          <w:rFonts w:ascii="仿宋_GB2312" w:hAnsi="宋体" w:eastAsia="仿宋_GB2312" w:cs="宋体"/>
          <w:sz w:val="24"/>
        </w:rPr>
      </w:pPr>
      <w:r>
        <w:rPr>
          <w:rFonts w:hint="eastAsia" w:ascii="仿宋_GB2312" w:eastAsia="仿宋_GB2312"/>
          <w:sz w:val="24"/>
        </w:rPr>
        <w:t>2.5 提交</w:t>
      </w:r>
      <w:r>
        <w:rPr>
          <w:rFonts w:hint="eastAsia" w:ascii="仿宋_GB2312" w:hAnsi="宋体" w:eastAsia="仿宋_GB2312" w:cs="宋体"/>
          <w:sz w:val="24"/>
        </w:rPr>
        <w:t>报告</w:t>
      </w:r>
    </w:p>
    <w:p w14:paraId="29A842E7">
      <w:pPr>
        <w:spacing w:line="360" w:lineRule="auto"/>
        <w:ind w:firstLine="480" w:firstLineChars="200"/>
        <w:rPr>
          <w:rFonts w:ascii="仿宋_GB2312" w:hAnsi="Courier New" w:eastAsia="仿宋_GB2312" w:cs="Courier New"/>
          <w:sz w:val="24"/>
        </w:rPr>
      </w:pPr>
      <w:r>
        <w:rPr>
          <w:rFonts w:hint="eastAsia" w:ascii="仿宋_GB2312" w:hAnsi="宋体" w:eastAsia="仿宋_GB2312"/>
          <w:sz w:val="24"/>
        </w:rPr>
        <w:t>监理人应按专用条件约定的种类、时间和份数向委托人提交监理与相关服务的报告。</w:t>
      </w:r>
    </w:p>
    <w:p w14:paraId="1555968D">
      <w:pPr>
        <w:spacing w:line="360" w:lineRule="auto"/>
        <w:ind w:left="210" w:leftChars="100"/>
        <w:rPr>
          <w:rFonts w:ascii="仿宋_GB2312" w:hAnsi="宋体" w:eastAsia="仿宋_GB2312"/>
          <w:sz w:val="24"/>
        </w:rPr>
      </w:pPr>
      <w:r>
        <w:rPr>
          <w:rFonts w:hint="eastAsia" w:ascii="仿宋_GB2312" w:eastAsia="仿宋_GB2312"/>
          <w:sz w:val="24"/>
        </w:rPr>
        <w:t xml:space="preserve">2.6 </w:t>
      </w:r>
      <w:r>
        <w:rPr>
          <w:rFonts w:hint="eastAsia" w:ascii="仿宋_GB2312" w:hAnsi="宋体" w:eastAsia="仿宋_GB2312"/>
          <w:sz w:val="24"/>
        </w:rPr>
        <w:t>文件资料</w:t>
      </w:r>
    </w:p>
    <w:p w14:paraId="7257D430">
      <w:pPr>
        <w:spacing w:line="360" w:lineRule="auto"/>
        <w:ind w:firstLine="480" w:firstLineChars="200"/>
        <w:rPr>
          <w:rFonts w:ascii="仿宋_GB2312" w:hAnsi="宋体" w:eastAsia="仿宋_GB2312"/>
          <w:sz w:val="24"/>
        </w:rPr>
      </w:pPr>
      <w:r>
        <w:rPr>
          <w:rFonts w:hint="eastAsia" w:ascii="仿宋_GB2312" w:eastAsia="仿宋_GB2312"/>
          <w:sz w:val="24"/>
        </w:rPr>
        <w:t>在本合同履行期内，监理人应在现场保留工作所用的图纸、报告及记录监理工</w:t>
      </w:r>
      <w:r>
        <w:rPr>
          <w:rFonts w:hint="eastAsia" w:ascii="仿宋_GB2312" w:hAnsi="宋体" w:eastAsia="仿宋_GB2312"/>
          <w:sz w:val="24"/>
        </w:rPr>
        <w:t>作的相关文件。工程竣工后，应当按照档案管理规定将监理有关文件归档。</w:t>
      </w:r>
    </w:p>
    <w:p w14:paraId="49E81A22">
      <w:pPr>
        <w:spacing w:line="360" w:lineRule="auto"/>
        <w:ind w:left="210" w:leftChars="100"/>
        <w:rPr>
          <w:rFonts w:ascii="仿宋_GB2312" w:hAnsi="宋体" w:eastAsia="仿宋_GB2312" w:cs="宋体"/>
          <w:sz w:val="24"/>
        </w:rPr>
      </w:pPr>
      <w:r>
        <w:rPr>
          <w:rFonts w:hint="eastAsia" w:ascii="仿宋_GB2312" w:eastAsia="仿宋_GB2312"/>
          <w:sz w:val="24"/>
        </w:rPr>
        <w:t xml:space="preserve">2.7 </w:t>
      </w:r>
      <w:r>
        <w:rPr>
          <w:rFonts w:hint="eastAsia" w:ascii="仿宋_GB2312" w:hAnsi="宋体" w:eastAsia="仿宋_GB2312" w:cs="宋体"/>
          <w:sz w:val="24"/>
        </w:rPr>
        <w:t>使用委托人的财产</w:t>
      </w:r>
    </w:p>
    <w:p w14:paraId="19326949">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监理人无偿使用附录</w:t>
      </w:r>
      <w:r>
        <w:rPr>
          <w:rFonts w:hint="eastAsia" w:ascii="仿宋_GB2312" w:eastAsia="仿宋_GB2312"/>
          <w:sz w:val="24"/>
        </w:rPr>
        <w:t>B</w:t>
      </w:r>
      <w:r>
        <w:rPr>
          <w:rFonts w:hint="eastAsia" w:ascii="仿宋_GB2312" w:hAnsi="宋体" w:eastAsia="仿宋_GB2312"/>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284C40F">
      <w:pPr>
        <w:spacing w:line="360" w:lineRule="auto"/>
        <w:rPr>
          <w:rFonts w:ascii="仿宋_GB2312" w:hAnsi="黑体" w:eastAsia="仿宋_GB2312"/>
          <w:b/>
          <w:sz w:val="24"/>
        </w:rPr>
      </w:pPr>
      <w:r>
        <w:rPr>
          <w:rFonts w:hint="eastAsia" w:ascii="仿宋_GB2312" w:hAnsi="黑体" w:eastAsia="仿宋_GB2312"/>
          <w:b/>
          <w:sz w:val="24"/>
        </w:rPr>
        <w:t>3．委托人的义务</w:t>
      </w:r>
    </w:p>
    <w:p w14:paraId="3A6FDDA6">
      <w:pPr>
        <w:spacing w:line="360" w:lineRule="auto"/>
        <w:ind w:left="210" w:leftChars="100"/>
        <w:rPr>
          <w:rFonts w:ascii="仿宋_GB2312" w:hAnsi="宋体" w:eastAsia="仿宋_GB2312" w:cs="宋体"/>
          <w:sz w:val="24"/>
        </w:rPr>
      </w:pPr>
      <w:r>
        <w:rPr>
          <w:rFonts w:hint="eastAsia" w:ascii="仿宋_GB2312" w:eastAsia="仿宋_GB2312"/>
          <w:sz w:val="24"/>
        </w:rPr>
        <w:t xml:space="preserve">3.1 </w:t>
      </w:r>
      <w:r>
        <w:rPr>
          <w:rFonts w:hint="eastAsia" w:ascii="仿宋_GB2312" w:hAnsi="宋体" w:eastAsia="仿宋_GB2312" w:cs="宋体"/>
          <w:sz w:val="24"/>
        </w:rPr>
        <w:t>告知</w:t>
      </w:r>
    </w:p>
    <w:p w14:paraId="13154FEE">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委托人应在委托人与承包人签订的合同中明确监理人、总监理工程师和授予项目监理机构的权限。如有变更，应及时通知承包人。</w:t>
      </w:r>
    </w:p>
    <w:p w14:paraId="2BCD0D25">
      <w:pPr>
        <w:spacing w:line="360" w:lineRule="auto"/>
        <w:ind w:left="210" w:leftChars="100"/>
        <w:rPr>
          <w:rFonts w:ascii="仿宋_GB2312" w:hAnsi="宋体" w:eastAsia="仿宋_GB2312" w:cs="宋体"/>
          <w:sz w:val="24"/>
        </w:rPr>
      </w:pPr>
      <w:r>
        <w:rPr>
          <w:rFonts w:hint="eastAsia" w:ascii="仿宋_GB2312" w:eastAsia="仿宋_GB2312"/>
          <w:sz w:val="24"/>
        </w:rPr>
        <w:t xml:space="preserve">3.2 </w:t>
      </w:r>
      <w:r>
        <w:rPr>
          <w:rFonts w:hint="eastAsia" w:ascii="仿宋_GB2312" w:hAnsi="宋体" w:eastAsia="仿宋_GB2312" w:cs="宋体"/>
          <w:sz w:val="24"/>
        </w:rPr>
        <w:t>提供资料</w:t>
      </w:r>
    </w:p>
    <w:p w14:paraId="613BF037">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委托人应按照附录B约定，无偿向监理人提供工程有关的资料。在本合同履行过程中，委托人应及时向监理人提供最新的与工程有关的资料。</w:t>
      </w:r>
    </w:p>
    <w:p w14:paraId="6E0B4E36">
      <w:pPr>
        <w:spacing w:line="360" w:lineRule="auto"/>
        <w:ind w:left="210" w:leftChars="100"/>
        <w:rPr>
          <w:rFonts w:ascii="仿宋_GB2312" w:hAnsi="宋体" w:eastAsia="仿宋_GB2312" w:cs="宋体"/>
          <w:sz w:val="24"/>
        </w:rPr>
      </w:pPr>
      <w:r>
        <w:rPr>
          <w:rFonts w:hint="eastAsia" w:ascii="仿宋_GB2312" w:eastAsia="仿宋_GB2312"/>
          <w:sz w:val="24"/>
        </w:rPr>
        <w:t xml:space="preserve">3.3 </w:t>
      </w:r>
      <w:r>
        <w:rPr>
          <w:rFonts w:hint="eastAsia" w:ascii="仿宋_GB2312" w:hAnsi="宋体" w:eastAsia="仿宋_GB2312" w:cs="宋体"/>
          <w:sz w:val="24"/>
        </w:rPr>
        <w:t>提供工作条件</w:t>
      </w:r>
    </w:p>
    <w:p w14:paraId="4B11F82A">
      <w:pPr>
        <w:spacing w:line="360" w:lineRule="auto"/>
        <w:ind w:firstLine="480" w:firstLineChars="200"/>
        <w:rPr>
          <w:rFonts w:ascii="仿宋_GB2312" w:hAnsi="Courier New" w:eastAsia="仿宋_GB2312" w:cs="Courier New"/>
          <w:sz w:val="24"/>
        </w:rPr>
      </w:pPr>
      <w:r>
        <w:rPr>
          <w:rFonts w:hint="eastAsia" w:ascii="仿宋_GB2312" w:hAnsi="宋体" w:eastAsia="仿宋_GB2312"/>
          <w:sz w:val="24"/>
        </w:rPr>
        <w:t>委托人应为监理人完成监理与相关服务提供必要的条件。</w:t>
      </w:r>
    </w:p>
    <w:p w14:paraId="55157647">
      <w:pPr>
        <w:spacing w:line="360" w:lineRule="auto"/>
        <w:ind w:firstLine="480" w:firstLineChars="200"/>
        <w:rPr>
          <w:rFonts w:ascii="仿宋_GB2312" w:eastAsia="仿宋_GB2312"/>
          <w:sz w:val="24"/>
        </w:rPr>
      </w:pPr>
      <w:r>
        <w:rPr>
          <w:rFonts w:hint="eastAsia" w:ascii="仿宋_GB2312" w:eastAsia="仿宋_GB2312"/>
          <w:sz w:val="24"/>
        </w:rPr>
        <w:t xml:space="preserve">3.3.1 </w:t>
      </w:r>
      <w:r>
        <w:rPr>
          <w:rFonts w:hint="eastAsia" w:ascii="仿宋_GB2312" w:hAnsi="宋体" w:eastAsia="仿宋_GB2312"/>
          <w:sz w:val="24"/>
        </w:rPr>
        <w:t>委托人应按照附录</w:t>
      </w:r>
      <w:r>
        <w:rPr>
          <w:rFonts w:hint="eastAsia" w:ascii="仿宋_GB2312" w:eastAsia="仿宋_GB2312"/>
          <w:sz w:val="24"/>
        </w:rPr>
        <w:t>B</w:t>
      </w:r>
      <w:r>
        <w:rPr>
          <w:rFonts w:hint="eastAsia" w:ascii="仿宋_GB2312" w:hAnsi="宋体" w:eastAsia="仿宋_GB2312"/>
          <w:sz w:val="24"/>
        </w:rPr>
        <w:t>约定，派遣相应的人员，提供房屋、设备，供监理人无偿使用。</w:t>
      </w:r>
    </w:p>
    <w:p w14:paraId="5D73564F">
      <w:pPr>
        <w:spacing w:line="360" w:lineRule="auto"/>
        <w:ind w:firstLine="480" w:firstLineChars="200"/>
        <w:rPr>
          <w:rFonts w:ascii="仿宋_GB2312" w:hAnsi="宋体" w:eastAsia="仿宋_GB2312"/>
          <w:sz w:val="24"/>
        </w:rPr>
      </w:pPr>
      <w:r>
        <w:rPr>
          <w:rFonts w:hint="eastAsia" w:ascii="仿宋_GB2312" w:eastAsia="仿宋_GB2312"/>
          <w:sz w:val="24"/>
        </w:rPr>
        <w:t xml:space="preserve">3.3.2 </w:t>
      </w:r>
      <w:r>
        <w:rPr>
          <w:rFonts w:hint="eastAsia" w:ascii="仿宋_GB2312" w:hAnsi="宋体" w:eastAsia="仿宋_GB2312"/>
          <w:sz w:val="24"/>
        </w:rPr>
        <w:t>委托人应负责协调工程建设中所有外部关系，为监理人履行本合同提供必要的外部条件。</w:t>
      </w:r>
    </w:p>
    <w:p w14:paraId="416390CD">
      <w:pPr>
        <w:spacing w:line="360" w:lineRule="auto"/>
        <w:ind w:left="210" w:leftChars="100"/>
        <w:rPr>
          <w:rFonts w:ascii="仿宋_GB2312" w:hAnsi="宋体" w:eastAsia="仿宋_GB2312" w:cs="宋体"/>
          <w:sz w:val="24"/>
        </w:rPr>
      </w:pPr>
      <w:r>
        <w:rPr>
          <w:rFonts w:hint="eastAsia" w:ascii="仿宋_GB2312" w:eastAsia="仿宋_GB2312"/>
          <w:sz w:val="24"/>
        </w:rPr>
        <w:t xml:space="preserve">3.4 </w:t>
      </w:r>
      <w:r>
        <w:rPr>
          <w:rFonts w:hint="eastAsia" w:ascii="仿宋_GB2312" w:hAnsi="宋体" w:eastAsia="仿宋_GB2312" w:cs="宋体"/>
          <w:sz w:val="24"/>
        </w:rPr>
        <w:t>委托人代表</w:t>
      </w:r>
    </w:p>
    <w:p w14:paraId="10098DD5">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委托人应授权一名熟悉工程情况的代表，负责与监理人联系。委托人应在双方签订本合同后7天内，将委托人代表的姓名和职责书面告知监理人。当委托人更换委托人代表时，应提前</w:t>
      </w:r>
      <w:r>
        <w:rPr>
          <w:rFonts w:hint="eastAsia" w:ascii="仿宋_GB2312" w:eastAsia="仿宋_GB2312"/>
          <w:sz w:val="24"/>
        </w:rPr>
        <w:t>7天</w:t>
      </w:r>
      <w:r>
        <w:rPr>
          <w:rFonts w:hint="eastAsia" w:ascii="仿宋_GB2312" w:hAnsi="宋体" w:eastAsia="仿宋_GB2312"/>
          <w:sz w:val="24"/>
        </w:rPr>
        <w:t>通知监理人。</w:t>
      </w:r>
    </w:p>
    <w:p w14:paraId="599519C8">
      <w:pPr>
        <w:spacing w:line="360" w:lineRule="auto"/>
        <w:ind w:left="210" w:leftChars="100"/>
        <w:rPr>
          <w:rFonts w:ascii="仿宋_GB2312" w:hAnsi="宋体" w:eastAsia="仿宋_GB2312" w:cs="宋体"/>
          <w:sz w:val="24"/>
        </w:rPr>
      </w:pPr>
      <w:r>
        <w:rPr>
          <w:rFonts w:hint="eastAsia" w:ascii="仿宋_GB2312" w:eastAsia="仿宋_GB2312"/>
          <w:sz w:val="24"/>
        </w:rPr>
        <w:t xml:space="preserve">3.5 </w:t>
      </w:r>
      <w:r>
        <w:rPr>
          <w:rFonts w:hint="eastAsia" w:ascii="仿宋_GB2312" w:hAnsi="宋体" w:eastAsia="仿宋_GB2312" w:cs="宋体"/>
          <w:sz w:val="24"/>
        </w:rPr>
        <w:t>委托人意见或要求</w:t>
      </w:r>
    </w:p>
    <w:p w14:paraId="6259AFE0">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在本合同约定的监理与相关服务工作范围内，委托人对承包人的任何意见或要求应通知监理人，由监理人向承包人发出相应指令。</w:t>
      </w:r>
    </w:p>
    <w:p w14:paraId="7C99EF25">
      <w:pPr>
        <w:spacing w:line="360" w:lineRule="auto"/>
        <w:ind w:left="210" w:leftChars="100"/>
        <w:rPr>
          <w:rFonts w:ascii="仿宋_GB2312" w:hAnsi="宋体" w:eastAsia="仿宋_GB2312" w:cs="宋体"/>
          <w:sz w:val="24"/>
        </w:rPr>
      </w:pPr>
      <w:r>
        <w:rPr>
          <w:rFonts w:hint="eastAsia" w:ascii="仿宋_GB2312" w:eastAsia="仿宋_GB2312"/>
          <w:sz w:val="24"/>
        </w:rPr>
        <w:t xml:space="preserve">3.6 </w:t>
      </w:r>
      <w:r>
        <w:rPr>
          <w:rFonts w:hint="eastAsia" w:ascii="仿宋_GB2312" w:hAnsi="宋体" w:eastAsia="仿宋_GB2312" w:cs="宋体"/>
          <w:sz w:val="24"/>
        </w:rPr>
        <w:t>答复</w:t>
      </w:r>
    </w:p>
    <w:p w14:paraId="10E766AC">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委托人应在专用条件约定的时间内，对监理人以书面形式提交并要求作出决定的事宜，给予书面答复。逾期未答复的，视为委托人认可。</w:t>
      </w:r>
    </w:p>
    <w:p w14:paraId="575A4954">
      <w:pPr>
        <w:spacing w:line="360" w:lineRule="auto"/>
        <w:ind w:left="210" w:leftChars="100"/>
        <w:rPr>
          <w:rFonts w:ascii="仿宋_GB2312" w:hAnsi="宋体" w:eastAsia="仿宋_GB2312" w:cs="宋体"/>
          <w:sz w:val="24"/>
        </w:rPr>
      </w:pPr>
      <w:r>
        <w:rPr>
          <w:rFonts w:hint="eastAsia" w:ascii="仿宋_GB2312" w:eastAsia="仿宋_GB2312"/>
          <w:sz w:val="24"/>
        </w:rPr>
        <w:t xml:space="preserve">3.7 </w:t>
      </w:r>
      <w:r>
        <w:rPr>
          <w:rFonts w:hint="eastAsia" w:ascii="仿宋_GB2312" w:hAnsi="宋体" w:eastAsia="仿宋_GB2312" w:cs="宋体"/>
          <w:sz w:val="24"/>
        </w:rPr>
        <w:t>支付</w:t>
      </w:r>
    </w:p>
    <w:p w14:paraId="42D5B573">
      <w:pPr>
        <w:spacing w:line="360" w:lineRule="auto"/>
        <w:ind w:firstLine="480" w:firstLineChars="200"/>
        <w:rPr>
          <w:rFonts w:ascii="仿宋_GB2312" w:hAnsi="宋体" w:eastAsia="仿宋_GB2312" w:cs="Courier New"/>
          <w:sz w:val="24"/>
        </w:rPr>
      </w:pPr>
      <w:r>
        <w:rPr>
          <w:rFonts w:hint="eastAsia" w:ascii="仿宋_GB2312" w:hAnsi="宋体" w:eastAsia="仿宋_GB2312"/>
          <w:sz w:val="24"/>
        </w:rPr>
        <w:t>委托人应按本合同约定，向监理人支付酬金。</w:t>
      </w:r>
    </w:p>
    <w:p w14:paraId="6F67CA60">
      <w:pPr>
        <w:spacing w:line="360" w:lineRule="auto"/>
        <w:rPr>
          <w:rFonts w:ascii="仿宋_GB2312" w:hAnsi="黑体" w:eastAsia="仿宋_GB2312"/>
          <w:b/>
          <w:bCs/>
          <w:sz w:val="24"/>
        </w:rPr>
      </w:pPr>
      <w:r>
        <w:rPr>
          <w:rFonts w:hint="eastAsia" w:ascii="仿宋_GB2312" w:hAnsi="黑体" w:eastAsia="仿宋_GB2312"/>
          <w:b/>
          <w:bCs/>
          <w:sz w:val="24"/>
        </w:rPr>
        <w:t>4. 违约责任</w:t>
      </w:r>
    </w:p>
    <w:p w14:paraId="069F73CA">
      <w:pPr>
        <w:spacing w:line="360" w:lineRule="auto"/>
        <w:ind w:left="210" w:leftChars="100"/>
        <w:rPr>
          <w:rFonts w:ascii="仿宋_GB2312" w:hAnsi="宋体" w:eastAsia="仿宋_GB2312" w:cs="宋体"/>
          <w:sz w:val="24"/>
        </w:rPr>
      </w:pPr>
      <w:r>
        <w:rPr>
          <w:rFonts w:hint="eastAsia" w:ascii="仿宋_GB2312" w:eastAsia="仿宋_GB2312"/>
          <w:sz w:val="24"/>
        </w:rPr>
        <w:t xml:space="preserve">4.1 </w:t>
      </w:r>
      <w:r>
        <w:rPr>
          <w:rFonts w:hint="eastAsia" w:ascii="仿宋_GB2312" w:hAnsi="宋体" w:eastAsia="仿宋_GB2312" w:cs="宋体"/>
          <w:sz w:val="24"/>
        </w:rPr>
        <w:t>监理人的违约责任</w:t>
      </w:r>
    </w:p>
    <w:p w14:paraId="0ED77EC3">
      <w:pPr>
        <w:spacing w:line="360" w:lineRule="auto"/>
        <w:ind w:firstLine="480" w:firstLineChars="200"/>
        <w:rPr>
          <w:rFonts w:ascii="仿宋_GB2312" w:hAnsi="Courier New" w:eastAsia="仿宋_GB2312" w:cs="Courier New"/>
          <w:sz w:val="24"/>
        </w:rPr>
      </w:pPr>
      <w:r>
        <w:rPr>
          <w:rFonts w:hint="eastAsia" w:ascii="仿宋_GB2312" w:hAnsi="宋体" w:eastAsia="仿宋_GB2312"/>
          <w:sz w:val="24"/>
        </w:rPr>
        <w:t>监理人未履行本合同义务的，应承担相应的责任。</w:t>
      </w:r>
    </w:p>
    <w:p w14:paraId="613D1CEB">
      <w:pPr>
        <w:spacing w:line="360" w:lineRule="auto"/>
        <w:ind w:firstLine="480" w:firstLineChars="200"/>
        <w:rPr>
          <w:rFonts w:ascii="仿宋_GB2312" w:eastAsia="仿宋_GB2312"/>
          <w:sz w:val="24"/>
        </w:rPr>
      </w:pPr>
      <w:r>
        <w:rPr>
          <w:rFonts w:hint="eastAsia" w:ascii="仿宋_GB2312" w:eastAsia="仿宋_GB2312"/>
          <w:sz w:val="24"/>
        </w:rPr>
        <w:t xml:space="preserve">4.1.1 </w:t>
      </w:r>
      <w:r>
        <w:rPr>
          <w:rFonts w:hint="eastAsia" w:ascii="仿宋_GB2312" w:hAnsi="宋体" w:eastAsia="仿宋_GB2312"/>
          <w:sz w:val="24"/>
        </w:rPr>
        <w:t>因监理人</w:t>
      </w:r>
      <w:r>
        <w:rPr>
          <w:rFonts w:hint="eastAsia" w:ascii="仿宋_GB2312" w:hAnsi="宋体" w:eastAsia="仿宋_GB2312" w:cs="宋体"/>
          <w:sz w:val="24"/>
        </w:rPr>
        <w:t>违反本合同约定</w:t>
      </w:r>
      <w:r>
        <w:rPr>
          <w:rFonts w:hint="eastAsia" w:ascii="仿宋_GB2312" w:hAnsi="宋体" w:eastAsia="仿宋_GB2312"/>
          <w:sz w:val="24"/>
        </w:rPr>
        <w:t>给委托人造成损失的，监理人应当赔偿委托人损失。赔偿金额的确定方法在专用条件中约定。</w:t>
      </w:r>
      <w:r>
        <w:rPr>
          <w:rFonts w:hint="eastAsia" w:ascii="仿宋_GB2312" w:eastAsia="仿宋_GB2312"/>
          <w:sz w:val="24"/>
        </w:rPr>
        <w:t>监理人承担部分赔偿责任的，其承担赔偿金额由双方协商确定。</w:t>
      </w:r>
    </w:p>
    <w:p w14:paraId="154EDDBB">
      <w:pPr>
        <w:spacing w:line="360" w:lineRule="auto"/>
        <w:ind w:firstLine="480" w:firstLineChars="200"/>
        <w:rPr>
          <w:rFonts w:ascii="仿宋_GB2312" w:hAnsi="宋体" w:eastAsia="仿宋_GB2312"/>
          <w:sz w:val="24"/>
        </w:rPr>
      </w:pPr>
      <w:r>
        <w:rPr>
          <w:rFonts w:hint="eastAsia" w:ascii="仿宋_GB2312" w:eastAsia="仿宋_GB2312"/>
          <w:sz w:val="24"/>
        </w:rPr>
        <w:t xml:space="preserve">4.1.2 </w:t>
      </w:r>
      <w:r>
        <w:rPr>
          <w:rFonts w:hint="eastAsia" w:ascii="仿宋_GB2312" w:hAnsi="宋体" w:eastAsia="仿宋_GB2312"/>
          <w:sz w:val="24"/>
        </w:rPr>
        <w:t>监理人向委托人的索赔不成立时，监理人应赔偿委托人由此发生的费用。</w:t>
      </w:r>
    </w:p>
    <w:p w14:paraId="7DF525F5">
      <w:pPr>
        <w:spacing w:line="360" w:lineRule="auto"/>
        <w:ind w:firstLine="240" w:firstLineChars="100"/>
        <w:rPr>
          <w:rFonts w:ascii="仿宋_GB2312" w:hAnsi="宋体" w:eastAsia="仿宋_GB2312" w:cs="宋体"/>
          <w:sz w:val="24"/>
        </w:rPr>
      </w:pPr>
      <w:r>
        <w:rPr>
          <w:rFonts w:hint="eastAsia" w:ascii="仿宋_GB2312" w:eastAsia="仿宋_GB2312"/>
          <w:sz w:val="24"/>
        </w:rPr>
        <w:t>4.2 委</w:t>
      </w:r>
      <w:r>
        <w:rPr>
          <w:rFonts w:hint="eastAsia" w:ascii="仿宋_GB2312" w:hAnsi="宋体" w:eastAsia="仿宋_GB2312" w:cs="宋体"/>
          <w:sz w:val="24"/>
        </w:rPr>
        <w:t>托人的违约责任</w:t>
      </w:r>
    </w:p>
    <w:p w14:paraId="7EFF2025">
      <w:pPr>
        <w:spacing w:line="360" w:lineRule="auto"/>
        <w:ind w:firstLine="480" w:firstLineChars="200"/>
        <w:rPr>
          <w:rFonts w:ascii="仿宋_GB2312" w:hAnsi="宋体" w:eastAsia="仿宋_GB2312" w:cs="宋体"/>
          <w:sz w:val="24"/>
        </w:rPr>
      </w:pPr>
      <w:r>
        <w:rPr>
          <w:rFonts w:hint="eastAsia" w:ascii="仿宋_GB2312" w:hAnsi="宋体" w:eastAsia="仿宋_GB2312"/>
          <w:sz w:val="24"/>
        </w:rPr>
        <w:t>委托人未履行本合同义务的，应承担相应的责任。</w:t>
      </w:r>
    </w:p>
    <w:p w14:paraId="7E7E79BB">
      <w:pPr>
        <w:spacing w:line="360" w:lineRule="auto"/>
        <w:ind w:firstLine="480" w:firstLineChars="200"/>
        <w:rPr>
          <w:rFonts w:ascii="仿宋_GB2312" w:hAnsi="宋体" w:eastAsia="仿宋_GB2312" w:cs="Courier New"/>
          <w:sz w:val="24"/>
        </w:rPr>
      </w:pPr>
      <w:r>
        <w:rPr>
          <w:rFonts w:hint="eastAsia" w:ascii="仿宋_GB2312" w:eastAsia="仿宋_GB2312"/>
          <w:sz w:val="24"/>
        </w:rPr>
        <w:t xml:space="preserve">4.2.1 </w:t>
      </w:r>
      <w:r>
        <w:rPr>
          <w:rFonts w:hint="eastAsia" w:ascii="仿宋_GB2312" w:hAnsi="宋体" w:eastAsia="仿宋_GB2312"/>
          <w:sz w:val="24"/>
        </w:rPr>
        <w:t>委托人违反本合同约定造成监理人损失的，委托人应予以赔偿。</w:t>
      </w:r>
    </w:p>
    <w:p w14:paraId="4402290A">
      <w:pPr>
        <w:spacing w:line="360" w:lineRule="auto"/>
        <w:ind w:firstLine="480" w:firstLineChars="200"/>
        <w:rPr>
          <w:rFonts w:ascii="仿宋_GB2312" w:hAnsi="宋体" w:eastAsia="仿宋_GB2312"/>
          <w:sz w:val="24"/>
        </w:rPr>
      </w:pPr>
      <w:r>
        <w:rPr>
          <w:rFonts w:hint="eastAsia" w:ascii="仿宋_GB2312" w:eastAsia="仿宋_GB2312"/>
          <w:sz w:val="24"/>
        </w:rPr>
        <w:t xml:space="preserve">4.2.2 </w:t>
      </w:r>
      <w:r>
        <w:rPr>
          <w:rFonts w:hint="eastAsia" w:ascii="仿宋_GB2312" w:hAnsi="宋体" w:eastAsia="仿宋_GB2312"/>
          <w:sz w:val="24"/>
        </w:rPr>
        <w:t>委托人向监理人的索赔不成立时，应赔偿监理人由此引起的费用。</w:t>
      </w:r>
    </w:p>
    <w:p w14:paraId="2F8E661C">
      <w:pPr>
        <w:spacing w:line="360" w:lineRule="auto"/>
        <w:ind w:firstLine="480" w:firstLineChars="200"/>
        <w:rPr>
          <w:rFonts w:ascii="仿宋_GB2312" w:hAnsi="宋体" w:eastAsia="仿宋_GB2312"/>
          <w:sz w:val="24"/>
        </w:rPr>
      </w:pPr>
      <w:r>
        <w:rPr>
          <w:rFonts w:hint="eastAsia" w:ascii="仿宋_GB2312" w:eastAsia="仿宋_GB2312"/>
          <w:sz w:val="24"/>
        </w:rPr>
        <w:t xml:space="preserve">4.2.3 </w:t>
      </w:r>
      <w:r>
        <w:rPr>
          <w:rFonts w:hint="eastAsia" w:ascii="仿宋_GB2312" w:hAnsi="宋体" w:eastAsia="仿宋_GB2312"/>
          <w:sz w:val="24"/>
        </w:rPr>
        <w:t>委托人未能按期支付酬金超过</w:t>
      </w:r>
      <w:r>
        <w:rPr>
          <w:rFonts w:hint="eastAsia" w:ascii="仿宋_GB2312" w:eastAsia="仿宋_GB2312"/>
          <w:sz w:val="24"/>
        </w:rPr>
        <w:t>28</w:t>
      </w:r>
      <w:r>
        <w:rPr>
          <w:rFonts w:hint="eastAsia" w:ascii="仿宋_GB2312" w:hAnsi="宋体" w:eastAsia="仿宋_GB2312"/>
          <w:sz w:val="24"/>
        </w:rPr>
        <w:t>天，</w:t>
      </w:r>
      <w:r>
        <w:rPr>
          <w:rFonts w:hint="eastAsia" w:ascii="仿宋_GB2312" w:hAnsi="宋体" w:eastAsia="仿宋_GB2312" w:cs="宋体"/>
          <w:sz w:val="24"/>
        </w:rPr>
        <w:t>应按专用条件约定支付逾期付款利息</w:t>
      </w:r>
      <w:r>
        <w:rPr>
          <w:rFonts w:hint="eastAsia" w:ascii="仿宋_GB2312" w:hAnsi="宋体" w:eastAsia="仿宋_GB2312"/>
          <w:sz w:val="24"/>
        </w:rPr>
        <w:t>。</w:t>
      </w:r>
    </w:p>
    <w:p w14:paraId="310D87BB">
      <w:pPr>
        <w:spacing w:line="360" w:lineRule="auto"/>
        <w:ind w:firstLine="240" w:firstLineChars="100"/>
        <w:rPr>
          <w:rFonts w:ascii="仿宋_GB2312" w:hAnsi="宋体" w:eastAsia="仿宋_GB2312"/>
          <w:sz w:val="24"/>
        </w:rPr>
      </w:pPr>
      <w:r>
        <w:rPr>
          <w:rFonts w:hint="eastAsia" w:ascii="仿宋_GB2312" w:eastAsia="仿宋_GB2312"/>
          <w:sz w:val="24"/>
        </w:rPr>
        <w:t xml:space="preserve">4.3 </w:t>
      </w:r>
      <w:r>
        <w:rPr>
          <w:rFonts w:hint="eastAsia" w:ascii="仿宋_GB2312" w:hAnsi="宋体" w:eastAsia="仿宋_GB2312"/>
          <w:sz w:val="24"/>
        </w:rPr>
        <w:t>除外责任</w:t>
      </w:r>
    </w:p>
    <w:p w14:paraId="7BFC1114">
      <w:pPr>
        <w:spacing w:line="360" w:lineRule="auto"/>
        <w:ind w:firstLine="480" w:firstLineChars="200"/>
        <w:rPr>
          <w:rFonts w:ascii="仿宋_GB2312" w:hAnsi="Courier New" w:eastAsia="仿宋_GB2312"/>
          <w:sz w:val="24"/>
        </w:rPr>
      </w:pPr>
      <w:r>
        <w:rPr>
          <w:rFonts w:hint="eastAsia" w:ascii="仿宋_GB2312" w:hAnsi="宋体" w:eastAsia="仿宋_GB2312"/>
          <w:sz w:val="24"/>
        </w:rPr>
        <w:t>因非监理人的原因，且监理人无过错，发生工程质量事故、安全事故、工期延误等造成的损失，监理人不承担赔偿责任。</w:t>
      </w:r>
    </w:p>
    <w:p w14:paraId="58142E2F">
      <w:pPr>
        <w:spacing w:line="360" w:lineRule="auto"/>
        <w:ind w:firstLine="480" w:firstLineChars="200"/>
        <w:rPr>
          <w:rFonts w:ascii="仿宋_GB2312" w:hAnsi="宋体" w:eastAsia="仿宋_GB2312"/>
          <w:sz w:val="24"/>
        </w:rPr>
      </w:pPr>
      <w:r>
        <w:rPr>
          <w:rFonts w:hint="eastAsia" w:ascii="仿宋_GB2312" w:hAnsi="宋体" w:eastAsia="仿宋_GB2312"/>
          <w:sz w:val="24"/>
        </w:rPr>
        <w:t>因不可抗力导致本合同全部或部分不能履行时，双方各自承担其因此而造成的损失、损害。</w:t>
      </w:r>
    </w:p>
    <w:p w14:paraId="69085FAB">
      <w:pPr>
        <w:spacing w:line="360" w:lineRule="auto"/>
        <w:rPr>
          <w:rFonts w:ascii="仿宋_GB2312" w:hAnsi="宋体" w:eastAsia="仿宋_GB2312"/>
          <w:b/>
          <w:bCs/>
          <w:sz w:val="24"/>
        </w:rPr>
      </w:pPr>
      <w:r>
        <w:rPr>
          <w:rFonts w:hint="eastAsia" w:ascii="仿宋_GB2312" w:hAnsi="黑体" w:eastAsia="仿宋_GB2312"/>
          <w:b/>
          <w:bCs/>
          <w:sz w:val="24"/>
        </w:rPr>
        <w:t>5. 支付</w:t>
      </w:r>
    </w:p>
    <w:p w14:paraId="58D3FB4B">
      <w:pPr>
        <w:spacing w:line="360" w:lineRule="auto"/>
        <w:ind w:left="210" w:leftChars="100"/>
        <w:rPr>
          <w:rFonts w:ascii="仿宋_GB2312" w:hAnsi="宋体" w:eastAsia="仿宋_GB2312"/>
          <w:bCs/>
          <w:sz w:val="24"/>
        </w:rPr>
      </w:pPr>
      <w:r>
        <w:rPr>
          <w:rFonts w:hint="eastAsia" w:ascii="仿宋_GB2312" w:eastAsia="仿宋_GB2312"/>
          <w:sz w:val="24"/>
        </w:rPr>
        <w:t xml:space="preserve">5.1 </w:t>
      </w:r>
      <w:r>
        <w:rPr>
          <w:rFonts w:hint="eastAsia" w:ascii="仿宋_GB2312" w:hAnsi="宋体" w:eastAsia="仿宋_GB2312"/>
          <w:bCs/>
          <w:sz w:val="24"/>
        </w:rPr>
        <w:t>支付货币</w:t>
      </w:r>
    </w:p>
    <w:p w14:paraId="2A398FAC">
      <w:pPr>
        <w:spacing w:line="360" w:lineRule="auto"/>
        <w:ind w:firstLine="480" w:firstLineChars="200"/>
        <w:rPr>
          <w:rFonts w:ascii="仿宋_GB2312" w:hAnsi="宋体" w:eastAsia="仿宋_GB2312"/>
          <w:bCs/>
          <w:sz w:val="24"/>
        </w:rPr>
      </w:pPr>
      <w:r>
        <w:rPr>
          <w:rFonts w:hint="eastAsia" w:ascii="仿宋_GB2312" w:eastAsia="仿宋_GB2312"/>
          <w:sz w:val="24"/>
        </w:rPr>
        <w:t>除专用条件另有约定外，酬金均以人民币支付。涉及外币支付的，</w:t>
      </w:r>
      <w:r>
        <w:rPr>
          <w:rFonts w:hint="eastAsia" w:ascii="仿宋_GB2312" w:hAnsi="宋体" w:eastAsia="仿宋_GB2312"/>
          <w:sz w:val="24"/>
        </w:rPr>
        <w:t>所采用的货币种类、比例和汇率在专用条件中约定。</w:t>
      </w:r>
    </w:p>
    <w:p w14:paraId="34AE367D">
      <w:pPr>
        <w:spacing w:line="360" w:lineRule="auto"/>
        <w:ind w:left="210" w:leftChars="100"/>
        <w:rPr>
          <w:rFonts w:ascii="仿宋_GB2312" w:hAnsi="宋体" w:eastAsia="仿宋_GB2312"/>
          <w:bCs/>
          <w:sz w:val="24"/>
        </w:rPr>
      </w:pPr>
      <w:r>
        <w:rPr>
          <w:rFonts w:hint="eastAsia" w:ascii="仿宋_GB2312" w:eastAsia="仿宋_GB2312"/>
          <w:sz w:val="24"/>
        </w:rPr>
        <w:t xml:space="preserve">5.2 </w:t>
      </w:r>
      <w:r>
        <w:rPr>
          <w:rFonts w:hint="eastAsia" w:ascii="仿宋_GB2312" w:hAnsi="宋体" w:eastAsia="仿宋_GB2312"/>
          <w:sz w:val="24"/>
        </w:rPr>
        <w:t>支付申请</w:t>
      </w:r>
    </w:p>
    <w:p w14:paraId="41FC64FF">
      <w:pPr>
        <w:spacing w:line="360" w:lineRule="auto"/>
        <w:ind w:firstLine="480" w:firstLineChars="200"/>
        <w:rPr>
          <w:rFonts w:ascii="仿宋_GB2312" w:hAnsi="Courier New" w:eastAsia="仿宋_GB2312"/>
          <w:sz w:val="24"/>
        </w:rPr>
      </w:pPr>
      <w:r>
        <w:rPr>
          <w:rFonts w:hint="eastAsia" w:ascii="仿宋_GB2312" w:eastAsia="仿宋_GB2312"/>
          <w:sz w:val="24"/>
        </w:rPr>
        <w:t>监理人应在本合同约定的每次应付款时间的7天前，向委托人提交支付申请书。支付申请书应当说明当期应付款总额，并列出当期应支付的款项及其金额。</w:t>
      </w:r>
    </w:p>
    <w:p w14:paraId="382B4567">
      <w:pPr>
        <w:spacing w:line="360" w:lineRule="auto"/>
        <w:rPr>
          <w:rFonts w:ascii="仿宋_GB2312" w:eastAsia="仿宋_GB2312"/>
          <w:sz w:val="24"/>
        </w:rPr>
      </w:pPr>
      <w:r>
        <w:rPr>
          <w:rFonts w:hint="eastAsia" w:ascii="仿宋_GB2312" w:eastAsia="仿宋_GB2312"/>
          <w:sz w:val="24"/>
        </w:rPr>
        <w:t xml:space="preserve"> 5.3 支付酬金</w:t>
      </w:r>
    </w:p>
    <w:p w14:paraId="7F75BDDA">
      <w:pPr>
        <w:spacing w:line="360" w:lineRule="auto"/>
        <w:ind w:firstLine="480"/>
        <w:rPr>
          <w:rFonts w:ascii="仿宋_GB2312" w:eastAsia="仿宋_GB2312"/>
          <w:sz w:val="24"/>
        </w:rPr>
      </w:pPr>
      <w:r>
        <w:rPr>
          <w:rFonts w:hint="eastAsia" w:ascii="仿宋_GB2312" w:eastAsia="仿宋_GB2312"/>
          <w:sz w:val="24"/>
        </w:rPr>
        <w:t>支付的</w:t>
      </w:r>
      <w:r>
        <w:rPr>
          <w:rFonts w:hint="eastAsia" w:ascii="仿宋_GB2312" w:hAnsi="宋体" w:eastAsia="仿宋_GB2312"/>
          <w:sz w:val="24"/>
        </w:rPr>
        <w:t>酬金</w:t>
      </w:r>
      <w:r>
        <w:rPr>
          <w:rFonts w:hint="eastAsia" w:ascii="仿宋_GB2312" w:eastAsia="仿宋_GB2312"/>
          <w:sz w:val="24"/>
        </w:rPr>
        <w:t>包括正常工作酬金、附加工作酬金、合理化建议奖励金额及费用。</w:t>
      </w:r>
    </w:p>
    <w:p w14:paraId="6F215F55">
      <w:pPr>
        <w:spacing w:line="360" w:lineRule="auto"/>
        <w:rPr>
          <w:rFonts w:ascii="仿宋_GB2312" w:hAnsi="宋体" w:eastAsia="仿宋_GB2312"/>
          <w:bCs/>
          <w:sz w:val="24"/>
        </w:rPr>
      </w:pPr>
      <w:r>
        <w:rPr>
          <w:rFonts w:hint="eastAsia" w:ascii="仿宋_GB2312" w:eastAsia="仿宋_GB2312"/>
          <w:sz w:val="24"/>
        </w:rPr>
        <w:t xml:space="preserve">  5.4 </w:t>
      </w:r>
      <w:r>
        <w:rPr>
          <w:rFonts w:hint="eastAsia" w:ascii="仿宋_GB2312" w:hAnsi="宋体" w:eastAsia="仿宋_GB2312"/>
          <w:bCs/>
          <w:sz w:val="24"/>
        </w:rPr>
        <w:t>有争议部分的付款</w:t>
      </w:r>
    </w:p>
    <w:p w14:paraId="17A306FC">
      <w:pPr>
        <w:spacing w:line="360" w:lineRule="auto"/>
        <w:ind w:firstLine="480" w:firstLineChars="200"/>
        <w:rPr>
          <w:rFonts w:ascii="仿宋_GB2312" w:hAnsi="宋体" w:eastAsia="仿宋_GB2312"/>
          <w:sz w:val="24"/>
        </w:rPr>
      </w:pPr>
      <w:r>
        <w:rPr>
          <w:rFonts w:hint="eastAsia" w:ascii="仿宋_GB2312" w:hAnsi="宋体" w:eastAsia="仿宋_GB2312"/>
          <w:sz w:val="24"/>
        </w:rPr>
        <w:t>委托人对监理人提交的支付申请书有异议时，应当在收到监理人提交的支付申请书后</w:t>
      </w:r>
      <w:r>
        <w:rPr>
          <w:rFonts w:hint="eastAsia" w:ascii="仿宋_GB2312" w:eastAsia="仿宋_GB2312"/>
          <w:sz w:val="24"/>
        </w:rPr>
        <w:t>7</w:t>
      </w:r>
      <w:r>
        <w:rPr>
          <w:rFonts w:hint="eastAsia" w:ascii="仿宋_GB2312" w:hAnsi="宋体" w:eastAsia="仿宋_GB2312"/>
          <w:sz w:val="24"/>
        </w:rPr>
        <w:t>天内，以书面形式向监理人发出异议通知。无异议部分的款项应按期支付，有异议部分的款项按第7条约定办理。</w:t>
      </w:r>
    </w:p>
    <w:p w14:paraId="1FA600B9">
      <w:pPr>
        <w:spacing w:line="360" w:lineRule="auto"/>
        <w:rPr>
          <w:rFonts w:ascii="仿宋_GB2312" w:hAnsi="黑体" w:eastAsia="仿宋_GB2312"/>
          <w:b/>
          <w:bCs/>
          <w:color w:val="FF0000"/>
          <w:sz w:val="24"/>
        </w:rPr>
      </w:pPr>
      <w:r>
        <w:rPr>
          <w:rFonts w:hint="eastAsia" w:ascii="仿宋_GB2312" w:hAnsi="黑体" w:eastAsia="仿宋_GB2312"/>
          <w:b/>
          <w:bCs/>
          <w:sz w:val="24"/>
        </w:rPr>
        <w:t>6. 合同生效、变更、暂停、解除与终止</w:t>
      </w:r>
    </w:p>
    <w:p w14:paraId="5D806822">
      <w:pPr>
        <w:spacing w:line="360" w:lineRule="auto"/>
        <w:ind w:left="210" w:leftChars="100"/>
        <w:rPr>
          <w:rFonts w:ascii="仿宋_GB2312" w:hAnsi="宋体" w:eastAsia="仿宋_GB2312"/>
          <w:sz w:val="24"/>
        </w:rPr>
      </w:pPr>
      <w:r>
        <w:rPr>
          <w:rFonts w:hint="eastAsia" w:ascii="仿宋_GB2312" w:eastAsia="仿宋_GB2312"/>
          <w:sz w:val="24"/>
        </w:rPr>
        <w:t>6.1</w:t>
      </w:r>
      <w:r>
        <w:rPr>
          <w:rFonts w:hint="eastAsia" w:ascii="仿宋_GB2312" w:hAnsi="宋体" w:eastAsia="仿宋_GB2312"/>
          <w:sz w:val="24"/>
        </w:rPr>
        <w:t>生效</w:t>
      </w:r>
    </w:p>
    <w:p w14:paraId="6E256175">
      <w:pPr>
        <w:spacing w:line="360" w:lineRule="auto"/>
        <w:ind w:firstLine="480" w:firstLineChars="200"/>
        <w:rPr>
          <w:rFonts w:ascii="仿宋_GB2312" w:hAnsi="Courier New" w:eastAsia="仿宋_GB2312"/>
          <w:sz w:val="24"/>
        </w:rPr>
      </w:pPr>
      <w:r>
        <w:rPr>
          <w:rFonts w:hint="eastAsia" w:ascii="仿宋_GB2312" w:eastAsia="仿宋_GB2312"/>
          <w:sz w:val="24"/>
        </w:rPr>
        <w:t>除法律另有规定或者专用条件另有约定外，委托人和监理人的法定代表人或其授权代理人在协议书上签字并盖单位章后本合同生效。</w:t>
      </w:r>
    </w:p>
    <w:p w14:paraId="0EED746D">
      <w:pPr>
        <w:spacing w:line="360" w:lineRule="auto"/>
        <w:ind w:left="210" w:leftChars="100"/>
        <w:rPr>
          <w:rFonts w:ascii="仿宋_GB2312" w:hAnsi="宋体" w:eastAsia="仿宋_GB2312"/>
          <w:bCs/>
          <w:sz w:val="24"/>
        </w:rPr>
      </w:pPr>
      <w:r>
        <w:rPr>
          <w:rFonts w:hint="eastAsia" w:ascii="仿宋_GB2312" w:eastAsia="仿宋_GB2312"/>
          <w:sz w:val="24"/>
        </w:rPr>
        <w:t>6.2</w:t>
      </w:r>
      <w:r>
        <w:rPr>
          <w:rFonts w:hint="eastAsia" w:ascii="仿宋_GB2312" w:hAnsi="宋体" w:eastAsia="仿宋_GB2312"/>
          <w:bCs/>
          <w:sz w:val="24"/>
        </w:rPr>
        <w:t>变更</w:t>
      </w:r>
    </w:p>
    <w:p w14:paraId="544CFBF9">
      <w:pPr>
        <w:spacing w:line="360" w:lineRule="auto"/>
        <w:ind w:firstLine="480" w:firstLineChars="200"/>
        <w:rPr>
          <w:rFonts w:ascii="仿宋_GB2312" w:hAnsi="宋体" w:eastAsia="仿宋_GB2312"/>
          <w:sz w:val="24"/>
        </w:rPr>
      </w:pPr>
      <w:r>
        <w:rPr>
          <w:rFonts w:hint="eastAsia" w:ascii="仿宋_GB2312" w:hAnsi="宋体" w:eastAsia="仿宋_GB2312"/>
          <w:sz w:val="24"/>
        </w:rPr>
        <w:t>6.2.1 任何一方提出变更请求时，双方经协商一致后可进行变更。</w:t>
      </w:r>
    </w:p>
    <w:p w14:paraId="1B22FF9F">
      <w:pPr>
        <w:spacing w:line="360" w:lineRule="auto"/>
        <w:ind w:firstLine="480" w:firstLineChars="200"/>
        <w:rPr>
          <w:rFonts w:ascii="仿宋_GB2312" w:hAnsi="Courier New" w:eastAsia="仿宋_GB2312"/>
          <w:sz w:val="24"/>
        </w:rPr>
      </w:pPr>
      <w:r>
        <w:rPr>
          <w:rFonts w:hint="eastAsia" w:ascii="仿宋_GB2312" w:eastAsia="仿宋_GB2312"/>
          <w:sz w:val="24"/>
        </w:rPr>
        <w:t>6.2.2除不可抗力外，因非监理人原因导致监理人履行合同期限延长</w:t>
      </w:r>
      <w:r>
        <w:rPr>
          <w:rFonts w:hint="eastAsia" w:ascii="仿宋_GB2312" w:hAnsi="宋体" w:eastAsia="仿宋_GB2312"/>
          <w:sz w:val="24"/>
        </w:rPr>
        <w:t>、内容增加</w:t>
      </w:r>
      <w:r>
        <w:rPr>
          <w:rFonts w:hint="eastAsia" w:ascii="仿宋_GB2312" w:eastAsia="仿宋_GB2312"/>
          <w:sz w:val="24"/>
        </w:rPr>
        <w:t>时，监理人应当将此情况与可能产生的影响及时通知委托人。增加的监理工作时间、工作内容应视为附加工作。附加工作酬金的确定方法在</w:t>
      </w:r>
      <w:r>
        <w:rPr>
          <w:rFonts w:hint="eastAsia" w:ascii="仿宋_GB2312" w:hAnsi="宋体" w:eastAsia="仿宋_GB2312"/>
          <w:sz w:val="24"/>
        </w:rPr>
        <w:t>专用条件中约定</w:t>
      </w:r>
      <w:r>
        <w:rPr>
          <w:rFonts w:hint="eastAsia" w:ascii="仿宋_GB2312" w:eastAsia="仿宋_GB2312"/>
          <w:sz w:val="24"/>
        </w:rPr>
        <w:t>。</w:t>
      </w:r>
    </w:p>
    <w:p w14:paraId="1C140FB7">
      <w:pPr>
        <w:spacing w:line="360" w:lineRule="auto"/>
        <w:ind w:firstLine="480" w:firstLineChars="200"/>
        <w:rPr>
          <w:rFonts w:ascii="仿宋_GB2312" w:eastAsia="仿宋_GB2312"/>
          <w:sz w:val="24"/>
        </w:rPr>
      </w:pPr>
      <w:r>
        <w:rPr>
          <w:rFonts w:hint="eastAsia" w:ascii="仿宋_GB2312" w:eastAsia="仿宋_GB2312"/>
          <w:sz w:val="24"/>
        </w:rPr>
        <w:t>6.2.3</w:t>
      </w:r>
      <w:r>
        <w:rPr>
          <w:rFonts w:hint="eastAsia" w:ascii="仿宋_GB2312" w:hAnsi="宋体" w:eastAsia="仿宋_GB2312"/>
          <w:sz w:val="24"/>
        </w:rPr>
        <w:t>合同生效后，如果实际情况发生变化使得监理人不能完成全部或部分工作时，监理人应立即通知委托人。除不可抗力外，其善后工作以及恢复服务的准备工作应为附加工作，</w:t>
      </w:r>
      <w:r>
        <w:rPr>
          <w:rFonts w:hint="eastAsia" w:ascii="仿宋_GB2312" w:eastAsia="仿宋_GB2312"/>
          <w:sz w:val="24"/>
        </w:rPr>
        <w:t>附加工作酬金的确定方法在</w:t>
      </w:r>
      <w:r>
        <w:rPr>
          <w:rFonts w:hint="eastAsia" w:ascii="仿宋_GB2312" w:hAnsi="宋体" w:eastAsia="仿宋_GB2312"/>
          <w:sz w:val="24"/>
        </w:rPr>
        <w:t>专用条件中约定。监理人用于恢复服务的准备时间不应超过</w:t>
      </w:r>
      <w:r>
        <w:rPr>
          <w:rFonts w:hint="eastAsia" w:ascii="仿宋_GB2312" w:eastAsia="仿宋_GB2312"/>
          <w:sz w:val="24"/>
        </w:rPr>
        <w:t>28</w:t>
      </w:r>
      <w:r>
        <w:rPr>
          <w:rFonts w:hint="eastAsia" w:ascii="仿宋_GB2312" w:hAnsi="宋体" w:eastAsia="仿宋_GB2312"/>
          <w:sz w:val="24"/>
        </w:rPr>
        <w:t>天。</w:t>
      </w:r>
    </w:p>
    <w:p w14:paraId="7EEAB0C3">
      <w:pPr>
        <w:spacing w:line="360" w:lineRule="auto"/>
        <w:ind w:firstLine="480" w:firstLineChars="200"/>
        <w:rPr>
          <w:rFonts w:ascii="仿宋_GB2312" w:hAnsi="宋体" w:eastAsia="仿宋_GB2312"/>
          <w:sz w:val="24"/>
        </w:rPr>
      </w:pPr>
      <w:r>
        <w:rPr>
          <w:rFonts w:hint="eastAsia" w:ascii="仿宋_GB2312" w:eastAsia="仿宋_GB2312"/>
          <w:sz w:val="24"/>
        </w:rPr>
        <w:t>6.2.4</w:t>
      </w:r>
      <w:r>
        <w:rPr>
          <w:rFonts w:hint="eastAsia" w:ascii="仿宋_GB2312" w:hAnsi="宋体" w:eastAsia="仿宋_GB2312"/>
          <w:sz w:val="24"/>
        </w:rPr>
        <w:t>合同签订后，遇有与工程相关的法律法规、标准颁布或修订的，双方应遵照执行。由此引起监理与相关服务的范围、时间、酬金变化的，双方应通过协商进行相应调整。</w:t>
      </w:r>
    </w:p>
    <w:p w14:paraId="5D52DCB7">
      <w:pPr>
        <w:spacing w:line="360" w:lineRule="auto"/>
        <w:ind w:firstLine="480" w:firstLineChars="200"/>
        <w:rPr>
          <w:rFonts w:ascii="仿宋_GB2312" w:hAnsi="宋体" w:eastAsia="仿宋_GB2312"/>
          <w:sz w:val="24"/>
        </w:rPr>
      </w:pPr>
      <w:r>
        <w:rPr>
          <w:rFonts w:hint="eastAsia" w:ascii="仿宋_GB2312" w:hAnsi="宋体" w:eastAsia="仿宋_GB2312"/>
          <w:sz w:val="24"/>
        </w:rPr>
        <w:t>6.2.5 因非监理人原因造成工程概算投资额或建筑安装工程费增加时，正常工作酬金应作相应调整。调整方法在专用条件中约定。</w:t>
      </w:r>
    </w:p>
    <w:p w14:paraId="49DCA853">
      <w:pPr>
        <w:spacing w:line="360" w:lineRule="auto"/>
        <w:ind w:firstLine="480" w:firstLineChars="200"/>
        <w:rPr>
          <w:rFonts w:ascii="仿宋_GB2312" w:hAnsi="宋体" w:eastAsia="仿宋_GB2312"/>
          <w:sz w:val="24"/>
        </w:rPr>
      </w:pPr>
      <w:r>
        <w:rPr>
          <w:rFonts w:hint="eastAsia" w:ascii="仿宋_GB2312" w:hAnsi="宋体" w:eastAsia="仿宋_GB2312"/>
          <w:sz w:val="24"/>
        </w:rPr>
        <w:t>6.2.6 因工程规模、监理范围的变化导致监理人的正常工作量减少时，正常工作酬金应作相应调整。调整方法在专用条件中约定。</w:t>
      </w:r>
    </w:p>
    <w:p w14:paraId="4CAFA6E5">
      <w:pPr>
        <w:spacing w:line="360" w:lineRule="auto"/>
        <w:rPr>
          <w:rFonts w:ascii="仿宋_GB2312" w:hAnsi="宋体" w:eastAsia="仿宋_GB2312"/>
          <w:bCs/>
          <w:sz w:val="24"/>
        </w:rPr>
      </w:pPr>
      <w:r>
        <w:rPr>
          <w:rFonts w:hint="eastAsia" w:ascii="仿宋_GB2312" w:hAnsi="宋体" w:eastAsia="仿宋_GB2312"/>
          <w:sz w:val="24"/>
        </w:rPr>
        <w:t xml:space="preserve">  6.3 暂停与</w:t>
      </w:r>
      <w:r>
        <w:rPr>
          <w:rFonts w:hint="eastAsia" w:ascii="仿宋_GB2312" w:hAnsi="宋体" w:eastAsia="仿宋_GB2312"/>
          <w:bCs/>
          <w:sz w:val="24"/>
        </w:rPr>
        <w:t>解除</w:t>
      </w:r>
    </w:p>
    <w:p w14:paraId="59C5EC79">
      <w:pPr>
        <w:spacing w:line="360" w:lineRule="auto"/>
        <w:ind w:firstLine="480" w:firstLineChars="200"/>
        <w:rPr>
          <w:rFonts w:ascii="仿宋_GB2312" w:hAnsi="宋体" w:eastAsia="仿宋_GB2312"/>
          <w:sz w:val="24"/>
        </w:rPr>
      </w:pPr>
      <w:r>
        <w:rPr>
          <w:rFonts w:hint="eastAsia" w:ascii="仿宋_GB2312" w:eastAsia="仿宋_GB2312"/>
          <w:sz w:val="24"/>
        </w:rPr>
        <w:t>除</w:t>
      </w:r>
      <w:r>
        <w:rPr>
          <w:rFonts w:hint="eastAsia" w:ascii="仿宋_GB2312" w:hAnsi="宋体" w:eastAsia="仿宋_GB2312"/>
          <w:sz w:val="24"/>
        </w:rPr>
        <w:t>双方协商一致可以解除本合同外，当一方无正当理由未履行本合同约定的义务时，另一方可以根据本合同约定暂停履行本合同直至解除本合同。</w:t>
      </w:r>
    </w:p>
    <w:p w14:paraId="2064C766">
      <w:pPr>
        <w:spacing w:line="360" w:lineRule="auto"/>
        <w:ind w:firstLine="480" w:firstLineChars="200"/>
        <w:rPr>
          <w:rFonts w:ascii="仿宋_GB2312" w:hAnsi="宋体" w:eastAsia="仿宋_GB2312"/>
          <w:sz w:val="24"/>
        </w:rPr>
      </w:pPr>
      <w:r>
        <w:rPr>
          <w:rFonts w:hint="eastAsia" w:ascii="仿宋_GB2312" w:eastAsia="仿宋_GB2312"/>
          <w:sz w:val="24"/>
        </w:rPr>
        <w:t xml:space="preserve">6.3.1 </w:t>
      </w:r>
      <w:r>
        <w:rPr>
          <w:rFonts w:hint="eastAsia" w:ascii="仿宋_GB2312" w:hAnsi="宋体" w:eastAsia="仿宋_GB2312"/>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3BD98FE">
      <w:pPr>
        <w:spacing w:line="360" w:lineRule="auto"/>
        <w:ind w:firstLine="480" w:firstLineChars="200"/>
        <w:rPr>
          <w:rFonts w:ascii="仿宋_GB2312" w:hAnsi="Courier New" w:eastAsia="仿宋_GB2312"/>
          <w:sz w:val="24"/>
        </w:rPr>
      </w:pPr>
      <w:r>
        <w:rPr>
          <w:rFonts w:hint="eastAsia" w:ascii="仿宋_GB2312" w:hAnsi="宋体" w:eastAsia="仿宋_GB2312"/>
          <w:sz w:val="24"/>
        </w:rPr>
        <w:t>因解除本合同或解除监理人的部分义务导致监理人遭受的损失，除依法可以免除责任的情况外，应由委托人予以补偿，补偿金额由双方协商确定。</w:t>
      </w:r>
    </w:p>
    <w:p w14:paraId="36CF0C60">
      <w:pPr>
        <w:spacing w:line="360" w:lineRule="auto"/>
        <w:ind w:firstLine="480" w:firstLineChars="200"/>
        <w:rPr>
          <w:rFonts w:ascii="仿宋_GB2312" w:hAnsi="宋体" w:eastAsia="仿宋_GB2312"/>
          <w:sz w:val="24"/>
        </w:rPr>
      </w:pPr>
      <w:r>
        <w:rPr>
          <w:rFonts w:hint="eastAsia" w:ascii="仿宋_GB2312" w:hAnsi="宋体" w:eastAsia="仿宋_GB2312"/>
          <w:sz w:val="24"/>
        </w:rPr>
        <w:t>解除本合同的协议必须采取书面形式，协议未达成之前，本合同仍然有效。</w:t>
      </w:r>
    </w:p>
    <w:p w14:paraId="52B9B6F5">
      <w:pPr>
        <w:spacing w:line="360" w:lineRule="auto"/>
        <w:ind w:firstLine="480" w:firstLineChars="200"/>
        <w:rPr>
          <w:rFonts w:ascii="仿宋_GB2312" w:hAnsi="Courier New" w:eastAsia="仿宋_GB2312"/>
          <w:sz w:val="24"/>
        </w:rPr>
      </w:pPr>
      <w:r>
        <w:rPr>
          <w:rFonts w:hint="eastAsia" w:ascii="仿宋_GB2312" w:eastAsia="仿宋_GB2312"/>
          <w:sz w:val="24"/>
        </w:rPr>
        <w:t xml:space="preserve">6.3.2 </w:t>
      </w:r>
      <w:r>
        <w:rPr>
          <w:rFonts w:hint="eastAsia" w:ascii="仿宋_GB2312" w:hAnsi="宋体" w:eastAsia="仿宋_GB2312"/>
          <w:sz w:val="24"/>
        </w:rPr>
        <w:t>在本合同有效期内，因非监理人的原因导致工程施工全部或部分暂停，委托人可通知监理人要求暂停全部或部分工作。监理人应立即安排停止工作，并将开支减至最小。</w:t>
      </w:r>
      <w:r>
        <w:rPr>
          <w:rFonts w:hint="eastAsia" w:ascii="仿宋_GB2312" w:eastAsia="仿宋_GB2312"/>
          <w:sz w:val="24"/>
        </w:rPr>
        <w:t>除不可抗力外，</w:t>
      </w:r>
      <w:r>
        <w:rPr>
          <w:rFonts w:hint="eastAsia" w:ascii="仿宋_GB2312" w:hAnsi="宋体" w:eastAsia="仿宋_GB2312"/>
          <w:sz w:val="24"/>
        </w:rPr>
        <w:t>由此导致监理人遭受的损失应由委托人予以补偿。</w:t>
      </w:r>
    </w:p>
    <w:p w14:paraId="338B48EF">
      <w:pPr>
        <w:spacing w:line="360" w:lineRule="auto"/>
        <w:ind w:firstLine="480" w:firstLineChars="200"/>
        <w:rPr>
          <w:rFonts w:ascii="仿宋_GB2312" w:hAnsi="宋体" w:eastAsia="仿宋_GB2312"/>
          <w:sz w:val="24"/>
        </w:rPr>
      </w:pPr>
      <w:r>
        <w:rPr>
          <w:rFonts w:hint="eastAsia" w:ascii="仿宋_GB2312" w:hAnsi="宋体" w:eastAsia="仿宋_GB2312"/>
          <w:sz w:val="24"/>
        </w:rPr>
        <w:t>暂停部分监理与相关服务时间超过</w:t>
      </w:r>
      <w:r>
        <w:rPr>
          <w:rFonts w:hint="eastAsia" w:ascii="仿宋_GB2312" w:eastAsia="仿宋_GB2312"/>
          <w:sz w:val="24"/>
        </w:rPr>
        <w:t>182</w:t>
      </w:r>
      <w:r>
        <w:rPr>
          <w:rFonts w:hint="eastAsia" w:ascii="仿宋_GB2312" w:hAnsi="宋体" w:eastAsia="仿宋_GB2312"/>
          <w:sz w:val="24"/>
        </w:rPr>
        <w:t>天，监理人可发出解除本合同约定的该部分义务的通知；暂停全部工作时间超过</w:t>
      </w:r>
      <w:r>
        <w:rPr>
          <w:rFonts w:hint="eastAsia" w:ascii="仿宋_GB2312" w:eastAsia="仿宋_GB2312"/>
          <w:sz w:val="24"/>
        </w:rPr>
        <w:t>182</w:t>
      </w:r>
      <w:r>
        <w:rPr>
          <w:rFonts w:hint="eastAsia" w:ascii="仿宋_GB2312" w:hAnsi="宋体" w:eastAsia="仿宋_GB2312"/>
          <w:sz w:val="24"/>
        </w:rPr>
        <w:t>天，监理人可发出解除本合同的通知，本合同自通知到达委托人时解除。委托人应将监理与相关服务的酬金支付至本合同解除日，且应承担第4.2款约定的责任。</w:t>
      </w:r>
    </w:p>
    <w:p w14:paraId="04CAFACD">
      <w:pPr>
        <w:spacing w:line="360" w:lineRule="auto"/>
        <w:ind w:firstLine="480" w:firstLineChars="200"/>
        <w:rPr>
          <w:rFonts w:ascii="仿宋_GB2312" w:hAnsi="Courier New" w:eastAsia="仿宋_GB2312"/>
          <w:sz w:val="24"/>
        </w:rPr>
      </w:pPr>
      <w:r>
        <w:rPr>
          <w:rFonts w:hint="eastAsia" w:ascii="仿宋_GB2312" w:eastAsia="仿宋_GB2312"/>
          <w:sz w:val="24"/>
        </w:rPr>
        <w:t xml:space="preserve">6.3.3 </w:t>
      </w:r>
      <w:r>
        <w:rPr>
          <w:rFonts w:hint="eastAsia" w:ascii="仿宋_GB2312" w:hAnsi="宋体" w:eastAsia="仿宋_GB2312"/>
          <w:sz w:val="24"/>
        </w:rPr>
        <w:t>当监理人无正当理由未履行本合同约定的义务时，委托人应通知监理人限期改正。若委托人在监理人接到通知后的</w:t>
      </w:r>
      <w:r>
        <w:rPr>
          <w:rFonts w:hint="eastAsia" w:ascii="仿宋_GB2312" w:eastAsia="仿宋_GB2312"/>
          <w:sz w:val="24"/>
        </w:rPr>
        <w:t>7</w:t>
      </w:r>
      <w:r>
        <w:rPr>
          <w:rFonts w:hint="eastAsia" w:ascii="仿宋_GB2312" w:hAnsi="宋体" w:eastAsia="仿宋_GB2312"/>
          <w:sz w:val="24"/>
        </w:rPr>
        <w:t>天内未收到监理人书面形式的合理解释，则可在</w:t>
      </w:r>
      <w:r>
        <w:rPr>
          <w:rFonts w:hint="eastAsia" w:ascii="仿宋_GB2312" w:eastAsia="仿宋_GB2312"/>
          <w:sz w:val="24"/>
        </w:rPr>
        <w:t>7</w:t>
      </w:r>
      <w:r>
        <w:rPr>
          <w:rFonts w:hint="eastAsia" w:ascii="仿宋_GB2312" w:hAnsi="宋体" w:eastAsia="仿宋_GB2312"/>
          <w:sz w:val="24"/>
        </w:rPr>
        <w:t>天内发出解除本合同的通知，自通知到达监理人时本合同解除。委托人应将监理与相关服务的酬金支付至限期改正通知到达监理人之日，但监理人应承担第4.1款约定的责任。</w:t>
      </w:r>
    </w:p>
    <w:p w14:paraId="385D5044">
      <w:pPr>
        <w:spacing w:line="360" w:lineRule="auto"/>
        <w:ind w:firstLine="480" w:firstLineChars="200"/>
        <w:rPr>
          <w:rFonts w:ascii="仿宋_GB2312" w:hAnsi="宋体" w:eastAsia="仿宋_GB2312"/>
          <w:sz w:val="24"/>
        </w:rPr>
      </w:pPr>
      <w:r>
        <w:rPr>
          <w:rFonts w:hint="eastAsia" w:ascii="仿宋_GB2312" w:eastAsia="仿宋_GB2312"/>
          <w:sz w:val="24"/>
        </w:rPr>
        <w:t xml:space="preserve">6.3.4 </w:t>
      </w:r>
      <w:r>
        <w:rPr>
          <w:rFonts w:hint="eastAsia" w:ascii="仿宋_GB2312" w:hAnsi="宋体" w:eastAsia="仿宋_GB2312"/>
          <w:sz w:val="24"/>
        </w:rPr>
        <w:t>监理人在专用条件5.3中约定的支付之日起</w:t>
      </w:r>
      <w:r>
        <w:rPr>
          <w:rFonts w:hint="eastAsia" w:ascii="仿宋_GB2312" w:eastAsia="仿宋_GB2312"/>
          <w:sz w:val="24"/>
        </w:rPr>
        <w:t>28</w:t>
      </w:r>
      <w:r>
        <w:rPr>
          <w:rFonts w:hint="eastAsia" w:ascii="仿宋_GB2312" w:hAnsi="宋体" w:eastAsia="仿宋_GB2312"/>
          <w:sz w:val="24"/>
        </w:rPr>
        <w:t>天后仍未收到委托人按本合同约定应付的款项，可向委托人发出催付通知。委托人接到通知</w:t>
      </w:r>
      <w:r>
        <w:rPr>
          <w:rFonts w:hint="eastAsia" w:ascii="仿宋_GB2312" w:eastAsia="仿宋_GB2312"/>
          <w:sz w:val="24"/>
        </w:rPr>
        <w:t>14</w:t>
      </w:r>
      <w:r>
        <w:rPr>
          <w:rFonts w:hint="eastAsia" w:ascii="仿宋_GB2312" w:hAnsi="宋体" w:eastAsia="仿宋_GB2312"/>
          <w:sz w:val="24"/>
        </w:rPr>
        <w:t>天后仍未支付或未提出监理人可以接受的延期支付安排，监理人可向委托人发出暂停工作的通知并可自行暂停全部或部分工作。暂停工作后</w:t>
      </w:r>
      <w:r>
        <w:rPr>
          <w:rFonts w:hint="eastAsia" w:ascii="仿宋_GB2312" w:eastAsia="仿宋_GB2312"/>
          <w:sz w:val="24"/>
        </w:rPr>
        <w:t>14</w:t>
      </w:r>
      <w:r>
        <w:rPr>
          <w:rFonts w:hint="eastAsia" w:ascii="仿宋_GB2312" w:hAnsi="宋体" w:eastAsia="仿宋_GB2312"/>
          <w:sz w:val="24"/>
        </w:rPr>
        <w:t>天内监理人仍未获得委托人应付酬金或委托人的合理答复，监理人可向委托人发出解除本合同的通知，自通知到达委托人时本合同解除。委托人应承担第4.2.3款约定的责任。</w:t>
      </w:r>
    </w:p>
    <w:p w14:paraId="638A9405">
      <w:pPr>
        <w:spacing w:line="360" w:lineRule="auto"/>
        <w:ind w:firstLine="480" w:firstLineChars="200"/>
        <w:rPr>
          <w:rFonts w:ascii="仿宋_GB2312" w:hAnsi="宋体" w:eastAsia="仿宋_GB2312"/>
          <w:sz w:val="24"/>
        </w:rPr>
      </w:pPr>
      <w:r>
        <w:rPr>
          <w:rFonts w:hint="eastAsia" w:ascii="仿宋_GB2312" w:hAnsi="宋体" w:eastAsia="仿宋_GB2312"/>
          <w:sz w:val="24"/>
        </w:rPr>
        <w:t>6.3.5 因不可抗力致使本合同部分或全部不能履行时，一方应立即通知另一方，可暂停或解除本合同。</w:t>
      </w:r>
    </w:p>
    <w:p w14:paraId="2AD43D0C">
      <w:pPr>
        <w:spacing w:line="360" w:lineRule="auto"/>
        <w:ind w:firstLine="480" w:firstLineChars="200"/>
        <w:rPr>
          <w:rFonts w:ascii="仿宋_GB2312" w:hAnsi="宋体" w:eastAsia="仿宋_GB2312"/>
          <w:sz w:val="24"/>
        </w:rPr>
      </w:pPr>
      <w:r>
        <w:rPr>
          <w:rFonts w:hint="eastAsia" w:ascii="仿宋_GB2312" w:eastAsia="仿宋_GB2312"/>
          <w:sz w:val="24"/>
        </w:rPr>
        <w:t xml:space="preserve">6.3.6 </w:t>
      </w:r>
      <w:r>
        <w:rPr>
          <w:rFonts w:hint="eastAsia" w:ascii="仿宋_GB2312" w:hAnsi="宋体" w:eastAsia="仿宋_GB2312"/>
          <w:sz w:val="24"/>
        </w:rPr>
        <w:t>本合同解除后，本合同约定的有关结算、清理、争议解决方式的条件仍然有效。</w:t>
      </w:r>
    </w:p>
    <w:p w14:paraId="2407F103">
      <w:pPr>
        <w:spacing w:line="360" w:lineRule="auto"/>
        <w:ind w:left="210" w:leftChars="100"/>
        <w:rPr>
          <w:rFonts w:ascii="仿宋_GB2312" w:hAnsi="宋体" w:eastAsia="仿宋_GB2312"/>
          <w:bCs/>
          <w:sz w:val="24"/>
        </w:rPr>
      </w:pPr>
      <w:r>
        <w:rPr>
          <w:rFonts w:hint="eastAsia" w:ascii="仿宋_GB2312" w:eastAsia="仿宋_GB2312"/>
          <w:sz w:val="24"/>
        </w:rPr>
        <w:t xml:space="preserve">6.4 </w:t>
      </w:r>
      <w:r>
        <w:rPr>
          <w:rFonts w:hint="eastAsia" w:ascii="仿宋_GB2312" w:hAnsi="宋体" w:eastAsia="仿宋_GB2312"/>
          <w:bCs/>
          <w:sz w:val="24"/>
        </w:rPr>
        <w:t>终止</w:t>
      </w:r>
    </w:p>
    <w:p w14:paraId="40B98905">
      <w:pPr>
        <w:spacing w:line="360" w:lineRule="auto"/>
        <w:ind w:firstLine="480" w:firstLineChars="200"/>
        <w:rPr>
          <w:rFonts w:ascii="仿宋_GB2312" w:hAnsi="Courier New" w:eastAsia="仿宋_GB2312"/>
          <w:sz w:val="24"/>
        </w:rPr>
      </w:pPr>
      <w:r>
        <w:rPr>
          <w:rFonts w:hint="eastAsia" w:ascii="仿宋_GB2312" w:hAnsi="宋体" w:eastAsia="仿宋_GB2312"/>
          <w:sz w:val="24"/>
        </w:rPr>
        <w:t>以下条件全部满足时，本合同即告终止：</w:t>
      </w:r>
    </w:p>
    <w:p w14:paraId="2FEEAE12">
      <w:pPr>
        <w:spacing w:line="360" w:lineRule="auto"/>
        <w:ind w:firstLine="480" w:firstLineChars="200"/>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）监理人完成本合同约定的全部工作；</w:t>
      </w:r>
    </w:p>
    <w:p w14:paraId="63980632">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）委托人与监理人结清并支付全部酬金。</w:t>
      </w:r>
    </w:p>
    <w:p w14:paraId="66C2E39D">
      <w:pPr>
        <w:spacing w:line="360" w:lineRule="auto"/>
        <w:rPr>
          <w:rFonts w:ascii="仿宋_GB2312" w:hAnsi="宋体" w:eastAsia="仿宋_GB2312"/>
          <w:b/>
          <w:bCs/>
          <w:sz w:val="24"/>
        </w:rPr>
      </w:pPr>
      <w:r>
        <w:rPr>
          <w:rFonts w:hint="eastAsia" w:ascii="仿宋_GB2312" w:hAnsi="黑体" w:eastAsia="仿宋_GB2312"/>
          <w:b/>
          <w:bCs/>
          <w:sz w:val="24"/>
        </w:rPr>
        <w:t>7. 争议解决</w:t>
      </w:r>
    </w:p>
    <w:p w14:paraId="28F34D0A">
      <w:pPr>
        <w:spacing w:line="360" w:lineRule="auto"/>
        <w:ind w:left="210" w:leftChars="100"/>
        <w:rPr>
          <w:rFonts w:ascii="仿宋_GB2312" w:hAnsi="宋体" w:eastAsia="仿宋_GB2312"/>
          <w:bCs/>
          <w:sz w:val="24"/>
        </w:rPr>
      </w:pPr>
      <w:r>
        <w:rPr>
          <w:rFonts w:hint="eastAsia" w:ascii="仿宋_GB2312" w:eastAsia="仿宋_GB2312"/>
          <w:sz w:val="24"/>
        </w:rPr>
        <w:t>7.1</w:t>
      </w:r>
      <w:r>
        <w:rPr>
          <w:rFonts w:hint="eastAsia" w:ascii="仿宋_GB2312" w:hAnsi="宋体" w:eastAsia="仿宋_GB2312"/>
          <w:bCs/>
          <w:sz w:val="24"/>
        </w:rPr>
        <w:t>协商</w:t>
      </w:r>
    </w:p>
    <w:p w14:paraId="5F42955F">
      <w:pPr>
        <w:spacing w:line="360" w:lineRule="auto"/>
        <w:ind w:firstLine="480" w:firstLineChars="200"/>
        <w:rPr>
          <w:rFonts w:ascii="仿宋_GB2312" w:hAnsi="宋体" w:eastAsia="仿宋_GB2312"/>
          <w:bCs/>
          <w:sz w:val="24"/>
        </w:rPr>
      </w:pPr>
      <w:r>
        <w:rPr>
          <w:rFonts w:hint="eastAsia" w:ascii="仿宋_GB2312" w:hAnsi="宋体" w:eastAsia="仿宋_GB2312"/>
          <w:sz w:val="24"/>
        </w:rPr>
        <w:t>双方应本着诚信原则协商解决彼此间的争议。</w:t>
      </w:r>
    </w:p>
    <w:p w14:paraId="63E90ADE">
      <w:pPr>
        <w:spacing w:line="360" w:lineRule="auto"/>
        <w:ind w:left="210" w:leftChars="100"/>
        <w:rPr>
          <w:rFonts w:ascii="仿宋_GB2312" w:hAnsi="宋体" w:eastAsia="仿宋_GB2312"/>
          <w:bCs/>
          <w:sz w:val="24"/>
        </w:rPr>
      </w:pPr>
      <w:r>
        <w:rPr>
          <w:rFonts w:hint="eastAsia" w:ascii="仿宋_GB2312" w:eastAsia="仿宋_GB2312"/>
          <w:sz w:val="24"/>
        </w:rPr>
        <w:t>7.2</w:t>
      </w:r>
      <w:r>
        <w:rPr>
          <w:rFonts w:hint="eastAsia" w:ascii="仿宋_GB2312" w:hAnsi="宋体" w:eastAsia="仿宋_GB2312"/>
          <w:bCs/>
          <w:sz w:val="24"/>
        </w:rPr>
        <w:t>调解</w:t>
      </w:r>
    </w:p>
    <w:p w14:paraId="1CFF2B33">
      <w:pPr>
        <w:spacing w:line="360" w:lineRule="auto"/>
        <w:ind w:firstLine="480" w:firstLineChars="200"/>
        <w:rPr>
          <w:rFonts w:ascii="仿宋_GB2312" w:hAnsi="宋体" w:eastAsia="仿宋_GB2312"/>
          <w:bCs/>
          <w:sz w:val="24"/>
        </w:rPr>
      </w:pPr>
      <w:r>
        <w:rPr>
          <w:rFonts w:hint="eastAsia" w:ascii="仿宋_GB2312" w:hAnsi="宋体" w:eastAsia="仿宋_GB2312"/>
          <w:sz w:val="24"/>
        </w:rPr>
        <w:t>如果双方不能在</w:t>
      </w:r>
      <w:r>
        <w:rPr>
          <w:rFonts w:hint="eastAsia" w:ascii="仿宋_GB2312" w:eastAsia="仿宋_GB2312"/>
          <w:sz w:val="24"/>
        </w:rPr>
        <w:t>14</w:t>
      </w:r>
      <w:r>
        <w:rPr>
          <w:rFonts w:hint="eastAsia" w:ascii="仿宋_GB2312" w:hAnsi="宋体" w:eastAsia="仿宋_GB2312"/>
          <w:sz w:val="24"/>
        </w:rPr>
        <w:t>天内或双方商定的其他时间内解决本合同争议，可以将其提交给专用条件约定的或事后达成协议的调解人进行调解。</w:t>
      </w:r>
    </w:p>
    <w:p w14:paraId="3FC15F6E">
      <w:pPr>
        <w:spacing w:line="360" w:lineRule="auto"/>
        <w:ind w:left="210" w:leftChars="100"/>
        <w:rPr>
          <w:rFonts w:ascii="仿宋_GB2312" w:hAnsi="宋体" w:eastAsia="仿宋_GB2312"/>
          <w:bCs/>
          <w:sz w:val="24"/>
        </w:rPr>
      </w:pPr>
      <w:r>
        <w:rPr>
          <w:rFonts w:hint="eastAsia" w:ascii="仿宋_GB2312" w:eastAsia="仿宋_GB2312"/>
          <w:sz w:val="24"/>
        </w:rPr>
        <w:t>7.3</w:t>
      </w:r>
      <w:r>
        <w:rPr>
          <w:rFonts w:hint="eastAsia" w:ascii="仿宋_GB2312" w:hAnsi="宋体" w:eastAsia="仿宋_GB2312"/>
          <w:bCs/>
          <w:sz w:val="24"/>
        </w:rPr>
        <w:t>仲裁或诉讼</w:t>
      </w:r>
    </w:p>
    <w:p w14:paraId="1D8DACEE">
      <w:pPr>
        <w:spacing w:line="360" w:lineRule="auto"/>
        <w:ind w:firstLine="480" w:firstLineChars="200"/>
        <w:rPr>
          <w:rFonts w:ascii="仿宋_GB2312" w:hAnsi="宋体" w:eastAsia="仿宋_GB2312"/>
          <w:sz w:val="24"/>
        </w:rPr>
      </w:pPr>
      <w:r>
        <w:rPr>
          <w:rFonts w:hint="eastAsia" w:ascii="仿宋_GB2312" w:hAnsi="宋体" w:eastAsia="仿宋_GB2312"/>
          <w:sz w:val="24"/>
        </w:rPr>
        <w:t>双方均有权不经调解直接向专用条件约定的仲裁机构申请仲裁或向有管辖权的人民法院提起诉讼。</w:t>
      </w:r>
    </w:p>
    <w:p w14:paraId="7D81A03B">
      <w:pPr>
        <w:spacing w:line="360" w:lineRule="auto"/>
        <w:rPr>
          <w:rFonts w:ascii="仿宋_GB2312" w:hAnsi="宋体" w:eastAsia="仿宋_GB2312"/>
          <w:b/>
          <w:bCs/>
          <w:sz w:val="24"/>
        </w:rPr>
      </w:pPr>
      <w:r>
        <w:rPr>
          <w:rFonts w:hint="eastAsia" w:ascii="仿宋_GB2312" w:hAnsi="黑体" w:eastAsia="仿宋_GB2312"/>
          <w:b/>
          <w:bCs/>
          <w:sz w:val="24"/>
        </w:rPr>
        <w:t>8. 其他</w:t>
      </w:r>
    </w:p>
    <w:p w14:paraId="1E149097">
      <w:pPr>
        <w:spacing w:line="360" w:lineRule="auto"/>
        <w:ind w:left="210" w:leftChars="100"/>
        <w:rPr>
          <w:rFonts w:ascii="仿宋_GB2312" w:hAnsi="宋体" w:eastAsia="仿宋_GB2312"/>
          <w:bCs/>
          <w:sz w:val="24"/>
        </w:rPr>
      </w:pPr>
      <w:r>
        <w:rPr>
          <w:rFonts w:hint="eastAsia" w:ascii="仿宋_GB2312" w:eastAsia="仿宋_GB2312"/>
          <w:sz w:val="24"/>
        </w:rPr>
        <w:t xml:space="preserve">8.1 </w:t>
      </w:r>
      <w:r>
        <w:rPr>
          <w:rFonts w:hint="eastAsia" w:ascii="仿宋_GB2312" w:hAnsi="宋体" w:eastAsia="仿宋_GB2312"/>
          <w:bCs/>
          <w:sz w:val="24"/>
        </w:rPr>
        <w:t>外出考察费用</w:t>
      </w:r>
    </w:p>
    <w:p w14:paraId="6BDE98E8">
      <w:pPr>
        <w:spacing w:line="360" w:lineRule="auto"/>
        <w:ind w:firstLine="480" w:firstLineChars="200"/>
        <w:rPr>
          <w:rFonts w:ascii="仿宋_GB2312" w:hAnsi="宋体" w:eastAsia="仿宋_GB2312"/>
          <w:bCs/>
          <w:sz w:val="24"/>
        </w:rPr>
      </w:pPr>
      <w:r>
        <w:rPr>
          <w:rFonts w:hint="eastAsia" w:ascii="仿宋_GB2312" w:hAnsi="宋体" w:eastAsia="仿宋_GB2312"/>
          <w:sz w:val="24"/>
        </w:rPr>
        <w:t>经委托人同意，监理人员外出考察发生的费用由委托人审核后支付。</w:t>
      </w:r>
    </w:p>
    <w:p w14:paraId="33BD6CA4">
      <w:pPr>
        <w:spacing w:line="360" w:lineRule="auto"/>
        <w:ind w:left="210" w:leftChars="100"/>
        <w:rPr>
          <w:rFonts w:ascii="仿宋_GB2312" w:hAnsi="宋体" w:eastAsia="仿宋_GB2312"/>
          <w:bCs/>
          <w:sz w:val="24"/>
        </w:rPr>
      </w:pPr>
      <w:r>
        <w:rPr>
          <w:rFonts w:hint="eastAsia" w:ascii="仿宋_GB2312" w:eastAsia="仿宋_GB2312"/>
          <w:sz w:val="24"/>
        </w:rPr>
        <w:t xml:space="preserve">8.2 </w:t>
      </w:r>
      <w:r>
        <w:rPr>
          <w:rFonts w:hint="eastAsia" w:ascii="仿宋_GB2312" w:hAnsi="宋体" w:eastAsia="仿宋_GB2312"/>
          <w:bCs/>
          <w:sz w:val="24"/>
        </w:rPr>
        <w:t>检测费用</w:t>
      </w:r>
    </w:p>
    <w:p w14:paraId="77B0AEAD">
      <w:pPr>
        <w:spacing w:line="360" w:lineRule="auto"/>
        <w:ind w:firstLine="480" w:firstLineChars="200"/>
        <w:rPr>
          <w:rFonts w:ascii="仿宋_GB2312" w:hAnsi="宋体" w:eastAsia="仿宋_GB2312"/>
          <w:bCs/>
          <w:sz w:val="24"/>
        </w:rPr>
      </w:pPr>
      <w:r>
        <w:rPr>
          <w:rFonts w:hint="eastAsia" w:ascii="仿宋_GB2312" w:hAnsi="宋体" w:eastAsia="仿宋_GB2312"/>
          <w:sz w:val="24"/>
        </w:rPr>
        <w:t>委托人要求监理人进行的材料和设备检测所发生的费用，由委托人支付，支付时间在专用条件中约定。</w:t>
      </w:r>
    </w:p>
    <w:p w14:paraId="2C34DF20">
      <w:pPr>
        <w:spacing w:line="360" w:lineRule="auto"/>
        <w:ind w:left="210" w:leftChars="100"/>
        <w:rPr>
          <w:rFonts w:ascii="仿宋_GB2312" w:hAnsi="宋体" w:eastAsia="仿宋_GB2312"/>
          <w:bCs/>
          <w:sz w:val="24"/>
        </w:rPr>
      </w:pPr>
      <w:r>
        <w:rPr>
          <w:rFonts w:hint="eastAsia" w:ascii="仿宋_GB2312" w:eastAsia="仿宋_GB2312"/>
          <w:sz w:val="24"/>
        </w:rPr>
        <w:t xml:space="preserve">8.3 </w:t>
      </w:r>
      <w:r>
        <w:rPr>
          <w:rFonts w:hint="eastAsia" w:ascii="仿宋_GB2312" w:hAnsi="宋体" w:eastAsia="仿宋_GB2312"/>
          <w:bCs/>
          <w:sz w:val="24"/>
        </w:rPr>
        <w:t>咨询费用</w:t>
      </w:r>
    </w:p>
    <w:p w14:paraId="396C921B">
      <w:pPr>
        <w:spacing w:line="360" w:lineRule="auto"/>
        <w:ind w:firstLine="480" w:firstLineChars="200"/>
        <w:rPr>
          <w:rFonts w:ascii="仿宋_GB2312" w:hAnsi="宋体" w:eastAsia="仿宋_GB2312"/>
          <w:sz w:val="24"/>
        </w:rPr>
      </w:pPr>
      <w:r>
        <w:rPr>
          <w:rFonts w:hint="eastAsia" w:ascii="仿宋_GB2312" w:hAnsi="宋体" w:eastAsia="仿宋_GB2312"/>
          <w:sz w:val="24"/>
        </w:rPr>
        <w:t>经委托人同意，根据工程需要由监理人组织的相关咨询论证会以及聘请相关专家等发生的费用由委托人支付，支付时间在专用条件中约定。</w:t>
      </w:r>
    </w:p>
    <w:p w14:paraId="14B3E354">
      <w:pPr>
        <w:spacing w:line="360" w:lineRule="auto"/>
        <w:ind w:left="210" w:leftChars="100"/>
        <w:rPr>
          <w:rFonts w:ascii="仿宋_GB2312" w:hAnsi="宋体" w:eastAsia="仿宋_GB2312"/>
          <w:bCs/>
          <w:sz w:val="24"/>
        </w:rPr>
      </w:pPr>
      <w:r>
        <w:rPr>
          <w:rFonts w:hint="eastAsia" w:ascii="仿宋_GB2312" w:eastAsia="仿宋_GB2312"/>
          <w:sz w:val="24"/>
        </w:rPr>
        <w:t xml:space="preserve">8.4 </w:t>
      </w:r>
      <w:r>
        <w:rPr>
          <w:rFonts w:hint="eastAsia" w:ascii="仿宋_GB2312" w:hAnsi="宋体" w:eastAsia="仿宋_GB2312"/>
          <w:bCs/>
          <w:sz w:val="24"/>
        </w:rPr>
        <w:t>奖励</w:t>
      </w:r>
    </w:p>
    <w:p w14:paraId="0CF3A889">
      <w:pPr>
        <w:spacing w:line="360" w:lineRule="auto"/>
        <w:ind w:firstLine="480" w:firstLineChars="200"/>
        <w:rPr>
          <w:rFonts w:ascii="仿宋_GB2312" w:hAnsi="宋体" w:eastAsia="仿宋_GB2312"/>
          <w:sz w:val="24"/>
        </w:rPr>
      </w:pPr>
      <w:r>
        <w:rPr>
          <w:rFonts w:hint="eastAsia" w:ascii="仿宋_GB2312" w:hAnsi="宋体" w:eastAsia="仿宋_GB2312"/>
          <w:sz w:val="24"/>
        </w:rPr>
        <w:t>监理人在服务过程中提出的合理化建议，使委托人获得经济效益的，双方在专用条件中约定奖励金额的确定方法。奖励金额在合理化建议被采纳后，与最近一期的正常工作酬金同期支付。</w:t>
      </w:r>
    </w:p>
    <w:p w14:paraId="2BE4C033">
      <w:pPr>
        <w:spacing w:line="360" w:lineRule="auto"/>
        <w:ind w:left="210" w:leftChars="100"/>
        <w:rPr>
          <w:rFonts w:ascii="仿宋_GB2312" w:hAnsi="宋体" w:eastAsia="仿宋_GB2312"/>
          <w:bCs/>
          <w:sz w:val="24"/>
        </w:rPr>
      </w:pPr>
      <w:r>
        <w:rPr>
          <w:rFonts w:hint="eastAsia" w:ascii="仿宋_GB2312" w:eastAsia="仿宋_GB2312"/>
          <w:sz w:val="24"/>
        </w:rPr>
        <w:t xml:space="preserve">8.5 </w:t>
      </w:r>
      <w:r>
        <w:rPr>
          <w:rFonts w:hint="eastAsia" w:ascii="仿宋_GB2312" w:hAnsi="宋体" w:eastAsia="仿宋_GB2312"/>
          <w:bCs/>
          <w:sz w:val="24"/>
        </w:rPr>
        <w:t>守法诚信</w:t>
      </w:r>
    </w:p>
    <w:p w14:paraId="09C00C60">
      <w:pPr>
        <w:spacing w:line="360" w:lineRule="auto"/>
        <w:ind w:firstLine="480" w:firstLineChars="200"/>
        <w:rPr>
          <w:rFonts w:ascii="仿宋_GB2312" w:hAnsi="宋体" w:eastAsia="仿宋_GB2312"/>
          <w:bCs/>
          <w:sz w:val="24"/>
        </w:rPr>
      </w:pPr>
      <w:r>
        <w:rPr>
          <w:rFonts w:hint="eastAsia" w:ascii="仿宋_GB2312" w:hAnsi="宋体" w:eastAsia="仿宋_GB2312"/>
          <w:sz w:val="24"/>
        </w:rPr>
        <w:t>监理人及其工作人员不得从与实施工程有关的第三方处获得任何经济利益。</w:t>
      </w:r>
    </w:p>
    <w:p w14:paraId="68124047">
      <w:pPr>
        <w:spacing w:line="360" w:lineRule="auto"/>
        <w:ind w:left="210" w:leftChars="100"/>
        <w:rPr>
          <w:rFonts w:ascii="仿宋_GB2312" w:hAnsi="宋体" w:eastAsia="仿宋_GB2312"/>
          <w:bCs/>
          <w:sz w:val="24"/>
        </w:rPr>
      </w:pPr>
      <w:r>
        <w:rPr>
          <w:rFonts w:hint="eastAsia" w:ascii="仿宋_GB2312" w:eastAsia="仿宋_GB2312"/>
          <w:sz w:val="24"/>
        </w:rPr>
        <w:t xml:space="preserve">8.6 </w:t>
      </w:r>
      <w:r>
        <w:rPr>
          <w:rFonts w:hint="eastAsia" w:ascii="仿宋_GB2312" w:hAnsi="宋体" w:eastAsia="仿宋_GB2312"/>
          <w:bCs/>
          <w:sz w:val="24"/>
        </w:rPr>
        <w:t>保密</w:t>
      </w:r>
    </w:p>
    <w:p w14:paraId="2ED9DA40">
      <w:pPr>
        <w:spacing w:line="360" w:lineRule="auto"/>
        <w:ind w:firstLine="480" w:firstLineChars="200"/>
        <w:rPr>
          <w:rFonts w:ascii="仿宋_GB2312" w:hAnsi="宋体" w:eastAsia="仿宋_GB2312"/>
          <w:bCs/>
          <w:sz w:val="24"/>
        </w:rPr>
      </w:pPr>
      <w:r>
        <w:rPr>
          <w:rFonts w:hint="eastAsia" w:ascii="仿宋_GB2312" w:hAnsi="宋体" w:eastAsia="仿宋_GB2312"/>
          <w:sz w:val="24"/>
        </w:rPr>
        <w:t>双方不得泄露对方申明的保密资料，亦不得泄露与实施工程有关的第三方所提供的保密资料，保密事项在专用条件中约定。</w:t>
      </w:r>
    </w:p>
    <w:p w14:paraId="30365F38">
      <w:pPr>
        <w:spacing w:line="360" w:lineRule="auto"/>
        <w:ind w:left="210" w:leftChars="100"/>
        <w:rPr>
          <w:rFonts w:ascii="仿宋_GB2312" w:hAnsi="宋体" w:eastAsia="仿宋_GB2312"/>
          <w:bCs/>
          <w:sz w:val="24"/>
        </w:rPr>
      </w:pPr>
      <w:r>
        <w:rPr>
          <w:rFonts w:hint="eastAsia" w:ascii="仿宋_GB2312" w:eastAsia="仿宋_GB2312"/>
          <w:sz w:val="24"/>
        </w:rPr>
        <w:t xml:space="preserve">8.7 </w:t>
      </w:r>
      <w:r>
        <w:rPr>
          <w:rFonts w:hint="eastAsia" w:ascii="仿宋_GB2312" w:hAnsi="宋体" w:eastAsia="仿宋_GB2312"/>
          <w:bCs/>
          <w:sz w:val="24"/>
        </w:rPr>
        <w:t>通知</w:t>
      </w:r>
    </w:p>
    <w:p w14:paraId="7CBCBBC3">
      <w:pPr>
        <w:spacing w:line="360" w:lineRule="auto"/>
        <w:ind w:firstLine="480" w:firstLineChars="200"/>
        <w:rPr>
          <w:rFonts w:ascii="仿宋_GB2312" w:hAnsi="宋体" w:eastAsia="仿宋_GB2312"/>
          <w:bCs/>
          <w:sz w:val="24"/>
        </w:rPr>
      </w:pPr>
      <w:r>
        <w:rPr>
          <w:rFonts w:hint="eastAsia" w:ascii="仿宋_GB2312" w:hAnsi="宋体" w:eastAsia="仿宋_GB2312"/>
          <w:sz w:val="24"/>
        </w:rPr>
        <w:t>本合同涉及的通知均应当采用书面形式，并在送达对方时生效，收件人应书面签收。</w:t>
      </w:r>
    </w:p>
    <w:p w14:paraId="6571B9A5">
      <w:pPr>
        <w:spacing w:line="360" w:lineRule="auto"/>
        <w:ind w:left="210" w:leftChars="100"/>
        <w:rPr>
          <w:rFonts w:ascii="仿宋_GB2312" w:hAnsi="宋体" w:eastAsia="仿宋_GB2312"/>
          <w:bCs/>
          <w:sz w:val="24"/>
        </w:rPr>
      </w:pPr>
      <w:r>
        <w:rPr>
          <w:rFonts w:hint="eastAsia" w:ascii="仿宋_GB2312" w:eastAsia="仿宋_GB2312"/>
          <w:sz w:val="24"/>
        </w:rPr>
        <w:t xml:space="preserve">8.8 </w:t>
      </w:r>
      <w:r>
        <w:rPr>
          <w:rFonts w:hint="eastAsia" w:ascii="仿宋_GB2312" w:hAnsi="宋体" w:eastAsia="仿宋_GB2312"/>
          <w:bCs/>
          <w:sz w:val="24"/>
        </w:rPr>
        <w:t>著作权</w:t>
      </w:r>
    </w:p>
    <w:p w14:paraId="240D2D5D">
      <w:pPr>
        <w:spacing w:line="360" w:lineRule="auto"/>
        <w:ind w:firstLine="480" w:firstLineChars="200"/>
        <w:rPr>
          <w:rFonts w:ascii="仿宋_GB2312" w:hAnsi="Courier New" w:eastAsia="仿宋_GB2312"/>
          <w:sz w:val="24"/>
        </w:rPr>
      </w:pPr>
      <w:r>
        <w:rPr>
          <w:rFonts w:hint="eastAsia" w:ascii="仿宋_GB2312" w:hAnsi="宋体" w:eastAsia="仿宋_GB2312"/>
          <w:sz w:val="24"/>
        </w:rPr>
        <w:t>监理人对其编制的文件拥有著作权。</w:t>
      </w:r>
    </w:p>
    <w:p w14:paraId="5D104F35">
      <w:pPr>
        <w:spacing w:line="360" w:lineRule="auto"/>
        <w:ind w:firstLine="480" w:firstLineChars="200"/>
        <w:rPr>
          <w:rFonts w:ascii="仿宋_GB2312" w:hAnsi="宋体" w:eastAsia="仿宋_GB2312"/>
          <w:sz w:val="24"/>
        </w:rPr>
      </w:pPr>
      <w:r>
        <w:rPr>
          <w:rFonts w:hint="eastAsia" w:ascii="仿宋_GB2312" w:hAnsi="宋体" w:eastAsia="仿宋_GB2312"/>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A2822FF">
      <w:pPr>
        <w:widowControl/>
        <w:jc w:val="left"/>
        <w:rPr>
          <w:rFonts w:ascii="仿宋_GB2312" w:hAnsi="宋体" w:eastAsia="仿宋_GB2312"/>
          <w:sz w:val="24"/>
        </w:rPr>
      </w:pPr>
      <w:r>
        <w:rPr>
          <w:rFonts w:ascii="仿宋_GB2312" w:hAnsi="宋体" w:eastAsia="仿宋_GB2312"/>
          <w:sz w:val="24"/>
        </w:rPr>
        <w:br w:type="page"/>
      </w:r>
    </w:p>
    <w:p w14:paraId="6FF7D518">
      <w:pPr>
        <w:pageBreakBefore/>
        <w:spacing w:line="360" w:lineRule="auto"/>
        <w:jc w:val="center"/>
        <w:rPr>
          <w:rFonts w:ascii="仿宋_GB2312" w:hAnsi="宋体" w:eastAsia="仿宋_GB2312"/>
          <w:b/>
          <w:sz w:val="32"/>
          <w:szCs w:val="32"/>
        </w:rPr>
      </w:pPr>
      <w:r>
        <w:rPr>
          <w:rFonts w:hint="eastAsia" w:ascii="仿宋_GB2312" w:hAnsi="宋体" w:eastAsia="仿宋_GB2312"/>
          <w:b/>
          <w:sz w:val="32"/>
          <w:szCs w:val="32"/>
        </w:rPr>
        <w:t>第三部分  专用条件</w:t>
      </w:r>
    </w:p>
    <w:p w14:paraId="36E1ADB3">
      <w:pPr>
        <w:spacing w:line="360" w:lineRule="auto"/>
        <w:jc w:val="center"/>
        <w:rPr>
          <w:rFonts w:ascii="仿宋_GB2312" w:hAnsi="宋体" w:eastAsia="仿宋_GB2312"/>
          <w:b/>
          <w:sz w:val="24"/>
        </w:rPr>
      </w:pPr>
      <w:r>
        <w:rPr>
          <w:rFonts w:hint="eastAsia" w:ascii="仿宋_GB2312" w:hAnsi="宋体" w:eastAsia="仿宋_GB2312"/>
          <w:b/>
          <w:sz w:val="24"/>
        </w:rPr>
        <w:t xml:space="preserve"> </w:t>
      </w:r>
    </w:p>
    <w:p w14:paraId="5D0F6762">
      <w:pPr>
        <w:spacing w:line="360" w:lineRule="auto"/>
        <w:rPr>
          <w:rFonts w:ascii="仿宋_GB2312" w:hAnsi="黑体" w:eastAsia="仿宋_GB2312"/>
          <w:b/>
          <w:sz w:val="24"/>
        </w:rPr>
      </w:pPr>
      <w:r>
        <w:rPr>
          <w:rFonts w:hint="eastAsia" w:ascii="仿宋_GB2312" w:hAnsi="黑体" w:eastAsia="仿宋_GB2312"/>
          <w:b/>
          <w:sz w:val="24"/>
        </w:rPr>
        <w:t>1. 定义与解释</w:t>
      </w:r>
    </w:p>
    <w:p w14:paraId="0E19C307">
      <w:pPr>
        <w:spacing w:line="360" w:lineRule="auto"/>
        <w:rPr>
          <w:rFonts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sz w:val="24"/>
        </w:rPr>
        <w:t>1.2</w:t>
      </w:r>
      <w:r>
        <w:rPr>
          <w:rFonts w:hint="eastAsia" w:ascii="仿宋_GB2312" w:hAnsi="宋体" w:eastAsia="仿宋_GB2312"/>
          <w:sz w:val="24"/>
        </w:rPr>
        <w:t xml:space="preserve">  解释</w:t>
      </w:r>
    </w:p>
    <w:p w14:paraId="02E3EBF4">
      <w:pPr>
        <w:spacing w:line="360" w:lineRule="auto"/>
        <w:ind w:firstLine="480" w:firstLineChars="200"/>
        <w:rPr>
          <w:rFonts w:ascii="仿宋_GB2312" w:hAnsi="宋体" w:eastAsia="仿宋_GB2312"/>
          <w:sz w:val="24"/>
        </w:rPr>
      </w:pPr>
      <w:r>
        <w:rPr>
          <w:rFonts w:hint="eastAsia" w:ascii="仿宋_GB2312" w:eastAsia="仿宋_GB2312"/>
          <w:sz w:val="24"/>
        </w:rPr>
        <w:t>1.2.1 本合同文件除使用中文外，还可用</w:t>
      </w:r>
      <w:r>
        <w:rPr>
          <w:rFonts w:hint="eastAsia" w:ascii="仿宋_GB2312" w:eastAsia="仿宋_GB2312"/>
          <w:sz w:val="24"/>
          <w:u w:val="single"/>
        </w:rPr>
        <w:t xml:space="preserve">         </w:t>
      </w:r>
      <w:r>
        <w:rPr>
          <w:rFonts w:hint="eastAsia" w:ascii="仿宋_GB2312" w:hAnsi="宋体" w:eastAsia="仿宋_GB2312"/>
          <w:sz w:val="24"/>
        </w:rPr>
        <w:t>。</w:t>
      </w:r>
    </w:p>
    <w:p w14:paraId="766C6288">
      <w:pPr>
        <w:spacing w:line="360" w:lineRule="auto"/>
        <w:ind w:firstLine="480" w:firstLineChars="200"/>
        <w:rPr>
          <w:rFonts w:ascii="仿宋_GB2312" w:hAnsi="宋体" w:eastAsia="仿宋_GB2312"/>
          <w:sz w:val="24"/>
        </w:rPr>
      </w:pPr>
      <w:r>
        <w:rPr>
          <w:rFonts w:hint="eastAsia" w:ascii="仿宋_GB2312" w:eastAsia="仿宋_GB2312"/>
          <w:sz w:val="24"/>
        </w:rPr>
        <w:t xml:space="preserve">1.2.2 </w:t>
      </w:r>
      <w:r>
        <w:rPr>
          <w:rFonts w:hint="eastAsia" w:ascii="仿宋_GB2312" w:hAnsi="宋体" w:eastAsia="仿宋_GB2312"/>
          <w:sz w:val="24"/>
        </w:rPr>
        <w:t>约定本合同文件的解释顺序为：</w:t>
      </w:r>
      <w:r>
        <w:rPr>
          <w:rFonts w:hint="eastAsia" w:ascii="仿宋_GB2312" w:eastAsia="仿宋_GB2312"/>
          <w:sz w:val="24"/>
          <w:u w:val="single"/>
        </w:rPr>
        <w:t xml:space="preserve">         </w:t>
      </w:r>
      <w:r>
        <w:rPr>
          <w:rFonts w:hint="eastAsia" w:ascii="仿宋_GB2312" w:hAnsi="宋体" w:eastAsia="仿宋_GB2312"/>
          <w:sz w:val="24"/>
        </w:rPr>
        <w:t>。</w:t>
      </w:r>
    </w:p>
    <w:p w14:paraId="4DE0184A">
      <w:pPr>
        <w:spacing w:line="360" w:lineRule="auto"/>
        <w:rPr>
          <w:rFonts w:ascii="仿宋_GB2312" w:hAnsi="黑体" w:eastAsia="仿宋_GB2312"/>
          <w:b/>
          <w:sz w:val="24"/>
        </w:rPr>
      </w:pPr>
      <w:r>
        <w:rPr>
          <w:rFonts w:hint="eastAsia" w:ascii="仿宋_GB2312" w:hAnsi="黑体" w:eastAsia="仿宋_GB2312"/>
          <w:b/>
          <w:sz w:val="24"/>
        </w:rPr>
        <w:t>2. 监理人义务</w:t>
      </w:r>
    </w:p>
    <w:p w14:paraId="071AE7EA">
      <w:pPr>
        <w:spacing w:line="360" w:lineRule="auto"/>
        <w:ind w:firstLine="235" w:firstLineChars="98"/>
        <w:rPr>
          <w:rFonts w:ascii="仿宋_GB2312" w:hAnsi="Courier New" w:eastAsia="仿宋_GB2312"/>
          <w:sz w:val="24"/>
        </w:rPr>
      </w:pPr>
      <w:r>
        <w:rPr>
          <w:rFonts w:hint="eastAsia" w:ascii="仿宋_GB2312" w:eastAsia="仿宋_GB2312"/>
          <w:sz w:val="24"/>
        </w:rPr>
        <w:t xml:space="preserve">2.1 </w:t>
      </w:r>
      <w:r>
        <w:rPr>
          <w:rFonts w:hint="eastAsia" w:ascii="仿宋_GB2312" w:hAnsi="黑体" w:eastAsia="仿宋_GB2312"/>
          <w:sz w:val="24"/>
        </w:rPr>
        <w:t>监理的范围和</w:t>
      </w:r>
      <w:r>
        <w:rPr>
          <w:rFonts w:hint="eastAsia" w:ascii="仿宋_GB2312" w:hAnsi="宋体" w:eastAsia="仿宋_GB2312"/>
          <w:bCs/>
          <w:sz w:val="24"/>
        </w:rPr>
        <w:t>内容</w:t>
      </w:r>
    </w:p>
    <w:p w14:paraId="779E0216">
      <w:pPr>
        <w:spacing w:line="360" w:lineRule="auto"/>
        <w:ind w:firstLine="480" w:firstLineChars="200"/>
        <w:rPr>
          <w:rFonts w:ascii="仿宋_GB2312" w:eastAsia="仿宋_GB2312"/>
          <w:sz w:val="24"/>
          <w:u w:val="single"/>
        </w:rPr>
      </w:pPr>
      <w:r>
        <w:rPr>
          <w:rFonts w:hint="eastAsia" w:ascii="仿宋_GB2312" w:eastAsia="仿宋_GB2312"/>
          <w:sz w:val="24"/>
        </w:rPr>
        <w:t xml:space="preserve">2.1.1 </w:t>
      </w:r>
      <w:r>
        <w:rPr>
          <w:rFonts w:hint="eastAsia" w:ascii="仿宋_GB2312" w:hAnsi="宋体" w:eastAsia="仿宋_GB2312"/>
          <w:sz w:val="24"/>
        </w:rPr>
        <w:t>监理范围包括：</w:t>
      </w:r>
      <w:r>
        <w:rPr>
          <w:rFonts w:hint="eastAsia" w:ascii="仿宋_GB2312" w:eastAsia="仿宋_GB2312"/>
          <w:sz w:val="24"/>
          <w:u w:val="single"/>
        </w:rPr>
        <w:t xml:space="preserve">                                  </w:t>
      </w:r>
    </w:p>
    <w:p w14:paraId="7F582585">
      <w:pPr>
        <w:spacing w:line="360" w:lineRule="auto"/>
        <w:rPr>
          <w:rFonts w:ascii="仿宋_GB2312" w:hAnsi="宋体" w:eastAsia="仿宋_GB2312"/>
          <w:sz w:val="24"/>
        </w:rPr>
      </w:pPr>
      <w:r>
        <w:rPr>
          <w:rFonts w:hint="eastAsia" w:ascii="仿宋_GB2312" w:eastAsia="仿宋_GB2312"/>
          <w:sz w:val="24"/>
          <w:u w:val="single"/>
        </w:rPr>
        <w:t xml:space="preserve">                                                  </w:t>
      </w:r>
      <w:r>
        <w:rPr>
          <w:rFonts w:hint="eastAsia" w:ascii="仿宋_GB2312" w:hAnsi="宋体" w:eastAsia="仿宋_GB2312"/>
          <w:sz w:val="24"/>
        </w:rPr>
        <w:t>。</w:t>
      </w:r>
    </w:p>
    <w:p w14:paraId="3EB7B437">
      <w:pPr>
        <w:spacing w:line="360" w:lineRule="auto"/>
        <w:ind w:firstLine="480" w:firstLineChars="200"/>
        <w:rPr>
          <w:rFonts w:ascii="仿宋_GB2312" w:hAnsi="Courier New" w:eastAsia="仿宋_GB2312"/>
          <w:sz w:val="24"/>
          <w:u w:val="single"/>
        </w:rPr>
      </w:pPr>
      <w:r>
        <w:rPr>
          <w:rFonts w:hint="eastAsia" w:ascii="仿宋_GB2312" w:eastAsia="仿宋_GB2312"/>
          <w:sz w:val="24"/>
        </w:rPr>
        <w:t xml:space="preserve">2.1.2 </w:t>
      </w:r>
      <w:r>
        <w:rPr>
          <w:rFonts w:hint="eastAsia" w:ascii="仿宋_GB2312" w:hAnsi="宋体" w:eastAsia="仿宋_GB2312"/>
          <w:sz w:val="24"/>
        </w:rPr>
        <w:t>监理工作内容还包括：</w:t>
      </w:r>
      <w:r>
        <w:rPr>
          <w:rFonts w:hint="eastAsia" w:ascii="仿宋_GB2312" w:eastAsia="仿宋_GB2312"/>
          <w:sz w:val="24"/>
          <w:u w:val="single"/>
        </w:rPr>
        <w:t xml:space="preserve">                     </w:t>
      </w:r>
    </w:p>
    <w:p w14:paraId="62C059E3">
      <w:pPr>
        <w:spacing w:line="360" w:lineRule="auto"/>
        <w:rPr>
          <w:rFonts w:ascii="仿宋_GB2312" w:hAnsi="宋体" w:eastAsia="仿宋_GB2312"/>
          <w:sz w:val="24"/>
        </w:rPr>
      </w:pPr>
      <w:r>
        <w:rPr>
          <w:rFonts w:hint="eastAsia" w:ascii="仿宋_GB2312" w:eastAsia="仿宋_GB2312"/>
          <w:sz w:val="24"/>
          <w:u w:val="single"/>
        </w:rPr>
        <w:t xml:space="preserve">                                                  </w:t>
      </w:r>
      <w:r>
        <w:rPr>
          <w:rFonts w:hint="eastAsia" w:ascii="仿宋_GB2312" w:hAnsi="宋体" w:eastAsia="仿宋_GB2312"/>
          <w:sz w:val="24"/>
        </w:rPr>
        <w:t>。</w:t>
      </w:r>
    </w:p>
    <w:p w14:paraId="78B9F219">
      <w:pPr>
        <w:spacing w:line="360" w:lineRule="auto"/>
        <w:ind w:firstLine="235" w:firstLineChars="98"/>
        <w:rPr>
          <w:rFonts w:ascii="仿宋_GB2312" w:hAnsi="Courier New" w:eastAsia="仿宋_GB2312"/>
          <w:sz w:val="24"/>
        </w:rPr>
      </w:pPr>
      <w:r>
        <w:rPr>
          <w:rFonts w:hint="eastAsia" w:ascii="仿宋_GB2312" w:eastAsia="仿宋_GB2312"/>
          <w:sz w:val="24"/>
        </w:rPr>
        <w:t>2.2 监理与相关服务依据</w:t>
      </w:r>
    </w:p>
    <w:p w14:paraId="3AC78587">
      <w:pPr>
        <w:spacing w:line="360" w:lineRule="auto"/>
        <w:ind w:firstLine="480" w:firstLineChars="200"/>
        <w:rPr>
          <w:rFonts w:ascii="仿宋_GB2312" w:eastAsia="仿宋_GB2312"/>
          <w:sz w:val="24"/>
        </w:rPr>
      </w:pPr>
      <w:r>
        <w:rPr>
          <w:rFonts w:hint="eastAsia" w:ascii="仿宋_GB2312" w:eastAsia="仿宋_GB2312"/>
          <w:sz w:val="24"/>
        </w:rPr>
        <w:t>2.2.1 监理依据包括：</w:t>
      </w:r>
      <w:r>
        <w:rPr>
          <w:rFonts w:hint="eastAsia" w:ascii="仿宋_GB2312" w:eastAsia="仿宋_GB2312"/>
          <w:sz w:val="24"/>
          <w:u w:val="single"/>
        </w:rPr>
        <w:t xml:space="preserve">                          </w:t>
      </w:r>
    </w:p>
    <w:p w14:paraId="26080620">
      <w:pPr>
        <w:spacing w:line="360" w:lineRule="auto"/>
        <w:rPr>
          <w:rFonts w:ascii="仿宋_GB2312" w:eastAsia="仿宋_GB2312"/>
          <w:sz w:val="24"/>
        </w:rPr>
      </w:pPr>
      <w:r>
        <w:rPr>
          <w:rFonts w:hint="eastAsia" w:ascii="仿宋_GB2312" w:eastAsia="仿宋_GB2312"/>
          <w:sz w:val="24"/>
          <w:u w:val="single"/>
        </w:rPr>
        <w:t xml:space="preserve">                                                  </w:t>
      </w:r>
      <w:r>
        <w:rPr>
          <w:rFonts w:hint="eastAsia" w:ascii="仿宋_GB2312" w:hAnsi="宋体" w:eastAsia="仿宋_GB2312"/>
          <w:sz w:val="24"/>
        </w:rPr>
        <w:t>。</w:t>
      </w:r>
    </w:p>
    <w:p w14:paraId="342B24C3">
      <w:pPr>
        <w:spacing w:line="360" w:lineRule="auto"/>
        <w:ind w:firstLine="480" w:firstLineChars="200"/>
        <w:rPr>
          <w:rFonts w:ascii="仿宋_GB2312" w:eastAsia="仿宋_GB2312"/>
          <w:dstrike/>
          <w:sz w:val="24"/>
        </w:rPr>
      </w:pPr>
      <w:r>
        <w:rPr>
          <w:rFonts w:hint="eastAsia" w:ascii="仿宋_GB2312" w:hAnsi="宋体" w:eastAsia="仿宋_GB2312"/>
          <w:sz w:val="24"/>
        </w:rPr>
        <w:t>2.2.2 相关服务依据包括：</w:t>
      </w:r>
      <w:r>
        <w:rPr>
          <w:rFonts w:hint="eastAsia" w:ascii="仿宋_GB2312" w:hAnsi="宋体" w:eastAsia="仿宋_GB2312"/>
          <w:sz w:val="24"/>
          <w:u w:val="single"/>
        </w:rPr>
        <w:t xml:space="preserve">                              </w:t>
      </w:r>
      <w:r>
        <w:rPr>
          <w:rFonts w:hint="eastAsia" w:ascii="仿宋_GB2312" w:hAnsi="宋体" w:eastAsia="仿宋_GB2312"/>
          <w:sz w:val="24"/>
        </w:rPr>
        <w:t>。</w:t>
      </w:r>
    </w:p>
    <w:p w14:paraId="7BAFF611">
      <w:pPr>
        <w:spacing w:line="360" w:lineRule="auto"/>
        <w:rPr>
          <w:rFonts w:ascii="仿宋_GB2312" w:eastAsia="仿宋_GB2312"/>
          <w:sz w:val="24"/>
        </w:rPr>
      </w:pPr>
      <w:r>
        <w:rPr>
          <w:rFonts w:hint="eastAsia" w:ascii="仿宋_GB2312" w:eastAsia="仿宋_GB2312"/>
          <w:sz w:val="24"/>
        </w:rPr>
        <w:t xml:space="preserve">  2.3</w:t>
      </w:r>
      <w:r>
        <w:rPr>
          <w:rFonts w:hint="eastAsia" w:ascii="仿宋_GB2312" w:hAnsi="宋体" w:eastAsia="仿宋_GB2312" w:cs="宋体"/>
          <w:sz w:val="24"/>
        </w:rPr>
        <w:t>项目监理机构和人员</w:t>
      </w:r>
    </w:p>
    <w:p w14:paraId="339AE920">
      <w:pPr>
        <w:spacing w:line="360" w:lineRule="auto"/>
        <w:ind w:firstLine="480" w:firstLineChars="200"/>
        <w:rPr>
          <w:rFonts w:ascii="仿宋_GB2312" w:eastAsia="仿宋_GB2312"/>
          <w:sz w:val="24"/>
        </w:rPr>
      </w:pPr>
      <w:r>
        <w:rPr>
          <w:rFonts w:hint="eastAsia" w:ascii="仿宋_GB2312" w:eastAsia="仿宋_GB2312"/>
          <w:sz w:val="24"/>
        </w:rPr>
        <w:t xml:space="preserve">2.3.4 </w:t>
      </w:r>
      <w:r>
        <w:rPr>
          <w:rFonts w:hint="eastAsia" w:ascii="仿宋_GB2312" w:hAnsi="宋体" w:eastAsia="仿宋_GB2312"/>
          <w:sz w:val="24"/>
        </w:rPr>
        <w:t>更换监理人员的其他情形：</w:t>
      </w:r>
      <w:r>
        <w:rPr>
          <w:rFonts w:hint="eastAsia" w:ascii="仿宋_GB2312" w:eastAsia="仿宋_GB2312"/>
          <w:sz w:val="24"/>
          <w:u w:val="single"/>
        </w:rPr>
        <w:t xml:space="preserve">                      </w:t>
      </w:r>
      <w:r>
        <w:rPr>
          <w:rFonts w:hint="eastAsia" w:ascii="仿宋_GB2312" w:hAnsi="宋体" w:eastAsia="仿宋_GB2312"/>
          <w:sz w:val="24"/>
        </w:rPr>
        <w:t>。</w:t>
      </w:r>
    </w:p>
    <w:p w14:paraId="33384FD2">
      <w:pPr>
        <w:spacing w:line="360" w:lineRule="auto"/>
        <w:ind w:firstLine="235" w:firstLineChars="98"/>
        <w:rPr>
          <w:rFonts w:ascii="仿宋_GB2312" w:eastAsia="仿宋_GB2312"/>
          <w:sz w:val="24"/>
        </w:rPr>
      </w:pPr>
      <w:r>
        <w:rPr>
          <w:rFonts w:hint="eastAsia" w:ascii="仿宋_GB2312" w:eastAsia="仿宋_GB2312"/>
          <w:sz w:val="24"/>
        </w:rPr>
        <w:t xml:space="preserve">2.4 </w:t>
      </w:r>
      <w:r>
        <w:rPr>
          <w:rFonts w:hint="eastAsia" w:ascii="仿宋_GB2312" w:hAnsi="宋体" w:eastAsia="仿宋_GB2312" w:cs="宋体"/>
          <w:sz w:val="24"/>
        </w:rPr>
        <w:t>履行职责</w:t>
      </w:r>
    </w:p>
    <w:p w14:paraId="7AFB43F8">
      <w:pPr>
        <w:spacing w:line="360" w:lineRule="auto"/>
        <w:ind w:firstLine="480" w:firstLineChars="200"/>
        <w:rPr>
          <w:rFonts w:ascii="仿宋_GB2312" w:eastAsia="仿宋_GB2312"/>
          <w:sz w:val="24"/>
          <w:u w:val="single"/>
        </w:rPr>
      </w:pPr>
      <w:r>
        <w:rPr>
          <w:rFonts w:hint="eastAsia" w:ascii="仿宋_GB2312" w:eastAsia="仿宋_GB2312"/>
          <w:sz w:val="24"/>
        </w:rPr>
        <w:t xml:space="preserve">2.4.3 </w:t>
      </w:r>
      <w:r>
        <w:rPr>
          <w:rFonts w:hint="eastAsia" w:ascii="仿宋_GB2312" w:hAnsi="宋体" w:eastAsia="仿宋_GB2312"/>
          <w:sz w:val="24"/>
        </w:rPr>
        <w:t>对监理人的授权范围：</w:t>
      </w:r>
      <w:r>
        <w:rPr>
          <w:rFonts w:hint="eastAsia" w:ascii="仿宋_GB2312" w:eastAsia="仿宋_GB2312"/>
          <w:sz w:val="24"/>
          <w:u w:val="single"/>
        </w:rPr>
        <w:t xml:space="preserve">                     </w:t>
      </w:r>
    </w:p>
    <w:p w14:paraId="4B48AEE3">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w:t>
      </w:r>
    </w:p>
    <w:p w14:paraId="59EDB0CA">
      <w:pPr>
        <w:spacing w:line="360" w:lineRule="auto"/>
        <w:ind w:firstLine="525"/>
        <w:rPr>
          <w:rFonts w:ascii="仿宋_GB2312" w:hAnsi="宋体" w:eastAsia="仿宋_GB2312"/>
          <w:sz w:val="24"/>
        </w:rPr>
      </w:pPr>
      <w:r>
        <w:rPr>
          <w:rFonts w:hint="eastAsia" w:ascii="仿宋_GB2312" w:hAnsi="宋体" w:eastAsia="仿宋_GB2312"/>
          <w:sz w:val="24"/>
        </w:rPr>
        <w:t>在涉及工程延期</w:t>
      </w:r>
      <w:r>
        <w:rPr>
          <w:rFonts w:hint="eastAsia" w:ascii="仿宋_GB2312" w:hAnsi="宋体" w:eastAsia="仿宋_GB2312"/>
          <w:sz w:val="24"/>
          <w:u w:val="single"/>
        </w:rPr>
        <w:t xml:space="preserve">      </w:t>
      </w:r>
      <w:r>
        <w:rPr>
          <w:rFonts w:hint="eastAsia" w:ascii="仿宋_GB2312" w:hAnsi="宋体" w:eastAsia="仿宋_GB2312"/>
          <w:sz w:val="24"/>
        </w:rPr>
        <w:t>天内和（或）金额</w:t>
      </w:r>
      <w:r>
        <w:rPr>
          <w:rFonts w:hint="eastAsia" w:ascii="仿宋_GB2312" w:hAnsi="宋体" w:eastAsia="仿宋_GB2312"/>
          <w:sz w:val="24"/>
          <w:u w:val="single"/>
        </w:rPr>
        <w:t xml:space="preserve">       </w:t>
      </w:r>
      <w:r>
        <w:rPr>
          <w:rFonts w:hint="eastAsia" w:ascii="仿宋_GB2312" w:hAnsi="宋体" w:eastAsia="仿宋_GB2312"/>
          <w:sz w:val="24"/>
        </w:rPr>
        <w:t>万元内的变更，监理人不需请示委托人即可向承包人发布变更通知。</w:t>
      </w:r>
    </w:p>
    <w:p w14:paraId="7AB88FBC">
      <w:pPr>
        <w:spacing w:line="360" w:lineRule="auto"/>
        <w:ind w:firstLine="360" w:firstLineChars="150"/>
        <w:rPr>
          <w:rFonts w:ascii="仿宋_GB2312" w:hAnsi="Courier New" w:eastAsia="仿宋_GB2312"/>
          <w:sz w:val="24"/>
        </w:rPr>
      </w:pPr>
      <w:r>
        <w:rPr>
          <w:rFonts w:hint="eastAsia" w:ascii="仿宋_GB2312" w:hAnsi="宋体" w:eastAsia="仿宋_GB2312"/>
          <w:sz w:val="24"/>
        </w:rPr>
        <w:t>2.4.4 监理人有权要求承包人调换其人员的限制条件：</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eastAsia="仿宋_GB2312"/>
          <w:sz w:val="24"/>
        </w:rPr>
        <w:t xml:space="preserve">  </w:t>
      </w:r>
    </w:p>
    <w:p w14:paraId="66FEC008">
      <w:pPr>
        <w:spacing w:line="360" w:lineRule="auto"/>
        <w:ind w:firstLine="120" w:firstLineChars="50"/>
        <w:rPr>
          <w:rFonts w:ascii="仿宋_GB2312" w:eastAsia="仿宋_GB2312"/>
          <w:sz w:val="24"/>
        </w:rPr>
      </w:pPr>
      <w:r>
        <w:rPr>
          <w:rFonts w:hint="eastAsia" w:ascii="仿宋_GB2312" w:eastAsia="仿宋_GB2312"/>
          <w:sz w:val="24"/>
        </w:rPr>
        <w:t xml:space="preserve">2.5 </w:t>
      </w:r>
      <w:r>
        <w:rPr>
          <w:rFonts w:hint="eastAsia" w:ascii="仿宋_GB2312" w:hAnsi="宋体" w:eastAsia="仿宋_GB2312"/>
          <w:sz w:val="24"/>
        </w:rPr>
        <w:t>提交</w:t>
      </w:r>
      <w:r>
        <w:rPr>
          <w:rFonts w:hint="eastAsia" w:ascii="仿宋_GB2312" w:hAnsi="宋体" w:eastAsia="仿宋_GB2312" w:cs="宋体"/>
          <w:sz w:val="24"/>
        </w:rPr>
        <w:t>报告</w:t>
      </w:r>
    </w:p>
    <w:p w14:paraId="6A665706">
      <w:pPr>
        <w:spacing w:line="360" w:lineRule="auto"/>
        <w:ind w:firstLine="525"/>
        <w:rPr>
          <w:rFonts w:ascii="仿宋_GB2312" w:hAnsi="宋体" w:eastAsia="仿宋_GB2312"/>
          <w:sz w:val="24"/>
          <w:u w:val="single"/>
        </w:rPr>
      </w:pPr>
      <w:r>
        <w:rPr>
          <w:rFonts w:hint="eastAsia" w:ascii="仿宋_GB2312" w:hAnsi="宋体" w:eastAsia="仿宋_GB2312"/>
          <w:sz w:val="24"/>
        </w:rPr>
        <w:t>监理人应提交报告的种类(</w:t>
      </w:r>
      <w:r>
        <w:rPr>
          <w:rFonts w:hint="eastAsia" w:ascii="仿宋_GB2312" w:hAnsi="宋体" w:eastAsia="仿宋_GB2312" w:cs="宋体"/>
          <w:sz w:val="24"/>
        </w:rPr>
        <w:t>包括监理规划、监理月报及约定的专项报告)</w:t>
      </w:r>
      <w:r>
        <w:rPr>
          <w:rFonts w:hint="eastAsia" w:ascii="仿宋_GB2312" w:hAnsi="宋体" w:eastAsia="仿宋_GB2312"/>
          <w:sz w:val="24"/>
        </w:rPr>
        <w:t>、时间和份数</w:t>
      </w:r>
      <w:r>
        <w:rPr>
          <w:rFonts w:hint="eastAsia" w:ascii="仿宋_GB2312" w:hAnsi="宋体" w:eastAsia="仿宋_GB2312" w:cs="宋体"/>
          <w:sz w:val="24"/>
        </w:rPr>
        <w:t>：</w:t>
      </w:r>
      <w:r>
        <w:rPr>
          <w:rFonts w:hint="eastAsia" w:ascii="仿宋_GB2312" w:hAnsi="宋体" w:eastAsia="仿宋_GB2312"/>
          <w:sz w:val="24"/>
          <w:u w:val="single"/>
        </w:rPr>
        <w:t xml:space="preserve">                                 </w:t>
      </w:r>
    </w:p>
    <w:p w14:paraId="6B02E394">
      <w:pPr>
        <w:spacing w:line="360" w:lineRule="auto"/>
        <w:rPr>
          <w:rFonts w:ascii="仿宋_GB2312" w:hAnsi="宋体" w:eastAsia="仿宋_GB2312"/>
          <w:sz w:val="24"/>
          <w:u w:val="single"/>
        </w:rPr>
      </w:pPr>
      <w:r>
        <w:rPr>
          <w:rFonts w:hint="eastAsia" w:ascii="仿宋_GB2312" w:hAnsi="宋体" w:eastAsia="仿宋_GB2312"/>
          <w:sz w:val="24"/>
          <w:u w:val="single"/>
        </w:rPr>
        <w:t xml:space="preserve">                                                                     </w:t>
      </w:r>
    </w:p>
    <w:p w14:paraId="2335ABD6">
      <w:pPr>
        <w:spacing w:line="360" w:lineRule="auto"/>
        <w:rPr>
          <w:rFonts w:ascii="仿宋_GB2312" w:hAnsi="宋体" w:eastAsia="仿宋_GB2312"/>
          <w:sz w:val="24"/>
          <w:u w:val="single"/>
        </w:rPr>
      </w:pPr>
      <w:r>
        <w:rPr>
          <w:rFonts w:hint="eastAsia" w:ascii="仿宋_GB2312" w:hAnsi="宋体" w:eastAsia="仿宋_GB2312"/>
          <w:sz w:val="24"/>
          <w:u w:val="single"/>
        </w:rPr>
        <w:t xml:space="preserve">                                                  </w:t>
      </w:r>
      <w:r>
        <w:rPr>
          <w:rFonts w:hint="eastAsia" w:ascii="仿宋_GB2312" w:hAnsi="宋体" w:eastAsia="仿宋_GB2312"/>
          <w:sz w:val="24"/>
        </w:rPr>
        <w:t>。</w:t>
      </w:r>
    </w:p>
    <w:p w14:paraId="5C92AD58">
      <w:pPr>
        <w:spacing w:line="360" w:lineRule="auto"/>
        <w:rPr>
          <w:rFonts w:ascii="仿宋_GB2312" w:hAnsi="宋体" w:eastAsia="仿宋_GB2312" w:cs="宋体"/>
          <w:sz w:val="24"/>
        </w:rPr>
      </w:pPr>
      <w:r>
        <w:rPr>
          <w:rFonts w:hint="eastAsia" w:ascii="仿宋_GB2312" w:eastAsia="仿宋_GB2312"/>
          <w:sz w:val="24"/>
        </w:rPr>
        <w:t xml:space="preserve"> 2.7 </w:t>
      </w:r>
      <w:r>
        <w:rPr>
          <w:rFonts w:hint="eastAsia" w:ascii="仿宋_GB2312" w:hAnsi="宋体" w:eastAsia="仿宋_GB2312" w:cs="宋体"/>
          <w:sz w:val="24"/>
        </w:rPr>
        <w:t>使用委托人的财产</w:t>
      </w:r>
    </w:p>
    <w:p w14:paraId="7D48CEDE">
      <w:pPr>
        <w:spacing w:line="360" w:lineRule="auto"/>
        <w:rPr>
          <w:rFonts w:ascii="仿宋_GB2312" w:hAnsi="Courier New" w:eastAsia="仿宋_GB2312" w:cs="Courier New"/>
          <w:sz w:val="24"/>
        </w:rPr>
      </w:pPr>
      <w:r>
        <w:rPr>
          <w:rFonts w:hint="eastAsia" w:ascii="仿宋_GB2312" w:hAnsi="宋体" w:eastAsia="仿宋_GB2312" w:cs="宋体"/>
          <w:sz w:val="24"/>
        </w:rPr>
        <w:t xml:space="preserve">  </w:t>
      </w:r>
      <w:r>
        <w:rPr>
          <w:rFonts w:hint="eastAsia" w:ascii="仿宋_GB2312" w:eastAsia="仿宋_GB2312"/>
          <w:sz w:val="24"/>
        </w:rPr>
        <w:t xml:space="preserve">   </w:t>
      </w:r>
      <w:r>
        <w:rPr>
          <w:rFonts w:hint="eastAsia" w:ascii="仿宋_GB2312" w:hAnsi="宋体" w:eastAsia="仿宋_GB2312"/>
          <w:sz w:val="24"/>
        </w:rPr>
        <w:t>附录</w:t>
      </w:r>
      <w:r>
        <w:rPr>
          <w:rFonts w:hint="eastAsia" w:ascii="仿宋_GB2312" w:eastAsia="仿宋_GB2312"/>
          <w:sz w:val="24"/>
        </w:rPr>
        <w:t>B</w:t>
      </w:r>
      <w:r>
        <w:rPr>
          <w:rFonts w:hint="eastAsia" w:ascii="仿宋_GB2312" w:hAnsi="宋体" w:eastAsia="仿宋_GB2312"/>
          <w:sz w:val="24"/>
        </w:rPr>
        <w:t>中由委托人无偿提供的房屋、设备的所有权属于：</w:t>
      </w:r>
      <w:r>
        <w:rPr>
          <w:rFonts w:hint="eastAsia" w:ascii="仿宋_GB2312" w:hAnsi="宋体" w:eastAsia="仿宋_GB2312"/>
          <w:sz w:val="24"/>
          <w:u w:val="single"/>
        </w:rPr>
        <w:t xml:space="preserve">  </w:t>
      </w:r>
      <w:r>
        <w:rPr>
          <w:rFonts w:hint="eastAsia" w:ascii="仿宋_GB2312" w:eastAsia="仿宋_GB2312"/>
          <w:sz w:val="24"/>
          <w:u w:val="single"/>
        </w:rPr>
        <w:t xml:space="preserve">                                      </w:t>
      </w:r>
    </w:p>
    <w:p w14:paraId="401BA7FF">
      <w:pPr>
        <w:spacing w:line="360" w:lineRule="auto"/>
        <w:ind w:firstLine="480" w:firstLineChars="200"/>
        <w:rPr>
          <w:rFonts w:ascii="仿宋_GB2312" w:eastAsia="仿宋_GB2312"/>
          <w:sz w:val="24"/>
        </w:rPr>
      </w:pPr>
      <w:r>
        <w:rPr>
          <w:rFonts w:hint="eastAsia" w:ascii="仿宋_GB2312" w:hAnsi="宋体" w:eastAsia="仿宋_GB2312"/>
          <w:sz w:val="24"/>
        </w:rPr>
        <w:t>监理人应在本合同终止后</w:t>
      </w:r>
      <w:r>
        <w:rPr>
          <w:rFonts w:hint="eastAsia" w:ascii="仿宋_GB2312"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天内移交委托人无偿提供的房屋、设备，移交的时间和方式为：</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hAnsi="宋体" w:eastAsia="仿宋_GB2312"/>
          <w:sz w:val="24"/>
        </w:rPr>
        <w:t>。</w:t>
      </w:r>
    </w:p>
    <w:p w14:paraId="6F3E4820">
      <w:pPr>
        <w:spacing w:line="360" w:lineRule="auto"/>
        <w:rPr>
          <w:rFonts w:ascii="仿宋_GB2312" w:hAnsi="黑体" w:eastAsia="仿宋_GB2312"/>
          <w:b/>
          <w:sz w:val="24"/>
        </w:rPr>
      </w:pPr>
      <w:r>
        <w:rPr>
          <w:rFonts w:hint="eastAsia" w:ascii="仿宋_GB2312" w:hAnsi="黑体" w:eastAsia="仿宋_GB2312"/>
          <w:b/>
          <w:sz w:val="24"/>
        </w:rPr>
        <w:t xml:space="preserve">3. 委托人义务  </w:t>
      </w:r>
    </w:p>
    <w:p w14:paraId="04655319">
      <w:pPr>
        <w:spacing w:line="360" w:lineRule="auto"/>
        <w:rPr>
          <w:rFonts w:ascii="仿宋_GB2312" w:hAnsi="Courier New" w:eastAsia="仿宋_GB2312"/>
          <w:sz w:val="24"/>
        </w:rPr>
      </w:pPr>
      <w:r>
        <w:rPr>
          <w:rFonts w:hint="eastAsia" w:ascii="仿宋_GB2312" w:eastAsia="仿宋_GB2312"/>
          <w:sz w:val="24"/>
        </w:rPr>
        <w:t xml:space="preserve">  3.4 </w:t>
      </w:r>
      <w:r>
        <w:rPr>
          <w:rFonts w:hint="eastAsia" w:ascii="仿宋_GB2312" w:hAnsi="宋体" w:eastAsia="仿宋_GB2312" w:cs="宋体"/>
          <w:sz w:val="24"/>
        </w:rPr>
        <w:t>委托人代表</w:t>
      </w:r>
    </w:p>
    <w:p w14:paraId="6733E61B">
      <w:pPr>
        <w:spacing w:line="360" w:lineRule="auto"/>
        <w:ind w:firstLine="480" w:firstLineChars="200"/>
        <w:rPr>
          <w:rFonts w:ascii="仿宋_GB2312" w:eastAsia="仿宋_GB2312"/>
          <w:sz w:val="24"/>
          <w:u w:val="single"/>
        </w:rPr>
      </w:pPr>
      <w:r>
        <w:rPr>
          <w:rFonts w:hint="eastAsia" w:ascii="仿宋_GB2312" w:hAnsi="宋体" w:eastAsia="仿宋_GB2312"/>
          <w:sz w:val="24"/>
        </w:rPr>
        <w:t>委托人代表为：</w:t>
      </w:r>
      <w:r>
        <w:rPr>
          <w:rFonts w:hint="eastAsia" w:ascii="仿宋_GB2312" w:eastAsia="仿宋_GB2312"/>
          <w:sz w:val="24"/>
          <w:u w:val="single"/>
        </w:rPr>
        <w:t xml:space="preserve">                                        </w:t>
      </w:r>
      <w:r>
        <w:rPr>
          <w:rFonts w:hint="eastAsia" w:ascii="仿宋_GB2312" w:hAnsi="宋体" w:eastAsia="仿宋_GB2312"/>
          <w:sz w:val="24"/>
        </w:rPr>
        <w:t>。</w:t>
      </w:r>
    </w:p>
    <w:p w14:paraId="67F91CB0">
      <w:pPr>
        <w:spacing w:line="360" w:lineRule="auto"/>
        <w:ind w:firstLine="235" w:firstLineChars="98"/>
        <w:rPr>
          <w:rFonts w:ascii="仿宋_GB2312" w:hAnsi="宋体" w:eastAsia="仿宋_GB2312" w:cs="宋体"/>
          <w:sz w:val="24"/>
        </w:rPr>
      </w:pPr>
      <w:r>
        <w:rPr>
          <w:rFonts w:hint="eastAsia" w:ascii="仿宋_GB2312" w:eastAsia="仿宋_GB2312"/>
          <w:sz w:val="24"/>
        </w:rPr>
        <w:t xml:space="preserve">3.6 </w:t>
      </w:r>
      <w:r>
        <w:rPr>
          <w:rFonts w:hint="eastAsia" w:ascii="仿宋_GB2312" w:hAnsi="宋体" w:eastAsia="仿宋_GB2312" w:cs="宋体"/>
          <w:sz w:val="24"/>
        </w:rPr>
        <w:t>答复</w:t>
      </w:r>
    </w:p>
    <w:p w14:paraId="6F26E623">
      <w:pPr>
        <w:spacing w:line="360" w:lineRule="auto"/>
        <w:ind w:firstLine="480" w:firstLineChars="200"/>
        <w:rPr>
          <w:rFonts w:ascii="仿宋_GB2312" w:hAnsi="Courier New" w:eastAsia="仿宋_GB2312" w:cs="Courier New"/>
          <w:sz w:val="24"/>
        </w:rPr>
      </w:pPr>
      <w:r>
        <w:rPr>
          <w:rFonts w:hint="eastAsia" w:ascii="仿宋_GB2312" w:hAnsi="宋体" w:eastAsia="仿宋_GB2312"/>
          <w:sz w:val="24"/>
        </w:rPr>
        <w:t>委托人同意在</w:t>
      </w:r>
      <w:r>
        <w:rPr>
          <w:rFonts w:hint="eastAsia" w:ascii="仿宋_GB2312" w:eastAsia="仿宋_GB2312"/>
          <w:sz w:val="24"/>
          <w:u w:val="single"/>
        </w:rPr>
        <w:t xml:space="preserve">        </w:t>
      </w:r>
      <w:r>
        <w:rPr>
          <w:rFonts w:hint="eastAsia" w:ascii="仿宋_GB2312" w:hAnsi="宋体" w:eastAsia="仿宋_GB2312"/>
          <w:sz w:val="24"/>
        </w:rPr>
        <w:t>天内，对监理人书面提交并要求做出决定的事宜给予书面答复。</w:t>
      </w:r>
    </w:p>
    <w:p w14:paraId="22414CBB">
      <w:pPr>
        <w:spacing w:line="360" w:lineRule="auto"/>
        <w:rPr>
          <w:rFonts w:ascii="仿宋_GB2312" w:hAnsi="黑体" w:eastAsia="仿宋_GB2312"/>
          <w:b/>
          <w:bCs/>
          <w:sz w:val="24"/>
        </w:rPr>
      </w:pPr>
      <w:r>
        <w:rPr>
          <w:rFonts w:hint="eastAsia" w:ascii="仿宋_GB2312" w:hAnsi="黑体" w:eastAsia="仿宋_GB2312"/>
          <w:b/>
          <w:bCs/>
          <w:sz w:val="24"/>
        </w:rPr>
        <w:t>4. 违约责任</w:t>
      </w:r>
    </w:p>
    <w:p w14:paraId="27DB29BA">
      <w:pPr>
        <w:spacing w:line="360" w:lineRule="auto"/>
        <w:ind w:left="210" w:leftChars="100"/>
        <w:rPr>
          <w:rFonts w:ascii="仿宋_GB2312" w:hAnsi="宋体" w:eastAsia="仿宋_GB2312" w:cs="宋体"/>
          <w:sz w:val="24"/>
        </w:rPr>
      </w:pPr>
      <w:r>
        <w:rPr>
          <w:rFonts w:hint="eastAsia" w:ascii="仿宋_GB2312" w:eastAsia="仿宋_GB2312"/>
          <w:sz w:val="24"/>
        </w:rPr>
        <w:t xml:space="preserve">4.1 </w:t>
      </w:r>
      <w:r>
        <w:rPr>
          <w:rFonts w:hint="eastAsia" w:ascii="仿宋_GB2312" w:hAnsi="宋体" w:eastAsia="仿宋_GB2312" w:cs="宋体"/>
          <w:sz w:val="24"/>
        </w:rPr>
        <w:t>监理人的违约责任</w:t>
      </w:r>
    </w:p>
    <w:p w14:paraId="4AE029A9">
      <w:pPr>
        <w:spacing w:line="360" w:lineRule="auto"/>
        <w:ind w:firstLine="480" w:firstLineChars="200"/>
        <w:rPr>
          <w:rFonts w:ascii="仿宋_GB2312" w:hAnsi="宋体" w:eastAsia="仿宋_GB2312" w:cs="Courier New"/>
          <w:sz w:val="24"/>
        </w:rPr>
      </w:pPr>
      <w:r>
        <w:rPr>
          <w:rFonts w:hint="eastAsia" w:ascii="仿宋_GB2312" w:eastAsia="仿宋_GB2312"/>
          <w:sz w:val="24"/>
        </w:rPr>
        <w:t>4.1.1</w:t>
      </w:r>
      <w:r>
        <w:rPr>
          <w:rFonts w:hint="eastAsia" w:ascii="仿宋_GB2312" w:hAnsi="宋体" w:eastAsia="仿宋_GB2312"/>
          <w:sz w:val="24"/>
        </w:rPr>
        <w:t>监理人赔偿金额按下列方法确定：</w:t>
      </w:r>
    </w:p>
    <w:p w14:paraId="105B04F0">
      <w:pPr>
        <w:spacing w:line="360" w:lineRule="auto"/>
        <w:ind w:firstLine="480" w:firstLineChars="200"/>
        <w:rPr>
          <w:rFonts w:ascii="仿宋_GB2312" w:hAnsi="宋体" w:eastAsia="仿宋_GB2312" w:cs="宋体"/>
          <w:sz w:val="24"/>
        </w:rPr>
      </w:pPr>
      <w:r>
        <w:rPr>
          <w:rFonts w:hint="eastAsia" w:ascii="仿宋_GB2312" w:hAnsi="宋体" w:eastAsia="仿宋_GB2312"/>
          <w:sz w:val="24"/>
        </w:rPr>
        <w:t>赔偿金＝直接经济损失×正常工作酬金÷工程概算</w:t>
      </w:r>
      <w:r>
        <w:rPr>
          <w:rFonts w:hint="eastAsia" w:ascii="仿宋_GB2312" w:hAnsi="宋体" w:eastAsia="仿宋_GB2312" w:cs="宋体"/>
          <w:sz w:val="24"/>
        </w:rPr>
        <w:t>投资额（或建筑安装工程费）</w:t>
      </w:r>
    </w:p>
    <w:p w14:paraId="10B82F74">
      <w:pPr>
        <w:spacing w:line="360" w:lineRule="auto"/>
        <w:ind w:firstLine="240" w:firstLineChars="100"/>
        <w:rPr>
          <w:rFonts w:ascii="仿宋_GB2312" w:hAnsi="宋体" w:eastAsia="仿宋_GB2312" w:cs="宋体"/>
          <w:sz w:val="24"/>
        </w:rPr>
      </w:pPr>
      <w:r>
        <w:rPr>
          <w:rFonts w:hint="eastAsia" w:ascii="仿宋_GB2312" w:eastAsia="仿宋_GB2312"/>
          <w:sz w:val="24"/>
        </w:rPr>
        <w:t>4.2 委</w:t>
      </w:r>
      <w:r>
        <w:rPr>
          <w:rFonts w:hint="eastAsia" w:ascii="仿宋_GB2312" w:hAnsi="宋体" w:eastAsia="仿宋_GB2312" w:cs="宋体"/>
          <w:sz w:val="24"/>
        </w:rPr>
        <w:t>托人的违约责任</w:t>
      </w:r>
    </w:p>
    <w:p w14:paraId="643AD11B">
      <w:pPr>
        <w:spacing w:line="360" w:lineRule="auto"/>
        <w:ind w:firstLine="480" w:firstLineChars="200"/>
        <w:rPr>
          <w:rFonts w:ascii="仿宋_GB2312" w:hAnsi="宋体" w:eastAsia="仿宋_GB2312" w:cs="Courier New"/>
          <w:sz w:val="24"/>
        </w:rPr>
      </w:pPr>
      <w:r>
        <w:rPr>
          <w:rFonts w:hint="eastAsia" w:ascii="仿宋_GB2312" w:eastAsia="仿宋_GB2312"/>
          <w:sz w:val="24"/>
        </w:rPr>
        <w:t>4.2.3 委托人</w:t>
      </w:r>
      <w:r>
        <w:rPr>
          <w:rFonts w:hint="eastAsia" w:ascii="仿宋_GB2312" w:hAnsi="宋体" w:eastAsia="仿宋_GB2312"/>
          <w:sz w:val="24"/>
        </w:rPr>
        <w:t>逾期付款利息按下列方法确定：</w:t>
      </w:r>
    </w:p>
    <w:p w14:paraId="40F55BAC">
      <w:pPr>
        <w:spacing w:line="360" w:lineRule="auto"/>
        <w:ind w:firstLine="480" w:firstLineChars="200"/>
        <w:rPr>
          <w:rFonts w:ascii="仿宋_GB2312" w:hAnsi="宋体" w:eastAsia="仿宋_GB2312"/>
          <w:sz w:val="24"/>
        </w:rPr>
      </w:pPr>
      <w:r>
        <w:rPr>
          <w:rFonts w:hint="eastAsia" w:ascii="仿宋_GB2312" w:hAnsi="宋体" w:eastAsia="仿宋_GB2312"/>
          <w:sz w:val="24"/>
        </w:rPr>
        <w:t>逾期付款利息＝当期应付款总额</w:t>
      </w:r>
      <w:r>
        <w:rPr>
          <w:rFonts w:hint="eastAsia" w:ascii="仿宋_GB2312" w:eastAsia="仿宋_GB2312"/>
          <w:sz w:val="24"/>
        </w:rPr>
        <w:t>×</w:t>
      </w:r>
      <w:r>
        <w:rPr>
          <w:rFonts w:hint="eastAsia" w:ascii="仿宋_GB2312" w:hAnsi="宋体" w:eastAsia="仿宋_GB2312"/>
          <w:sz w:val="24"/>
        </w:rPr>
        <w:t>银行同期贷款利率</w:t>
      </w:r>
      <w:r>
        <w:rPr>
          <w:rFonts w:hint="eastAsia" w:ascii="仿宋_GB2312" w:eastAsia="仿宋_GB2312"/>
          <w:sz w:val="24"/>
        </w:rPr>
        <w:t>×</w:t>
      </w:r>
      <w:r>
        <w:rPr>
          <w:rFonts w:hint="eastAsia" w:ascii="仿宋_GB2312" w:hAnsi="宋体" w:eastAsia="仿宋_GB2312"/>
          <w:sz w:val="24"/>
        </w:rPr>
        <w:t>拖延支付天数</w:t>
      </w:r>
    </w:p>
    <w:p w14:paraId="7D936BD7">
      <w:pPr>
        <w:spacing w:line="360" w:lineRule="auto"/>
        <w:rPr>
          <w:rFonts w:ascii="仿宋_GB2312" w:hAnsi="黑体" w:eastAsia="仿宋_GB2312"/>
          <w:b/>
          <w:sz w:val="24"/>
        </w:rPr>
      </w:pPr>
      <w:r>
        <w:rPr>
          <w:rFonts w:hint="eastAsia" w:ascii="仿宋_GB2312" w:hAnsi="黑体" w:eastAsia="仿宋_GB2312"/>
          <w:b/>
          <w:bCs/>
          <w:sz w:val="24"/>
        </w:rPr>
        <w:t>5. 支付</w:t>
      </w:r>
    </w:p>
    <w:p w14:paraId="137C3D2A">
      <w:pPr>
        <w:spacing w:line="360" w:lineRule="auto"/>
        <w:rPr>
          <w:rFonts w:ascii="仿宋_GB2312" w:hAnsi="宋体" w:eastAsia="仿宋_GB2312"/>
          <w:bCs/>
          <w:sz w:val="24"/>
        </w:rPr>
      </w:pPr>
      <w:r>
        <w:rPr>
          <w:rFonts w:hint="eastAsia" w:ascii="仿宋_GB2312" w:eastAsia="仿宋_GB2312"/>
          <w:sz w:val="24"/>
        </w:rPr>
        <w:t xml:space="preserve">  5.1 </w:t>
      </w:r>
      <w:r>
        <w:rPr>
          <w:rFonts w:hint="eastAsia" w:ascii="仿宋_GB2312" w:hAnsi="宋体" w:eastAsia="仿宋_GB2312"/>
          <w:bCs/>
          <w:sz w:val="24"/>
        </w:rPr>
        <w:t>支付货币</w:t>
      </w:r>
    </w:p>
    <w:p w14:paraId="6EBEB08A">
      <w:pPr>
        <w:spacing w:line="360" w:lineRule="auto"/>
        <w:ind w:firstLine="480" w:firstLineChars="200"/>
        <w:rPr>
          <w:rFonts w:ascii="仿宋_GB2312" w:hAnsi="宋体" w:eastAsia="仿宋_GB2312"/>
          <w:sz w:val="24"/>
        </w:rPr>
      </w:pPr>
      <w:r>
        <w:rPr>
          <w:rFonts w:hint="eastAsia" w:ascii="仿宋_GB2312" w:hAnsi="宋体" w:eastAsia="仿宋_GB2312"/>
          <w:sz w:val="24"/>
        </w:rPr>
        <w:t>币种为：</w:t>
      </w:r>
      <w:r>
        <w:rPr>
          <w:rFonts w:hint="eastAsia" w:ascii="仿宋_GB2312" w:hAnsi="宋体" w:eastAsia="仿宋_GB2312"/>
          <w:sz w:val="24"/>
          <w:u w:val="single"/>
        </w:rPr>
        <w:t xml:space="preserve">       </w:t>
      </w:r>
      <w:r>
        <w:rPr>
          <w:rFonts w:hint="eastAsia" w:ascii="仿宋_GB2312" w:hAnsi="宋体" w:eastAsia="仿宋_GB2312"/>
          <w:sz w:val="24"/>
        </w:rPr>
        <w:t>，比例为：</w:t>
      </w:r>
      <w:r>
        <w:rPr>
          <w:rFonts w:hint="eastAsia" w:ascii="仿宋_GB2312" w:hAnsi="宋体" w:eastAsia="仿宋_GB2312"/>
          <w:sz w:val="24"/>
          <w:u w:val="single"/>
        </w:rPr>
        <w:t xml:space="preserve">      </w:t>
      </w:r>
      <w:r>
        <w:rPr>
          <w:rFonts w:hint="eastAsia" w:ascii="仿宋_GB2312" w:hAnsi="宋体" w:eastAsia="仿宋_GB2312"/>
          <w:sz w:val="24"/>
        </w:rPr>
        <w:t>，汇率为：</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B5FA766">
      <w:pPr>
        <w:spacing w:line="360" w:lineRule="auto"/>
        <w:ind w:firstLine="240" w:firstLineChars="100"/>
        <w:rPr>
          <w:rFonts w:ascii="仿宋_GB2312" w:hAnsi="Courier New" w:eastAsia="仿宋_GB2312"/>
          <w:sz w:val="24"/>
        </w:rPr>
      </w:pPr>
      <w:r>
        <w:rPr>
          <w:rFonts w:hint="eastAsia" w:ascii="仿宋_GB2312" w:eastAsia="仿宋_GB2312"/>
          <w:sz w:val="24"/>
        </w:rPr>
        <w:t>5.3 支付酬金</w:t>
      </w:r>
    </w:p>
    <w:p w14:paraId="5272576B">
      <w:pPr>
        <w:spacing w:line="360" w:lineRule="auto"/>
        <w:ind w:firstLine="480" w:firstLineChars="200"/>
        <w:rPr>
          <w:rFonts w:ascii="仿宋_GB2312" w:hAnsi="宋体" w:eastAsia="仿宋_GB2312" w:cs="宋体"/>
          <w:sz w:val="24"/>
        </w:rPr>
      </w:pPr>
      <w:r>
        <w:rPr>
          <w:rFonts w:hint="eastAsia" w:ascii="仿宋_GB2312" w:eastAsia="仿宋_GB2312"/>
          <w:sz w:val="24"/>
        </w:rPr>
        <w:t>正常工作</w:t>
      </w:r>
      <w:r>
        <w:rPr>
          <w:rFonts w:hint="eastAsia" w:ascii="仿宋_GB2312" w:hAnsi="宋体" w:eastAsia="仿宋_GB2312"/>
          <w:sz w:val="24"/>
        </w:rPr>
        <w:t>酬金的</w:t>
      </w:r>
      <w:r>
        <w:rPr>
          <w:rFonts w:hint="eastAsia" w:ascii="仿宋_GB2312" w:hAnsi="宋体" w:eastAsia="仿宋_GB2312" w:cs="宋体"/>
          <w:sz w:val="24"/>
        </w:rPr>
        <w:t>支付</w:t>
      </w:r>
      <w:r>
        <w:rPr>
          <w:rFonts w:hint="eastAsia" w:ascii="仿宋_GB2312" w:hAnsi="宋体" w:eastAsia="仿宋_GB2312"/>
          <w:sz w:val="24"/>
        </w:rPr>
        <w:t>：</w:t>
      </w: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16E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0AFD81BA">
            <w:pPr>
              <w:spacing w:line="360" w:lineRule="auto"/>
              <w:jc w:val="center"/>
              <w:rPr>
                <w:rFonts w:ascii="仿宋_GB2312" w:hAnsi="宋体" w:eastAsia="仿宋_GB2312" w:cs="Courier New"/>
                <w:sz w:val="24"/>
              </w:rPr>
            </w:pPr>
            <w:r>
              <w:rPr>
                <w:rFonts w:hint="eastAsia" w:ascii="仿宋_GB2312" w:hAnsi="宋体" w:eastAsia="仿宋_GB2312"/>
                <w:sz w:val="24"/>
              </w:rPr>
              <w:t>支付次数</w:t>
            </w:r>
          </w:p>
        </w:tc>
        <w:tc>
          <w:tcPr>
            <w:tcW w:w="2127" w:type="dxa"/>
            <w:tcBorders>
              <w:top w:val="single" w:color="auto" w:sz="4" w:space="0"/>
              <w:left w:val="single" w:color="auto" w:sz="4" w:space="0"/>
              <w:bottom w:val="single" w:color="auto" w:sz="4" w:space="0"/>
              <w:right w:val="single" w:color="auto" w:sz="4" w:space="0"/>
            </w:tcBorders>
            <w:vAlign w:val="center"/>
          </w:tcPr>
          <w:p w14:paraId="0C21A7F5">
            <w:pPr>
              <w:spacing w:line="360" w:lineRule="auto"/>
              <w:jc w:val="center"/>
              <w:rPr>
                <w:rFonts w:ascii="仿宋_GB2312" w:hAnsi="宋体" w:eastAsia="仿宋_GB2312"/>
                <w:sz w:val="24"/>
              </w:rPr>
            </w:pPr>
            <w:r>
              <w:rPr>
                <w:rFonts w:hint="eastAsia" w:ascii="仿宋_GB2312" w:hAnsi="宋体" w:eastAsia="仿宋_GB2312"/>
                <w:sz w:val="24"/>
              </w:rPr>
              <w:t>支付时间</w:t>
            </w:r>
          </w:p>
        </w:tc>
        <w:tc>
          <w:tcPr>
            <w:tcW w:w="1559" w:type="dxa"/>
            <w:tcBorders>
              <w:top w:val="single" w:color="auto" w:sz="4" w:space="0"/>
              <w:left w:val="single" w:color="auto" w:sz="4" w:space="0"/>
              <w:bottom w:val="single" w:color="auto" w:sz="4" w:space="0"/>
              <w:right w:val="single" w:color="auto" w:sz="4" w:space="0"/>
            </w:tcBorders>
          </w:tcPr>
          <w:p w14:paraId="1D408DDE">
            <w:pPr>
              <w:spacing w:line="360" w:lineRule="auto"/>
              <w:jc w:val="center"/>
              <w:rPr>
                <w:rFonts w:ascii="仿宋_GB2312" w:hAnsi="宋体" w:eastAsia="仿宋_GB2312"/>
                <w:sz w:val="24"/>
              </w:rPr>
            </w:pPr>
            <w:r>
              <w:rPr>
                <w:rFonts w:hint="eastAsia" w:ascii="仿宋_GB2312" w:hAnsi="宋体" w:eastAsia="仿宋_GB2312"/>
                <w:sz w:val="24"/>
              </w:rPr>
              <w:t>支付比例</w:t>
            </w:r>
          </w:p>
        </w:tc>
        <w:tc>
          <w:tcPr>
            <w:tcW w:w="2835" w:type="dxa"/>
            <w:tcBorders>
              <w:top w:val="single" w:color="auto" w:sz="4" w:space="0"/>
              <w:left w:val="single" w:color="auto" w:sz="4" w:space="0"/>
              <w:bottom w:val="single" w:color="auto" w:sz="4" w:space="0"/>
              <w:right w:val="single" w:color="auto" w:sz="4" w:space="0"/>
            </w:tcBorders>
            <w:vAlign w:val="center"/>
          </w:tcPr>
          <w:p w14:paraId="09CE2273">
            <w:pPr>
              <w:spacing w:line="360" w:lineRule="auto"/>
              <w:jc w:val="center"/>
              <w:rPr>
                <w:rFonts w:ascii="仿宋_GB2312" w:hAnsi="宋体" w:eastAsia="仿宋_GB2312"/>
                <w:sz w:val="24"/>
              </w:rPr>
            </w:pPr>
            <w:r>
              <w:rPr>
                <w:rFonts w:hint="eastAsia" w:ascii="仿宋_GB2312" w:hAnsi="宋体" w:eastAsia="仿宋_GB2312"/>
                <w:sz w:val="24"/>
              </w:rPr>
              <w:t>支付金额（万元）</w:t>
            </w:r>
          </w:p>
        </w:tc>
      </w:tr>
      <w:tr w14:paraId="6B13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14:paraId="6A6E139F">
            <w:pPr>
              <w:spacing w:line="360" w:lineRule="auto"/>
              <w:rPr>
                <w:rFonts w:ascii="仿宋_GB2312" w:hAnsi="宋体" w:eastAsia="仿宋_GB2312"/>
                <w:sz w:val="24"/>
              </w:rPr>
            </w:pPr>
            <w:r>
              <w:rPr>
                <w:rFonts w:hint="eastAsia" w:ascii="仿宋_GB2312" w:hAnsi="宋体" w:eastAsia="仿宋_GB2312"/>
                <w:sz w:val="24"/>
              </w:rPr>
              <w:t>首付款</w:t>
            </w:r>
          </w:p>
        </w:tc>
        <w:tc>
          <w:tcPr>
            <w:tcW w:w="2127" w:type="dxa"/>
            <w:tcBorders>
              <w:top w:val="single" w:color="auto" w:sz="4" w:space="0"/>
              <w:left w:val="single" w:color="auto" w:sz="4" w:space="0"/>
              <w:bottom w:val="single" w:color="auto" w:sz="4" w:space="0"/>
              <w:right w:val="single" w:color="auto" w:sz="4" w:space="0"/>
            </w:tcBorders>
          </w:tcPr>
          <w:p w14:paraId="0A3C14DF">
            <w:pPr>
              <w:spacing w:line="360" w:lineRule="auto"/>
              <w:jc w:val="center"/>
              <w:rPr>
                <w:rFonts w:ascii="仿宋_GB2312" w:hAnsi="Courier New" w:eastAsia="仿宋_GB2312"/>
                <w:sz w:val="24"/>
              </w:rPr>
            </w:pPr>
            <w:r>
              <w:rPr>
                <w:rFonts w:hint="eastAsia" w:ascii="仿宋_GB2312" w:hAnsi="宋体" w:eastAsia="仿宋_GB2312"/>
                <w:sz w:val="24"/>
              </w:rPr>
              <w:t>本合同签订后</w:t>
            </w:r>
            <w:r>
              <w:rPr>
                <w:rFonts w:hint="eastAsia" w:ascii="仿宋_GB2312" w:eastAsia="仿宋_GB2312"/>
                <w:sz w:val="24"/>
              </w:rPr>
              <w:t>7</w:t>
            </w:r>
            <w:r>
              <w:rPr>
                <w:rFonts w:hint="eastAsia" w:ascii="仿宋_GB2312" w:hAnsi="宋体" w:eastAsia="仿宋_GB2312"/>
                <w:sz w:val="24"/>
              </w:rPr>
              <w:t>天内</w:t>
            </w:r>
          </w:p>
        </w:tc>
        <w:tc>
          <w:tcPr>
            <w:tcW w:w="1559" w:type="dxa"/>
            <w:tcBorders>
              <w:top w:val="single" w:color="auto" w:sz="4" w:space="0"/>
              <w:left w:val="single" w:color="auto" w:sz="4" w:space="0"/>
              <w:bottom w:val="single" w:color="auto" w:sz="4" w:space="0"/>
              <w:right w:val="single" w:color="auto" w:sz="4" w:space="0"/>
            </w:tcBorders>
          </w:tcPr>
          <w:p w14:paraId="61BC3FB4">
            <w:pPr>
              <w:spacing w:line="360" w:lineRule="auto"/>
              <w:rPr>
                <w:rFonts w:ascii="仿宋_GB2312" w:hAnsi="宋体" w:eastAsia="仿宋_GB2312"/>
                <w:sz w:val="24"/>
              </w:rPr>
            </w:pPr>
          </w:p>
        </w:tc>
        <w:tc>
          <w:tcPr>
            <w:tcW w:w="2835" w:type="dxa"/>
            <w:tcBorders>
              <w:top w:val="single" w:color="auto" w:sz="4" w:space="0"/>
              <w:left w:val="single" w:color="auto" w:sz="4" w:space="0"/>
              <w:bottom w:val="single" w:color="auto" w:sz="4" w:space="0"/>
              <w:right w:val="single" w:color="auto" w:sz="4" w:space="0"/>
            </w:tcBorders>
          </w:tcPr>
          <w:p w14:paraId="01CDDDBE">
            <w:pPr>
              <w:spacing w:line="360" w:lineRule="auto"/>
              <w:rPr>
                <w:rFonts w:ascii="仿宋_GB2312" w:hAnsi="宋体" w:eastAsia="仿宋_GB2312"/>
                <w:sz w:val="24"/>
              </w:rPr>
            </w:pPr>
          </w:p>
        </w:tc>
      </w:tr>
      <w:tr w14:paraId="2254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14:paraId="39F14AE8">
            <w:pPr>
              <w:spacing w:line="360" w:lineRule="auto"/>
              <w:rPr>
                <w:rFonts w:ascii="仿宋_GB2312" w:hAnsi="宋体" w:eastAsia="仿宋_GB2312"/>
                <w:sz w:val="24"/>
              </w:rPr>
            </w:pPr>
            <w:r>
              <w:rPr>
                <w:rFonts w:hint="eastAsia" w:ascii="仿宋_GB2312" w:hAnsi="宋体" w:eastAsia="仿宋_GB2312"/>
                <w:sz w:val="24"/>
              </w:rPr>
              <w:t>第二次付款</w:t>
            </w:r>
          </w:p>
        </w:tc>
        <w:tc>
          <w:tcPr>
            <w:tcW w:w="2127" w:type="dxa"/>
            <w:tcBorders>
              <w:top w:val="single" w:color="auto" w:sz="4" w:space="0"/>
              <w:left w:val="single" w:color="auto" w:sz="4" w:space="0"/>
              <w:bottom w:val="single" w:color="auto" w:sz="4" w:space="0"/>
              <w:right w:val="single" w:color="auto" w:sz="4" w:space="0"/>
            </w:tcBorders>
          </w:tcPr>
          <w:p w14:paraId="43A54F84">
            <w:pPr>
              <w:spacing w:line="360" w:lineRule="auto"/>
              <w:ind w:firstLine="360" w:firstLineChars="150"/>
              <w:rPr>
                <w:rFonts w:ascii="仿宋_GB2312" w:hAnsi="Courier New" w:eastAsia="仿宋_GB2312"/>
                <w:sz w:val="24"/>
              </w:rPr>
            </w:pPr>
          </w:p>
        </w:tc>
        <w:tc>
          <w:tcPr>
            <w:tcW w:w="1559" w:type="dxa"/>
            <w:tcBorders>
              <w:top w:val="single" w:color="auto" w:sz="4" w:space="0"/>
              <w:left w:val="single" w:color="auto" w:sz="4" w:space="0"/>
              <w:bottom w:val="single" w:color="auto" w:sz="4" w:space="0"/>
              <w:right w:val="single" w:color="auto" w:sz="4" w:space="0"/>
            </w:tcBorders>
          </w:tcPr>
          <w:p w14:paraId="2B889111">
            <w:pPr>
              <w:spacing w:line="360" w:lineRule="auto"/>
              <w:rPr>
                <w:rFonts w:ascii="仿宋_GB2312" w:hAnsi="宋体" w:eastAsia="仿宋_GB2312"/>
                <w:sz w:val="24"/>
              </w:rPr>
            </w:pPr>
          </w:p>
        </w:tc>
        <w:tc>
          <w:tcPr>
            <w:tcW w:w="2835" w:type="dxa"/>
            <w:tcBorders>
              <w:top w:val="single" w:color="auto" w:sz="4" w:space="0"/>
              <w:left w:val="single" w:color="auto" w:sz="4" w:space="0"/>
              <w:bottom w:val="single" w:color="auto" w:sz="4" w:space="0"/>
              <w:right w:val="single" w:color="auto" w:sz="4" w:space="0"/>
            </w:tcBorders>
          </w:tcPr>
          <w:p w14:paraId="3EA6B4C2">
            <w:pPr>
              <w:spacing w:line="360" w:lineRule="auto"/>
              <w:ind w:firstLine="840" w:firstLineChars="350"/>
              <w:rPr>
                <w:rFonts w:ascii="仿宋_GB2312" w:hAnsi="宋体" w:eastAsia="仿宋_GB2312"/>
                <w:sz w:val="24"/>
              </w:rPr>
            </w:pPr>
          </w:p>
        </w:tc>
      </w:tr>
      <w:tr w14:paraId="13A3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14:paraId="627D6DEF">
            <w:pPr>
              <w:spacing w:line="360" w:lineRule="auto"/>
              <w:rPr>
                <w:rFonts w:ascii="仿宋_GB2312" w:hAnsi="宋体" w:eastAsia="仿宋_GB2312"/>
                <w:sz w:val="24"/>
              </w:rPr>
            </w:pPr>
            <w:r>
              <w:rPr>
                <w:rFonts w:hint="eastAsia" w:ascii="仿宋_GB2312" w:hAnsi="宋体" w:eastAsia="仿宋_GB2312"/>
                <w:sz w:val="24"/>
              </w:rPr>
              <w:t>第三次付款</w:t>
            </w:r>
          </w:p>
        </w:tc>
        <w:tc>
          <w:tcPr>
            <w:tcW w:w="2127" w:type="dxa"/>
            <w:tcBorders>
              <w:top w:val="single" w:color="auto" w:sz="4" w:space="0"/>
              <w:left w:val="single" w:color="auto" w:sz="4" w:space="0"/>
              <w:bottom w:val="single" w:color="auto" w:sz="4" w:space="0"/>
              <w:right w:val="single" w:color="auto" w:sz="4" w:space="0"/>
            </w:tcBorders>
          </w:tcPr>
          <w:p w14:paraId="29B622DE">
            <w:pPr>
              <w:spacing w:line="360" w:lineRule="auto"/>
              <w:ind w:firstLine="360" w:firstLineChars="150"/>
              <w:rPr>
                <w:rFonts w:ascii="仿宋_GB2312" w:hAnsi="Courier New" w:eastAsia="仿宋_GB2312"/>
                <w:sz w:val="24"/>
              </w:rPr>
            </w:pPr>
          </w:p>
        </w:tc>
        <w:tc>
          <w:tcPr>
            <w:tcW w:w="1559" w:type="dxa"/>
            <w:tcBorders>
              <w:top w:val="single" w:color="auto" w:sz="4" w:space="0"/>
              <w:left w:val="single" w:color="auto" w:sz="4" w:space="0"/>
              <w:bottom w:val="single" w:color="auto" w:sz="4" w:space="0"/>
              <w:right w:val="single" w:color="auto" w:sz="4" w:space="0"/>
            </w:tcBorders>
          </w:tcPr>
          <w:p w14:paraId="7D4DE087">
            <w:pPr>
              <w:spacing w:line="360" w:lineRule="auto"/>
              <w:rPr>
                <w:rFonts w:ascii="仿宋_GB2312" w:hAnsi="宋体" w:eastAsia="仿宋_GB2312"/>
                <w:sz w:val="24"/>
              </w:rPr>
            </w:pPr>
          </w:p>
        </w:tc>
        <w:tc>
          <w:tcPr>
            <w:tcW w:w="2835" w:type="dxa"/>
            <w:tcBorders>
              <w:top w:val="single" w:color="auto" w:sz="4" w:space="0"/>
              <w:left w:val="single" w:color="auto" w:sz="4" w:space="0"/>
              <w:bottom w:val="single" w:color="auto" w:sz="4" w:space="0"/>
              <w:right w:val="single" w:color="auto" w:sz="4" w:space="0"/>
            </w:tcBorders>
          </w:tcPr>
          <w:p w14:paraId="1CBE1856">
            <w:pPr>
              <w:spacing w:line="360" w:lineRule="auto"/>
              <w:rPr>
                <w:rFonts w:ascii="仿宋_GB2312" w:hAnsi="宋体" w:eastAsia="仿宋_GB2312"/>
                <w:sz w:val="24"/>
              </w:rPr>
            </w:pPr>
          </w:p>
        </w:tc>
      </w:tr>
      <w:tr w14:paraId="2FA6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14:paraId="6DD5864B">
            <w:pPr>
              <w:spacing w:line="360" w:lineRule="auto"/>
              <w:jc w:val="center"/>
              <w:rPr>
                <w:rFonts w:ascii="仿宋_GB2312" w:hAnsi="宋体" w:eastAsia="仿宋_GB2312"/>
                <w:sz w:val="24"/>
              </w:rPr>
            </w:pPr>
            <w:r>
              <w:rPr>
                <w:rFonts w:hint="eastAsia" w:ascii="仿宋_GB2312" w:hAnsi="宋体" w:eastAsia="仿宋_GB2312"/>
                <w:sz w:val="24"/>
              </w:rPr>
              <w:t>……</w:t>
            </w:r>
          </w:p>
        </w:tc>
        <w:tc>
          <w:tcPr>
            <w:tcW w:w="2127" w:type="dxa"/>
            <w:tcBorders>
              <w:top w:val="single" w:color="auto" w:sz="4" w:space="0"/>
              <w:left w:val="single" w:color="auto" w:sz="4" w:space="0"/>
              <w:bottom w:val="single" w:color="auto" w:sz="4" w:space="0"/>
              <w:right w:val="single" w:color="auto" w:sz="4" w:space="0"/>
            </w:tcBorders>
          </w:tcPr>
          <w:p w14:paraId="77081403">
            <w:pPr>
              <w:spacing w:line="360" w:lineRule="auto"/>
              <w:rPr>
                <w:rFonts w:ascii="仿宋_GB2312" w:hAnsi="Courier New" w:eastAsia="仿宋_GB2312"/>
                <w:sz w:val="24"/>
              </w:rPr>
            </w:pPr>
          </w:p>
        </w:tc>
        <w:tc>
          <w:tcPr>
            <w:tcW w:w="1559" w:type="dxa"/>
            <w:tcBorders>
              <w:top w:val="single" w:color="auto" w:sz="4" w:space="0"/>
              <w:left w:val="single" w:color="auto" w:sz="4" w:space="0"/>
              <w:bottom w:val="single" w:color="auto" w:sz="4" w:space="0"/>
              <w:right w:val="single" w:color="auto" w:sz="4" w:space="0"/>
            </w:tcBorders>
          </w:tcPr>
          <w:p w14:paraId="2EF16189">
            <w:pPr>
              <w:spacing w:line="360" w:lineRule="auto"/>
              <w:rPr>
                <w:rFonts w:ascii="仿宋_GB2312" w:hAnsi="宋体" w:eastAsia="仿宋_GB2312"/>
                <w:sz w:val="24"/>
              </w:rPr>
            </w:pPr>
          </w:p>
        </w:tc>
        <w:tc>
          <w:tcPr>
            <w:tcW w:w="2835" w:type="dxa"/>
            <w:tcBorders>
              <w:top w:val="single" w:color="auto" w:sz="4" w:space="0"/>
              <w:left w:val="single" w:color="auto" w:sz="4" w:space="0"/>
              <w:bottom w:val="single" w:color="auto" w:sz="4" w:space="0"/>
              <w:right w:val="single" w:color="auto" w:sz="4" w:space="0"/>
            </w:tcBorders>
          </w:tcPr>
          <w:p w14:paraId="5E6B9E2A">
            <w:pPr>
              <w:spacing w:line="360" w:lineRule="auto"/>
              <w:rPr>
                <w:rFonts w:ascii="仿宋_GB2312" w:hAnsi="宋体" w:eastAsia="仿宋_GB2312"/>
                <w:sz w:val="24"/>
              </w:rPr>
            </w:pPr>
          </w:p>
        </w:tc>
      </w:tr>
      <w:tr w14:paraId="385E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14:paraId="73E851BE">
            <w:pPr>
              <w:spacing w:line="360" w:lineRule="auto"/>
              <w:rPr>
                <w:rFonts w:ascii="仿宋_GB2312" w:hAnsi="宋体" w:eastAsia="仿宋_GB2312"/>
                <w:sz w:val="24"/>
              </w:rPr>
            </w:pPr>
            <w:r>
              <w:rPr>
                <w:rFonts w:hint="eastAsia" w:ascii="仿宋_GB2312" w:hAnsi="宋体" w:eastAsia="仿宋_GB2312"/>
                <w:sz w:val="24"/>
              </w:rPr>
              <w:t>最后付款</w:t>
            </w:r>
          </w:p>
        </w:tc>
        <w:tc>
          <w:tcPr>
            <w:tcW w:w="2127" w:type="dxa"/>
            <w:tcBorders>
              <w:top w:val="single" w:color="auto" w:sz="4" w:space="0"/>
              <w:left w:val="single" w:color="auto" w:sz="4" w:space="0"/>
              <w:bottom w:val="single" w:color="auto" w:sz="4" w:space="0"/>
              <w:right w:val="single" w:color="auto" w:sz="4" w:space="0"/>
            </w:tcBorders>
          </w:tcPr>
          <w:p w14:paraId="2BA6525B">
            <w:pPr>
              <w:spacing w:line="360" w:lineRule="auto"/>
              <w:rPr>
                <w:rFonts w:ascii="仿宋_GB2312" w:hAnsi="Courier New" w:eastAsia="仿宋_GB2312"/>
                <w:sz w:val="24"/>
              </w:rPr>
            </w:pPr>
            <w:r>
              <w:rPr>
                <w:rFonts w:hint="eastAsia" w:ascii="仿宋_GB2312" w:hAnsi="宋体" w:eastAsia="仿宋_GB2312"/>
                <w:sz w:val="24"/>
              </w:rPr>
              <w:t>监理与相关服务期届满</w:t>
            </w:r>
            <w:r>
              <w:rPr>
                <w:rFonts w:hint="eastAsia" w:ascii="仿宋_GB2312" w:eastAsia="仿宋_GB2312"/>
                <w:sz w:val="24"/>
              </w:rPr>
              <w:t>14</w:t>
            </w:r>
            <w:r>
              <w:rPr>
                <w:rFonts w:hint="eastAsia" w:ascii="仿宋_GB2312" w:hAnsi="宋体" w:eastAsia="仿宋_GB2312"/>
                <w:sz w:val="24"/>
              </w:rPr>
              <w:t>天内</w:t>
            </w:r>
          </w:p>
        </w:tc>
        <w:tc>
          <w:tcPr>
            <w:tcW w:w="1559" w:type="dxa"/>
            <w:tcBorders>
              <w:top w:val="single" w:color="auto" w:sz="4" w:space="0"/>
              <w:left w:val="single" w:color="auto" w:sz="4" w:space="0"/>
              <w:bottom w:val="single" w:color="auto" w:sz="4" w:space="0"/>
              <w:right w:val="single" w:color="auto" w:sz="4" w:space="0"/>
            </w:tcBorders>
          </w:tcPr>
          <w:p w14:paraId="596AAD39">
            <w:pPr>
              <w:spacing w:line="360" w:lineRule="auto"/>
              <w:jc w:val="center"/>
              <w:rPr>
                <w:rFonts w:ascii="仿宋_GB2312" w:hAnsi="宋体" w:eastAsia="仿宋_GB2312"/>
                <w:sz w:val="24"/>
              </w:rPr>
            </w:pPr>
          </w:p>
        </w:tc>
        <w:tc>
          <w:tcPr>
            <w:tcW w:w="2835" w:type="dxa"/>
            <w:tcBorders>
              <w:top w:val="single" w:color="auto" w:sz="4" w:space="0"/>
              <w:left w:val="single" w:color="auto" w:sz="4" w:space="0"/>
              <w:bottom w:val="single" w:color="auto" w:sz="4" w:space="0"/>
              <w:right w:val="single" w:color="auto" w:sz="4" w:space="0"/>
            </w:tcBorders>
          </w:tcPr>
          <w:p w14:paraId="758726A9">
            <w:pPr>
              <w:spacing w:line="360" w:lineRule="auto"/>
              <w:jc w:val="center"/>
              <w:rPr>
                <w:rFonts w:ascii="仿宋_GB2312" w:hAnsi="宋体" w:eastAsia="仿宋_GB2312"/>
                <w:sz w:val="24"/>
              </w:rPr>
            </w:pPr>
          </w:p>
        </w:tc>
      </w:tr>
    </w:tbl>
    <w:p w14:paraId="421233FA">
      <w:pPr>
        <w:spacing w:line="360" w:lineRule="auto"/>
        <w:ind w:firstLine="480" w:firstLineChars="200"/>
        <w:rPr>
          <w:rFonts w:ascii="仿宋_GB2312" w:hAnsi="宋体" w:eastAsia="仿宋_GB2312" w:cs="Courier New"/>
          <w:sz w:val="24"/>
          <w:u w:val="single"/>
        </w:rPr>
      </w:pPr>
      <w:r>
        <w:rPr>
          <w:rFonts w:hint="eastAsia" w:ascii="仿宋_GB2312" w:eastAsia="仿宋_GB2312"/>
          <w:sz w:val="24"/>
        </w:rPr>
        <w:t xml:space="preserve"> </w:t>
      </w:r>
    </w:p>
    <w:p w14:paraId="684DE5BE">
      <w:pPr>
        <w:spacing w:line="360" w:lineRule="auto"/>
        <w:rPr>
          <w:rFonts w:ascii="仿宋_GB2312" w:hAnsi="黑体" w:eastAsia="仿宋_GB2312"/>
          <w:b/>
          <w:bCs/>
          <w:color w:val="FF0000"/>
          <w:sz w:val="24"/>
        </w:rPr>
      </w:pPr>
      <w:r>
        <w:rPr>
          <w:rFonts w:hint="eastAsia" w:ascii="仿宋_GB2312" w:hAnsi="黑体" w:eastAsia="仿宋_GB2312"/>
          <w:bCs/>
          <w:sz w:val="24"/>
        </w:rPr>
        <w:t>6</w:t>
      </w:r>
      <w:r>
        <w:rPr>
          <w:rFonts w:hint="eastAsia" w:ascii="仿宋_GB2312" w:hAnsi="黑体" w:eastAsia="仿宋_GB2312"/>
          <w:b/>
          <w:bCs/>
          <w:sz w:val="24"/>
        </w:rPr>
        <w:t>. 合同生效、变更、暂停、解除与终止</w:t>
      </w:r>
    </w:p>
    <w:p w14:paraId="6BAFEA83">
      <w:pPr>
        <w:spacing w:line="360" w:lineRule="auto"/>
        <w:ind w:firstLine="240" w:firstLineChars="100"/>
        <w:rPr>
          <w:rFonts w:ascii="仿宋_GB2312" w:hAnsi="Courier New" w:eastAsia="仿宋_GB2312"/>
          <w:sz w:val="24"/>
        </w:rPr>
      </w:pPr>
      <w:r>
        <w:rPr>
          <w:rFonts w:hint="eastAsia" w:ascii="仿宋_GB2312" w:eastAsia="仿宋_GB2312"/>
          <w:sz w:val="24"/>
        </w:rPr>
        <w:t>6.1 生效</w:t>
      </w:r>
    </w:p>
    <w:p w14:paraId="514DC312">
      <w:pPr>
        <w:spacing w:line="360" w:lineRule="auto"/>
        <w:ind w:firstLine="480"/>
        <w:rPr>
          <w:rFonts w:ascii="仿宋_GB2312" w:hAnsi="宋体" w:eastAsia="仿宋_GB2312"/>
          <w:sz w:val="24"/>
        </w:rPr>
      </w:pPr>
      <w:r>
        <w:rPr>
          <w:rFonts w:hint="eastAsia" w:ascii="仿宋_GB2312" w:hAnsi="宋体" w:eastAsia="仿宋_GB2312"/>
          <w:sz w:val="24"/>
        </w:rPr>
        <w:t>本合同生效条件：</w:t>
      </w:r>
      <w:r>
        <w:rPr>
          <w:rFonts w:hint="eastAsia" w:ascii="仿宋_GB2312" w:hAnsi="宋体" w:eastAsia="仿宋_GB2312"/>
          <w:sz w:val="24"/>
          <w:u w:val="single"/>
        </w:rPr>
        <w:t xml:space="preserve">                               </w:t>
      </w:r>
      <w:r>
        <w:rPr>
          <w:rFonts w:hint="eastAsia" w:ascii="仿宋_GB2312" w:hAnsi="宋体" w:eastAsia="仿宋_GB2312"/>
          <w:sz w:val="24"/>
        </w:rPr>
        <w:t>。</w:t>
      </w:r>
    </w:p>
    <w:p w14:paraId="60C84AC9">
      <w:pPr>
        <w:spacing w:line="360" w:lineRule="auto"/>
        <w:ind w:firstLine="235" w:firstLineChars="98"/>
        <w:rPr>
          <w:rFonts w:ascii="仿宋_GB2312" w:hAnsi="Courier New" w:eastAsia="仿宋_GB2312"/>
          <w:sz w:val="24"/>
        </w:rPr>
      </w:pPr>
      <w:r>
        <w:rPr>
          <w:rFonts w:hint="eastAsia" w:ascii="仿宋_GB2312" w:eastAsia="仿宋_GB2312"/>
          <w:sz w:val="24"/>
        </w:rPr>
        <w:t>6.2 变更</w:t>
      </w:r>
    </w:p>
    <w:p w14:paraId="124BAF48">
      <w:pPr>
        <w:spacing w:line="360" w:lineRule="auto"/>
        <w:ind w:firstLine="480" w:firstLineChars="200"/>
        <w:rPr>
          <w:rFonts w:ascii="仿宋_GB2312" w:eastAsia="仿宋_GB2312"/>
          <w:sz w:val="24"/>
        </w:rPr>
      </w:pPr>
      <w:r>
        <w:rPr>
          <w:rFonts w:hint="eastAsia" w:ascii="仿宋_GB2312" w:eastAsia="仿宋_GB2312"/>
          <w:sz w:val="24"/>
        </w:rPr>
        <w:t>6.2.2 除不可抗力外， 因非监理人原因导致本合同期限延长时，附加工作酬金按下列方法确定：</w:t>
      </w:r>
    </w:p>
    <w:p w14:paraId="28E508B4">
      <w:pPr>
        <w:spacing w:line="360" w:lineRule="auto"/>
        <w:ind w:firstLine="480" w:firstLineChars="200"/>
        <w:rPr>
          <w:rFonts w:ascii="仿宋_GB2312" w:hAnsi="宋体" w:eastAsia="仿宋_GB2312"/>
          <w:sz w:val="24"/>
        </w:rPr>
      </w:pPr>
      <w:r>
        <w:rPr>
          <w:rFonts w:hint="eastAsia" w:ascii="仿宋_GB2312" w:hAnsi="宋体" w:eastAsia="仿宋_GB2312"/>
          <w:sz w:val="24"/>
        </w:rPr>
        <w:t>附加工作酬金</w:t>
      </w:r>
      <w:r>
        <w:rPr>
          <w:rFonts w:hint="eastAsia" w:ascii="仿宋_GB2312" w:eastAsia="仿宋_GB2312"/>
          <w:sz w:val="24"/>
        </w:rPr>
        <w:t>=本合同期限延长</w:t>
      </w:r>
      <w:r>
        <w:rPr>
          <w:rFonts w:hint="eastAsia" w:ascii="仿宋_GB2312" w:hAnsi="宋体" w:eastAsia="仿宋_GB2312"/>
          <w:sz w:val="24"/>
        </w:rPr>
        <w:t>时间（天）</w:t>
      </w:r>
      <w:r>
        <w:rPr>
          <w:rFonts w:hint="eastAsia" w:ascii="仿宋_GB2312" w:eastAsia="仿宋_GB2312"/>
          <w:sz w:val="24"/>
        </w:rPr>
        <w:t>×正常工作</w:t>
      </w:r>
      <w:r>
        <w:rPr>
          <w:rFonts w:hint="eastAsia" w:ascii="仿宋_GB2312" w:hAnsi="宋体" w:eastAsia="仿宋_GB2312"/>
          <w:sz w:val="24"/>
        </w:rPr>
        <w:t>酬金</w:t>
      </w:r>
      <w:r>
        <w:rPr>
          <w:rFonts w:hint="eastAsia" w:ascii="仿宋_GB2312" w:eastAsia="仿宋_GB2312"/>
          <w:sz w:val="24"/>
        </w:rPr>
        <w:t>÷</w:t>
      </w:r>
      <w:r>
        <w:rPr>
          <w:rFonts w:hint="eastAsia" w:ascii="仿宋_GB2312" w:hAnsi="宋体" w:eastAsia="仿宋_GB2312"/>
          <w:sz w:val="24"/>
        </w:rPr>
        <w:t>协议书约定的监理与相关服务期限（天）</w:t>
      </w:r>
    </w:p>
    <w:p w14:paraId="1661D59A">
      <w:pPr>
        <w:spacing w:line="360" w:lineRule="auto"/>
        <w:ind w:firstLine="480" w:firstLineChars="200"/>
        <w:rPr>
          <w:rFonts w:ascii="仿宋_GB2312" w:hAnsi="Courier New" w:eastAsia="仿宋_GB2312"/>
          <w:sz w:val="24"/>
        </w:rPr>
      </w:pPr>
      <w:r>
        <w:rPr>
          <w:rFonts w:hint="eastAsia" w:ascii="仿宋_GB2312" w:eastAsia="仿宋_GB2312"/>
          <w:sz w:val="24"/>
        </w:rPr>
        <w:t>6.2.3附加工作酬金按下列方法确定：</w:t>
      </w:r>
    </w:p>
    <w:p w14:paraId="0E7133A1">
      <w:pPr>
        <w:spacing w:line="360" w:lineRule="auto"/>
        <w:ind w:firstLine="480" w:firstLineChars="200"/>
        <w:rPr>
          <w:rFonts w:ascii="仿宋_GB2312" w:hAnsi="宋体" w:eastAsia="仿宋_GB2312"/>
          <w:sz w:val="24"/>
        </w:rPr>
      </w:pPr>
      <w:r>
        <w:rPr>
          <w:rFonts w:hint="eastAsia" w:ascii="仿宋_GB2312" w:hAnsi="宋体" w:eastAsia="仿宋_GB2312"/>
          <w:sz w:val="24"/>
        </w:rPr>
        <w:t>附加工作酬金</w:t>
      </w:r>
      <w:r>
        <w:rPr>
          <w:rFonts w:hint="eastAsia" w:ascii="仿宋_GB2312" w:eastAsia="仿宋_GB2312"/>
          <w:sz w:val="24"/>
        </w:rPr>
        <w:t>=善后工作及恢复服务的准备工作时间</w:t>
      </w:r>
      <w:r>
        <w:rPr>
          <w:rFonts w:hint="eastAsia" w:ascii="仿宋_GB2312" w:hAnsi="宋体" w:eastAsia="仿宋_GB2312"/>
          <w:sz w:val="24"/>
        </w:rPr>
        <w:t>（天）</w:t>
      </w:r>
      <w:r>
        <w:rPr>
          <w:rFonts w:hint="eastAsia" w:ascii="仿宋_GB2312" w:eastAsia="仿宋_GB2312"/>
          <w:sz w:val="24"/>
        </w:rPr>
        <w:t>×正常工作</w:t>
      </w:r>
      <w:r>
        <w:rPr>
          <w:rFonts w:hint="eastAsia" w:ascii="仿宋_GB2312" w:hAnsi="宋体" w:eastAsia="仿宋_GB2312"/>
          <w:sz w:val="24"/>
        </w:rPr>
        <w:t>酬金</w:t>
      </w:r>
      <w:r>
        <w:rPr>
          <w:rFonts w:hint="eastAsia" w:ascii="仿宋_GB2312" w:eastAsia="仿宋_GB2312"/>
          <w:sz w:val="24"/>
        </w:rPr>
        <w:t>÷</w:t>
      </w:r>
      <w:r>
        <w:rPr>
          <w:rFonts w:hint="eastAsia" w:ascii="仿宋_GB2312" w:hAnsi="宋体" w:eastAsia="仿宋_GB2312"/>
          <w:sz w:val="24"/>
        </w:rPr>
        <w:t>协议书约定的监理与相关服务期限（天）</w:t>
      </w:r>
    </w:p>
    <w:p w14:paraId="119C9E18">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6.2.5 正常工作酬金增加额按下列方法确定： </w:t>
      </w:r>
    </w:p>
    <w:p w14:paraId="7A1D2A02">
      <w:pPr>
        <w:spacing w:line="360" w:lineRule="auto"/>
        <w:ind w:firstLine="480"/>
        <w:rPr>
          <w:rFonts w:ascii="仿宋_GB2312" w:hAnsi="宋体" w:eastAsia="仿宋_GB2312"/>
          <w:sz w:val="24"/>
        </w:rPr>
      </w:pPr>
      <w:r>
        <w:rPr>
          <w:rFonts w:hint="eastAsia" w:ascii="仿宋_GB2312" w:hAnsi="宋体" w:eastAsia="仿宋_GB2312"/>
          <w:sz w:val="24"/>
        </w:rPr>
        <w:t>正常工作酬金增加额</w:t>
      </w:r>
      <w:r>
        <w:rPr>
          <w:rFonts w:hint="eastAsia" w:ascii="仿宋_GB2312" w:eastAsia="仿宋_GB2312"/>
          <w:sz w:val="24"/>
        </w:rPr>
        <w:t>=</w:t>
      </w:r>
      <w:r>
        <w:rPr>
          <w:rFonts w:hint="eastAsia" w:ascii="仿宋_GB2312" w:hAnsi="宋体" w:eastAsia="仿宋_GB2312"/>
          <w:sz w:val="24"/>
        </w:rPr>
        <w:t>工程投资额或建筑安装工程费增加额</w:t>
      </w:r>
      <w:r>
        <w:rPr>
          <w:rFonts w:hint="eastAsia" w:ascii="仿宋_GB2312" w:eastAsia="仿宋_GB2312"/>
          <w:sz w:val="24"/>
        </w:rPr>
        <w:t>×</w:t>
      </w:r>
      <w:r>
        <w:rPr>
          <w:rFonts w:hint="eastAsia" w:ascii="仿宋_GB2312" w:hAnsi="宋体" w:eastAsia="仿宋_GB2312"/>
          <w:sz w:val="24"/>
        </w:rPr>
        <w:t>正常工作酬金</w:t>
      </w:r>
      <w:r>
        <w:rPr>
          <w:rFonts w:hint="eastAsia" w:ascii="仿宋_GB2312" w:eastAsia="仿宋_GB2312"/>
          <w:sz w:val="24"/>
        </w:rPr>
        <w:t>÷</w:t>
      </w:r>
      <w:r>
        <w:rPr>
          <w:rFonts w:hint="eastAsia" w:ascii="仿宋_GB2312" w:hAnsi="宋体" w:eastAsia="仿宋_GB2312"/>
          <w:sz w:val="24"/>
        </w:rPr>
        <w:t>工程概算投资额（或建筑安装工程费）</w:t>
      </w:r>
    </w:p>
    <w:p w14:paraId="1288B724">
      <w:pPr>
        <w:spacing w:line="360" w:lineRule="auto"/>
        <w:ind w:firstLine="480" w:firstLineChars="200"/>
        <w:rPr>
          <w:rFonts w:ascii="仿宋_GB2312" w:hAnsi="宋体" w:eastAsia="仿宋_GB2312"/>
          <w:sz w:val="24"/>
        </w:rPr>
      </w:pPr>
      <w:r>
        <w:rPr>
          <w:rFonts w:hint="eastAsia" w:ascii="仿宋_GB2312" w:hAnsi="宋体" w:eastAsia="仿宋_GB2312"/>
          <w:sz w:val="24"/>
        </w:rPr>
        <w:t>6.2.6 因工程规模、监理范围的变化导致监理人的正常工作量减少时，按减少工作量的比例从协议书约定的正常工作酬金中扣减相同比例的酬金。</w:t>
      </w:r>
    </w:p>
    <w:p w14:paraId="44DAC9FD">
      <w:pPr>
        <w:spacing w:line="360" w:lineRule="auto"/>
        <w:rPr>
          <w:rFonts w:ascii="仿宋_GB2312" w:hAnsi="黑体" w:eastAsia="仿宋_GB2312"/>
          <w:b/>
          <w:sz w:val="24"/>
        </w:rPr>
      </w:pPr>
      <w:r>
        <w:rPr>
          <w:rFonts w:hint="eastAsia" w:ascii="仿宋_GB2312" w:hAnsi="黑体" w:eastAsia="仿宋_GB2312"/>
          <w:b/>
          <w:bCs/>
          <w:sz w:val="24"/>
        </w:rPr>
        <w:t>7. 争议解决</w:t>
      </w:r>
    </w:p>
    <w:p w14:paraId="6D971C91">
      <w:pPr>
        <w:spacing w:line="360" w:lineRule="auto"/>
        <w:ind w:firstLine="235" w:firstLineChars="98"/>
        <w:rPr>
          <w:rFonts w:ascii="仿宋_GB2312" w:hAnsi="Courier New" w:eastAsia="仿宋_GB2312"/>
          <w:sz w:val="24"/>
        </w:rPr>
      </w:pPr>
      <w:r>
        <w:rPr>
          <w:rFonts w:hint="eastAsia" w:ascii="仿宋_GB2312" w:eastAsia="仿宋_GB2312"/>
          <w:sz w:val="24"/>
        </w:rPr>
        <w:t xml:space="preserve">7.2 </w:t>
      </w:r>
      <w:r>
        <w:rPr>
          <w:rFonts w:hint="eastAsia" w:ascii="仿宋_GB2312" w:hAnsi="宋体" w:eastAsia="仿宋_GB2312"/>
          <w:bCs/>
          <w:sz w:val="24"/>
        </w:rPr>
        <w:t>调解</w:t>
      </w:r>
    </w:p>
    <w:p w14:paraId="0DE06956">
      <w:pPr>
        <w:spacing w:line="360" w:lineRule="auto"/>
        <w:ind w:firstLine="470" w:firstLineChars="196"/>
        <w:rPr>
          <w:rFonts w:ascii="仿宋_GB2312" w:eastAsia="仿宋_GB2312"/>
          <w:sz w:val="24"/>
        </w:rPr>
      </w:pPr>
      <w:r>
        <w:rPr>
          <w:rFonts w:hint="eastAsia" w:ascii="仿宋_GB2312" w:hAnsi="宋体" w:eastAsia="仿宋_GB2312"/>
          <w:sz w:val="24"/>
        </w:rPr>
        <w:t>本合同争议进行调解时，可提交</w:t>
      </w:r>
      <w:r>
        <w:rPr>
          <w:rFonts w:hint="eastAsia" w:ascii="仿宋_GB2312" w:hAnsi="BatangChe" w:eastAsia="仿宋_GB2312"/>
          <w:sz w:val="24"/>
          <w:u w:val="single"/>
        </w:rPr>
        <w:t xml:space="preserve">        </w:t>
      </w:r>
      <w:r>
        <w:rPr>
          <w:rFonts w:hint="eastAsia" w:ascii="仿宋_GB2312" w:hAnsi="宋体" w:eastAsia="仿宋_GB2312"/>
          <w:sz w:val="24"/>
        </w:rPr>
        <w:t>进行调解。</w:t>
      </w:r>
    </w:p>
    <w:p w14:paraId="7729372B">
      <w:pPr>
        <w:spacing w:line="360" w:lineRule="auto"/>
        <w:ind w:firstLine="235" w:firstLineChars="98"/>
        <w:rPr>
          <w:rFonts w:ascii="仿宋_GB2312" w:hAnsi="宋体" w:eastAsia="仿宋_GB2312"/>
          <w:sz w:val="24"/>
        </w:rPr>
      </w:pPr>
      <w:r>
        <w:rPr>
          <w:rFonts w:hint="eastAsia" w:ascii="仿宋_GB2312" w:eastAsia="仿宋_GB2312"/>
          <w:sz w:val="24"/>
        </w:rPr>
        <w:t xml:space="preserve">7.3 </w:t>
      </w:r>
      <w:r>
        <w:rPr>
          <w:rFonts w:hint="eastAsia" w:ascii="仿宋_GB2312" w:hAnsi="宋体" w:eastAsia="仿宋_GB2312"/>
          <w:bCs/>
          <w:sz w:val="24"/>
        </w:rPr>
        <w:t>仲裁或诉讼</w:t>
      </w:r>
    </w:p>
    <w:p w14:paraId="36232D8E">
      <w:pPr>
        <w:spacing w:line="360" w:lineRule="auto"/>
        <w:ind w:firstLine="480" w:firstLineChars="200"/>
        <w:rPr>
          <w:rFonts w:hint="eastAsia" w:ascii="仿宋_GB2312" w:hAnsi="BatangChe" w:eastAsia="仿宋_GB2312"/>
          <w:sz w:val="24"/>
        </w:rPr>
      </w:pPr>
      <w:r>
        <w:rPr>
          <w:rFonts w:hint="eastAsia" w:ascii="仿宋_GB2312" w:hAnsi="BatangChe" w:eastAsia="仿宋_GB2312"/>
          <w:sz w:val="24"/>
        </w:rPr>
        <w:t>合同</w:t>
      </w:r>
      <w:r>
        <w:rPr>
          <w:rFonts w:hint="eastAsia" w:ascii="仿宋_GB2312" w:hAnsi="宋体" w:eastAsia="仿宋_GB2312"/>
          <w:sz w:val="24"/>
        </w:rPr>
        <w:t>争议</w:t>
      </w:r>
      <w:r>
        <w:rPr>
          <w:rFonts w:hint="eastAsia" w:ascii="仿宋_GB2312" w:hAnsi="BatangChe" w:eastAsia="仿宋_GB2312"/>
          <w:sz w:val="24"/>
        </w:rPr>
        <w:t>的最</w:t>
      </w:r>
      <w:r>
        <w:rPr>
          <w:rFonts w:hint="eastAsia" w:ascii="仿宋_GB2312" w:hAnsi="宋体" w:eastAsia="仿宋_GB2312"/>
          <w:sz w:val="24"/>
        </w:rPr>
        <w:t>终</w:t>
      </w:r>
      <w:r>
        <w:rPr>
          <w:rFonts w:hint="eastAsia" w:ascii="仿宋_GB2312" w:hAnsi="BatangChe" w:eastAsia="仿宋_GB2312"/>
          <w:sz w:val="24"/>
        </w:rPr>
        <w:t>解</w:t>
      </w:r>
      <w:r>
        <w:rPr>
          <w:rFonts w:hint="eastAsia" w:ascii="仿宋_GB2312" w:hAnsi="宋体" w:eastAsia="仿宋_GB2312"/>
          <w:sz w:val="24"/>
        </w:rPr>
        <w:t>决</w:t>
      </w:r>
      <w:r>
        <w:rPr>
          <w:rFonts w:hint="eastAsia" w:ascii="仿宋_GB2312" w:hAnsi="BatangChe" w:eastAsia="仿宋_GB2312"/>
          <w:sz w:val="24"/>
        </w:rPr>
        <w:t>方式</w:t>
      </w:r>
      <w:r>
        <w:rPr>
          <w:rFonts w:hint="eastAsia" w:ascii="仿宋_GB2312" w:hAnsi="宋体" w:eastAsia="仿宋_GB2312"/>
          <w:sz w:val="24"/>
        </w:rPr>
        <w:t>为</w:t>
      </w:r>
      <w:r>
        <w:rPr>
          <w:rFonts w:hint="eastAsia" w:ascii="仿宋_GB2312" w:hAnsi="BatangChe" w:eastAsia="仿宋_GB2312"/>
          <w:sz w:val="24"/>
        </w:rPr>
        <w:t>下列第</w:t>
      </w:r>
      <w:r>
        <w:rPr>
          <w:rFonts w:hint="eastAsia" w:ascii="仿宋_GB2312" w:hAnsi="BatangChe" w:eastAsia="仿宋_GB2312"/>
          <w:sz w:val="24"/>
          <w:u w:val="single"/>
        </w:rPr>
        <w:t xml:space="preserve">        </w:t>
      </w:r>
      <w:r>
        <w:rPr>
          <w:rFonts w:hint="eastAsia" w:ascii="仿宋_GB2312" w:hAnsi="宋体" w:eastAsia="仿宋_GB2312"/>
          <w:sz w:val="24"/>
        </w:rPr>
        <w:t>种</w:t>
      </w:r>
      <w:r>
        <w:rPr>
          <w:rFonts w:hint="eastAsia" w:ascii="仿宋_GB2312" w:hAnsi="BatangChe" w:eastAsia="仿宋_GB2312"/>
          <w:sz w:val="24"/>
        </w:rPr>
        <w:t>方式：</w:t>
      </w:r>
    </w:p>
    <w:p w14:paraId="7BFCFFDC">
      <w:pPr>
        <w:spacing w:line="360" w:lineRule="auto"/>
        <w:ind w:firstLine="480" w:firstLineChars="200"/>
        <w:rPr>
          <w:rFonts w:hint="eastAsia" w:ascii="仿宋_GB2312" w:hAnsi="BatangChe" w:eastAsia="仿宋_GB2312"/>
          <w:sz w:val="24"/>
        </w:rPr>
      </w:pPr>
      <w:r>
        <w:rPr>
          <w:rFonts w:hint="eastAsia" w:ascii="仿宋_GB2312" w:hAnsi="BatangChe" w:eastAsia="仿宋_GB2312"/>
          <w:sz w:val="24"/>
        </w:rPr>
        <w:t>（1）提</w:t>
      </w:r>
      <w:r>
        <w:rPr>
          <w:rFonts w:hint="eastAsia" w:ascii="仿宋_GB2312" w:hAnsi="宋体" w:eastAsia="仿宋_GB2312"/>
          <w:sz w:val="24"/>
        </w:rPr>
        <w:t>请</w:t>
      </w:r>
      <w:r>
        <w:rPr>
          <w:rFonts w:hint="eastAsia" w:ascii="仿宋_GB2312" w:hAnsi="BatangChe" w:eastAsia="仿宋_GB2312"/>
          <w:sz w:val="24"/>
          <w:u w:val="single"/>
        </w:rPr>
        <w:t xml:space="preserve">        </w:t>
      </w:r>
      <w:r>
        <w:rPr>
          <w:rFonts w:hint="eastAsia" w:ascii="仿宋_GB2312" w:hAnsi="BatangChe" w:eastAsia="仿宋_GB2312"/>
          <w:sz w:val="24"/>
        </w:rPr>
        <w:t>仲裁委</w:t>
      </w:r>
      <w:r>
        <w:rPr>
          <w:rFonts w:hint="eastAsia" w:ascii="仿宋_GB2312" w:hAnsi="宋体" w:eastAsia="仿宋_GB2312"/>
          <w:sz w:val="24"/>
        </w:rPr>
        <w:t>员会进</w:t>
      </w:r>
      <w:r>
        <w:rPr>
          <w:rFonts w:hint="eastAsia" w:ascii="仿宋_GB2312" w:hAnsi="BatangChe" w:eastAsia="仿宋_GB2312"/>
          <w:sz w:val="24"/>
        </w:rPr>
        <w:t>行仲裁。</w:t>
      </w:r>
    </w:p>
    <w:p w14:paraId="29DD0950">
      <w:pPr>
        <w:spacing w:line="360" w:lineRule="auto"/>
        <w:ind w:firstLine="480" w:firstLineChars="200"/>
        <w:rPr>
          <w:rFonts w:hint="eastAsia" w:ascii="仿宋_GB2312" w:hAnsi="BatangChe" w:eastAsia="仿宋_GB2312"/>
          <w:sz w:val="24"/>
        </w:rPr>
      </w:pPr>
      <w:r>
        <w:rPr>
          <w:rFonts w:hint="eastAsia" w:ascii="仿宋_GB2312" w:hAnsi="BatangChe" w:eastAsia="仿宋_GB2312"/>
          <w:sz w:val="24"/>
        </w:rPr>
        <w:t>（2）向</w:t>
      </w:r>
      <w:r>
        <w:rPr>
          <w:rFonts w:hint="eastAsia" w:ascii="仿宋_GB2312" w:hAnsi="BatangChe" w:eastAsia="仿宋_GB2312"/>
          <w:sz w:val="24"/>
          <w:u w:val="single"/>
        </w:rPr>
        <w:t xml:space="preserve">        </w:t>
      </w:r>
      <w:r>
        <w:rPr>
          <w:rFonts w:hint="eastAsia" w:ascii="仿宋_GB2312" w:hAnsi="BatangChe" w:eastAsia="仿宋_GB2312"/>
          <w:sz w:val="24"/>
        </w:rPr>
        <w:t>人民法院提起</w:t>
      </w:r>
      <w:r>
        <w:rPr>
          <w:rFonts w:hint="eastAsia" w:ascii="仿宋_GB2312" w:hAnsi="宋体" w:eastAsia="仿宋_GB2312"/>
          <w:sz w:val="24"/>
        </w:rPr>
        <w:t>诉讼。</w:t>
      </w:r>
    </w:p>
    <w:p w14:paraId="58B02B1F">
      <w:pPr>
        <w:spacing w:line="360" w:lineRule="auto"/>
        <w:rPr>
          <w:rFonts w:ascii="仿宋_GB2312" w:hAnsi="黑体" w:eastAsia="仿宋_GB2312"/>
          <w:b/>
          <w:bCs/>
          <w:sz w:val="24"/>
        </w:rPr>
      </w:pPr>
      <w:r>
        <w:rPr>
          <w:rFonts w:hint="eastAsia" w:ascii="仿宋_GB2312" w:eastAsia="仿宋_GB2312"/>
          <w:b/>
          <w:bCs/>
          <w:sz w:val="24"/>
        </w:rPr>
        <w:t>8</w:t>
      </w:r>
      <w:r>
        <w:rPr>
          <w:rFonts w:hint="eastAsia" w:ascii="仿宋_GB2312" w:hAnsi="黑体" w:eastAsia="仿宋_GB2312"/>
          <w:b/>
          <w:bCs/>
          <w:sz w:val="24"/>
        </w:rPr>
        <w:t>. 其他</w:t>
      </w:r>
    </w:p>
    <w:p w14:paraId="251EE6B4">
      <w:pPr>
        <w:spacing w:line="360" w:lineRule="auto"/>
        <w:rPr>
          <w:rFonts w:ascii="仿宋_GB2312" w:hAnsi="黑体" w:eastAsia="仿宋_GB2312"/>
          <w:bCs/>
          <w:sz w:val="24"/>
        </w:rPr>
      </w:pPr>
      <w:r>
        <w:rPr>
          <w:rFonts w:hint="eastAsia" w:ascii="仿宋_GB2312" w:hAnsi="黑体" w:eastAsia="仿宋_GB2312"/>
          <w:b/>
          <w:bCs/>
          <w:sz w:val="24"/>
        </w:rPr>
        <w:t xml:space="preserve">  </w:t>
      </w:r>
      <w:r>
        <w:rPr>
          <w:rFonts w:hint="eastAsia" w:ascii="仿宋_GB2312" w:hAnsi="黑体" w:eastAsia="仿宋_GB2312"/>
          <w:bCs/>
          <w:sz w:val="24"/>
        </w:rPr>
        <w:t>8.2 检测费用</w:t>
      </w:r>
    </w:p>
    <w:p w14:paraId="1820D050">
      <w:pPr>
        <w:spacing w:line="360" w:lineRule="auto"/>
        <w:rPr>
          <w:rFonts w:ascii="仿宋_GB2312" w:hAnsi="黑体" w:eastAsia="仿宋_GB2312"/>
          <w:bCs/>
          <w:sz w:val="24"/>
        </w:rPr>
      </w:pPr>
      <w:r>
        <w:rPr>
          <w:rFonts w:hint="eastAsia" w:ascii="仿宋_GB2312" w:hAnsi="黑体" w:eastAsia="仿宋_GB2312"/>
          <w:bCs/>
          <w:sz w:val="24"/>
        </w:rPr>
        <w:t xml:space="preserve">    委托人应在检测工作完成后</w:t>
      </w:r>
      <w:r>
        <w:rPr>
          <w:rFonts w:hint="eastAsia" w:ascii="仿宋_GB2312" w:eastAsia="仿宋_GB2312"/>
          <w:sz w:val="24"/>
          <w:u w:val="single"/>
        </w:rPr>
        <w:t xml:space="preserve">     </w:t>
      </w:r>
      <w:r>
        <w:rPr>
          <w:rFonts w:hint="eastAsia" w:ascii="仿宋_GB2312" w:hAnsi="黑体" w:eastAsia="仿宋_GB2312"/>
          <w:bCs/>
          <w:sz w:val="24"/>
        </w:rPr>
        <w:t>天内支付检测费用。</w:t>
      </w:r>
    </w:p>
    <w:p w14:paraId="222DA9A2">
      <w:pPr>
        <w:spacing w:line="360" w:lineRule="auto"/>
        <w:rPr>
          <w:rFonts w:ascii="仿宋_GB2312" w:hAnsi="黑体" w:eastAsia="仿宋_GB2312"/>
          <w:bCs/>
          <w:sz w:val="24"/>
        </w:rPr>
      </w:pPr>
      <w:r>
        <w:rPr>
          <w:rFonts w:hint="eastAsia" w:ascii="仿宋_GB2312" w:hAnsi="黑体" w:eastAsia="仿宋_GB2312"/>
          <w:bCs/>
          <w:sz w:val="24"/>
        </w:rPr>
        <w:t xml:space="preserve">  8.3 咨询费用</w:t>
      </w:r>
    </w:p>
    <w:p w14:paraId="279110DE">
      <w:pPr>
        <w:spacing w:line="360" w:lineRule="auto"/>
        <w:rPr>
          <w:rFonts w:ascii="仿宋_GB2312" w:hAnsi="黑体" w:eastAsia="仿宋_GB2312"/>
          <w:bCs/>
          <w:sz w:val="24"/>
        </w:rPr>
      </w:pPr>
      <w:r>
        <w:rPr>
          <w:rFonts w:hint="eastAsia" w:ascii="仿宋_GB2312" w:hAnsi="黑体" w:eastAsia="仿宋_GB2312"/>
          <w:bCs/>
          <w:sz w:val="24"/>
        </w:rPr>
        <w:t xml:space="preserve">    委托人应在咨询工作完成后</w:t>
      </w:r>
      <w:r>
        <w:rPr>
          <w:rFonts w:hint="eastAsia" w:ascii="仿宋_GB2312" w:eastAsia="仿宋_GB2312"/>
          <w:sz w:val="24"/>
          <w:u w:val="single"/>
        </w:rPr>
        <w:t xml:space="preserve">     </w:t>
      </w:r>
      <w:r>
        <w:rPr>
          <w:rFonts w:hint="eastAsia" w:ascii="仿宋_GB2312" w:hAnsi="黑体" w:eastAsia="仿宋_GB2312"/>
          <w:bCs/>
          <w:sz w:val="24"/>
        </w:rPr>
        <w:t>天内支付咨询费用。</w:t>
      </w:r>
    </w:p>
    <w:p w14:paraId="06892149">
      <w:pPr>
        <w:spacing w:line="360" w:lineRule="auto"/>
        <w:ind w:firstLine="235" w:firstLineChars="98"/>
        <w:rPr>
          <w:rFonts w:ascii="仿宋_GB2312" w:hAnsi="Courier New" w:eastAsia="仿宋_GB2312"/>
          <w:sz w:val="24"/>
        </w:rPr>
      </w:pPr>
      <w:r>
        <w:rPr>
          <w:rFonts w:hint="eastAsia" w:ascii="仿宋_GB2312" w:eastAsia="仿宋_GB2312"/>
          <w:sz w:val="24"/>
        </w:rPr>
        <w:t>8.4 奖励</w:t>
      </w:r>
    </w:p>
    <w:p w14:paraId="5F057A26">
      <w:pPr>
        <w:spacing w:line="360" w:lineRule="auto"/>
        <w:ind w:firstLine="480" w:firstLineChars="200"/>
        <w:rPr>
          <w:rFonts w:ascii="仿宋_GB2312" w:eastAsia="仿宋_GB2312"/>
          <w:sz w:val="24"/>
        </w:rPr>
      </w:pPr>
      <w:r>
        <w:rPr>
          <w:rFonts w:hint="eastAsia" w:ascii="仿宋_GB2312" w:hAnsi="宋体" w:eastAsia="仿宋_GB2312"/>
          <w:sz w:val="24"/>
        </w:rPr>
        <w:t>合理化建议的</w:t>
      </w:r>
      <w:r>
        <w:rPr>
          <w:rFonts w:hint="eastAsia" w:ascii="仿宋_GB2312" w:eastAsia="仿宋_GB2312"/>
          <w:sz w:val="24"/>
        </w:rPr>
        <w:t>奖励金额</w:t>
      </w:r>
      <w:r>
        <w:rPr>
          <w:rFonts w:hint="eastAsia" w:ascii="仿宋_GB2312" w:hAnsi="宋体" w:eastAsia="仿宋_GB2312"/>
          <w:sz w:val="24"/>
        </w:rPr>
        <w:t>按下列方法确定为：</w:t>
      </w:r>
    </w:p>
    <w:p w14:paraId="6830ED39">
      <w:pPr>
        <w:spacing w:line="360" w:lineRule="auto"/>
        <w:ind w:firstLine="480" w:firstLineChars="200"/>
        <w:rPr>
          <w:rFonts w:ascii="仿宋_GB2312" w:eastAsia="仿宋_GB2312"/>
          <w:sz w:val="24"/>
        </w:rPr>
      </w:pPr>
      <w:r>
        <w:rPr>
          <w:rFonts w:hint="eastAsia" w:ascii="仿宋_GB2312" w:hAnsi="宋体" w:eastAsia="仿宋_GB2312"/>
          <w:sz w:val="24"/>
        </w:rPr>
        <w:t>奖励金额＝工程投资节省额×</w:t>
      </w:r>
      <w:r>
        <w:rPr>
          <w:rFonts w:hint="eastAsia" w:ascii="仿宋_GB2312" w:eastAsia="仿宋_GB2312"/>
          <w:sz w:val="24"/>
        </w:rPr>
        <w:t>奖励金额的比率</w:t>
      </w:r>
      <w:r>
        <w:rPr>
          <w:rFonts w:hint="eastAsia" w:ascii="仿宋_GB2312" w:hAnsi="宋体" w:eastAsia="仿宋_GB2312"/>
          <w:sz w:val="24"/>
        </w:rPr>
        <w:t>；</w:t>
      </w:r>
    </w:p>
    <w:p w14:paraId="55872440">
      <w:pPr>
        <w:spacing w:line="360" w:lineRule="auto"/>
        <w:ind w:firstLine="480" w:firstLineChars="200"/>
        <w:rPr>
          <w:rFonts w:ascii="仿宋_GB2312" w:eastAsia="仿宋_GB2312"/>
          <w:sz w:val="24"/>
        </w:rPr>
      </w:pPr>
      <w:r>
        <w:rPr>
          <w:rFonts w:hint="eastAsia" w:ascii="仿宋_GB2312" w:eastAsia="仿宋_GB2312"/>
          <w:sz w:val="24"/>
        </w:rPr>
        <w:t>奖励金额的比率为</w:t>
      </w:r>
      <w:r>
        <w:rPr>
          <w:rFonts w:hint="eastAsia" w:ascii="仿宋_GB2312" w:eastAsia="仿宋_GB2312"/>
          <w:sz w:val="24"/>
          <w:u w:val="single"/>
        </w:rPr>
        <w:t xml:space="preserve">       </w:t>
      </w:r>
      <w:r>
        <w:rPr>
          <w:rFonts w:hint="eastAsia" w:ascii="仿宋_GB2312" w:eastAsia="仿宋_GB2312"/>
          <w:sz w:val="24"/>
        </w:rPr>
        <w:t>%。</w:t>
      </w:r>
    </w:p>
    <w:p w14:paraId="0ECEB76D">
      <w:pPr>
        <w:spacing w:line="360" w:lineRule="auto"/>
        <w:ind w:firstLine="235" w:firstLineChars="98"/>
        <w:rPr>
          <w:rFonts w:ascii="仿宋_GB2312" w:eastAsia="仿宋_GB2312"/>
          <w:sz w:val="24"/>
        </w:rPr>
      </w:pPr>
      <w:r>
        <w:rPr>
          <w:rFonts w:hint="eastAsia" w:ascii="仿宋_GB2312" w:eastAsia="仿宋_GB2312"/>
          <w:sz w:val="24"/>
        </w:rPr>
        <w:t xml:space="preserve">8.6 </w:t>
      </w:r>
      <w:r>
        <w:rPr>
          <w:rFonts w:hint="eastAsia" w:ascii="仿宋_GB2312" w:hAnsi="宋体" w:eastAsia="仿宋_GB2312"/>
          <w:sz w:val="24"/>
        </w:rPr>
        <w:t>保密</w:t>
      </w:r>
    </w:p>
    <w:p w14:paraId="383C8B8F">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委托人申明的保密事项和期限：</w:t>
      </w:r>
      <w:r>
        <w:rPr>
          <w:rFonts w:hint="eastAsia" w:ascii="仿宋_GB2312" w:hAnsi="宋体" w:eastAsia="仿宋_GB2312"/>
          <w:sz w:val="24"/>
          <w:u w:val="single"/>
        </w:rPr>
        <w:t xml:space="preserve">                         </w:t>
      </w:r>
      <w:r>
        <w:rPr>
          <w:rFonts w:hint="eastAsia" w:ascii="仿宋_GB2312" w:hAnsi="宋体" w:eastAsia="仿宋_GB2312"/>
          <w:sz w:val="24"/>
        </w:rPr>
        <w:t>。</w:t>
      </w:r>
    </w:p>
    <w:p w14:paraId="0F73EDED">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监理人申明的保密事项和期限：</w:t>
      </w:r>
      <w:r>
        <w:rPr>
          <w:rFonts w:hint="eastAsia" w:ascii="仿宋_GB2312" w:hAnsi="宋体" w:eastAsia="仿宋_GB2312"/>
          <w:sz w:val="24"/>
          <w:u w:val="single"/>
        </w:rPr>
        <w:t xml:space="preserve">                         </w:t>
      </w:r>
      <w:r>
        <w:rPr>
          <w:rFonts w:hint="eastAsia" w:ascii="仿宋_GB2312" w:hAnsi="宋体" w:eastAsia="仿宋_GB2312"/>
          <w:sz w:val="24"/>
        </w:rPr>
        <w:t>。</w:t>
      </w:r>
    </w:p>
    <w:p w14:paraId="7AE29AA3">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第三方申明的保密事项和期限：</w:t>
      </w:r>
      <w:r>
        <w:rPr>
          <w:rFonts w:hint="eastAsia" w:ascii="仿宋_GB2312" w:hAnsi="宋体" w:eastAsia="仿宋_GB2312"/>
          <w:sz w:val="24"/>
          <w:u w:val="single"/>
        </w:rPr>
        <w:t xml:space="preserve">                         </w:t>
      </w:r>
      <w:r>
        <w:rPr>
          <w:rFonts w:hint="eastAsia" w:ascii="仿宋_GB2312" w:hAnsi="宋体" w:eastAsia="仿宋_GB2312"/>
          <w:sz w:val="24"/>
        </w:rPr>
        <w:t>。</w:t>
      </w:r>
    </w:p>
    <w:p w14:paraId="77B173F3">
      <w:pPr>
        <w:spacing w:line="360" w:lineRule="auto"/>
        <w:ind w:firstLine="235" w:firstLineChars="98"/>
        <w:rPr>
          <w:rFonts w:ascii="仿宋_GB2312" w:hAnsi="宋体" w:eastAsia="仿宋_GB2312"/>
          <w:bCs/>
          <w:sz w:val="24"/>
        </w:rPr>
      </w:pPr>
      <w:r>
        <w:rPr>
          <w:rFonts w:hint="eastAsia" w:ascii="仿宋_GB2312" w:eastAsia="仿宋_GB2312"/>
          <w:sz w:val="24"/>
        </w:rPr>
        <w:t>8.8</w:t>
      </w:r>
      <w:r>
        <w:rPr>
          <w:rFonts w:hint="eastAsia" w:ascii="仿宋_GB2312" w:hAnsi="宋体" w:eastAsia="仿宋_GB2312"/>
          <w:bCs/>
          <w:sz w:val="24"/>
        </w:rPr>
        <w:t>著作权</w:t>
      </w:r>
    </w:p>
    <w:p w14:paraId="6CCF00A4">
      <w:pPr>
        <w:spacing w:line="360" w:lineRule="auto"/>
        <w:ind w:firstLine="480" w:firstLineChars="200"/>
        <w:rPr>
          <w:rFonts w:ascii="仿宋_GB2312" w:hAnsi="宋体" w:eastAsia="仿宋_GB2312"/>
          <w:sz w:val="24"/>
        </w:rPr>
      </w:pPr>
      <w:r>
        <w:rPr>
          <w:rFonts w:hint="eastAsia" w:ascii="仿宋_GB2312" w:hAnsi="宋体" w:eastAsia="仿宋_GB2312"/>
          <w:sz w:val="24"/>
        </w:rPr>
        <w:t>监理人在本合同履行期间及本合同终止后两年内出版涉及本工程的有关监理与相关服务的资料的限制条件：</w:t>
      </w:r>
    </w:p>
    <w:p w14:paraId="6306EB8C">
      <w:pPr>
        <w:spacing w:before="156" w:beforeLines="50" w:after="156" w:afterLines="50" w:line="360" w:lineRule="auto"/>
        <w:rPr>
          <w:rFonts w:ascii="仿宋_GB2312" w:hAnsi="宋体" w:eastAsia="仿宋_GB2312"/>
          <w:sz w:val="24"/>
          <w:u w:val="single"/>
        </w:rPr>
      </w:pPr>
      <w:r>
        <w:rPr>
          <w:rFonts w:hint="eastAsia" w:ascii="仿宋_GB2312" w:hAnsi="宋体" w:eastAsia="仿宋_GB2312"/>
          <w:sz w:val="24"/>
          <w:u w:val="single"/>
        </w:rPr>
        <w:t xml:space="preserve">                                                     </w:t>
      </w:r>
    </w:p>
    <w:p w14:paraId="73A3512D">
      <w:pPr>
        <w:spacing w:before="156" w:beforeLines="50" w:after="156" w:afterLines="50"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w:t>
      </w:r>
    </w:p>
    <w:p w14:paraId="01A617AB">
      <w:pPr>
        <w:spacing w:before="156" w:beforeLines="50" w:after="156" w:afterLines="50" w:line="360" w:lineRule="auto"/>
        <w:ind w:firstLine="240" w:firstLineChars="100"/>
        <w:rPr>
          <w:rFonts w:ascii="仿宋_GB2312" w:hAnsi="Courier New" w:eastAsia="仿宋_GB2312"/>
          <w:sz w:val="24"/>
        </w:rPr>
      </w:pPr>
      <w:r>
        <w:rPr>
          <w:rFonts w:hint="eastAsia" w:ascii="仿宋_GB2312" w:eastAsia="仿宋_GB2312"/>
          <w:sz w:val="24"/>
        </w:rPr>
        <w:t xml:space="preserve">9. </w:t>
      </w:r>
      <w:r>
        <w:rPr>
          <w:rFonts w:hint="eastAsia" w:ascii="仿宋_GB2312" w:hAnsi="黑体" w:eastAsia="仿宋_GB2312"/>
          <w:sz w:val="24"/>
        </w:rPr>
        <w:t>补充条款</w:t>
      </w:r>
    </w:p>
    <w:p w14:paraId="035C2211">
      <w:pPr>
        <w:spacing w:before="156" w:beforeLines="50" w:after="156" w:afterLines="50" w:line="360" w:lineRule="auto"/>
        <w:rPr>
          <w:rFonts w:ascii="仿宋_GB2312" w:hAnsi="宋体" w:eastAsia="仿宋_GB2312"/>
          <w:sz w:val="24"/>
          <w:u w:val="single"/>
        </w:rPr>
      </w:pPr>
      <w:r>
        <w:rPr>
          <w:rFonts w:hint="eastAsia" w:ascii="仿宋_GB2312" w:hAnsi="宋体" w:eastAsia="仿宋_GB2312"/>
          <w:sz w:val="24"/>
          <w:u w:val="single"/>
        </w:rPr>
        <w:t xml:space="preserve">                                                     </w:t>
      </w:r>
    </w:p>
    <w:p w14:paraId="52321C1C">
      <w:pPr>
        <w:spacing w:before="156" w:beforeLines="50" w:after="156" w:afterLines="50"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w:t>
      </w:r>
    </w:p>
    <w:p w14:paraId="118F7C3A">
      <w:pPr>
        <w:widowControl/>
        <w:jc w:val="left"/>
        <w:rPr>
          <w:rFonts w:ascii="仿宋_GB2312" w:hAnsi="宋体" w:eastAsia="仿宋_GB2312"/>
          <w:sz w:val="24"/>
        </w:rPr>
      </w:pPr>
      <w:r>
        <w:rPr>
          <w:rFonts w:ascii="仿宋_GB2312" w:hAnsi="宋体" w:eastAsia="仿宋_GB2312"/>
          <w:sz w:val="24"/>
        </w:rPr>
        <w:br w:type="page"/>
      </w:r>
    </w:p>
    <w:p w14:paraId="1EB7834E">
      <w:pPr>
        <w:pageBreakBefore/>
        <w:spacing w:line="360" w:lineRule="auto"/>
        <w:jc w:val="center"/>
        <w:rPr>
          <w:rFonts w:ascii="仿宋_GB2312" w:hAnsi="Courier New" w:eastAsia="仿宋_GB2312"/>
          <w:b/>
          <w:bCs/>
          <w:sz w:val="24"/>
        </w:rPr>
      </w:pPr>
      <w:r>
        <w:rPr>
          <w:rFonts w:hint="eastAsia" w:ascii="仿宋_GB2312" w:hAnsi="宋体" w:eastAsia="仿宋_GB2312"/>
          <w:b/>
          <w:bCs/>
          <w:sz w:val="24"/>
        </w:rPr>
        <w:t>附录</w:t>
      </w:r>
      <w:r>
        <w:rPr>
          <w:rFonts w:hint="eastAsia" w:ascii="仿宋_GB2312" w:eastAsia="仿宋_GB2312"/>
          <w:b/>
          <w:bCs/>
          <w:sz w:val="24"/>
        </w:rPr>
        <w:t xml:space="preserve">A  </w:t>
      </w:r>
      <w:r>
        <w:rPr>
          <w:rFonts w:hint="eastAsia" w:ascii="仿宋_GB2312" w:hAnsi="宋体" w:eastAsia="仿宋_GB2312"/>
          <w:b/>
          <w:bCs/>
          <w:sz w:val="24"/>
        </w:rPr>
        <w:t>相关服务的范围和内容</w:t>
      </w:r>
    </w:p>
    <w:p w14:paraId="1EF21402">
      <w:pPr>
        <w:spacing w:before="156" w:beforeLines="50" w:after="156" w:afterLines="50" w:line="360" w:lineRule="auto"/>
        <w:ind w:firstLine="960" w:firstLineChars="400"/>
        <w:rPr>
          <w:rFonts w:ascii="仿宋_GB2312" w:eastAsia="仿宋_GB2312"/>
          <w:sz w:val="24"/>
        </w:rPr>
      </w:pPr>
      <w:r>
        <w:rPr>
          <w:rFonts w:hint="eastAsia" w:ascii="仿宋_GB2312" w:eastAsia="仿宋_GB2312"/>
          <w:sz w:val="24"/>
        </w:rPr>
        <w:t xml:space="preserve">A-1 </w:t>
      </w:r>
      <w:r>
        <w:rPr>
          <w:rFonts w:hint="eastAsia" w:ascii="仿宋_GB2312" w:hAnsi="宋体" w:eastAsia="仿宋_GB2312"/>
          <w:sz w:val="24"/>
        </w:rPr>
        <w:t>勘察阶段：</w:t>
      </w:r>
      <w:r>
        <w:rPr>
          <w:rFonts w:hint="eastAsia" w:ascii="仿宋_GB2312" w:eastAsia="仿宋_GB2312"/>
          <w:sz w:val="24"/>
          <w:u w:val="single"/>
        </w:rPr>
        <w:t xml:space="preserve">                                        </w:t>
      </w:r>
    </w:p>
    <w:p w14:paraId="164EE823">
      <w:pPr>
        <w:spacing w:before="156" w:beforeLines="50" w:after="156" w:afterLines="50" w:line="360" w:lineRule="auto"/>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hAnsi="宋体" w:eastAsia="仿宋_GB2312"/>
          <w:sz w:val="24"/>
        </w:rPr>
        <w:t>。</w:t>
      </w:r>
    </w:p>
    <w:p w14:paraId="62E3814D">
      <w:pPr>
        <w:spacing w:before="156" w:beforeLines="50" w:after="156" w:afterLines="50" w:line="360" w:lineRule="auto"/>
        <w:ind w:firstLine="960" w:firstLineChars="400"/>
        <w:rPr>
          <w:rFonts w:ascii="仿宋_GB2312" w:eastAsia="仿宋_GB2312"/>
          <w:sz w:val="24"/>
        </w:rPr>
      </w:pPr>
      <w:r>
        <w:rPr>
          <w:rFonts w:hint="eastAsia" w:ascii="仿宋_GB2312" w:eastAsia="仿宋_GB2312"/>
          <w:sz w:val="24"/>
        </w:rPr>
        <w:t xml:space="preserve">A-2 </w:t>
      </w:r>
      <w:r>
        <w:rPr>
          <w:rFonts w:hint="eastAsia" w:ascii="仿宋_GB2312" w:hAnsi="宋体" w:eastAsia="仿宋_GB2312"/>
          <w:sz w:val="24"/>
        </w:rPr>
        <w:t>设计阶段：</w:t>
      </w:r>
      <w:r>
        <w:rPr>
          <w:rFonts w:hint="eastAsia" w:ascii="仿宋_GB2312" w:eastAsia="仿宋_GB2312"/>
          <w:sz w:val="24"/>
          <w:u w:val="single"/>
        </w:rPr>
        <w:t xml:space="preserve">                                </w:t>
      </w:r>
    </w:p>
    <w:p w14:paraId="25475DB7">
      <w:pPr>
        <w:spacing w:before="156" w:beforeLines="50" w:after="156" w:afterLines="50" w:line="360" w:lineRule="auto"/>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hAnsi="宋体" w:eastAsia="仿宋_GB2312"/>
          <w:sz w:val="24"/>
        </w:rPr>
        <w:t>。</w:t>
      </w:r>
    </w:p>
    <w:p w14:paraId="20C10F83">
      <w:pPr>
        <w:spacing w:before="156" w:beforeLines="50" w:after="156" w:afterLines="50" w:line="360" w:lineRule="auto"/>
        <w:ind w:firstLine="960" w:firstLineChars="400"/>
        <w:rPr>
          <w:rFonts w:ascii="仿宋_GB2312" w:eastAsia="仿宋_GB2312"/>
          <w:sz w:val="24"/>
        </w:rPr>
      </w:pPr>
      <w:r>
        <w:rPr>
          <w:rFonts w:hint="eastAsia" w:ascii="仿宋_GB2312" w:eastAsia="仿宋_GB2312"/>
          <w:sz w:val="24"/>
        </w:rPr>
        <w:t xml:space="preserve">A-3 </w:t>
      </w:r>
      <w:r>
        <w:rPr>
          <w:rFonts w:hint="eastAsia" w:ascii="仿宋_GB2312" w:hAnsi="宋体" w:eastAsia="仿宋_GB2312"/>
          <w:sz w:val="24"/>
        </w:rPr>
        <w:t>保修阶段：</w:t>
      </w:r>
      <w:r>
        <w:rPr>
          <w:rFonts w:hint="eastAsia" w:ascii="仿宋_GB2312" w:eastAsia="仿宋_GB2312"/>
          <w:sz w:val="24"/>
          <w:u w:val="single"/>
        </w:rPr>
        <w:t xml:space="preserve">                                                      </w:t>
      </w:r>
    </w:p>
    <w:p w14:paraId="1F05879A">
      <w:pPr>
        <w:spacing w:before="156" w:beforeLines="50" w:after="156" w:afterLines="50" w:line="360" w:lineRule="auto"/>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hAnsi="宋体" w:eastAsia="仿宋_GB2312"/>
          <w:sz w:val="24"/>
        </w:rPr>
        <w:t>。</w:t>
      </w:r>
    </w:p>
    <w:p w14:paraId="094E0180">
      <w:pPr>
        <w:spacing w:before="156" w:beforeLines="50" w:after="156" w:afterLines="50" w:line="360" w:lineRule="auto"/>
        <w:ind w:firstLine="960" w:firstLineChars="400"/>
        <w:rPr>
          <w:rFonts w:ascii="仿宋_GB2312" w:eastAsia="仿宋_GB2312"/>
          <w:sz w:val="24"/>
          <w:u w:val="single"/>
        </w:rPr>
      </w:pPr>
      <w:r>
        <w:rPr>
          <w:rFonts w:hint="eastAsia" w:ascii="仿宋_GB2312" w:eastAsia="仿宋_GB2312"/>
          <w:sz w:val="24"/>
        </w:rPr>
        <w:t xml:space="preserve">A-4 </w:t>
      </w:r>
      <w:r>
        <w:rPr>
          <w:rFonts w:hint="eastAsia" w:ascii="仿宋_GB2312" w:hAnsi="宋体" w:eastAsia="仿宋_GB2312"/>
          <w:sz w:val="24"/>
        </w:rPr>
        <w:t>其他（专业技术咨询、外部协调工作等）：</w:t>
      </w:r>
      <w:r>
        <w:rPr>
          <w:rFonts w:hint="eastAsia" w:ascii="仿宋_GB2312" w:eastAsia="仿宋_GB2312"/>
          <w:sz w:val="24"/>
          <w:u w:val="single"/>
        </w:rPr>
        <w:t xml:space="preserve">   </w:t>
      </w:r>
    </w:p>
    <w:p w14:paraId="0290266A">
      <w:pPr>
        <w:spacing w:before="156" w:beforeLines="50" w:after="156" w:afterLines="50" w:line="360" w:lineRule="auto"/>
        <w:ind w:firstLine="480" w:firstLineChars="200"/>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w:t>
      </w:r>
    </w:p>
    <w:p w14:paraId="485EEB7D">
      <w:pPr>
        <w:spacing w:before="156" w:beforeLines="50" w:after="156" w:afterLines="50" w:line="360" w:lineRule="auto"/>
        <w:ind w:firstLine="480" w:firstLineChars="200"/>
        <w:rPr>
          <w:rFonts w:ascii="仿宋_GB2312" w:hAnsi="宋体" w:eastAsia="仿宋_GB2312"/>
          <w:sz w:val="24"/>
        </w:rPr>
      </w:pPr>
      <w:r>
        <w:rPr>
          <w:rFonts w:hint="eastAsia" w:ascii="仿宋_GB2312" w:hAnsi="宋体" w:eastAsia="仿宋_GB2312"/>
          <w:sz w:val="24"/>
        </w:rPr>
        <w:t xml:space="preserve"> </w:t>
      </w:r>
    </w:p>
    <w:p w14:paraId="5EB2E1D8">
      <w:pPr>
        <w:spacing w:line="360" w:lineRule="auto"/>
        <w:rPr>
          <w:rFonts w:ascii="仿宋_GB2312" w:hAnsi="宋体" w:eastAsia="仿宋_GB2312"/>
          <w:bCs/>
          <w:sz w:val="24"/>
        </w:rPr>
      </w:pPr>
      <w:r>
        <w:rPr>
          <w:rFonts w:hint="eastAsia" w:ascii="仿宋_GB2312" w:hAnsi="宋体" w:eastAsia="仿宋_GB2312"/>
          <w:bCs/>
          <w:sz w:val="24"/>
        </w:rPr>
        <w:t xml:space="preserve"> </w:t>
      </w:r>
    </w:p>
    <w:p w14:paraId="5D1EE91B">
      <w:pPr>
        <w:pageBreakBefore/>
        <w:spacing w:line="360" w:lineRule="auto"/>
        <w:jc w:val="center"/>
        <w:rPr>
          <w:rFonts w:ascii="仿宋_GB2312" w:hAnsi="Courier New" w:eastAsia="仿宋_GB2312"/>
          <w:b/>
          <w:bCs/>
          <w:sz w:val="24"/>
        </w:rPr>
      </w:pPr>
      <w:r>
        <w:rPr>
          <w:rFonts w:hint="eastAsia" w:ascii="仿宋_GB2312" w:hAnsi="宋体" w:eastAsia="仿宋_GB2312"/>
          <w:b/>
          <w:bCs/>
          <w:sz w:val="24"/>
        </w:rPr>
        <w:t>附录</w:t>
      </w:r>
      <w:r>
        <w:rPr>
          <w:rFonts w:hint="eastAsia" w:ascii="仿宋_GB2312" w:eastAsia="仿宋_GB2312"/>
          <w:b/>
          <w:bCs/>
          <w:sz w:val="24"/>
        </w:rPr>
        <w:t xml:space="preserve">B  </w:t>
      </w:r>
      <w:r>
        <w:rPr>
          <w:rFonts w:hint="eastAsia" w:ascii="仿宋_GB2312" w:hAnsi="宋体" w:eastAsia="仿宋_GB2312"/>
          <w:b/>
          <w:bCs/>
          <w:sz w:val="24"/>
        </w:rPr>
        <w:t>委托人派遣的人员和提供的房屋、资料、设备</w:t>
      </w:r>
    </w:p>
    <w:p w14:paraId="3A4F0FF1">
      <w:pPr>
        <w:spacing w:before="156" w:beforeLines="50" w:line="360" w:lineRule="auto"/>
        <w:rPr>
          <w:rFonts w:ascii="仿宋_GB2312" w:eastAsia="仿宋_GB2312"/>
          <w:b/>
          <w:sz w:val="24"/>
        </w:rPr>
      </w:pPr>
      <w:r>
        <w:rPr>
          <w:rFonts w:hint="eastAsia" w:ascii="仿宋_GB2312" w:eastAsia="仿宋_GB2312"/>
          <w:b/>
          <w:sz w:val="24"/>
        </w:rPr>
        <w:t xml:space="preserve">B-1  </w:t>
      </w:r>
      <w:r>
        <w:rPr>
          <w:rFonts w:hint="eastAsia" w:ascii="仿宋_GB2312" w:hAnsi="宋体" w:eastAsia="仿宋_GB2312"/>
          <w:b/>
          <w:sz w:val="24"/>
        </w:rPr>
        <w:t>委托人派遣的人员</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E17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22BA61C7">
            <w:pPr>
              <w:spacing w:line="360" w:lineRule="auto"/>
              <w:jc w:val="center"/>
              <w:rPr>
                <w:rFonts w:ascii="仿宋_GB2312" w:eastAsia="仿宋_GB2312"/>
                <w:sz w:val="24"/>
              </w:rPr>
            </w:pPr>
            <w:r>
              <w:rPr>
                <w:rFonts w:hint="eastAsia" w:ascii="仿宋_GB2312" w:hAnsi="宋体" w:eastAsia="仿宋_GB2312"/>
                <w:sz w:val="24"/>
              </w:rPr>
              <w:t>名称</w:t>
            </w:r>
          </w:p>
        </w:tc>
        <w:tc>
          <w:tcPr>
            <w:tcW w:w="1770" w:type="dxa"/>
            <w:tcBorders>
              <w:top w:val="single" w:color="auto" w:sz="4" w:space="0"/>
              <w:left w:val="single" w:color="auto" w:sz="4" w:space="0"/>
              <w:bottom w:val="single" w:color="auto" w:sz="4" w:space="0"/>
              <w:right w:val="single" w:color="auto" w:sz="4" w:space="0"/>
            </w:tcBorders>
          </w:tcPr>
          <w:p w14:paraId="53AE102A">
            <w:pPr>
              <w:spacing w:line="360" w:lineRule="auto"/>
              <w:jc w:val="center"/>
              <w:rPr>
                <w:rFonts w:ascii="仿宋_GB2312" w:eastAsia="仿宋_GB2312"/>
                <w:sz w:val="24"/>
              </w:rPr>
            </w:pPr>
            <w:r>
              <w:rPr>
                <w:rFonts w:hint="eastAsia" w:ascii="仿宋_GB2312" w:hAnsi="宋体" w:eastAsia="仿宋_GB2312"/>
                <w:sz w:val="24"/>
              </w:rPr>
              <w:t>数量</w:t>
            </w:r>
          </w:p>
        </w:tc>
        <w:tc>
          <w:tcPr>
            <w:tcW w:w="2130" w:type="dxa"/>
            <w:tcBorders>
              <w:top w:val="single" w:color="auto" w:sz="4" w:space="0"/>
              <w:left w:val="single" w:color="auto" w:sz="4" w:space="0"/>
              <w:bottom w:val="single" w:color="auto" w:sz="4" w:space="0"/>
              <w:right w:val="single" w:color="auto" w:sz="4" w:space="0"/>
            </w:tcBorders>
          </w:tcPr>
          <w:p w14:paraId="48449ABC">
            <w:pPr>
              <w:spacing w:line="360" w:lineRule="auto"/>
              <w:jc w:val="center"/>
              <w:rPr>
                <w:rFonts w:ascii="仿宋_GB2312" w:eastAsia="仿宋_GB2312"/>
                <w:sz w:val="24"/>
              </w:rPr>
            </w:pPr>
            <w:r>
              <w:rPr>
                <w:rFonts w:hint="eastAsia" w:ascii="仿宋_GB2312" w:hAnsi="宋体" w:eastAsia="仿宋_GB2312"/>
                <w:sz w:val="24"/>
              </w:rPr>
              <w:t>工作要求</w:t>
            </w:r>
          </w:p>
        </w:tc>
        <w:tc>
          <w:tcPr>
            <w:tcW w:w="1860" w:type="dxa"/>
            <w:tcBorders>
              <w:top w:val="single" w:color="auto" w:sz="4" w:space="0"/>
              <w:left w:val="single" w:color="auto" w:sz="4" w:space="0"/>
              <w:bottom w:val="single" w:color="auto" w:sz="4" w:space="0"/>
              <w:right w:val="single" w:color="auto" w:sz="4" w:space="0"/>
            </w:tcBorders>
          </w:tcPr>
          <w:p w14:paraId="17307880">
            <w:pPr>
              <w:spacing w:line="360" w:lineRule="auto"/>
              <w:jc w:val="center"/>
              <w:rPr>
                <w:rFonts w:ascii="仿宋_GB2312" w:eastAsia="仿宋_GB2312"/>
                <w:sz w:val="24"/>
              </w:rPr>
            </w:pPr>
            <w:r>
              <w:rPr>
                <w:rFonts w:hint="eastAsia" w:ascii="仿宋_GB2312" w:hAnsi="宋体" w:eastAsia="仿宋_GB2312"/>
                <w:sz w:val="24"/>
              </w:rPr>
              <w:t>提供时间</w:t>
            </w:r>
          </w:p>
        </w:tc>
      </w:tr>
      <w:tr w14:paraId="5BF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5622D531">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工程技术人员</w:t>
            </w:r>
            <w:r>
              <w:rPr>
                <w:rFonts w:hint="eastAsia" w:ascii="仿宋_GB2312" w:eastAsia="仿宋_GB2312"/>
                <w:sz w:val="24"/>
              </w:rPr>
              <w:t xml:space="preserve"> </w:t>
            </w:r>
          </w:p>
        </w:tc>
        <w:tc>
          <w:tcPr>
            <w:tcW w:w="1770" w:type="dxa"/>
            <w:tcBorders>
              <w:top w:val="single" w:color="auto" w:sz="4" w:space="0"/>
              <w:left w:val="single" w:color="auto" w:sz="4" w:space="0"/>
              <w:bottom w:val="single" w:color="auto" w:sz="4" w:space="0"/>
              <w:right w:val="single" w:color="auto" w:sz="4" w:space="0"/>
            </w:tcBorders>
          </w:tcPr>
          <w:p w14:paraId="1094FD39">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14F311CD">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71338CAA">
            <w:pPr>
              <w:spacing w:line="360" w:lineRule="auto"/>
              <w:rPr>
                <w:rFonts w:ascii="仿宋_GB2312" w:eastAsia="仿宋_GB2312"/>
                <w:sz w:val="24"/>
              </w:rPr>
            </w:pPr>
          </w:p>
        </w:tc>
      </w:tr>
      <w:tr w14:paraId="4819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33356AFD">
            <w:pPr>
              <w:spacing w:line="360" w:lineRule="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辅助工作人员</w:t>
            </w:r>
          </w:p>
        </w:tc>
        <w:tc>
          <w:tcPr>
            <w:tcW w:w="1770" w:type="dxa"/>
            <w:tcBorders>
              <w:top w:val="single" w:color="auto" w:sz="4" w:space="0"/>
              <w:left w:val="single" w:color="auto" w:sz="4" w:space="0"/>
              <w:bottom w:val="single" w:color="auto" w:sz="4" w:space="0"/>
              <w:right w:val="single" w:color="auto" w:sz="4" w:space="0"/>
            </w:tcBorders>
          </w:tcPr>
          <w:p w14:paraId="6643B494">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0A715CF9">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101476E3">
            <w:pPr>
              <w:spacing w:line="360" w:lineRule="auto"/>
              <w:rPr>
                <w:rFonts w:ascii="仿宋_GB2312" w:eastAsia="仿宋_GB2312"/>
                <w:sz w:val="24"/>
              </w:rPr>
            </w:pPr>
          </w:p>
        </w:tc>
      </w:tr>
      <w:tr w14:paraId="4CB2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39215405">
            <w:pPr>
              <w:spacing w:line="360" w:lineRule="auto"/>
              <w:rPr>
                <w:rFonts w:ascii="仿宋_GB2312" w:eastAsia="仿宋_GB2312"/>
                <w:sz w:val="24"/>
              </w:rPr>
            </w:pPr>
            <w:r>
              <w:rPr>
                <w:rFonts w:hint="eastAsia" w:ascii="仿宋_GB2312" w:eastAsia="仿宋_GB2312"/>
                <w:sz w:val="24"/>
              </w:rPr>
              <w:t xml:space="preserve">3. </w:t>
            </w:r>
            <w:r>
              <w:rPr>
                <w:rFonts w:hint="eastAsia" w:ascii="仿宋_GB2312" w:hAnsi="宋体" w:eastAsia="仿宋_GB2312"/>
                <w:sz w:val="24"/>
              </w:rPr>
              <w:t>其他人员</w:t>
            </w:r>
          </w:p>
        </w:tc>
        <w:tc>
          <w:tcPr>
            <w:tcW w:w="1770" w:type="dxa"/>
            <w:tcBorders>
              <w:top w:val="single" w:color="auto" w:sz="4" w:space="0"/>
              <w:left w:val="single" w:color="auto" w:sz="4" w:space="0"/>
              <w:bottom w:val="single" w:color="auto" w:sz="4" w:space="0"/>
              <w:right w:val="single" w:color="auto" w:sz="4" w:space="0"/>
            </w:tcBorders>
          </w:tcPr>
          <w:p w14:paraId="5FE98933">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72A09431">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4C8FA949">
            <w:pPr>
              <w:spacing w:line="360" w:lineRule="auto"/>
              <w:rPr>
                <w:rFonts w:ascii="仿宋_GB2312" w:eastAsia="仿宋_GB2312"/>
                <w:sz w:val="24"/>
              </w:rPr>
            </w:pPr>
          </w:p>
        </w:tc>
      </w:tr>
      <w:tr w14:paraId="4677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1D2FDFD8">
            <w:pPr>
              <w:spacing w:line="360" w:lineRule="auto"/>
              <w:rPr>
                <w:rFonts w:ascii="仿宋_GB2312" w:hAnsi="宋体" w:eastAsia="仿宋_GB2312"/>
                <w:sz w:val="24"/>
              </w:rPr>
            </w:pPr>
          </w:p>
        </w:tc>
        <w:tc>
          <w:tcPr>
            <w:tcW w:w="1770" w:type="dxa"/>
            <w:tcBorders>
              <w:top w:val="single" w:color="auto" w:sz="4" w:space="0"/>
              <w:left w:val="single" w:color="auto" w:sz="4" w:space="0"/>
              <w:bottom w:val="single" w:color="auto" w:sz="4" w:space="0"/>
              <w:right w:val="single" w:color="auto" w:sz="4" w:space="0"/>
            </w:tcBorders>
          </w:tcPr>
          <w:p w14:paraId="07409905">
            <w:pPr>
              <w:spacing w:line="360" w:lineRule="auto"/>
              <w:rPr>
                <w:rFonts w:ascii="仿宋_GB2312" w:hAnsi="宋体"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5AF4DE27">
            <w:pPr>
              <w:spacing w:line="360" w:lineRule="auto"/>
              <w:rPr>
                <w:rFonts w:ascii="仿宋_GB2312" w:hAnsi="宋体"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47E575A6">
            <w:pPr>
              <w:spacing w:line="360" w:lineRule="auto"/>
              <w:rPr>
                <w:rFonts w:ascii="仿宋_GB2312" w:hAnsi="宋体" w:eastAsia="仿宋_GB2312"/>
                <w:sz w:val="24"/>
              </w:rPr>
            </w:pPr>
          </w:p>
        </w:tc>
      </w:tr>
    </w:tbl>
    <w:p w14:paraId="79D91B1D">
      <w:pPr>
        <w:spacing w:before="156" w:beforeLines="50" w:after="156" w:afterLines="50"/>
        <w:rPr>
          <w:rFonts w:ascii="仿宋_GB2312" w:eastAsia="仿宋_GB2312"/>
          <w:b/>
          <w:sz w:val="24"/>
        </w:rPr>
      </w:pPr>
      <w:r>
        <w:rPr>
          <w:rFonts w:hint="eastAsia" w:ascii="仿宋_GB2312" w:eastAsia="仿宋_GB2312"/>
          <w:b/>
          <w:sz w:val="24"/>
        </w:rPr>
        <w:t>B-2  委托人提供的房屋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5063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13D03693">
            <w:pPr>
              <w:spacing w:line="360" w:lineRule="auto"/>
              <w:jc w:val="center"/>
              <w:rPr>
                <w:rFonts w:ascii="仿宋_GB2312" w:eastAsia="仿宋_GB2312"/>
                <w:sz w:val="24"/>
              </w:rPr>
            </w:pPr>
            <w:r>
              <w:rPr>
                <w:rFonts w:hint="eastAsia" w:ascii="仿宋_GB2312" w:hAnsi="宋体" w:eastAsia="仿宋_GB2312"/>
                <w:sz w:val="24"/>
              </w:rPr>
              <w:t>名称</w:t>
            </w:r>
          </w:p>
        </w:tc>
        <w:tc>
          <w:tcPr>
            <w:tcW w:w="2130" w:type="dxa"/>
            <w:tcBorders>
              <w:top w:val="single" w:color="auto" w:sz="4" w:space="0"/>
              <w:left w:val="single" w:color="auto" w:sz="4" w:space="0"/>
              <w:bottom w:val="single" w:color="auto" w:sz="4" w:space="0"/>
              <w:right w:val="single" w:color="auto" w:sz="4" w:space="0"/>
            </w:tcBorders>
          </w:tcPr>
          <w:p w14:paraId="24964E1A">
            <w:pPr>
              <w:spacing w:line="360" w:lineRule="auto"/>
              <w:jc w:val="center"/>
              <w:rPr>
                <w:rFonts w:ascii="仿宋_GB2312" w:eastAsia="仿宋_GB2312"/>
                <w:sz w:val="24"/>
              </w:rPr>
            </w:pPr>
            <w:r>
              <w:rPr>
                <w:rFonts w:hint="eastAsia" w:ascii="仿宋_GB2312" w:hAnsi="宋体" w:eastAsia="仿宋_GB2312"/>
                <w:sz w:val="24"/>
              </w:rPr>
              <w:t>数量</w:t>
            </w:r>
          </w:p>
        </w:tc>
        <w:tc>
          <w:tcPr>
            <w:tcW w:w="2130" w:type="dxa"/>
            <w:tcBorders>
              <w:top w:val="single" w:color="auto" w:sz="4" w:space="0"/>
              <w:left w:val="single" w:color="auto" w:sz="4" w:space="0"/>
              <w:bottom w:val="single" w:color="auto" w:sz="4" w:space="0"/>
              <w:right w:val="single" w:color="auto" w:sz="4" w:space="0"/>
            </w:tcBorders>
          </w:tcPr>
          <w:p w14:paraId="579174E5">
            <w:pPr>
              <w:spacing w:line="360" w:lineRule="auto"/>
              <w:jc w:val="center"/>
              <w:rPr>
                <w:rFonts w:ascii="仿宋_GB2312" w:eastAsia="仿宋_GB2312"/>
                <w:sz w:val="24"/>
              </w:rPr>
            </w:pPr>
            <w:r>
              <w:rPr>
                <w:rFonts w:hint="eastAsia" w:ascii="仿宋_GB2312" w:hAnsi="宋体" w:eastAsia="仿宋_GB2312"/>
                <w:sz w:val="24"/>
              </w:rPr>
              <w:t>面积</w:t>
            </w:r>
          </w:p>
        </w:tc>
        <w:tc>
          <w:tcPr>
            <w:tcW w:w="1860" w:type="dxa"/>
            <w:tcBorders>
              <w:top w:val="single" w:color="auto" w:sz="4" w:space="0"/>
              <w:left w:val="single" w:color="auto" w:sz="4" w:space="0"/>
              <w:bottom w:val="single" w:color="auto" w:sz="4" w:space="0"/>
              <w:right w:val="single" w:color="auto" w:sz="4" w:space="0"/>
            </w:tcBorders>
          </w:tcPr>
          <w:p w14:paraId="1A8CC2D6">
            <w:pPr>
              <w:spacing w:line="360" w:lineRule="auto"/>
              <w:jc w:val="center"/>
              <w:rPr>
                <w:rFonts w:ascii="仿宋_GB2312" w:eastAsia="仿宋_GB2312"/>
                <w:sz w:val="24"/>
              </w:rPr>
            </w:pPr>
            <w:r>
              <w:rPr>
                <w:rFonts w:hint="eastAsia" w:ascii="仿宋_GB2312" w:hAnsi="宋体" w:eastAsia="仿宋_GB2312"/>
                <w:sz w:val="24"/>
              </w:rPr>
              <w:t>提供时间</w:t>
            </w:r>
          </w:p>
        </w:tc>
      </w:tr>
      <w:tr w14:paraId="6815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04EA6BA2">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办公用房</w:t>
            </w:r>
          </w:p>
        </w:tc>
        <w:tc>
          <w:tcPr>
            <w:tcW w:w="2130" w:type="dxa"/>
            <w:tcBorders>
              <w:top w:val="single" w:color="auto" w:sz="4" w:space="0"/>
              <w:left w:val="single" w:color="auto" w:sz="4" w:space="0"/>
              <w:bottom w:val="single" w:color="auto" w:sz="4" w:space="0"/>
              <w:right w:val="single" w:color="auto" w:sz="4" w:space="0"/>
            </w:tcBorders>
          </w:tcPr>
          <w:p w14:paraId="2C0F95CA">
            <w:pPr>
              <w:spacing w:line="360" w:lineRule="auto"/>
              <w:ind w:firstLine="240" w:firstLineChars="100"/>
              <w:rPr>
                <w:rFonts w:ascii="仿宋_GB2312" w:eastAsia="仿宋_GB2312"/>
                <w:sz w:val="24"/>
              </w:rPr>
            </w:pPr>
            <w:r>
              <w:rPr>
                <w:rFonts w:hint="eastAsia" w:ascii="仿宋_GB2312" w:eastAsia="仿宋_GB2312"/>
                <w:sz w:val="24"/>
              </w:rPr>
              <w:t xml:space="preserve"> </w:t>
            </w:r>
          </w:p>
        </w:tc>
        <w:tc>
          <w:tcPr>
            <w:tcW w:w="2130" w:type="dxa"/>
            <w:tcBorders>
              <w:top w:val="single" w:color="auto" w:sz="4" w:space="0"/>
              <w:left w:val="single" w:color="auto" w:sz="4" w:space="0"/>
              <w:bottom w:val="single" w:color="auto" w:sz="4" w:space="0"/>
              <w:right w:val="single" w:color="auto" w:sz="4" w:space="0"/>
            </w:tcBorders>
          </w:tcPr>
          <w:p w14:paraId="1B9FDC6C">
            <w:pPr>
              <w:spacing w:line="360" w:lineRule="auto"/>
              <w:ind w:firstLine="240" w:firstLineChars="100"/>
              <w:rPr>
                <w:rFonts w:ascii="仿宋_GB2312" w:eastAsia="仿宋_GB2312"/>
                <w:sz w:val="24"/>
              </w:rPr>
            </w:pPr>
            <w:r>
              <w:rPr>
                <w:rFonts w:hint="eastAsia" w:ascii="仿宋_GB2312" w:eastAsia="仿宋_GB2312"/>
                <w:sz w:val="24"/>
              </w:rPr>
              <w:t xml:space="preserve"> </w:t>
            </w:r>
          </w:p>
        </w:tc>
        <w:tc>
          <w:tcPr>
            <w:tcW w:w="1860" w:type="dxa"/>
            <w:tcBorders>
              <w:top w:val="single" w:color="auto" w:sz="4" w:space="0"/>
              <w:left w:val="single" w:color="auto" w:sz="4" w:space="0"/>
              <w:bottom w:val="single" w:color="auto" w:sz="4" w:space="0"/>
              <w:right w:val="single" w:color="auto" w:sz="4" w:space="0"/>
            </w:tcBorders>
          </w:tcPr>
          <w:p w14:paraId="6A2B19E2">
            <w:pPr>
              <w:spacing w:line="360" w:lineRule="auto"/>
              <w:rPr>
                <w:rFonts w:ascii="仿宋_GB2312" w:eastAsia="仿宋_GB2312"/>
                <w:sz w:val="24"/>
              </w:rPr>
            </w:pPr>
          </w:p>
        </w:tc>
      </w:tr>
      <w:tr w14:paraId="168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7BAA0646">
            <w:pPr>
              <w:spacing w:line="360" w:lineRule="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生活用房</w:t>
            </w:r>
          </w:p>
        </w:tc>
        <w:tc>
          <w:tcPr>
            <w:tcW w:w="2130" w:type="dxa"/>
            <w:tcBorders>
              <w:top w:val="single" w:color="auto" w:sz="4" w:space="0"/>
              <w:left w:val="single" w:color="auto" w:sz="4" w:space="0"/>
              <w:bottom w:val="single" w:color="auto" w:sz="4" w:space="0"/>
              <w:right w:val="single" w:color="auto" w:sz="4" w:space="0"/>
            </w:tcBorders>
          </w:tcPr>
          <w:p w14:paraId="25D362C5">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6C475DAC">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365694F3">
            <w:pPr>
              <w:spacing w:line="360" w:lineRule="auto"/>
              <w:rPr>
                <w:rFonts w:ascii="仿宋_GB2312" w:eastAsia="仿宋_GB2312"/>
                <w:sz w:val="24"/>
              </w:rPr>
            </w:pPr>
          </w:p>
        </w:tc>
      </w:tr>
      <w:tr w14:paraId="21C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03DEA1DE">
            <w:pPr>
              <w:spacing w:line="360" w:lineRule="auto"/>
              <w:rPr>
                <w:rFonts w:ascii="仿宋_GB2312" w:eastAsia="仿宋_GB2312"/>
                <w:dstrike/>
                <w:sz w:val="24"/>
              </w:rPr>
            </w:pPr>
            <w:r>
              <w:rPr>
                <w:rFonts w:hint="eastAsia" w:ascii="仿宋_GB2312" w:eastAsia="仿宋_GB2312"/>
                <w:sz w:val="24"/>
              </w:rPr>
              <w:t xml:space="preserve">3. </w:t>
            </w:r>
            <w:r>
              <w:rPr>
                <w:rFonts w:hint="eastAsia" w:ascii="仿宋_GB2312" w:hAnsi="宋体" w:eastAsia="仿宋_GB2312"/>
                <w:sz w:val="24"/>
              </w:rPr>
              <w:t>试验用房</w:t>
            </w:r>
          </w:p>
        </w:tc>
        <w:tc>
          <w:tcPr>
            <w:tcW w:w="2130" w:type="dxa"/>
            <w:tcBorders>
              <w:top w:val="single" w:color="auto" w:sz="4" w:space="0"/>
              <w:left w:val="single" w:color="auto" w:sz="4" w:space="0"/>
              <w:bottom w:val="single" w:color="auto" w:sz="4" w:space="0"/>
              <w:right w:val="single" w:color="auto" w:sz="4" w:space="0"/>
            </w:tcBorders>
          </w:tcPr>
          <w:p w14:paraId="4E0BEFC1">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49BD61C1">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6620B13F">
            <w:pPr>
              <w:spacing w:line="360" w:lineRule="auto"/>
              <w:rPr>
                <w:rFonts w:ascii="仿宋_GB2312" w:eastAsia="仿宋_GB2312"/>
                <w:sz w:val="24"/>
              </w:rPr>
            </w:pPr>
          </w:p>
        </w:tc>
      </w:tr>
      <w:tr w14:paraId="4EBB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6E0A5CB6">
            <w:pPr>
              <w:spacing w:line="360" w:lineRule="auto"/>
              <w:rPr>
                <w:rFonts w:ascii="仿宋_GB2312" w:eastAsia="仿宋_GB2312"/>
                <w:sz w:val="24"/>
              </w:rPr>
            </w:pPr>
            <w:r>
              <w:rPr>
                <w:rFonts w:hint="eastAsia" w:ascii="仿宋_GB2312" w:eastAsia="仿宋_GB2312"/>
                <w:sz w:val="24"/>
              </w:rPr>
              <w:t xml:space="preserve">4. </w:t>
            </w:r>
            <w:r>
              <w:rPr>
                <w:rFonts w:hint="eastAsia" w:ascii="仿宋_GB2312" w:hAnsi="宋体" w:eastAsia="仿宋_GB2312"/>
                <w:sz w:val="24"/>
              </w:rPr>
              <w:t>样品用房</w:t>
            </w:r>
          </w:p>
        </w:tc>
        <w:tc>
          <w:tcPr>
            <w:tcW w:w="2130" w:type="dxa"/>
            <w:tcBorders>
              <w:top w:val="single" w:color="auto" w:sz="4" w:space="0"/>
              <w:left w:val="single" w:color="auto" w:sz="4" w:space="0"/>
              <w:bottom w:val="single" w:color="auto" w:sz="4" w:space="0"/>
              <w:right w:val="single" w:color="auto" w:sz="4" w:space="0"/>
            </w:tcBorders>
          </w:tcPr>
          <w:p w14:paraId="0149CFF5">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6C3D3C8B">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589001AF">
            <w:pPr>
              <w:spacing w:line="360" w:lineRule="auto"/>
              <w:rPr>
                <w:rFonts w:ascii="仿宋_GB2312" w:eastAsia="仿宋_GB2312"/>
                <w:sz w:val="24"/>
              </w:rPr>
            </w:pPr>
          </w:p>
        </w:tc>
      </w:tr>
      <w:tr w14:paraId="528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6E0CC8F8">
            <w:pPr>
              <w:spacing w:line="360" w:lineRule="auto"/>
              <w:rPr>
                <w:rFonts w:ascii="仿宋_GB2312" w:hAnsi="宋体"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7048144D">
            <w:pPr>
              <w:spacing w:line="360" w:lineRule="auto"/>
              <w:rPr>
                <w:rFonts w:ascii="仿宋_GB2312" w:hAnsi="宋体"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17E2C868">
            <w:pPr>
              <w:spacing w:line="360" w:lineRule="auto"/>
              <w:rPr>
                <w:rFonts w:ascii="仿宋_GB2312" w:hAnsi="宋体"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35CF35B6">
            <w:pPr>
              <w:spacing w:line="360" w:lineRule="auto"/>
              <w:rPr>
                <w:rFonts w:ascii="仿宋_GB2312" w:hAnsi="宋体" w:eastAsia="仿宋_GB2312"/>
                <w:sz w:val="24"/>
              </w:rPr>
            </w:pPr>
          </w:p>
        </w:tc>
      </w:tr>
      <w:tr w14:paraId="61EE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14:paraId="762E790F">
            <w:pPr>
              <w:spacing w:line="360" w:lineRule="auto"/>
              <w:rPr>
                <w:rFonts w:ascii="仿宋_GB2312" w:hAnsi="宋体" w:eastAsia="仿宋_GB2312"/>
                <w:sz w:val="24"/>
              </w:rPr>
            </w:pPr>
            <w:r>
              <w:rPr>
                <w:rFonts w:hint="eastAsia" w:ascii="仿宋_GB2312" w:hAnsi="宋体" w:eastAsia="仿宋_GB2312"/>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14:paraId="795B6EBA">
            <w:pPr>
              <w:spacing w:line="360" w:lineRule="auto"/>
              <w:rPr>
                <w:rFonts w:ascii="仿宋_GB2312" w:hAnsi="宋体" w:eastAsia="仿宋_GB2312"/>
                <w:sz w:val="24"/>
              </w:rPr>
            </w:pPr>
          </w:p>
        </w:tc>
      </w:tr>
    </w:tbl>
    <w:p w14:paraId="27CDDBD6"/>
    <w:p w14:paraId="1B808C96">
      <w:pPr>
        <w:rPr>
          <w:rFonts w:ascii="仿宋_GB2312" w:eastAsia="仿宋_GB2312"/>
          <w:b/>
          <w:sz w:val="24"/>
        </w:rPr>
      </w:pPr>
      <w:r>
        <w:rPr>
          <w:rFonts w:hint="eastAsia"/>
        </w:rPr>
        <w:t xml:space="preserve"> </w:t>
      </w:r>
      <w:r>
        <w:rPr>
          <w:rFonts w:hint="eastAsia" w:ascii="仿宋_GB2312" w:eastAsia="仿宋_GB2312"/>
          <w:b/>
          <w:sz w:val="24"/>
        </w:rPr>
        <w:t xml:space="preserve">B-3  </w:t>
      </w:r>
      <w:r>
        <w:rPr>
          <w:rFonts w:hint="eastAsia" w:ascii="仿宋_GB2312" w:hAnsi="宋体" w:eastAsia="仿宋_GB2312"/>
          <w:b/>
          <w:sz w:val="24"/>
        </w:rPr>
        <w:t>委托人提供的资料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5A65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3AA096D3">
            <w:pPr>
              <w:spacing w:line="360" w:lineRule="auto"/>
              <w:jc w:val="center"/>
              <w:rPr>
                <w:rFonts w:ascii="仿宋_GB2312" w:eastAsia="仿宋_GB2312"/>
                <w:sz w:val="24"/>
              </w:rPr>
            </w:pPr>
            <w:r>
              <w:rPr>
                <w:rFonts w:hint="eastAsia" w:ascii="仿宋_GB2312" w:hAnsi="宋体" w:eastAsia="仿宋_GB2312"/>
                <w:sz w:val="24"/>
              </w:rPr>
              <w:t>名称</w:t>
            </w:r>
          </w:p>
        </w:tc>
        <w:tc>
          <w:tcPr>
            <w:tcW w:w="1491" w:type="dxa"/>
            <w:tcBorders>
              <w:top w:val="single" w:color="auto" w:sz="4" w:space="0"/>
              <w:left w:val="single" w:color="auto" w:sz="4" w:space="0"/>
              <w:bottom w:val="single" w:color="auto" w:sz="4" w:space="0"/>
              <w:right w:val="single" w:color="auto" w:sz="4" w:space="0"/>
            </w:tcBorders>
          </w:tcPr>
          <w:p w14:paraId="02A7EA56">
            <w:pPr>
              <w:spacing w:line="360" w:lineRule="auto"/>
              <w:jc w:val="center"/>
              <w:rPr>
                <w:rFonts w:ascii="仿宋_GB2312" w:eastAsia="仿宋_GB2312"/>
                <w:sz w:val="24"/>
              </w:rPr>
            </w:pPr>
            <w:r>
              <w:rPr>
                <w:rFonts w:hint="eastAsia" w:ascii="仿宋_GB2312" w:hAnsi="宋体" w:eastAsia="仿宋_GB2312"/>
                <w:sz w:val="24"/>
              </w:rPr>
              <w:t>份数</w:t>
            </w:r>
          </w:p>
        </w:tc>
        <w:tc>
          <w:tcPr>
            <w:tcW w:w="2147" w:type="dxa"/>
            <w:tcBorders>
              <w:top w:val="single" w:color="auto" w:sz="4" w:space="0"/>
              <w:left w:val="single" w:color="auto" w:sz="4" w:space="0"/>
              <w:bottom w:val="single" w:color="auto" w:sz="4" w:space="0"/>
              <w:right w:val="single" w:color="auto" w:sz="4" w:space="0"/>
            </w:tcBorders>
          </w:tcPr>
          <w:p w14:paraId="5E970BB8">
            <w:pPr>
              <w:spacing w:line="360" w:lineRule="auto"/>
              <w:jc w:val="center"/>
              <w:rPr>
                <w:rFonts w:ascii="仿宋_GB2312" w:eastAsia="仿宋_GB2312"/>
                <w:sz w:val="24"/>
              </w:rPr>
            </w:pPr>
            <w:r>
              <w:rPr>
                <w:rFonts w:hint="eastAsia" w:ascii="仿宋_GB2312" w:hAnsi="宋体" w:eastAsia="仿宋_GB2312"/>
                <w:sz w:val="24"/>
              </w:rPr>
              <w:t>提供时间</w:t>
            </w:r>
          </w:p>
        </w:tc>
        <w:tc>
          <w:tcPr>
            <w:tcW w:w="2082" w:type="dxa"/>
            <w:tcBorders>
              <w:top w:val="single" w:color="auto" w:sz="4" w:space="0"/>
              <w:left w:val="single" w:color="auto" w:sz="4" w:space="0"/>
              <w:bottom w:val="single" w:color="auto" w:sz="4" w:space="0"/>
              <w:right w:val="single" w:color="auto" w:sz="4" w:space="0"/>
            </w:tcBorders>
          </w:tcPr>
          <w:p w14:paraId="5451CA4C">
            <w:pPr>
              <w:spacing w:line="360" w:lineRule="auto"/>
              <w:jc w:val="center"/>
              <w:rPr>
                <w:rFonts w:ascii="仿宋_GB2312" w:eastAsia="仿宋_GB2312"/>
                <w:sz w:val="24"/>
              </w:rPr>
            </w:pPr>
            <w:r>
              <w:rPr>
                <w:rFonts w:hint="eastAsia" w:ascii="仿宋_GB2312" w:hAnsi="宋体" w:eastAsia="仿宋_GB2312"/>
                <w:sz w:val="24"/>
              </w:rPr>
              <w:t>备注</w:t>
            </w:r>
          </w:p>
        </w:tc>
      </w:tr>
      <w:tr w14:paraId="387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12CD753D">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工程立项文件</w:t>
            </w:r>
          </w:p>
        </w:tc>
        <w:tc>
          <w:tcPr>
            <w:tcW w:w="1491" w:type="dxa"/>
            <w:tcBorders>
              <w:top w:val="single" w:color="auto" w:sz="4" w:space="0"/>
              <w:left w:val="single" w:color="auto" w:sz="4" w:space="0"/>
              <w:bottom w:val="single" w:color="auto" w:sz="4" w:space="0"/>
              <w:right w:val="single" w:color="auto" w:sz="4" w:space="0"/>
            </w:tcBorders>
          </w:tcPr>
          <w:p w14:paraId="49276928">
            <w:pPr>
              <w:spacing w:line="360" w:lineRule="auto"/>
              <w:rPr>
                <w:rFonts w:ascii="仿宋_GB2312" w:eastAsia="仿宋_GB2312"/>
                <w:sz w:val="24"/>
              </w:rPr>
            </w:pPr>
          </w:p>
        </w:tc>
        <w:tc>
          <w:tcPr>
            <w:tcW w:w="2147" w:type="dxa"/>
            <w:tcBorders>
              <w:top w:val="single" w:color="auto" w:sz="4" w:space="0"/>
              <w:left w:val="single" w:color="auto" w:sz="4" w:space="0"/>
              <w:bottom w:val="single" w:color="auto" w:sz="4" w:space="0"/>
              <w:right w:val="single" w:color="auto" w:sz="4" w:space="0"/>
            </w:tcBorders>
          </w:tcPr>
          <w:p w14:paraId="513B681C">
            <w:pPr>
              <w:spacing w:line="360" w:lineRule="auto"/>
              <w:rPr>
                <w:rFonts w:ascii="仿宋_GB2312" w:eastAsia="仿宋_GB2312"/>
                <w:sz w:val="24"/>
              </w:rPr>
            </w:pPr>
          </w:p>
        </w:tc>
        <w:tc>
          <w:tcPr>
            <w:tcW w:w="2082" w:type="dxa"/>
            <w:tcBorders>
              <w:top w:val="single" w:color="auto" w:sz="4" w:space="0"/>
              <w:left w:val="single" w:color="auto" w:sz="4" w:space="0"/>
              <w:bottom w:val="single" w:color="auto" w:sz="4" w:space="0"/>
              <w:right w:val="single" w:color="auto" w:sz="4" w:space="0"/>
            </w:tcBorders>
          </w:tcPr>
          <w:p w14:paraId="5949768D">
            <w:pPr>
              <w:spacing w:line="360" w:lineRule="auto"/>
              <w:rPr>
                <w:rFonts w:ascii="仿宋_GB2312" w:eastAsia="仿宋_GB2312"/>
                <w:sz w:val="24"/>
              </w:rPr>
            </w:pPr>
          </w:p>
        </w:tc>
      </w:tr>
      <w:tr w14:paraId="7F77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7D24FDE">
            <w:pPr>
              <w:spacing w:line="360"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 工程勘察文件</w:t>
            </w:r>
          </w:p>
        </w:tc>
        <w:tc>
          <w:tcPr>
            <w:tcW w:w="1491" w:type="dxa"/>
            <w:tcBorders>
              <w:top w:val="single" w:color="auto" w:sz="4" w:space="0"/>
              <w:left w:val="single" w:color="auto" w:sz="4" w:space="0"/>
              <w:bottom w:val="single" w:color="auto" w:sz="4" w:space="0"/>
              <w:right w:val="single" w:color="auto" w:sz="4" w:space="0"/>
            </w:tcBorders>
          </w:tcPr>
          <w:p w14:paraId="6476C325">
            <w:pPr>
              <w:spacing w:line="360" w:lineRule="auto"/>
              <w:rPr>
                <w:rFonts w:ascii="仿宋_GB2312" w:eastAsia="仿宋_GB2312"/>
                <w:sz w:val="24"/>
              </w:rPr>
            </w:pPr>
          </w:p>
        </w:tc>
        <w:tc>
          <w:tcPr>
            <w:tcW w:w="2147" w:type="dxa"/>
            <w:tcBorders>
              <w:top w:val="single" w:color="auto" w:sz="4" w:space="0"/>
              <w:left w:val="single" w:color="auto" w:sz="4" w:space="0"/>
              <w:bottom w:val="single" w:color="auto" w:sz="4" w:space="0"/>
              <w:right w:val="single" w:color="auto" w:sz="4" w:space="0"/>
            </w:tcBorders>
          </w:tcPr>
          <w:p w14:paraId="5E3D6F10">
            <w:pPr>
              <w:spacing w:line="360" w:lineRule="auto"/>
              <w:rPr>
                <w:rFonts w:ascii="仿宋_GB2312" w:eastAsia="仿宋_GB2312"/>
                <w:sz w:val="24"/>
              </w:rPr>
            </w:pPr>
          </w:p>
        </w:tc>
        <w:tc>
          <w:tcPr>
            <w:tcW w:w="2082" w:type="dxa"/>
            <w:tcBorders>
              <w:top w:val="single" w:color="auto" w:sz="4" w:space="0"/>
              <w:left w:val="single" w:color="auto" w:sz="4" w:space="0"/>
              <w:bottom w:val="single" w:color="auto" w:sz="4" w:space="0"/>
              <w:right w:val="single" w:color="auto" w:sz="4" w:space="0"/>
            </w:tcBorders>
          </w:tcPr>
          <w:p w14:paraId="6E05F695">
            <w:pPr>
              <w:spacing w:line="360" w:lineRule="auto"/>
              <w:rPr>
                <w:rFonts w:ascii="仿宋_GB2312" w:eastAsia="仿宋_GB2312"/>
                <w:sz w:val="24"/>
              </w:rPr>
            </w:pPr>
          </w:p>
        </w:tc>
      </w:tr>
      <w:tr w14:paraId="281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6D8983EC">
            <w:pPr>
              <w:spacing w:line="360"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 工程设计及施工图纸</w:t>
            </w:r>
          </w:p>
        </w:tc>
        <w:tc>
          <w:tcPr>
            <w:tcW w:w="1491" w:type="dxa"/>
            <w:tcBorders>
              <w:top w:val="single" w:color="auto" w:sz="4" w:space="0"/>
              <w:left w:val="single" w:color="auto" w:sz="4" w:space="0"/>
              <w:bottom w:val="single" w:color="auto" w:sz="4" w:space="0"/>
              <w:right w:val="single" w:color="auto" w:sz="4" w:space="0"/>
            </w:tcBorders>
          </w:tcPr>
          <w:p w14:paraId="0D1183DA">
            <w:pPr>
              <w:spacing w:line="360" w:lineRule="auto"/>
              <w:rPr>
                <w:rFonts w:ascii="仿宋_GB2312" w:eastAsia="仿宋_GB2312"/>
                <w:sz w:val="24"/>
              </w:rPr>
            </w:pPr>
          </w:p>
        </w:tc>
        <w:tc>
          <w:tcPr>
            <w:tcW w:w="2147" w:type="dxa"/>
            <w:tcBorders>
              <w:top w:val="single" w:color="auto" w:sz="4" w:space="0"/>
              <w:left w:val="single" w:color="auto" w:sz="4" w:space="0"/>
              <w:bottom w:val="single" w:color="auto" w:sz="4" w:space="0"/>
              <w:right w:val="single" w:color="auto" w:sz="4" w:space="0"/>
            </w:tcBorders>
          </w:tcPr>
          <w:p w14:paraId="01E09FAF">
            <w:pPr>
              <w:spacing w:line="360" w:lineRule="auto"/>
              <w:rPr>
                <w:rFonts w:ascii="仿宋_GB2312" w:eastAsia="仿宋_GB2312"/>
                <w:sz w:val="24"/>
              </w:rPr>
            </w:pPr>
          </w:p>
        </w:tc>
        <w:tc>
          <w:tcPr>
            <w:tcW w:w="2082" w:type="dxa"/>
            <w:tcBorders>
              <w:top w:val="single" w:color="auto" w:sz="4" w:space="0"/>
              <w:left w:val="single" w:color="auto" w:sz="4" w:space="0"/>
              <w:bottom w:val="single" w:color="auto" w:sz="4" w:space="0"/>
              <w:right w:val="single" w:color="auto" w:sz="4" w:space="0"/>
            </w:tcBorders>
          </w:tcPr>
          <w:p w14:paraId="4C57EE52">
            <w:pPr>
              <w:spacing w:line="360" w:lineRule="auto"/>
              <w:rPr>
                <w:rFonts w:ascii="仿宋_GB2312" w:eastAsia="仿宋_GB2312"/>
                <w:sz w:val="24"/>
              </w:rPr>
            </w:pPr>
          </w:p>
        </w:tc>
      </w:tr>
      <w:tr w14:paraId="590E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87050E4">
            <w:pPr>
              <w:spacing w:line="360" w:lineRule="auto"/>
              <w:rPr>
                <w:rFonts w:ascii="仿宋_GB2312" w:eastAsia="仿宋_GB2312"/>
                <w:sz w:val="24"/>
              </w:rPr>
            </w:pPr>
            <w:r>
              <w:rPr>
                <w:rFonts w:hint="eastAsia" w:ascii="仿宋_GB2312" w:eastAsia="仿宋_GB2312"/>
                <w:sz w:val="24"/>
              </w:rPr>
              <w:t xml:space="preserve">4. </w:t>
            </w:r>
            <w:r>
              <w:rPr>
                <w:rFonts w:hint="eastAsia" w:ascii="仿宋_GB2312" w:hAnsi="宋体" w:eastAsia="仿宋_GB2312"/>
                <w:sz w:val="24"/>
              </w:rPr>
              <w:t>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14:paraId="79EFC1D5">
            <w:pPr>
              <w:spacing w:line="360" w:lineRule="auto"/>
              <w:rPr>
                <w:rFonts w:ascii="仿宋_GB2312" w:eastAsia="仿宋_GB2312"/>
                <w:sz w:val="24"/>
              </w:rPr>
            </w:pPr>
          </w:p>
        </w:tc>
        <w:tc>
          <w:tcPr>
            <w:tcW w:w="2147" w:type="dxa"/>
            <w:tcBorders>
              <w:top w:val="single" w:color="auto" w:sz="4" w:space="0"/>
              <w:left w:val="single" w:color="auto" w:sz="4" w:space="0"/>
              <w:bottom w:val="single" w:color="auto" w:sz="4" w:space="0"/>
              <w:right w:val="single" w:color="auto" w:sz="4" w:space="0"/>
            </w:tcBorders>
          </w:tcPr>
          <w:p w14:paraId="040BEC8A">
            <w:pPr>
              <w:spacing w:line="360" w:lineRule="auto"/>
              <w:rPr>
                <w:rFonts w:ascii="仿宋_GB2312" w:eastAsia="仿宋_GB2312"/>
                <w:sz w:val="24"/>
              </w:rPr>
            </w:pPr>
          </w:p>
        </w:tc>
        <w:tc>
          <w:tcPr>
            <w:tcW w:w="2082" w:type="dxa"/>
            <w:tcBorders>
              <w:top w:val="single" w:color="auto" w:sz="4" w:space="0"/>
              <w:left w:val="single" w:color="auto" w:sz="4" w:space="0"/>
              <w:bottom w:val="single" w:color="auto" w:sz="4" w:space="0"/>
              <w:right w:val="single" w:color="auto" w:sz="4" w:space="0"/>
            </w:tcBorders>
          </w:tcPr>
          <w:p w14:paraId="73DB9579">
            <w:pPr>
              <w:spacing w:line="360" w:lineRule="auto"/>
              <w:rPr>
                <w:rFonts w:ascii="仿宋_GB2312" w:eastAsia="仿宋_GB2312"/>
                <w:sz w:val="24"/>
              </w:rPr>
            </w:pPr>
          </w:p>
        </w:tc>
      </w:tr>
      <w:tr w14:paraId="5163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7B5CCD7E">
            <w:pPr>
              <w:spacing w:line="360" w:lineRule="auto"/>
              <w:rPr>
                <w:rFonts w:ascii="仿宋_GB2312" w:eastAsia="仿宋_GB2312"/>
                <w:sz w:val="24"/>
              </w:rPr>
            </w:pPr>
            <w:r>
              <w:rPr>
                <w:rFonts w:hint="eastAsia" w:ascii="仿宋_GB2312" w:eastAsia="仿宋_GB2312"/>
                <w:sz w:val="24"/>
              </w:rPr>
              <w:t xml:space="preserve">5. </w:t>
            </w:r>
            <w:r>
              <w:rPr>
                <w:rFonts w:hint="eastAsia" w:ascii="仿宋_GB2312" w:hAnsi="宋体" w:eastAsia="仿宋_GB2312"/>
                <w:sz w:val="24"/>
              </w:rPr>
              <w:t>施工许可文件</w:t>
            </w:r>
          </w:p>
        </w:tc>
        <w:tc>
          <w:tcPr>
            <w:tcW w:w="1491" w:type="dxa"/>
            <w:tcBorders>
              <w:top w:val="single" w:color="auto" w:sz="4" w:space="0"/>
              <w:left w:val="single" w:color="auto" w:sz="4" w:space="0"/>
              <w:bottom w:val="single" w:color="auto" w:sz="4" w:space="0"/>
              <w:right w:val="single" w:color="auto" w:sz="4" w:space="0"/>
            </w:tcBorders>
          </w:tcPr>
          <w:p w14:paraId="2C404ACA">
            <w:pPr>
              <w:spacing w:line="360" w:lineRule="auto"/>
              <w:rPr>
                <w:rFonts w:ascii="仿宋_GB2312" w:eastAsia="仿宋_GB2312"/>
                <w:sz w:val="24"/>
              </w:rPr>
            </w:pPr>
          </w:p>
        </w:tc>
        <w:tc>
          <w:tcPr>
            <w:tcW w:w="2147" w:type="dxa"/>
            <w:tcBorders>
              <w:top w:val="single" w:color="auto" w:sz="4" w:space="0"/>
              <w:left w:val="single" w:color="auto" w:sz="4" w:space="0"/>
              <w:bottom w:val="single" w:color="auto" w:sz="4" w:space="0"/>
              <w:right w:val="single" w:color="auto" w:sz="4" w:space="0"/>
            </w:tcBorders>
          </w:tcPr>
          <w:p w14:paraId="563E2195">
            <w:pPr>
              <w:spacing w:line="360" w:lineRule="auto"/>
              <w:rPr>
                <w:rFonts w:ascii="仿宋_GB2312" w:eastAsia="仿宋_GB2312"/>
                <w:sz w:val="24"/>
              </w:rPr>
            </w:pPr>
          </w:p>
        </w:tc>
        <w:tc>
          <w:tcPr>
            <w:tcW w:w="2082" w:type="dxa"/>
            <w:tcBorders>
              <w:top w:val="single" w:color="auto" w:sz="4" w:space="0"/>
              <w:left w:val="single" w:color="auto" w:sz="4" w:space="0"/>
              <w:bottom w:val="single" w:color="auto" w:sz="4" w:space="0"/>
              <w:right w:val="single" w:color="auto" w:sz="4" w:space="0"/>
            </w:tcBorders>
          </w:tcPr>
          <w:p w14:paraId="256B7E5C">
            <w:pPr>
              <w:spacing w:line="360" w:lineRule="auto"/>
              <w:rPr>
                <w:rFonts w:ascii="仿宋_GB2312" w:eastAsia="仿宋_GB2312"/>
                <w:sz w:val="24"/>
              </w:rPr>
            </w:pPr>
          </w:p>
        </w:tc>
      </w:tr>
      <w:tr w14:paraId="1C33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9F90009">
            <w:pPr>
              <w:spacing w:line="360" w:lineRule="auto"/>
              <w:rPr>
                <w:rFonts w:ascii="仿宋_GB2312" w:eastAsia="仿宋_GB2312"/>
                <w:sz w:val="24"/>
              </w:rPr>
            </w:pPr>
            <w:r>
              <w:rPr>
                <w:rFonts w:hint="eastAsia" w:ascii="仿宋_GB2312" w:eastAsia="仿宋_GB2312"/>
                <w:sz w:val="24"/>
              </w:rPr>
              <w:t xml:space="preserve">6. </w:t>
            </w:r>
            <w:r>
              <w:rPr>
                <w:rFonts w:hint="eastAsia" w:ascii="仿宋_GB2312" w:hAnsi="宋体" w:eastAsia="仿宋_GB2312"/>
                <w:sz w:val="24"/>
              </w:rPr>
              <w:t>其他文件</w:t>
            </w:r>
          </w:p>
        </w:tc>
        <w:tc>
          <w:tcPr>
            <w:tcW w:w="1491" w:type="dxa"/>
            <w:tcBorders>
              <w:top w:val="single" w:color="auto" w:sz="4" w:space="0"/>
              <w:left w:val="single" w:color="auto" w:sz="4" w:space="0"/>
              <w:bottom w:val="single" w:color="auto" w:sz="4" w:space="0"/>
              <w:right w:val="single" w:color="auto" w:sz="4" w:space="0"/>
            </w:tcBorders>
          </w:tcPr>
          <w:p w14:paraId="360A90B0">
            <w:pPr>
              <w:spacing w:line="360" w:lineRule="auto"/>
              <w:rPr>
                <w:rFonts w:ascii="仿宋_GB2312" w:eastAsia="仿宋_GB2312"/>
                <w:sz w:val="24"/>
              </w:rPr>
            </w:pPr>
          </w:p>
        </w:tc>
        <w:tc>
          <w:tcPr>
            <w:tcW w:w="2147" w:type="dxa"/>
            <w:tcBorders>
              <w:top w:val="single" w:color="auto" w:sz="4" w:space="0"/>
              <w:left w:val="single" w:color="auto" w:sz="4" w:space="0"/>
              <w:bottom w:val="single" w:color="auto" w:sz="4" w:space="0"/>
              <w:right w:val="single" w:color="auto" w:sz="4" w:space="0"/>
            </w:tcBorders>
          </w:tcPr>
          <w:p w14:paraId="1CFD8A98">
            <w:pPr>
              <w:spacing w:line="360" w:lineRule="auto"/>
              <w:rPr>
                <w:rFonts w:ascii="仿宋_GB2312" w:eastAsia="仿宋_GB2312"/>
                <w:sz w:val="24"/>
              </w:rPr>
            </w:pPr>
          </w:p>
        </w:tc>
        <w:tc>
          <w:tcPr>
            <w:tcW w:w="2082" w:type="dxa"/>
            <w:tcBorders>
              <w:top w:val="single" w:color="auto" w:sz="4" w:space="0"/>
              <w:left w:val="single" w:color="auto" w:sz="4" w:space="0"/>
              <w:bottom w:val="single" w:color="auto" w:sz="4" w:space="0"/>
              <w:right w:val="single" w:color="auto" w:sz="4" w:space="0"/>
            </w:tcBorders>
          </w:tcPr>
          <w:p w14:paraId="78C9342D">
            <w:pPr>
              <w:spacing w:line="360" w:lineRule="auto"/>
              <w:rPr>
                <w:rFonts w:ascii="仿宋_GB2312" w:eastAsia="仿宋_GB2312"/>
                <w:sz w:val="24"/>
              </w:rPr>
            </w:pPr>
          </w:p>
        </w:tc>
      </w:tr>
      <w:tr w14:paraId="35DA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2BCFE8AA">
            <w:pPr>
              <w:spacing w:line="360" w:lineRule="auto"/>
              <w:rPr>
                <w:rFonts w:ascii="仿宋_GB2312" w:hAnsi="宋体" w:eastAsia="仿宋_GB2312" w:cs="宋体"/>
                <w:sz w:val="24"/>
              </w:rPr>
            </w:pPr>
          </w:p>
        </w:tc>
        <w:tc>
          <w:tcPr>
            <w:tcW w:w="1491" w:type="dxa"/>
            <w:tcBorders>
              <w:top w:val="single" w:color="auto" w:sz="4" w:space="0"/>
              <w:left w:val="single" w:color="auto" w:sz="4" w:space="0"/>
              <w:bottom w:val="single" w:color="auto" w:sz="4" w:space="0"/>
              <w:right w:val="single" w:color="auto" w:sz="4" w:space="0"/>
            </w:tcBorders>
          </w:tcPr>
          <w:p w14:paraId="64B33FD7">
            <w:pPr>
              <w:spacing w:line="360" w:lineRule="auto"/>
              <w:rPr>
                <w:rFonts w:ascii="仿宋_GB2312" w:hAnsi="宋体" w:eastAsia="仿宋_GB2312" w:cs="宋体"/>
                <w:sz w:val="24"/>
              </w:rPr>
            </w:pPr>
          </w:p>
        </w:tc>
        <w:tc>
          <w:tcPr>
            <w:tcW w:w="2147" w:type="dxa"/>
            <w:tcBorders>
              <w:top w:val="single" w:color="auto" w:sz="4" w:space="0"/>
              <w:left w:val="single" w:color="auto" w:sz="4" w:space="0"/>
              <w:bottom w:val="single" w:color="auto" w:sz="4" w:space="0"/>
              <w:right w:val="single" w:color="auto" w:sz="4" w:space="0"/>
            </w:tcBorders>
          </w:tcPr>
          <w:p w14:paraId="3E7090D1">
            <w:pPr>
              <w:spacing w:line="360" w:lineRule="auto"/>
              <w:rPr>
                <w:rFonts w:ascii="仿宋_GB2312" w:hAnsi="宋体" w:eastAsia="仿宋_GB2312" w:cs="宋体"/>
                <w:sz w:val="24"/>
              </w:rPr>
            </w:pPr>
          </w:p>
        </w:tc>
        <w:tc>
          <w:tcPr>
            <w:tcW w:w="2082" w:type="dxa"/>
            <w:tcBorders>
              <w:top w:val="single" w:color="auto" w:sz="4" w:space="0"/>
              <w:left w:val="single" w:color="auto" w:sz="4" w:space="0"/>
              <w:bottom w:val="single" w:color="auto" w:sz="4" w:space="0"/>
              <w:right w:val="single" w:color="auto" w:sz="4" w:space="0"/>
            </w:tcBorders>
          </w:tcPr>
          <w:p w14:paraId="1C18B83F">
            <w:pPr>
              <w:spacing w:line="360" w:lineRule="auto"/>
              <w:rPr>
                <w:rFonts w:ascii="仿宋_GB2312" w:hAnsi="宋体" w:eastAsia="仿宋_GB2312" w:cs="宋体"/>
                <w:sz w:val="24"/>
              </w:rPr>
            </w:pPr>
          </w:p>
        </w:tc>
      </w:tr>
    </w:tbl>
    <w:p w14:paraId="3A3E2B98">
      <w:pPr>
        <w:spacing w:before="156" w:beforeLines="50" w:line="360" w:lineRule="auto"/>
        <w:rPr>
          <w:rFonts w:ascii="仿宋_GB2312" w:eastAsia="仿宋_GB2312"/>
          <w:b/>
          <w:sz w:val="24"/>
        </w:rPr>
      </w:pPr>
    </w:p>
    <w:p w14:paraId="68469BAA">
      <w:pPr>
        <w:rPr>
          <w:rFonts w:ascii="仿宋_GB2312" w:eastAsia="仿宋_GB2312"/>
          <w:b/>
          <w:sz w:val="24"/>
        </w:rPr>
      </w:pPr>
      <w:r>
        <w:rPr>
          <w:rFonts w:hint="eastAsia" w:ascii="仿宋_GB2312" w:eastAsia="仿宋_GB2312"/>
          <w:b/>
          <w:sz w:val="24"/>
        </w:rPr>
        <w:br w:type="page"/>
      </w:r>
    </w:p>
    <w:p w14:paraId="018D337B">
      <w:pPr>
        <w:spacing w:before="156" w:beforeLines="50" w:line="360" w:lineRule="auto"/>
        <w:rPr>
          <w:rFonts w:ascii="仿宋_GB2312" w:hAnsi="Courier New" w:eastAsia="仿宋_GB2312" w:cs="Courier New"/>
          <w:b/>
          <w:sz w:val="24"/>
        </w:rPr>
      </w:pPr>
      <w:r>
        <w:rPr>
          <w:rFonts w:hint="eastAsia" w:ascii="仿宋_GB2312" w:eastAsia="仿宋_GB2312"/>
          <w:b/>
          <w:sz w:val="24"/>
        </w:rPr>
        <w:t xml:space="preserve">B-4 </w:t>
      </w:r>
      <w:r>
        <w:rPr>
          <w:rFonts w:hint="eastAsia" w:ascii="仿宋_GB2312" w:hAnsi="宋体" w:eastAsia="仿宋_GB2312"/>
          <w:b/>
          <w:sz w:val="24"/>
        </w:rPr>
        <w:t>委托人提供的设备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0E81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14:paraId="5D647A23">
            <w:pPr>
              <w:spacing w:line="360" w:lineRule="auto"/>
              <w:jc w:val="center"/>
              <w:rPr>
                <w:rFonts w:ascii="仿宋_GB2312" w:eastAsia="仿宋_GB2312"/>
                <w:sz w:val="24"/>
              </w:rPr>
            </w:pPr>
            <w:r>
              <w:rPr>
                <w:rFonts w:hint="eastAsia" w:ascii="仿宋_GB2312" w:hAnsi="宋体" w:eastAsia="仿宋_GB2312"/>
                <w:sz w:val="24"/>
              </w:rPr>
              <w:t>名称</w:t>
            </w:r>
          </w:p>
        </w:tc>
        <w:tc>
          <w:tcPr>
            <w:tcW w:w="1590" w:type="dxa"/>
            <w:tcBorders>
              <w:top w:val="single" w:color="auto" w:sz="4" w:space="0"/>
              <w:left w:val="single" w:color="auto" w:sz="4" w:space="0"/>
              <w:bottom w:val="single" w:color="auto" w:sz="4" w:space="0"/>
              <w:right w:val="single" w:color="auto" w:sz="4" w:space="0"/>
            </w:tcBorders>
          </w:tcPr>
          <w:p w14:paraId="34C5464B">
            <w:pPr>
              <w:spacing w:line="360" w:lineRule="auto"/>
              <w:jc w:val="center"/>
              <w:rPr>
                <w:rFonts w:ascii="仿宋_GB2312" w:eastAsia="仿宋_GB2312"/>
                <w:sz w:val="24"/>
              </w:rPr>
            </w:pPr>
            <w:r>
              <w:rPr>
                <w:rFonts w:hint="eastAsia" w:ascii="仿宋_GB2312" w:hAnsi="宋体" w:eastAsia="仿宋_GB2312"/>
                <w:sz w:val="24"/>
              </w:rPr>
              <w:t>数量</w:t>
            </w:r>
          </w:p>
        </w:tc>
        <w:tc>
          <w:tcPr>
            <w:tcW w:w="2130" w:type="dxa"/>
            <w:tcBorders>
              <w:top w:val="single" w:color="auto" w:sz="4" w:space="0"/>
              <w:left w:val="single" w:color="auto" w:sz="4" w:space="0"/>
              <w:bottom w:val="single" w:color="auto" w:sz="4" w:space="0"/>
              <w:right w:val="single" w:color="auto" w:sz="4" w:space="0"/>
            </w:tcBorders>
          </w:tcPr>
          <w:p w14:paraId="41C6B97D">
            <w:pPr>
              <w:spacing w:line="360" w:lineRule="auto"/>
              <w:jc w:val="center"/>
              <w:rPr>
                <w:rFonts w:ascii="仿宋_GB2312" w:eastAsia="仿宋_GB2312"/>
                <w:sz w:val="24"/>
              </w:rPr>
            </w:pPr>
            <w:r>
              <w:rPr>
                <w:rFonts w:hint="eastAsia" w:ascii="仿宋_GB2312" w:hAnsi="宋体" w:eastAsia="仿宋_GB2312"/>
                <w:sz w:val="24"/>
              </w:rPr>
              <w:t>型号与规格</w:t>
            </w:r>
          </w:p>
        </w:tc>
        <w:tc>
          <w:tcPr>
            <w:tcW w:w="1860" w:type="dxa"/>
            <w:tcBorders>
              <w:top w:val="single" w:color="auto" w:sz="4" w:space="0"/>
              <w:left w:val="single" w:color="auto" w:sz="4" w:space="0"/>
              <w:bottom w:val="single" w:color="auto" w:sz="4" w:space="0"/>
              <w:right w:val="single" w:color="auto" w:sz="4" w:space="0"/>
            </w:tcBorders>
          </w:tcPr>
          <w:p w14:paraId="21BC19A4">
            <w:pPr>
              <w:spacing w:line="360" w:lineRule="auto"/>
              <w:jc w:val="center"/>
              <w:rPr>
                <w:rFonts w:ascii="仿宋_GB2312" w:eastAsia="仿宋_GB2312"/>
                <w:sz w:val="24"/>
              </w:rPr>
            </w:pPr>
            <w:r>
              <w:rPr>
                <w:rFonts w:hint="eastAsia" w:ascii="仿宋_GB2312" w:hAnsi="宋体" w:eastAsia="仿宋_GB2312"/>
                <w:sz w:val="24"/>
              </w:rPr>
              <w:t>提供时间</w:t>
            </w:r>
          </w:p>
        </w:tc>
      </w:tr>
      <w:tr w14:paraId="7ACB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14:paraId="312AC90E">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通讯设备</w:t>
            </w:r>
          </w:p>
        </w:tc>
        <w:tc>
          <w:tcPr>
            <w:tcW w:w="1590" w:type="dxa"/>
            <w:tcBorders>
              <w:top w:val="single" w:color="auto" w:sz="4" w:space="0"/>
              <w:left w:val="single" w:color="auto" w:sz="4" w:space="0"/>
              <w:bottom w:val="single" w:color="auto" w:sz="4" w:space="0"/>
              <w:right w:val="single" w:color="auto" w:sz="4" w:space="0"/>
            </w:tcBorders>
          </w:tcPr>
          <w:p w14:paraId="52BBAD51">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50D25415">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5D77EF65">
            <w:pPr>
              <w:spacing w:line="360" w:lineRule="auto"/>
              <w:rPr>
                <w:rFonts w:ascii="仿宋_GB2312" w:eastAsia="仿宋_GB2312"/>
                <w:sz w:val="24"/>
              </w:rPr>
            </w:pPr>
          </w:p>
        </w:tc>
      </w:tr>
      <w:tr w14:paraId="0EA0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14:paraId="2F542D17">
            <w:pPr>
              <w:spacing w:line="360" w:lineRule="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办公设备</w:t>
            </w:r>
          </w:p>
        </w:tc>
        <w:tc>
          <w:tcPr>
            <w:tcW w:w="1590" w:type="dxa"/>
            <w:tcBorders>
              <w:top w:val="single" w:color="auto" w:sz="4" w:space="0"/>
              <w:left w:val="single" w:color="auto" w:sz="4" w:space="0"/>
              <w:bottom w:val="single" w:color="auto" w:sz="4" w:space="0"/>
              <w:right w:val="single" w:color="auto" w:sz="4" w:space="0"/>
            </w:tcBorders>
          </w:tcPr>
          <w:p w14:paraId="56569B61">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208CA112">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0951B3CF">
            <w:pPr>
              <w:spacing w:line="360" w:lineRule="auto"/>
              <w:rPr>
                <w:rFonts w:ascii="仿宋_GB2312" w:eastAsia="仿宋_GB2312"/>
                <w:sz w:val="24"/>
              </w:rPr>
            </w:pPr>
          </w:p>
        </w:tc>
      </w:tr>
      <w:tr w14:paraId="1A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14:paraId="3318858A">
            <w:pPr>
              <w:spacing w:line="360" w:lineRule="auto"/>
              <w:rPr>
                <w:rFonts w:ascii="仿宋_GB2312" w:eastAsia="仿宋_GB2312"/>
                <w:sz w:val="24"/>
              </w:rPr>
            </w:pPr>
            <w:r>
              <w:rPr>
                <w:rFonts w:hint="eastAsia" w:ascii="仿宋_GB2312" w:eastAsia="仿宋_GB2312"/>
                <w:sz w:val="24"/>
              </w:rPr>
              <w:t xml:space="preserve">3. </w:t>
            </w:r>
            <w:r>
              <w:rPr>
                <w:rFonts w:hint="eastAsia" w:ascii="仿宋_GB2312" w:hAnsi="宋体" w:eastAsia="仿宋_GB2312"/>
                <w:sz w:val="24"/>
              </w:rPr>
              <w:t>交通工具</w:t>
            </w:r>
          </w:p>
        </w:tc>
        <w:tc>
          <w:tcPr>
            <w:tcW w:w="1590" w:type="dxa"/>
            <w:tcBorders>
              <w:top w:val="single" w:color="auto" w:sz="4" w:space="0"/>
              <w:left w:val="single" w:color="auto" w:sz="4" w:space="0"/>
              <w:bottom w:val="single" w:color="auto" w:sz="4" w:space="0"/>
              <w:right w:val="single" w:color="auto" w:sz="4" w:space="0"/>
            </w:tcBorders>
          </w:tcPr>
          <w:p w14:paraId="703CABAE">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074F0033">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0E93348D">
            <w:pPr>
              <w:spacing w:line="360" w:lineRule="auto"/>
              <w:rPr>
                <w:rFonts w:ascii="仿宋_GB2312" w:eastAsia="仿宋_GB2312"/>
                <w:sz w:val="24"/>
              </w:rPr>
            </w:pPr>
          </w:p>
        </w:tc>
      </w:tr>
      <w:tr w14:paraId="2906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14:paraId="6DD66435">
            <w:pPr>
              <w:spacing w:line="360" w:lineRule="auto"/>
              <w:rPr>
                <w:rFonts w:ascii="仿宋_GB2312" w:eastAsia="仿宋_GB2312"/>
                <w:sz w:val="24"/>
              </w:rPr>
            </w:pPr>
            <w:r>
              <w:rPr>
                <w:rFonts w:hint="eastAsia" w:ascii="仿宋_GB2312" w:eastAsia="仿宋_GB2312"/>
                <w:sz w:val="24"/>
              </w:rPr>
              <w:t xml:space="preserve">4. </w:t>
            </w:r>
            <w:r>
              <w:rPr>
                <w:rFonts w:hint="eastAsia" w:ascii="仿宋_GB2312" w:hAnsi="宋体" w:eastAsia="仿宋_GB2312"/>
                <w:sz w:val="24"/>
              </w:rPr>
              <w:t>检测和试验设备</w:t>
            </w:r>
          </w:p>
        </w:tc>
        <w:tc>
          <w:tcPr>
            <w:tcW w:w="1590" w:type="dxa"/>
            <w:tcBorders>
              <w:top w:val="single" w:color="auto" w:sz="4" w:space="0"/>
              <w:left w:val="single" w:color="auto" w:sz="4" w:space="0"/>
              <w:bottom w:val="single" w:color="auto" w:sz="4" w:space="0"/>
              <w:right w:val="single" w:color="auto" w:sz="4" w:space="0"/>
            </w:tcBorders>
          </w:tcPr>
          <w:p w14:paraId="31408D1E">
            <w:pPr>
              <w:spacing w:line="360" w:lineRule="auto"/>
              <w:rPr>
                <w:rFonts w:ascii="仿宋_GB2312"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3BFC6E20">
            <w:pPr>
              <w:spacing w:line="360" w:lineRule="auto"/>
              <w:rPr>
                <w:rFonts w:ascii="仿宋_GB2312"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091B8E86">
            <w:pPr>
              <w:spacing w:line="360" w:lineRule="auto"/>
              <w:rPr>
                <w:rFonts w:ascii="仿宋_GB2312" w:eastAsia="仿宋_GB2312"/>
                <w:sz w:val="24"/>
              </w:rPr>
            </w:pPr>
          </w:p>
        </w:tc>
      </w:tr>
      <w:tr w14:paraId="2C40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14:paraId="49C2713F">
            <w:pPr>
              <w:spacing w:line="360" w:lineRule="auto"/>
              <w:rPr>
                <w:rFonts w:ascii="仿宋_GB2312" w:hAnsi="宋体" w:eastAsia="仿宋_GB2312"/>
                <w:sz w:val="24"/>
              </w:rPr>
            </w:pPr>
          </w:p>
        </w:tc>
        <w:tc>
          <w:tcPr>
            <w:tcW w:w="1590" w:type="dxa"/>
            <w:tcBorders>
              <w:top w:val="single" w:color="auto" w:sz="4" w:space="0"/>
              <w:left w:val="single" w:color="auto" w:sz="4" w:space="0"/>
              <w:bottom w:val="single" w:color="auto" w:sz="4" w:space="0"/>
              <w:right w:val="single" w:color="auto" w:sz="4" w:space="0"/>
            </w:tcBorders>
          </w:tcPr>
          <w:p w14:paraId="4859DE72">
            <w:pPr>
              <w:spacing w:line="360" w:lineRule="auto"/>
              <w:rPr>
                <w:rFonts w:ascii="仿宋_GB2312" w:hAnsi="宋体" w:eastAsia="仿宋_GB2312"/>
                <w:sz w:val="24"/>
              </w:rPr>
            </w:pPr>
          </w:p>
        </w:tc>
        <w:tc>
          <w:tcPr>
            <w:tcW w:w="2130" w:type="dxa"/>
            <w:tcBorders>
              <w:top w:val="single" w:color="auto" w:sz="4" w:space="0"/>
              <w:left w:val="single" w:color="auto" w:sz="4" w:space="0"/>
              <w:bottom w:val="single" w:color="auto" w:sz="4" w:space="0"/>
              <w:right w:val="single" w:color="auto" w:sz="4" w:space="0"/>
            </w:tcBorders>
          </w:tcPr>
          <w:p w14:paraId="7628361A">
            <w:pPr>
              <w:spacing w:line="360" w:lineRule="auto"/>
              <w:rPr>
                <w:rFonts w:ascii="仿宋_GB2312" w:hAnsi="宋体" w:eastAsia="仿宋_GB2312"/>
                <w:sz w:val="24"/>
              </w:rPr>
            </w:pPr>
          </w:p>
        </w:tc>
        <w:tc>
          <w:tcPr>
            <w:tcW w:w="1860" w:type="dxa"/>
            <w:tcBorders>
              <w:top w:val="single" w:color="auto" w:sz="4" w:space="0"/>
              <w:left w:val="single" w:color="auto" w:sz="4" w:space="0"/>
              <w:bottom w:val="single" w:color="auto" w:sz="4" w:space="0"/>
              <w:right w:val="single" w:color="auto" w:sz="4" w:space="0"/>
            </w:tcBorders>
          </w:tcPr>
          <w:p w14:paraId="0D1AD99F">
            <w:pPr>
              <w:spacing w:line="360" w:lineRule="auto"/>
              <w:rPr>
                <w:rFonts w:ascii="仿宋_GB2312" w:hAnsi="宋体" w:eastAsia="仿宋_GB2312"/>
                <w:sz w:val="24"/>
              </w:rPr>
            </w:pPr>
          </w:p>
        </w:tc>
      </w:tr>
    </w:tbl>
    <w:p w14:paraId="37B52D5C">
      <w:pPr>
        <w:spacing w:line="360" w:lineRule="auto"/>
        <w:rPr>
          <w:rFonts w:ascii="Courier New" w:eastAsia="宋体"/>
          <w:sz w:val="24"/>
        </w:rPr>
      </w:pPr>
      <w:r>
        <w:rPr>
          <w:rFonts w:hint="eastAsia" w:ascii="仿宋_GB2312" w:eastAsia="仿宋_GB2312"/>
          <w:sz w:val="24"/>
        </w:rPr>
        <w:t xml:space="preserve"> </w:t>
      </w:r>
      <w:r>
        <w:rPr>
          <w:sz w:val="24"/>
        </w:rPr>
        <w:t xml:space="preserve"> </w:t>
      </w:r>
    </w:p>
    <w:p w14:paraId="5388F585">
      <w:pPr>
        <w:widowControl/>
        <w:jc w:val="left"/>
        <w:rPr>
          <w:rFonts w:ascii="仿宋_GB2312" w:hAnsi="宋体" w:eastAsia="仿宋_GB2312"/>
          <w:sz w:val="24"/>
        </w:rPr>
      </w:pPr>
      <w:r>
        <w:rPr>
          <w:rFonts w:ascii="仿宋_GB2312" w:hAnsi="宋体" w:eastAsia="仿宋_GB2312"/>
          <w:sz w:val="24"/>
        </w:rPr>
        <w:br w:type="page"/>
      </w:r>
    </w:p>
    <w:p w14:paraId="4D782577">
      <w:pPr>
        <w:pStyle w:val="2"/>
        <w:kinsoku/>
        <w:topLinePunct/>
        <w:autoSpaceDE/>
        <w:autoSpaceDN/>
        <w:spacing w:before="88" w:line="222" w:lineRule="auto"/>
        <w:ind w:left="420"/>
        <w:jc w:val="center"/>
        <w:outlineLvl w:val="0"/>
        <w:rPr>
          <w:rFonts w:hint="default"/>
          <w:sz w:val="43"/>
          <w:szCs w:val="43"/>
        </w:rPr>
      </w:pPr>
      <w:bookmarkStart w:id="160" w:name="_Toc199944418"/>
      <w:bookmarkStart w:id="161" w:name="_Toc200025592"/>
      <w:r>
        <w:rPr>
          <w:spacing w:val="8"/>
          <w:sz w:val="43"/>
          <w:szCs w:val="43"/>
          <w14:textOutline w14:w="7975" w14:cap="sq" w14:cmpd="sng" w14:algn="ctr">
            <w14:solidFill>
              <w14:srgbClr w14:val="000000"/>
            </w14:solidFill>
            <w14:prstDash w14:val="solid"/>
            <w14:bevel/>
          </w14:textOutline>
        </w:rPr>
        <w:t>第五章 项目采购需求</w:t>
      </w:r>
      <w:bookmarkEnd w:id="160"/>
      <w:bookmarkEnd w:id="161"/>
    </w:p>
    <w:p w14:paraId="081AD359">
      <w:pPr>
        <w:topLinePunct/>
        <w:spacing w:line="267" w:lineRule="auto"/>
      </w:pPr>
    </w:p>
    <w:p w14:paraId="73F1CFC5">
      <w:pPr>
        <w:topLinePunct/>
        <w:spacing w:line="360" w:lineRule="auto"/>
        <w:rPr>
          <w:b/>
          <w:sz w:val="28"/>
          <w:szCs w:val="28"/>
        </w:rPr>
      </w:pPr>
      <w:r>
        <w:rPr>
          <w:rFonts w:hint="eastAsia" w:asciiTheme="minorEastAsia" w:hAnsiTheme="minorEastAsia"/>
          <w:b/>
          <w:sz w:val="28"/>
          <w:szCs w:val="28"/>
        </w:rPr>
        <w:t>一、项目总体情况</w:t>
      </w:r>
    </w:p>
    <w:p w14:paraId="2D8850E4">
      <w:pPr>
        <w:topLinePunct/>
        <w:spacing w:line="360" w:lineRule="auto"/>
        <w:ind w:firstLine="480" w:firstLineChars="200"/>
        <w:rPr>
          <w:rFonts w:cs="微软雅黑" w:asciiTheme="minorEastAsia" w:hAnsiTheme="minorEastAsia"/>
          <w:sz w:val="24"/>
        </w:rPr>
      </w:pPr>
      <w:r>
        <w:rPr>
          <w:rFonts w:asciiTheme="minorEastAsia" w:hAnsiTheme="minorEastAsia"/>
          <w:sz w:val="24"/>
        </w:rPr>
        <w:t>1.</w:t>
      </w:r>
      <w:r>
        <w:rPr>
          <w:rFonts w:hint="eastAsia" w:cs="微软雅黑" w:asciiTheme="minorEastAsia" w:hAnsiTheme="minorEastAsia"/>
          <w:sz w:val="24"/>
        </w:rPr>
        <w:t>项目名称：</w:t>
      </w:r>
      <w:bookmarkStart w:id="162" w:name="OLE_LINK17"/>
      <w:bookmarkStart w:id="163" w:name="OLE_LINK16"/>
      <w:r>
        <w:rPr>
          <w:rFonts w:hint="eastAsia" w:asciiTheme="minorEastAsia" w:hAnsiTheme="minorEastAsia"/>
          <w:sz w:val="24"/>
        </w:rPr>
        <w:t>通化县</w:t>
      </w:r>
      <w:r>
        <w:rPr>
          <w:rFonts w:asciiTheme="minorEastAsia" w:hAnsiTheme="minorEastAsia"/>
          <w:sz w:val="24"/>
        </w:rPr>
        <w:t>2025</w:t>
      </w:r>
      <w:r>
        <w:rPr>
          <w:rFonts w:hint="eastAsia" w:asciiTheme="minorEastAsia" w:hAnsiTheme="minorEastAsia"/>
          <w:sz w:val="24"/>
        </w:rPr>
        <w:t>年侵蚀沟治理项目（大泉源乡、英额布镇、富江乡治理项目区）工程监理服务</w:t>
      </w:r>
      <w:bookmarkEnd w:id="162"/>
      <w:bookmarkEnd w:id="163"/>
    </w:p>
    <w:p w14:paraId="43D1D9DC">
      <w:pPr>
        <w:topLinePunct/>
        <w:spacing w:line="360" w:lineRule="auto"/>
        <w:ind w:firstLine="480" w:firstLineChars="200"/>
        <w:rPr>
          <w:rFonts w:cs="微软雅黑"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cs="微软雅黑" w:asciiTheme="minorEastAsia" w:hAnsiTheme="minorEastAsia"/>
          <w:sz w:val="24"/>
        </w:rPr>
        <w:t>项目概况：通化县</w:t>
      </w:r>
      <w:r>
        <w:rPr>
          <w:rFonts w:hint="eastAsia" w:asciiTheme="minorEastAsia" w:hAnsiTheme="minorEastAsia"/>
          <w:sz w:val="24"/>
        </w:rPr>
        <w:t>2025</w:t>
      </w:r>
      <w:r>
        <w:rPr>
          <w:rFonts w:hint="eastAsia" w:cs="微软雅黑" w:asciiTheme="minorEastAsia" w:hAnsiTheme="minorEastAsia"/>
          <w:sz w:val="24"/>
        </w:rPr>
        <w:t>年侵蚀沟治理项目</w:t>
      </w:r>
      <w:r>
        <w:rPr>
          <w:rFonts w:hint="eastAsia" w:asciiTheme="minorEastAsia" w:hAnsiTheme="minorEastAsia"/>
          <w:sz w:val="24"/>
        </w:rPr>
        <w:t>(</w:t>
      </w:r>
      <w:r>
        <w:rPr>
          <w:rFonts w:hint="eastAsia" w:cs="微软雅黑" w:asciiTheme="minorEastAsia" w:hAnsiTheme="minorEastAsia"/>
          <w:sz w:val="24"/>
        </w:rPr>
        <w:t>大泉源乡、英额布镇、富江乡治理项目区</w:t>
      </w:r>
      <w:r>
        <w:rPr>
          <w:rFonts w:hint="eastAsia" w:asciiTheme="minorEastAsia" w:hAnsiTheme="minorEastAsia"/>
          <w:sz w:val="24"/>
        </w:rPr>
        <w:t>)</w:t>
      </w:r>
      <w:r>
        <w:rPr>
          <w:rFonts w:hint="eastAsia" w:cs="微软雅黑" w:asciiTheme="minorEastAsia" w:hAnsiTheme="minorEastAsia"/>
          <w:sz w:val="24"/>
        </w:rPr>
        <w:t>总面积为</w:t>
      </w:r>
      <w:r>
        <w:rPr>
          <w:rFonts w:hint="eastAsia" w:asciiTheme="minorEastAsia" w:hAnsiTheme="minorEastAsia"/>
          <w:sz w:val="24"/>
        </w:rPr>
        <w:t>82.91km</w:t>
      </w:r>
      <w:r>
        <w:rPr>
          <w:rFonts w:hint="eastAsia" w:asciiTheme="minorEastAsia" w:hAnsiTheme="minorEastAsia"/>
          <w:sz w:val="24"/>
          <w:vertAlign w:val="superscript"/>
        </w:rPr>
        <w:t>2</w:t>
      </w:r>
      <w:r>
        <w:rPr>
          <w:rFonts w:hint="eastAsia" w:asciiTheme="minorEastAsia" w:hAnsiTheme="minorEastAsia"/>
          <w:sz w:val="24"/>
        </w:rPr>
        <w:t xml:space="preserve">, </w:t>
      </w:r>
      <w:r>
        <w:rPr>
          <w:rFonts w:hint="eastAsia" w:cs="微软雅黑" w:asciiTheme="minorEastAsia" w:hAnsiTheme="minorEastAsia"/>
          <w:sz w:val="24"/>
        </w:rPr>
        <w:t>水土流</w:t>
      </w:r>
      <w:r>
        <w:rPr>
          <w:rFonts w:hint="eastAsia" w:asciiTheme="minorEastAsia" w:hAnsiTheme="minorEastAsia"/>
          <w:sz w:val="24"/>
        </w:rPr>
        <w:t xml:space="preserve"> </w:t>
      </w:r>
      <w:r>
        <w:rPr>
          <w:rFonts w:hint="eastAsia" w:cs="微软雅黑" w:asciiTheme="minorEastAsia" w:hAnsiTheme="minorEastAsia"/>
          <w:sz w:val="24"/>
        </w:rPr>
        <w:t>失面积</w:t>
      </w:r>
      <w:r>
        <w:rPr>
          <w:rFonts w:hint="eastAsia" w:asciiTheme="minorEastAsia" w:hAnsiTheme="minorEastAsia"/>
          <w:sz w:val="24"/>
        </w:rPr>
        <w:t>45.35km</w:t>
      </w:r>
      <w:r>
        <w:rPr>
          <w:rFonts w:hint="eastAsia" w:asciiTheme="minorEastAsia" w:hAnsiTheme="minorEastAsia"/>
          <w:sz w:val="24"/>
          <w:vertAlign w:val="superscript"/>
        </w:rPr>
        <w:t>2</w:t>
      </w:r>
      <w:r>
        <w:rPr>
          <w:rFonts w:hint="eastAsia" w:asciiTheme="minorEastAsia" w:hAnsiTheme="minorEastAsia"/>
          <w:sz w:val="24"/>
        </w:rPr>
        <w:t xml:space="preserve">, </w:t>
      </w:r>
      <w:r>
        <w:rPr>
          <w:rFonts w:hint="eastAsia" w:cs="微软雅黑" w:asciiTheme="minorEastAsia" w:hAnsiTheme="minorEastAsia"/>
          <w:sz w:val="24"/>
        </w:rPr>
        <w:t>本次项目控制与治理水土流失面积</w:t>
      </w:r>
      <w:r>
        <w:rPr>
          <w:rFonts w:hint="eastAsia" w:asciiTheme="minorEastAsia" w:hAnsiTheme="minorEastAsia"/>
          <w:sz w:val="24"/>
        </w:rPr>
        <w:t>23.92km</w:t>
      </w:r>
      <w:r>
        <w:rPr>
          <w:rFonts w:hint="eastAsia" w:asciiTheme="minorEastAsia" w:hAnsiTheme="minorEastAsia"/>
          <w:sz w:val="24"/>
          <w:vertAlign w:val="superscript"/>
        </w:rPr>
        <w:t>2</w:t>
      </w:r>
      <w:r>
        <w:rPr>
          <w:rFonts w:hint="eastAsia" w:asciiTheme="minorEastAsia" w:hAnsiTheme="minorEastAsia"/>
          <w:sz w:val="24"/>
        </w:rPr>
        <w:t xml:space="preserve">, </w:t>
      </w:r>
      <w:r>
        <w:rPr>
          <w:rFonts w:hint="eastAsia" w:cs="微软雅黑" w:asciiTheme="minorEastAsia" w:hAnsiTheme="minorEastAsia"/>
          <w:sz w:val="24"/>
        </w:rPr>
        <w:t>共治理发展侵蚀沟</w:t>
      </w:r>
      <w:r>
        <w:rPr>
          <w:rFonts w:hint="eastAsia" w:asciiTheme="minorEastAsia" w:hAnsiTheme="minorEastAsia"/>
          <w:sz w:val="24"/>
        </w:rPr>
        <w:t>75</w:t>
      </w:r>
      <w:r>
        <w:rPr>
          <w:rFonts w:hint="eastAsia" w:cs="微软雅黑" w:asciiTheme="minorEastAsia" w:hAnsiTheme="minorEastAsia"/>
          <w:sz w:val="24"/>
        </w:rPr>
        <w:t>条，其中，大型沟</w:t>
      </w:r>
      <w:r>
        <w:rPr>
          <w:rFonts w:hint="eastAsia" w:asciiTheme="minorEastAsia" w:hAnsiTheme="minorEastAsia"/>
          <w:sz w:val="24"/>
        </w:rPr>
        <w:t xml:space="preserve">3 </w:t>
      </w:r>
      <w:r>
        <w:rPr>
          <w:rFonts w:hint="eastAsia" w:cs="微软雅黑" w:asciiTheme="minorEastAsia" w:hAnsiTheme="minorEastAsia"/>
          <w:sz w:val="24"/>
        </w:rPr>
        <w:t>条、中型沟</w:t>
      </w:r>
      <w:r>
        <w:rPr>
          <w:rFonts w:hint="eastAsia" w:asciiTheme="minorEastAsia" w:hAnsiTheme="minorEastAsia"/>
          <w:sz w:val="24"/>
        </w:rPr>
        <w:t>69</w:t>
      </w:r>
      <w:r>
        <w:rPr>
          <w:rFonts w:hint="eastAsia" w:cs="微软雅黑" w:asciiTheme="minorEastAsia" w:hAnsiTheme="minorEastAsia"/>
          <w:sz w:val="24"/>
        </w:rPr>
        <w:t>条、小型沟</w:t>
      </w:r>
      <w:r>
        <w:rPr>
          <w:rFonts w:hint="eastAsia" w:asciiTheme="minorEastAsia" w:hAnsiTheme="minorEastAsia"/>
          <w:sz w:val="24"/>
        </w:rPr>
        <w:t>3</w:t>
      </w:r>
      <w:r>
        <w:rPr>
          <w:rFonts w:hint="eastAsia" w:cs="微软雅黑" w:asciiTheme="minorEastAsia" w:hAnsiTheme="minorEastAsia"/>
          <w:sz w:val="24"/>
        </w:rPr>
        <w:t>条，治理侵蚀沟沟道总长度</w:t>
      </w:r>
      <w:r>
        <w:rPr>
          <w:rFonts w:hint="eastAsia" w:asciiTheme="minorEastAsia" w:hAnsiTheme="minorEastAsia"/>
          <w:sz w:val="24"/>
        </w:rPr>
        <w:t xml:space="preserve">45.59km, </w:t>
      </w:r>
      <w:r>
        <w:rPr>
          <w:rFonts w:hint="eastAsia" w:cs="微软雅黑" w:asciiTheme="minorEastAsia" w:hAnsiTheme="minorEastAsia"/>
          <w:sz w:val="24"/>
        </w:rPr>
        <w:t>侵蚀沟沟缘总面积</w:t>
      </w:r>
      <w:r>
        <w:rPr>
          <w:rFonts w:hint="eastAsia" w:asciiTheme="minorEastAsia" w:hAnsiTheme="minorEastAsia"/>
          <w:sz w:val="24"/>
        </w:rPr>
        <w:t>47.85hm²</w:t>
      </w:r>
      <w:r>
        <w:rPr>
          <w:rFonts w:hint="eastAsia" w:cs="微软雅黑" w:asciiTheme="minorEastAsia" w:hAnsiTheme="minorEastAsia"/>
          <w:sz w:val="24"/>
        </w:rPr>
        <w:t>。</w:t>
      </w:r>
    </w:p>
    <w:p w14:paraId="2EBF5870">
      <w:pPr>
        <w:topLinePunct/>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3</w:t>
      </w:r>
      <w:r>
        <w:rPr>
          <w:rFonts w:cs="微软雅黑" w:asciiTheme="minorEastAsia" w:hAnsiTheme="minorEastAsia"/>
          <w:sz w:val="24"/>
        </w:rPr>
        <w:t>.</w:t>
      </w:r>
      <w:r>
        <w:rPr>
          <w:rFonts w:hint="eastAsia" w:cs="微软雅黑" w:asciiTheme="minorEastAsia" w:hAnsiTheme="minorEastAsia"/>
          <w:sz w:val="24"/>
        </w:rPr>
        <w:t>服务内容：完成通化县</w:t>
      </w:r>
      <w:r>
        <w:rPr>
          <w:rFonts w:cs="微软雅黑" w:asciiTheme="minorEastAsia" w:hAnsiTheme="minorEastAsia"/>
          <w:sz w:val="24"/>
        </w:rPr>
        <w:t>2025</w:t>
      </w:r>
      <w:r>
        <w:rPr>
          <w:rFonts w:hint="eastAsia" w:cs="微软雅黑" w:asciiTheme="minorEastAsia" w:hAnsiTheme="minorEastAsia"/>
          <w:sz w:val="24"/>
        </w:rPr>
        <w:t>年侵蚀沟治理项目（大泉源乡、英额布镇、富江乡治理项目区）工程监理服务工作，包含但不限于施工准备阶段、施工阶段、工程竣工验收阶段、竣工资料整理、竣工结算等阶段提供全过程监理服务。</w:t>
      </w:r>
    </w:p>
    <w:p w14:paraId="43F7858F">
      <w:pPr>
        <w:topLinePunct/>
        <w:spacing w:line="360" w:lineRule="auto"/>
        <w:ind w:firstLine="480" w:firstLineChars="200"/>
        <w:rPr>
          <w:rFonts w:asciiTheme="minorEastAsia" w:hAnsiTheme="minorEastAsia"/>
          <w:sz w:val="24"/>
        </w:rPr>
      </w:pPr>
      <w:r>
        <w:rPr>
          <w:rFonts w:asciiTheme="minorEastAsia" w:hAnsiTheme="minorEastAsia"/>
          <w:sz w:val="24"/>
        </w:rPr>
        <w:t>4.</w:t>
      </w:r>
      <w:r>
        <w:rPr>
          <w:rFonts w:hint="eastAsia" w:cs="微软雅黑" w:asciiTheme="minorEastAsia" w:hAnsiTheme="minorEastAsia"/>
          <w:sz w:val="24"/>
        </w:rPr>
        <w:t>预算金须</w:t>
      </w:r>
      <w:r>
        <w:rPr>
          <w:rFonts w:hint="eastAsia" w:asciiTheme="minorEastAsia" w:hAnsiTheme="minorEastAsia"/>
          <w:sz w:val="24"/>
        </w:rPr>
        <w:t>(</w:t>
      </w:r>
      <w:r>
        <w:rPr>
          <w:rFonts w:hint="eastAsia" w:cs="微软雅黑" w:asciiTheme="minorEastAsia" w:hAnsiTheme="minorEastAsia"/>
          <w:sz w:val="24"/>
        </w:rPr>
        <w:t>元</w:t>
      </w: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80.600.00</w:t>
      </w:r>
      <w:r>
        <w:rPr>
          <w:rFonts w:hint="eastAsia" w:cs="微软雅黑" w:asciiTheme="minorEastAsia" w:hAnsiTheme="minorEastAsia"/>
          <w:sz w:val="24"/>
        </w:rPr>
        <w:t>元，大写</w:t>
      </w:r>
      <w:r>
        <w:rPr>
          <w:rFonts w:hint="eastAsia" w:asciiTheme="minorEastAsia" w:hAnsiTheme="minorEastAsia"/>
          <w:sz w:val="24"/>
        </w:rPr>
        <w:t>(</w:t>
      </w:r>
      <w:r>
        <w:rPr>
          <w:rFonts w:hint="eastAsia" w:cs="微软雅黑" w:asciiTheme="minorEastAsia" w:hAnsiTheme="minorEastAsia"/>
          <w:sz w:val="24"/>
        </w:rPr>
        <w:t>人民币</w:t>
      </w:r>
      <w:r>
        <w:rPr>
          <w:rFonts w:hint="eastAsia" w:asciiTheme="minorEastAsia" w:hAnsiTheme="minorEastAsia"/>
          <w:sz w:val="24"/>
        </w:rPr>
        <w:t>)：</w:t>
      </w:r>
      <w:r>
        <w:rPr>
          <w:rFonts w:hint="eastAsia" w:cs="微软雅黑" w:asciiTheme="minorEastAsia" w:hAnsiTheme="minorEastAsia"/>
          <w:sz w:val="24"/>
        </w:rPr>
        <w:t>肆拾捌万零陆佰元整</w:t>
      </w:r>
    </w:p>
    <w:p w14:paraId="59F1B3E0">
      <w:pPr>
        <w:topLinePunct/>
        <w:spacing w:line="360" w:lineRule="auto"/>
        <w:rPr>
          <w:rFonts w:asciiTheme="minorEastAsia" w:hAnsiTheme="minorEastAsia"/>
          <w:sz w:val="24"/>
        </w:rPr>
      </w:pPr>
      <w:r>
        <w:rPr>
          <w:rFonts w:asciiTheme="minorEastAsia" w:hAnsiTheme="minorEastAsia"/>
          <w:sz w:val="24"/>
        </w:rPr>
        <w:t xml:space="preserve"> </w:t>
      </w:r>
      <w:r>
        <w:rPr>
          <w:rFonts w:hint="eastAsia" w:asciiTheme="minorEastAsia" w:hAnsiTheme="minorEastAsia"/>
          <w:b/>
          <w:sz w:val="28"/>
          <w:szCs w:val="28"/>
        </w:rPr>
        <w:t>二、拟采购标的的技术要求</w:t>
      </w:r>
    </w:p>
    <w:p w14:paraId="2A46FAD8">
      <w:pPr>
        <w:topLinePunct/>
        <w:spacing w:line="360" w:lineRule="auto"/>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标的名称：通化县</w:t>
      </w:r>
      <w:r>
        <w:rPr>
          <w:rFonts w:asciiTheme="minorEastAsia" w:hAnsiTheme="minorEastAsia"/>
          <w:sz w:val="24"/>
        </w:rPr>
        <w:t>2025</w:t>
      </w:r>
      <w:r>
        <w:rPr>
          <w:rFonts w:hint="eastAsia" w:asciiTheme="minorEastAsia" w:hAnsiTheme="minorEastAsia"/>
          <w:sz w:val="24"/>
        </w:rPr>
        <w:t>年侵蚀沟治理项目（大泉源乡、英额布镇、富江乡治理项目区）工程监理服务</w:t>
      </w:r>
    </w:p>
    <w:p w14:paraId="6403581B">
      <w:pPr>
        <w:topLinePunct/>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监理质量标准：符合国家现行标准《建设工程监理规范》要求。</w:t>
      </w:r>
    </w:p>
    <w:p w14:paraId="1C5E671C">
      <w:pPr>
        <w:topLinePunct/>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技术履约验收内容：</w:t>
      </w:r>
      <w:bookmarkStart w:id="164" w:name="OLE_LINK1"/>
      <w:bookmarkStart w:id="165" w:name="OLE_LINK2"/>
      <w:r>
        <w:rPr>
          <w:rFonts w:hint="eastAsia" w:asciiTheme="minorEastAsia" w:hAnsiTheme="minorEastAsia"/>
          <w:sz w:val="24"/>
        </w:rPr>
        <w:t>符合《水利水电工程施工质量检验与评定规程》</w:t>
      </w:r>
      <w:r>
        <w:rPr>
          <w:rFonts w:asciiTheme="minorEastAsia" w:hAnsiTheme="minorEastAsia"/>
          <w:sz w:val="24"/>
        </w:rPr>
        <w:t xml:space="preserve"> (SL176-2007) </w:t>
      </w:r>
      <w:r>
        <w:rPr>
          <w:rFonts w:hint="eastAsia" w:asciiTheme="minorEastAsia" w:hAnsiTheme="minorEastAsia"/>
          <w:sz w:val="24"/>
        </w:rPr>
        <w:t>及《水利水电建设工程验收规程》</w:t>
      </w:r>
      <w:r>
        <w:rPr>
          <w:rFonts w:asciiTheme="minorEastAsia" w:hAnsiTheme="minorEastAsia"/>
          <w:sz w:val="24"/>
        </w:rPr>
        <w:t xml:space="preserve"> (SL223-2008) </w:t>
      </w:r>
      <w:r>
        <w:rPr>
          <w:rFonts w:hint="eastAsia" w:asciiTheme="minorEastAsia" w:hAnsiTheme="minorEastAsia"/>
          <w:sz w:val="24"/>
        </w:rPr>
        <w:t>标准的合格工程</w:t>
      </w:r>
      <w:bookmarkEnd w:id="164"/>
      <w:bookmarkEnd w:id="165"/>
      <w:r>
        <w:rPr>
          <w:rFonts w:hint="eastAsia" w:asciiTheme="minorEastAsia" w:hAnsiTheme="minorEastAsia"/>
          <w:sz w:val="24"/>
        </w:rPr>
        <w:t>。</w:t>
      </w:r>
    </w:p>
    <w:p w14:paraId="3B6320AC">
      <w:pPr>
        <w:topLinePunct/>
        <w:spacing w:line="360" w:lineRule="auto"/>
        <w:rPr>
          <w:rFonts w:asciiTheme="minorEastAsia" w:hAnsiTheme="minorEastAsia"/>
          <w:b/>
          <w:sz w:val="28"/>
          <w:szCs w:val="28"/>
        </w:rPr>
      </w:pPr>
      <w:r>
        <w:rPr>
          <w:rFonts w:hint="eastAsia" w:asciiTheme="minorEastAsia" w:hAnsiTheme="minorEastAsia"/>
          <w:b/>
          <w:sz w:val="28"/>
          <w:szCs w:val="28"/>
        </w:rPr>
        <w:t>三、商务要求</w:t>
      </w:r>
    </w:p>
    <w:p w14:paraId="4750562B">
      <w:pPr>
        <w:topLinePunct/>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.执行政府采购促进中小企业发展的相关政策</w:t>
      </w:r>
    </w:p>
    <w:p w14:paraId="70288940">
      <w:pPr>
        <w:topLinePunct/>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专门面向中小企业采购</w:t>
      </w:r>
    </w:p>
    <w:p w14:paraId="7EE69CA3">
      <w:pPr>
        <w:topLinePunct/>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面向的企业规模：中小企业</w:t>
      </w:r>
    </w:p>
    <w:p w14:paraId="227A0C58">
      <w:pPr>
        <w:topLinePunct/>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预留形式：专门采购包预留</w:t>
      </w:r>
    </w:p>
    <w:p w14:paraId="7290AB58">
      <w:pPr>
        <w:topLinePunct/>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预留比例：</w:t>
      </w:r>
      <w:r>
        <w:rPr>
          <w:rFonts w:asciiTheme="minorEastAsia" w:hAnsiTheme="minorEastAsia"/>
          <w:sz w:val="24"/>
        </w:rPr>
        <w:t>100.00%</w:t>
      </w:r>
    </w:p>
    <w:p w14:paraId="6CBE57EE">
      <w:pPr>
        <w:topLinePunct/>
        <w:spacing w:line="360" w:lineRule="auto"/>
        <w:ind w:firstLine="480" w:firstLineChars="200"/>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 xml:space="preserve"> 合同管理安排</w:t>
      </w:r>
    </w:p>
    <w:p w14:paraId="7194A31C">
      <w:pPr>
        <w:topLinePunct/>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合同类型：委托合同</w:t>
      </w:r>
    </w:p>
    <w:p w14:paraId="73AC3AA3">
      <w:pPr>
        <w:topLinePunct/>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合同定价方式：固定总价</w:t>
      </w:r>
    </w:p>
    <w:p w14:paraId="3CDB7A7C">
      <w:pPr>
        <w:topLinePunct/>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合同履行期限：</w:t>
      </w:r>
      <w:r>
        <w:rPr>
          <w:rFonts w:asciiTheme="minorEastAsia" w:hAnsiTheme="minorEastAsia"/>
          <w:sz w:val="24"/>
        </w:rPr>
        <w:t>自监理合同签订之日起至工程竣工验收合格之日止</w:t>
      </w:r>
      <w:r>
        <w:rPr>
          <w:rFonts w:hint="eastAsia" w:asciiTheme="minorEastAsia" w:hAnsiTheme="minorEastAsia"/>
          <w:sz w:val="24"/>
        </w:rPr>
        <w:t>。</w:t>
      </w:r>
    </w:p>
    <w:p w14:paraId="2474267C">
      <w:pPr>
        <w:topLinePunct/>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合同履约地点：通化县境内</w:t>
      </w:r>
    </w:p>
    <w:p w14:paraId="11B3E748">
      <w:pPr>
        <w:topLinePunct/>
        <w:spacing w:line="360" w:lineRule="auto"/>
        <w:ind w:firstLine="480" w:firstLineChars="200"/>
        <w:rPr>
          <w:rFonts w:asciiTheme="minorEastAsia" w:hAnsiTheme="minorEastAsia"/>
          <w:sz w:val="24"/>
        </w:rPr>
      </w:pPr>
      <w:r>
        <w:rPr>
          <w:rFonts w:asciiTheme="minorEastAsia" w:hAnsiTheme="minorEastAsia"/>
          <w:sz w:val="24"/>
        </w:rPr>
        <w:t>5)</w:t>
      </w:r>
      <w:r>
        <w:rPr>
          <w:rFonts w:hint="eastAsia" w:asciiTheme="minorEastAsia" w:hAnsiTheme="minorEastAsia"/>
          <w:sz w:val="24"/>
        </w:rPr>
        <w:t>履约保证金及缴纳形式：中标</w:t>
      </w:r>
      <w:r>
        <w:rPr>
          <w:rFonts w:asciiTheme="minorEastAsia" w:hAnsiTheme="minorEastAsia"/>
          <w:sz w:val="24"/>
        </w:rPr>
        <w:t>/</w:t>
      </w:r>
      <w:r>
        <w:rPr>
          <w:rFonts w:hint="eastAsia" w:asciiTheme="minorEastAsia" w:hAnsiTheme="minorEastAsia"/>
          <w:sz w:val="24"/>
        </w:rPr>
        <w:t>成交供应商是否需要缴纳履约保证金：否</w:t>
      </w:r>
    </w:p>
    <w:p w14:paraId="6232A457">
      <w:pPr>
        <w:topLinePunct/>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 xml:space="preserve"> 合同支付约定：</w:t>
      </w:r>
    </w:p>
    <w:p w14:paraId="1D6FB967">
      <w:pPr>
        <w:topLinePunct/>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）付款条件说明：工程完工后，且监理资料提交齐全后支付，达到付款条件起</w:t>
      </w:r>
      <w:r>
        <w:rPr>
          <w:rFonts w:asciiTheme="minorEastAsia" w:hAnsiTheme="minorEastAsia"/>
          <w:sz w:val="24"/>
        </w:rPr>
        <w:t xml:space="preserve">30 </w:t>
      </w:r>
      <w:r>
        <w:rPr>
          <w:rFonts w:hint="eastAsia" w:asciiTheme="minorEastAsia" w:hAnsiTheme="minorEastAsia"/>
          <w:sz w:val="24"/>
        </w:rPr>
        <w:t>日，支付合同金额的</w:t>
      </w:r>
      <w:r>
        <w:rPr>
          <w:rFonts w:asciiTheme="minorEastAsia" w:hAnsiTheme="minorEastAsia"/>
          <w:sz w:val="24"/>
        </w:rPr>
        <w:t>100.00%</w:t>
      </w:r>
      <w:r>
        <w:rPr>
          <w:rFonts w:hint="eastAsia" w:asciiTheme="minorEastAsia" w:hAnsiTheme="minorEastAsia"/>
          <w:sz w:val="24"/>
        </w:rPr>
        <w:t>。</w:t>
      </w:r>
    </w:p>
    <w:p w14:paraId="4CC1BF98">
      <w:pPr>
        <w:widowControl/>
        <w:jc w:val="left"/>
        <w:rPr>
          <w:rFonts w:asciiTheme="minorEastAsia" w:hAnsiTheme="minorEastAsia"/>
          <w:sz w:val="24"/>
        </w:rPr>
      </w:pPr>
      <w:r>
        <w:rPr>
          <w:rFonts w:asciiTheme="minorEastAsia" w:hAnsiTheme="minorEastAsia"/>
          <w:sz w:val="24"/>
        </w:rPr>
        <w:br w:type="page"/>
      </w:r>
    </w:p>
    <w:p w14:paraId="7582446D">
      <w:pPr>
        <w:pStyle w:val="2"/>
        <w:kinsoku/>
        <w:topLinePunct/>
        <w:autoSpaceDE/>
        <w:autoSpaceDN/>
        <w:spacing w:before="140" w:line="222" w:lineRule="auto"/>
        <w:ind w:left="420"/>
        <w:jc w:val="center"/>
        <w:outlineLvl w:val="0"/>
        <w:rPr>
          <w:rFonts w:hint="default"/>
          <w:sz w:val="43"/>
          <w:szCs w:val="43"/>
        </w:rPr>
      </w:pPr>
      <w:bookmarkStart w:id="166" w:name="_Toc200025593"/>
      <w:bookmarkStart w:id="167" w:name="_Toc199944419"/>
      <w:r>
        <w:rPr>
          <w:spacing w:val="4"/>
          <w:sz w:val="43"/>
          <w:szCs w:val="43"/>
          <w14:textOutline w14:w="7975" w14:cap="sq" w14:cmpd="sng" w14:algn="ctr">
            <w14:solidFill>
              <w14:srgbClr w14:val="000000"/>
            </w14:solidFill>
            <w14:prstDash w14:val="solid"/>
            <w14:bevel/>
          </w14:textOutline>
        </w:rPr>
        <w:t>第六章 响应文件格式</w:t>
      </w:r>
      <w:bookmarkEnd w:id="166"/>
      <w:bookmarkEnd w:id="167"/>
    </w:p>
    <w:p w14:paraId="6D771C4F">
      <w:pPr>
        <w:topLinePunct/>
        <w:spacing w:line="360" w:lineRule="auto"/>
        <w:ind w:firstLine="480" w:firstLineChars="200"/>
        <w:rPr>
          <w:rFonts w:asciiTheme="minorEastAsia" w:hAnsiTheme="minorEastAsia"/>
          <w:sz w:val="24"/>
        </w:rPr>
      </w:pPr>
    </w:p>
    <w:p w14:paraId="75E17EA4">
      <w:pPr>
        <w:widowControl/>
        <w:jc w:val="left"/>
        <w:rPr>
          <w:rFonts w:ascii="仿宋_GB2312" w:hAnsi="宋体" w:eastAsia="仿宋_GB2312"/>
          <w:sz w:val="24"/>
        </w:rPr>
      </w:pPr>
      <w:r>
        <w:rPr>
          <w:rFonts w:ascii="仿宋_GB2312" w:hAnsi="宋体" w:eastAsia="仿宋_GB2312"/>
          <w:sz w:val="24"/>
        </w:rPr>
        <w:br w:type="page"/>
      </w:r>
    </w:p>
    <w:p w14:paraId="360A7BFE">
      <w:pPr>
        <w:pStyle w:val="2"/>
        <w:kinsoku/>
        <w:topLinePunct/>
        <w:autoSpaceDE/>
        <w:autoSpaceDN/>
        <w:spacing w:before="101" w:line="225" w:lineRule="auto"/>
        <w:ind w:left="420"/>
        <w:rPr>
          <w:rFonts w:hint="default"/>
          <w:spacing w:val="-2"/>
          <w14:textOutline w14:w="5791" w14:cap="sq" w14:cmpd="sng" w14:algn="ctr">
            <w14:solidFill>
              <w14:srgbClr w14:val="000000"/>
            </w14:solidFill>
            <w14:prstDash w14:val="solid"/>
            <w14:bevel/>
          </w14:textOutline>
        </w:rPr>
      </w:pPr>
    </w:p>
    <w:p w14:paraId="7B9CE58C">
      <w:pPr>
        <w:pStyle w:val="2"/>
        <w:kinsoku/>
        <w:topLinePunct/>
        <w:autoSpaceDE/>
        <w:autoSpaceDN/>
        <w:spacing w:before="101" w:line="225" w:lineRule="auto"/>
        <w:ind w:left="420"/>
        <w:rPr>
          <w:rFonts w:hint="default"/>
          <w:spacing w:val="-2"/>
          <w14:textOutline w14:w="5791" w14:cap="sq" w14:cmpd="sng" w14:algn="ctr">
            <w14:solidFill>
              <w14:srgbClr w14:val="000000"/>
            </w14:solidFill>
            <w14:prstDash w14:val="solid"/>
            <w14:bevel/>
          </w14:textOutline>
        </w:rPr>
      </w:pPr>
    </w:p>
    <w:p w14:paraId="38B88321">
      <w:pPr>
        <w:pStyle w:val="2"/>
        <w:kinsoku/>
        <w:topLinePunct/>
        <w:autoSpaceDE/>
        <w:autoSpaceDN/>
        <w:spacing w:before="101" w:line="225" w:lineRule="auto"/>
        <w:ind w:left="420"/>
        <w:jc w:val="center"/>
        <w:rPr>
          <w:rFonts w:hint="default"/>
        </w:rPr>
      </w:pPr>
      <w:r>
        <w:rPr>
          <w:spacing w:val="-2"/>
          <w14:textOutline w14:w="5791" w14:cap="sq" w14:cmpd="sng" w14:algn="ctr">
            <w14:solidFill>
              <w14:srgbClr w14:val="000000"/>
            </w14:solidFill>
            <w14:prstDash w14:val="solid"/>
            <w14:bevel/>
          </w14:textOutline>
        </w:rPr>
        <w:t>(项目名称)</w:t>
      </w:r>
    </w:p>
    <w:p w14:paraId="5A1C7397">
      <w:pPr>
        <w:topLinePunct/>
        <w:spacing w:line="257" w:lineRule="auto"/>
      </w:pPr>
    </w:p>
    <w:p w14:paraId="753660F8">
      <w:pPr>
        <w:topLinePunct/>
        <w:spacing w:line="257" w:lineRule="auto"/>
      </w:pPr>
    </w:p>
    <w:p w14:paraId="15731C6E">
      <w:pPr>
        <w:topLinePunct/>
        <w:spacing w:line="257" w:lineRule="auto"/>
      </w:pPr>
    </w:p>
    <w:p w14:paraId="12117A89">
      <w:pPr>
        <w:topLinePunct/>
        <w:spacing w:line="258" w:lineRule="auto"/>
      </w:pPr>
    </w:p>
    <w:p w14:paraId="0E8CDC20">
      <w:pPr>
        <w:topLinePunct/>
        <w:spacing w:line="258" w:lineRule="auto"/>
      </w:pPr>
    </w:p>
    <w:p w14:paraId="5D410DA6">
      <w:pPr>
        <w:topLinePunct/>
        <w:spacing w:line="258" w:lineRule="auto"/>
      </w:pPr>
    </w:p>
    <w:p w14:paraId="275FC2BA">
      <w:pPr>
        <w:topLinePunct/>
        <w:spacing w:line="258" w:lineRule="auto"/>
      </w:pPr>
    </w:p>
    <w:p w14:paraId="6C164DFA">
      <w:pPr>
        <w:topLinePunct/>
        <w:spacing w:line="258" w:lineRule="auto"/>
      </w:pPr>
    </w:p>
    <w:p w14:paraId="4AC18727">
      <w:pPr>
        <w:topLinePunct/>
        <w:jc w:val="center"/>
        <w:rPr>
          <w:rFonts w:asciiTheme="minorEastAsia" w:hAnsiTheme="minorEastAsia"/>
          <w:b/>
          <w:sz w:val="84"/>
          <w:szCs w:val="84"/>
        </w:rPr>
      </w:pPr>
      <w:bookmarkStart w:id="168" w:name="_Toc20790"/>
      <w:r>
        <w:rPr>
          <w:rFonts w:hint="eastAsia" w:cs="微软雅黑" w:asciiTheme="minorEastAsia" w:hAnsiTheme="minorEastAsia"/>
          <w:b/>
          <w:sz w:val="84"/>
          <w:szCs w:val="84"/>
        </w:rPr>
        <w:t>响应文件</w:t>
      </w:r>
      <w:bookmarkEnd w:id="168"/>
    </w:p>
    <w:p w14:paraId="49FB79EE">
      <w:pPr>
        <w:topLinePunct/>
        <w:spacing w:line="246" w:lineRule="auto"/>
      </w:pPr>
    </w:p>
    <w:p w14:paraId="605A813F">
      <w:pPr>
        <w:topLinePunct/>
        <w:spacing w:line="246" w:lineRule="auto"/>
      </w:pPr>
    </w:p>
    <w:p w14:paraId="1FD1808B">
      <w:pPr>
        <w:topLinePunct/>
        <w:spacing w:line="246" w:lineRule="auto"/>
      </w:pPr>
    </w:p>
    <w:p w14:paraId="231F6692">
      <w:pPr>
        <w:topLinePunct/>
        <w:spacing w:line="247" w:lineRule="auto"/>
      </w:pPr>
    </w:p>
    <w:p w14:paraId="0A7EEA78">
      <w:pPr>
        <w:topLinePunct/>
        <w:spacing w:line="247" w:lineRule="auto"/>
      </w:pPr>
    </w:p>
    <w:p w14:paraId="47BBC18A">
      <w:pPr>
        <w:topLinePunct/>
        <w:spacing w:line="247" w:lineRule="auto"/>
      </w:pPr>
    </w:p>
    <w:p w14:paraId="113B4D20">
      <w:pPr>
        <w:topLinePunct/>
        <w:spacing w:line="247" w:lineRule="auto"/>
      </w:pPr>
    </w:p>
    <w:p w14:paraId="59D88CD9">
      <w:pPr>
        <w:topLinePunct/>
        <w:spacing w:line="247" w:lineRule="auto"/>
      </w:pPr>
    </w:p>
    <w:p w14:paraId="6698DD5E">
      <w:pPr>
        <w:topLinePunct/>
        <w:spacing w:line="247" w:lineRule="auto"/>
      </w:pPr>
    </w:p>
    <w:p w14:paraId="22278C1B">
      <w:pPr>
        <w:topLinePunct/>
        <w:spacing w:line="247" w:lineRule="auto"/>
      </w:pPr>
    </w:p>
    <w:p w14:paraId="3894EC15">
      <w:pPr>
        <w:topLinePunct/>
        <w:spacing w:line="247" w:lineRule="auto"/>
      </w:pPr>
    </w:p>
    <w:p w14:paraId="2A22F9E0">
      <w:pPr>
        <w:topLinePunct/>
        <w:spacing w:line="247" w:lineRule="auto"/>
      </w:pPr>
    </w:p>
    <w:p w14:paraId="7B998BE4">
      <w:pPr>
        <w:topLinePunct/>
        <w:spacing w:line="247" w:lineRule="auto"/>
      </w:pPr>
    </w:p>
    <w:p w14:paraId="0A677551">
      <w:pPr>
        <w:pStyle w:val="2"/>
        <w:kinsoku/>
        <w:topLinePunct/>
        <w:autoSpaceDE/>
        <w:autoSpaceDN/>
        <w:spacing w:before="91" w:line="219" w:lineRule="auto"/>
        <w:ind w:left="420"/>
        <w:rPr>
          <w:rFonts w:hint="default"/>
          <w:sz w:val="28"/>
          <w:szCs w:val="28"/>
        </w:rPr>
      </w:pPr>
      <w:r>
        <w:rPr>
          <w:spacing w:val="-6"/>
          <w:sz w:val="28"/>
          <w:szCs w:val="28"/>
        </w:rPr>
        <w:t>供应商：(盖单位公章)</w:t>
      </w:r>
    </w:p>
    <w:p w14:paraId="4F075628">
      <w:pPr>
        <w:topLinePunct/>
        <w:spacing w:line="373" w:lineRule="auto"/>
      </w:pPr>
    </w:p>
    <w:p w14:paraId="46389BB2">
      <w:pPr>
        <w:pStyle w:val="2"/>
        <w:kinsoku/>
        <w:topLinePunct/>
        <w:autoSpaceDE/>
        <w:autoSpaceDN/>
        <w:spacing w:before="91" w:line="220" w:lineRule="auto"/>
        <w:ind w:left="420"/>
        <w:rPr>
          <w:rFonts w:hint="default"/>
          <w:sz w:val="28"/>
          <w:szCs w:val="28"/>
        </w:rPr>
      </w:pPr>
      <w:r>
        <w:rPr>
          <w:spacing w:val="-2"/>
          <w:sz w:val="28"/>
          <w:szCs w:val="28"/>
        </w:rPr>
        <w:t>法定代表人或其委托代理人：</w:t>
      </w:r>
      <w:r>
        <w:rPr>
          <w:spacing w:val="-3"/>
          <w:sz w:val="28"/>
          <w:szCs w:val="28"/>
        </w:rPr>
        <w:t>(签字)</w:t>
      </w:r>
    </w:p>
    <w:p w14:paraId="045E958F">
      <w:pPr>
        <w:topLinePunct/>
        <w:spacing w:line="374" w:lineRule="auto"/>
      </w:pPr>
    </w:p>
    <w:p w14:paraId="081E165B">
      <w:pPr>
        <w:pStyle w:val="2"/>
        <w:kinsoku/>
        <w:topLinePunct/>
        <w:autoSpaceDE/>
        <w:autoSpaceDN/>
        <w:spacing w:before="91" w:line="220" w:lineRule="auto"/>
        <w:ind w:left="420"/>
        <w:rPr>
          <w:rFonts w:hint="default"/>
          <w:spacing w:val="-15"/>
          <w:sz w:val="28"/>
          <w:szCs w:val="28"/>
        </w:rPr>
      </w:pPr>
      <w:r>
        <w:rPr>
          <w:spacing w:val="-15"/>
          <w:sz w:val="28"/>
          <w:szCs w:val="28"/>
        </w:rPr>
        <w:t xml:space="preserve">日期： </w:t>
      </w:r>
      <w:r>
        <w:rPr>
          <w:rFonts w:hint="default"/>
          <w:spacing w:val="-15"/>
          <w:sz w:val="28"/>
          <w:szCs w:val="28"/>
        </w:rPr>
        <w:t xml:space="preserve"> </w:t>
      </w:r>
      <w:r>
        <w:rPr>
          <w:spacing w:val="-15"/>
          <w:sz w:val="28"/>
          <w:szCs w:val="28"/>
        </w:rPr>
        <w:t xml:space="preserve">年 </w:t>
      </w:r>
      <w:r>
        <w:rPr>
          <w:rFonts w:hint="default"/>
          <w:spacing w:val="-15"/>
          <w:sz w:val="28"/>
          <w:szCs w:val="28"/>
        </w:rPr>
        <w:t xml:space="preserve"> </w:t>
      </w:r>
      <w:r>
        <w:rPr>
          <w:spacing w:val="-15"/>
          <w:sz w:val="28"/>
          <w:szCs w:val="28"/>
        </w:rPr>
        <w:t xml:space="preserve">月 </w:t>
      </w:r>
      <w:r>
        <w:rPr>
          <w:rFonts w:hint="default"/>
          <w:spacing w:val="-15"/>
          <w:sz w:val="28"/>
          <w:szCs w:val="28"/>
        </w:rPr>
        <w:t xml:space="preserve"> </w:t>
      </w:r>
      <w:r>
        <w:rPr>
          <w:spacing w:val="-15"/>
          <w:sz w:val="28"/>
          <w:szCs w:val="28"/>
        </w:rPr>
        <w:t>日</w:t>
      </w:r>
    </w:p>
    <w:p w14:paraId="7A34A0A5">
      <w:pPr>
        <w:widowControl/>
        <w:jc w:val="left"/>
        <w:rPr>
          <w:rFonts w:ascii="宋体" w:hAnsi="宋体" w:eastAsia="宋体" w:cs="Times New Roman"/>
          <w:color w:val="000000"/>
          <w:spacing w:val="-15"/>
          <w:kern w:val="0"/>
          <w:sz w:val="28"/>
          <w:szCs w:val="28"/>
        </w:rPr>
      </w:pPr>
      <w:r>
        <w:rPr>
          <w:spacing w:val="-15"/>
          <w:sz w:val="28"/>
          <w:szCs w:val="28"/>
        </w:rPr>
        <w:br w:type="page"/>
      </w:r>
    </w:p>
    <w:p w14:paraId="331BDAB2">
      <w:pPr>
        <w:pStyle w:val="2"/>
        <w:kinsoku/>
        <w:topLinePunct/>
        <w:autoSpaceDE/>
        <w:autoSpaceDN/>
        <w:spacing w:before="136" w:line="227" w:lineRule="auto"/>
        <w:ind w:left="420"/>
        <w:jc w:val="center"/>
        <w:rPr>
          <w:rFonts w:hint="default" w:asciiTheme="minorEastAsia" w:hAnsiTheme="minorEastAsia" w:eastAsiaTheme="minorEastAsia"/>
          <w:sz w:val="32"/>
          <w:szCs w:val="32"/>
        </w:rPr>
      </w:pPr>
      <w:r>
        <w:rPr>
          <w:rFonts w:asciiTheme="minorEastAsia" w:hAnsiTheme="minorEastAsia" w:eastAsiaTheme="minorEastAsia"/>
          <w:spacing w:val="-33"/>
          <w:sz w:val="32"/>
          <w:szCs w:val="32"/>
        </w:rPr>
        <w:t>目录</w:t>
      </w:r>
    </w:p>
    <w:p w14:paraId="4C9DD131">
      <w:pPr>
        <w:topLinePunct/>
        <w:spacing w:line="256" w:lineRule="auto"/>
        <w:rPr>
          <w:rFonts w:asciiTheme="minorEastAsia" w:hAnsiTheme="minorEastAsia"/>
        </w:rPr>
      </w:pPr>
    </w:p>
    <w:p w14:paraId="7A368FC4">
      <w:pPr>
        <w:topLinePunct/>
        <w:spacing w:line="256" w:lineRule="auto"/>
        <w:rPr>
          <w:rFonts w:asciiTheme="minorEastAsia" w:hAnsiTheme="minorEastAsia"/>
        </w:rPr>
      </w:pPr>
    </w:p>
    <w:p w14:paraId="24888172">
      <w:pPr>
        <w:topLinePunct/>
        <w:spacing w:line="360" w:lineRule="auto"/>
        <w:rPr>
          <w:rFonts w:asciiTheme="minorEastAsia" w:hAnsiTheme="minorEastAsia"/>
          <w:sz w:val="24"/>
        </w:rPr>
      </w:pPr>
      <w:r>
        <w:rPr>
          <w:rFonts w:hint="eastAsia" w:cs="微软雅黑" w:asciiTheme="minorEastAsia" w:hAnsiTheme="minorEastAsia"/>
          <w:sz w:val="24"/>
        </w:rPr>
        <w:t>一、投标函及投标函附录</w:t>
      </w:r>
    </w:p>
    <w:p w14:paraId="14421989">
      <w:pPr>
        <w:topLinePunct/>
        <w:spacing w:line="360" w:lineRule="auto"/>
        <w:rPr>
          <w:rFonts w:asciiTheme="minorEastAsia" w:hAnsiTheme="minorEastAsia"/>
          <w:sz w:val="24"/>
        </w:rPr>
      </w:pPr>
      <w:r>
        <w:rPr>
          <w:rFonts w:hint="eastAsia" w:cs="微软雅黑" w:asciiTheme="minorEastAsia" w:hAnsiTheme="minorEastAsia"/>
          <w:sz w:val="24"/>
        </w:rPr>
        <w:t>二、法定代表人身份证明、授权委托书</w:t>
      </w:r>
    </w:p>
    <w:p w14:paraId="3C44E87B">
      <w:pPr>
        <w:topLinePunct/>
        <w:spacing w:line="360" w:lineRule="auto"/>
        <w:rPr>
          <w:rFonts w:asciiTheme="minorEastAsia" w:hAnsiTheme="minorEastAsia"/>
          <w:sz w:val="24"/>
        </w:rPr>
      </w:pPr>
      <w:r>
        <w:rPr>
          <w:rFonts w:hint="eastAsia" w:cs="微软雅黑" w:asciiTheme="minorEastAsia" w:hAnsiTheme="minorEastAsia"/>
          <w:sz w:val="24"/>
        </w:rPr>
        <w:t>三、开标一览表</w:t>
      </w:r>
    </w:p>
    <w:p w14:paraId="1EC12DA5">
      <w:pPr>
        <w:topLinePunct/>
        <w:spacing w:line="360" w:lineRule="auto"/>
        <w:rPr>
          <w:rFonts w:asciiTheme="minorEastAsia" w:hAnsiTheme="minorEastAsia"/>
          <w:sz w:val="24"/>
        </w:rPr>
      </w:pPr>
      <w:r>
        <w:rPr>
          <w:rFonts w:hint="eastAsia" w:cs="微软雅黑" w:asciiTheme="minorEastAsia" w:hAnsiTheme="minorEastAsia"/>
          <w:sz w:val="24"/>
        </w:rPr>
        <w:t>四、投标保证金</w:t>
      </w:r>
    </w:p>
    <w:p w14:paraId="24BB06C9">
      <w:pPr>
        <w:topLinePunct/>
        <w:spacing w:line="360" w:lineRule="auto"/>
        <w:rPr>
          <w:rFonts w:asciiTheme="minorEastAsia" w:hAnsiTheme="minorEastAsia"/>
          <w:sz w:val="24"/>
        </w:rPr>
      </w:pPr>
      <w:r>
        <w:rPr>
          <w:rFonts w:hint="eastAsia" w:cs="微软雅黑" w:asciiTheme="minorEastAsia" w:hAnsiTheme="minorEastAsia"/>
          <w:sz w:val="24"/>
        </w:rPr>
        <w:t>五、供应商基本情况表</w:t>
      </w:r>
    </w:p>
    <w:p w14:paraId="4D8C679E">
      <w:pPr>
        <w:topLinePunct/>
        <w:spacing w:line="360" w:lineRule="auto"/>
        <w:rPr>
          <w:rFonts w:asciiTheme="minorEastAsia" w:hAnsiTheme="minorEastAsia"/>
          <w:sz w:val="24"/>
        </w:rPr>
      </w:pPr>
      <w:r>
        <w:rPr>
          <w:rFonts w:hint="eastAsia" w:cs="微软雅黑" w:asciiTheme="minorEastAsia" w:hAnsiTheme="minorEastAsia"/>
          <w:sz w:val="24"/>
        </w:rPr>
        <w:t>六、监理大纲</w:t>
      </w:r>
    </w:p>
    <w:p w14:paraId="1124A9DB">
      <w:pPr>
        <w:topLinePunct/>
        <w:spacing w:line="360" w:lineRule="auto"/>
        <w:rPr>
          <w:rFonts w:asciiTheme="minorEastAsia" w:hAnsiTheme="minorEastAsia"/>
          <w:sz w:val="24"/>
        </w:rPr>
      </w:pPr>
      <w:r>
        <w:rPr>
          <w:rFonts w:hint="eastAsia" w:cs="微软雅黑" w:asciiTheme="minorEastAsia" w:hAnsiTheme="minorEastAsia"/>
          <w:sz w:val="24"/>
        </w:rPr>
        <w:t>七、其他材料</w:t>
      </w:r>
    </w:p>
    <w:p w14:paraId="4AC70EDC">
      <w:pPr>
        <w:widowControl/>
        <w:jc w:val="left"/>
        <w:rPr>
          <w:rFonts w:ascii="宋体" w:hAnsi="宋体" w:eastAsia="宋体" w:cs="Times New Roman"/>
          <w:color w:val="000000"/>
          <w:kern w:val="0"/>
          <w:sz w:val="28"/>
          <w:szCs w:val="28"/>
        </w:rPr>
      </w:pPr>
      <w:r>
        <w:rPr>
          <w:sz w:val="28"/>
          <w:szCs w:val="28"/>
        </w:rPr>
        <w:br w:type="page"/>
      </w:r>
    </w:p>
    <w:p w14:paraId="491EC988">
      <w:pPr>
        <w:pStyle w:val="2"/>
        <w:kinsoku/>
        <w:topLinePunct/>
        <w:autoSpaceDE/>
        <w:autoSpaceDN/>
        <w:spacing w:before="113" w:line="227" w:lineRule="auto"/>
        <w:jc w:val="center"/>
        <w:outlineLvl w:val="1"/>
        <w:rPr>
          <w:rFonts w:hint="default"/>
          <w:spacing w:val="8"/>
          <w:sz w:val="35"/>
          <w:szCs w:val="35"/>
          <w14:textOutline w14:w="6540" w14:cap="sq" w14:cmpd="sng" w14:algn="ctr">
            <w14:solidFill>
              <w14:srgbClr w14:val="000000"/>
            </w14:solidFill>
            <w14:prstDash w14:val="solid"/>
            <w14:bevel/>
          </w14:textOutline>
        </w:rPr>
      </w:pPr>
      <w:bookmarkStart w:id="169" w:name="_Toc200025594"/>
      <w:bookmarkStart w:id="170" w:name="_Toc199944420"/>
      <w:r>
        <w:rPr>
          <w:spacing w:val="8"/>
          <w:sz w:val="35"/>
          <w:szCs w:val="35"/>
          <w14:textOutline w14:w="6540" w14:cap="sq" w14:cmpd="sng" w14:algn="ctr">
            <w14:solidFill>
              <w14:srgbClr w14:val="000000"/>
            </w14:solidFill>
            <w14:prstDash w14:val="solid"/>
            <w14:bevel/>
          </w14:textOutline>
        </w:rPr>
        <w:t>一、响应函及响应函附录</w:t>
      </w:r>
      <w:bookmarkEnd w:id="169"/>
      <w:bookmarkEnd w:id="170"/>
    </w:p>
    <w:p w14:paraId="10B37183">
      <w:pPr>
        <w:topLinePunct/>
        <w:spacing w:line="272" w:lineRule="auto"/>
      </w:pPr>
    </w:p>
    <w:p w14:paraId="5E583BFA">
      <w:pPr>
        <w:pStyle w:val="2"/>
        <w:kinsoku/>
        <w:topLinePunct/>
        <w:autoSpaceDE/>
        <w:autoSpaceDN/>
        <w:spacing w:before="101" w:line="225" w:lineRule="auto"/>
        <w:jc w:val="center"/>
        <w:outlineLvl w:val="2"/>
        <w:rPr>
          <w:rFonts w:hint="default"/>
        </w:rPr>
      </w:pPr>
      <w:bookmarkStart w:id="171" w:name="_Toc11193"/>
      <w:bookmarkStart w:id="172" w:name="_Toc199944421"/>
      <w:r>
        <w:rPr>
          <w:spacing w:val="-3"/>
          <w14:textOutline w14:w="5791" w14:cap="sq" w14:cmpd="sng" w14:algn="ctr">
            <w14:solidFill>
              <w14:srgbClr w14:val="000000"/>
            </w14:solidFill>
            <w14:prstDash w14:val="solid"/>
            <w14:bevel/>
          </w14:textOutline>
        </w:rPr>
        <w:t>（一）响应函</w:t>
      </w:r>
      <w:bookmarkEnd w:id="171"/>
      <w:bookmarkEnd w:id="172"/>
    </w:p>
    <w:p w14:paraId="57FFA7BE">
      <w:pPr>
        <w:pStyle w:val="2"/>
        <w:kinsoku/>
        <w:topLinePunct/>
        <w:autoSpaceDE/>
        <w:autoSpaceDN/>
        <w:spacing w:before="205" w:line="220" w:lineRule="auto"/>
        <w:ind w:left="420"/>
        <w:rPr>
          <w:rFonts w:hint="default"/>
          <w:sz w:val="24"/>
          <w:szCs w:val="24"/>
        </w:rPr>
      </w:pPr>
      <w:r>
        <w:rPr>
          <w:spacing w:val="3"/>
          <w:sz w:val="24"/>
          <w:szCs w:val="24"/>
        </w:rPr>
        <w:t>致</w:t>
      </w:r>
      <w:r>
        <w:rPr>
          <w:spacing w:val="-16"/>
          <w:sz w:val="24"/>
          <w:szCs w:val="24"/>
        </w:rPr>
        <w:t>：（采购</w:t>
      </w:r>
      <w:r>
        <w:rPr>
          <w:spacing w:val="3"/>
          <w:sz w:val="24"/>
          <w:szCs w:val="24"/>
        </w:rPr>
        <w:t>人名称）</w:t>
      </w:r>
    </w:p>
    <w:p w14:paraId="33E13A49">
      <w:pPr>
        <w:topLinePunct/>
        <w:spacing w:line="360" w:lineRule="auto"/>
        <w:ind w:firstLine="480" w:firstLineChars="200"/>
        <w:rPr>
          <w:rFonts w:asciiTheme="minorEastAsia" w:hAnsiTheme="minorEastAsia"/>
          <w:sz w:val="24"/>
        </w:rPr>
      </w:pPr>
      <w:r>
        <w:rPr>
          <w:rFonts w:asciiTheme="minorEastAsia" w:hAnsiTheme="minorEastAsia"/>
          <w:sz w:val="24"/>
        </w:rPr>
        <w:t>1</w:t>
      </w:r>
      <w:r>
        <w:rPr>
          <w:rFonts w:hint="eastAsia" w:cs="微软雅黑" w:asciiTheme="minorEastAsia" w:hAnsiTheme="minorEastAsia"/>
          <w:sz w:val="24"/>
        </w:rPr>
        <w:t>、在考察现场并充分研究项目编号为的</w:t>
      </w:r>
      <w:r>
        <w:rPr>
          <w:rFonts w:hint="eastAsia" w:cs="微软雅黑" w:asciiTheme="minorEastAsia" w:hAnsiTheme="minorEastAsia"/>
          <w:sz w:val="24"/>
          <w:u w:val="single"/>
        </w:rPr>
        <w:t xml:space="preserve">（项目名称） </w:t>
      </w:r>
      <w:r>
        <w:rPr>
          <w:rFonts w:cs="微软雅黑" w:asciiTheme="minorEastAsia" w:hAnsiTheme="minorEastAsia"/>
          <w:sz w:val="24"/>
          <w:u w:val="single"/>
        </w:rPr>
        <w:t xml:space="preserve">        </w:t>
      </w:r>
      <w:r>
        <w:rPr>
          <w:rFonts w:hint="eastAsia" w:cs="微软雅黑" w:asciiTheme="minorEastAsia" w:hAnsiTheme="minorEastAsia"/>
          <w:sz w:val="24"/>
        </w:rPr>
        <w:t>（以下简称</w:t>
      </w:r>
      <w:r>
        <w:rPr>
          <w:rFonts w:asciiTheme="minorEastAsia" w:hAnsiTheme="minorEastAsia"/>
          <w:sz w:val="24"/>
        </w:rPr>
        <w:t>“</w:t>
      </w:r>
      <w:r>
        <w:rPr>
          <w:rFonts w:hint="eastAsia" w:cs="微软雅黑" w:asciiTheme="minorEastAsia" w:hAnsiTheme="minorEastAsia"/>
          <w:sz w:val="24"/>
        </w:rPr>
        <w:t>本工程</w:t>
      </w:r>
      <w:r>
        <w:rPr>
          <w:rFonts w:asciiTheme="minorEastAsia" w:hAnsiTheme="minorEastAsia"/>
          <w:sz w:val="24"/>
        </w:rPr>
        <w:t>”</w:t>
      </w:r>
      <w:r>
        <w:rPr>
          <w:rFonts w:hint="eastAsia" w:cs="微软雅黑" w:asciiTheme="minorEastAsia" w:hAnsiTheme="minorEastAsia"/>
          <w:sz w:val="24"/>
        </w:rPr>
        <w:t>）磋商文件的全部内容后，我方兹以：</w:t>
      </w:r>
      <w:r>
        <w:rPr>
          <w:rFonts w:hint="eastAsia" w:cs="微软雅黑" w:asciiTheme="minorEastAsia" w:hAnsiTheme="minorEastAsia"/>
          <w:sz w:val="24"/>
          <w:u w:val="single"/>
        </w:rPr>
        <w:t>（人民币）</w:t>
      </w:r>
      <w:r>
        <w:rPr>
          <w:rFonts w:hint="eastAsia" w:asciiTheme="minorEastAsia" w:hAnsiTheme="minorEastAsia"/>
          <w:sz w:val="24"/>
          <w:u w:val="single"/>
        </w:rPr>
        <w:t xml:space="preserve">     </w:t>
      </w:r>
      <w:r>
        <w:rPr>
          <w:rFonts w:hint="eastAsia" w:cs="微软雅黑" w:asciiTheme="minorEastAsia" w:hAnsiTheme="minorEastAsia"/>
          <w:sz w:val="24"/>
        </w:rPr>
        <w:t>元的磋商价格，我方将按照磋商文件的要求，提供并交付与其相一致的服务。</w:t>
      </w:r>
    </w:p>
    <w:p w14:paraId="772343A3">
      <w:pPr>
        <w:topLinePunct/>
        <w:spacing w:line="360" w:lineRule="auto"/>
        <w:ind w:firstLine="480" w:firstLineChars="200"/>
        <w:rPr>
          <w:rFonts w:asciiTheme="minorEastAsia" w:hAnsiTheme="minorEastAsia"/>
          <w:sz w:val="24"/>
        </w:rPr>
      </w:pPr>
      <w:r>
        <w:rPr>
          <w:rFonts w:asciiTheme="minorEastAsia" w:hAnsiTheme="minorEastAsia"/>
          <w:sz w:val="24"/>
        </w:rPr>
        <w:t>2</w:t>
      </w:r>
      <w:r>
        <w:rPr>
          <w:rFonts w:hint="eastAsia" w:cs="微软雅黑" w:asciiTheme="minorEastAsia" w:hAnsiTheme="minorEastAsia"/>
          <w:sz w:val="24"/>
        </w:rPr>
        <w:t>、我方承诺在磋商文件规定的响应有效期内不修改、撤销响应文件。</w:t>
      </w:r>
    </w:p>
    <w:p w14:paraId="347AA7B9">
      <w:pPr>
        <w:topLinePunct/>
        <w:spacing w:line="360" w:lineRule="auto"/>
        <w:ind w:firstLine="480" w:firstLineChars="200"/>
        <w:rPr>
          <w:rFonts w:asciiTheme="minorEastAsia" w:hAnsiTheme="minorEastAsia"/>
          <w:sz w:val="24"/>
        </w:rPr>
      </w:pPr>
      <w:r>
        <w:rPr>
          <w:rFonts w:asciiTheme="minorEastAsia" w:hAnsiTheme="minorEastAsia"/>
          <w:sz w:val="24"/>
        </w:rPr>
        <w:t>3</w:t>
      </w:r>
      <w:r>
        <w:rPr>
          <w:rFonts w:hint="eastAsia" w:cs="微软雅黑" w:asciiTheme="minorEastAsia" w:hAnsiTheme="minorEastAsia"/>
          <w:sz w:val="24"/>
        </w:rPr>
        <w:t>、如我方中标：</w:t>
      </w:r>
    </w:p>
    <w:p w14:paraId="5D7850D2">
      <w:pPr>
        <w:topLinePunct/>
        <w:spacing w:line="360" w:lineRule="auto"/>
        <w:ind w:firstLine="480" w:firstLineChars="200"/>
        <w:rPr>
          <w:rFonts w:asciiTheme="minorEastAsia" w:hAnsiTheme="minorEastAsia"/>
          <w:sz w:val="24"/>
        </w:rPr>
      </w:pPr>
      <w:r>
        <w:rPr>
          <w:rFonts w:hint="eastAsia" w:cs="微软雅黑" w:asciiTheme="minorEastAsia" w:hAnsiTheme="minorEastAsia"/>
          <w:sz w:val="24"/>
        </w:rPr>
        <w:t>（</w:t>
      </w:r>
      <w:r>
        <w:rPr>
          <w:rFonts w:asciiTheme="minorEastAsia" w:hAnsiTheme="minorEastAsia"/>
          <w:sz w:val="24"/>
        </w:rPr>
        <w:t>1</w:t>
      </w:r>
      <w:r>
        <w:rPr>
          <w:rFonts w:hint="eastAsia" w:cs="微软雅黑" w:asciiTheme="minorEastAsia" w:hAnsiTheme="minorEastAsia"/>
          <w:sz w:val="24"/>
        </w:rPr>
        <w:t>）我方承诺在收到中标通知书后，在中标通知书规定的期限内与你方签订合同。</w:t>
      </w:r>
    </w:p>
    <w:p w14:paraId="3005AC72">
      <w:pPr>
        <w:topLinePunct/>
        <w:spacing w:line="360" w:lineRule="auto"/>
        <w:ind w:firstLine="480" w:firstLineChars="200"/>
        <w:rPr>
          <w:rFonts w:asciiTheme="minorEastAsia" w:hAnsiTheme="minorEastAsia"/>
          <w:sz w:val="24"/>
        </w:rPr>
      </w:pPr>
      <w:r>
        <w:rPr>
          <w:rFonts w:hint="eastAsia" w:cs="微软雅黑" w:asciiTheme="minorEastAsia" w:hAnsiTheme="minorEastAsia"/>
          <w:sz w:val="24"/>
        </w:rPr>
        <w:t>（</w:t>
      </w:r>
      <w:r>
        <w:rPr>
          <w:rFonts w:asciiTheme="minorEastAsia" w:hAnsiTheme="minorEastAsia"/>
          <w:sz w:val="24"/>
        </w:rPr>
        <w:t>2</w:t>
      </w:r>
      <w:r>
        <w:rPr>
          <w:rFonts w:hint="eastAsia" w:cs="微软雅黑" w:asciiTheme="minorEastAsia" w:hAnsiTheme="minorEastAsia"/>
          <w:sz w:val="24"/>
        </w:rPr>
        <w:t>）随同本投标函递交的投标函附录属于合同文件的组成部分，对我方构成约束力。</w:t>
      </w:r>
    </w:p>
    <w:p w14:paraId="3212CFD9">
      <w:pPr>
        <w:topLinePunct/>
        <w:spacing w:line="360" w:lineRule="auto"/>
        <w:ind w:firstLine="480" w:firstLineChars="200"/>
        <w:rPr>
          <w:rFonts w:asciiTheme="minorEastAsia" w:hAnsiTheme="minorEastAsia"/>
          <w:sz w:val="24"/>
        </w:rPr>
      </w:pPr>
      <w:r>
        <w:rPr>
          <w:rFonts w:hint="eastAsia" w:cs="微软雅黑" w:asciiTheme="minorEastAsia" w:hAnsiTheme="minorEastAsia"/>
          <w:sz w:val="24"/>
        </w:rPr>
        <w:t>（</w:t>
      </w:r>
      <w:r>
        <w:rPr>
          <w:rFonts w:asciiTheme="minorEastAsia" w:hAnsiTheme="minorEastAsia"/>
          <w:sz w:val="24"/>
        </w:rPr>
        <w:t>3</w:t>
      </w:r>
      <w:r>
        <w:rPr>
          <w:rFonts w:hint="eastAsia" w:cs="微软雅黑" w:asciiTheme="minorEastAsia" w:hAnsiTheme="minorEastAsia"/>
          <w:sz w:val="24"/>
        </w:rPr>
        <w:t>）我方承诺按照磋商文件规定向你方递交履约担保。</w:t>
      </w:r>
    </w:p>
    <w:p w14:paraId="3DA4EE0F">
      <w:pPr>
        <w:topLinePunct/>
        <w:spacing w:line="360" w:lineRule="auto"/>
        <w:ind w:firstLine="480" w:firstLineChars="200"/>
        <w:rPr>
          <w:rFonts w:asciiTheme="minorEastAsia" w:hAnsiTheme="minorEastAsia"/>
          <w:sz w:val="24"/>
        </w:rPr>
      </w:pPr>
      <w:r>
        <w:rPr>
          <w:rFonts w:hint="eastAsia" w:cs="微软雅黑" w:asciiTheme="minorEastAsia" w:hAnsiTheme="minorEastAsia"/>
          <w:sz w:val="24"/>
        </w:rPr>
        <w:t>（</w:t>
      </w:r>
      <w:r>
        <w:rPr>
          <w:rFonts w:asciiTheme="minorEastAsia" w:hAnsiTheme="minorEastAsia"/>
          <w:sz w:val="24"/>
        </w:rPr>
        <w:t>4</w:t>
      </w:r>
      <w:r>
        <w:rPr>
          <w:rFonts w:hint="eastAsia" w:cs="微软雅黑" w:asciiTheme="minorEastAsia" w:hAnsiTheme="minorEastAsia"/>
          <w:sz w:val="24"/>
        </w:rPr>
        <w:t>）我方承诺在合同约定的期限内完成并移交全部合同工程。</w:t>
      </w:r>
    </w:p>
    <w:p w14:paraId="3712E8E6">
      <w:pPr>
        <w:topLinePunct/>
        <w:spacing w:line="360" w:lineRule="auto"/>
        <w:ind w:firstLine="480" w:firstLineChars="200"/>
        <w:rPr>
          <w:rFonts w:asciiTheme="minorEastAsia" w:hAnsiTheme="minorEastAsia"/>
          <w:sz w:val="24"/>
        </w:rPr>
      </w:pPr>
      <w:r>
        <w:rPr>
          <w:rFonts w:hint="eastAsia" w:asciiTheme="minorEastAsia" w:hAnsiTheme="minorEastAsia"/>
          <w:sz w:val="24"/>
        </w:rPr>
        <w:t>4</w:t>
      </w:r>
      <w:r>
        <w:rPr>
          <w:rFonts w:hint="eastAsia" w:cs="微软雅黑" w:asciiTheme="minorEastAsia" w:hAnsiTheme="minorEastAsia"/>
          <w:sz w:val="24"/>
        </w:rPr>
        <w:t>、我方在此声明，所递交的响应文件及有关资料内容完整、真实和准确，且不存在第二章</w:t>
      </w:r>
      <w:r>
        <w:rPr>
          <w:rFonts w:asciiTheme="minorEastAsia" w:hAnsiTheme="minorEastAsia"/>
          <w:sz w:val="24"/>
        </w:rPr>
        <w:t>“</w:t>
      </w:r>
      <w:r>
        <w:rPr>
          <w:rFonts w:hint="eastAsia" w:cs="微软雅黑" w:asciiTheme="minorEastAsia" w:hAnsiTheme="minorEastAsia"/>
          <w:sz w:val="24"/>
        </w:rPr>
        <w:t>供应商须知</w:t>
      </w:r>
      <w:r>
        <w:rPr>
          <w:rFonts w:asciiTheme="minorEastAsia" w:hAnsiTheme="minorEastAsia"/>
          <w:sz w:val="24"/>
        </w:rPr>
        <w:t>”</w:t>
      </w:r>
      <w:r>
        <w:rPr>
          <w:rFonts w:hint="eastAsia" w:cs="微软雅黑" w:asciiTheme="minorEastAsia" w:hAnsiTheme="minorEastAsia"/>
          <w:sz w:val="24"/>
        </w:rPr>
        <w:t>第</w:t>
      </w:r>
      <w:r>
        <w:rPr>
          <w:rFonts w:asciiTheme="minorEastAsia" w:hAnsiTheme="minorEastAsia"/>
          <w:sz w:val="24"/>
        </w:rPr>
        <w:t>1.4.3</w:t>
      </w:r>
      <w:r>
        <w:rPr>
          <w:rFonts w:hint="eastAsia" w:cs="微软雅黑" w:asciiTheme="minorEastAsia" w:hAnsiTheme="minorEastAsia"/>
          <w:sz w:val="24"/>
        </w:rPr>
        <w:t>项规定的任何一种情形。</w:t>
      </w:r>
    </w:p>
    <w:p w14:paraId="3B933653">
      <w:pPr>
        <w:topLinePunct/>
        <w:spacing w:line="360" w:lineRule="auto"/>
        <w:ind w:firstLine="480" w:firstLineChars="200"/>
        <w:rPr>
          <w:rFonts w:asciiTheme="minorEastAsia" w:hAnsiTheme="minorEastAsia"/>
          <w:sz w:val="24"/>
        </w:rPr>
      </w:pPr>
      <w:r>
        <w:rPr>
          <w:rFonts w:hint="eastAsia" w:asciiTheme="minorEastAsia" w:hAnsiTheme="minorEastAsia"/>
          <w:sz w:val="24"/>
        </w:rPr>
        <w:t>5</w:t>
      </w:r>
      <w:r>
        <w:rPr>
          <w:rFonts w:hint="eastAsia" w:cs="微软雅黑" w:asciiTheme="minorEastAsia" w:hAnsiTheme="minorEastAsia"/>
          <w:sz w:val="24"/>
        </w:rPr>
        <w:t>、我们已详细阅读了全部磋商文件，包括磋商文件的修改、补充文件、参考资料及有关的附件，我们接受磋商文件的全部条款和条件，并严格按照磋商文件要求编制投标书和履行一切必要手续。</w:t>
      </w:r>
    </w:p>
    <w:p w14:paraId="4198CD7F">
      <w:pPr>
        <w:topLinePunct/>
        <w:spacing w:line="360" w:lineRule="auto"/>
        <w:ind w:firstLine="480" w:firstLineChars="200"/>
        <w:rPr>
          <w:rFonts w:asciiTheme="minorEastAsia" w:hAnsiTheme="minorEastAsia"/>
          <w:sz w:val="24"/>
        </w:rPr>
      </w:pPr>
      <w:r>
        <w:rPr>
          <w:rFonts w:asciiTheme="minorEastAsia" w:hAnsiTheme="minorEastAsia"/>
          <w:sz w:val="24"/>
        </w:rPr>
        <w:t>6</w:t>
      </w:r>
      <w:r>
        <w:rPr>
          <w:rFonts w:hint="eastAsia" w:cs="微软雅黑" w:asciiTheme="minorEastAsia" w:hAnsiTheme="minorEastAsia"/>
          <w:sz w:val="24"/>
        </w:rPr>
        <w:t>、我方承诺响应文件有效期从提交响应文件的截止之日起</w:t>
      </w:r>
      <w:r>
        <w:rPr>
          <w:rFonts w:hint="eastAsia" w:cs="微软雅黑" w:asciiTheme="minorEastAsia" w:hAnsiTheme="minorEastAsia"/>
          <w:sz w:val="24"/>
          <w:u w:val="single"/>
        </w:rPr>
        <w:t>9</w:t>
      </w:r>
      <w:r>
        <w:rPr>
          <w:rFonts w:cs="微软雅黑" w:asciiTheme="minorEastAsia" w:hAnsiTheme="minorEastAsia"/>
          <w:sz w:val="24"/>
          <w:u w:val="single"/>
        </w:rPr>
        <w:t>0</w:t>
      </w:r>
      <w:r>
        <w:rPr>
          <w:rFonts w:hint="eastAsia" w:cs="微软雅黑" w:asciiTheme="minorEastAsia" w:hAnsiTheme="minorEastAsia"/>
          <w:sz w:val="24"/>
        </w:rPr>
        <w:t>天，本响应文件在响应文件有效期满之前均具有约束力。</w:t>
      </w:r>
    </w:p>
    <w:p w14:paraId="790FA1EC">
      <w:pPr>
        <w:topLinePunct/>
        <w:spacing w:line="360" w:lineRule="auto"/>
        <w:ind w:firstLine="480" w:firstLineChars="200"/>
        <w:rPr>
          <w:rFonts w:asciiTheme="minorEastAsia" w:hAnsiTheme="minorEastAsia"/>
          <w:sz w:val="24"/>
        </w:rPr>
      </w:pPr>
      <w:r>
        <w:rPr>
          <w:rFonts w:asciiTheme="minorEastAsia" w:hAnsiTheme="minorEastAsia"/>
          <w:sz w:val="24"/>
        </w:rPr>
        <w:t>7</w:t>
      </w:r>
      <w:r>
        <w:rPr>
          <w:rFonts w:hint="eastAsia" w:cs="微软雅黑" w:asciiTheme="minorEastAsia" w:hAnsiTheme="minorEastAsia"/>
          <w:sz w:val="24"/>
        </w:rPr>
        <w:t>、其他补充说明：</w:t>
      </w:r>
    </w:p>
    <w:p w14:paraId="5BAEA68D">
      <w:pPr>
        <w:topLinePunct/>
        <w:spacing w:line="246" w:lineRule="auto"/>
      </w:pPr>
    </w:p>
    <w:p w14:paraId="08ABB28C">
      <w:pPr>
        <w:pStyle w:val="2"/>
        <w:kinsoku/>
        <w:topLinePunct/>
        <w:autoSpaceDE/>
        <w:autoSpaceDN/>
        <w:spacing w:before="79" w:line="360" w:lineRule="auto"/>
        <w:ind w:right="964"/>
        <w:jc w:val="center"/>
        <w:rPr>
          <w:rFonts w:hint="default"/>
          <w:sz w:val="24"/>
          <w:szCs w:val="24"/>
        </w:rPr>
      </w:pPr>
      <w:r>
        <w:rPr>
          <w:spacing w:val="1"/>
          <w:sz w:val="24"/>
          <w:szCs w:val="24"/>
        </w:rPr>
        <w:t xml:space="preserve">                    供应商名称</w:t>
      </w:r>
      <w:r>
        <w:rPr>
          <w:spacing w:val="-17"/>
          <w:sz w:val="24"/>
          <w:szCs w:val="24"/>
        </w:rPr>
        <w:t>（</w:t>
      </w:r>
      <w:r>
        <w:rPr>
          <w:spacing w:val="1"/>
          <w:sz w:val="24"/>
          <w:szCs w:val="24"/>
        </w:rPr>
        <w:t>盖单位章）</w:t>
      </w:r>
      <w:r>
        <w:rPr>
          <w:spacing w:val="-17"/>
          <w:sz w:val="24"/>
          <w:szCs w:val="24"/>
        </w:rPr>
        <w:t xml:space="preserve">：        </w:t>
      </w:r>
    </w:p>
    <w:p w14:paraId="2F4641CE">
      <w:pPr>
        <w:pStyle w:val="2"/>
        <w:kinsoku/>
        <w:topLinePunct/>
        <w:autoSpaceDE/>
        <w:autoSpaceDN/>
        <w:spacing w:line="219" w:lineRule="auto"/>
        <w:ind w:right="964" w:firstLine="3630" w:firstLineChars="1500"/>
        <w:rPr>
          <w:rFonts w:hint="default"/>
          <w:sz w:val="24"/>
          <w:szCs w:val="24"/>
        </w:rPr>
      </w:pPr>
      <w:r>
        <w:rPr>
          <w:spacing w:val="1"/>
          <w:sz w:val="24"/>
          <w:szCs w:val="24"/>
        </w:rPr>
        <w:t>法定代表人或其委托代理人</w:t>
      </w:r>
      <w:r>
        <w:rPr>
          <w:spacing w:val="-14"/>
          <w:sz w:val="24"/>
          <w:szCs w:val="24"/>
        </w:rPr>
        <w:t>（</w:t>
      </w:r>
      <w:r>
        <w:rPr>
          <w:spacing w:val="1"/>
          <w:sz w:val="24"/>
          <w:szCs w:val="24"/>
        </w:rPr>
        <w:t>签字）</w:t>
      </w:r>
      <w:r>
        <w:rPr>
          <w:spacing w:val="-14"/>
          <w:sz w:val="24"/>
          <w:szCs w:val="24"/>
        </w:rPr>
        <w:t xml:space="preserve">：    </w:t>
      </w:r>
    </w:p>
    <w:p w14:paraId="03A8BF0D">
      <w:pPr>
        <w:pStyle w:val="2"/>
        <w:kinsoku/>
        <w:wordWrap w:val="0"/>
        <w:topLinePunct/>
        <w:autoSpaceDE/>
        <w:autoSpaceDN/>
        <w:spacing w:before="184" w:line="219" w:lineRule="auto"/>
        <w:jc w:val="right"/>
        <w:rPr>
          <w:rFonts w:hint="default"/>
          <w:spacing w:val="-26"/>
          <w:sz w:val="24"/>
          <w:szCs w:val="24"/>
        </w:rPr>
      </w:pPr>
      <w:r>
        <w:rPr>
          <w:spacing w:val="-26"/>
          <w:sz w:val="24"/>
          <w:szCs w:val="24"/>
        </w:rPr>
        <w:t>年  月  日</w:t>
      </w:r>
    </w:p>
    <w:p w14:paraId="256AACE5">
      <w:pPr>
        <w:widowControl/>
        <w:jc w:val="left"/>
        <w:rPr>
          <w:rFonts w:ascii="宋体" w:hAnsi="宋体" w:eastAsia="宋体" w:cs="Times New Roman"/>
          <w:color w:val="000000"/>
          <w:spacing w:val="-26"/>
          <w:kern w:val="0"/>
          <w:sz w:val="24"/>
        </w:rPr>
      </w:pPr>
      <w:r>
        <w:rPr>
          <w:spacing w:val="-26"/>
          <w:sz w:val="24"/>
        </w:rPr>
        <w:br w:type="page"/>
      </w:r>
    </w:p>
    <w:p w14:paraId="3407F6EB">
      <w:pPr>
        <w:pStyle w:val="2"/>
        <w:kinsoku/>
        <w:topLinePunct/>
        <w:autoSpaceDE/>
        <w:autoSpaceDN/>
        <w:spacing w:before="101" w:line="225" w:lineRule="auto"/>
        <w:jc w:val="center"/>
        <w:outlineLvl w:val="2"/>
        <w:rPr>
          <w:rFonts w:hint="default"/>
          <w:spacing w:val="-3"/>
          <w14:textOutline w14:w="5791" w14:cap="sq" w14:cmpd="sng" w14:algn="ctr">
            <w14:solidFill>
              <w14:srgbClr w14:val="000000"/>
            </w14:solidFill>
            <w14:prstDash w14:val="solid"/>
            <w14:bevel/>
          </w14:textOutline>
        </w:rPr>
      </w:pPr>
      <w:bookmarkStart w:id="173" w:name="_Toc12866"/>
      <w:bookmarkStart w:id="174" w:name="_Toc199944422"/>
      <w:r>
        <w:rPr>
          <w:spacing w:val="-3"/>
          <w14:textOutline w14:w="5791" w14:cap="sq" w14:cmpd="sng" w14:algn="ctr">
            <w14:solidFill>
              <w14:srgbClr w14:val="000000"/>
            </w14:solidFill>
            <w14:prstDash w14:val="solid"/>
            <w14:bevel/>
          </w14:textOutline>
        </w:rPr>
        <w:t>（二）响应函附录</w:t>
      </w:r>
      <w:bookmarkEnd w:id="173"/>
      <w:bookmarkEnd w:id="174"/>
    </w:p>
    <w:p w14:paraId="6B49965A">
      <w:pPr>
        <w:topLinePunct/>
        <w:spacing w:before="164"/>
      </w:pPr>
    </w:p>
    <w:tbl>
      <w:tblPr>
        <w:tblStyle w:val="15"/>
        <w:tblW w:w="86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44"/>
        <w:gridCol w:w="2159"/>
        <w:gridCol w:w="4243"/>
        <w:gridCol w:w="1705"/>
      </w:tblGrid>
      <w:tr w14:paraId="060F8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jc w:val="center"/>
        </w:trPr>
        <w:tc>
          <w:tcPr>
            <w:tcW w:w="544" w:type="dxa"/>
            <w:textDirection w:val="tbRlV"/>
          </w:tcPr>
          <w:p w14:paraId="397E35DA">
            <w:pPr>
              <w:pStyle w:val="24"/>
              <w:kinsoku/>
              <w:topLinePunct/>
              <w:autoSpaceDE/>
              <w:autoSpaceDN/>
              <w:spacing w:before="148" w:line="210" w:lineRule="auto"/>
              <w:ind w:left="120"/>
              <w:rPr>
                <w:rFonts w:hint="default"/>
              </w:rPr>
            </w:pPr>
            <w:r>
              <w:rPr>
                <w:spacing w:val="-1"/>
              </w:rPr>
              <w:t>序号</w:t>
            </w:r>
          </w:p>
        </w:tc>
        <w:tc>
          <w:tcPr>
            <w:tcW w:w="2159" w:type="dxa"/>
          </w:tcPr>
          <w:p w14:paraId="45A47598">
            <w:pPr>
              <w:topLinePunct/>
              <w:spacing w:line="274" w:lineRule="auto"/>
            </w:pPr>
          </w:p>
          <w:p w14:paraId="5C66C75B">
            <w:pPr>
              <w:pStyle w:val="24"/>
              <w:kinsoku/>
              <w:topLinePunct/>
              <w:autoSpaceDE/>
              <w:autoSpaceDN/>
              <w:spacing w:before="78" w:line="219" w:lineRule="auto"/>
              <w:ind w:left="608"/>
              <w:rPr>
                <w:rFonts w:hint="default"/>
              </w:rPr>
            </w:pPr>
            <w:r>
              <w:rPr>
                <w:spacing w:val="-4"/>
              </w:rPr>
              <w:t>项目内容</w:t>
            </w:r>
          </w:p>
        </w:tc>
        <w:tc>
          <w:tcPr>
            <w:tcW w:w="4243" w:type="dxa"/>
          </w:tcPr>
          <w:p w14:paraId="0C2B7844">
            <w:pPr>
              <w:topLinePunct/>
              <w:spacing w:line="274" w:lineRule="auto"/>
            </w:pPr>
          </w:p>
          <w:p w14:paraId="22A9CB3A">
            <w:pPr>
              <w:pStyle w:val="24"/>
              <w:kinsoku/>
              <w:topLinePunct/>
              <w:autoSpaceDE/>
              <w:autoSpaceDN/>
              <w:spacing w:before="78" w:line="219" w:lineRule="auto"/>
              <w:ind w:left="1655"/>
              <w:rPr>
                <w:rFonts w:hint="default"/>
              </w:rPr>
            </w:pPr>
            <w:r>
              <w:rPr>
                <w:spacing w:val="-4"/>
              </w:rPr>
              <w:t>约定内容</w:t>
            </w:r>
          </w:p>
        </w:tc>
        <w:tc>
          <w:tcPr>
            <w:tcW w:w="1705" w:type="dxa"/>
          </w:tcPr>
          <w:p w14:paraId="62548119">
            <w:pPr>
              <w:topLinePunct/>
              <w:spacing w:line="274" w:lineRule="auto"/>
            </w:pPr>
          </w:p>
          <w:p w14:paraId="2884DBF8">
            <w:pPr>
              <w:pStyle w:val="24"/>
              <w:kinsoku/>
              <w:topLinePunct/>
              <w:autoSpaceDE/>
              <w:autoSpaceDN/>
              <w:spacing w:before="78" w:line="220" w:lineRule="auto"/>
              <w:ind w:left="381"/>
              <w:rPr>
                <w:rFonts w:hint="default"/>
              </w:rPr>
            </w:pPr>
            <w:r>
              <w:rPr>
                <w:spacing w:val="-4"/>
              </w:rPr>
              <w:t>是否响应</w:t>
            </w:r>
          </w:p>
        </w:tc>
      </w:tr>
      <w:tr w14:paraId="279DD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9" w:hRule="atLeast"/>
          <w:jc w:val="center"/>
        </w:trPr>
        <w:tc>
          <w:tcPr>
            <w:tcW w:w="544" w:type="dxa"/>
            <w:vAlign w:val="center"/>
          </w:tcPr>
          <w:p w14:paraId="1580C5A7">
            <w:pPr>
              <w:pStyle w:val="24"/>
              <w:kinsoku/>
              <w:topLinePunct/>
              <w:autoSpaceDE/>
              <w:autoSpaceDN/>
              <w:spacing w:line="184" w:lineRule="auto"/>
              <w:jc w:val="center"/>
              <w:rPr>
                <w:rFonts w:hint="default"/>
              </w:rPr>
            </w:pPr>
            <w:r>
              <w:t>1</w:t>
            </w:r>
          </w:p>
        </w:tc>
        <w:tc>
          <w:tcPr>
            <w:tcW w:w="2159" w:type="dxa"/>
          </w:tcPr>
          <w:p w14:paraId="78C311B2">
            <w:pPr>
              <w:pStyle w:val="24"/>
              <w:kinsoku/>
              <w:topLinePunct/>
              <w:autoSpaceDE/>
              <w:autoSpaceDN/>
              <w:spacing w:before="188" w:line="219" w:lineRule="auto"/>
              <w:ind w:left="371"/>
              <w:rPr>
                <w:rFonts w:hint="default"/>
              </w:rPr>
            </w:pPr>
            <w:r>
              <w:rPr>
                <w:spacing w:val="-3"/>
              </w:rPr>
              <w:t>总监理工程师</w:t>
            </w:r>
          </w:p>
        </w:tc>
        <w:tc>
          <w:tcPr>
            <w:tcW w:w="4243" w:type="dxa"/>
          </w:tcPr>
          <w:p w14:paraId="0E202754">
            <w:pPr>
              <w:pStyle w:val="24"/>
              <w:kinsoku/>
              <w:topLinePunct/>
              <w:autoSpaceDE/>
              <w:autoSpaceDN/>
              <w:spacing w:before="188" w:line="219" w:lineRule="auto"/>
              <w:ind w:left="1769"/>
              <w:rPr>
                <w:rFonts w:hint="default"/>
              </w:rPr>
            </w:pPr>
            <w:r>
              <w:rPr>
                <w:spacing w:val="-4"/>
              </w:rPr>
              <w:t>姓名：</w:t>
            </w:r>
          </w:p>
        </w:tc>
        <w:tc>
          <w:tcPr>
            <w:tcW w:w="1705" w:type="dxa"/>
          </w:tcPr>
          <w:p w14:paraId="41BFAEA2">
            <w:pPr>
              <w:topLinePunct/>
            </w:pPr>
          </w:p>
        </w:tc>
      </w:tr>
      <w:tr w14:paraId="40682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8" w:hRule="atLeast"/>
          <w:jc w:val="center"/>
        </w:trPr>
        <w:tc>
          <w:tcPr>
            <w:tcW w:w="544" w:type="dxa"/>
            <w:vAlign w:val="center"/>
          </w:tcPr>
          <w:p w14:paraId="74B335D7">
            <w:pPr>
              <w:pStyle w:val="24"/>
              <w:kinsoku/>
              <w:topLinePunct/>
              <w:autoSpaceDE/>
              <w:autoSpaceDN/>
              <w:spacing w:line="183" w:lineRule="auto"/>
              <w:jc w:val="center"/>
              <w:rPr>
                <w:rFonts w:hint="default"/>
              </w:rPr>
            </w:pPr>
            <w:r>
              <w:t>2</w:t>
            </w:r>
          </w:p>
        </w:tc>
        <w:tc>
          <w:tcPr>
            <w:tcW w:w="2159" w:type="dxa"/>
          </w:tcPr>
          <w:p w14:paraId="3B91C6E6">
            <w:pPr>
              <w:pStyle w:val="24"/>
              <w:kinsoku/>
              <w:topLinePunct/>
              <w:autoSpaceDE/>
              <w:autoSpaceDN/>
              <w:spacing w:before="195" w:line="220" w:lineRule="auto"/>
              <w:ind w:left="605"/>
              <w:rPr>
                <w:rFonts w:hint="default"/>
              </w:rPr>
            </w:pPr>
            <w:r>
              <w:rPr>
                <w:spacing w:val="-3"/>
              </w:rPr>
              <w:t>监理周期</w:t>
            </w:r>
          </w:p>
        </w:tc>
        <w:tc>
          <w:tcPr>
            <w:tcW w:w="4243" w:type="dxa"/>
            <w:vAlign w:val="center"/>
          </w:tcPr>
          <w:p w14:paraId="49714B18">
            <w:pPr>
              <w:pStyle w:val="24"/>
              <w:kinsoku/>
              <w:topLinePunct/>
              <w:autoSpaceDE/>
              <w:autoSpaceDN/>
              <w:spacing w:before="40" w:line="222" w:lineRule="auto"/>
              <w:ind w:left="122" w:right="293" w:firstLine="30"/>
              <w:rPr>
                <w:rFonts w:hint="default"/>
              </w:rPr>
            </w:pPr>
            <w:r>
              <w:rPr>
                <w:spacing w:val="-4"/>
              </w:rPr>
              <w:t>自监理合同签订之日起至工程竣工验收合格之日止</w:t>
            </w:r>
          </w:p>
        </w:tc>
        <w:tc>
          <w:tcPr>
            <w:tcW w:w="1705" w:type="dxa"/>
          </w:tcPr>
          <w:p w14:paraId="31452450">
            <w:pPr>
              <w:topLinePunct/>
            </w:pPr>
          </w:p>
        </w:tc>
      </w:tr>
      <w:tr w14:paraId="37245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8" w:hRule="atLeast"/>
          <w:jc w:val="center"/>
        </w:trPr>
        <w:tc>
          <w:tcPr>
            <w:tcW w:w="544" w:type="dxa"/>
            <w:vAlign w:val="center"/>
          </w:tcPr>
          <w:p w14:paraId="19A57A83">
            <w:pPr>
              <w:pStyle w:val="24"/>
              <w:kinsoku/>
              <w:topLinePunct/>
              <w:autoSpaceDE/>
              <w:autoSpaceDN/>
              <w:spacing w:line="183" w:lineRule="auto"/>
              <w:jc w:val="center"/>
              <w:rPr>
                <w:rFonts w:hint="default"/>
              </w:rPr>
            </w:pPr>
            <w:r>
              <w:t>3</w:t>
            </w:r>
          </w:p>
        </w:tc>
        <w:tc>
          <w:tcPr>
            <w:tcW w:w="2159" w:type="dxa"/>
            <w:vAlign w:val="center"/>
          </w:tcPr>
          <w:p w14:paraId="391C3BD9">
            <w:pPr>
              <w:pStyle w:val="24"/>
              <w:kinsoku/>
              <w:topLinePunct/>
              <w:autoSpaceDE/>
              <w:autoSpaceDN/>
              <w:spacing w:before="196" w:line="220" w:lineRule="auto"/>
              <w:ind w:left="605"/>
              <w:jc w:val="both"/>
              <w:rPr>
                <w:rFonts w:hint="default"/>
              </w:rPr>
            </w:pPr>
            <w:r>
              <w:rPr>
                <w:spacing w:val="-3"/>
              </w:rPr>
              <w:t>监理标准</w:t>
            </w:r>
          </w:p>
        </w:tc>
        <w:tc>
          <w:tcPr>
            <w:tcW w:w="4243" w:type="dxa"/>
            <w:vAlign w:val="center"/>
          </w:tcPr>
          <w:p w14:paraId="13FF16B9">
            <w:pPr>
              <w:pStyle w:val="24"/>
              <w:kinsoku/>
              <w:topLinePunct/>
              <w:autoSpaceDE/>
              <w:autoSpaceDN/>
              <w:spacing w:before="40" w:line="222" w:lineRule="auto"/>
              <w:ind w:left="118" w:right="103" w:hanging="3"/>
              <w:rPr>
                <w:rFonts w:hint="default"/>
              </w:rPr>
            </w:pPr>
            <w:r>
              <w:rPr>
                <w:spacing w:val="-4"/>
              </w:rPr>
              <w:t>符合国家现行标准《建设工程监理规范》要求</w:t>
            </w:r>
          </w:p>
        </w:tc>
        <w:tc>
          <w:tcPr>
            <w:tcW w:w="1705" w:type="dxa"/>
          </w:tcPr>
          <w:p w14:paraId="351B9E38">
            <w:pPr>
              <w:topLinePunct/>
            </w:pPr>
          </w:p>
        </w:tc>
      </w:tr>
      <w:tr w14:paraId="693B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0" w:hRule="atLeast"/>
          <w:jc w:val="center"/>
        </w:trPr>
        <w:tc>
          <w:tcPr>
            <w:tcW w:w="544" w:type="dxa"/>
            <w:vAlign w:val="center"/>
          </w:tcPr>
          <w:p w14:paraId="3D600514">
            <w:pPr>
              <w:pStyle w:val="24"/>
              <w:kinsoku/>
              <w:topLinePunct/>
              <w:autoSpaceDE/>
              <w:autoSpaceDN/>
              <w:spacing w:line="183" w:lineRule="auto"/>
              <w:jc w:val="center"/>
              <w:rPr>
                <w:rFonts w:hint="default"/>
              </w:rPr>
            </w:pPr>
            <w:r>
              <w:t>4</w:t>
            </w:r>
          </w:p>
        </w:tc>
        <w:tc>
          <w:tcPr>
            <w:tcW w:w="2159" w:type="dxa"/>
            <w:vAlign w:val="center"/>
          </w:tcPr>
          <w:p w14:paraId="72B6B8EB">
            <w:pPr>
              <w:pStyle w:val="24"/>
              <w:kinsoku/>
              <w:topLinePunct/>
              <w:autoSpaceDE/>
              <w:autoSpaceDN/>
              <w:spacing w:line="220" w:lineRule="auto"/>
              <w:jc w:val="center"/>
              <w:rPr>
                <w:rFonts w:hint="default"/>
              </w:rPr>
            </w:pPr>
            <w:r>
              <w:rPr>
                <w:position w:val="1"/>
              </w:rPr>
              <w:t>...</w:t>
            </w:r>
          </w:p>
        </w:tc>
        <w:tc>
          <w:tcPr>
            <w:tcW w:w="4243" w:type="dxa"/>
          </w:tcPr>
          <w:p w14:paraId="69D9BE7E">
            <w:pPr>
              <w:pStyle w:val="24"/>
              <w:kinsoku/>
              <w:topLinePunct/>
              <w:autoSpaceDE/>
              <w:autoSpaceDN/>
              <w:spacing w:before="192" w:line="220" w:lineRule="auto"/>
              <w:ind w:left="116"/>
              <w:rPr>
                <w:rFonts w:hint="default"/>
              </w:rPr>
            </w:pPr>
          </w:p>
        </w:tc>
        <w:tc>
          <w:tcPr>
            <w:tcW w:w="1705" w:type="dxa"/>
          </w:tcPr>
          <w:p w14:paraId="7A2A7F33">
            <w:pPr>
              <w:topLinePunct/>
            </w:pPr>
          </w:p>
        </w:tc>
      </w:tr>
      <w:tr w14:paraId="1AE91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0" w:hRule="atLeast"/>
          <w:jc w:val="center"/>
        </w:trPr>
        <w:tc>
          <w:tcPr>
            <w:tcW w:w="544" w:type="dxa"/>
            <w:vAlign w:val="center"/>
          </w:tcPr>
          <w:p w14:paraId="4E8C2790">
            <w:pPr>
              <w:pStyle w:val="24"/>
              <w:kinsoku/>
              <w:topLinePunct/>
              <w:autoSpaceDE/>
              <w:autoSpaceDN/>
              <w:spacing w:line="182" w:lineRule="auto"/>
              <w:jc w:val="center"/>
              <w:rPr>
                <w:rFonts w:hint="default"/>
              </w:rPr>
            </w:pPr>
            <w:r>
              <w:t>5</w:t>
            </w:r>
          </w:p>
        </w:tc>
        <w:tc>
          <w:tcPr>
            <w:tcW w:w="2159" w:type="dxa"/>
            <w:vAlign w:val="center"/>
          </w:tcPr>
          <w:p w14:paraId="51EC60DA">
            <w:pPr>
              <w:pStyle w:val="24"/>
              <w:kinsoku/>
              <w:topLinePunct/>
              <w:autoSpaceDE/>
              <w:autoSpaceDN/>
              <w:spacing w:line="99" w:lineRule="exact"/>
              <w:jc w:val="center"/>
              <w:rPr>
                <w:rFonts w:hint="default"/>
              </w:rPr>
            </w:pPr>
            <w:r>
              <w:rPr>
                <w:position w:val="1"/>
              </w:rPr>
              <w:t>...</w:t>
            </w:r>
          </w:p>
        </w:tc>
        <w:tc>
          <w:tcPr>
            <w:tcW w:w="4243" w:type="dxa"/>
          </w:tcPr>
          <w:p w14:paraId="52BD3610">
            <w:pPr>
              <w:topLinePunct/>
            </w:pPr>
          </w:p>
        </w:tc>
        <w:tc>
          <w:tcPr>
            <w:tcW w:w="1705" w:type="dxa"/>
          </w:tcPr>
          <w:p w14:paraId="530CE907">
            <w:pPr>
              <w:topLinePunct/>
            </w:pPr>
          </w:p>
        </w:tc>
      </w:tr>
      <w:tr w14:paraId="45DE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9" w:hRule="atLeast"/>
          <w:jc w:val="center"/>
        </w:trPr>
        <w:tc>
          <w:tcPr>
            <w:tcW w:w="544" w:type="dxa"/>
            <w:vAlign w:val="center"/>
          </w:tcPr>
          <w:p w14:paraId="2C911693">
            <w:pPr>
              <w:pStyle w:val="24"/>
              <w:kinsoku/>
              <w:topLinePunct/>
              <w:autoSpaceDE/>
              <w:autoSpaceDN/>
              <w:spacing w:line="183" w:lineRule="auto"/>
              <w:jc w:val="center"/>
              <w:rPr>
                <w:rFonts w:hint="default"/>
              </w:rPr>
            </w:pPr>
            <w:r>
              <w:t>6</w:t>
            </w:r>
          </w:p>
        </w:tc>
        <w:tc>
          <w:tcPr>
            <w:tcW w:w="2159" w:type="dxa"/>
            <w:vAlign w:val="center"/>
          </w:tcPr>
          <w:p w14:paraId="50A05A16">
            <w:pPr>
              <w:pStyle w:val="24"/>
              <w:kinsoku/>
              <w:topLinePunct/>
              <w:autoSpaceDE/>
              <w:autoSpaceDN/>
              <w:spacing w:line="99" w:lineRule="exact"/>
              <w:jc w:val="center"/>
              <w:rPr>
                <w:rFonts w:hint="default"/>
              </w:rPr>
            </w:pPr>
            <w:r>
              <w:rPr>
                <w:position w:val="1"/>
              </w:rPr>
              <w:t>...</w:t>
            </w:r>
          </w:p>
        </w:tc>
        <w:tc>
          <w:tcPr>
            <w:tcW w:w="4243" w:type="dxa"/>
          </w:tcPr>
          <w:p w14:paraId="7600147F">
            <w:pPr>
              <w:topLinePunct/>
            </w:pPr>
          </w:p>
        </w:tc>
        <w:tc>
          <w:tcPr>
            <w:tcW w:w="1705" w:type="dxa"/>
          </w:tcPr>
          <w:p w14:paraId="6DD6B6AD">
            <w:pPr>
              <w:topLinePunct/>
            </w:pPr>
          </w:p>
        </w:tc>
      </w:tr>
      <w:tr w14:paraId="2A9B4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0" w:hRule="atLeast"/>
          <w:jc w:val="center"/>
        </w:trPr>
        <w:tc>
          <w:tcPr>
            <w:tcW w:w="544" w:type="dxa"/>
            <w:vAlign w:val="center"/>
          </w:tcPr>
          <w:p w14:paraId="5F7BF13C">
            <w:pPr>
              <w:pStyle w:val="24"/>
              <w:kinsoku/>
              <w:topLinePunct/>
              <w:autoSpaceDE/>
              <w:autoSpaceDN/>
              <w:spacing w:line="182" w:lineRule="auto"/>
              <w:jc w:val="center"/>
              <w:rPr>
                <w:rFonts w:hint="default"/>
              </w:rPr>
            </w:pPr>
            <w:r>
              <w:t>7</w:t>
            </w:r>
          </w:p>
        </w:tc>
        <w:tc>
          <w:tcPr>
            <w:tcW w:w="2159" w:type="dxa"/>
            <w:vAlign w:val="center"/>
          </w:tcPr>
          <w:p w14:paraId="526B1C2E">
            <w:pPr>
              <w:pStyle w:val="24"/>
              <w:kinsoku/>
              <w:topLinePunct/>
              <w:autoSpaceDE/>
              <w:autoSpaceDN/>
              <w:spacing w:line="99" w:lineRule="exact"/>
              <w:jc w:val="center"/>
              <w:rPr>
                <w:rFonts w:hint="default"/>
              </w:rPr>
            </w:pPr>
            <w:r>
              <w:rPr>
                <w:position w:val="1"/>
              </w:rPr>
              <w:t>...</w:t>
            </w:r>
          </w:p>
        </w:tc>
        <w:tc>
          <w:tcPr>
            <w:tcW w:w="4243" w:type="dxa"/>
          </w:tcPr>
          <w:p w14:paraId="29829D6A">
            <w:pPr>
              <w:topLinePunct/>
            </w:pPr>
          </w:p>
        </w:tc>
        <w:tc>
          <w:tcPr>
            <w:tcW w:w="1705" w:type="dxa"/>
          </w:tcPr>
          <w:p w14:paraId="0274F877">
            <w:pPr>
              <w:topLinePunct/>
            </w:pPr>
          </w:p>
        </w:tc>
      </w:tr>
      <w:tr w14:paraId="3CCE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8651" w:type="dxa"/>
            <w:gridSpan w:val="4"/>
          </w:tcPr>
          <w:p w14:paraId="5615AC0E">
            <w:pPr>
              <w:pStyle w:val="24"/>
              <w:kinsoku/>
              <w:topLinePunct/>
              <w:autoSpaceDE/>
              <w:autoSpaceDN/>
              <w:spacing w:before="65" w:line="229" w:lineRule="auto"/>
              <w:ind w:left="117" w:right="107" w:firstLine="1"/>
              <w:rPr>
                <w:rFonts w:hint="default"/>
              </w:rPr>
            </w:pPr>
            <w:r>
              <w:t>备注：供应商在响应磋商文件中规定的实质性要求和条件的基础上，可做出其他</w:t>
            </w:r>
            <w:r>
              <w:rPr>
                <w:spacing w:val="-1"/>
              </w:rPr>
              <w:t>有利于采购人的承诺。此类承诺可在本表中予以补充填写。</w:t>
            </w:r>
          </w:p>
        </w:tc>
      </w:tr>
    </w:tbl>
    <w:p w14:paraId="0A7A4D9A">
      <w:pPr>
        <w:pStyle w:val="2"/>
        <w:kinsoku/>
        <w:topLinePunct/>
        <w:autoSpaceDE/>
        <w:autoSpaceDN/>
        <w:spacing w:before="177" w:line="219" w:lineRule="auto"/>
        <w:ind w:left="420"/>
        <w:rPr>
          <w:rFonts w:hint="default"/>
          <w:sz w:val="24"/>
          <w:szCs w:val="24"/>
        </w:rPr>
      </w:pPr>
      <w:r>
        <w:rPr>
          <w:spacing w:val="-2"/>
          <w:sz w:val="24"/>
          <w:szCs w:val="24"/>
          <w14:textOutline w14:w="4356" w14:cap="sq" w14:cmpd="sng" w14:algn="ctr">
            <w14:solidFill>
              <w14:srgbClr w14:val="000000"/>
            </w14:solidFill>
            <w14:prstDash w14:val="solid"/>
            <w14:bevel/>
          </w14:textOutline>
        </w:rPr>
        <w:t>供应商</w:t>
      </w:r>
      <w:r>
        <w:rPr>
          <w:spacing w:val="-2"/>
          <w:sz w:val="24"/>
          <w:szCs w:val="24"/>
        </w:rPr>
        <w:t>（盖单位公章</w:t>
      </w:r>
      <w:r>
        <w:rPr>
          <w:spacing w:val="3"/>
          <w:sz w:val="24"/>
          <w:szCs w:val="24"/>
        </w:rPr>
        <w:t>）：</w:t>
      </w:r>
    </w:p>
    <w:p w14:paraId="3B3DC3F8">
      <w:pPr>
        <w:pStyle w:val="2"/>
        <w:kinsoku/>
        <w:topLinePunct/>
        <w:autoSpaceDE/>
        <w:autoSpaceDN/>
        <w:spacing w:before="196" w:line="480" w:lineRule="exact"/>
        <w:ind w:left="420"/>
        <w:rPr>
          <w:rFonts w:hint="default"/>
          <w:sz w:val="24"/>
          <w:szCs w:val="24"/>
        </w:rPr>
      </w:pPr>
      <w:r>
        <w:rPr>
          <w:spacing w:val="-1"/>
          <w:position w:val="18"/>
          <w:sz w:val="24"/>
          <w:szCs w:val="24"/>
          <w14:textOutline w14:w="4356" w14:cap="sq" w14:cmpd="sng" w14:algn="ctr">
            <w14:solidFill>
              <w14:srgbClr w14:val="000000"/>
            </w14:solidFill>
            <w14:prstDash w14:val="solid"/>
            <w14:bevel/>
          </w14:textOutline>
        </w:rPr>
        <w:t>法人代表或委托代理人</w:t>
      </w:r>
      <w:r>
        <w:rPr>
          <w:spacing w:val="-1"/>
          <w:position w:val="18"/>
          <w:sz w:val="24"/>
          <w:szCs w:val="24"/>
        </w:rPr>
        <w:t>（签字或盖章</w:t>
      </w:r>
      <w:r>
        <w:rPr>
          <w:spacing w:val="7"/>
          <w:position w:val="18"/>
          <w:sz w:val="24"/>
          <w:szCs w:val="24"/>
        </w:rPr>
        <w:t>）：</w:t>
      </w:r>
    </w:p>
    <w:p w14:paraId="043DBB4D">
      <w:pPr>
        <w:pStyle w:val="2"/>
        <w:kinsoku/>
        <w:topLinePunct/>
        <w:autoSpaceDE/>
        <w:autoSpaceDN/>
        <w:spacing w:line="219" w:lineRule="auto"/>
        <w:ind w:left="420"/>
        <w:rPr>
          <w:rFonts w:hint="default"/>
          <w:sz w:val="24"/>
          <w:szCs w:val="24"/>
        </w:rPr>
      </w:pPr>
      <w:r>
        <w:rPr>
          <w:spacing w:val="-13"/>
          <w:sz w:val="24"/>
          <w:szCs w:val="24"/>
          <w14:textOutline w14:w="4356" w14:cap="sq" w14:cmpd="sng" w14:algn="ctr">
            <w14:solidFill>
              <w14:srgbClr w14:val="000000"/>
            </w14:solidFill>
            <w14:prstDash w14:val="solid"/>
            <w14:bevel/>
          </w14:textOutline>
        </w:rPr>
        <w:t>日期：年月日</w:t>
      </w:r>
    </w:p>
    <w:p w14:paraId="383B6F21">
      <w:pPr>
        <w:widowControl/>
        <w:jc w:val="left"/>
        <w:rPr>
          <w:rFonts w:ascii="宋体" w:hAnsi="宋体" w:eastAsia="宋体" w:cs="Times New Roman"/>
          <w:color w:val="000000"/>
          <w:kern w:val="0"/>
          <w:sz w:val="24"/>
        </w:rPr>
      </w:pPr>
      <w:r>
        <w:rPr>
          <w:sz w:val="24"/>
        </w:rPr>
        <w:br w:type="page"/>
      </w:r>
    </w:p>
    <w:p w14:paraId="01A8C19B">
      <w:pPr>
        <w:pStyle w:val="2"/>
        <w:kinsoku/>
        <w:topLinePunct/>
        <w:autoSpaceDE/>
        <w:autoSpaceDN/>
        <w:spacing w:before="114" w:line="225" w:lineRule="auto"/>
        <w:jc w:val="center"/>
        <w:outlineLvl w:val="1"/>
        <w:rPr>
          <w:rFonts w:hint="default"/>
          <w:sz w:val="35"/>
          <w:szCs w:val="35"/>
        </w:rPr>
      </w:pPr>
      <w:bookmarkStart w:id="175" w:name="_Toc199944423"/>
      <w:bookmarkStart w:id="176" w:name="_Toc22766"/>
      <w:bookmarkStart w:id="177" w:name="_Toc200025595"/>
      <w:r>
        <w:rPr>
          <w:spacing w:val="9"/>
          <w14:textOutline w14:w="5791" w14:cap="sq" w14:cmpd="sng" w14:algn="ctr">
            <w14:solidFill>
              <w14:srgbClr w14:val="000000"/>
            </w14:solidFill>
            <w14:prstDash w14:val="solid"/>
            <w14:bevel/>
          </w14:textOutline>
        </w:rPr>
        <w:t>二、</w:t>
      </w:r>
      <w:r>
        <w:rPr>
          <w:spacing w:val="9"/>
          <w:sz w:val="35"/>
          <w:szCs w:val="35"/>
          <w14:textOutline w14:w="6540" w14:cap="sq" w14:cmpd="sng" w14:algn="ctr">
            <w14:solidFill>
              <w14:srgbClr w14:val="000000"/>
            </w14:solidFill>
            <w14:prstDash w14:val="solid"/>
            <w14:bevel/>
          </w14:textOutline>
        </w:rPr>
        <w:t>法定代表人身份证明</w:t>
      </w:r>
      <w:bookmarkEnd w:id="175"/>
      <w:bookmarkEnd w:id="176"/>
      <w:bookmarkEnd w:id="177"/>
    </w:p>
    <w:p w14:paraId="78F19CDA">
      <w:pPr>
        <w:topLinePunct/>
        <w:spacing w:line="283" w:lineRule="auto"/>
      </w:pPr>
    </w:p>
    <w:p w14:paraId="62EFEAE6">
      <w:pPr>
        <w:topLinePunct/>
        <w:spacing w:line="284" w:lineRule="auto"/>
      </w:pPr>
    </w:p>
    <w:p w14:paraId="57144A7A">
      <w:pPr>
        <w:spacing w:line="360" w:lineRule="auto"/>
        <w:rPr>
          <w:rFonts w:asciiTheme="minorEastAsia" w:hAnsiTheme="minorEastAsia"/>
          <w:sz w:val="24"/>
        </w:rPr>
      </w:pPr>
      <w:r>
        <w:rPr>
          <w:rFonts w:asciiTheme="minorEastAsia" w:hAnsiTheme="minorEastAsia"/>
          <w:sz w:val="24"/>
        </w:rPr>
        <w:t>供应商名称：</w:t>
      </w:r>
      <w:r>
        <w:rPr>
          <w:rFonts w:asciiTheme="minorEastAsia" w:hAnsiTheme="minorEastAsia"/>
          <w:sz w:val="24"/>
          <w:u w:val="single"/>
        </w:rPr>
        <w:t xml:space="preserve">                            </w:t>
      </w:r>
      <w:r>
        <w:rPr>
          <w:rFonts w:asciiTheme="minorEastAsia" w:hAnsiTheme="minorEastAsia"/>
          <w:sz w:val="24"/>
        </w:rPr>
        <w:t xml:space="preserve"> </w:t>
      </w:r>
    </w:p>
    <w:p w14:paraId="45E9D10D">
      <w:pPr>
        <w:spacing w:line="360" w:lineRule="auto"/>
        <w:rPr>
          <w:rFonts w:asciiTheme="minorEastAsia" w:hAnsiTheme="minorEastAsia"/>
          <w:sz w:val="24"/>
        </w:rPr>
      </w:pPr>
      <w:r>
        <w:rPr>
          <w:rFonts w:asciiTheme="minorEastAsia" w:hAnsiTheme="minorEastAsia"/>
          <w:sz w:val="24"/>
        </w:rPr>
        <w:t>单位性质：</w:t>
      </w:r>
      <w:r>
        <w:rPr>
          <w:rFonts w:asciiTheme="minorEastAsia" w:hAnsiTheme="minorEastAsia"/>
          <w:sz w:val="24"/>
          <w:u w:val="single"/>
        </w:rPr>
        <w:t xml:space="preserve">                               </w:t>
      </w:r>
      <w:r>
        <w:rPr>
          <w:rFonts w:asciiTheme="minorEastAsia" w:hAnsiTheme="minorEastAsia"/>
          <w:sz w:val="24"/>
        </w:rPr>
        <w:t xml:space="preserve"> </w:t>
      </w:r>
    </w:p>
    <w:p w14:paraId="41E31A06">
      <w:pPr>
        <w:spacing w:line="360" w:lineRule="auto"/>
        <w:rPr>
          <w:rFonts w:asciiTheme="minorEastAsia" w:hAnsiTheme="minorEastAsia"/>
          <w:sz w:val="24"/>
        </w:rPr>
      </w:pPr>
      <w:r>
        <w:rPr>
          <w:rFonts w:asciiTheme="minorEastAsia" w:hAnsiTheme="minorEastAsia"/>
          <w:sz w:val="24"/>
        </w:rPr>
        <w:t>地址：</w:t>
      </w:r>
      <w:r>
        <w:rPr>
          <w:rFonts w:asciiTheme="minorEastAsia" w:hAnsiTheme="minorEastAsia"/>
          <w:sz w:val="24"/>
          <w:u w:val="single"/>
        </w:rPr>
        <w:t xml:space="preserve">                                   </w:t>
      </w:r>
    </w:p>
    <w:p w14:paraId="49CE0309">
      <w:pPr>
        <w:spacing w:line="360" w:lineRule="auto"/>
        <w:rPr>
          <w:rFonts w:asciiTheme="minorEastAsia" w:hAnsiTheme="minorEastAsia"/>
          <w:sz w:val="24"/>
        </w:rPr>
      </w:pPr>
      <w:r>
        <w:rPr>
          <w:rFonts w:asciiTheme="minorEastAsia" w:hAnsiTheme="minorEastAsia"/>
          <w:sz w:val="24"/>
        </w:rPr>
        <w:t>成立时间：</w:t>
      </w:r>
      <w:r>
        <w:rPr>
          <w:rFonts w:asciiTheme="minorEastAsia" w:hAnsiTheme="minorEastAsia"/>
          <w:sz w:val="24"/>
          <w:u w:val="single"/>
        </w:rPr>
        <w:t xml:space="preserve">          </w:t>
      </w:r>
      <w:r>
        <w:rPr>
          <w:rFonts w:asciiTheme="minorEastAsia" w:hAnsiTheme="minorEastAsia"/>
          <w:sz w:val="24"/>
        </w:rPr>
        <w:t>年</w:t>
      </w:r>
      <w:r>
        <w:rPr>
          <w:rFonts w:asciiTheme="minorEastAsia" w:hAnsiTheme="minorEastAsia"/>
          <w:sz w:val="24"/>
          <w:u w:val="single"/>
        </w:rPr>
        <w:t xml:space="preserve">        </w:t>
      </w:r>
      <w:r>
        <w:rPr>
          <w:rFonts w:asciiTheme="minorEastAsia" w:hAnsiTheme="minorEastAsia"/>
          <w:sz w:val="24"/>
        </w:rPr>
        <w:t>月</w:t>
      </w:r>
      <w:r>
        <w:rPr>
          <w:rFonts w:asciiTheme="minorEastAsia" w:hAnsiTheme="minorEastAsia"/>
          <w:sz w:val="24"/>
          <w:u w:val="single"/>
        </w:rPr>
        <w:t xml:space="preserve">        </w:t>
      </w:r>
      <w:r>
        <w:rPr>
          <w:rFonts w:asciiTheme="minorEastAsia" w:hAnsiTheme="minorEastAsia"/>
          <w:sz w:val="24"/>
        </w:rPr>
        <w:t>日</w:t>
      </w:r>
    </w:p>
    <w:p w14:paraId="181AE351">
      <w:pPr>
        <w:spacing w:line="360" w:lineRule="auto"/>
        <w:rPr>
          <w:rFonts w:asciiTheme="minorEastAsia" w:hAnsiTheme="minorEastAsia"/>
          <w:sz w:val="24"/>
        </w:rPr>
      </w:pPr>
      <w:r>
        <w:rPr>
          <w:rFonts w:asciiTheme="minorEastAsia" w:hAnsiTheme="minorEastAsia"/>
          <w:sz w:val="24"/>
        </w:rPr>
        <w:t>经营期限：</w:t>
      </w:r>
      <w:r>
        <w:rPr>
          <w:rFonts w:asciiTheme="minorEastAsia" w:hAnsiTheme="minorEastAsia"/>
          <w:sz w:val="24"/>
          <w:u w:val="single"/>
        </w:rPr>
        <w:t xml:space="preserve">                               </w:t>
      </w:r>
    </w:p>
    <w:p w14:paraId="3916B2FB">
      <w:pPr>
        <w:spacing w:line="360" w:lineRule="auto"/>
        <w:rPr>
          <w:rFonts w:asciiTheme="minorEastAsia" w:hAnsiTheme="minorEastAsia"/>
          <w:sz w:val="24"/>
        </w:rPr>
      </w:pPr>
      <w:r>
        <w:rPr>
          <w:rFonts w:asciiTheme="minorEastAsia" w:hAnsiTheme="minorEastAsia"/>
          <w:sz w:val="24"/>
        </w:rPr>
        <w:t>姓名：</w:t>
      </w:r>
      <w:r>
        <w:rPr>
          <w:rFonts w:asciiTheme="minorEastAsia" w:hAnsiTheme="minorEastAsia"/>
          <w:sz w:val="24"/>
          <w:u w:val="single"/>
        </w:rPr>
        <w:t xml:space="preserve">         </w:t>
      </w:r>
      <w:r>
        <w:rPr>
          <w:rFonts w:asciiTheme="minorEastAsia" w:hAnsiTheme="minorEastAsia"/>
          <w:sz w:val="24"/>
        </w:rPr>
        <w:t xml:space="preserve"> 性别：</w:t>
      </w:r>
      <w:r>
        <w:rPr>
          <w:rFonts w:asciiTheme="minorEastAsia" w:hAnsiTheme="minorEastAsia"/>
          <w:sz w:val="24"/>
          <w:u w:val="single"/>
        </w:rPr>
        <w:t xml:space="preserve">         </w:t>
      </w:r>
      <w:r>
        <w:rPr>
          <w:rFonts w:asciiTheme="minorEastAsia" w:hAnsiTheme="minorEastAsia"/>
          <w:sz w:val="24"/>
        </w:rPr>
        <w:t>年龄：</w:t>
      </w:r>
      <w:r>
        <w:rPr>
          <w:rFonts w:asciiTheme="minorEastAsia" w:hAnsiTheme="minorEastAsia"/>
          <w:sz w:val="24"/>
          <w:u w:val="single"/>
        </w:rPr>
        <w:t xml:space="preserve">        </w:t>
      </w:r>
      <w:r>
        <w:rPr>
          <w:rFonts w:asciiTheme="minorEastAsia" w:hAnsiTheme="minorEastAsia"/>
          <w:sz w:val="24"/>
        </w:rPr>
        <w:t>职务：</w:t>
      </w:r>
      <w:r>
        <w:rPr>
          <w:rFonts w:asciiTheme="minorEastAsia" w:hAnsiTheme="minorEastAsia"/>
          <w:sz w:val="24"/>
          <w:u w:val="single"/>
        </w:rPr>
        <w:t xml:space="preserve">        </w:t>
      </w:r>
    </w:p>
    <w:p w14:paraId="617AF59C">
      <w:pPr>
        <w:spacing w:line="360" w:lineRule="auto"/>
        <w:rPr>
          <w:rFonts w:asciiTheme="minorEastAsia" w:hAnsiTheme="minorEastAsia"/>
          <w:sz w:val="24"/>
        </w:rPr>
      </w:pPr>
      <w:r>
        <w:rPr>
          <w:rFonts w:asciiTheme="minorEastAsia" w:hAnsiTheme="minorEastAsia"/>
          <w:sz w:val="24"/>
        </w:rPr>
        <w:t>系</w:t>
      </w:r>
      <w:r>
        <w:rPr>
          <w:rFonts w:asciiTheme="minorEastAsia" w:hAnsiTheme="minorEastAsia"/>
          <w:sz w:val="24"/>
          <w:u w:val="single"/>
        </w:rPr>
        <w:t xml:space="preserve">                             </w:t>
      </w:r>
      <w:r>
        <w:rPr>
          <w:rFonts w:asciiTheme="minorEastAsia" w:hAnsiTheme="minorEastAsia"/>
          <w:sz w:val="24"/>
        </w:rPr>
        <w:t xml:space="preserve"> （供应商名称）的法定代表人。</w:t>
      </w:r>
    </w:p>
    <w:p w14:paraId="57F9EE7B">
      <w:pPr>
        <w:spacing w:line="360" w:lineRule="auto"/>
        <w:ind w:firstLine="480" w:firstLineChars="200"/>
        <w:rPr>
          <w:rFonts w:asciiTheme="minorEastAsia" w:hAnsiTheme="minorEastAsia"/>
          <w:sz w:val="24"/>
        </w:rPr>
      </w:pPr>
      <w:r>
        <w:rPr>
          <w:rFonts w:asciiTheme="minorEastAsia" w:hAnsiTheme="minorEastAsia"/>
          <w:sz w:val="24"/>
        </w:rPr>
        <w:t>特此证明。</w:t>
      </w:r>
    </w:p>
    <w:p w14:paraId="2BBE3D2A">
      <w:pPr>
        <w:spacing w:line="360" w:lineRule="auto"/>
        <w:rPr>
          <w:rFonts w:asciiTheme="minorEastAsia" w:hAnsiTheme="minorEastAsia"/>
          <w:sz w:val="24"/>
        </w:rPr>
      </w:pPr>
    </w:p>
    <w:p w14:paraId="4841AABE">
      <w:pPr>
        <w:spacing w:line="360" w:lineRule="auto"/>
        <w:rPr>
          <w:rFonts w:asciiTheme="minorEastAsia" w:hAnsiTheme="minorEastAsia"/>
          <w:sz w:val="24"/>
        </w:rPr>
      </w:pPr>
    </w:p>
    <w:p w14:paraId="20287F6A">
      <w:pPr>
        <w:spacing w:line="360" w:lineRule="auto"/>
        <w:rPr>
          <w:rFonts w:asciiTheme="minorEastAsia" w:hAnsiTheme="minorEastAsia"/>
          <w:sz w:val="24"/>
        </w:rPr>
      </w:pPr>
      <w:r>
        <w:rPr>
          <w:rFonts w:asciiTheme="minorEastAsia" w:hAnsiTheme="minorEastAsia"/>
          <w:sz w:val="24"/>
        </w:rPr>
        <w:t xml:space="preserve">                                  供应商：</w:t>
      </w:r>
      <w:r>
        <w:rPr>
          <w:rFonts w:asciiTheme="minorEastAsia" w:hAnsiTheme="minorEastAsia"/>
          <w:sz w:val="24"/>
          <w:u w:val="single"/>
        </w:rPr>
        <w:t xml:space="preserve">                 </w:t>
      </w:r>
      <w:r>
        <w:rPr>
          <w:rFonts w:asciiTheme="minorEastAsia" w:hAnsiTheme="minorEastAsia"/>
          <w:sz w:val="24"/>
        </w:rPr>
        <w:t>（盖单位章）</w:t>
      </w:r>
    </w:p>
    <w:p w14:paraId="21D0333C">
      <w:pPr>
        <w:widowControl/>
        <w:spacing w:line="360" w:lineRule="auto"/>
        <w:jc w:val="left"/>
        <w:rPr>
          <w:rFonts w:ascii="宋体" w:hAnsi="宋体" w:eastAsia="宋体" w:cs="Times New Roman"/>
          <w:color w:val="000000"/>
          <w:kern w:val="0"/>
          <w:sz w:val="24"/>
        </w:rPr>
      </w:pPr>
      <w:r>
        <w:rPr>
          <w:rFonts w:asciiTheme="minorEastAsia" w:hAnsiTheme="minorEastAsia"/>
          <w:sz w:val="24"/>
        </w:rPr>
        <w:t xml:space="preserve">                                   </w:t>
      </w:r>
      <w:r>
        <w:rPr>
          <w:rFonts w:asciiTheme="minorEastAsia" w:hAnsiTheme="minorEastAsia"/>
          <w:sz w:val="24"/>
          <w:u w:val="single"/>
        </w:rPr>
        <w:t xml:space="preserve">       </w:t>
      </w:r>
      <w:r>
        <w:rPr>
          <w:rFonts w:asciiTheme="minorEastAsia" w:hAnsiTheme="minorEastAsia"/>
          <w:sz w:val="24"/>
        </w:rPr>
        <w:t>年</w:t>
      </w:r>
      <w:r>
        <w:rPr>
          <w:rFonts w:asciiTheme="minorEastAsia" w:hAnsiTheme="minorEastAsia"/>
          <w:sz w:val="24"/>
          <w:u w:val="single"/>
        </w:rPr>
        <w:t xml:space="preserve">       </w:t>
      </w:r>
      <w:r>
        <w:rPr>
          <w:rFonts w:asciiTheme="minorEastAsia" w:hAnsiTheme="minorEastAsia"/>
          <w:sz w:val="24"/>
        </w:rPr>
        <w:t>月</w:t>
      </w:r>
      <w:r>
        <w:rPr>
          <w:rFonts w:asciiTheme="minorEastAsia" w:hAnsiTheme="minorEastAsia"/>
          <w:sz w:val="24"/>
          <w:u w:val="single"/>
        </w:rPr>
        <w:t xml:space="preserve">       </w:t>
      </w:r>
      <w:r>
        <w:rPr>
          <w:rFonts w:asciiTheme="minorEastAsia" w:hAnsiTheme="minorEastAsia"/>
          <w:sz w:val="24"/>
        </w:rPr>
        <w:t xml:space="preserve">日    </w:t>
      </w:r>
      <w:r>
        <w:rPr>
          <w:rFonts w:ascii="仿宋_GB2312" w:hAnsi="宋体" w:eastAsia="仿宋_GB2312"/>
          <w:sz w:val="24"/>
        </w:rPr>
        <w:t xml:space="preserve">      </w:t>
      </w:r>
      <w:r>
        <w:rPr>
          <w:sz w:val="24"/>
        </w:rPr>
        <w:br w:type="page"/>
      </w:r>
    </w:p>
    <w:p w14:paraId="548CD65F">
      <w:pPr>
        <w:pStyle w:val="2"/>
        <w:kinsoku/>
        <w:topLinePunct/>
        <w:autoSpaceDE/>
        <w:autoSpaceDN/>
        <w:spacing w:before="114" w:line="224" w:lineRule="auto"/>
        <w:ind w:left="420"/>
        <w:jc w:val="center"/>
        <w:outlineLvl w:val="2"/>
        <w:rPr>
          <w:rFonts w:hint="default"/>
          <w:sz w:val="35"/>
          <w:szCs w:val="35"/>
        </w:rPr>
      </w:pPr>
      <w:bookmarkStart w:id="178" w:name="_Toc199944424"/>
      <w:bookmarkStart w:id="179" w:name="_Toc7300"/>
      <w:r>
        <w:rPr>
          <w:spacing w:val="8"/>
          <w:sz w:val="35"/>
          <w:szCs w:val="35"/>
          <w14:textOutline w14:w="6540" w14:cap="sq" w14:cmpd="sng" w14:algn="ctr">
            <w14:solidFill>
              <w14:srgbClr w14:val="000000"/>
            </w14:solidFill>
            <w14:prstDash w14:val="solid"/>
            <w14:bevel/>
          </w14:textOutline>
        </w:rPr>
        <w:t>授权委托书</w:t>
      </w:r>
      <w:bookmarkEnd w:id="178"/>
      <w:bookmarkEnd w:id="179"/>
    </w:p>
    <w:p w14:paraId="526D34D1">
      <w:pPr>
        <w:topLinePunct/>
        <w:spacing w:line="440" w:lineRule="exact"/>
        <w:ind w:firstLine="480" w:firstLineChars="200"/>
        <w:rPr>
          <w:rFonts w:asciiTheme="minorEastAsia" w:hAnsiTheme="minorEastAsia"/>
          <w:sz w:val="24"/>
        </w:rPr>
      </w:pPr>
      <w:r>
        <w:rPr>
          <w:rFonts w:asciiTheme="minorEastAsia" w:hAnsiTheme="minorEastAsia"/>
          <w:sz w:val="24"/>
        </w:rPr>
        <w:t>本人</w:t>
      </w:r>
      <w:r>
        <w:rPr>
          <w:rFonts w:asciiTheme="minorEastAsia" w:hAnsiTheme="minorEastAsia"/>
          <w:sz w:val="24"/>
          <w:u w:val="single"/>
        </w:rPr>
        <w:t xml:space="preserve">       </w:t>
      </w:r>
      <w:r>
        <w:rPr>
          <w:rFonts w:asciiTheme="minorEastAsia" w:hAnsiTheme="minorEastAsia"/>
          <w:sz w:val="24"/>
        </w:rPr>
        <w:t>（姓名）系</w:t>
      </w:r>
      <w:r>
        <w:rPr>
          <w:rFonts w:asciiTheme="minorEastAsia" w:hAnsiTheme="minorEastAsia"/>
          <w:sz w:val="24"/>
          <w:u w:val="single"/>
        </w:rPr>
        <w:t xml:space="preserve">        </w:t>
      </w:r>
      <w:r>
        <w:rPr>
          <w:rFonts w:asciiTheme="minorEastAsia" w:hAnsiTheme="minorEastAsia"/>
          <w:sz w:val="24"/>
        </w:rPr>
        <w:t>（供应商名称）的法定代表人，现委托</w:t>
      </w:r>
      <w:r>
        <w:rPr>
          <w:rFonts w:asciiTheme="minorEastAsia" w:hAnsiTheme="minorEastAsia"/>
          <w:sz w:val="24"/>
          <w:u w:val="single"/>
        </w:rPr>
        <w:t>（姓名）</w:t>
      </w:r>
      <w:r>
        <w:rPr>
          <w:rFonts w:asciiTheme="minorEastAsia" w:hAnsiTheme="minorEastAsia"/>
          <w:sz w:val="24"/>
        </w:rPr>
        <w:t>为我方代理人。代理人根据授权，以我方名义签署、澄清、说明、补正、递交、撤回、修改</w:t>
      </w:r>
      <w:r>
        <w:rPr>
          <w:rFonts w:asciiTheme="minorEastAsia" w:hAnsiTheme="minorEastAsia"/>
          <w:sz w:val="24"/>
          <w:u w:val="single"/>
        </w:rPr>
        <w:t xml:space="preserve">           </w:t>
      </w:r>
      <w:r>
        <w:rPr>
          <w:rFonts w:asciiTheme="minorEastAsia" w:hAnsiTheme="minorEastAsia"/>
          <w:sz w:val="24"/>
        </w:rPr>
        <w:t>（项目名称）响应文件、签订合同和处理有关事宜，其法律后果由我方承担。</w:t>
      </w:r>
    </w:p>
    <w:p w14:paraId="0E74CF6B">
      <w:pPr>
        <w:spacing w:line="440" w:lineRule="exact"/>
        <w:rPr>
          <w:rFonts w:asciiTheme="minorEastAsia" w:hAnsiTheme="minorEastAsia"/>
          <w:sz w:val="24"/>
        </w:rPr>
      </w:pPr>
      <w:r>
        <w:rPr>
          <w:rFonts w:asciiTheme="minorEastAsia" w:hAnsiTheme="minorEastAsia"/>
          <w:sz w:val="24"/>
        </w:rPr>
        <w:t xml:space="preserve">    委托期限：</w:t>
      </w:r>
      <w:r>
        <w:rPr>
          <w:rFonts w:asciiTheme="minorEastAsia" w:hAnsiTheme="minorEastAsia"/>
          <w:sz w:val="24"/>
          <w:u w:val="single"/>
        </w:rPr>
        <w:t xml:space="preserve">             </w:t>
      </w:r>
      <w:r>
        <w:rPr>
          <w:rFonts w:asciiTheme="minorEastAsia" w:hAnsiTheme="minorEastAsia"/>
          <w:sz w:val="24"/>
        </w:rPr>
        <w:t>。</w:t>
      </w:r>
    </w:p>
    <w:p w14:paraId="059A6FF3">
      <w:pPr>
        <w:spacing w:line="440" w:lineRule="exact"/>
        <w:ind w:firstLine="480" w:firstLineChars="200"/>
        <w:rPr>
          <w:rFonts w:asciiTheme="minorEastAsia" w:hAnsiTheme="minorEastAsia"/>
          <w:sz w:val="24"/>
        </w:rPr>
      </w:pPr>
      <w:r>
        <w:rPr>
          <w:rFonts w:asciiTheme="minorEastAsia" w:hAnsiTheme="minorEastAsia"/>
          <w:sz w:val="24"/>
        </w:rPr>
        <w:t>代理人无转委托权。</w:t>
      </w:r>
    </w:p>
    <w:p w14:paraId="17A2A682">
      <w:pPr>
        <w:spacing w:line="440" w:lineRule="exact"/>
        <w:ind w:firstLine="480" w:firstLineChars="200"/>
        <w:rPr>
          <w:rFonts w:asciiTheme="minorEastAsia" w:hAnsiTheme="minorEastAsia"/>
          <w:sz w:val="24"/>
        </w:rPr>
      </w:pPr>
      <w:r>
        <w:rPr>
          <w:rFonts w:asciiTheme="minorEastAsia" w:hAnsiTheme="minorEastAsia"/>
          <w:sz w:val="24"/>
        </w:rPr>
        <w:t>附：法定代表人身份证明</w:t>
      </w:r>
    </w:p>
    <w:p w14:paraId="684D65DF">
      <w:pPr>
        <w:spacing w:line="440" w:lineRule="exact"/>
        <w:rPr>
          <w:rFonts w:asciiTheme="minorEastAsia" w:hAnsiTheme="minorEastAsia"/>
          <w:sz w:val="24"/>
        </w:rPr>
      </w:pPr>
    </w:p>
    <w:p w14:paraId="344D23B8">
      <w:pPr>
        <w:spacing w:line="440" w:lineRule="exact"/>
        <w:rPr>
          <w:rFonts w:asciiTheme="minorEastAsia" w:hAnsiTheme="minorEastAsia"/>
          <w:sz w:val="24"/>
        </w:rPr>
      </w:pPr>
    </w:p>
    <w:p w14:paraId="0570F845">
      <w:pPr>
        <w:spacing w:line="440" w:lineRule="exact"/>
        <w:ind w:firstLine="480" w:firstLineChars="200"/>
        <w:jc w:val="left"/>
        <w:rPr>
          <w:rFonts w:asciiTheme="minorEastAsia" w:hAnsiTheme="minorEastAsia"/>
          <w:sz w:val="24"/>
        </w:rPr>
      </w:pPr>
      <w:r>
        <w:rPr>
          <w:rFonts w:asciiTheme="minorEastAsia" w:hAnsiTheme="minorEastAsia"/>
          <w:sz w:val="24"/>
        </w:rPr>
        <w:t>供应商：</w:t>
      </w:r>
      <w:r>
        <w:rPr>
          <w:rFonts w:asciiTheme="minorEastAsia" w:hAnsiTheme="minorEastAsia"/>
          <w:sz w:val="24"/>
          <w:u w:val="single"/>
        </w:rPr>
        <w:t xml:space="preserve">                                   </w:t>
      </w:r>
      <w:r>
        <w:rPr>
          <w:rFonts w:asciiTheme="minorEastAsia" w:hAnsiTheme="minorEastAsia"/>
          <w:sz w:val="24"/>
        </w:rPr>
        <w:t>（盖单位章）</w:t>
      </w:r>
    </w:p>
    <w:p w14:paraId="6E310B83">
      <w:pPr>
        <w:spacing w:line="440" w:lineRule="exact"/>
        <w:ind w:firstLine="480" w:firstLineChars="200"/>
        <w:jc w:val="left"/>
        <w:rPr>
          <w:rFonts w:asciiTheme="minorEastAsia" w:hAnsiTheme="minorEastAsia"/>
          <w:sz w:val="24"/>
        </w:rPr>
      </w:pPr>
    </w:p>
    <w:p w14:paraId="088D481E">
      <w:pPr>
        <w:spacing w:line="440" w:lineRule="exact"/>
        <w:ind w:firstLine="480" w:firstLineChars="200"/>
        <w:jc w:val="left"/>
        <w:rPr>
          <w:rFonts w:asciiTheme="minorEastAsia" w:hAnsiTheme="minorEastAsia"/>
          <w:sz w:val="24"/>
        </w:rPr>
      </w:pPr>
      <w:r>
        <w:rPr>
          <w:rFonts w:asciiTheme="minorEastAsia" w:hAnsiTheme="minorEastAsia"/>
          <w:sz w:val="24"/>
        </w:rPr>
        <w:t>法定代表人：</w:t>
      </w:r>
      <w:r>
        <w:rPr>
          <w:rFonts w:asciiTheme="minorEastAsia" w:hAnsiTheme="minorEastAsia"/>
          <w:sz w:val="24"/>
          <w:u w:val="single"/>
        </w:rPr>
        <w:t xml:space="preserve">                               </w:t>
      </w:r>
      <w:r>
        <w:rPr>
          <w:rFonts w:asciiTheme="minorEastAsia" w:hAnsiTheme="minorEastAsia"/>
          <w:sz w:val="24"/>
        </w:rPr>
        <w:t>（签字或盖章）</w:t>
      </w:r>
    </w:p>
    <w:p w14:paraId="305F8CAA">
      <w:pPr>
        <w:spacing w:line="440" w:lineRule="exact"/>
        <w:ind w:firstLine="480" w:firstLineChars="200"/>
        <w:jc w:val="left"/>
        <w:rPr>
          <w:rFonts w:asciiTheme="minorEastAsia" w:hAnsiTheme="minorEastAsia"/>
          <w:sz w:val="24"/>
        </w:rPr>
      </w:pPr>
    </w:p>
    <w:p w14:paraId="626F6D9B">
      <w:pPr>
        <w:spacing w:line="440" w:lineRule="exact"/>
        <w:ind w:firstLine="480" w:firstLineChars="200"/>
        <w:jc w:val="left"/>
        <w:rPr>
          <w:rFonts w:asciiTheme="minorEastAsia" w:hAnsiTheme="minorEastAsia"/>
          <w:sz w:val="24"/>
        </w:rPr>
      </w:pPr>
      <w:r>
        <w:rPr>
          <w:rFonts w:asciiTheme="minorEastAsia" w:hAnsiTheme="minorEastAsia"/>
          <w:sz w:val="24"/>
        </w:rPr>
        <w:t>身份证号码：</w:t>
      </w:r>
      <w:r>
        <w:rPr>
          <w:rFonts w:asciiTheme="minorEastAsia" w:hAnsiTheme="minorEastAsia"/>
          <w:sz w:val="24"/>
          <w:u w:val="single"/>
        </w:rPr>
        <w:t xml:space="preserve">                                     </w:t>
      </w:r>
    </w:p>
    <w:p w14:paraId="03104892">
      <w:pPr>
        <w:spacing w:line="440" w:lineRule="exact"/>
        <w:ind w:firstLine="480" w:firstLineChars="200"/>
        <w:jc w:val="left"/>
        <w:rPr>
          <w:rFonts w:asciiTheme="minorEastAsia" w:hAnsiTheme="minorEastAsia"/>
          <w:sz w:val="24"/>
        </w:rPr>
      </w:pPr>
    </w:p>
    <w:p w14:paraId="273732A1">
      <w:pPr>
        <w:spacing w:line="440" w:lineRule="exact"/>
        <w:ind w:firstLine="480" w:firstLineChars="200"/>
        <w:jc w:val="left"/>
        <w:rPr>
          <w:rFonts w:asciiTheme="minorEastAsia" w:hAnsiTheme="minorEastAsia"/>
          <w:sz w:val="24"/>
        </w:rPr>
      </w:pPr>
      <w:r>
        <w:rPr>
          <w:rFonts w:asciiTheme="minorEastAsia" w:hAnsiTheme="minorEastAsia"/>
          <w:sz w:val="24"/>
        </w:rPr>
        <w:t>授权代表：</w:t>
      </w:r>
      <w:r>
        <w:rPr>
          <w:rFonts w:asciiTheme="minorEastAsia" w:hAnsiTheme="minorEastAsia"/>
          <w:sz w:val="24"/>
          <w:u w:val="single"/>
        </w:rPr>
        <w:t xml:space="preserve">                                   </w:t>
      </w:r>
      <w:r>
        <w:rPr>
          <w:rFonts w:asciiTheme="minorEastAsia" w:hAnsiTheme="minorEastAsia"/>
          <w:sz w:val="24"/>
        </w:rPr>
        <w:t>（签字或</w:t>
      </w:r>
      <w:bookmarkStart w:id="199" w:name="_GoBack"/>
      <w:r>
        <w:rPr>
          <w:rFonts w:asciiTheme="minorEastAsia" w:hAnsiTheme="minorEastAsia"/>
          <w:sz w:val="24"/>
        </w:rPr>
        <w:t>盖章</w:t>
      </w:r>
      <w:bookmarkEnd w:id="199"/>
      <w:r>
        <w:rPr>
          <w:rFonts w:asciiTheme="minorEastAsia" w:hAnsiTheme="minorEastAsia"/>
          <w:sz w:val="24"/>
        </w:rPr>
        <w:t xml:space="preserve">） </w:t>
      </w:r>
    </w:p>
    <w:p w14:paraId="700908BF">
      <w:pPr>
        <w:spacing w:line="440" w:lineRule="exact"/>
        <w:ind w:firstLine="480" w:firstLineChars="200"/>
        <w:jc w:val="left"/>
        <w:rPr>
          <w:rFonts w:asciiTheme="minorEastAsia" w:hAnsiTheme="minorEastAsia"/>
          <w:sz w:val="24"/>
        </w:rPr>
      </w:pPr>
    </w:p>
    <w:p w14:paraId="179E7CFF">
      <w:pPr>
        <w:spacing w:line="440" w:lineRule="exact"/>
        <w:ind w:firstLine="480" w:firstLineChars="200"/>
        <w:jc w:val="left"/>
        <w:rPr>
          <w:rFonts w:asciiTheme="minorEastAsia" w:hAnsiTheme="minorEastAsia"/>
          <w:sz w:val="24"/>
        </w:rPr>
      </w:pPr>
      <w:r>
        <w:rPr>
          <w:rFonts w:asciiTheme="minorEastAsia" w:hAnsiTheme="minorEastAsia"/>
          <w:sz w:val="24"/>
        </w:rPr>
        <w:t>身份证号码：</w:t>
      </w:r>
      <w:r>
        <w:rPr>
          <w:rFonts w:asciiTheme="minorEastAsia" w:hAnsiTheme="minorEastAsia"/>
          <w:sz w:val="24"/>
          <w:u w:val="single"/>
        </w:rPr>
        <w:t xml:space="preserve">                                      </w:t>
      </w:r>
    </w:p>
    <w:p w14:paraId="35D389B6">
      <w:pPr>
        <w:spacing w:line="440" w:lineRule="exact"/>
        <w:ind w:firstLine="480" w:firstLineChars="200"/>
        <w:jc w:val="left"/>
        <w:rPr>
          <w:rFonts w:asciiTheme="minorEastAsia" w:hAnsiTheme="minorEastAsia"/>
          <w:sz w:val="24"/>
        </w:rPr>
      </w:pPr>
    </w:p>
    <w:p w14:paraId="45198F5B">
      <w:pPr>
        <w:spacing w:line="440" w:lineRule="exact"/>
        <w:rPr>
          <w:rFonts w:asciiTheme="minorEastAsia" w:hAnsiTheme="minorEastAsia"/>
          <w:sz w:val="24"/>
        </w:rPr>
      </w:pPr>
    </w:p>
    <w:p w14:paraId="7DBBE7B2">
      <w:pPr>
        <w:spacing w:line="440" w:lineRule="exact"/>
        <w:ind w:firstLine="2640" w:firstLineChars="1100"/>
        <w:rPr>
          <w:rFonts w:ascii="仿宋_GB2312" w:hAnsi="宋体" w:eastAsia="仿宋_GB2312"/>
          <w:sz w:val="24"/>
        </w:rPr>
      </w:pPr>
      <w:r>
        <w:rPr>
          <w:rFonts w:asciiTheme="minorEastAsia" w:hAnsiTheme="minorEastAsia"/>
          <w:sz w:val="24"/>
          <w:u w:val="single"/>
        </w:rPr>
        <w:t xml:space="preserve">       </w:t>
      </w:r>
      <w:r>
        <w:rPr>
          <w:rFonts w:asciiTheme="minorEastAsia" w:hAnsiTheme="minorEastAsia"/>
          <w:sz w:val="24"/>
        </w:rPr>
        <w:t>年</w:t>
      </w:r>
      <w:r>
        <w:rPr>
          <w:rFonts w:asciiTheme="minorEastAsia" w:hAnsiTheme="minorEastAsia"/>
          <w:sz w:val="24"/>
          <w:u w:val="single"/>
        </w:rPr>
        <w:t xml:space="preserve">       </w:t>
      </w:r>
      <w:r>
        <w:rPr>
          <w:rFonts w:asciiTheme="minorEastAsia" w:hAnsiTheme="minorEastAsia"/>
          <w:sz w:val="24"/>
        </w:rPr>
        <w:t>月</w:t>
      </w:r>
      <w:r>
        <w:rPr>
          <w:rFonts w:asciiTheme="minorEastAsia" w:hAnsiTheme="minorEastAsia"/>
          <w:sz w:val="24"/>
          <w:u w:val="single"/>
        </w:rPr>
        <w:t xml:space="preserve">       </w:t>
      </w:r>
      <w:r>
        <w:rPr>
          <w:rFonts w:asciiTheme="minorEastAsia" w:hAnsiTheme="minorEastAsia"/>
          <w:sz w:val="24"/>
        </w:rPr>
        <w:t>日</w:t>
      </w:r>
    </w:p>
    <w:p w14:paraId="694A445B">
      <w:pPr>
        <w:widowControl/>
        <w:jc w:val="left"/>
        <w:rPr>
          <w:rFonts w:ascii="仿宋_GB2312" w:hAnsi="宋体" w:eastAsia="仿宋_GB2312"/>
          <w:sz w:val="24"/>
        </w:rPr>
      </w:pPr>
      <w:r>
        <w:rPr>
          <w:rFonts w:ascii="仿宋_GB2312" w:hAnsi="宋体" w:eastAsia="仿宋_GB2312"/>
          <w:sz w:val="24"/>
        </w:rPr>
        <w:br w:type="page"/>
      </w:r>
    </w:p>
    <w:p w14:paraId="0F7A449E">
      <w:pPr>
        <w:pStyle w:val="2"/>
        <w:kinsoku/>
        <w:topLinePunct/>
        <w:autoSpaceDE/>
        <w:autoSpaceDN/>
        <w:spacing w:before="113" w:line="227" w:lineRule="auto"/>
        <w:ind w:left="420"/>
        <w:jc w:val="center"/>
        <w:outlineLvl w:val="1"/>
        <w:rPr>
          <w:rFonts w:hint="default"/>
        </w:rPr>
      </w:pPr>
      <w:bookmarkStart w:id="180" w:name="_Toc200025596"/>
      <w:bookmarkStart w:id="181" w:name="_Toc14240"/>
      <w:bookmarkStart w:id="182" w:name="_Toc199944425"/>
      <w:r>
        <w:rPr>
          <w:spacing w:val="8"/>
          <w:sz w:val="35"/>
          <w:szCs w:val="35"/>
          <w14:textOutline w14:w="6540" w14:cap="sq" w14:cmpd="sng" w14:algn="ctr">
            <w14:solidFill>
              <w14:srgbClr w14:val="000000"/>
            </w14:solidFill>
            <w14:prstDash w14:val="solid"/>
            <w14:bevel/>
          </w14:textOutline>
        </w:rPr>
        <w:t>三、</w:t>
      </w:r>
      <w:r>
        <w:rPr>
          <w:spacing w:val="8"/>
          <w14:textOutline w14:w="5791" w14:cap="sq" w14:cmpd="sng" w14:algn="ctr">
            <w14:solidFill>
              <w14:srgbClr w14:val="000000"/>
            </w14:solidFill>
            <w14:prstDash w14:val="solid"/>
            <w14:bevel/>
          </w14:textOutline>
        </w:rPr>
        <w:t>开启一览表</w:t>
      </w:r>
      <w:bookmarkEnd w:id="180"/>
      <w:bookmarkEnd w:id="181"/>
      <w:bookmarkEnd w:id="182"/>
    </w:p>
    <w:p w14:paraId="59EEFAE4">
      <w:pPr>
        <w:pStyle w:val="2"/>
        <w:kinsoku/>
        <w:topLinePunct/>
        <w:autoSpaceDE/>
        <w:autoSpaceDN/>
        <w:spacing w:before="175" w:line="218" w:lineRule="auto"/>
        <w:ind w:left="420"/>
        <w:jc w:val="center"/>
        <w:rPr>
          <w:rFonts w:hint="default"/>
          <w:sz w:val="24"/>
          <w:szCs w:val="24"/>
        </w:rPr>
      </w:pPr>
      <w:r>
        <w:rPr>
          <w:spacing w:val="-3"/>
          <w:sz w:val="24"/>
          <w:szCs w:val="24"/>
        </w:rPr>
        <w:t>（第一次磋商报价）</w:t>
      </w:r>
    </w:p>
    <w:p w14:paraId="5F4F6793">
      <w:pPr>
        <w:pStyle w:val="4"/>
        <w:kinsoku/>
        <w:topLinePunct/>
        <w:autoSpaceDE/>
        <w:autoSpaceDN/>
        <w:ind w:left="900" w:hanging="480"/>
        <w:rPr>
          <w:sz w:val="24"/>
          <w:szCs w:val="24"/>
        </w:rPr>
      </w:pPr>
    </w:p>
    <w:p w14:paraId="5A79FD00">
      <w:pPr>
        <w:topLinePunct/>
        <w:spacing w:line="360" w:lineRule="auto"/>
        <w:rPr>
          <w:rFonts w:ascii="宋体" w:hAnsi="宋体"/>
          <w:sz w:val="24"/>
        </w:rPr>
      </w:pPr>
      <w:r>
        <w:rPr>
          <w:rFonts w:hint="eastAsia" w:ascii="宋体" w:hAnsi="宋体"/>
          <w:sz w:val="24"/>
        </w:rPr>
        <w:t xml:space="preserve">项目名称：                       </w:t>
      </w:r>
    </w:p>
    <w:p w14:paraId="448FF7DB">
      <w:pPr>
        <w:topLinePunct/>
        <w:spacing w:line="360" w:lineRule="auto"/>
        <w:rPr>
          <w:rFonts w:ascii="宋体" w:hAnsi="宋体"/>
          <w:bCs/>
          <w:sz w:val="24"/>
        </w:rPr>
      </w:pPr>
      <w:r>
        <w:rPr>
          <w:rFonts w:hint="eastAsia" w:ascii="宋体" w:hAnsi="宋体"/>
          <w:sz w:val="24"/>
        </w:rPr>
        <w:t>项目编号：</w:t>
      </w:r>
      <w:r>
        <w:rPr>
          <w:rFonts w:hint="eastAsia" w:ascii="宋体" w:hAnsi="宋体"/>
          <w:bCs/>
          <w:sz w:val="24"/>
        </w:rPr>
        <w:t xml:space="preserve">                                                     </w:t>
      </w:r>
    </w:p>
    <w:tbl>
      <w:tblPr>
        <w:tblStyle w:val="15"/>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559"/>
        <w:gridCol w:w="1134"/>
        <w:gridCol w:w="1843"/>
        <w:gridCol w:w="1093"/>
      </w:tblGrid>
      <w:tr w14:paraId="59B1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980" w:type="dxa"/>
            <w:vAlign w:val="center"/>
          </w:tcPr>
          <w:p w14:paraId="559658B6">
            <w:pPr>
              <w:topLinePunct/>
              <w:spacing w:line="360" w:lineRule="auto"/>
              <w:jc w:val="center"/>
              <w:rPr>
                <w:rFonts w:ascii="宋体" w:hAnsi="宋体"/>
                <w:sz w:val="24"/>
              </w:rPr>
            </w:pPr>
            <w:r>
              <w:rPr>
                <w:rFonts w:hint="eastAsia" w:ascii="宋体" w:hAnsi="宋体"/>
                <w:sz w:val="24"/>
              </w:rPr>
              <w:t>供应商</w:t>
            </w:r>
          </w:p>
        </w:tc>
        <w:tc>
          <w:tcPr>
            <w:tcW w:w="1701" w:type="dxa"/>
            <w:tcBorders>
              <w:right w:val="single" w:color="auto" w:sz="4" w:space="0"/>
            </w:tcBorders>
            <w:vAlign w:val="center"/>
          </w:tcPr>
          <w:p w14:paraId="2F9DDBF3">
            <w:pPr>
              <w:topLinePunct/>
              <w:spacing w:line="360" w:lineRule="auto"/>
              <w:jc w:val="center"/>
              <w:rPr>
                <w:rFonts w:ascii="宋体" w:hAnsi="宋体"/>
                <w:sz w:val="24"/>
              </w:rPr>
            </w:pPr>
            <w:r>
              <w:rPr>
                <w:rFonts w:hint="eastAsia" w:ascii="宋体" w:hAnsi="宋体"/>
                <w:sz w:val="24"/>
              </w:rPr>
              <w:t>报价</w:t>
            </w:r>
          </w:p>
          <w:p w14:paraId="64CBF207">
            <w:pPr>
              <w:topLinePunct/>
              <w:spacing w:line="360" w:lineRule="auto"/>
              <w:jc w:val="center"/>
              <w:rPr>
                <w:rFonts w:ascii="宋体" w:hAnsi="宋体"/>
                <w:sz w:val="24"/>
              </w:rPr>
            </w:pPr>
            <w:r>
              <w:rPr>
                <w:rFonts w:hint="eastAsia" w:ascii="宋体" w:hAnsi="宋体"/>
                <w:sz w:val="24"/>
              </w:rPr>
              <w:t>（</w:t>
            </w:r>
            <w:r>
              <w:rPr>
                <w:rFonts w:hint="eastAsia" w:ascii="宋体" w:hAnsi="宋体" w:eastAsia="宋体"/>
                <w:sz w:val="24"/>
              </w:rPr>
              <w:t>总价，</w:t>
            </w:r>
            <w:r>
              <w:rPr>
                <w:rFonts w:hint="eastAsia" w:ascii="宋体" w:hAnsi="宋体"/>
                <w:sz w:val="24"/>
              </w:rPr>
              <w:t>元）</w:t>
            </w:r>
          </w:p>
        </w:tc>
        <w:tc>
          <w:tcPr>
            <w:tcW w:w="1559" w:type="dxa"/>
            <w:tcBorders>
              <w:right w:val="single" w:color="auto" w:sz="4" w:space="0"/>
            </w:tcBorders>
            <w:vAlign w:val="center"/>
          </w:tcPr>
          <w:p w14:paraId="7BE64323">
            <w:pPr>
              <w:topLinePunct/>
              <w:spacing w:line="360" w:lineRule="auto"/>
              <w:jc w:val="center"/>
              <w:rPr>
                <w:rFonts w:ascii="宋体" w:hAnsi="宋体" w:eastAsia="宋体"/>
                <w:sz w:val="24"/>
              </w:rPr>
            </w:pPr>
            <w:r>
              <w:rPr>
                <w:rFonts w:hint="eastAsia" w:ascii="宋体" w:hAnsi="宋体" w:eastAsia="宋体"/>
                <w:sz w:val="24"/>
              </w:rPr>
              <w:t>资质等级</w:t>
            </w:r>
          </w:p>
        </w:tc>
        <w:tc>
          <w:tcPr>
            <w:tcW w:w="1134" w:type="dxa"/>
            <w:tcBorders>
              <w:right w:val="single" w:color="auto" w:sz="4" w:space="0"/>
            </w:tcBorders>
            <w:vAlign w:val="center"/>
          </w:tcPr>
          <w:p w14:paraId="62E29058">
            <w:pPr>
              <w:topLinePunct/>
              <w:spacing w:line="360" w:lineRule="auto"/>
              <w:jc w:val="center"/>
              <w:rPr>
                <w:rFonts w:hAnsi="宋体" w:cs="宋体"/>
                <w:sz w:val="24"/>
              </w:rPr>
            </w:pPr>
            <w:r>
              <w:rPr>
                <w:rFonts w:hint="eastAsia" w:hAnsi="宋体" w:cs="宋体"/>
                <w:sz w:val="24"/>
              </w:rPr>
              <w:t>监理服务期</w:t>
            </w:r>
          </w:p>
        </w:tc>
        <w:tc>
          <w:tcPr>
            <w:tcW w:w="1843" w:type="dxa"/>
            <w:tcBorders>
              <w:right w:val="single" w:color="auto" w:sz="4" w:space="0"/>
            </w:tcBorders>
            <w:vAlign w:val="center"/>
          </w:tcPr>
          <w:p w14:paraId="7DF8B0BE">
            <w:pPr>
              <w:topLinePunct/>
              <w:spacing w:line="360" w:lineRule="auto"/>
              <w:jc w:val="center"/>
              <w:rPr>
                <w:rFonts w:ascii="宋体" w:hAnsi="宋体"/>
                <w:sz w:val="24"/>
              </w:rPr>
            </w:pPr>
            <w:r>
              <w:rPr>
                <w:rFonts w:hint="eastAsia" w:ascii="宋体" w:hAnsi="宋体"/>
                <w:sz w:val="24"/>
              </w:rPr>
              <w:t>质量</w:t>
            </w:r>
          </w:p>
          <w:p w14:paraId="37AFE6B6">
            <w:pPr>
              <w:topLinePunct/>
              <w:spacing w:line="360" w:lineRule="auto"/>
              <w:jc w:val="center"/>
              <w:rPr>
                <w:rFonts w:ascii="宋体" w:hAnsi="宋体"/>
                <w:sz w:val="24"/>
              </w:rPr>
            </w:pPr>
            <w:r>
              <w:rPr>
                <w:rFonts w:hint="eastAsia" w:ascii="宋体" w:hAnsi="宋体"/>
                <w:sz w:val="24"/>
              </w:rPr>
              <w:t>标准</w:t>
            </w:r>
          </w:p>
        </w:tc>
        <w:tc>
          <w:tcPr>
            <w:tcW w:w="1093" w:type="dxa"/>
            <w:tcBorders>
              <w:right w:val="single" w:color="auto" w:sz="4" w:space="0"/>
            </w:tcBorders>
            <w:vAlign w:val="center"/>
          </w:tcPr>
          <w:p w14:paraId="17F1CD27">
            <w:pPr>
              <w:topLinePunct/>
              <w:spacing w:line="360" w:lineRule="auto"/>
              <w:jc w:val="center"/>
              <w:rPr>
                <w:rFonts w:ascii="宋体" w:hAnsi="宋体" w:eastAsia="宋体"/>
                <w:sz w:val="24"/>
              </w:rPr>
            </w:pPr>
            <w:r>
              <w:rPr>
                <w:rFonts w:hint="eastAsia" w:ascii="宋体" w:hAnsi="宋体" w:eastAsia="宋体"/>
                <w:sz w:val="24"/>
              </w:rPr>
              <w:t>总监理工程师</w:t>
            </w:r>
          </w:p>
        </w:tc>
      </w:tr>
      <w:tr w14:paraId="4C06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980" w:type="dxa"/>
            <w:vAlign w:val="center"/>
          </w:tcPr>
          <w:p w14:paraId="2C4A7A4C">
            <w:pPr>
              <w:topLinePunct/>
              <w:spacing w:line="360" w:lineRule="auto"/>
              <w:rPr>
                <w:rFonts w:ascii="宋体" w:hAnsi="宋体"/>
                <w:sz w:val="24"/>
              </w:rPr>
            </w:pPr>
          </w:p>
        </w:tc>
        <w:tc>
          <w:tcPr>
            <w:tcW w:w="1701" w:type="dxa"/>
            <w:tcBorders>
              <w:right w:val="single" w:color="auto" w:sz="4" w:space="0"/>
            </w:tcBorders>
            <w:vAlign w:val="center"/>
          </w:tcPr>
          <w:p w14:paraId="689D996A">
            <w:pPr>
              <w:topLinePunct/>
              <w:spacing w:line="360" w:lineRule="auto"/>
              <w:jc w:val="center"/>
              <w:rPr>
                <w:rFonts w:ascii="宋体" w:hAnsi="宋体"/>
                <w:sz w:val="24"/>
              </w:rPr>
            </w:pPr>
          </w:p>
        </w:tc>
        <w:tc>
          <w:tcPr>
            <w:tcW w:w="1559" w:type="dxa"/>
            <w:tcBorders>
              <w:right w:val="single" w:color="auto" w:sz="4" w:space="0"/>
            </w:tcBorders>
            <w:vAlign w:val="center"/>
          </w:tcPr>
          <w:p w14:paraId="1A9F0D43">
            <w:pPr>
              <w:topLinePunct/>
              <w:spacing w:line="360" w:lineRule="auto"/>
              <w:jc w:val="center"/>
              <w:rPr>
                <w:rFonts w:ascii="宋体" w:hAnsi="宋体"/>
                <w:sz w:val="24"/>
              </w:rPr>
            </w:pPr>
          </w:p>
        </w:tc>
        <w:tc>
          <w:tcPr>
            <w:tcW w:w="1134" w:type="dxa"/>
            <w:tcBorders>
              <w:right w:val="single" w:color="auto" w:sz="4" w:space="0"/>
            </w:tcBorders>
            <w:vAlign w:val="center"/>
          </w:tcPr>
          <w:p w14:paraId="2E9D8A23">
            <w:pPr>
              <w:topLinePunct/>
              <w:spacing w:line="360" w:lineRule="auto"/>
              <w:jc w:val="center"/>
              <w:rPr>
                <w:rFonts w:ascii="宋体" w:hAnsi="宋体"/>
                <w:sz w:val="24"/>
              </w:rPr>
            </w:pPr>
          </w:p>
        </w:tc>
        <w:tc>
          <w:tcPr>
            <w:tcW w:w="1843" w:type="dxa"/>
            <w:tcBorders>
              <w:bottom w:val="single" w:color="auto" w:sz="4" w:space="0"/>
              <w:right w:val="single" w:color="auto" w:sz="4" w:space="0"/>
            </w:tcBorders>
            <w:vAlign w:val="center"/>
          </w:tcPr>
          <w:p w14:paraId="2CF33045">
            <w:pPr>
              <w:topLinePunct/>
              <w:spacing w:line="360" w:lineRule="auto"/>
              <w:jc w:val="center"/>
              <w:rPr>
                <w:rFonts w:ascii="宋体" w:hAnsi="宋体"/>
                <w:sz w:val="24"/>
              </w:rPr>
            </w:pPr>
          </w:p>
        </w:tc>
        <w:tc>
          <w:tcPr>
            <w:tcW w:w="1093" w:type="dxa"/>
            <w:tcBorders>
              <w:bottom w:val="single" w:color="auto" w:sz="4" w:space="0"/>
              <w:right w:val="single" w:color="auto" w:sz="4" w:space="0"/>
            </w:tcBorders>
            <w:vAlign w:val="center"/>
          </w:tcPr>
          <w:p w14:paraId="5AA56D20">
            <w:pPr>
              <w:pStyle w:val="12"/>
              <w:topLinePunct/>
              <w:spacing w:line="360" w:lineRule="auto"/>
              <w:jc w:val="center"/>
              <w:rPr>
                <w:rFonts w:ascii="宋体" w:hAnsi="宋体"/>
                <w:sz w:val="24"/>
              </w:rPr>
            </w:pPr>
          </w:p>
          <w:p w14:paraId="20A88481">
            <w:pPr>
              <w:pStyle w:val="12"/>
              <w:topLinePunct/>
              <w:spacing w:line="360" w:lineRule="auto"/>
              <w:jc w:val="center"/>
              <w:rPr>
                <w:rFonts w:ascii="宋体" w:hAnsi="宋体"/>
                <w:sz w:val="24"/>
              </w:rPr>
            </w:pPr>
          </w:p>
        </w:tc>
      </w:tr>
    </w:tbl>
    <w:p w14:paraId="1D8B5577">
      <w:pPr>
        <w:topLinePunct/>
        <w:spacing w:line="360" w:lineRule="auto"/>
        <w:rPr>
          <w:rFonts w:ascii="宋体" w:hAnsi="宋体" w:eastAsia="宋体"/>
          <w:sz w:val="24"/>
        </w:rPr>
      </w:pPr>
      <w:r>
        <w:rPr>
          <w:rFonts w:hint="eastAsia" w:ascii="宋体" w:hAnsi="宋体"/>
          <w:sz w:val="24"/>
        </w:rPr>
        <w:t>备注：</w:t>
      </w:r>
      <w:r>
        <w:rPr>
          <w:rFonts w:hint="eastAsia" w:ascii="宋体" w:hAnsi="宋体" w:eastAsia="宋体"/>
          <w:sz w:val="24"/>
        </w:rPr>
        <w:t>按照“政采云”模板进行填写。</w:t>
      </w:r>
    </w:p>
    <w:p w14:paraId="5084641A">
      <w:pPr>
        <w:topLinePunct/>
        <w:spacing w:line="315" w:lineRule="auto"/>
        <w:ind w:firstLine="480" w:firstLineChars="200"/>
        <w:rPr>
          <w:rFonts w:ascii="宋体" w:hAnsi="宋体" w:cs="宋体"/>
          <w:sz w:val="24"/>
        </w:rPr>
      </w:pPr>
    </w:p>
    <w:p w14:paraId="32EC1C6C">
      <w:pPr>
        <w:topLinePunct/>
        <w:spacing w:line="480" w:lineRule="auto"/>
        <w:ind w:firstLine="480" w:firstLineChars="200"/>
        <w:rPr>
          <w:rFonts w:ascii="宋体" w:hAnsi="宋体" w:cs="宋体"/>
          <w:sz w:val="24"/>
          <w:u w:val="single"/>
        </w:rPr>
      </w:pPr>
      <w:r>
        <w:rPr>
          <w:rFonts w:hint="eastAsia" w:ascii="宋体" w:hAnsi="宋体" w:cs="宋体"/>
          <w:sz w:val="24"/>
        </w:rPr>
        <w:t xml:space="preserve">                   供应商</w:t>
      </w:r>
      <w:r>
        <w:rPr>
          <w:rFonts w:hint="eastAsia" w:ascii="宋体" w:hAnsi="宋体" w:eastAsia="宋体" w:cs="宋体"/>
          <w:sz w:val="24"/>
        </w:rPr>
        <w:t>名称（公章）</w:t>
      </w:r>
      <w:r>
        <w:rPr>
          <w:rFonts w:hint="eastAsia" w:ascii="宋体" w:hAnsi="宋体" w:cs="宋体"/>
          <w:sz w:val="24"/>
        </w:rPr>
        <w:t>：</w:t>
      </w:r>
      <w:r>
        <w:rPr>
          <w:rFonts w:hint="eastAsia" w:ascii="宋体" w:hAnsi="宋体" w:cs="宋体"/>
          <w:sz w:val="24"/>
          <w:u w:val="single"/>
        </w:rPr>
        <w:t>　　　　　　　　　　　　</w:t>
      </w:r>
    </w:p>
    <w:p w14:paraId="6A4CBE5E">
      <w:pPr>
        <w:topLinePunct/>
        <w:spacing w:line="480" w:lineRule="auto"/>
        <w:ind w:firstLine="480" w:firstLineChars="200"/>
        <w:rPr>
          <w:rFonts w:ascii="宋体" w:hAnsi="宋体" w:cs="宋体"/>
          <w:sz w:val="24"/>
          <w:u w:val="single"/>
        </w:rPr>
      </w:pPr>
      <w:r>
        <w:rPr>
          <w:rFonts w:hint="eastAsia" w:ascii="宋体" w:hAnsi="宋体" w:cs="宋体"/>
          <w:sz w:val="24"/>
        </w:rPr>
        <w:t xml:space="preserve">                   </w:t>
      </w:r>
      <w:r>
        <w:rPr>
          <w:rFonts w:hint="eastAsia" w:ascii="宋体" w:hAnsi="宋体" w:eastAsia="宋体" w:cs="宋体"/>
          <w:sz w:val="24"/>
        </w:rPr>
        <w:t>法定代表人（签字或盖章）</w:t>
      </w:r>
      <w:r>
        <w:rPr>
          <w:rFonts w:hint="eastAsia" w:ascii="宋体" w:hAnsi="宋体" w:cs="宋体"/>
          <w:sz w:val="24"/>
        </w:rPr>
        <w:t>：</w:t>
      </w:r>
      <w:r>
        <w:rPr>
          <w:rFonts w:hint="eastAsia" w:ascii="宋体" w:hAnsi="宋体" w:cs="宋体"/>
          <w:sz w:val="24"/>
          <w:u w:val="single"/>
        </w:rPr>
        <w:t>　　　　　　　　　　　　　　</w:t>
      </w:r>
    </w:p>
    <w:p w14:paraId="1A4D1249">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w:t>
      </w:r>
    </w:p>
    <w:p w14:paraId="362EACAB">
      <w:pPr>
        <w:pStyle w:val="2"/>
        <w:kinsoku/>
        <w:topLinePunct/>
        <w:autoSpaceDE/>
        <w:autoSpaceDN/>
        <w:spacing w:before="101" w:line="225" w:lineRule="auto"/>
        <w:ind w:left="420"/>
        <w:jc w:val="center"/>
        <w:outlineLvl w:val="1"/>
        <w:rPr>
          <w:rFonts w:hint="default"/>
        </w:rPr>
      </w:pPr>
      <w:r>
        <w:rPr>
          <w:rFonts w:cs="宋体"/>
          <w:sz w:val="24"/>
        </w:rPr>
        <w:br w:type="page"/>
      </w:r>
      <w:bookmarkStart w:id="183" w:name="_Toc20132"/>
      <w:bookmarkStart w:id="184" w:name="_Toc199944426"/>
      <w:bookmarkStart w:id="185" w:name="_Toc200025597"/>
      <w:r>
        <w:rPr>
          <w:spacing w:val="4"/>
          <w14:textOutline w14:w="5791" w14:cap="sq" w14:cmpd="sng" w14:algn="ctr">
            <w14:solidFill>
              <w14:srgbClr w14:val="000000"/>
            </w14:solidFill>
            <w14:prstDash w14:val="solid"/>
            <w14:bevel/>
          </w14:textOutline>
        </w:rPr>
        <w:t>四、磋商保证金</w:t>
      </w:r>
      <w:bookmarkEnd w:id="183"/>
      <w:bookmarkEnd w:id="184"/>
      <w:bookmarkEnd w:id="185"/>
    </w:p>
    <w:p w14:paraId="0E42A666">
      <w:pPr>
        <w:topLinePunct/>
        <w:spacing w:line="340" w:lineRule="auto"/>
      </w:pPr>
    </w:p>
    <w:p w14:paraId="43B3165B">
      <w:pPr>
        <w:topLinePunct/>
        <w:spacing w:line="341" w:lineRule="auto"/>
      </w:pPr>
    </w:p>
    <w:p w14:paraId="0622F0FA">
      <w:pPr>
        <w:topLinePunct/>
        <w:spacing w:line="228" w:lineRule="auto"/>
        <w:rPr>
          <w:rFonts w:asciiTheme="minorEastAsia" w:hAnsiTheme="minorEastAsia"/>
          <w:bCs/>
          <w:sz w:val="24"/>
        </w:rPr>
      </w:pPr>
      <w:r>
        <w:rPr>
          <w:rFonts w:hint="eastAsia" w:asciiTheme="minorEastAsia" w:hAnsiTheme="minorEastAsia"/>
          <w:bCs/>
          <w:sz w:val="24"/>
        </w:rPr>
        <w:t>本项目无需递交磋商保证金。</w:t>
      </w:r>
    </w:p>
    <w:p w14:paraId="15D0E248">
      <w:pPr>
        <w:topLinePunct/>
        <w:spacing w:line="228" w:lineRule="auto"/>
        <w:rPr>
          <w:rFonts w:asciiTheme="minorEastAsia" w:hAnsiTheme="minorEastAsia"/>
          <w:bCs/>
          <w:sz w:val="24"/>
        </w:rPr>
      </w:pPr>
    </w:p>
    <w:p w14:paraId="1AA27FFC">
      <w:pPr>
        <w:widowControl/>
        <w:jc w:val="left"/>
        <w:rPr>
          <w:rFonts w:asciiTheme="minorEastAsia" w:hAnsiTheme="minorEastAsia"/>
          <w:bCs/>
          <w:sz w:val="24"/>
        </w:rPr>
      </w:pPr>
      <w:r>
        <w:rPr>
          <w:rFonts w:asciiTheme="minorEastAsia" w:hAnsiTheme="minorEastAsia"/>
          <w:bCs/>
          <w:sz w:val="24"/>
        </w:rPr>
        <w:br w:type="page"/>
      </w:r>
    </w:p>
    <w:p w14:paraId="292A9DBE">
      <w:pPr>
        <w:pStyle w:val="2"/>
        <w:kinsoku/>
        <w:topLinePunct/>
        <w:autoSpaceDE/>
        <w:autoSpaceDN/>
        <w:spacing w:before="63" w:line="224" w:lineRule="auto"/>
        <w:ind w:left="420"/>
        <w:jc w:val="center"/>
        <w:outlineLvl w:val="1"/>
        <w:rPr>
          <w:rFonts w:hint="default"/>
        </w:rPr>
      </w:pPr>
      <w:bookmarkStart w:id="186" w:name="_Toc200025598"/>
      <w:r>
        <w:rPr>
          <w:spacing w:val="9"/>
          <w14:textOutline w14:w="5791" w14:cap="sq" w14:cmpd="sng" w14:algn="ctr">
            <w14:solidFill>
              <w14:srgbClr w14:val="000000"/>
            </w14:solidFill>
            <w14:prstDash w14:val="solid"/>
            <w14:bevel/>
          </w14:textOutline>
        </w:rPr>
        <w:t>五、供应商基本情况</w:t>
      </w:r>
      <w:bookmarkEnd w:id="186"/>
    </w:p>
    <w:p w14:paraId="30FA84E6">
      <w:pPr>
        <w:pStyle w:val="2"/>
        <w:kinsoku/>
        <w:topLinePunct/>
        <w:autoSpaceDE/>
        <w:autoSpaceDN/>
        <w:spacing w:before="25" w:line="210" w:lineRule="auto"/>
        <w:ind w:left="420"/>
        <w:jc w:val="center"/>
        <w:outlineLvl w:val="2"/>
        <w:rPr>
          <w:rFonts w:hint="default"/>
          <w:spacing w:val="8"/>
          <w14:textOutline w14:w="5791" w14:cap="sq" w14:cmpd="sng" w14:algn="ctr">
            <w14:solidFill>
              <w14:srgbClr w14:val="000000"/>
            </w14:solidFill>
            <w14:prstDash w14:val="solid"/>
            <w14:bevel/>
          </w14:textOutline>
        </w:rPr>
      </w:pPr>
      <w:r>
        <w:rPr>
          <w:spacing w:val="8"/>
          <w14:textOutline w14:w="5791" w14:cap="sq" w14:cmpd="sng" w14:algn="ctr">
            <w14:solidFill>
              <w14:srgbClr w14:val="000000"/>
            </w14:solidFill>
            <w14:prstDash w14:val="solid"/>
            <w14:bevel/>
          </w14:textOutline>
        </w:rPr>
        <w:t>（一）供应商基本情况表</w:t>
      </w:r>
    </w:p>
    <w:tbl>
      <w:tblPr>
        <w:tblStyle w:val="15"/>
        <w:tblW w:w="96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1024"/>
        <w:gridCol w:w="885"/>
        <w:gridCol w:w="988"/>
        <w:gridCol w:w="282"/>
        <w:gridCol w:w="193"/>
        <w:gridCol w:w="1240"/>
        <w:gridCol w:w="260"/>
        <w:gridCol w:w="706"/>
        <w:gridCol w:w="1645"/>
      </w:tblGrid>
      <w:tr w14:paraId="0FB1C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9" w:hRule="atLeast"/>
          <w:jc w:val="center"/>
        </w:trPr>
        <w:tc>
          <w:tcPr>
            <w:tcW w:w="2382" w:type="dxa"/>
          </w:tcPr>
          <w:p w14:paraId="74A02554">
            <w:pPr>
              <w:pStyle w:val="24"/>
              <w:kinsoku/>
              <w:topLinePunct/>
              <w:autoSpaceDE/>
              <w:autoSpaceDN/>
              <w:spacing w:before="115" w:line="220" w:lineRule="auto"/>
              <w:ind w:left="600"/>
              <w:rPr>
                <w:rFonts w:hint="default"/>
              </w:rPr>
            </w:pPr>
            <w:r>
              <w:rPr>
                <w:spacing w:val="-3"/>
              </w:rPr>
              <w:t>供应商名称</w:t>
            </w:r>
          </w:p>
        </w:tc>
        <w:tc>
          <w:tcPr>
            <w:tcW w:w="7223" w:type="dxa"/>
            <w:gridSpan w:val="9"/>
          </w:tcPr>
          <w:p w14:paraId="5F6DB8CD">
            <w:pPr>
              <w:topLinePunct/>
            </w:pPr>
          </w:p>
        </w:tc>
      </w:tr>
      <w:tr w14:paraId="021C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7AC0A7DD">
            <w:pPr>
              <w:pStyle w:val="24"/>
              <w:kinsoku/>
              <w:topLinePunct/>
              <w:autoSpaceDE/>
              <w:autoSpaceDN/>
              <w:spacing w:before="111" w:line="221" w:lineRule="auto"/>
              <w:ind w:left="717"/>
              <w:rPr>
                <w:rFonts w:hint="default"/>
              </w:rPr>
            </w:pPr>
            <w:r>
              <w:rPr>
                <w:spacing w:val="-3"/>
              </w:rPr>
              <w:t>注册地址</w:t>
            </w:r>
          </w:p>
        </w:tc>
        <w:tc>
          <w:tcPr>
            <w:tcW w:w="3372" w:type="dxa"/>
            <w:gridSpan w:val="5"/>
          </w:tcPr>
          <w:p w14:paraId="58549F35">
            <w:pPr>
              <w:topLinePunct/>
            </w:pPr>
          </w:p>
        </w:tc>
        <w:tc>
          <w:tcPr>
            <w:tcW w:w="1240" w:type="dxa"/>
          </w:tcPr>
          <w:p w14:paraId="6ED9EFA5">
            <w:pPr>
              <w:pStyle w:val="24"/>
              <w:kinsoku/>
              <w:topLinePunct/>
              <w:autoSpaceDE/>
              <w:autoSpaceDN/>
              <w:spacing w:before="112" w:line="219" w:lineRule="auto"/>
              <w:ind w:left="164"/>
              <w:rPr>
                <w:rFonts w:hint="default"/>
              </w:rPr>
            </w:pPr>
            <w:r>
              <w:rPr>
                <w:spacing w:val="-7"/>
              </w:rPr>
              <w:t>邮政编码</w:t>
            </w:r>
          </w:p>
        </w:tc>
        <w:tc>
          <w:tcPr>
            <w:tcW w:w="2611" w:type="dxa"/>
            <w:gridSpan w:val="3"/>
          </w:tcPr>
          <w:p w14:paraId="14D587EF">
            <w:pPr>
              <w:topLinePunct/>
            </w:pPr>
          </w:p>
        </w:tc>
      </w:tr>
      <w:tr w14:paraId="74C79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vMerge w:val="restart"/>
            <w:tcBorders>
              <w:bottom w:val="nil"/>
            </w:tcBorders>
          </w:tcPr>
          <w:p w14:paraId="7838291F">
            <w:pPr>
              <w:pStyle w:val="24"/>
              <w:kinsoku/>
              <w:topLinePunct/>
              <w:autoSpaceDE/>
              <w:autoSpaceDN/>
              <w:spacing w:before="318" w:line="221" w:lineRule="auto"/>
              <w:ind w:left="718"/>
              <w:rPr>
                <w:rFonts w:hint="default"/>
              </w:rPr>
            </w:pPr>
            <w:r>
              <w:rPr>
                <w:spacing w:val="-3"/>
              </w:rPr>
              <w:t>联系方式</w:t>
            </w:r>
          </w:p>
        </w:tc>
        <w:tc>
          <w:tcPr>
            <w:tcW w:w="1024" w:type="dxa"/>
          </w:tcPr>
          <w:p w14:paraId="38DAB783">
            <w:pPr>
              <w:pStyle w:val="24"/>
              <w:kinsoku/>
              <w:topLinePunct/>
              <w:autoSpaceDE/>
              <w:autoSpaceDN/>
              <w:spacing w:before="112" w:line="221" w:lineRule="auto"/>
              <w:ind w:left="157"/>
              <w:rPr>
                <w:rFonts w:hint="default"/>
              </w:rPr>
            </w:pPr>
            <w:r>
              <w:rPr>
                <w:spacing w:val="-4"/>
              </w:rPr>
              <w:t>联系人</w:t>
            </w:r>
          </w:p>
        </w:tc>
        <w:tc>
          <w:tcPr>
            <w:tcW w:w="2348" w:type="dxa"/>
            <w:gridSpan w:val="4"/>
          </w:tcPr>
          <w:p w14:paraId="448E923D">
            <w:pPr>
              <w:topLinePunct/>
            </w:pPr>
          </w:p>
        </w:tc>
        <w:tc>
          <w:tcPr>
            <w:tcW w:w="1240" w:type="dxa"/>
          </w:tcPr>
          <w:p w14:paraId="01EA2A7C">
            <w:pPr>
              <w:pStyle w:val="24"/>
              <w:kinsoku/>
              <w:topLinePunct/>
              <w:autoSpaceDE/>
              <w:autoSpaceDN/>
              <w:spacing w:before="112" w:line="221" w:lineRule="auto"/>
              <w:ind w:left="295"/>
              <w:rPr>
                <w:rFonts w:hint="default"/>
              </w:rPr>
            </w:pPr>
            <w:r>
              <w:rPr>
                <w:spacing w:val="-19"/>
              </w:rPr>
              <w:t>电话</w:t>
            </w:r>
          </w:p>
        </w:tc>
        <w:tc>
          <w:tcPr>
            <w:tcW w:w="2611" w:type="dxa"/>
            <w:gridSpan w:val="3"/>
          </w:tcPr>
          <w:p w14:paraId="4FFD0426">
            <w:pPr>
              <w:topLinePunct/>
            </w:pPr>
          </w:p>
        </w:tc>
      </w:tr>
      <w:tr w14:paraId="5501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0" w:hRule="atLeast"/>
          <w:jc w:val="center"/>
        </w:trPr>
        <w:tc>
          <w:tcPr>
            <w:tcW w:w="2382" w:type="dxa"/>
            <w:vMerge w:val="continue"/>
            <w:tcBorders>
              <w:top w:val="nil"/>
            </w:tcBorders>
          </w:tcPr>
          <w:p w14:paraId="3018226B">
            <w:pPr>
              <w:topLinePunct/>
            </w:pPr>
          </w:p>
        </w:tc>
        <w:tc>
          <w:tcPr>
            <w:tcW w:w="1024" w:type="dxa"/>
          </w:tcPr>
          <w:p w14:paraId="4D6EAF93">
            <w:pPr>
              <w:pStyle w:val="24"/>
              <w:kinsoku/>
              <w:topLinePunct/>
              <w:autoSpaceDE/>
              <w:autoSpaceDN/>
              <w:spacing w:before="83" w:line="219" w:lineRule="auto"/>
              <w:ind w:left="154"/>
              <w:rPr>
                <w:rFonts w:hint="default"/>
              </w:rPr>
            </w:pPr>
            <w:r>
              <w:rPr>
                <w:spacing w:val="-4"/>
              </w:rPr>
              <w:t>传真</w:t>
            </w:r>
          </w:p>
        </w:tc>
        <w:tc>
          <w:tcPr>
            <w:tcW w:w="2348" w:type="dxa"/>
            <w:gridSpan w:val="4"/>
          </w:tcPr>
          <w:p w14:paraId="1BC93041">
            <w:pPr>
              <w:topLinePunct/>
            </w:pPr>
          </w:p>
        </w:tc>
        <w:tc>
          <w:tcPr>
            <w:tcW w:w="1240" w:type="dxa"/>
          </w:tcPr>
          <w:p w14:paraId="4EC7DAA2">
            <w:pPr>
              <w:pStyle w:val="24"/>
              <w:kinsoku/>
              <w:topLinePunct/>
              <w:autoSpaceDE/>
              <w:autoSpaceDN/>
              <w:spacing w:before="84" w:line="224" w:lineRule="auto"/>
              <w:ind w:left="285"/>
              <w:rPr>
                <w:rFonts w:hint="default"/>
              </w:rPr>
            </w:pPr>
            <w:r>
              <w:rPr>
                <w:spacing w:val="-15"/>
              </w:rPr>
              <w:t>网址</w:t>
            </w:r>
          </w:p>
        </w:tc>
        <w:tc>
          <w:tcPr>
            <w:tcW w:w="2611" w:type="dxa"/>
            <w:gridSpan w:val="3"/>
          </w:tcPr>
          <w:p w14:paraId="0B4D25D4">
            <w:pPr>
              <w:topLinePunct/>
            </w:pPr>
          </w:p>
        </w:tc>
      </w:tr>
      <w:tr w14:paraId="6F820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7AFEBE9A">
            <w:pPr>
              <w:pStyle w:val="24"/>
              <w:kinsoku/>
              <w:topLinePunct/>
              <w:autoSpaceDE/>
              <w:autoSpaceDN/>
              <w:spacing w:before="113" w:line="219" w:lineRule="auto"/>
              <w:ind w:left="598"/>
              <w:rPr>
                <w:rFonts w:hint="default"/>
              </w:rPr>
            </w:pPr>
            <w:r>
              <w:rPr>
                <w:spacing w:val="-3"/>
              </w:rPr>
              <w:t>法定代表人</w:t>
            </w:r>
          </w:p>
        </w:tc>
        <w:tc>
          <w:tcPr>
            <w:tcW w:w="1024" w:type="dxa"/>
          </w:tcPr>
          <w:p w14:paraId="495368A0">
            <w:pPr>
              <w:pStyle w:val="24"/>
              <w:kinsoku/>
              <w:topLinePunct/>
              <w:autoSpaceDE/>
              <w:autoSpaceDN/>
              <w:spacing w:before="113" w:line="219" w:lineRule="auto"/>
              <w:ind w:left="276"/>
              <w:rPr>
                <w:rFonts w:hint="default"/>
              </w:rPr>
            </w:pPr>
            <w:r>
              <w:rPr>
                <w:spacing w:val="-5"/>
              </w:rPr>
              <w:t>姓名</w:t>
            </w:r>
          </w:p>
        </w:tc>
        <w:tc>
          <w:tcPr>
            <w:tcW w:w="885" w:type="dxa"/>
          </w:tcPr>
          <w:p w14:paraId="726B950D">
            <w:pPr>
              <w:topLinePunct/>
            </w:pPr>
          </w:p>
        </w:tc>
        <w:tc>
          <w:tcPr>
            <w:tcW w:w="1270" w:type="dxa"/>
            <w:gridSpan w:val="2"/>
          </w:tcPr>
          <w:p w14:paraId="1F7F64A0">
            <w:pPr>
              <w:pStyle w:val="24"/>
              <w:kinsoku/>
              <w:topLinePunct/>
              <w:autoSpaceDE/>
              <w:autoSpaceDN/>
              <w:spacing w:before="113" w:line="219" w:lineRule="auto"/>
              <w:rPr>
                <w:rFonts w:hint="default"/>
              </w:rPr>
            </w:pPr>
            <w:r>
              <w:rPr>
                <w:spacing w:val="-3"/>
              </w:rPr>
              <w:t>技术职称</w:t>
            </w:r>
          </w:p>
        </w:tc>
        <w:tc>
          <w:tcPr>
            <w:tcW w:w="1693" w:type="dxa"/>
            <w:gridSpan w:val="3"/>
          </w:tcPr>
          <w:p w14:paraId="1205BC7E">
            <w:pPr>
              <w:topLinePunct/>
            </w:pPr>
          </w:p>
        </w:tc>
        <w:tc>
          <w:tcPr>
            <w:tcW w:w="706" w:type="dxa"/>
          </w:tcPr>
          <w:p w14:paraId="7A7EF613">
            <w:pPr>
              <w:pStyle w:val="24"/>
              <w:kinsoku/>
              <w:topLinePunct/>
              <w:autoSpaceDE/>
              <w:autoSpaceDN/>
              <w:spacing w:before="113" w:line="221" w:lineRule="auto"/>
              <w:rPr>
                <w:rFonts w:hint="default"/>
              </w:rPr>
            </w:pPr>
            <w:r>
              <w:rPr>
                <w:spacing w:val="-19"/>
              </w:rPr>
              <w:t>电话</w:t>
            </w:r>
          </w:p>
        </w:tc>
        <w:tc>
          <w:tcPr>
            <w:tcW w:w="1645" w:type="dxa"/>
          </w:tcPr>
          <w:p w14:paraId="7069AAF1">
            <w:pPr>
              <w:topLinePunct/>
            </w:pPr>
          </w:p>
        </w:tc>
      </w:tr>
      <w:tr w14:paraId="53663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35DB422C">
            <w:pPr>
              <w:pStyle w:val="24"/>
              <w:kinsoku/>
              <w:topLinePunct/>
              <w:autoSpaceDE/>
              <w:autoSpaceDN/>
              <w:spacing w:before="111" w:line="219" w:lineRule="auto"/>
              <w:ind w:left="483"/>
              <w:rPr>
                <w:rFonts w:hint="default"/>
              </w:rPr>
            </w:pPr>
            <w:r>
              <w:rPr>
                <w:spacing w:val="-3"/>
              </w:rPr>
              <w:t>总监理工程师</w:t>
            </w:r>
          </w:p>
        </w:tc>
        <w:tc>
          <w:tcPr>
            <w:tcW w:w="1024" w:type="dxa"/>
          </w:tcPr>
          <w:p w14:paraId="291B6714">
            <w:pPr>
              <w:pStyle w:val="24"/>
              <w:kinsoku/>
              <w:topLinePunct/>
              <w:autoSpaceDE/>
              <w:autoSpaceDN/>
              <w:spacing w:before="111" w:line="219" w:lineRule="auto"/>
              <w:ind w:left="276"/>
              <w:rPr>
                <w:rFonts w:hint="default"/>
              </w:rPr>
            </w:pPr>
            <w:r>
              <w:rPr>
                <w:spacing w:val="-5"/>
              </w:rPr>
              <w:t>姓名</w:t>
            </w:r>
          </w:p>
        </w:tc>
        <w:tc>
          <w:tcPr>
            <w:tcW w:w="885" w:type="dxa"/>
          </w:tcPr>
          <w:p w14:paraId="3B6FA0E8">
            <w:pPr>
              <w:topLinePunct/>
            </w:pPr>
          </w:p>
        </w:tc>
        <w:tc>
          <w:tcPr>
            <w:tcW w:w="1270" w:type="dxa"/>
            <w:gridSpan w:val="2"/>
          </w:tcPr>
          <w:p w14:paraId="3430277D">
            <w:pPr>
              <w:pStyle w:val="24"/>
              <w:kinsoku/>
              <w:topLinePunct/>
              <w:autoSpaceDE/>
              <w:autoSpaceDN/>
              <w:spacing w:before="111" w:line="219" w:lineRule="auto"/>
              <w:rPr>
                <w:rFonts w:hint="default"/>
              </w:rPr>
            </w:pPr>
            <w:r>
              <w:rPr>
                <w:spacing w:val="-3"/>
              </w:rPr>
              <w:t>技术职称</w:t>
            </w:r>
          </w:p>
        </w:tc>
        <w:tc>
          <w:tcPr>
            <w:tcW w:w="1693" w:type="dxa"/>
            <w:gridSpan w:val="3"/>
          </w:tcPr>
          <w:p w14:paraId="0029E578">
            <w:pPr>
              <w:topLinePunct/>
            </w:pPr>
          </w:p>
        </w:tc>
        <w:tc>
          <w:tcPr>
            <w:tcW w:w="706" w:type="dxa"/>
          </w:tcPr>
          <w:p w14:paraId="35C05E54">
            <w:pPr>
              <w:pStyle w:val="24"/>
              <w:kinsoku/>
              <w:topLinePunct/>
              <w:autoSpaceDE/>
              <w:autoSpaceDN/>
              <w:spacing w:before="111" w:line="221" w:lineRule="auto"/>
              <w:rPr>
                <w:rFonts w:hint="default"/>
              </w:rPr>
            </w:pPr>
            <w:r>
              <w:rPr>
                <w:spacing w:val="-19"/>
              </w:rPr>
              <w:t>电话</w:t>
            </w:r>
          </w:p>
        </w:tc>
        <w:tc>
          <w:tcPr>
            <w:tcW w:w="1645" w:type="dxa"/>
          </w:tcPr>
          <w:p w14:paraId="1FD658D4">
            <w:pPr>
              <w:topLinePunct/>
            </w:pPr>
          </w:p>
        </w:tc>
      </w:tr>
      <w:tr w14:paraId="32DDF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321CBB6B">
            <w:pPr>
              <w:pStyle w:val="24"/>
              <w:kinsoku/>
              <w:topLinePunct/>
              <w:autoSpaceDE/>
              <w:autoSpaceDN/>
              <w:spacing w:before="110" w:line="219" w:lineRule="auto"/>
              <w:ind w:left="481"/>
              <w:rPr>
                <w:rFonts w:hint="default"/>
              </w:rPr>
            </w:pPr>
            <w:r>
              <w:rPr>
                <w:spacing w:val="-3"/>
              </w:rPr>
              <w:t>企业资质证书</w:t>
            </w:r>
          </w:p>
        </w:tc>
        <w:tc>
          <w:tcPr>
            <w:tcW w:w="7223" w:type="dxa"/>
            <w:gridSpan w:val="9"/>
          </w:tcPr>
          <w:p w14:paraId="554A7B36">
            <w:pPr>
              <w:pStyle w:val="24"/>
              <w:kinsoku/>
              <w:topLinePunct/>
              <w:autoSpaceDE/>
              <w:autoSpaceDN/>
              <w:spacing w:before="110" w:line="219" w:lineRule="auto"/>
              <w:ind w:left="113"/>
              <w:rPr>
                <w:rFonts w:hint="default"/>
              </w:rPr>
            </w:pPr>
            <w:r>
              <w:rPr>
                <w:spacing w:val="-1"/>
              </w:rPr>
              <w:t>类型：等级：证书号：</w:t>
            </w:r>
          </w:p>
        </w:tc>
      </w:tr>
      <w:tr w14:paraId="33139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8" w:hRule="atLeast"/>
          <w:jc w:val="center"/>
        </w:trPr>
        <w:tc>
          <w:tcPr>
            <w:tcW w:w="2382" w:type="dxa"/>
          </w:tcPr>
          <w:p w14:paraId="041BF51E">
            <w:pPr>
              <w:pStyle w:val="24"/>
              <w:kinsoku/>
              <w:topLinePunct/>
              <w:autoSpaceDE/>
              <w:autoSpaceDN/>
              <w:spacing w:before="36" w:line="219" w:lineRule="auto"/>
              <w:ind w:left="238"/>
              <w:rPr>
                <w:rFonts w:hint="default"/>
              </w:rPr>
            </w:pPr>
            <w:r>
              <w:rPr>
                <w:spacing w:val="-2"/>
              </w:rPr>
              <w:t>质量管理体系证书</w:t>
            </w:r>
          </w:p>
          <w:p w14:paraId="088F5BBD">
            <w:pPr>
              <w:pStyle w:val="24"/>
              <w:kinsoku/>
              <w:topLinePunct/>
              <w:autoSpaceDE/>
              <w:autoSpaceDN/>
              <w:spacing w:before="27" w:line="207" w:lineRule="auto"/>
              <w:ind w:left="728"/>
              <w:rPr>
                <w:rFonts w:hint="default"/>
              </w:rPr>
            </w:pPr>
            <w:r>
              <w:rPr>
                <w:spacing w:val="-6"/>
              </w:rPr>
              <w:t>（如有）</w:t>
            </w:r>
          </w:p>
        </w:tc>
        <w:tc>
          <w:tcPr>
            <w:tcW w:w="7223" w:type="dxa"/>
            <w:gridSpan w:val="9"/>
          </w:tcPr>
          <w:p w14:paraId="73486F47">
            <w:pPr>
              <w:pStyle w:val="24"/>
              <w:kinsoku/>
              <w:topLinePunct/>
              <w:autoSpaceDE/>
              <w:autoSpaceDN/>
              <w:spacing w:before="192" w:line="219" w:lineRule="auto"/>
              <w:ind w:left="113"/>
              <w:rPr>
                <w:rFonts w:hint="default"/>
              </w:rPr>
            </w:pPr>
            <w:r>
              <w:rPr>
                <w:spacing w:val="-1"/>
              </w:rPr>
              <w:t>类型：等级：证书号：</w:t>
            </w:r>
          </w:p>
        </w:tc>
      </w:tr>
      <w:tr w14:paraId="1A60E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27FCDDF3">
            <w:pPr>
              <w:pStyle w:val="24"/>
              <w:kinsoku/>
              <w:topLinePunct/>
              <w:autoSpaceDE/>
              <w:autoSpaceDN/>
              <w:spacing w:before="112" w:line="219" w:lineRule="auto"/>
              <w:ind w:left="604"/>
              <w:rPr>
                <w:rFonts w:hint="default"/>
              </w:rPr>
            </w:pPr>
            <w:r>
              <w:rPr>
                <w:spacing w:val="-4"/>
              </w:rPr>
              <w:t>营业执照号</w:t>
            </w:r>
          </w:p>
        </w:tc>
        <w:tc>
          <w:tcPr>
            <w:tcW w:w="1909" w:type="dxa"/>
            <w:gridSpan w:val="2"/>
          </w:tcPr>
          <w:p w14:paraId="523E3643">
            <w:pPr>
              <w:topLinePunct/>
            </w:pPr>
          </w:p>
        </w:tc>
        <w:tc>
          <w:tcPr>
            <w:tcW w:w="5314" w:type="dxa"/>
            <w:gridSpan w:val="7"/>
          </w:tcPr>
          <w:p w14:paraId="5EBEE50A">
            <w:pPr>
              <w:pStyle w:val="24"/>
              <w:kinsoku/>
              <w:topLinePunct/>
              <w:autoSpaceDE/>
              <w:autoSpaceDN/>
              <w:spacing w:before="112" w:line="219" w:lineRule="auto"/>
              <w:ind w:left="1953"/>
              <w:rPr>
                <w:rFonts w:hint="default"/>
              </w:rPr>
            </w:pPr>
            <w:r>
              <w:rPr>
                <w:spacing w:val="-4"/>
              </w:rPr>
              <w:t>员工总人数：</w:t>
            </w:r>
          </w:p>
        </w:tc>
      </w:tr>
      <w:tr w14:paraId="0A620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3" w:hRule="atLeast"/>
          <w:jc w:val="center"/>
        </w:trPr>
        <w:tc>
          <w:tcPr>
            <w:tcW w:w="2382" w:type="dxa"/>
          </w:tcPr>
          <w:p w14:paraId="747249D5">
            <w:pPr>
              <w:pStyle w:val="24"/>
              <w:kinsoku/>
              <w:topLinePunct/>
              <w:autoSpaceDE/>
              <w:autoSpaceDN/>
              <w:spacing w:before="39" w:line="219" w:lineRule="auto"/>
              <w:ind w:left="717"/>
              <w:rPr>
                <w:rFonts w:hint="default"/>
              </w:rPr>
            </w:pPr>
            <w:r>
              <w:rPr>
                <w:spacing w:val="-3"/>
              </w:rPr>
              <w:t>注册资本</w:t>
            </w:r>
          </w:p>
          <w:p w14:paraId="2C6AE6F0">
            <w:pPr>
              <w:pStyle w:val="24"/>
              <w:kinsoku/>
              <w:topLinePunct/>
              <w:autoSpaceDE/>
              <w:autoSpaceDN/>
              <w:spacing w:before="27" w:line="208" w:lineRule="auto"/>
              <w:ind w:left="481"/>
              <w:rPr>
                <w:rFonts w:hint="default"/>
              </w:rPr>
            </w:pPr>
            <w:r>
              <w:rPr>
                <w:spacing w:val="-3"/>
              </w:rPr>
              <w:t>企业资质等级</w:t>
            </w:r>
          </w:p>
        </w:tc>
        <w:tc>
          <w:tcPr>
            <w:tcW w:w="1909" w:type="dxa"/>
            <w:gridSpan w:val="2"/>
          </w:tcPr>
          <w:p w14:paraId="40ADFFFB">
            <w:pPr>
              <w:topLinePunct/>
            </w:pPr>
          </w:p>
        </w:tc>
        <w:tc>
          <w:tcPr>
            <w:tcW w:w="988" w:type="dxa"/>
            <w:vMerge w:val="restart"/>
            <w:tcBorders>
              <w:bottom w:val="nil"/>
            </w:tcBorders>
          </w:tcPr>
          <w:p w14:paraId="17E73D2D">
            <w:pPr>
              <w:topLinePunct/>
              <w:spacing w:line="273" w:lineRule="auto"/>
            </w:pPr>
          </w:p>
          <w:p w14:paraId="75784AD1">
            <w:pPr>
              <w:topLinePunct/>
              <w:spacing w:line="273" w:lineRule="auto"/>
            </w:pPr>
          </w:p>
          <w:p w14:paraId="5D84121C">
            <w:pPr>
              <w:topLinePunct/>
              <w:spacing w:line="273" w:lineRule="auto"/>
            </w:pPr>
          </w:p>
          <w:p w14:paraId="44BD4477">
            <w:pPr>
              <w:pStyle w:val="24"/>
              <w:kinsoku/>
              <w:topLinePunct/>
              <w:autoSpaceDE/>
              <w:autoSpaceDN/>
              <w:spacing w:before="78" w:line="220" w:lineRule="auto"/>
              <w:ind w:left="262"/>
              <w:rPr>
                <w:rFonts w:hint="default"/>
              </w:rPr>
            </w:pPr>
            <w:r>
              <w:rPr>
                <w:spacing w:val="-6"/>
              </w:rPr>
              <w:t>其中</w:t>
            </w:r>
          </w:p>
        </w:tc>
        <w:tc>
          <w:tcPr>
            <w:tcW w:w="1975" w:type="dxa"/>
            <w:gridSpan w:val="4"/>
          </w:tcPr>
          <w:p w14:paraId="16F45105">
            <w:pPr>
              <w:pStyle w:val="24"/>
              <w:kinsoku/>
              <w:topLinePunct/>
              <w:autoSpaceDE/>
              <w:autoSpaceDN/>
              <w:spacing w:before="196" w:line="221" w:lineRule="auto"/>
              <w:ind w:left="517"/>
              <w:rPr>
                <w:rFonts w:hint="default"/>
              </w:rPr>
            </w:pPr>
            <w:r>
              <w:rPr>
                <w:spacing w:val="-3"/>
              </w:rPr>
              <w:t>职称人员</w:t>
            </w:r>
          </w:p>
        </w:tc>
        <w:tc>
          <w:tcPr>
            <w:tcW w:w="2351" w:type="dxa"/>
            <w:gridSpan w:val="2"/>
          </w:tcPr>
          <w:p w14:paraId="658F6DC7">
            <w:pPr>
              <w:topLinePunct/>
            </w:pPr>
          </w:p>
        </w:tc>
      </w:tr>
      <w:tr w14:paraId="695E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02626F7E">
            <w:pPr>
              <w:pStyle w:val="24"/>
              <w:kinsoku/>
              <w:topLinePunct/>
              <w:autoSpaceDE/>
              <w:autoSpaceDN/>
              <w:spacing w:before="112" w:line="220" w:lineRule="auto"/>
              <w:ind w:left="719"/>
              <w:rPr>
                <w:rFonts w:hint="default"/>
              </w:rPr>
            </w:pPr>
            <w:r>
              <w:rPr>
                <w:spacing w:val="-3"/>
              </w:rPr>
              <w:t>成立日期</w:t>
            </w:r>
          </w:p>
        </w:tc>
        <w:tc>
          <w:tcPr>
            <w:tcW w:w="1909" w:type="dxa"/>
            <w:gridSpan w:val="2"/>
          </w:tcPr>
          <w:p w14:paraId="105999B8">
            <w:pPr>
              <w:topLinePunct/>
            </w:pPr>
          </w:p>
        </w:tc>
        <w:tc>
          <w:tcPr>
            <w:tcW w:w="988" w:type="dxa"/>
            <w:vMerge w:val="continue"/>
            <w:tcBorders>
              <w:top w:val="nil"/>
              <w:bottom w:val="nil"/>
            </w:tcBorders>
          </w:tcPr>
          <w:p w14:paraId="2EC97716">
            <w:pPr>
              <w:topLinePunct/>
            </w:pPr>
          </w:p>
        </w:tc>
        <w:tc>
          <w:tcPr>
            <w:tcW w:w="1975" w:type="dxa"/>
            <w:gridSpan w:val="4"/>
          </w:tcPr>
          <w:p w14:paraId="1E042858">
            <w:pPr>
              <w:pStyle w:val="24"/>
              <w:kinsoku/>
              <w:topLinePunct/>
              <w:autoSpaceDE/>
              <w:autoSpaceDN/>
              <w:spacing w:before="112" w:line="220" w:lineRule="auto"/>
              <w:ind w:left="299"/>
              <w:rPr>
                <w:rFonts w:hint="default"/>
              </w:rPr>
            </w:pPr>
            <w:r>
              <w:rPr>
                <w:spacing w:val="-6"/>
              </w:rPr>
              <w:t>中级职称人员</w:t>
            </w:r>
          </w:p>
        </w:tc>
        <w:tc>
          <w:tcPr>
            <w:tcW w:w="2351" w:type="dxa"/>
            <w:gridSpan w:val="2"/>
          </w:tcPr>
          <w:p w14:paraId="327DC848">
            <w:pPr>
              <w:topLinePunct/>
            </w:pPr>
          </w:p>
        </w:tc>
      </w:tr>
      <w:tr w14:paraId="5000E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577AE9A7">
            <w:pPr>
              <w:pStyle w:val="24"/>
              <w:kinsoku/>
              <w:topLinePunct/>
              <w:autoSpaceDE/>
              <w:autoSpaceDN/>
              <w:spacing w:before="112" w:line="219" w:lineRule="auto"/>
              <w:ind w:left="237"/>
              <w:rPr>
                <w:rFonts w:hint="default"/>
              </w:rPr>
            </w:pPr>
            <w:r>
              <w:rPr>
                <w:spacing w:val="-2"/>
              </w:rPr>
              <w:t>基本账户开户银行</w:t>
            </w:r>
          </w:p>
        </w:tc>
        <w:tc>
          <w:tcPr>
            <w:tcW w:w="1909" w:type="dxa"/>
            <w:gridSpan w:val="2"/>
          </w:tcPr>
          <w:p w14:paraId="44B3233D">
            <w:pPr>
              <w:topLinePunct/>
            </w:pPr>
          </w:p>
        </w:tc>
        <w:tc>
          <w:tcPr>
            <w:tcW w:w="988" w:type="dxa"/>
            <w:vMerge w:val="continue"/>
            <w:tcBorders>
              <w:top w:val="nil"/>
              <w:bottom w:val="nil"/>
            </w:tcBorders>
          </w:tcPr>
          <w:p w14:paraId="58964645">
            <w:pPr>
              <w:topLinePunct/>
            </w:pPr>
          </w:p>
        </w:tc>
        <w:tc>
          <w:tcPr>
            <w:tcW w:w="1975" w:type="dxa"/>
            <w:gridSpan w:val="4"/>
          </w:tcPr>
          <w:p w14:paraId="090AD4ED">
            <w:pPr>
              <w:pStyle w:val="24"/>
              <w:kinsoku/>
              <w:topLinePunct/>
              <w:autoSpaceDE/>
              <w:autoSpaceDN/>
              <w:spacing w:before="113" w:line="219" w:lineRule="auto"/>
              <w:ind w:left="277"/>
              <w:rPr>
                <w:rFonts w:hint="default"/>
              </w:rPr>
            </w:pPr>
            <w:r>
              <w:rPr>
                <w:spacing w:val="-2"/>
              </w:rPr>
              <w:t>技术人员数量</w:t>
            </w:r>
          </w:p>
        </w:tc>
        <w:tc>
          <w:tcPr>
            <w:tcW w:w="2351" w:type="dxa"/>
            <w:gridSpan w:val="2"/>
          </w:tcPr>
          <w:p w14:paraId="4D6BA614">
            <w:pPr>
              <w:topLinePunct/>
            </w:pPr>
          </w:p>
        </w:tc>
      </w:tr>
      <w:tr w14:paraId="24887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2382" w:type="dxa"/>
          </w:tcPr>
          <w:p w14:paraId="483A458F">
            <w:pPr>
              <w:pStyle w:val="24"/>
              <w:kinsoku/>
              <w:topLinePunct/>
              <w:autoSpaceDE/>
              <w:autoSpaceDN/>
              <w:spacing w:before="113" w:line="219" w:lineRule="auto"/>
              <w:ind w:left="237"/>
              <w:rPr>
                <w:rFonts w:hint="default"/>
              </w:rPr>
            </w:pPr>
            <w:r>
              <w:rPr>
                <w:spacing w:val="-2"/>
              </w:rPr>
              <w:t>基本账户银行账号</w:t>
            </w:r>
          </w:p>
        </w:tc>
        <w:tc>
          <w:tcPr>
            <w:tcW w:w="1909" w:type="dxa"/>
            <w:gridSpan w:val="2"/>
          </w:tcPr>
          <w:p w14:paraId="6247D35F">
            <w:pPr>
              <w:topLinePunct/>
            </w:pPr>
          </w:p>
        </w:tc>
        <w:tc>
          <w:tcPr>
            <w:tcW w:w="988" w:type="dxa"/>
            <w:vMerge w:val="continue"/>
            <w:tcBorders>
              <w:top w:val="nil"/>
            </w:tcBorders>
          </w:tcPr>
          <w:p w14:paraId="664375DA">
            <w:pPr>
              <w:topLinePunct/>
            </w:pPr>
          </w:p>
        </w:tc>
        <w:tc>
          <w:tcPr>
            <w:tcW w:w="1975" w:type="dxa"/>
            <w:gridSpan w:val="4"/>
          </w:tcPr>
          <w:p w14:paraId="2582CEEC">
            <w:pPr>
              <w:pStyle w:val="24"/>
              <w:kinsoku/>
              <w:topLinePunct/>
              <w:autoSpaceDE/>
              <w:autoSpaceDN/>
              <w:spacing w:before="114" w:line="219" w:lineRule="auto"/>
              <w:ind w:left="279"/>
              <w:rPr>
                <w:rFonts w:hint="default"/>
              </w:rPr>
            </w:pPr>
            <w:r>
              <w:rPr>
                <w:spacing w:val="-3"/>
              </w:rPr>
              <w:t>各类注册人员</w:t>
            </w:r>
          </w:p>
        </w:tc>
        <w:tc>
          <w:tcPr>
            <w:tcW w:w="2351" w:type="dxa"/>
            <w:gridSpan w:val="2"/>
          </w:tcPr>
          <w:p w14:paraId="312C0316">
            <w:pPr>
              <w:topLinePunct/>
            </w:pPr>
          </w:p>
        </w:tc>
      </w:tr>
      <w:tr w14:paraId="5AB23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91" w:hRule="atLeast"/>
          <w:jc w:val="center"/>
        </w:trPr>
        <w:tc>
          <w:tcPr>
            <w:tcW w:w="2382" w:type="dxa"/>
            <w:vAlign w:val="center"/>
          </w:tcPr>
          <w:p w14:paraId="5829E45C">
            <w:pPr>
              <w:pStyle w:val="24"/>
              <w:kinsoku/>
              <w:topLinePunct/>
              <w:autoSpaceDE/>
              <w:autoSpaceDN/>
              <w:spacing w:before="78" w:line="220" w:lineRule="auto"/>
              <w:ind w:left="719"/>
              <w:rPr>
                <w:rFonts w:hint="default"/>
              </w:rPr>
            </w:pPr>
            <w:r>
              <w:rPr>
                <w:spacing w:val="-3"/>
              </w:rPr>
              <w:t>经营范围</w:t>
            </w:r>
          </w:p>
        </w:tc>
        <w:tc>
          <w:tcPr>
            <w:tcW w:w="7223" w:type="dxa"/>
            <w:gridSpan w:val="9"/>
          </w:tcPr>
          <w:p w14:paraId="68E0AD70">
            <w:pPr>
              <w:topLinePunct/>
            </w:pPr>
          </w:p>
        </w:tc>
      </w:tr>
      <w:tr w14:paraId="08BFC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78" w:hRule="atLeast"/>
          <w:jc w:val="center"/>
        </w:trPr>
        <w:tc>
          <w:tcPr>
            <w:tcW w:w="2382" w:type="dxa"/>
          </w:tcPr>
          <w:p w14:paraId="0BD18E18">
            <w:pPr>
              <w:pStyle w:val="24"/>
              <w:kinsoku/>
              <w:topLinePunct/>
              <w:autoSpaceDE/>
              <w:autoSpaceDN/>
              <w:spacing w:before="139" w:line="235" w:lineRule="auto"/>
              <w:ind w:left="118" w:right="109" w:firstLine="1"/>
              <w:jc w:val="both"/>
              <w:rPr>
                <w:rFonts w:hint="default"/>
              </w:rPr>
            </w:pPr>
            <w:r>
              <w:rPr>
                <w:spacing w:val="-2"/>
              </w:rPr>
              <w:t>供应商关联企业情况（包括但不限于与供应商法定代表人为同一人或者存在控股、管理关系的不同单</w:t>
            </w:r>
            <w:r>
              <w:rPr>
                <w:spacing w:val="-5"/>
              </w:rPr>
              <w:t>位）</w:t>
            </w:r>
          </w:p>
        </w:tc>
        <w:tc>
          <w:tcPr>
            <w:tcW w:w="7223" w:type="dxa"/>
            <w:gridSpan w:val="9"/>
          </w:tcPr>
          <w:p w14:paraId="3CA6C1BB">
            <w:pPr>
              <w:topLinePunct/>
            </w:pPr>
          </w:p>
        </w:tc>
      </w:tr>
      <w:tr w14:paraId="7C56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9" w:hRule="atLeast"/>
          <w:jc w:val="center"/>
        </w:trPr>
        <w:tc>
          <w:tcPr>
            <w:tcW w:w="2382" w:type="dxa"/>
          </w:tcPr>
          <w:p w14:paraId="680CB0BD">
            <w:pPr>
              <w:pStyle w:val="24"/>
              <w:kinsoku/>
              <w:topLinePunct/>
              <w:autoSpaceDE/>
              <w:autoSpaceDN/>
              <w:spacing w:before="116" w:line="221" w:lineRule="auto"/>
              <w:ind w:left="960"/>
              <w:rPr>
                <w:rFonts w:hint="default"/>
              </w:rPr>
            </w:pPr>
            <w:r>
              <w:rPr>
                <w:spacing w:val="-7"/>
              </w:rPr>
              <w:t>备注</w:t>
            </w:r>
          </w:p>
        </w:tc>
        <w:tc>
          <w:tcPr>
            <w:tcW w:w="7223" w:type="dxa"/>
            <w:gridSpan w:val="9"/>
          </w:tcPr>
          <w:p w14:paraId="1218A76A">
            <w:pPr>
              <w:topLinePunct/>
            </w:pPr>
          </w:p>
        </w:tc>
      </w:tr>
    </w:tbl>
    <w:p w14:paraId="5B0B388D">
      <w:pPr>
        <w:widowControl/>
        <w:jc w:val="left"/>
        <w:rPr>
          <w:sz w:val="24"/>
        </w:rPr>
      </w:pPr>
      <w:r>
        <w:rPr>
          <w:rFonts w:hint="eastAsia"/>
          <w:sz w:val="24"/>
        </w:rPr>
        <w:t>注：供应商应根据供应商须知第3.5.1项的要求在本表后附相关证明材料。本表后应附营业执照副本、企业资质证书副本、开户许可证或银行基本账户信息证明等扫描件。</w:t>
      </w:r>
    </w:p>
    <w:p w14:paraId="179A85B2">
      <w:pPr>
        <w:widowControl/>
        <w:jc w:val="left"/>
        <w:rPr>
          <w:sz w:val="24"/>
        </w:rPr>
      </w:pPr>
      <w:r>
        <w:rPr>
          <w:sz w:val="24"/>
        </w:rPr>
        <w:br w:type="page"/>
      </w:r>
    </w:p>
    <w:p w14:paraId="49146405">
      <w:pPr>
        <w:topLinePunct/>
        <w:spacing w:line="360" w:lineRule="auto"/>
        <w:jc w:val="center"/>
        <w:outlineLvl w:val="2"/>
        <w:rPr>
          <w:rFonts w:ascii="宋体" w:hAnsi="宋体" w:eastAsia="宋体" w:cs="宋体"/>
          <w:spacing w:val="9"/>
          <w:sz w:val="31"/>
          <w:szCs w:val="31"/>
          <w14:textOutline w14:w="5791" w14:cap="sq" w14:cmpd="sng" w14:algn="ctr">
            <w14:solidFill>
              <w14:srgbClr w14:val="000000"/>
            </w14:solidFill>
            <w14:prstDash w14:val="solid"/>
            <w14:bevel/>
          </w14:textOutline>
        </w:rPr>
      </w:pPr>
      <w:bookmarkStart w:id="187" w:name="_Toc199944429"/>
      <w:bookmarkStart w:id="188" w:name="_Toc18836"/>
      <w:r>
        <w:rPr>
          <w:rFonts w:ascii="宋体" w:hAnsi="宋体" w:eastAsia="宋体" w:cs="宋体"/>
          <w:spacing w:val="9"/>
          <w:sz w:val="31"/>
          <w:szCs w:val="31"/>
          <w14:textOutline w14:w="5791" w14:cap="sq" w14:cmpd="sng" w14:algn="ctr">
            <w14:solidFill>
              <w14:srgbClr w14:val="000000"/>
            </w14:solidFill>
            <w14:prstDash w14:val="solid"/>
            <w14:bevel/>
          </w14:textOutline>
        </w:rPr>
        <w:t>（二）</w:t>
      </w: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t>资格条件承诺函</w:t>
      </w:r>
      <w:bookmarkEnd w:id="187"/>
      <w:bookmarkEnd w:id="188"/>
    </w:p>
    <w:p w14:paraId="3C059A50">
      <w:pPr>
        <w:topLinePunct/>
        <w:jc w:val="center"/>
        <w:rPr>
          <w:rFonts w:ascii="宋体" w:hAnsi="宋体" w:eastAsia="宋体" w:cs="宋体"/>
          <w:sz w:val="28"/>
          <w:szCs w:val="28"/>
        </w:rPr>
      </w:pPr>
      <w:r>
        <w:rPr>
          <w:rFonts w:hint="eastAsia" w:ascii="宋体" w:hAnsi="宋体" w:eastAsia="宋体" w:cs="宋体"/>
          <w:sz w:val="28"/>
          <w:szCs w:val="28"/>
        </w:rPr>
        <w:t>资格条件承诺书</w:t>
      </w:r>
    </w:p>
    <w:p w14:paraId="2D655A68">
      <w:pPr>
        <w:topLinePunct/>
        <w:spacing w:line="480" w:lineRule="auto"/>
        <w:rPr>
          <w:rFonts w:ascii="宋体" w:hAnsi="宋体" w:eastAsia="宋体" w:cs="宋体"/>
          <w:sz w:val="24"/>
          <w:u w:val="single"/>
        </w:rPr>
      </w:pPr>
      <w:r>
        <w:rPr>
          <w:rFonts w:hint="eastAsia" w:ascii="宋体" w:hAnsi="宋体" w:eastAsia="宋体" w:cs="宋体"/>
          <w:sz w:val="24"/>
          <w:u w:val="single"/>
        </w:rPr>
        <w:t>致：（采购人、采购代理机构）</w:t>
      </w:r>
    </w:p>
    <w:p w14:paraId="41817085">
      <w:pPr>
        <w:topLinePunct/>
        <w:spacing w:line="360" w:lineRule="auto"/>
        <w:ind w:firstLine="480" w:firstLineChars="200"/>
        <w:rPr>
          <w:rFonts w:ascii="宋体" w:hAnsi="宋体" w:eastAsia="宋体" w:cs="宋体"/>
          <w:sz w:val="24"/>
          <w:u w:val="single"/>
        </w:rPr>
      </w:pPr>
      <w:r>
        <w:rPr>
          <w:rFonts w:hint="eastAsia" w:ascii="宋体" w:hAnsi="宋体" w:eastAsia="宋体" w:cs="宋体"/>
          <w:sz w:val="24"/>
        </w:rPr>
        <w:t>我单位（公司）</w:t>
      </w:r>
      <w:r>
        <w:rPr>
          <w:rFonts w:hint="eastAsia" w:ascii="宋体" w:hAnsi="宋体" w:eastAsia="宋体" w:cs="宋体"/>
          <w:sz w:val="24"/>
          <w:u w:val="single"/>
        </w:rPr>
        <w:t>参与（采购项目名称、项目编号）采购项目的政府采购活动，现承诺如下：</w:t>
      </w:r>
    </w:p>
    <w:p w14:paraId="5A43783B">
      <w:pPr>
        <w:topLinePunct/>
        <w:spacing w:line="360" w:lineRule="auto"/>
        <w:ind w:firstLine="480" w:firstLineChars="200"/>
        <w:rPr>
          <w:rFonts w:ascii="宋体" w:hAnsi="宋体" w:eastAsia="宋体" w:cs="宋体"/>
          <w:sz w:val="24"/>
        </w:rPr>
      </w:pPr>
      <w:r>
        <w:rPr>
          <w:rFonts w:hint="eastAsia" w:ascii="宋体" w:hAnsi="宋体" w:eastAsia="宋体" w:cs="宋体"/>
          <w:sz w:val="24"/>
        </w:rPr>
        <w:t>（一）具备《中华人民共和国政府采购法》第二十二条第一款规定的条件：</w:t>
      </w:r>
    </w:p>
    <w:p w14:paraId="1EA6C6FC">
      <w:pPr>
        <w:topLinePunct/>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、具有独立承担民事责任的能力；</w:t>
      </w:r>
    </w:p>
    <w:p w14:paraId="19F682E8">
      <w:pPr>
        <w:topLinePunct/>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、具有良好的商业信誉和健全的财务会计制度；</w:t>
      </w:r>
      <w:r>
        <w:rPr>
          <w:rFonts w:ascii="宋体" w:hAnsi="宋体" w:eastAsia="宋体" w:cs="宋体"/>
          <w:sz w:val="24"/>
        </w:rPr>
        <w:t xml:space="preserve"> </w:t>
      </w:r>
    </w:p>
    <w:p w14:paraId="7C995A2B">
      <w:pPr>
        <w:topLinePunct/>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、具有履行合同所必需的设备和专业技术能力；</w:t>
      </w:r>
    </w:p>
    <w:p w14:paraId="60C88FA4">
      <w:pPr>
        <w:topLinePunct/>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、有依法缴纳税收和社会保障资金的良好记录；</w:t>
      </w:r>
    </w:p>
    <w:p w14:paraId="07E20EF4">
      <w:pPr>
        <w:topLinePunct/>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、参加政府采购活动前三年内，在经营活动中没有重大违法记录；</w:t>
      </w:r>
    </w:p>
    <w:p w14:paraId="4858CD73">
      <w:pPr>
        <w:topLinePunct/>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、具有法律、行政法规规定的其他条件。</w:t>
      </w:r>
    </w:p>
    <w:p w14:paraId="0A10B41B">
      <w:pPr>
        <w:topLinePunct/>
        <w:spacing w:line="360" w:lineRule="auto"/>
        <w:ind w:firstLine="480" w:firstLineChars="200"/>
        <w:rPr>
          <w:rFonts w:ascii="宋体" w:hAnsi="宋体" w:eastAsia="宋体" w:cs="宋体"/>
          <w:sz w:val="24"/>
        </w:rPr>
      </w:pPr>
      <w:r>
        <w:rPr>
          <w:rFonts w:hint="eastAsia" w:ascii="宋体" w:hAnsi="宋体" w:eastAsia="宋体" w:cs="宋体"/>
          <w:sz w:val="24"/>
        </w:rPr>
        <w:t>（二）未被信用中国（</w:t>
      </w:r>
      <w:r>
        <w:rPr>
          <w:rFonts w:ascii="宋体" w:hAnsi="宋体" w:eastAsia="宋体" w:cs="宋体"/>
          <w:sz w:val="24"/>
        </w:rPr>
        <w:t>www.creditchina.gov.cn)</w:t>
      </w:r>
      <w:r>
        <w:rPr>
          <w:rFonts w:hint="eastAsia" w:ascii="宋体" w:hAnsi="宋体" w:eastAsia="宋体" w:cs="宋体"/>
          <w:sz w:val="24"/>
        </w:rPr>
        <w:t>、中国政府采购网（</w:t>
      </w:r>
      <w:r>
        <w:rPr>
          <w:rFonts w:ascii="宋体" w:hAnsi="宋体" w:eastAsia="宋体" w:cs="宋体"/>
          <w:sz w:val="24"/>
        </w:rPr>
        <w:t>www.ccgp.gov.cn</w:t>
      </w:r>
      <w:r>
        <w:rPr>
          <w:rFonts w:hint="eastAsia" w:ascii="宋体" w:hAnsi="宋体" w:eastAsia="宋体" w:cs="宋体"/>
          <w:sz w:val="24"/>
        </w:rPr>
        <w:t>）列入失信被执行人、重大税收违法案件当事人名单、政府采购严重违法失信行为记录名单。</w:t>
      </w:r>
    </w:p>
    <w:p w14:paraId="35E1570E">
      <w:pPr>
        <w:topLinePunct/>
        <w:spacing w:line="360" w:lineRule="auto"/>
        <w:ind w:firstLine="480" w:firstLineChars="200"/>
        <w:rPr>
          <w:rFonts w:ascii="宋体" w:hAnsi="宋体" w:eastAsia="宋体" w:cs="宋体"/>
          <w:sz w:val="24"/>
        </w:rPr>
      </w:pPr>
      <w:r>
        <w:rPr>
          <w:rFonts w:hint="eastAsia" w:ascii="宋体" w:hAnsi="宋体" w:eastAsia="宋体" w:cs="宋体"/>
          <w:sz w:val="24"/>
        </w:rPr>
        <w:t>（三）不存在以下情况：</w:t>
      </w:r>
    </w:p>
    <w:p w14:paraId="27432865">
      <w:pPr>
        <w:topLinePunct/>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、单位负责人为同一人或者存在直接控股、管理关系的不同供应商参加同一合同项下的政府采购活动的；</w:t>
      </w:r>
    </w:p>
    <w:p w14:paraId="1B388A13">
      <w:pPr>
        <w:topLinePunct/>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、为采购项目提供整体设计、规范编制或者项目管理、监理、检测等服务后再参加该采购项目的其他采购活动的。</w:t>
      </w:r>
    </w:p>
    <w:p w14:paraId="3CA68F8C">
      <w:pPr>
        <w:topLinePunct/>
        <w:spacing w:line="360" w:lineRule="auto"/>
        <w:ind w:firstLine="480" w:firstLineChars="200"/>
        <w:rPr>
          <w:rFonts w:ascii="宋体" w:hAnsi="宋体" w:eastAsia="宋体" w:cs="宋体"/>
          <w:sz w:val="24"/>
        </w:rPr>
      </w:pPr>
      <w:r>
        <w:rPr>
          <w:rFonts w:hint="eastAsia" w:ascii="宋体" w:hAnsi="宋体" w:eastAsia="宋体" w:cs="宋体"/>
          <w:sz w:val="24"/>
        </w:rPr>
        <w:t>我单位（公司）对上述承诺的真实性负责，如有虚假，将依法承担相应责任。</w:t>
      </w:r>
    </w:p>
    <w:p w14:paraId="0C72CD71">
      <w:pPr>
        <w:topLinePunct/>
        <w:spacing w:line="360" w:lineRule="auto"/>
        <w:ind w:firstLine="480" w:firstLineChars="200"/>
        <w:rPr>
          <w:rFonts w:ascii="宋体" w:hAnsi="宋体" w:eastAsia="宋体" w:cs="宋体"/>
          <w:sz w:val="24"/>
        </w:rPr>
      </w:pPr>
      <w:r>
        <w:rPr>
          <w:rFonts w:hint="eastAsia" w:ascii="宋体" w:hAnsi="宋体" w:eastAsia="宋体" w:cs="宋体"/>
          <w:sz w:val="24"/>
        </w:rPr>
        <w:t>特此承诺。</w:t>
      </w:r>
    </w:p>
    <w:p w14:paraId="3D00074C">
      <w:pPr>
        <w:topLinePunct/>
        <w:spacing w:line="480" w:lineRule="auto"/>
        <w:jc w:val="center"/>
        <w:rPr>
          <w:rFonts w:ascii="宋体" w:hAnsi="宋体" w:eastAsia="宋体" w:cs="宋体"/>
          <w:sz w:val="24"/>
        </w:rPr>
      </w:pPr>
      <w:r>
        <w:rPr>
          <w:rFonts w:hint="eastAsia" w:ascii="宋体" w:hAnsi="宋体" w:eastAsia="宋体" w:cs="宋体"/>
          <w:sz w:val="24"/>
        </w:rPr>
        <w:t xml:space="preserve">      供应商名称（盖章）：</w:t>
      </w:r>
    </w:p>
    <w:p w14:paraId="7E3A254E">
      <w:pPr>
        <w:topLinePunct/>
        <w:spacing w:line="480" w:lineRule="auto"/>
        <w:jc w:val="center"/>
        <w:rPr>
          <w:rFonts w:ascii="宋体" w:hAnsi="宋体" w:eastAsia="宋体" w:cs="宋体"/>
          <w:sz w:val="24"/>
        </w:rPr>
      </w:pPr>
      <w:r>
        <w:rPr>
          <w:rFonts w:hint="eastAsia" w:ascii="宋体" w:hAnsi="宋体" w:eastAsia="宋体" w:cs="宋体"/>
          <w:sz w:val="24"/>
        </w:rPr>
        <w:t xml:space="preserve">      法定代表人或授权代表（签字）：</w:t>
      </w:r>
    </w:p>
    <w:p w14:paraId="453BC4D6">
      <w:pPr>
        <w:topLinePunct/>
        <w:spacing w:line="480" w:lineRule="auto"/>
        <w:jc w:val="center"/>
        <w:rPr>
          <w:rFonts w:ascii="宋体" w:hAnsi="宋体" w:eastAsia="宋体" w:cs="宋体"/>
          <w:sz w:val="24"/>
        </w:rPr>
      </w:pPr>
      <w:r>
        <w:rPr>
          <w:rFonts w:hint="eastAsia" w:ascii="宋体" w:hAnsi="宋体" w:eastAsia="宋体" w:cs="宋体"/>
          <w:sz w:val="24"/>
        </w:rPr>
        <w:t xml:space="preserve">          日期：</w:t>
      </w:r>
    </w:p>
    <w:p w14:paraId="1E7C406E">
      <w:pPr>
        <w:widowControl/>
        <w:jc w:val="left"/>
        <w:rPr>
          <w:sz w:val="20"/>
          <w:szCs w:val="20"/>
        </w:rPr>
      </w:pPr>
      <w:r>
        <w:rPr>
          <w:sz w:val="20"/>
          <w:szCs w:val="20"/>
        </w:rPr>
        <w:br w:type="page"/>
      </w:r>
    </w:p>
    <w:p w14:paraId="2EB9A437">
      <w:pPr>
        <w:topLinePunct/>
        <w:spacing w:line="360" w:lineRule="auto"/>
        <w:jc w:val="center"/>
        <w:outlineLvl w:val="2"/>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ascii="宋体" w:hAnsi="宋体" w:eastAsia="宋体" w:cs="宋体"/>
          <w:spacing w:val="9"/>
          <w:sz w:val="31"/>
          <w:szCs w:val="31"/>
          <w14:textOutline w14:w="5791" w14:cap="sq" w14:cmpd="sng" w14:algn="ctr">
            <w14:solidFill>
              <w14:srgbClr w14:val="000000"/>
            </w14:solidFill>
            <w14:prstDash w14:val="solid"/>
            <w14:bevel/>
          </w14:textOutline>
        </w:rPr>
        <w:t>（三）近年完成的类似项目情况表</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374"/>
      </w:tblGrid>
      <w:tr w14:paraId="4D520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093" w:type="dxa"/>
          </w:tcPr>
          <w:p w14:paraId="1487993A">
            <w:pPr>
              <w:pStyle w:val="24"/>
              <w:kinsoku/>
              <w:topLinePunct/>
              <w:autoSpaceDE/>
              <w:autoSpaceDN/>
              <w:spacing w:before="155" w:line="220" w:lineRule="auto"/>
              <w:jc w:val="center"/>
              <w:rPr>
                <w:rFonts w:hint="default"/>
              </w:rPr>
            </w:pPr>
            <w:r>
              <w:rPr>
                <w:spacing w:val="-4"/>
              </w:rPr>
              <w:t>项目名称</w:t>
            </w:r>
          </w:p>
        </w:tc>
        <w:tc>
          <w:tcPr>
            <w:tcW w:w="6374" w:type="dxa"/>
          </w:tcPr>
          <w:p w14:paraId="26B8A221">
            <w:pPr>
              <w:topLinePunct/>
            </w:pPr>
          </w:p>
        </w:tc>
      </w:tr>
      <w:tr w14:paraId="37DF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44DFB4E6">
            <w:pPr>
              <w:pStyle w:val="24"/>
              <w:kinsoku/>
              <w:topLinePunct/>
              <w:autoSpaceDE/>
              <w:autoSpaceDN/>
              <w:spacing w:before="149" w:line="220" w:lineRule="auto"/>
              <w:jc w:val="center"/>
              <w:rPr>
                <w:rFonts w:hint="default"/>
              </w:rPr>
            </w:pPr>
            <w:r>
              <w:rPr>
                <w:spacing w:val="-3"/>
              </w:rPr>
              <w:t>项目所在地</w:t>
            </w:r>
          </w:p>
        </w:tc>
        <w:tc>
          <w:tcPr>
            <w:tcW w:w="6374" w:type="dxa"/>
          </w:tcPr>
          <w:p w14:paraId="6CFC5706">
            <w:pPr>
              <w:topLinePunct/>
            </w:pPr>
          </w:p>
        </w:tc>
      </w:tr>
      <w:tr w14:paraId="1DED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15B2A63D">
            <w:pPr>
              <w:pStyle w:val="24"/>
              <w:kinsoku/>
              <w:topLinePunct/>
              <w:autoSpaceDE/>
              <w:autoSpaceDN/>
              <w:spacing w:before="150" w:line="220" w:lineRule="auto"/>
              <w:jc w:val="center"/>
              <w:rPr>
                <w:rFonts w:hint="default"/>
              </w:rPr>
            </w:pPr>
            <w:r>
              <w:rPr>
                <w:spacing w:val="-3"/>
              </w:rPr>
              <w:t>委托人名称</w:t>
            </w:r>
          </w:p>
        </w:tc>
        <w:tc>
          <w:tcPr>
            <w:tcW w:w="6374" w:type="dxa"/>
          </w:tcPr>
          <w:p w14:paraId="663D6DE6">
            <w:pPr>
              <w:topLinePunct/>
            </w:pPr>
          </w:p>
        </w:tc>
      </w:tr>
      <w:tr w14:paraId="2F57E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014084EE">
            <w:pPr>
              <w:pStyle w:val="24"/>
              <w:kinsoku/>
              <w:topLinePunct/>
              <w:autoSpaceDE/>
              <w:autoSpaceDN/>
              <w:spacing w:before="150" w:line="220" w:lineRule="auto"/>
              <w:jc w:val="center"/>
              <w:rPr>
                <w:rFonts w:hint="default"/>
              </w:rPr>
            </w:pPr>
            <w:r>
              <w:rPr>
                <w:spacing w:val="-3"/>
              </w:rPr>
              <w:t>委托人地址</w:t>
            </w:r>
          </w:p>
        </w:tc>
        <w:tc>
          <w:tcPr>
            <w:tcW w:w="6374" w:type="dxa"/>
          </w:tcPr>
          <w:p w14:paraId="2B9E4CBF">
            <w:pPr>
              <w:topLinePunct/>
            </w:pPr>
          </w:p>
        </w:tc>
      </w:tr>
      <w:tr w14:paraId="50A16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71270655">
            <w:pPr>
              <w:pStyle w:val="24"/>
              <w:kinsoku/>
              <w:topLinePunct/>
              <w:autoSpaceDE/>
              <w:autoSpaceDN/>
              <w:spacing w:before="151" w:line="220" w:lineRule="auto"/>
              <w:jc w:val="center"/>
              <w:rPr>
                <w:rFonts w:hint="default"/>
              </w:rPr>
            </w:pPr>
            <w:r>
              <w:rPr>
                <w:spacing w:val="-3"/>
              </w:rPr>
              <w:t>委托人电话</w:t>
            </w:r>
          </w:p>
        </w:tc>
        <w:tc>
          <w:tcPr>
            <w:tcW w:w="6374" w:type="dxa"/>
          </w:tcPr>
          <w:p w14:paraId="29822731">
            <w:pPr>
              <w:topLinePunct/>
            </w:pPr>
          </w:p>
        </w:tc>
      </w:tr>
      <w:tr w14:paraId="733C1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3EA3E695">
            <w:pPr>
              <w:pStyle w:val="24"/>
              <w:kinsoku/>
              <w:topLinePunct/>
              <w:autoSpaceDE/>
              <w:autoSpaceDN/>
              <w:spacing w:before="153" w:line="218" w:lineRule="auto"/>
              <w:jc w:val="center"/>
              <w:rPr>
                <w:rFonts w:hint="default"/>
              </w:rPr>
            </w:pPr>
            <w:r>
              <w:rPr>
                <w:spacing w:val="-3"/>
              </w:rPr>
              <w:t>合同价格</w:t>
            </w:r>
          </w:p>
        </w:tc>
        <w:tc>
          <w:tcPr>
            <w:tcW w:w="6374" w:type="dxa"/>
          </w:tcPr>
          <w:p w14:paraId="745A4617">
            <w:pPr>
              <w:topLinePunct/>
            </w:pPr>
          </w:p>
        </w:tc>
      </w:tr>
      <w:tr w14:paraId="444DB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093" w:type="dxa"/>
          </w:tcPr>
          <w:p w14:paraId="106BB558">
            <w:pPr>
              <w:pStyle w:val="24"/>
              <w:kinsoku/>
              <w:topLinePunct/>
              <w:autoSpaceDE/>
              <w:autoSpaceDN/>
              <w:spacing w:before="154" w:line="219" w:lineRule="auto"/>
              <w:jc w:val="center"/>
              <w:rPr>
                <w:rFonts w:hint="default"/>
              </w:rPr>
            </w:pPr>
            <w:r>
              <w:rPr>
                <w:spacing w:val="-3"/>
              </w:rPr>
              <w:t>监理服务期限</w:t>
            </w:r>
          </w:p>
        </w:tc>
        <w:tc>
          <w:tcPr>
            <w:tcW w:w="6374" w:type="dxa"/>
          </w:tcPr>
          <w:p w14:paraId="40F6898F">
            <w:pPr>
              <w:topLinePunct/>
            </w:pPr>
          </w:p>
        </w:tc>
      </w:tr>
      <w:tr w14:paraId="71A62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093" w:type="dxa"/>
          </w:tcPr>
          <w:p w14:paraId="264846C6">
            <w:pPr>
              <w:pStyle w:val="24"/>
              <w:kinsoku/>
              <w:topLinePunct/>
              <w:autoSpaceDE/>
              <w:autoSpaceDN/>
              <w:spacing w:before="154" w:line="219" w:lineRule="auto"/>
              <w:jc w:val="center"/>
              <w:rPr>
                <w:rFonts w:hint="default"/>
              </w:rPr>
            </w:pPr>
            <w:r>
              <w:rPr>
                <w:spacing w:val="-3"/>
              </w:rPr>
              <w:t>监理服务内容</w:t>
            </w:r>
          </w:p>
        </w:tc>
        <w:tc>
          <w:tcPr>
            <w:tcW w:w="6374" w:type="dxa"/>
          </w:tcPr>
          <w:p w14:paraId="3A2AE219">
            <w:pPr>
              <w:topLinePunct/>
            </w:pPr>
          </w:p>
        </w:tc>
      </w:tr>
      <w:tr w14:paraId="75702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2999E070">
            <w:pPr>
              <w:pStyle w:val="24"/>
              <w:kinsoku/>
              <w:topLinePunct/>
              <w:autoSpaceDE/>
              <w:autoSpaceDN/>
              <w:spacing w:before="153" w:line="219" w:lineRule="auto"/>
              <w:jc w:val="center"/>
              <w:rPr>
                <w:rFonts w:hint="default"/>
              </w:rPr>
            </w:pPr>
            <w:r>
              <w:t>总监理工程师</w:t>
            </w:r>
          </w:p>
        </w:tc>
        <w:tc>
          <w:tcPr>
            <w:tcW w:w="6374" w:type="dxa"/>
          </w:tcPr>
          <w:p w14:paraId="7FF4D418">
            <w:pPr>
              <w:topLinePunct/>
            </w:pPr>
          </w:p>
        </w:tc>
      </w:tr>
      <w:tr w14:paraId="7974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2093" w:type="dxa"/>
          </w:tcPr>
          <w:p w14:paraId="7C626B3E">
            <w:pPr>
              <w:topLinePunct/>
              <w:spacing w:line="247" w:lineRule="auto"/>
            </w:pPr>
          </w:p>
          <w:p w14:paraId="40D3B0E5">
            <w:pPr>
              <w:topLinePunct/>
              <w:spacing w:line="247" w:lineRule="auto"/>
            </w:pPr>
          </w:p>
          <w:p w14:paraId="3344EE15">
            <w:pPr>
              <w:topLinePunct/>
              <w:spacing w:line="248" w:lineRule="auto"/>
            </w:pPr>
          </w:p>
          <w:p w14:paraId="4F655A01">
            <w:pPr>
              <w:topLinePunct/>
              <w:spacing w:line="248" w:lineRule="auto"/>
            </w:pPr>
          </w:p>
          <w:p w14:paraId="54E8B176">
            <w:pPr>
              <w:pStyle w:val="24"/>
              <w:kinsoku/>
              <w:topLinePunct/>
              <w:autoSpaceDE/>
              <w:autoSpaceDN/>
              <w:spacing w:before="78" w:line="220" w:lineRule="auto"/>
              <w:ind w:left="574"/>
              <w:rPr>
                <w:rFonts w:hint="default"/>
              </w:rPr>
            </w:pPr>
            <w:r>
              <w:rPr>
                <w:spacing w:val="-4"/>
              </w:rPr>
              <w:t>项目描述</w:t>
            </w:r>
          </w:p>
        </w:tc>
        <w:tc>
          <w:tcPr>
            <w:tcW w:w="6374" w:type="dxa"/>
          </w:tcPr>
          <w:p w14:paraId="1FC48B96">
            <w:pPr>
              <w:topLinePunct/>
            </w:pPr>
          </w:p>
        </w:tc>
      </w:tr>
      <w:tr w14:paraId="30406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jc w:val="center"/>
        </w:trPr>
        <w:tc>
          <w:tcPr>
            <w:tcW w:w="2093" w:type="dxa"/>
          </w:tcPr>
          <w:p w14:paraId="7290BEEB">
            <w:pPr>
              <w:topLinePunct/>
              <w:spacing w:line="304" w:lineRule="auto"/>
            </w:pPr>
          </w:p>
          <w:p w14:paraId="3B6AF0AB">
            <w:pPr>
              <w:topLinePunct/>
              <w:spacing w:line="305" w:lineRule="auto"/>
            </w:pPr>
          </w:p>
          <w:p w14:paraId="11C22E7A">
            <w:pPr>
              <w:topLinePunct/>
              <w:spacing w:line="305" w:lineRule="auto"/>
            </w:pPr>
          </w:p>
          <w:p w14:paraId="72DE850A">
            <w:pPr>
              <w:pStyle w:val="24"/>
              <w:kinsoku/>
              <w:topLinePunct/>
              <w:autoSpaceDE/>
              <w:autoSpaceDN/>
              <w:spacing w:before="78" w:line="221" w:lineRule="auto"/>
              <w:jc w:val="center"/>
              <w:rPr>
                <w:rFonts w:hint="default"/>
              </w:rPr>
            </w:pPr>
            <w:r>
              <w:t>备注</w:t>
            </w:r>
          </w:p>
        </w:tc>
        <w:tc>
          <w:tcPr>
            <w:tcW w:w="6374" w:type="dxa"/>
          </w:tcPr>
          <w:p w14:paraId="52BEB2EE">
            <w:pPr>
              <w:topLinePunct/>
            </w:pPr>
          </w:p>
        </w:tc>
      </w:tr>
    </w:tbl>
    <w:p w14:paraId="55CF75E0">
      <w:pPr>
        <w:spacing w:line="360" w:lineRule="auto"/>
        <w:rPr>
          <w:rFonts w:ascii="宋体" w:hAnsi="宋体" w:eastAsia="宋体"/>
          <w:sz w:val="24"/>
        </w:rPr>
      </w:pPr>
      <w:r>
        <w:rPr>
          <w:rFonts w:hint="eastAsia" w:ascii="宋体" w:hAnsi="宋体" w:eastAsia="宋体"/>
          <w:sz w:val="24"/>
        </w:rPr>
        <w:t>注：本表后附业绩证明文件。</w:t>
      </w:r>
    </w:p>
    <w:p w14:paraId="187E1DB6">
      <w:pPr>
        <w:widowControl/>
        <w:jc w:val="left"/>
        <w:rPr>
          <w:rFonts w:ascii="宋体" w:hAnsi="宋体" w:eastAsia="宋体"/>
          <w:sz w:val="24"/>
        </w:rPr>
      </w:pPr>
      <w:r>
        <w:rPr>
          <w:rFonts w:ascii="宋体" w:hAnsi="宋体" w:eastAsia="宋体"/>
          <w:sz w:val="24"/>
        </w:rPr>
        <w:br w:type="page"/>
      </w:r>
    </w:p>
    <w:p w14:paraId="200F49A6">
      <w:pPr>
        <w:topLinePunct/>
        <w:spacing w:line="360" w:lineRule="auto"/>
        <w:jc w:val="center"/>
        <w:outlineLvl w:val="2"/>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ascii="宋体" w:hAnsi="宋体" w:eastAsia="宋体" w:cs="宋体"/>
          <w:spacing w:val="9"/>
          <w:sz w:val="31"/>
          <w:szCs w:val="31"/>
          <w14:textOutline w14:w="5791" w14:cap="sq" w14:cmpd="sng" w14:algn="ctr">
            <w14:solidFill>
              <w14:srgbClr w14:val="000000"/>
            </w14:solidFill>
            <w14:prstDash w14:val="solid"/>
            <w14:bevel/>
          </w14:textOutline>
        </w:rPr>
        <w:t>（四）正在</w:t>
      </w: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t>监理</w:t>
      </w:r>
      <w:r>
        <w:rPr>
          <w:rFonts w:ascii="宋体" w:hAnsi="宋体" w:eastAsia="宋体" w:cs="宋体"/>
          <w:spacing w:val="9"/>
          <w:sz w:val="31"/>
          <w:szCs w:val="31"/>
          <w14:textOutline w14:w="5791" w14:cap="sq" w14:cmpd="sng" w14:algn="ctr">
            <w14:solidFill>
              <w14:srgbClr w14:val="000000"/>
            </w14:solidFill>
            <w14:prstDash w14:val="solid"/>
            <w14:bevel/>
          </w14:textOutline>
        </w:rPr>
        <w:t>和新承接的项目情况表</w:t>
      </w:r>
    </w:p>
    <w:tbl>
      <w:tblPr>
        <w:tblStyle w:val="15"/>
        <w:tblW w:w="8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6799"/>
      </w:tblGrid>
      <w:tr w14:paraId="7BD1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093" w:type="dxa"/>
          </w:tcPr>
          <w:p w14:paraId="072AA44D">
            <w:pPr>
              <w:pStyle w:val="24"/>
              <w:kinsoku/>
              <w:topLinePunct/>
              <w:autoSpaceDE/>
              <w:autoSpaceDN/>
              <w:spacing w:before="155" w:line="220" w:lineRule="auto"/>
              <w:jc w:val="center"/>
              <w:rPr>
                <w:rFonts w:hint="default"/>
              </w:rPr>
            </w:pPr>
            <w:r>
              <w:rPr>
                <w:spacing w:val="-4"/>
              </w:rPr>
              <w:t>项目名称</w:t>
            </w:r>
          </w:p>
        </w:tc>
        <w:tc>
          <w:tcPr>
            <w:tcW w:w="6799" w:type="dxa"/>
          </w:tcPr>
          <w:p w14:paraId="6EDB5BF5">
            <w:pPr>
              <w:topLinePunct/>
            </w:pPr>
          </w:p>
        </w:tc>
      </w:tr>
      <w:tr w14:paraId="6A36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3F8079E4">
            <w:pPr>
              <w:pStyle w:val="24"/>
              <w:kinsoku/>
              <w:topLinePunct/>
              <w:autoSpaceDE/>
              <w:autoSpaceDN/>
              <w:spacing w:before="149" w:line="220" w:lineRule="auto"/>
              <w:jc w:val="center"/>
              <w:rPr>
                <w:rFonts w:hint="default"/>
              </w:rPr>
            </w:pPr>
            <w:r>
              <w:rPr>
                <w:spacing w:val="-3"/>
              </w:rPr>
              <w:t>项目所在地</w:t>
            </w:r>
          </w:p>
        </w:tc>
        <w:tc>
          <w:tcPr>
            <w:tcW w:w="6799" w:type="dxa"/>
          </w:tcPr>
          <w:p w14:paraId="148D332E">
            <w:pPr>
              <w:topLinePunct/>
            </w:pPr>
          </w:p>
        </w:tc>
      </w:tr>
      <w:tr w14:paraId="39D0E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30F1DDBF">
            <w:pPr>
              <w:pStyle w:val="24"/>
              <w:kinsoku/>
              <w:topLinePunct/>
              <w:autoSpaceDE/>
              <w:autoSpaceDN/>
              <w:spacing w:before="150" w:line="220" w:lineRule="auto"/>
              <w:jc w:val="center"/>
              <w:rPr>
                <w:rFonts w:hint="default"/>
              </w:rPr>
            </w:pPr>
            <w:r>
              <w:rPr>
                <w:spacing w:val="-3"/>
              </w:rPr>
              <w:t>委托人名称</w:t>
            </w:r>
          </w:p>
        </w:tc>
        <w:tc>
          <w:tcPr>
            <w:tcW w:w="6799" w:type="dxa"/>
          </w:tcPr>
          <w:p w14:paraId="406E8373">
            <w:pPr>
              <w:topLinePunct/>
            </w:pPr>
          </w:p>
        </w:tc>
      </w:tr>
      <w:tr w14:paraId="54D7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4FD2C203">
            <w:pPr>
              <w:pStyle w:val="24"/>
              <w:kinsoku/>
              <w:topLinePunct/>
              <w:autoSpaceDE/>
              <w:autoSpaceDN/>
              <w:spacing w:before="150" w:line="220" w:lineRule="auto"/>
              <w:jc w:val="center"/>
              <w:rPr>
                <w:rFonts w:hint="default"/>
              </w:rPr>
            </w:pPr>
            <w:r>
              <w:rPr>
                <w:spacing w:val="-3"/>
              </w:rPr>
              <w:t>委托人地址</w:t>
            </w:r>
          </w:p>
        </w:tc>
        <w:tc>
          <w:tcPr>
            <w:tcW w:w="6799" w:type="dxa"/>
          </w:tcPr>
          <w:p w14:paraId="27EA2C92">
            <w:pPr>
              <w:topLinePunct/>
            </w:pPr>
          </w:p>
        </w:tc>
      </w:tr>
      <w:tr w14:paraId="2AACC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29CF411B">
            <w:pPr>
              <w:pStyle w:val="24"/>
              <w:kinsoku/>
              <w:topLinePunct/>
              <w:autoSpaceDE/>
              <w:autoSpaceDN/>
              <w:spacing w:before="151" w:line="220" w:lineRule="auto"/>
              <w:jc w:val="center"/>
              <w:rPr>
                <w:rFonts w:hint="default"/>
              </w:rPr>
            </w:pPr>
            <w:r>
              <w:rPr>
                <w:spacing w:val="-3"/>
              </w:rPr>
              <w:t>委托人电话</w:t>
            </w:r>
          </w:p>
        </w:tc>
        <w:tc>
          <w:tcPr>
            <w:tcW w:w="6799" w:type="dxa"/>
          </w:tcPr>
          <w:p w14:paraId="62657B20">
            <w:pPr>
              <w:topLinePunct/>
            </w:pPr>
          </w:p>
        </w:tc>
      </w:tr>
      <w:tr w14:paraId="1E2D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093" w:type="dxa"/>
          </w:tcPr>
          <w:p w14:paraId="0BC7D169">
            <w:pPr>
              <w:pStyle w:val="24"/>
              <w:kinsoku/>
              <w:topLinePunct/>
              <w:autoSpaceDE/>
              <w:autoSpaceDN/>
              <w:spacing w:before="153" w:line="218" w:lineRule="auto"/>
              <w:jc w:val="center"/>
              <w:rPr>
                <w:rFonts w:hint="default"/>
              </w:rPr>
            </w:pPr>
            <w:r>
              <w:t>签约合同价</w:t>
            </w:r>
          </w:p>
        </w:tc>
        <w:tc>
          <w:tcPr>
            <w:tcW w:w="6799" w:type="dxa"/>
          </w:tcPr>
          <w:p w14:paraId="02E7C70A">
            <w:pPr>
              <w:topLinePunct/>
            </w:pPr>
          </w:p>
        </w:tc>
      </w:tr>
      <w:tr w14:paraId="55AE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093" w:type="dxa"/>
          </w:tcPr>
          <w:p w14:paraId="400849DE">
            <w:pPr>
              <w:pStyle w:val="24"/>
              <w:kinsoku/>
              <w:topLinePunct/>
              <w:autoSpaceDE/>
              <w:autoSpaceDN/>
              <w:spacing w:before="153" w:line="219" w:lineRule="auto"/>
              <w:jc w:val="center"/>
              <w:rPr>
                <w:rFonts w:hint="default"/>
              </w:rPr>
            </w:pPr>
            <w:r>
              <w:rPr>
                <w:spacing w:val="-3"/>
              </w:rPr>
              <w:t>监理服务期限</w:t>
            </w:r>
          </w:p>
        </w:tc>
        <w:tc>
          <w:tcPr>
            <w:tcW w:w="6799" w:type="dxa"/>
          </w:tcPr>
          <w:p w14:paraId="0D6609DA">
            <w:pPr>
              <w:topLinePunct/>
            </w:pPr>
          </w:p>
        </w:tc>
      </w:tr>
      <w:tr w14:paraId="30684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093" w:type="dxa"/>
          </w:tcPr>
          <w:p w14:paraId="2DF88788">
            <w:pPr>
              <w:pStyle w:val="24"/>
              <w:kinsoku/>
              <w:topLinePunct/>
              <w:autoSpaceDE/>
              <w:autoSpaceDN/>
              <w:spacing w:before="153" w:line="219" w:lineRule="auto"/>
              <w:jc w:val="center"/>
              <w:rPr>
                <w:rFonts w:hint="default"/>
              </w:rPr>
            </w:pPr>
            <w:r>
              <w:rPr>
                <w:spacing w:val="-3"/>
              </w:rPr>
              <w:t>监理内容</w:t>
            </w:r>
          </w:p>
        </w:tc>
        <w:tc>
          <w:tcPr>
            <w:tcW w:w="6799" w:type="dxa"/>
          </w:tcPr>
          <w:p w14:paraId="13C198AE">
            <w:pPr>
              <w:topLinePunct/>
            </w:pPr>
          </w:p>
        </w:tc>
      </w:tr>
      <w:tr w14:paraId="1E929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093" w:type="dxa"/>
          </w:tcPr>
          <w:p w14:paraId="3388E99D">
            <w:pPr>
              <w:pStyle w:val="24"/>
              <w:kinsoku/>
              <w:topLinePunct/>
              <w:autoSpaceDE/>
              <w:autoSpaceDN/>
              <w:spacing w:before="152" w:line="219" w:lineRule="auto"/>
              <w:jc w:val="center"/>
              <w:rPr>
                <w:rFonts w:hint="default"/>
              </w:rPr>
            </w:pPr>
            <w:r>
              <w:t>总监理工程师</w:t>
            </w:r>
          </w:p>
        </w:tc>
        <w:tc>
          <w:tcPr>
            <w:tcW w:w="6799" w:type="dxa"/>
          </w:tcPr>
          <w:p w14:paraId="6971DA11">
            <w:pPr>
              <w:topLinePunct/>
            </w:pPr>
          </w:p>
        </w:tc>
      </w:tr>
      <w:tr w14:paraId="5A9F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7" w:hRule="atLeast"/>
          <w:jc w:val="center"/>
        </w:trPr>
        <w:tc>
          <w:tcPr>
            <w:tcW w:w="2093" w:type="dxa"/>
          </w:tcPr>
          <w:p w14:paraId="493F7FF2">
            <w:pPr>
              <w:topLinePunct/>
              <w:spacing w:line="275" w:lineRule="auto"/>
            </w:pPr>
          </w:p>
          <w:p w14:paraId="3819C9C5">
            <w:pPr>
              <w:topLinePunct/>
              <w:spacing w:line="275" w:lineRule="auto"/>
            </w:pPr>
          </w:p>
          <w:p w14:paraId="14EB63B9">
            <w:pPr>
              <w:topLinePunct/>
              <w:spacing w:line="276" w:lineRule="auto"/>
            </w:pPr>
          </w:p>
          <w:p w14:paraId="7E5C36FC">
            <w:pPr>
              <w:topLinePunct/>
              <w:spacing w:line="276" w:lineRule="auto"/>
            </w:pPr>
          </w:p>
          <w:p w14:paraId="1995AD02">
            <w:pPr>
              <w:topLinePunct/>
              <w:spacing w:line="276" w:lineRule="auto"/>
            </w:pPr>
          </w:p>
          <w:p w14:paraId="0B101E5C">
            <w:pPr>
              <w:pStyle w:val="24"/>
              <w:kinsoku/>
              <w:topLinePunct/>
              <w:autoSpaceDE/>
              <w:autoSpaceDN/>
              <w:spacing w:before="78" w:line="220" w:lineRule="auto"/>
              <w:ind w:left="574"/>
              <w:rPr>
                <w:rFonts w:hint="default"/>
              </w:rPr>
            </w:pPr>
            <w:r>
              <w:rPr>
                <w:spacing w:val="-4"/>
              </w:rPr>
              <w:t>项目描述</w:t>
            </w:r>
          </w:p>
        </w:tc>
        <w:tc>
          <w:tcPr>
            <w:tcW w:w="6799" w:type="dxa"/>
          </w:tcPr>
          <w:p w14:paraId="1F6CFAC5">
            <w:pPr>
              <w:topLinePunct/>
            </w:pPr>
          </w:p>
        </w:tc>
      </w:tr>
      <w:tr w14:paraId="2611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5" w:hRule="atLeast"/>
          <w:jc w:val="center"/>
        </w:trPr>
        <w:tc>
          <w:tcPr>
            <w:tcW w:w="2093" w:type="dxa"/>
          </w:tcPr>
          <w:p w14:paraId="01DF3347">
            <w:pPr>
              <w:topLinePunct/>
              <w:spacing w:line="248" w:lineRule="auto"/>
            </w:pPr>
          </w:p>
          <w:p w14:paraId="485EF9DE">
            <w:pPr>
              <w:topLinePunct/>
              <w:spacing w:line="248" w:lineRule="auto"/>
            </w:pPr>
          </w:p>
          <w:p w14:paraId="42EC2838">
            <w:pPr>
              <w:topLinePunct/>
              <w:spacing w:line="249" w:lineRule="auto"/>
            </w:pPr>
          </w:p>
          <w:p w14:paraId="5FA46C10">
            <w:pPr>
              <w:topLinePunct/>
              <w:spacing w:line="249" w:lineRule="auto"/>
            </w:pPr>
          </w:p>
          <w:p w14:paraId="5BA87D1A">
            <w:pPr>
              <w:topLinePunct/>
              <w:spacing w:line="249" w:lineRule="auto"/>
            </w:pPr>
          </w:p>
          <w:p w14:paraId="6EA3095A">
            <w:pPr>
              <w:pStyle w:val="24"/>
              <w:kinsoku/>
              <w:topLinePunct/>
              <w:autoSpaceDE/>
              <w:autoSpaceDN/>
              <w:spacing w:before="78" w:line="221" w:lineRule="auto"/>
              <w:ind w:left="813"/>
              <w:rPr>
                <w:rFonts w:hint="default"/>
              </w:rPr>
            </w:pPr>
            <w:r>
              <w:rPr>
                <w:spacing w:val="-7"/>
              </w:rPr>
              <w:t>备注</w:t>
            </w:r>
          </w:p>
        </w:tc>
        <w:tc>
          <w:tcPr>
            <w:tcW w:w="6799" w:type="dxa"/>
          </w:tcPr>
          <w:p w14:paraId="3F8BBA2A">
            <w:pPr>
              <w:topLinePunct/>
            </w:pPr>
          </w:p>
        </w:tc>
      </w:tr>
    </w:tbl>
    <w:p w14:paraId="3FDF672A">
      <w:pPr>
        <w:spacing w:line="360" w:lineRule="auto"/>
        <w:rPr>
          <w:rFonts w:ascii="宋体" w:hAnsi="宋体" w:eastAsia="宋体"/>
          <w:sz w:val="24"/>
        </w:rPr>
      </w:pPr>
      <w:r>
        <w:rPr>
          <w:rFonts w:hint="eastAsia" w:ascii="宋体" w:hAnsi="宋体" w:eastAsia="宋体"/>
          <w:sz w:val="24"/>
        </w:rPr>
        <w:t>注：本表后附业绩证明文件。</w:t>
      </w:r>
    </w:p>
    <w:p w14:paraId="1DECBC10">
      <w:pPr>
        <w:widowControl/>
        <w:jc w:val="left"/>
        <w:rPr>
          <w:rFonts w:ascii="宋体" w:hAnsi="宋体" w:eastAsia="宋体"/>
          <w:sz w:val="24"/>
        </w:rPr>
      </w:pPr>
      <w:r>
        <w:rPr>
          <w:rFonts w:ascii="宋体" w:hAnsi="宋体" w:eastAsia="宋体"/>
          <w:sz w:val="24"/>
        </w:rPr>
        <w:br w:type="page"/>
      </w:r>
    </w:p>
    <w:p w14:paraId="3CA97E96">
      <w:pPr>
        <w:topLinePunct/>
        <w:spacing w:line="360" w:lineRule="auto"/>
        <w:jc w:val="center"/>
        <w:outlineLvl w:val="2"/>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ascii="宋体" w:hAnsi="宋体" w:eastAsia="宋体" w:cs="宋体"/>
          <w:spacing w:val="9"/>
          <w:sz w:val="31"/>
          <w:szCs w:val="31"/>
          <w14:textOutline w14:w="5791" w14:cap="sq" w14:cmpd="sng" w14:algn="ctr">
            <w14:solidFill>
              <w14:srgbClr w14:val="000000"/>
            </w14:solidFill>
            <w14:prstDash w14:val="solid"/>
            <w14:bevel/>
          </w14:textOutline>
        </w:rPr>
        <w:t>（五）近年发生的诉讼及仲裁情况</w:t>
      </w:r>
    </w:p>
    <w:p w14:paraId="726F6CA8">
      <w:pPr>
        <w:spacing w:line="360" w:lineRule="auto"/>
        <w:rPr>
          <w:rFonts w:ascii="仿宋_GB2312" w:hAnsi="宋体" w:eastAsia="仿宋_GB2312"/>
          <w:sz w:val="24"/>
        </w:rPr>
      </w:pPr>
    </w:p>
    <w:p w14:paraId="0B5BC110">
      <w:pPr>
        <w:widowControl/>
        <w:jc w:val="left"/>
        <w:rPr>
          <w:rFonts w:ascii="宋体" w:hAnsi="宋体" w:eastAsia="宋体"/>
          <w:sz w:val="24"/>
        </w:rPr>
      </w:pPr>
      <w:r>
        <w:rPr>
          <w:rFonts w:ascii="宋体" w:hAnsi="宋体" w:eastAsia="宋体"/>
          <w:sz w:val="24"/>
        </w:rPr>
        <w:br w:type="page"/>
      </w:r>
    </w:p>
    <w:p w14:paraId="6F684648">
      <w:pPr>
        <w:pStyle w:val="2"/>
        <w:kinsoku/>
        <w:topLinePunct/>
        <w:autoSpaceDE/>
        <w:autoSpaceDN/>
        <w:spacing w:before="63" w:line="224" w:lineRule="auto"/>
        <w:jc w:val="center"/>
        <w:outlineLvl w:val="2"/>
        <w:rPr>
          <w:rFonts w:hint="default"/>
        </w:rPr>
      </w:pPr>
      <w:r>
        <w:rPr>
          <w:spacing w:val="9"/>
          <w14:textOutline w14:w="5791" w14:cap="sq" w14:cmpd="sng" w14:algn="ctr">
            <w14:solidFill>
              <w14:srgbClr w14:val="000000"/>
            </w14:solidFill>
            <w14:prstDash w14:val="solid"/>
            <w14:bevel/>
          </w14:textOutline>
        </w:rPr>
        <w:t>（六）拟委任的主要人员汇总表</w:t>
      </w:r>
    </w:p>
    <w:p w14:paraId="49CA45D6">
      <w:pPr>
        <w:spacing w:line="360" w:lineRule="auto"/>
        <w:jc w:val="center"/>
        <w:rPr>
          <w:spacing w:val="7"/>
          <w:sz w:val="28"/>
          <w:szCs w:val="28"/>
          <w14:textOutline w14:w="5791" w14:cap="sq" w14:cmpd="sng" w14:algn="ctr">
            <w14:solidFill>
              <w14:srgbClr w14:val="000000"/>
            </w14:solidFill>
            <w14:prstDash w14:val="solid"/>
            <w14:bevel/>
          </w14:textOutline>
        </w:rPr>
      </w:pPr>
      <w:r>
        <w:rPr>
          <w:spacing w:val="7"/>
          <w:sz w:val="28"/>
          <w:szCs w:val="28"/>
          <w14:textOutline w14:w="5791" w14:cap="sq" w14:cmpd="sng" w14:algn="ctr">
            <w14:solidFill>
              <w14:srgbClr w14:val="000000"/>
            </w14:solidFill>
            <w14:prstDash w14:val="solid"/>
            <w14:bevel/>
          </w14:textOutline>
        </w:rPr>
        <w:t>1、拟委任的主要人员汇总表</w:t>
      </w:r>
    </w:p>
    <w:tbl>
      <w:tblPr>
        <w:tblStyle w:val="15"/>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0"/>
        <w:gridCol w:w="1539"/>
        <w:gridCol w:w="851"/>
        <w:gridCol w:w="709"/>
        <w:gridCol w:w="992"/>
        <w:gridCol w:w="1336"/>
        <w:gridCol w:w="1336"/>
        <w:gridCol w:w="1336"/>
        <w:gridCol w:w="641"/>
      </w:tblGrid>
      <w:tr w14:paraId="652AA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840" w:type="dxa"/>
            <w:vMerge w:val="restart"/>
            <w:tcBorders>
              <w:bottom w:val="nil"/>
            </w:tcBorders>
          </w:tcPr>
          <w:p w14:paraId="040D2361">
            <w:pPr>
              <w:topLinePunct/>
              <w:spacing w:line="394" w:lineRule="auto"/>
            </w:pPr>
          </w:p>
          <w:p w14:paraId="074D6CAA">
            <w:pPr>
              <w:pStyle w:val="24"/>
              <w:kinsoku/>
              <w:topLinePunct/>
              <w:autoSpaceDE/>
              <w:autoSpaceDN/>
              <w:spacing w:before="78" w:line="221" w:lineRule="auto"/>
              <w:ind w:left="185"/>
              <w:rPr>
                <w:rFonts w:hint="default"/>
              </w:rPr>
            </w:pPr>
            <w:r>
              <w:rPr>
                <w:spacing w:val="-5"/>
              </w:rPr>
              <w:t>序号</w:t>
            </w:r>
          </w:p>
        </w:tc>
        <w:tc>
          <w:tcPr>
            <w:tcW w:w="1539" w:type="dxa"/>
            <w:vMerge w:val="restart"/>
            <w:tcBorders>
              <w:bottom w:val="nil"/>
            </w:tcBorders>
          </w:tcPr>
          <w:p w14:paraId="1C9B5132">
            <w:pPr>
              <w:topLinePunct/>
              <w:spacing w:line="394" w:lineRule="auto"/>
            </w:pPr>
          </w:p>
          <w:p w14:paraId="204904C6">
            <w:pPr>
              <w:pStyle w:val="24"/>
              <w:kinsoku/>
              <w:topLinePunct/>
              <w:autoSpaceDE/>
              <w:autoSpaceDN/>
              <w:spacing w:before="78" w:line="219" w:lineRule="auto"/>
              <w:rPr>
                <w:rFonts w:hint="default"/>
              </w:rPr>
            </w:pPr>
            <w:r>
              <w:rPr>
                <w:spacing w:val="-3"/>
              </w:rPr>
              <w:t>本项目任职</w:t>
            </w:r>
          </w:p>
        </w:tc>
        <w:tc>
          <w:tcPr>
            <w:tcW w:w="851" w:type="dxa"/>
            <w:vMerge w:val="restart"/>
            <w:tcBorders>
              <w:bottom w:val="nil"/>
            </w:tcBorders>
          </w:tcPr>
          <w:p w14:paraId="3643ED3D">
            <w:pPr>
              <w:topLinePunct/>
              <w:spacing w:line="395" w:lineRule="auto"/>
            </w:pPr>
          </w:p>
          <w:p w14:paraId="5712D33F">
            <w:pPr>
              <w:pStyle w:val="24"/>
              <w:kinsoku/>
              <w:topLinePunct/>
              <w:autoSpaceDE/>
              <w:autoSpaceDN/>
              <w:spacing w:before="78" w:line="219" w:lineRule="auto"/>
              <w:ind w:left="190"/>
              <w:rPr>
                <w:rFonts w:hint="default"/>
              </w:rPr>
            </w:pPr>
            <w:r>
              <w:rPr>
                <w:spacing w:val="-5"/>
              </w:rPr>
              <w:t>姓名</w:t>
            </w:r>
          </w:p>
        </w:tc>
        <w:tc>
          <w:tcPr>
            <w:tcW w:w="709" w:type="dxa"/>
            <w:vMerge w:val="restart"/>
            <w:tcBorders>
              <w:bottom w:val="nil"/>
            </w:tcBorders>
            <w:textDirection w:val="tbRlV"/>
          </w:tcPr>
          <w:p w14:paraId="2E2287D8">
            <w:pPr>
              <w:pStyle w:val="24"/>
              <w:kinsoku/>
              <w:topLinePunct/>
              <w:autoSpaceDE/>
              <w:autoSpaceDN/>
              <w:spacing w:before="233" w:line="211" w:lineRule="auto"/>
              <w:ind w:left="319"/>
              <w:rPr>
                <w:rFonts w:hint="default"/>
              </w:rPr>
            </w:pPr>
            <w:r>
              <w:rPr>
                <w:spacing w:val="-1"/>
              </w:rPr>
              <w:t>职称</w:t>
            </w:r>
          </w:p>
        </w:tc>
        <w:tc>
          <w:tcPr>
            <w:tcW w:w="992" w:type="dxa"/>
            <w:vMerge w:val="restart"/>
            <w:tcBorders>
              <w:bottom w:val="nil"/>
            </w:tcBorders>
            <w:textDirection w:val="tbRlV"/>
          </w:tcPr>
          <w:p w14:paraId="4FCFD8B4">
            <w:pPr>
              <w:topLinePunct/>
              <w:spacing w:line="284" w:lineRule="auto"/>
            </w:pPr>
          </w:p>
          <w:p w14:paraId="24956548">
            <w:pPr>
              <w:pStyle w:val="24"/>
              <w:kinsoku/>
              <w:topLinePunct/>
              <w:autoSpaceDE/>
              <w:autoSpaceDN/>
              <w:spacing w:before="81" w:line="209" w:lineRule="auto"/>
              <w:ind w:left="319"/>
              <w:rPr>
                <w:rFonts w:hint="default"/>
              </w:rPr>
            </w:pPr>
            <w:r>
              <w:rPr>
                <w:spacing w:val="-1"/>
              </w:rPr>
              <w:t>专业</w:t>
            </w:r>
          </w:p>
        </w:tc>
        <w:tc>
          <w:tcPr>
            <w:tcW w:w="4008" w:type="dxa"/>
            <w:gridSpan w:val="3"/>
          </w:tcPr>
          <w:p w14:paraId="7E3B3793">
            <w:pPr>
              <w:pStyle w:val="24"/>
              <w:kinsoku/>
              <w:topLinePunct/>
              <w:autoSpaceDE/>
              <w:autoSpaceDN/>
              <w:spacing w:before="178" w:line="219" w:lineRule="auto"/>
              <w:ind w:left="931"/>
              <w:rPr>
                <w:rFonts w:hint="default"/>
              </w:rPr>
            </w:pPr>
            <w:r>
              <w:rPr>
                <w:spacing w:val="-2"/>
              </w:rPr>
              <w:t>执业或职业资格证明</w:t>
            </w:r>
          </w:p>
        </w:tc>
        <w:tc>
          <w:tcPr>
            <w:tcW w:w="641" w:type="dxa"/>
            <w:vMerge w:val="restart"/>
            <w:tcBorders>
              <w:bottom w:val="nil"/>
            </w:tcBorders>
            <w:textDirection w:val="tbRlV"/>
          </w:tcPr>
          <w:p w14:paraId="749CDA41">
            <w:pPr>
              <w:pStyle w:val="24"/>
              <w:kinsoku/>
              <w:topLinePunct/>
              <w:autoSpaceDE/>
              <w:autoSpaceDN/>
              <w:spacing w:before="198" w:line="209" w:lineRule="auto"/>
              <w:ind w:left="319"/>
              <w:rPr>
                <w:rFonts w:hint="default"/>
              </w:rPr>
            </w:pPr>
            <w:r>
              <w:rPr>
                <w:spacing w:val="-1"/>
              </w:rPr>
              <w:t>备注</w:t>
            </w:r>
          </w:p>
        </w:tc>
      </w:tr>
      <w:tr w14:paraId="71AAE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0" w:type="dxa"/>
            <w:vMerge w:val="continue"/>
            <w:tcBorders>
              <w:top w:val="nil"/>
            </w:tcBorders>
          </w:tcPr>
          <w:p w14:paraId="6E4032E0">
            <w:pPr>
              <w:topLinePunct/>
            </w:pPr>
          </w:p>
        </w:tc>
        <w:tc>
          <w:tcPr>
            <w:tcW w:w="1539" w:type="dxa"/>
            <w:vMerge w:val="continue"/>
            <w:tcBorders>
              <w:top w:val="nil"/>
            </w:tcBorders>
          </w:tcPr>
          <w:p w14:paraId="70C3B458">
            <w:pPr>
              <w:topLinePunct/>
            </w:pPr>
          </w:p>
        </w:tc>
        <w:tc>
          <w:tcPr>
            <w:tcW w:w="851" w:type="dxa"/>
            <w:vMerge w:val="continue"/>
            <w:tcBorders>
              <w:top w:val="nil"/>
            </w:tcBorders>
          </w:tcPr>
          <w:p w14:paraId="74BD413F">
            <w:pPr>
              <w:topLinePunct/>
            </w:pPr>
          </w:p>
        </w:tc>
        <w:tc>
          <w:tcPr>
            <w:tcW w:w="709" w:type="dxa"/>
            <w:vMerge w:val="continue"/>
            <w:tcBorders>
              <w:top w:val="nil"/>
            </w:tcBorders>
            <w:textDirection w:val="tbRlV"/>
          </w:tcPr>
          <w:p w14:paraId="658763A4">
            <w:pPr>
              <w:topLinePunct/>
            </w:pPr>
          </w:p>
        </w:tc>
        <w:tc>
          <w:tcPr>
            <w:tcW w:w="992" w:type="dxa"/>
            <w:vMerge w:val="continue"/>
            <w:tcBorders>
              <w:top w:val="nil"/>
            </w:tcBorders>
            <w:textDirection w:val="tbRlV"/>
          </w:tcPr>
          <w:p w14:paraId="2ADD45F8">
            <w:pPr>
              <w:topLinePunct/>
            </w:pPr>
          </w:p>
        </w:tc>
        <w:tc>
          <w:tcPr>
            <w:tcW w:w="1336" w:type="dxa"/>
          </w:tcPr>
          <w:p w14:paraId="1009FCDC">
            <w:pPr>
              <w:pStyle w:val="24"/>
              <w:kinsoku/>
              <w:topLinePunct/>
              <w:autoSpaceDE/>
              <w:autoSpaceDN/>
              <w:spacing w:before="173" w:line="219" w:lineRule="auto"/>
              <w:rPr>
                <w:rFonts w:hint="default"/>
              </w:rPr>
            </w:pPr>
            <w:r>
              <w:rPr>
                <w:spacing w:val="-3"/>
              </w:rPr>
              <w:t>证书名称</w:t>
            </w:r>
          </w:p>
        </w:tc>
        <w:tc>
          <w:tcPr>
            <w:tcW w:w="1336" w:type="dxa"/>
          </w:tcPr>
          <w:p w14:paraId="18509B4D">
            <w:pPr>
              <w:pStyle w:val="24"/>
              <w:kinsoku/>
              <w:topLinePunct/>
              <w:autoSpaceDE/>
              <w:autoSpaceDN/>
              <w:spacing w:before="173" w:line="220" w:lineRule="auto"/>
              <w:ind w:left="439"/>
              <w:rPr>
                <w:rFonts w:hint="default"/>
              </w:rPr>
            </w:pPr>
            <w:r>
              <w:rPr>
                <w:spacing w:val="-7"/>
              </w:rPr>
              <w:t>级别</w:t>
            </w:r>
          </w:p>
        </w:tc>
        <w:tc>
          <w:tcPr>
            <w:tcW w:w="1336" w:type="dxa"/>
          </w:tcPr>
          <w:p w14:paraId="3E606A58">
            <w:pPr>
              <w:pStyle w:val="24"/>
              <w:kinsoku/>
              <w:topLinePunct/>
              <w:autoSpaceDE/>
              <w:autoSpaceDN/>
              <w:spacing w:before="173" w:line="221" w:lineRule="auto"/>
              <w:ind w:left="436"/>
              <w:rPr>
                <w:rFonts w:hint="default"/>
              </w:rPr>
            </w:pPr>
            <w:r>
              <w:rPr>
                <w:spacing w:val="-5"/>
              </w:rPr>
              <w:t>证号</w:t>
            </w:r>
          </w:p>
        </w:tc>
        <w:tc>
          <w:tcPr>
            <w:tcW w:w="641" w:type="dxa"/>
            <w:vMerge w:val="continue"/>
            <w:tcBorders>
              <w:top w:val="nil"/>
            </w:tcBorders>
            <w:textDirection w:val="tbRlV"/>
          </w:tcPr>
          <w:p w14:paraId="0197ED93">
            <w:pPr>
              <w:topLinePunct/>
            </w:pPr>
          </w:p>
        </w:tc>
      </w:tr>
      <w:tr w14:paraId="26CC7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0" w:type="dxa"/>
          </w:tcPr>
          <w:p w14:paraId="78055AE2">
            <w:pPr>
              <w:topLinePunct/>
            </w:pPr>
          </w:p>
        </w:tc>
        <w:tc>
          <w:tcPr>
            <w:tcW w:w="1539" w:type="dxa"/>
          </w:tcPr>
          <w:p w14:paraId="45794AA1">
            <w:pPr>
              <w:topLinePunct/>
            </w:pPr>
          </w:p>
        </w:tc>
        <w:tc>
          <w:tcPr>
            <w:tcW w:w="851" w:type="dxa"/>
          </w:tcPr>
          <w:p w14:paraId="34AA7E39">
            <w:pPr>
              <w:topLinePunct/>
            </w:pPr>
          </w:p>
        </w:tc>
        <w:tc>
          <w:tcPr>
            <w:tcW w:w="709" w:type="dxa"/>
          </w:tcPr>
          <w:p w14:paraId="3DBF8068">
            <w:pPr>
              <w:topLinePunct/>
            </w:pPr>
          </w:p>
        </w:tc>
        <w:tc>
          <w:tcPr>
            <w:tcW w:w="992" w:type="dxa"/>
          </w:tcPr>
          <w:p w14:paraId="2143BA8D">
            <w:pPr>
              <w:topLinePunct/>
            </w:pPr>
          </w:p>
        </w:tc>
        <w:tc>
          <w:tcPr>
            <w:tcW w:w="1336" w:type="dxa"/>
          </w:tcPr>
          <w:p w14:paraId="57512704">
            <w:pPr>
              <w:topLinePunct/>
            </w:pPr>
          </w:p>
        </w:tc>
        <w:tc>
          <w:tcPr>
            <w:tcW w:w="1336" w:type="dxa"/>
          </w:tcPr>
          <w:p w14:paraId="7BD61636">
            <w:pPr>
              <w:topLinePunct/>
            </w:pPr>
          </w:p>
        </w:tc>
        <w:tc>
          <w:tcPr>
            <w:tcW w:w="1336" w:type="dxa"/>
          </w:tcPr>
          <w:p w14:paraId="0DDD11FA">
            <w:pPr>
              <w:topLinePunct/>
            </w:pPr>
          </w:p>
        </w:tc>
        <w:tc>
          <w:tcPr>
            <w:tcW w:w="641" w:type="dxa"/>
          </w:tcPr>
          <w:p w14:paraId="6BC96B36">
            <w:pPr>
              <w:topLinePunct/>
            </w:pPr>
          </w:p>
        </w:tc>
      </w:tr>
      <w:tr w14:paraId="3017F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6BCD827F">
            <w:pPr>
              <w:topLinePunct/>
            </w:pPr>
          </w:p>
        </w:tc>
        <w:tc>
          <w:tcPr>
            <w:tcW w:w="1539" w:type="dxa"/>
          </w:tcPr>
          <w:p w14:paraId="0E02ACEB">
            <w:pPr>
              <w:topLinePunct/>
            </w:pPr>
          </w:p>
        </w:tc>
        <w:tc>
          <w:tcPr>
            <w:tcW w:w="851" w:type="dxa"/>
          </w:tcPr>
          <w:p w14:paraId="15D8F498">
            <w:pPr>
              <w:topLinePunct/>
            </w:pPr>
          </w:p>
        </w:tc>
        <w:tc>
          <w:tcPr>
            <w:tcW w:w="709" w:type="dxa"/>
          </w:tcPr>
          <w:p w14:paraId="2B6945D4">
            <w:pPr>
              <w:topLinePunct/>
            </w:pPr>
          </w:p>
        </w:tc>
        <w:tc>
          <w:tcPr>
            <w:tcW w:w="992" w:type="dxa"/>
          </w:tcPr>
          <w:p w14:paraId="363199F3">
            <w:pPr>
              <w:topLinePunct/>
            </w:pPr>
          </w:p>
        </w:tc>
        <w:tc>
          <w:tcPr>
            <w:tcW w:w="1336" w:type="dxa"/>
          </w:tcPr>
          <w:p w14:paraId="7692D5A0">
            <w:pPr>
              <w:topLinePunct/>
            </w:pPr>
          </w:p>
        </w:tc>
        <w:tc>
          <w:tcPr>
            <w:tcW w:w="1336" w:type="dxa"/>
          </w:tcPr>
          <w:p w14:paraId="506AEDF4">
            <w:pPr>
              <w:topLinePunct/>
            </w:pPr>
          </w:p>
        </w:tc>
        <w:tc>
          <w:tcPr>
            <w:tcW w:w="1336" w:type="dxa"/>
          </w:tcPr>
          <w:p w14:paraId="257E46F0">
            <w:pPr>
              <w:topLinePunct/>
            </w:pPr>
          </w:p>
        </w:tc>
        <w:tc>
          <w:tcPr>
            <w:tcW w:w="641" w:type="dxa"/>
          </w:tcPr>
          <w:p w14:paraId="4DAE0400">
            <w:pPr>
              <w:topLinePunct/>
            </w:pPr>
          </w:p>
        </w:tc>
      </w:tr>
      <w:tr w14:paraId="1BB6F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2E4E7028">
            <w:pPr>
              <w:topLinePunct/>
            </w:pPr>
          </w:p>
        </w:tc>
        <w:tc>
          <w:tcPr>
            <w:tcW w:w="1539" w:type="dxa"/>
          </w:tcPr>
          <w:p w14:paraId="153D197C">
            <w:pPr>
              <w:topLinePunct/>
            </w:pPr>
          </w:p>
        </w:tc>
        <w:tc>
          <w:tcPr>
            <w:tcW w:w="851" w:type="dxa"/>
          </w:tcPr>
          <w:p w14:paraId="2CFC54AC">
            <w:pPr>
              <w:topLinePunct/>
            </w:pPr>
          </w:p>
        </w:tc>
        <w:tc>
          <w:tcPr>
            <w:tcW w:w="709" w:type="dxa"/>
          </w:tcPr>
          <w:p w14:paraId="5095348D">
            <w:pPr>
              <w:topLinePunct/>
            </w:pPr>
          </w:p>
        </w:tc>
        <w:tc>
          <w:tcPr>
            <w:tcW w:w="992" w:type="dxa"/>
          </w:tcPr>
          <w:p w14:paraId="45D04034">
            <w:pPr>
              <w:topLinePunct/>
            </w:pPr>
          </w:p>
        </w:tc>
        <w:tc>
          <w:tcPr>
            <w:tcW w:w="1336" w:type="dxa"/>
          </w:tcPr>
          <w:p w14:paraId="27636088">
            <w:pPr>
              <w:topLinePunct/>
            </w:pPr>
          </w:p>
        </w:tc>
        <w:tc>
          <w:tcPr>
            <w:tcW w:w="1336" w:type="dxa"/>
          </w:tcPr>
          <w:p w14:paraId="1911DA39">
            <w:pPr>
              <w:topLinePunct/>
            </w:pPr>
          </w:p>
        </w:tc>
        <w:tc>
          <w:tcPr>
            <w:tcW w:w="1336" w:type="dxa"/>
          </w:tcPr>
          <w:p w14:paraId="5576DA0F">
            <w:pPr>
              <w:topLinePunct/>
            </w:pPr>
          </w:p>
        </w:tc>
        <w:tc>
          <w:tcPr>
            <w:tcW w:w="641" w:type="dxa"/>
          </w:tcPr>
          <w:p w14:paraId="4EE2E1AF">
            <w:pPr>
              <w:topLinePunct/>
            </w:pPr>
          </w:p>
        </w:tc>
      </w:tr>
      <w:tr w14:paraId="33F2A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4DC0D9E7">
            <w:pPr>
              <w:topLinePunct/>
            </w:pPr>
          </w:p>
        </w:tc>
        <w:tc>
          <w:tcPr>
            <w:tcW w:w="1539" w:type="dxa"/>
          </w:tcPr>
          <w:p w14:paraId="6752B502">
            <w:pPr>
              <w:topLinePunct/>
            </w:pPr>
          </w:p>
        </w:tc>
        <w:tc>
          <w:tcPr>
            <w:tcW w:w="851" w:type="dxa"/>
          </w:tcPr>
          <w:p w14:paraId="53D74968">
            <w:pPr>
              <w:topLinePunct/>
            </w:pPr>
          </w:p>
        </w:tc>
        <w:tc>
          <w:tcPr>
            <w:tcW w:w="709" w:type="dxa"/>
          </w:tcPr>
          <w:p w14:paraId="7DBB7FA2">
            <w:pPr>
              <w:topLinePunct/>
            </w:pPr>
          </w:p>
        </w:tc>
        <w:tc>
          <w:tcPr>
            <w:tcW w:w="992" w:type="dxa"/>
          </w:tcPr>
          <w:p w14:paraId="21EB2C1F">
            <w:pPr>
              <w:topLinePunct/>
            </w:pPr>
          </w:p>
        </w:tc>
        <w:tc>
          <w:tcPr>
            <w:tcW w:w="1336" w:type="dxa"/>
          </w:tcPr>
          <w:p w14:paraId="5C5A6132">
            <w:pPr>
              <w:topLinePunct/>
            </w:pPr>
          </w:p>
        </w:tc>
        <w:tc>
          <w:tcPr>
            <w:tcW w:w="1336" w:type="dxa"/>
          </w:tcPr>
          <w:p w14:paraId="72F39F68">
            <w:pPr>
              <w:topLinePunct/>
            </w:pPr>
          </w:p>
        </w:tc>
        <w:tc>
          <w:tcPr>
            <w:tcW w:w="1336" w:type="dxa"/>
          </w:tcPr>
          <w:p w14:paraId="115363CC">
            <w:pPr>
              <w:topLinePunct/>
            </w:pPr>
          </w:p>
        </w:tc>
        <w:tc>
          <w:tcPr>
            <w:tcW w:w="641" w:type="dxa"/>
          </w:tcPr>
          <w:p w14:paraId="6D89E1A5">
            <w:pPr>
              <w:topLinePunct/>
            </w:pPr>
          </w:p>
        </w:tc>
      </w:tr>
      <w:tr w14:paraId="12A83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708B30CB">
            <w:pPr>
              <w:topLinePunct/>
            </w:pPr>
          </w:p>
        </w:tc>
        <w:tc>
          <w:tcPr>
            <w:tcW w:w="1539" w:type="dxa"/>
          </w:tcPr>
          <w:p w14:paraId="468F66DC">
            <w:pPr>
              <w:topLinePunct/>
            </w:pPr>
          </w:p>
        </w:tc>
        <w:tc>
          <w:tcPr>
            <w:tcW w:w="851" w:type="dxa"/>
          </w:tcPr>
          <w:p w14:paraId="00F610A3">
            <w:pPr>
              <w:topLinePunct/>
            </w:pPr>
          </w:p>
        </w:tc>
        <w:tc>
          <w:tcPr>
            <w:tcW w:w="709" w:type="dxa"/>
          </w:tcPr>
          <w:p w14:paraId="0992D659">
            <w:pPr>
              <w:topLinePunct/>
            </w:pPr>
          </w:p>
        </w:tc>
        <w:tc>
          <w:tcPr>
            <w:tcW w:w="992" w:type="dxa"/>
          </w:tcPr>
          <w:p w14:paraId="660DB2AD">
            <w:pPr>
              <w:topLinePunct/>
            </w:pPr>
          </w:p>
        </w:tc>
        <w:tc>
          <w:tcPr>
            <w:tcW w:w="1336" w:type="dxa"/>
          </w:tcPr>
          <w:p w14:paraId="3C7F0008">
            <w:pPr>
              <w:topLinePunct/>
            </w:pPr>
          </w:p>
        </w:tc>
        <w:tc>
          <w:tcPr>
            <w:tcW w:w="1336" w:type="dxa"/>
          </w:tcPr>
          <w:p w14:paraId="3F571AFE">
            <w:pPr>
              <w:topLinePunct/>
            </w:pPr>
          </w:p>
        </w:tc>
        <w:tc>
          <w:tcPr>
            <w:tcW w:w="1336" w:type="dxa"/>
          </w:tcPr>
          <w:p w14:paraId="59F85170">
            <w:pPr>
              <w:topLinePunct/>
            </w:pPr>
          </w:p>
        </w:tc>
        <w:tc>
          <w:tcPr>
            <w:tcW w:w="641" w:type="dxa"/>
          </w:tcPr>
          <w:p w14:paraId="17676A92">
            <w:pPr>
              <w:topLinePunct/>
            </w:pPr>
          </w:p>
        </w:tc>
      </w:tr>
      <w:tr w14:paraId="4A80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0" w:type="dxa"/>
          </w:tcPr>
          <w:p w14:paraId="1012A4F0">
            <w:pPr>
              <w:topLinePunct/>
            </w:pPr>
          </w:p>
        </w:tc>
        <w:tc>
          <w:tcPr>
            <w:tcW w:w="1539" w:type="dxa"/>
          </w:tcPr>
          <w:p w14:paraId="4281FE56">
            <w:pPr>
              <w:topLinePunct/>
            </w:pPr>
          </w:p>
        </w:tc>
        <w:tc>
          <w:tcPr>
            <w:tcW w:w="851" w:type="dxa"/>
          </w:tcPr>
          <w:p w14:paraId="263931DC">
            <w:pPr>
              <w:topLinePunct/>
            </w:pPr>
          </w:p>
        </w:tc>
        <w:tc>
          <w:tcPr>
            <w:tcW w:w="709" w:type="dxa"/>
          </w:tcPr>
          <w:p w14:paraId="006E3CA1">
            <w:pPr>
              <w:topLinePunct/>
            </w:pPr>
          </w:p>
        </w:tc>
        <w:tc>
          <w:tcPr>
            <w:tcW w:w="992" w:type="dxa"/>
          </w:tcPr>
          <w:p w14:paraId="5383942D">
            <w:pPr>
              <w:topLinePunct/>
            </w:pPr>
          </w:p>
        </w:tc>
        <w:tc>
          <w:tcPr>
            <w:tcW w:w="1336" w:type="dxa"/>
          </w:tcPr>
          <w:p w14:paraId="31E1CB5E">
            <w:pPr>
              <w:topLinePunct/>
            </w:pPr>
          </w:p>
        </w:tc>
        <w:tc>
          <w:tcPr>
            <w:tcW w:w="1336" w:type="dxa"/>
          </w:tcPr>
          <w:p w14:paraId="368E5F91">
            <w:pPr>
              <w:topLinePunct/>
            </w:pPr>
          </w:p>
        </w:tc>
        <w:tc>
          <w:tcPr>
            <w:tcW w:w="1336" w:type="dxa"/>
          </w:tcPr>
          <w:p w14:paraId="7A3334C7">
            <w:pPr>
              <w:topLinePunct/>
            </w:pPr>
          </w:p>
        </w:tc>
        <w:tc>
          <w:tcPr>
            <w:tcW w:w="641" w:type="dxa"/>
          </w:tcPr>
          <w:p w14:paraId="09780907">
            <w:pPr>
              <w:topLinePunct/>
            </w:pPr>
          </w:p>
        </w:tc>
      </w:tr>
      <w:tr w14:paraId="0BB89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2EEE57FA">
            <w:pPr>
              <w:topLinePunct/>
            </w:pPr>
          </w:p>
        </w:tc>
        <w:tc>
          <w:tcPr>
            <w:tcW w:w="1539" w:type="dxa"/>
          </w:tcPr>
          <w:p w14:paraId="420492D1">
            <w:pPr>
              <w:topLinePunct/>
            </w:pPr>
          </w:p>
        </w:tc>
        <w:tc>
          <w:tcPr>
            <w:tcW w:w="851" w:type="dxa"/>
          </w:tcPr>
          <w:p w14:paraId="31F023E4">
            <w:pPr>
              <w:topLinePunct/>
            </w:pPr>
          </w:p>
        </w:tc>
        <w:tc>
          <w:tcPr>
            <w:tcW w:w="709" w:type="dxa"/>
          </w:tcPr>
          <w:p w14:paraId="013B2BEF">
            <w:pPr>
              <w:topLinePunct/>
            </w:pPr>
          </w:p>
        </w:tc>
        <w:tc>
          <w:tcPr>
            <w:tcW w:w="992" w:type="dxa"/>
          </w:tcPr>
          <w:p w14:paraId="1E3FF679">
            <w:pPr>
              <w:topLinePunct/>
            </w:pPr>
          </w:p>
        </w:tc>
        <w:tc>
          <w:tcPr>
            <w:tcW w:w="1336" w:type="dxa"/>
          </w:tcPr>
          <w:p w14:paraId="25E63EC8">
            <w:pPr>
              <w:topLinePunct/>
            </w:pPr>
          </w:p>
        </w:tc>
        <w:tc>
          <w:tcPr>
            <w:tcW w:w="1336" w:type="dxa"/>
          </w:tcPr>
          <w:p w14:paraId="42FDB2B3">
            <w:pPr>
              <w:topLinePunct/>
            </w:pPr>
          </w:p>
        </w:tc>
        <w:tc>
          <w:tcPr>
            <w:tcW w:w="1336" w:type="dxa"/>
          </w:tcPr>
          <w:p w14:paraId="5BF8A8A6">
            <w:pPr>
              <w:topLinePunct/>
            </w:pPr>
          </w:p>
        </w:tc>
        <w:tc>
          <w:tcPr>
            <w:tcW w:w="641" w:type="dxa"/>
          </w:tcPr>
          <w:p w14:paraId="5E6ECF25">
            <w:pPr>
              <w:topLinePunct/>
            </w:pPr>
          </w:p>
        </w:tc>
      </w:tr>
      <w:tr w14:paraId="203BB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0A7580B4">
            <w:pPr>
              <w:topLinePunct/>
            </w:pPr>
          </w:p>
        </w:tc>
        <w:tc>
          <w:tcPr>
            <w:tcW w:w="1539" w:type="dxa"/>
          </w:tcPr>
          <w:p w14:paraId="131642B5">
            <w:pPr>
              <w:topLinePunct/>
            </w:pPr>
          </w:p>
        </w:tc>
        <w:tc>
          <w:tcPr>
            <w:tcW w:w="851" w:type="dxa"/>
          </w:tcPr>
          <w:p w14:paraId="2EC8EB9F">
            <w:pPr>
              <w:topLinePunct/>
            </w:pPr>
          </w:p>
        </w:tc>
        <w:tc>
          <w:tcPr>
            <w:tcW w:w="709" w:type="dxa"/>
          </w:tcPr>
          <w:p w14:paraId="2913FBF5">
            <w:pPr>
              <w:topLinePunct/>
            </w:pPr>
          </w:p>
        </w:tc>
        <w:tc>
          <w:tcPr>
            <w:tcW w:w="992" w:type="dxa"/>
          </w:tcPr>
          <w:p w14:paraId="1EBAB72D">
            <w:pPr>
              <w:topLinePunct/>
            </w:pPr>
          </w:p>
        </w:tc>
        <w:tc>
          <w:tcPr>
            <w:tcW w:w="1336" w:type="dxa"/>
          </w:tcPr>
          <w:p w14:paraId="02EF3470">
            <w:pPr>
              <w:topLinePunct/>
            </w:pPr>
          </w:p>
        </w:tc>
        <w:tc>
          <w:tcPr>
            <w:tcW w:w="1336" w:type="dxa"/>
          </w:tcPr>
          <w:p w14:paraId="3D1E068A">
            <w:pPr>
              <w:topLinePunct/>
            </w:pPr>
          </w:p>
        </w:tc>
        <w:tc>
          <w:tcPr>
            <w:tcW w:w="1336" w:type="dxa"/>
          </w:tcPr>
          <w:p w14:paraId="3D396641">
            <w:pPr>
              <w:topLinePunct/>
            </w:pPr>
          </w:p>
        </w:tc>
        <w:tc>
          <w:tcPr>
            <w:tcW w:w="641" w:type="dxa"/>
          </w:tcPr>
          <w:p w14:paraId="7E1597DD">
            <w:pPr>
              <w:topLinePunct/>
            </w:pPr>
          </w:p>
        </w:tc>
      </w:tr>
      <w:tr w14:paraId="691B8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0A5BCD0B">
            <w:pPr>
              <w:topLinePunct/>
            </w:pPr>
          </w:p>
        </w:tc>
        <w:tc>
          <w:tcPr>
            <w:tcW w:w="1539" w:type="dxa"/>
          </w:tcPr>
          <w:p w14:paraId="48265881">
            <w:pPr>
              <w:topLinePunct/>
            </w:pPr>
          </w:p>
        </w:tc>
        <w:tc>
          <w:tcPr>
            <w:tcW w:w="851" w:type="dxa"/>
          </w:tcPr>
          <w:p w14:paraId="13025BAA">
            <w:pPr>
              <w:topLinePunct/>
            </w:pPr>
          </w:p>
        </w:tc>
        <w:tc>
          <w:tcPr>
            <w:tcW w:w="709" w:type="dxa"/>
          </w:tcPr>
          <w:p w14:paraId="12A4A57A">
            <w:pPr>
              <w:topLinePunct/>
            </w:pPr>
          </w:p>
        </w:tc>
        <w:tc>
          <w:tcPr>
            <w:tcW w:w="992" w:type="dxa"/>
          </w:tcPr>
          <w:p w14:paraId="182FB2EB">
            <w:pPr>
              <w:topLinePunct/>
            </w:pPr>
          </w:p>
        </w:tc>
        <w:tc>
          <w:tcPr>
            <w:tcW w:w="1336" w:type="dxa"/>
          </w:tcPr>
          <w:p w14:paraId="46DB618A">
            <w:pPr>
              <w:topLinePunct/>
            </w:pPr>
          </w:p>
        </w:tc>
        <w:tc>
          <w:tcPr>
            <w:tcW w:w="1336" w:type="dxa"/>
          </w:tcPr>
          <w:p w14:paraId="040960EA">
            <w:pPr>
              <w:topLinePunct/>
            </w:pPr>
          </w:p>
        </w:tc>
        <w:tc>
          <w:tcPr>
            <w:tcW w:w="1336" w:type="dxa"/>
          </w:tcPr>
          <w:p w14:paraId="64035C72">
            <w:pPr>
              <w:topLinePunct/>
            </w:pPr>
          </w:p>
        </w:tc>
        <w:tc>
          <w:tcPr>
            <w:tcW w:w="641" w:type="dxa"/>
          </w:tcPr>
          <w:p w14:paraId="58404BC4">
            <w:pPr>
              <w:topLinePunct/>
            </w:pPr>
          </w:p>
        </w:tc>
      </w:tr>
      <w:tr w14:paraId="5C080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0FFA317C">
            <w:pPr>
              <w:topLinePunct/>
            </w:pPr>
          </w:p>
        </w:tc>
        <w:tc>
          <w:tcPr>
            <w:tcW w:w="1539" w:type="dxa"/>
          </w:tcPr>
          <w:p w14:paraId="2AEF1E1E">
            <w:pPr>
              <w:topLinePunct/>
            </w:pPr>
          </w:p>
        </w:tc>
        <w:tc>
          <w:tcPr>
            <w:tcW w:w="851" w:type="dxa"/>
          </w:tcPr>
          <w:p w14:paraId="200E654A">
            <w:pPr>
              <w:topLinePunct/>
            </w:pPr>
          </w:p>
        </w:tc>
        <w:tc>
          <w:tcPr>
            <w:tcW w:w="709" w:type="dxa"/>
          </w:tcPr>
          <w:p w14:paraId="0BF3AB46">
            <w:pPr>
              <w:topLinePunct/>
            </w:pPr>
          </w:p>
        </w:tc>
        <w:tc>
          <w:tcPr>
            <w:tcW w:w="992" w:type="dxa"/>
          </w:tcPr>
          <w:p w14:paraId="317FACAB">
            <w:pPr>
              <w:topLinePunct/>
            </w:pPr>
          </w:p>
        </w:tc>
        <w:tc>
          <w:tcPr>
            <w:tcW w:w="1336" w:type="dxa"/>
          </w:tcPr>
          <w:p w14:paraId="5A71DAA6">
            <w:pPr>
              <w:topLinePunct/>
            </w:pPr>
          </w:p>
        </w:tc>
        <w:tc>
          <w:tcPr>
            <w:tcW w:w="1336" w:type="dxa"/>
          </w:tcPr>
          <w:p w14:paraId="142E759D">
            <w:pPr>
              <w:topLinePunct/>
            </w:pPr>
          </w:p>
        </w:tc>
        <w:tc>
          <w:tcPr>
            <w:tcW w:w="1336" w:type="dxa"/>
          </w:tcPr>
          <w:p w14:paraId="6770A56D">
            <w:pPr>
              <w:topLinePunct/>
            </w:pPr>
          </w:p>
        </w:tc>
        <w:tc>
          <w:tcPr>
            <w:tcW w:w="641" w:type="dxa"/>
          </w:tcPr>
          <w:p w14:paraId="4C6660EA">
            <w:pPr>
              <w:topLinePunct/>
            </w:pPr>
          </w:p>
        </w:tc>
      </w:tr>
      <w:tr w14:paraId="196E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2CA79709">
            <w:pPr>
              <w:topLinePunct/>
            </w:pPr>
          </w:p>
        </w:tc>
        <w:tc>
          <w:tcPr>
            <w:tcW w:w="1539" w:type="dxa"/>
          </w:tcPr>
          <w:p w14:paraId="77BEE3E4">
            <w:pPr>
              <w:topLinePunct/>
            </w:pPr>
          </w:p>
        </w:tc>
        <w:tc>
          <w:tcPr>
            <w:tcW w:w="851" w:type="dxa"/>
          </w:tcPr>
          <w:p w14:paraId="4F6F55C3">
            <w:pPr>
              <w:topLinePunct/>
            </w:pPr>
          </w:p>
        </w:tc>
        <w:tc>
          <w:tcPr>
            <w:tcW w:w="709" w:type="dxa"/>
          </w:tcPr>
          <w:p w14:paraId="56D34AE7">
            <w:pPr>
              <w:topLinePunct/>
            </w:pPr>
          </w:p>
        </w:tc>
        <w:tc>
          <w:tcPr>
            <w:tcW w:w="992" w:type="dxa"/>
          </w:tcPr>
          <w:p w14:paraId="1BF6BA08">
            <w:pPr>
              <w:topLinePunct/>
            </w:pPr>
          </w:p>
        </w:tc>
        <w:tc>
          <w:tcPr>
            <w:tcW w:w="1336" w:type="dxa"/>
          </w:tcPr>
          <w:p w14:paraId="32816707">
            <w:pPr>
              <w:topLinePunct/>
            </w:pPr>
          </w:p>
        </w:tc>
        <w:tc>
          <w:tcPr>
            <w:tcW w:w="1336" w:type="dxa"/>
          </w:tcPr>
          <w:p w14:paraId="629B2F1F">
            <w:pPr>
              <w:topLinePunct/>
            </w:pPr>
          </w:p>
        </w:tc>
        <w:tc>
          <w:tcPr>
            <w:tcW w:w="1336" w:type="dxa"/>
          </w:tcPr>
          <w:p w14:paraId="767EB2CE">
            <w:pPr>
              <w:topLinePunct/>
            </w:pPr>
          </w:p>
        </w:tc>
        <w:tc>
          <w:tcPr>
            <w:tcW w:w="641" w:type="dxa"/>
          </w:tcPr>
          <w:p w14:paraId="620284CF">
            <w:pPr>
              <w:topLinePunct/>
            </w:pPr>
          </w:p>
        </w:tc>
      </w:tr>
      <w:tr w14:paraId="493B8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0A74BEF4">
            <w:pPr>
              <w:topLinePunct/>
            </w:pPr>
          </w:p>
        </w:tc>
        <w:tc>
          <w:tcPr>
            <w:tcW w:w="1539" w:type="dxa"/>
          </w:tcPr>
          <w:p w14:paraId="714C0E90">
            <w:pPr>
              <w:topLinePunct/>
            </w:pPr>
          </w:p>
        </w:tc>
        <w:tc>
          <w:tcPr>
            <w:tcW w:w="851" w:type="dxa"/>
          </w:tcPr>
          <w:p w14:paraId="6755032C">
            <w:pPr>
              <w:topLinePunct/>
            </w:pPr>
          </w:p>
        </w:tc>
        <w:tc>
          <w:tcPr>
            <w:tcW w:w="709" w:type="dxa"/>
          </w:tcPr>
          <w:p w14:paraId="23D99658">
            <w:pPr>
              <w:topLinePunct/>
            </w:pPr>
          </w:p>
        </w:tc>
        <w:tc>
          <w:tcPr>
            <w:tcW w:w="992" w:type="dxa"/>
          </w:tcPr>
          <w:p w14:paraId="09CBC517">
            <w:pPr>
              <w:topLinePunct/>
            </w:pPr>
          </w:p>
        </w:tc>
        <w:tc>
          <w:tcPr>
            <w:tcW w:w="1336" w:type="dxa"/>
          </w:tcPr>
          <w:p w14:paraId="07EB42B6">
            <w:pPr>
              <w:topLinePunct/>
            </w:pPr>
          </w:p>
        </w:tc>
        <w:tc>
          <w:tcPr>
            <w:tcW w:w="1336" w:type="dxa"/>
          </w:tcPr>
          <w:p w14:paraId="6CDA63B8">
            <w:pPr>
              <w:topLinePunct/>
            </w:pPr>
          </w:p>
        </w:tc>
        <w:tc>
          <w:tcPr>
            <w:tcW w:w="1336" w:type="dxa"/>
          </w:tcPr>
          <w:p w14:paraId="154E990B">
            <w:pPr>
              <w:topLinePunct/>
            </w:pPr>
          </w:p>
        </w:tc>
        <w:tc>
          <w:tcPr>
            <w:tcW w:w="641" w:type="dxa"/>
          </w:tcPr>
          <w:p w14:paraId="2937E5F3">
            <w:pPr>
              <w:topLinePunct/>
            </w:pPr>
          </w:p>
        </w:tc>
      </w:tr>
      <w:tr w14:paraId="442DB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0" w:type="dxa"/>
          </w:tcPr>
          <w:p w14:paraId="3E01AA5F">
            <w:pPr>
              <w:topLinePunct/>
            </w:pPr>
          </w:p>
        </w:tc>
        <w:tc>
          <w:tcPr>
            <w:tcW w:w="1539" w:type="dxa"/>
          </w:tcPr>
          <w:p w14:paraId="515A0465">
            <w:pPr>
              <w:topLinePunct/>
            </w:pPr>
          </w:p>
        </w:tc>
        <w:tc>
          <w:tcPr>
            <w:tcW w:w="851" w:type="dxa"/>
          </w:tcPr>
          <w:p w14:paraId="16EE4E02">
            <w:pPr>
              <w:topLinePunct/>
            </w:pPr>
          </w:p>
        </w:tc>
        <w:tc>
          <w:tcPr>
            <w:tcW w:w="709" w:type="dxa"/>
          </w:tcPr>
          <w:p w14:paraId="3EFD6CE9">
            <w:pPr>
              <w:topLinePunct/>
            </w:pPr>
          </w:p>
        </w:tc>
        <w:tc>
          <w:tcPr>
            <w:tcW w:w="992" w:type="dxa"/>
          </w:tcPr>
          <w:p w14:paraId="3CBBAE00">
            <w:pPr>
              <w:topLinePunct/>
            </w:pPr>
          </w:p>
        </w:tc>
        <w:tc>
          <w:tcPr>
            <w:tcW w:w="1336" w:type="dxa"/>
          </w:tcPr>
          <w:p w14:paraId="7F14BBDD">
            <w:pPr>
              <w:topLinePunct/>
            </w:pPr>
          </w:p>
        </w:tc>
        <w:tc>
          <w:tcPr>
            <w:tcW w:w="1336" w:type="dxa"/>
          </w:tcPr>
          <w:p w14:paraId="35EEFB60">
            <w:pPr>
              <w:topLinePunct/>
            </w:pPr>
          </w:p>
        </w:tc>
        <w:tc>
          <w:tcPr>
            <w:tcW w:w="1336" w:type="dxa"/>
          </w:tcPr>
          <w:p w14:paraId="32DCD21B">
            <w:pPr>
              <w:topLinePunct/>
            </w:pPr>
          </w:p>
        </w:tc>
        <w:tc>
          <w:tcPr>
            <w:tcW w:w="641" w:type="dxa"/>
          </w:tcPr>
          <w:p w14:paraId="6675D061">
            <w:pPr>
              <w:topLinePunct/>
            </w:pPr>
          </w:p>
        </w:tc>
      </w:tr>
      <w:tr w14:paraId="08602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0" w:type="dxa"/>
          </w:tcPr>
          <w:p w14:paraId="15487751">
            <w:pPr>
              <w:topLinePunct/>
            </w:pPr>
          </w:p>
        </w:tc>
        <w:tc>
          <w:tcPr>
            <w:tcW w:w="1539" w:type="dxa"/>
          </w:tcPr>
          <w:p w14:paraId="0E9E6EAD">
            <w:pPr>
              <w:topLinePunct/>
            </w:pPr>
          </w:p>
        </w:tc>
        <w:tc>
          <w:tcPr>
            <w:tcW w:w="851" w:type="dxa"/>
          </w:tcPr>
          <w:p w14:paraId="710992F5">
            <w:pPr>
              <w:topLinePunct/>
            </w:pPr>
          </w:p>
        </w:tc>
        <w:tc>
          <w:tcPr>
            <w:tcW w:w="709" w:type="dxa"/>
          </w:tcPr>
          <w:p w14:paraId="093616A2">
            <w:pPr>
              <w:topLinePunct/>
            </w:pPr>
          </w:p>
        </w:tc>
        <w:tc>
          <w:tcPr>
            <w:tcW w:w="992" w:type="dxa"/>
          </w:tcPr>
          <w:p w14:paraId="4A182880">
            <w:pPr>
              <w:topLinePunct/>
            </w:pPr>
          </w:p>
        </w:tc>
        <w:tc>
          <w:tcPr>
            <w:tcW w:w="1336" w:type="dxa"/>
          </w:tcPr>
          <w:p w14:paraId="0B43A05A">
            <w:pPr>
              <w:topLinePunct/>
            </w:pPr>
          </w:p>
        </w:tc>
        <w:tc>
          <w:tcPr>
            <w:tcW w:w="1336" w:type="dxa"/>
          </w:tcPr>
          <w:p w14:paraId="69F83737">
            <w:pPr>
              <w:topLinePunct/>
            </w:pPr>
          </w:p>
        </w:tc>
        <w:tc>
          <w:tcPr>
            <w:tcW w:w="1336" w:type="dxa"/>
          </w:tcPr>
          <w:p w14:paraId="648A714D">
            <w:pPr>
              <w:topLinePunct/>
            </w:pPr>
          </w:p>
        </w:tc>
        <w:tc>
          <w:tcPr>
            <w:tcW w:w="641" w:type="dxa"/>
          </w:tcPr>
          <w:p w14:paraId="09A1FBB3">
            <w:pPr>
              <w:topLinePunct/>
            </w:pPr>
          </w:p>
        </w:tc>
      </w:tr>
      <w:tr w14:paraId="62F9D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840" w:type="dxa"/>
          </w:tcPr>
          <w:p w14:paraId="473376FD">
            <w:pPr>
              <w:topLinePunct/>
            </w:pPr>
          </w:p>
        </w:tc>
        <w:tc>
          <w:tcPr>
            <w:tcW w:w="1539" w:type="dxa"/>
          </w:tcPr>
          <w:p w14:paraId="413B3A65">
            <w:pPr>
              <w:topLinePunct/>
            </w:pPr>
          </w:p>
        </w:tc>
        <w:tc>
          <w:tcPr>
            <w:tcW w:w="851" w:type="dxa"/>
          </w:tcPr>
          <w:p w14:paraId="67E873C0">
            <w:pPr>
              <w:topLinePunct/>
            </w:pPr>
          </w:p>
        </w:tc>
        <w:tc>
          <w:tcPr>
            <w:tcW w:w="709" w:type="dxa"/>
          </w:tcPr>
          <w:p w14:paraId="26B35993">
            <w:pPr>
              <w:topLinePunct/>
            </w:pPr>
          </w:p>
        </w:tc>
        <w:tc>
          <w:tcPr>
            <w:tcW w:w="992" w:type="dxa"/>
          </w:tcPr>
          <w:p w14:paraId="338A2EF8">
            <w:pPr>
              <w:topLinePunct/>
            </w:pPr>
          </w:p>
        </w:tc>
        <w:tc>
          <w:tcPr>
            <w:tcW w:w="1336" w:type="dxa"/>
          </w:tcPr>
          <w:p w14:paraId="69F9C975">
            <w:pPr>
              <w:topLinePunct/>
            </w:pPr>
          </w:p>
        </w:tc>
        <w:tc>
          <w:tcPr>
            <w:tcW w:w="1336" w:type="dxa"/>
          </w:tcPr>
          <w:p w14:paraId="239CB325">
            <w:pPr>
              <w:topLinePunct/>
            </w:pPr>
          </w:p>
        </w:tc>
        <w:tc>
          <w:tcPr>
            <w:tcW w:w="1336" w:type="dxa"/>
          </w:tcPr>
          <w:p w14:paraId="5737FA2B">
            <w:pPr>
              <w:topLinePunct/>
            </w:pPr>
          </w:p>
        </w:tc>
        <w:tc>
          <w:tcPr>
            <w:tcW w:w="641" w:type="dxa"/>
          </w:tcPr>
          <w:p w14:paraId="6216B33C">
            <w:pPr>
              <w:topLinePunct/>
            </w:pPr>
          </w:p>
        </w:tc>
      </w:tr>
    </w:tbl>
    <w:p w14:paraId="75B35A09">
      <w:pPr>
        <w:spacing w:line="360" w:lineRule="auto"/>
        <w:rPr>
          <w:rFonts w:ascii="宋体" w:hAnsi="宋体" w:eastAsia="宋体"/>
          <w:sz w:val="28"/>
          <w:szCs w:val="28"/>
        </w:rPr>
      </w:pPr>
    </w:p>
    <w:p w14:paraId="36A95C79">
      <w:pPr>
        <w:widowControl/>
        <w:jc w:val="left"/>
        <w:rPr>
          <w:rFonts w:ascii="宋体" w:hAnsi="宋体" w:eastAsia="宋体"/>
          <w:sz w:val="28"/>
          <w:szCs w:val="28"/>
        </w:rPr>
      </w:pPr>
      <w:r>
        <w:rPr>
          <w:rFonts w:ascii="宋体" w:hAnsi="宋体" w:eastAsia="宋体"/>
          <w:sz w:val="28"/>
          <w:szCs w:val="28"/>
        </w:rPr>
        <w:br w:type="page"/>
      </w:r>
    </w:p>
    <w:p w14:paraId="5784822A">
      <w:pPr>
        <w:pStyle w:val="2"/>
        <w:kinsoku/>
        <w:topLinePunct/>
        <w:autoSpaceDE/>
        <w:autoSpaceDN/>
        <w:spacing w:before="25" w:line="360" w:lineRule="auto"/>
        <w:jc w:val="center"/>
        <w:outlineLvl w:val="2"/>
        <w:rPr>
          <w:rFonts w:hint="default"/>
        </w:rPr>
      </w:pPr>
      <w:bookmarkStart w:id="189" w:name="_Toc199944434"/>
      <w:r>
        <w:rPr>
          <w:spacing w:val="9"/>
          <w14:textOutline w14:w="5791" w14:cap="sq" w14:cmpd="sng" w14:algn="ctr">
            <w14:solidFill>
              <w14:srgbClr w14:val="000000"/>
            </w14:solidFill>
            <w14:prstDash w14:val="solid"/>
            <w14:bevel/>
          </w14:textOutline>
        </w:rPr>
        <w:t>（七）主要人员简历表</w:t>
      </w:r>
      <w:bookmarkEnd w:id="189"/>
    </w:p>
    <w:p w14:paraId="6DFED718">
      <w:pPr>
        <w:pStyle w:val="2"/>
        <w:kinsoku/>
        <w:topLinePunct/>
        <w:autoSpaceDE/>
        <w:autoSpaceDN/>
        <w:spacing w:before="25" w:line="360" w:lineRule="auto"/>
        <w:jc w:val="center"/>
        <w:rPr>
          <w:rFonts w:hint="default"/>
        </w:rPr>
      </w:pPr>
      <w:r>
        <w:rPr>
          <w:spacing w:val="8"/>
          <w14:textOutline w14:w="5791" w14:cap="sq" w14:cmpd="sng" w14:algn="ctr">
            <w14:solidFill>
              <w14:srgbClr w14:val="000000"/>
            </w14:solidFill>
            <w14:prstDash w14:val="solid"/>
            <w14:bevel/>
          </w14:textOutline>
        </w:rPr>
        <w:t>1、主要人员简历表</w:t>
      </w:r>
    </w:p>
    <w:tbl>
      <w:tblPr>
        <w:tblStyle w:val="15"/>
        <w:tblW w:w="9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64"/>
        <w:gridCol w:w="355"/>
        <w:gridCol w:w="1624"/>
        <w:gridCol w:w="1079"/>
        <w:gridCol w:w="160"/>
        <w:gridCol w:w="1279"/>
        <w:gridCol w:w="846"/>
        <w:gridCol w:w="1306"/>
        <w:gridCol w:w="110"/>
        <w:gridCol w:w="1510"/>
      </w:tblGrid>
      <w:tr w14:paraId="1CF0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3" w:hRule="atLeast"/>
          <w:jc w:val="center"/>
        </w:trPr>
        <w:tc>
          <w:tcPr>
            <w:tcW w:w="1619" w:type="dxa"/>
            <w:gridSpan w:val="2"/>
          </w:tcPr>
          <w:p w14:paraId="59B344E0">
            <w:pPr>
              <w:pStyle w:val="24"/>
              <w:kinsoku/>
              <w:topLinePunct/>
              <w:autoSpaceDE/>
              <w:autoSpaceDN/>
              <w:spacing w:before="197" w:line="219" w:lineRule="auto"/>
              <w:ind w:left="455"/>
              <w:rPr>
                <w:rFonts w:hint="default"/>
              </w:rPr>
            </w:pPr>
            <w:r>
              <w:rPr>
                <w:spacing w:val="-5"/>
              </w:rPr>
              <w:t>姓名</w:t>
            </w:r>
          </w:p>
        </w:tc>
        <w:tc>
          <w:tcPr>
            <w:tcW w:w="1624" w:type="dxa"/>
          </w:tcPr>
          <w:p w14:paraId="71278E9E">
            <w:pPr>
              <w:topLinePunct/>
            </w:pPr>
          </w:p>
        </w:tc>
        <w:tc>
          <w:tcPr>
            <w:tcW w:w="1079" w:type="dxa"/>
          </w:tcPr>
          <w:p w14:paraId="737FB35D">
            <w:pPr>
              <w:pStyle w:val="24"/>
              <w:kinsoku/>
              <w:topLinePunct/>
              <w:autoSpaceDE/>
              <w:autoSpaceDN/>
              <w:spacing w:before="197" w:line="219" w:lineRule="auto"/>
              <w:ind w:left="247"/>
              <w:rPr>
                <w:rFonts w:hint="default"/>
              </w:rPr>
            </w:pPr>
            <w:r>
              <w:rPr>
                <w:spacing w:val="-6"/>
              </w:rPr>
              <w:t>年龄</w:t>
            </w:r>
          </w:p>
        </w:tc>
        <w:tc>
          <w:tcPr>
            <w:tcW w:w="1439" w:type="dxa"/>
            <w:gridSpan w:val="2"/>
          </w:tcPr>
          <w:p w14:paraId="44042F88">
            <w:pPr>
              <w:topLinePunct/>
            </w:pPr>
          </w:p>
        </w:tc>
        <w:tc>
          <w:tcPr>
            <w:tcW w:w="2152" w:type="dxa"/>
            <w:gridSpan w:val="2"/>
          </w:tcPr>
          <w:p w14:paraId="23E310E3">
            <w:pPr>
              <w:pStyle w:val="24"/>
              <w:kinsoku/>
              <w:topLinePunct/>
              <w:autoSpaceDE/>
              <w:autoSpaceDN/>
              <w:spacing w:before="40" w:line="224" w:lineRule="auto"/>
              <w:ind w:left="124" w:right="113" w:hanging="1"/>
              <w:rPr>
                <w:rFonts w:hint="default"/>
              </w:rPr>
            </w:pPr>
            <w:r>
              <w:rPr>
                <w:spacing w:val="-2"/>
              </w:rPr>
              <w:t>执业资格证书（或上岗证书）名称）</w:t>
            </w:r>
          </w:p>
        </w:tc>
        <w:tc>
          <w:tcPr>
            <w:tcW w:w="1620" w:type="dxa"/>
            <w:gridSpan w:val="2"/>
          </w:tcPr>
          <w:p w14:paraId="4FEA79F5">
            <w:pPr>
              <w:topLinePunct/>
            </w:pPr>
          </w:p>
        </w:tc>
      </w:tr>
      <w:tr w14:paraId="29E32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4" w:hRule="atLeast"/>
          <w:jc w:val="center"/>
        </w:trPr>
        <w:tc>
          <w:tcPr>
            <w:tcW w:w="1619" w:type="dxa"/>
            <w:gridSpan w:val="2"/>
          </w:tcPr>
          <w:p w14:paraId="7DC4931C">
            <w:pPr>
              <w:pStyle w:val="24"/>
              <w:kinsoku/>
              <w:topLinePunct/>
              <w:autoSpaceDE/>
              <w:autoSpaceDN/>
              <w:spacing w:before="152" w:line="221" w:lineRule="auto"/>
              <w:ind w:left="456"/>
              <w:rPr>
                <w:rFonts w:hint="default"/>
              </w:rPr>
            </w:pPr>
            <w:r>
              <w:rPr>
                <w:spacing w:val="-6"/>
              </w:rPr>
              <w:t>职称</w:t>
            </w:r>
          </w:p>
        </w:tc>
        <w:tc>
          <w:tcPr>
            <w:tcW w:w="1624" w:type="dxa"/>
          </w:tcPr>
          <w:p w14:paraId="0F1936C7">
            <w:pPr>
              <w:topLinePunct/>
            </w:pPr>
          </w:p>
        </w:tc>
        <w:tc>
          <w:tcPr>
            <w:tcW w:w="1079" w:type="dxa"/>
          </w:tcPr>
          <w:p w14:paraId="3FBF8142">
            <w:pPr>
              <w:pStyle w:val="24"/>
              <w:kinsoku/>
              <w:topLinePunct/>
              <w:autoSpaceDE/>
              <w:autoSpaceDN/>
              <w:spacing w:before="151" w:line="221" w:lineRule="auto"/>
              <w:ind w:left="310"/>
              <w:rPr>
                <w:rFonts w:hint="default"/>
              </w:rPr>
            </w:pPr>
            <w:r>
              <w:rPr>
                <w:spacing w:val="-8"/>
              </w:rPr>
              <w:t>学历</w:t>
            </w:r>
          </w:p>
        </w:tc>
        <w:tc>
          <w:tcPr>
            <w:tcW w:w="1439" w:type="dxa"/>
            <w:gridSpan w:val="2"/>
          </w:tcPr>
          <w:p w14:paraId="205934FE">
            <w:pPr>
              <w:topLinePunct/>
            </w:pPr>
          </w:p>
        </w:tc>
        <w:tc>
          <w:tcPr>
            <w:tcW w:w="2152" w:type="dxa"/>
            <w:gridSpan w:val="2"/>
          </w:tcPr>
          <w:p w14:paraId="35BA98F5">
            <w:pPr>
              <w:pStyle w:val="24"/>
              <w:kinsoku/>
              <w:topLinePunct/>
              <w:autoSpaceDE/>
              <w:autoSpaceDN/>
              <w:spacing w:before="151" w:line="219" w:lineRule="auto"/>
              <w:ind w:left="243"/>
              <w:rPr>
                <w:rFonts w:hint="default"/>
              </w:rPr>
            </w:pPr>
            <w:r>
              <w:rPr>
                <w:spacing w:val="-2"/>
              </w:rPr>
              <w:t>拟在本项目任职</w:t>
            </w:r>
          </w:p>
        </w:tc>
        <w:tc>
          <w:tcPr>
            <w:tcW w:w="1620" w:type="dxa"/>
            <w:gridSpan w:val="2"/>
          </w:tcPr>
          <w:p w14:paraId="5B1C3504">
            <w:pPr>
              <w:topLinePunct/>
            </w:pPr>
          </w:p>
        </w:tc>
      </w:tr>
      <w:tr w14:paraId="7BDFF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4" w:hRule="atLeast"/>
          <w:jc w:val="center"/>
        </w:trPr>
        <w:tc>
          <w:tcPr>
            <w:tcW w:w="1619" w:type="dxa"/>
            <w:gridSpan w:val="2"/>
          </w:tcPr>
          <w:p w14:paraId="2AD81A14">
            <w:pPr>
              <w:pStyle w:val="24"/>
              <w:kinsoku/>
              <w:topLinePunct/>
              <w:autoSpaceDE/>
              <w:autoSpaceDN/>
              <w:spacing w:before="152" w:line="219" w:lineRule="auto"/>
              <w:ind w:left="338"/>
              <w:rPr>
                <w:rFonts w:hint="default"/>
              </w:rPr>
            </w:pPr>
            <w:r>
              <w:rPr>
                <w:spacing w:val="-4"/>
              </w:rPr>
              <w:t>工作年限</w:t>
            </w:r>
          </w:p>
        </w:tc>
        <w:tc>
          <w:tcPr>
            <w:tcW w:w="4142" w:type="dxa"/>
            <w:gridSpan w:val="4"/>
          </w:tcPr>
          <w:p w14:paraId="11AB1700">
            <w:pPr>
              <w:topLinePunct/>
            </w:pPr>
          </w:p>
        </w:tc>
        <w:tc>
          <w:tcPr>
            <w:tcW w:w="2152" w:type="dxa"/>
            <w:gridSpan w:val="2"/>
          </w:tcPr>
          <w:p w14:paraId="088CD49C">
            <w:pPr>
              <w:pStyle w:val="24"/>
              <w:kinsoku/>
              <w:topLinePunct/>
              <w:autoSpaceDE/>
              <w:autoSpaceDN/>
              <w:spacing w:before="152" w:line="219" w:lineRule="auto"/>
              <w:ind w:left="366"/>
              <w:rPr>
                <w:rFonts w:hint="default"/>
              </w:rPr>
            </w:pPr>
            <w:r>
              <w:rPr>
                <w:spacing w:val="-3"/>
              </w:rPr>
              <w:t>从事工作年限</w:t>
            </w:r>
          </w:p>
        </w:tc>
        <w:tc>
          <w:tcPr>
            <w:tcW w:w="1620" w:type="dxa"/>
            <w:gridSpan w:val="2"/>
          </w:tcPr>
          <w:p w14:paraId="265DF7BF">
            <w:pPr>
              <w:topLinePunct/>
            </w:pPr>
          </w:p>
        </w:tc>
      </w:tr>
      <w:tr w14:paraId="52B29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4" w:hRule="atLeast"/>
          <w:jc w:val="center"/>
        </w:trPr>
        <w:tc>
          <w:tcPr>
            <w:tcW w:w="1619" w:type="dxa"/>
            <w:gridSpan w:val="2"/>
          </w:tcPr>
          <w:p w14:paraId="54F4F28F">
            <w:pPr>
              <w:pStyle w:val="24"/>
              <w:kinsoku/>
              <w:topLinePunct/>
              <w:autoSpaceDE/>
              <w:autoSpaceDN/>
              <w:spacing w:before="153" w:line="219" w:lineRule="auto"/>
              <w:ind w:left="340"/>
              <w:rPr>
                <w:rFonts w:hint="default"/>
              </w:rPr>
            </w:pPr>
            <w:r>
              <w:rPr>
                <w:spacing w:val="-4"/>
              </w:rPr>
              <w:t>毕业学校</w:t>
            </w:r>
          </w:p>
        </w:tc>
        <w:tc>
          <w:tcPr>
            <w:tcW w:w="7914" w:type="dxa"/>
            <w:gridSpan w:val="8"/>
          </w:tcPr>
          <w:p w14:paraId="7B84AF02">
            <w:pPr>
              <w:pStyle w:val="24"/>
              <w:kinsoku/>
              <w:topLinePunct/>
              <w:autoSpaceDE/>
              <w:autoSpaceDN/>
              <w:spacing w:before="153" w:line="219" w:lineRule="auto"/>
              <w:ind w:left="1443"/>
              <w:rPr>
                <w:rFonts w:hint="default"/>
              </w:rPr>
            </w:pPr>
            <w:r>
              <w:rPr>
                <w:spacing w:val="-5"/>
              </w:rPr>
              <w:t>年毕业于学校专业</w:t>
            </w:r>
          </w:p>
        </w:tc>
      </w:tr>
      <w:tr w14:paraId="7AC5B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9533" w:type="dxa"/>
            <w:gridSpan w:val="10"/>
          </w:tcPr>
          <w:p w14:paraId="2C3866C1">
            <w:pPr>
              <w:pStyle w:val="24"/>
              <w:kinsoku/>
              <w:topLinePunct/>
              <w:autoSpaceDE/>
              <w:autoSpaceDN/>
              <w:spacing w:before="155" w:line="220" w:lineRule="auto"/>
              <w:ind w:left="4055"/>
              <w:rPr>
                <w:rFonts w:hint="default"/>
              </w:rPr>
            </w:pPr>
            <w:r>
              <w:rPr>
                <w:spacing w:val="-2"/>
              </w:rPr>
              <w:t>主要工作经历</w:t>
            </w:r>
          </w:p>
        </w:tc>
      </w:tr>
      <w:tr w14:paraId="3227E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8" w:hRule="atLeast"/>
          <w:jc w:val="center"/>
        </w:trPr>
        <w:tc>
          <w:tcPr>
            <w:tcW w:w="1264" w:type="dxa"/>
          </w:tcPr>
          <w:p w14:paraId="1F4BB526">
            <w:pPr>
              <w:pStyle w:val="24"/>
              <w:kinsoku/>
              <w:topLinePunct/>
              <w:autoSpaceDE/>
              <w:autoSpaceDN/>
              <w:spacing w:before="196" w:line="221" w:lineRule="auto"/>
              <w:ind w:left="409"/>
              <w:rPr>
                <w:rFonts w:hint="default"/>
              </w:rPr>
            </w:pPr>
            <w:r>
              <w:rPr>
                <w:spacing w:val="-11"/>
              </w:rPr>
              <w:t>时间</w:t>
            </w:r>
          </w:p>
        </w:tc>
        <w:tc>
          <w:tcPr>
            <w:tcW w:w="3218" w:type="dxa"/>
            <w:gridSpan w:val="4"/>
          </w:tcPr>
          <w:p w14:paraId="736BC2F9">
            <w:pPr>
              <w:pStyle w:val="24"/>
              <w:kinsoku/>
              <w:topLinePunct/>
              <w:autoSpaceDE/>
              <w:autoSpaceDN/>
              <w:spacing w:before="196" w:line="219" w:lineRule="auto"/>
              <w:ind w:left="657"/>
              <w:rPr>
                <w:rFonts w:hint="default"/>
              </w:rPr>
            </w:pPr>
            <w:r>
              <w:rPr>
                <w:spacing w:val="-2"/>
              </w:rPr>
              <w:t>参加过的类似项目</w:t>
            </w:r>
          </w:p>
        </w:tc>
        <w:tc>
          <w:tcPr>
            <w:tcW w:w="2125" w:type="dxa"/>
            <w:gridSpan w:val="2"/>
          </w:tcPr>
          <w:p w14:paraId="0F13D4B9">
            <w:pPr>
              <w:pStyle w:val="24"/>
              <w:kinsoku/>
              <w:topLinePunct/>
              <w:autoSpaceDE/>
              <w:autoSpaceDN/>
              <w:spacing w:before="196" w:line="219" w:lineRule="auto"/>
              <w:ind w:left="592"/>
              <w:rPr>
                <w:rFonts w:hint="default"/>
              </w:rPr>
            </w:pPr>
            <w:r>
              <w:rPr>
                <w:spacing w:val="-3"/>
              </w:rPr>
              <w:t>担任职务</w:t>
            </w:r>
          </w:p>
        </w:tc>
        <w:tc>
          <w:tcPr>
            <w:tcW w:w="1416" w:type="dxa"/>
            <w:gridSpan w:val="2"/>
          </w:tcPr>
          <w:p w14:paraId="66EDA66E">
            <w:pPr>
              <w:pStyle w:val="24"/>
              <w:kinsoku/>
              <w:topLinePunct/>
              <w:autoSpaceDE/>
              <w:autoSpaceDN/>
              <w:spacing w:before="40" w:line="222" w:lineRule="auto"/>
              <w:ind w:left="358" w:right="105" w:hanging="240"/>
              <w:rPr>
                <w:rFonts w:hint="default"/>
              </w:rPr>
            </w:pPr>
            <w:r>
              <w:rPr>
                <w:spacing w:val="-3"/>
              </w:rPr>
              <w:t>发包人及联</w:t>
            </w:r>
            <w:r>
              <w:rPr>
                <w:spacing w:val="-5"/>
              </w:rPr>
              <w:t>系电话</w:t>
            </w:r>
          </w:p>
        </w:tc>
        <w:tc>
          <w:tcPr>
            <w:tcW w:w="1510" w:type="dxa"/>
          </w:tcPr>
          <w:p w14:paraId="1EB5A670">
            <w:pPr>
              <w:pStyle w:val="24"/>
              <w:kinsoku/>
              <w:topLinePunct/>
              <w:autoSpaceDE/>
              <w:autoSpaceDN/>
              <w:spacing w:before="40" w:line="222" w:lineRule="auto"/>
              <w:ind w:left="402" w:right="151" w:hanging="240"/>
              <w:rPr>
                <w:rFonts w:hint="default"/>
              </w:rPr>
            </w:pPr>
            <w:r>
              <w:rPr>
                <w:spacing w:val="-2"/>
              </w:rPr>
              <w:t>类似业绩查</w:t>
            </w:r>
            <w:r>
              <w:rPr>
                <w:spacing w:val="-4"/>
              </w:rPr>
              <w:t>询网址</w:t>
            </w:r>
          </w:p>
        </w:tc>
      </w:tr>
      <w:tr w14:paraId="5F84F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6E091B02">
            <w:pPr>
              <w:topLinePunct/>
            </w:pPr>
          </w:p>
        </w:tc>
        <w:tc>
          <w:tcPr>
            <w:tcW w:w="3218" w:type="dxa"/>
            <w:gridSpan w:val="4"/>
          </w:tcPr>
          <w:p w14:paraId="45439966">
            <w:pPr>
              <w:topLinePunct/>
            </w:pPr>
          </w:p>
        </w:tc>
        <w:tc>
          <w:tcPr>
            <w:tcW w:w="2125" w:type="dxa"/>
            <w:gridSpan w:val="2"/>
          </w:tcPr>
          <w:p w14:paraId="52FCB5AD">
            <w:pPr>
              <w:topLinePunct/>
            </w:pPr>
          </w:p>
        </w:tc>
        <w:tc>
          <w:tcPr>
            <w:tcW w:w="1416" w:type="dxa"/>
            <w:gridSpan w:val="2"/>
          </w:tcPr>
          <w:p w14:paraId="64DE539E">
            <w:pPr>
              <w:topLinePunct/>
            </w:pPr>
          </w:p>
        </w:tc>
        <w:tc>
          <w:tcPr>
            <w:tcW w:w="1510" w:type="dxa"/>
          </w:tcPr>
          <w:p w14:paraId="61DE6ACF">
            <w:pPr>
              <w:topLinePunct/>
            </w:pPr>
          </w:p>
        </w:tc>
      </w:tr>
      <w:tr w14:paraId="44D7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435C2D68">
            <w:pPr>
              <w:topLinePunct/>
            </w:pPr>
          </w:p>
        </w:tc>
        <w:tc>
          <w:tcPr>
            <w:tcW w:w="3218" w:type="dxa"/>
            <w:gridSpan w:val="4"/>
          </w:tcPr>
          <w:p w14:paraId="32082C0D">
            <w:pPr>
              <w:topLinePunct/>
            </w:pPr>
          </w:p>
        </w:tc>
        <w:tc>
          <w:tcPr>
            <w:tcW w:w="2125" w:type="dxa"/>
            <w:gridSpan w:val="2"/>
          </w:tcPr>
          <w:p w14:paraId="6D13C613">
            <w:pPr>
              <w:topLinePunct/>
            </w:pPr>
          </w:p>
        </w:tc>
        <w:tc>
          <w:tcPr>
            <w:tcW w:w="1416" w:type="dxa"/>
            <w:gridSpan w:val="2"/>
          </w:tcPr>
          <w:p w14:paraId="64E4B855">
            <w:pPr>
              <w:topLinePunct/>
            </w:pPr>
          </w:p>
        </w:tc>
        <w:tc>
          <w:tcPr>
            <w:tcW w:w="1510" w:type="dxa"/>
          </w:tcPr>
          <w:p w14:paraId="00881896">
            <w:pPr>
              <w:topLinePunct/>
            </w:pPr>
          </w:p>
        </w:tc>
      </w:tr>
      <w:tr w14:paraId="38CA7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53ACC06E">
            <w:pPr>
              <w:topLinePunct/>
            </w:pPr>
          </w:p>
        </w:tc>
        <w:tc>
          <w:tcPr>
            <w:tcW w:w="3218" w:type="dxa"/>
            <w:gridSpan w:val="4"/>
          </w:tcPr>
          <w:p w14:paraId="09801F8E">
            <w:pPr>
              <w:topLinePunct/>
            </w:pPr>
          </w:p>
        </w:tc>
        <w:tc>
          <w:tcPr>
            <w:tcW w:w="2125" w:type="dxa"/>
            <w:gridSpan w:val="2"/>
          </w:tcPr>
          <w:p w14:paraId="73B1A11A">
            <w:pPr>
              <w:topLinePunct/>
            </w:pPr>
          </w:p>
        </w:tc>
        <w:tc>
          <w:tcPr>
            <w:tcW w:w="1416" w:type="dxa"/>
            <w:gridSpan w:val="2"/>
          </w:tcPr>
          <w:p w14:paraId="78C07AB4">
            <w:pPr>
              <w:topLinePunct/>
            </w:pPr>
          </w:p>
        </w:tc>
        <w:tc>
          <w:tcPr>
            <w:tcW w:w="1510" w:type="dxa"/>
          </w:tcPr>
          <w:p w14:paraId="0D7AE1DE">
            <w:pPr>
              <w:topLinePunct/>
            </w:pPr>
          </w:p>
        </w:tc>
      </w:tr>
      <w:tr w14:paraId="3BF44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0CD71B3D">
            <w:pPr>
              <w:topLinePunct/>
            </w:pPr>
          </w:p>
        </w:tc>
        <w:tc>
          <w:tcPr>
            <w:tcW w:w="3218" w:type="dxa"/>
            <w:gridSpan w:val="4"/>
          </w:tcPr>
          <w:p w14:paraId="354C3E23">
            <w:pPr>
              <w:topLinePunct/>
            </w:pPr>
          </w:p>
        </w:tc>
        <w:tc>
          <w:tcPr>
            <w:tcW w:w="2125" w:type="dxa"/>
            <w:gridSpan w:val="2"/>
          </w:tcPr>
          <w:p w14:paraId="4CB58B98">
            <w:pPr>
              <w:topLinePunct/>
            </w:pPr>
          </w:p>
        </w:tc>
        <w:tc>
          <w:tcPr>
            <w:tcW w:w="1416" w:type="dxa"/>
            <w:gridSpan w:val="2"/>
          </w:tcPr>
          <w:p w14:paraId="730B8C90">
            <w:pPr>
              <w:topLinePunct/>
            </w:pPr>
          </w:p>
        </w:tc>
        <w:tc>
          <w:tcPr>
            <w:tcW w:w="1510" w:type="dxa"/>
          </w:tcPr>
          <w:p w14:paraId="1CE3CE55">
            <w:pPr>
              <w:topLinePunct/>
            </w:pPr>
          </w:p>
        </w:tc>
      </w:tr>
      <w:tr w14:paraId="6F919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0BDCC092">
            <w:pPr>
              <w:topLinePunct/>
            </w:pPr>
          </w:p>
        </w:tc>
        <w:tc>
          <w:tcPr>
            <w:tcW w:w="3218" w:type="dxa"/>
            <w:gridSpan w:val="4"/>
          </w:tcPr>
          <w:p w14:paraId="271A706B">
            <w:pPr>
              <w:topLinePunct/>
            </w:pPr>
          </w:p>
        </w:tc>
        <w:tc>
          <w:tcPr>
            <w:tcW w:w="2125" w:type="dxa"/>
            <w:gridSpan w:val="2"/>
          </w:tcPr>
          <w:p w14:paraId="3B8F2BC6">
            <w:pPr>
              <w:topLinePunct/>
            </w:pPr>
          </w:p>
        </w:tc>
        <w:tc>
          <w:tcPr>
            <w:tcW w:w="1416" w:type="dxa"/>
            <w:gridSpan w:val="2"/>
          </w:tcPr>
          <w:p w14:paraId="33F867FC">
            <w:pPr>
              <w:topLinePunct/>
            </w:pPr>
          </w:p>
        </w:tc>
        <w:tc>
          <w:tcPr>
            <w:tcW w:w="1510" w:type="dxa"/>
          </w:tcPr>
          <w:p w14:paraId="190C64B6">
            <w:pPr>
              <w:topLinePunct/>
            </w:pPr>
          </w:p>
        </w:tc>
      </w:tr>
      <w:tr w14:paraId="13337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20CCAF37">
            <w:pPr>
              <w:topLinePunct/>
            </w:pPr>
          </w:p>
        </w:tc>
        <w:tc>
          <w:tcPr>
            <w:tcW w:w="3218" w:type="dxa"/>
            <w:gridSpan w:val="4"/>
          </w:tcPr>
          <w:p w14:paraId="568C51E1">
            <w:pPr>
              <w:topLinePunct/>
            </w:pPr>
          </w:p>
        </w:tc>
        <w:tc>
          <w:tcPr>
            <w:tcW w:w="2125" w:type="dxa"/>
            <w:gridSpan w:val="2"/>
          </w:tcPr>
          <w:p w14:paraId="18836664">
            <w:pPr>
              <w:topLinePunct/>
            </w:pPr>
          </w:p>
        </w:tc>
        <w:tc>
          <w:tcPr>
            <w:tcW w:w="1416" w:type="dxa"/>
            <w:gridSpan w:val="2"/>
          </w:tcPr>
          <w:p w14:paraId="748AC4BE">
            <w:pPr>
              <w:topLinePunct/>
            </w:pPr>
          </w:p>
        </w:tc>
        <w:tc>
          <w:tcPr>
            <w:tcW w:w="1510" w:type="dxa"/>
          </w:tcPr>
          <w:p w14:paraId="61951E31">
            <w:pPr>
              <w:topLinePunct/>
            </w:pPr>
          </w:p>
        </w:tc>
      </w:tr>
      <w:tr w14:paraId="00A3A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48E72A0E">
            <w:pPr>
              <w:topLinePunct/>
            </w:pPr>
          </w:p>
        </w:tc>
        <w:tc>
          <w:tcPr>
            <w:tcW w:w="3218" w:type="dxa"/>
            <w:gridSpan w:val="4"/>
          </w:tcPr>
          <w:p w14:paraId="50BDC642">
            <w:pPr>
              <w:topLinePunct/>
            </w:pPr>
          </w:p>
        </w:tc>
        <w:tc>
          <w:tcPr>
            <w:tcW w:w="2125" w:type="dxa"/>
            <w:gridSpan w:val="2"/>
          </w:tcPr>
          <w:p w14:paraId="0BE4D4B9">
            <w:pPr>
              <w:topLinePunct/>
            </w:pPr>
          </w:p>
        </w:tc>
        <w:tc>
          <w:tcPr>
            <w:tcW w:w="1416" w:type="dxa"/>
            <w:gridSpan w:val="2"/>
          </w:tcPr>
          <w:p w14:paraId="12E04297">
            <w:pPr>
              <w:topLinePunct/>
            </w:pPr>
          </w:p>
        </w:tc>
        <w:tc>
          <w:tcPr>
            <w:tcW w:w="1510" w:type="dxa"/>
          </w:tcPr>
          <w:p w14:paraId="2815470B">
            <w:pPr>
              <w:topLinePunct/>
            </w:pPr>
          </w:p>
        </w:tc>
      </w:tr>
      <w:tr w14:paraId="3673C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4517E591">
            <w:pPr>
              <w:topLinePunct/>
            </w:pPr>
          </w:p>
        </w:tc>
        <w:tc>
          <w:tcPr>
            <w:tcW w:w="3218" w:type="dxa"/>
            <w:gridSpan w:val="4"/>
          </w:tcPr>
          <w:p w14:paraId="579C12E4">
            <w:pPr>
              <w:topLinePunct/>
            </w:pPr>
          </w:p>
        </w:tc>
        <w:tc>
          <w:tcPr>
            <w:tcW w:w="2125" w:type="dxa"/>
            <w:gridSpan w:val="2"/>
          </w:tcPr>
          <w:p w14:paraId="7392F0BD">
            <w:pPr>
              <w:topLinePunct/>
            </w:pPr>
          </w:p>
        </w:tc>
        <w:tc>
          <w:tcPr>
            <w:tcW w:w="1416" w:type="dxa"/>
            <w:gridSpan w:val="2"/>
          </w:tcPr>
          <w:p w14:paraId="7A2600FC">
            <w:pPr>
              <w:topLinePunct/>
            </w:pPr>
          </w:p>
        </w:tc>
        <w:tc>
          <w:tcPr>
            <w:tcW w:w="1510" w:type="dxa"/>
          </w:tcPr>
          <w:p w14:paraId="548358BC">
            <w:pPr>
              <w:topLinePunct/>
            </w:pPr>
          </w:p>
        </w:tc>
      </w:tr>
      <w:tr w14:paraId="6CA5A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jc w:val="center"/>
        </w:trPr>
        <w:tc>
          <w:tcPr>
            <w:tcW w:w="1264" w:type="dxa"/>
          </w:tcPr>
          <w:p w14:paraId="705956EA">
            <w:pPr>
              <w:topLinePunct/>
            </w:pPr>
          </w:p>
        </w:tc>
        <w:tc>
          <w:tcPr>
            <w:tcW w:w="3218" w:type="dxa"/>
            <w:gridSpan w:val="4"/>
          </w:tcPr>
          <w:p w14:paraId="2E644C56">
            <w:pPr>
              <w:topLinePunct/>
            </w:pPr>
          </w:p>
        </w:tc>
        <w:tc>
          <w:tcPr>
            <w:tcW w:w="2125" w:type="dxa"/>
            <w:gridSpan w:val="2"/>
          </w:tcPr>
          <w:p w14:paraId="30EA1752">
            <w:pPr>
              <w:topLinePunct/>
            </w:pPr>
          </w:p>
        </w:tc>
        <w:tc>
          <w:tcPr>
            <w:tcW w:w="1416" w:type="dxa"/>
            <w:gridSpan w:val="2"/>
          </w:tcPr>
          <w:p w14:paraId="02E8E137">
            <w:pPr>
              <w:topLinePunct/>
            </w:pPr>
          </w:p>
        </w:tc>
        <w:tc>
          <w:tcPr>
            <w:tcW w:w="1510" w:type="dxa"/>
          </w:tcPr>
          <w:p w14:paraId="166F8D50">
            <w:pPr>
              <w:topLinePunct/>
            </w:pPr>
          </w:p>
        </w:tc>
      </w:tr>
      <w:tr w14:paraId="6E22F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9" w:hRule="atLeast"/>
          <w:jc w:val="center"/>
        </w:trPr>
        <w:tc>
          <w:tcPr>
            <w:tcW w:w="1264" w:type="dxa"/>
          </w:tcPr>
          <w:p w14:paraId="50F456A3">
            <w:pPr>
              <w:topLinePunct/>
            </w:pPr>
          </w:p>
        </w:tc>
        <w:tc>
          <w:tcPr>
            <w:tcW w:w="3218" w:type="dxa"/>
            <w:gridSpan w:val="4"/>
          </w:tcPr>
          <w:p w14:paraId="7F10489C">
            <w:pPr>
              <w:topLinePunct/>
            </w:pPr>
          </w:p>
        </w:tc>
        <w:tc>
          <w:tcPr>
            <w:tcW w:w="2125" w:type="dxa"/>
            <w:gridSpan w:val="2"/>
          </w:tcPr>
          <w:p w14:paraId="1CB10DAC">
            <w:pPr>
              <w:topLinePunct/>
            </w:pPr>
          </w:p>
        </w:tc>
        <w:tc>
          <w:tcPr>
            <w:tcW w:w="1416" w:type="dxa"/>
            <w:gridSpan w:val="2"/>
          </w:tcPr>
          <w:p w14:paraId="1A8329A2">
            <w:pPr>
              <w:topLinePunct/>
            </w:pPr>
          </w:p>
        </w:tc>
        <w:tc>
          <w:tcPr>
            <w:tcW w:w="1510" w:type="dxa"/>
          </w:tcPr>
          <w:p w14:paraId="6AFF8693">
            <w:pPr>
              <w:topLinePunct/>
            </w:pPr>
          </w:p>
        </w:tc>
      </w:tr>
    </w:tbl>
    <w:p w14:paraId="56A240B9">
      <w:pPr>
        <w:spacing w:line="360" w:lineRule="auto"/>
      </w:pPr>
      <w:r>
        <w:rPr>
          <w:rFonts w:hint="eastAsia" w:asciiTheme="minorEastAsia" w:hAnsiTheme="minorEastAsia"/>
        </w:rPr>
        <w:t>注：供应商应根据供应商须知及评审办法的要求在本表后附相关证明材料</w:t>
      </w:r>
      <w:r>
        <w:rPr>
          <w:rFonts w:hint="eastAsia"/>
        </w:rPr>
        <w:t>。</w:t>
      </w:r>
    </w:p>
    <w:p w14:paraId="38168242">
      <w:pPr>
        <w:widowControl/>
        <w:jc w:val="left"/>
      </w:pPr>
      <w:r>
        <w:br w:type="page"/>
      </w:r>
    </w:p>
    <w:p w14:paraId="4174072D">
      <w:pPr>
        <w:pStyle w:val="2"/>
        <w:kinsoku/>
        <w:topLinePunct/>
        <w:autoSpaceDE/>
        <w:autoSpaceDN/>
        <w:spacing w:before="25" w:line="360" w:lineRule="auto"/>
        <w:jc w:val="center"/>
        <w:outlineLvl w:val="2"/>
        <w:rPr>
          <w:rFonts w:hint="default"/>
          <w:spacing w:val="9"/>
          <w14:textOutline w14:w="5791" w14:cap="sq" w14:cmpd="sng" w14:algn="ctr">
            <w14:solidFill>
              <w14:srgbClr w14:val="000000"/>
            </w14:solidFill>
            <w14:prstDash w14:val="solid"/>
            <w14:bevel/>
          </w14:textOutline>
        </w:rPr>
      </w:pPr>
      <w:bookmarkStart w:id="190" w:name="_Toc5710"/>
      <w:bookmarkStart w:id="191" w:name="_Toc199944435"/>
      <w:r>
        <w:rPr>
          <w:spacing w:val="9"/>
          <w14:textOutline w14:w="5791" w14:cap="sq" w14:cmpd="sng" w14:algn="ctr">
            <w14:solidFill>
              <w14:srgbClr w14:val="000000"/>
            </w14:solidFill>
            <w14:prstDash w14:val="solid"/>
            <w14:bevel/>
          </w14:textOutline>
        </w:rPr>
        <w:t>（八）拟投入本项目的主要设备表</w:t>
      </w:r>
      <w:bookmarkEnd w:id="190"/>
      <w:bookmarkEnd w:id="191"/>
    </w:p>
    <w:tbl>
      <w:tblPr>
        <w:tblStyle w:val="15"/>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1"/>
        <w:gridCol w:w="1397"/>
        <w:gridCol w:w="1274"/>
        <w:gridCol w:w="851"/>
        <w:gridCol w:w="1275"/>
        <w:gridCol w:w="1416"/>
        <w:gridCol w:w="992"/>
        <w:gridCol w:w="1534"/>
      </w:tblGrid>
      <w:tr w14:paraId="0A70C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5" w:hRule="atLeast"/>
          <w:jc w:val="center"/>
        </w:trPr>
        <w:tc>
          <w:tcPr>
            <w:tcW w:w="841" w:type="dxa"/>
            <w:vAlign w:val="center"/>
          </w:tcPr>
          <w:p w14:paraId="6C2BCCD6">
            <w:pPr>
              <w:pStyle w:val="24"/>
              <w:kinsoku/>
              <w:topLinePunct/>
              <w:autoSpaceDE/>
              <w:autoSpaceDN/>
              <w:spacing w:line="221" w:lineRule="auto"/>
              <w:jc w:val="center"/>
              <w:rPr>
                <w:rFonts w:hint="default"/>
              </w:rPr>
            </w:pPr>
            <w:r>
              <w:rPr>
                <w:spacing w:val="-5"/>
              </w:rPr>
              <w:t>序号</w:t>
            </w:r>
          </w:p>
        </w:tc>
        <w:tc>
          <w:tcPr>
            <w:tcW w:w="1397" w:type="dxa"/>
            <w:vAlign w:val="center"/>
          </w:tcPr>
          <w:p w14:paraId="55688F9F">
            <w:pPr>
              <w:pStyle w:val="24"/>
              <w:kinsoku/>
              <w:topLinePunct/>
              <w:autoSpaceDE/>
              <w:autoSpaceDN/>
              <w:spacing w:line="221" w:lineRule="auto"/>
              <w:jc w:val="center"/>
              <w:rPr>
                <w:rFonts w:hint="default"/>
              </w:rPr>
            </w:pPr>
            <w:r>
              <w:rPr>
                <w:spacing w:val="-4"/>
              </w:rPr>
              <w:t>设备名称</w:t>
            </w:r>
          </w:p>
        </w:tc>
        <w:tc>
          <w:tcPr>
            <w:tcW w:w="1274" w:type="dxa"/>
            <w:vAlign w:val="center"/>
          </w:tcPr>
          <w:p w14:paraId="5AF6F36A">
            <w:pPr>
              <w:pStyle w:val="24"/>
              <w:kinsoku/>
              <w:topLinePunct/>
              <w:autoSpaceDE/>
              <w:autoSpaceDN/>
              <w:spacing w:line="219" w:lineRule="auto"/>
              <w:jc w:val="center"/>
              <w:rPr>
                <w:rFonts w:hint="default"/>
              </w:rPr>
            </w:pPr>
            <w:r>
              <w:rPr>
                <w:spacing w:val="-5"/>
              </w:rPr>
              <w:t>型号规格</w:t>
            </w:r>
          </w:p>
        </w:tc>
        <w:tc>
          <w:tcPr>
            <w:tcW w:w="851" w:type="dxa"/>
            <w:vAlign w:val="center"/>
          </w:tcPr>
          <w:p w14:paraId="29DA2889">
            <w:pPr>
              <w:pStyle w:val="24"/>
              <w:kinsoku/>
              <w:topLinePunct/>
              <w:autoSpaceDE/>
              <w:autoSpaceDN/>
              <w:spacing w:line="220" w:lineRule="auto"/>
              <w:jc w:val="center"/>
              <w:rPr>
                <w:rFonts w:hint="default"/>
              </w:rPr>
            </w:pPr>
            <w:r>
              <w:rPr>
                <w:spacing w:val="-6"/>
              </w:rPr>
              <w:t>单位</w:t>
            </w:r>
          </w:p>
        </w:tc>
        <w:tc>
          <w:tcPr>
            <w:tcW w:w="1275" w:type="dxa"/>
            <w:vAlign w:val="center"/>
          </w:tcPr>
          <w:p w14:paraId="6ECA012F">
            <w:pPr>
              <w:pStyle w:val="24"/>
              <w:kinsoku/>
              <w:topLinePunct/>
              <w:autoSpaceDE/>
              <w:autoSpaceDN/>
              <w:spacing w:line="219" w:lineRule="auto"/>
              <w:jc w:val="center"/>
              <w:rPr>
                <w:rFonts w:hint="default"/>
              </w:rPr>
            </w:pPr>
            <w:r>
              <w:rPr>
                <w:spacing w:val="-6"/>
              </w:rPr>
              <w:t>数量</w:t>
            </w:r>
          </w:p>
        </w:tc>
        <w:tc>
          <w:tcPr>
            <w:tcW w:w="1416" w:type="dxa"/>
            <w:vAlign w:val="center"/>
          </w:tcPr>
          <w:p w14:paraId="715D99CF">
            <w:pPr>
              <w:pStyle w:val="24"/>
              <w:kinsoku/>
              <w:topLinePunct/>
              <w:autoSpaceDE/>
              <w:autoSpaceDN/>
              <w:spacing w:line="219" w:lineRule="auto"/>
              <w:jc w:val="center"/>
              <w:rPr>
                <w:rFonts w:hint="default"/>
              </w:rPr>
            </w:pPr>
            <w:r>
              <w:rPr>
                <w:spacing w:val="-3"/>
              </w:rPr>
              <w:t>制造年份</w:t>
            </w:r>
          </w:p>
        </w:tc>
        <w:tc>
          <w:tcPr>
            <w:tcW w:w="992" w:type="dxa"/>
            <w:vAlign w:val="center"/>
          </w:tcPr>
          <w:p w14:paraId="35E4F58E">
            <w:pPr>
              <w:pStyle w:val="24"/>
              <w:kinsoku/>
              <w:topLinePunct/>
              <w:autoSpaceDE/>
              <w:autoSpaceDN/>
              <w:spacing w:line="378" w:lineRule="exact"/>
              <w:jc w:val="center"/>
              <w:rPr>
                <w:rFonts w:hint="default"/>
              </w:rPr>
            </w:pPr>
            <w:r>
              <w:t>用途</w:t>
            </w:r>
          </w:p>
        </w:tc>
        <w:tc>
          <w:tcPr>
            <w:tcW w:w="1534" w:type="dxa"/>
            <w:vAlign w:val="center"/>
          </w:tcPr>
          <w:p w14:paraId="209D9315">
            <w:pPr>
              <w:pStyle w:val="24"/>
              <w:kinsoku/>
              <w:topLinePunct/>
              <w:autoSpaceDE/>
              <w:autoSpaceDN/>
              <w:spacing w:line="221" w:lineRule="auto"/>
              <w:jc w:val="center"/>
              <w:rPr>
                <w:rFonts w:hint="default"/>
              </w:rPr>
            </w:pPr>
            <w:r>
              <w:rPr>
                <w:spacing w:val="-7"/>
              </w:rPr>
              <w:t>备注</w:t>
            </w:r>
          </w:p>
        </w:tc>
      </w:tr>
      <w:tr w14:paraId="3FCAA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1" w:type="dxa"/>
          </w:tcPr>
          <w:p w14:paraId="10621C6F">
            <w:pPr>
              <w:topLinePunct/>
            </w:pPr>
          </w:p>
        </w:tc>
        <w:tc>
          <w:tcPr>
            <w:tcW w:w="1397" w:type="dxa"/>
          </w:tcPr>
          <w:p w14:paraId="234233FD">
            <w:pPr>
              <w:topLinePunct/>
            </w:pPr>
          </w:p>
        </w:tc>
        <w:tc>
          <w:tcPr>
            <w:tcW w:w="1274" w:type="dxa"/>
          </w:tcPr>
          <w:p w14:paraId="76DDED17">
            <w:pPr>
              <w:topLinePunct/>
            </w:pPr>
          </w:p>
        </w:tc>
        <w:tc>
          <w:tcPr>
            <w:tcW w:w="851" w:type="dxa"/>
          </w:tcPr>
          <w:p w14:paraId="2C3F333A">
            <w:pPr>
              <w:topLinePunct/>
            </w:pPr>
          </w:p>
        </w:tc>
        <w:tc>
          <w:tcPr>
            <w:tcW w:w="1275" w:type="dxa"/>
          </w:tcPr>
          <w:p w14:paraId="0F049550">
            <w:pPr>
              <w:topLinePunct/>
            </w:pPr>
          </w:p>
        </w:tc>
        <w:tc>
          <w:tcPr>
            <w:tcW w:w="1416" w:type="dxa"/>
          </w:tcPr>
          <w:p w14:paraId="25E0820E">
            <w:pPr>
              <w:topLinePunct/>
            </w:pPr>
          </w:p>
        </w:tc>
        <w:tc>
          <w:tcPr>
            <w:tcW w:w="992" w:type="dxa"/>
          </w:tcPr>
          <w:p w14:paraId="5CD4CA0A">
            <w:pPr>
              <w:topLinePunct/>
            </w:pPr>
          </w:p>
        </w:tc>
        <w:tc>
          <w:tcPr>
            <w:tcW w:w="1534" w:type="dxa"/>
          </w:tcPr>
          <w:p w14:paraId="30207574">
            <w:pPr>
              <w:topLinePunct/>
            </w:pPr>
          </w:p>
        </w:tc>
      </w:tr>
      <w:tr w14:paraId="644FF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1" w:type="dxa"/>
          </w:tcPr>
          <w:p w14:paraId="25DFD13F">
            <w:pPr>
              <w:topLinePunct/>
            </w:pPr>
          </w:p>
        </w:tc>
        <w:tc>
          <w:tcPr>
            <w:tcW w:w="1397" w:type="dxa"/>
          </w:tcPr>
          <w:p w14:paraId="55872A85">
            <w:pPr>
              <w:topLinePunct/>
            </w:pPr>
          </w:p>
        </w:tc>
        <w:tc>
          <w:tcPr>
            <w:tcW w:w="1274" w:type="dxa"/>
          </w:tcPr>
          <w:p w14:paraId="1F817E9D">
            <w:pPr>
              <w:topLinePunct/>
            </w:pPr>
          </w:p>
        </w:tc>
        <w:tc>
          <w:tcPr>
            <w:tcW w:w="851" w:type="dxa"/>
          </w:tcPr>
          <w:p w14:paraId="7501C8DB">
            <w:pPr>
              <w:topLinePunct/>
            </w:pPr>
          </w:p>
        </w:tc>
        <w:tc>
          <w:tcPr>
            <w:tcW w:w="1275" w:type="dxa"/>
          </w:tcPr>
          <w:p w14:paraId="05540B4E">
            <w:pPr>
              <w:topLinePunct/>
            </w:pPr>
          </w:p>
        </w:tc>
        <w:tc>
          <w:tcPr>
            <w:tcW w:w="1416" w:type="dxa"/>
          </w:tcPr>
          <w:p w14:paraId="075DF4C7">
            <w:pPr>
              <w:topLinePunct/>
            </w:pPr>
          </w:p>
        </w:tc>
        <w:tc>
          <w:tcPr>
            <w:tcW w:w="992" w:type="dxa"/>
          </w:tcPr>
          <w:p w14:paraId="4EB8BCFA">
            <w:pPr>
              <w:topLinePunct/>
            </w:pPr>
          </w:p>
        </w:tc>
        <w:tc>
          <w:tcPr>
            <w:tcW w:w="1534" w:type="dxa"/>
          </w:tcPr>
          <w:p w14:paraId="5FDA3E39">
            <w:pPr>
              <w:topLinePunct/>
            </w:pPr>
          </w:p>
        </w:tc>
      </w:tr>
      <w:tr w14:paraId="7EB31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1" w:type="dxa"/>
          </w:tcPr>
          <w:p w14:paraId="3D027029">
            <w:pPr>
              <w:topLinePunct/>
            </w:pPr>
          </w:p>
        </w:tc>
        <w:tc>
          <w:tcPr>
            <w:tcW w:w="1397" w:type="dxa"/>
          </w:tcPr>
          <w:p w14:paraId="148E25E9">
            <w:pPr>
              <w:topLinePunct/>
            </w:pPr>
          </w:p>
        </w:tc>
        <w:tc>
          <w:tcPr>
            <w:tcW w:w="1274" w:type="dxa"/>
          </w:tcPr>
          <w:p w14:paraId="13775716">
            <w:pPr>
              <w:topLinePunct/>
            </w:pPr>
          </w:p>
        </w:tc>
        <w:tc>
          <w:tcPr>
            <w:tcW w:w="851" w:type="dxa"/>
          </w:tcPr>
          <w:p w14:paraId="0C431256">
            <w:pPr>
              <w:topLinePunct/>
            </w:pPr>
          </w:p>
        </w:tc>
        <w:tc>
          <w:tcPr>
            <w:tcW w:w="1275" w:type="dxa"/>
          </w:tcPr>
          <w:p w14:paraId="7859605F">
            <w:pPr>
              <w:topLinePunct/>
            </w:pPr>
          </w:p>
        </w:tc>
        <w:tc>
          <w:tcPr>
            <w:tcW w:w="1416" w:type="dxa"/>
          </w:tcPr>
          <w:p w14:paraId="6AA16385">
            <w:pPr>
              <w:topLinePunct/>
            </w:pPr>
          </w:p>
        </w:tc>
        <w:tc>
          <w:tcPr>
            <w:tcW w:w="992" w:type="dxa"/>
          </w:tcPr>
          <w:p w14:paraId="5094357D">
            <w:pPr>
              <w:topLinePunct/>
            </w:pPr>
          </w:p>
        </w:tc>
        <w:tc>
          <w:tcPr>
            <w:tcW w:w="1534" w:type="dxa"/>
          </w:tcPr>
          <w:p w14:paraId="2020F19A">
            <w:pPr>
              <w:topLinePunct/>
            </w:pPr>
          </w:p>
        </w:tc>
      </w:tr>
      <w:tr w14:paraId="7F800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3198AFA8">
            <w:pPr>
              <w:topLinePunct/>
            </w:pPr>
          </w:p>
        </w:tc>
        <w:tc>
          <w:tcPr>
            <w:tcW w:w="1397" w:type="dxa"/>
          </w:tcPr>
          <w:p w14:paraId="667CFCB7">
            <w:pPr>
              <w:topLinePunct/>
            </w:pPr>
          </w:p>
        </w:tc>
        <w:tc>
          <w:tcPr>
            <w:tcW w:w="1274" w:type="dxa"/>
          </w:tcPr>
          <w:p w14:paraId="6B62C5AC">
            <w:pPr>
              <w:topLinePunct/>
            </w:pPr>
          </w:p>
        </w:tc>
        <w:tc>
          <w:tcPr>
            <w:tcW w:w="851" w:type="dxa"/>
          </w:tcPr>
          <w:p w14:paraId="7BE69F1A">
            <w:pPr>
              <w:topLinePunct/>
            </w:pPr>
          </w:p>
        </w:tc>
        <w:tc>
          <w:tcPr>
            <w:tcW w:w="1275" w:type="dxa"/>
          </w:tcPr>
          <w:p w14:paraId="53CF6913">
            <w:pPr>
              <w:topLinePunct/>
            </w:pPr>
          </w:p>
        </w:tc>
        <w:tc>
          <w:tcPr>
            <w:tcW w:w="1416" w:type="dxa"/>
          </w:tcPr>
          <w:p w14:paraId="7892F2C8">
            <w:pPr>
              <w:topLinePunct/>
            </w:pPr>
          </w:p>
        </w:tc>
        <w:tc>
          <w:tcPr>
            <w:tcW w:w="992" w:type="dxa"/>
          </w:tcPr>
          <w:p w14:paraId="1D4D2F91">
            <w:pPr>
              <w:topLinePunct/>
            </w:pPr>
          </w:p>
        </w:tc>
        <w:tc>
          <w:tcPr>
            <w:tcW w:w="1534" w:type="dxa"/>
          </w:tcPr>
          <w:p w14:paraId="73F9D656">
            <w:pPr>
              <w:topLinePunct/>
            </w:pPr>
          </w:p>
        </w:tc>
      </w:tr>
      <w:tr w14:paraId="0BB3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736522DF">
            <w:pPr>
              <w:topLinePunct/>
            </w:pPr>
          </w:p>
        </w:tc>
        <w:tc>
          <w:tcPr>
            <w:tcW w:w="1397" w:type="dxa"/>
          </w:tcPr>
          <w:p w14:paraId="5519D6B6">
            <w:pPr>
              <w:topLinePunct/>
            </w:pPr>
          </w:p>
        </w:tc>
        <w:tc>
          <w:tcPr>
            <w:tcW w:w="1274" w:type="dxa"/>
          </w:tcPr>
          <w:p w14:paraId="749AB0C1">
            <w:pPr>
              <w:topLinePunct/>
            </w:pPr>
          </w:p>
        </w:tc>
        <w:tc>
          <w:tcPr>
            <w:tcW w:w="851" w:type="dxa"/>
          </w:tcPr>
          <w:p w14:paraId="40FC20E2">
            <w:pPr>
              <w:topLinePunct/>
            </w:pPr>
          </w:p>
        </w:tc>
        <w:tc>
          <w:tcPr>
            <w:tcW w:w="1275" w:type="dxa"/>
          </w:tcPr>
          <w:p w14:paraId="4620B468">
            <w:pPr>
              <w:topLinePunct/>
            </w:pPr>
          </w:p>
        </w:tc>
        <w:tc>
          <w:tcPr>
            <w:tcW w:w="1416" w:type="dxa"/>
          </w:tcPr>
          <w:p w14:paraId="51CD2E87">
            <w:pPr>
              <w:topLinePunct/>
            </w:pPr>
          </w:p>
        </w:tc>
        <w:tc>
          <w:tcPr>
            <w:tcW w:w="992" w:type="dxa"/>
          </w:tcPr>
          <w:p w14:paraId="19AAD5B8">
            <w:pPr>
              <w:topLinePunct/>
            </w:pPr>
          </w:p>
        </w:tc>
        <w:tc>
          <w:tcPr>
            <w:tcW w:w="1534" w:type="dxa"/>
          </w:tcPr>
          <w:p w14:paraId="113825B9">
            <w:pPr>
              <w:topLinePunct/>
            </w:pPr>
          </w:p>
        </w:tc>
      </w:tr>
      <w:tr w14:paraId="72D3D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73F33399">
            <w:pPr>
              <w:topLinePunct/>
            </w:pPr>
          </w:p>
        </w:tc>
        <w:tc>
          <w:tcPr>
            <w:tcW w:w="1397" w:type="dxa"/>
          </w:tcPr>
          <w:p w14:paraId="25701FE1">
            <w:pPr>
              <w:topLinePunct/>
            </w:pPr>
          </w:p>
        </w:tc>
        <w:tc>
          <w:tcPr>
            <w:tcW w:w="1274" w:type="dxa"/>
          </w:tcPr>
          <w:p w14:paraId="20F1FCDD">
            <w:pPr>
              <w:topLinePunct/>
            </w:pPr>
          </w:p>
        </w:tc>
        <w:tc>
          <w:tcPr>
            <w:tcW w:w="851" w:type="dxa"/>
          </w:tcPr>
          <w:p w14:paraId="37FB456D">
            <w:pPr>
              <w:topLinePunct/>
            </w:pPr>
          </w:p>
        </w:tc>
        <w:tc>
          <w:tcPr>
            <w:tcW w:w="1275" w:type="dxa"/>
          </w:tcPr>
          <w:p w14:paraId="05E872E0">
            <w:pPr>
              <w:topLinePunct/>
            </w:pPr>
          </w:p>
        </w:tc>
        <w:tc>
          <w:tcPr>
            <w:tcW w:w="1416" w:type="dxa"/>
          </w:tcPr>
          <w:p w14:paraId="2B4F27AC">
            <w:pPr>
              <w:topLinePunct/>
            </w:pPr>
          </w:p>
        </w:tc>
        <w:tc>
          <w:tcPr>
            <w:tcW w:w="992" w:type="dxa"/>
          </w:tcPr>
          <w:p w14:paraId="6A29F9A8">
            <w:pPr>
              <w:topLinePunct/>
            </w:pPr>
          </w:p>
        </w:tc>
        <w:tc>
          <w:tcPr>
            <w:tcW w:w="1534" w:type="dxa"/>
          </w:tcPr>
          <w:p w14:paraId="0607F6BB">
            <w:pPr>
              <w:topLinePunct/>
            </w:pPr>
          </w:p>
        </w:tc>
      </w:tr>
      <w:tr w14:paraId="39245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3AAF0D15">
            <w:pPr>
              <w:topLinePunct/>
            </w:pPr>
          </w:p>
        </w:tc>
        <w:tc>
          <w:tcPr>
            <w:tcW w:w="1397" w:type="dxa"/>
          </w:tcPr>
          <w:p w14:paraId="15571599">
            <w:pPr>
              <w:topLinePunct/>
            </w:pPr>
          </w:p>
        </w:tc>
        <w:tc>
          <w:tcPr>
            <w:tcW w:w="1274" w:type="dxa"/>
          </w:tcPr>
          <w:p w14:paraId="4B80B0FA">
            <w:pPr>
              <w:topLinePunct/>
            </w:pPr>
          </w:p>
        </w:tc>
        <w:tc>
          <w:tcPr>
            <w:tcW w:w="851" w:type="dxa"/>
          </w:tcPr>
          <w:p w14:paraId="46AABA2D">
            <w:pPr>
              <w:topLinePunct/>
            </w:pPr>
          </w:p>
        </w:tc>
        <w:tc>
          <w:tcPr>
            <w:tcW w:w="1275" w:type="dxa"/>
          </w:tcPr>
          <w:p w14:paraId="43ADD28F">
            <w:pPr>
              <w:topLinePunct/>
            </w:pPr>
          </w:p>
        </w:tc>
        <w:tc>
          <w:tcPr>
            <w:tcW w:w="1416" w:type="dxa"/>
          </w:tcPr>
          <w:p w14:paraId="34237BD8">
            <w:pPr>
              <w:topLinePunct/>
            </w:pPr>
          </w:p>
        </w:tc>
        <w:tc>
          <w:tcPr>
            <w:tcW w:w="992" w:type="dxa"/>
          </w:tcPr>
          <w:p w14:paraId="6B9406AD">
            <w:pPr>
              <w:topLinePunct/>
            </w:pPr>
          </w:p>
        </w:tc>
        <w:tc>
          <w:tcPr>
            <w:tcW w:w="1534" w:type="dxa"/>
          </w:tcPr>
          <w:p w14:paraId="688485C5">
            <w:pPr>
              <w:topLinePunct/>
            </w:pPr>
          </w:p>
        </w:tc>
      </w:tr>
      <w:tr w14:paraId="64E49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17968AB9">
            <w:pPr>
              <w:topLinePunct/>
            </w:pPr>
          </w:p>
        </w:tc>
        <w:tc>
          <w:tcPr>
            <w:tcW w:w="1397" w:type="dxa"/>
          </w:tcPr>
          <w:p w14:paraId="2087E1BA">
            <w:pPr>
              <w:topLinePunct/>
            </w:pPr>
          </w:p>
        </w:tc>
        <w:tc>
          <w:tcPr>
            <w:tcW w:w="1274" w:type="dxa"/>
          </w:tcPr>
          <w:p w14:paraId="10227705">
            <w:pPr>
              <w:topLinePunct/>
            </w:pPr>
          </w:p>
        </w:tc>
        <w:tc>
          <w:tcPr>
            <w:tcW w:w="851" w:type="dxa"/>
          </w:tcPr>
          <w:p w14:paraId="7D426183">
            <w:pPr>
              <w:topLinePunct/>
            </w:pPr>
          </w:p>
        </w:tc>
        <w:tc>
          <w:tcPr>
            <w:tcW w:w="1275" w:type="dxa"/>
          </w:tcPr>
          <w:p w14:paraId="02336EA5">
            <w:pPr>
              <w:topLinePunct/>
            </w:pPr>
          </w:p>
        </w:tc>
        <w:tc>
          <w:tcPr>
            <w:tcW w:w="1416" w:type="dxa"/>
          </w:tcPr>
          <w:p w14:paraId="3BA06628">
            <w:pPr>
              <w:topLinePunct/>
            </w:pPr>
          </w:p>
        </w:tc>
        <w:tc>
          <w:tcPr>
            <w:tcW w:w="992" w:type="dxa"/>
          </w:tcPr>
          <w:p w14:paraId="1BB8427D">
            <w:pPr>
              <w:topLinePunct/>
            </w:pPr>
          </w:p>
        </w:tc>
        <w:tc>
          <w:tcPr>
            <w:tcW w:w="1534" w:type="dxa"/>
          </w:tcPr>
          <w:p w14:paraId="37244283">
            <w:pPr>
              <w:topLinePunct/>
            </w:pPr>
          </w:p>
        </w:tc>
      </w:tr>
      <w:tr w14:paraId="39D63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661F0FB6">
            <w:pPr>
              <w:topLinePunct/>
            </w:pPr>
          </w:p>
        </w:tc>
        <w:tc>
          <w:tcPr>
            <w:tcW w:w="1397" w:type="dxa"/>
          </w:tcPr>
          <w:p w14:paraId="15E08BE5">
            <w:pPr>
              <w:topLinePunct/>
            </w:pPr>
          </w:p>
        </w:tc>
        <w:tc>
          <w:tcPr>
            <w:tcW w:w="1274" w:type="dxa"/>
          </w:tcPr>
          <w:p w14:paraId="6146CAD7">
            <w:pPr>
              <w:topLinePunct/>
            </w:pPr>
          </w:p>
        </w:tc>
        <w:tc>
          <w:tcPr>
            <w:tcW w:w="851" w:type="dxa"/>
          </w:tcPr>
          <w:p w14:paraId="5113B8A8">
            <w:pPr>
              <w:topLinePunct/>
            </w:pPr>
          </w:p>
        </w:tc>
        <w:tc>
          <w:tcPr>
            <w:tcW w:w="1275" w:type="dxa"/>
          </w:tcPr>
          <w:p w14:paraId="55766B29">
            <w:pPr>
              <w:topLinePunct/>
            </w:pPr>
          </w:p>
        </w:tc>
        <w:tc>
          <w:tcPr>
            <w:tcW w:w="1416" w:type="dxa"/>
          </w:tcPr>
          <w:p w14:paraId="7BDB301E">
            <w:pPr>
              <w:topLinePunct/>
            </w:pPr>
          </w:p>
        </w:tc>
        <w:tc>
          <w:tcPr>
            <w:tcW w:w="992" w:type="dxa"/>
          </w:tcPr>
          <w:p w14:paraId="7B1A7D9A">
            <w:pPr>
              <w:topLinePunct/>
            </w:pPr>
          </w:p>
        </w:tc>
        <w:tc>
          <w:tcPr>
            <w:tcW w:w="1534" w:type="dxa"/>
          </w:tcPr>
          <w:p w14:paraId="58842A1C">
            <w:pPr>
              <w:topLinePunct/>
            </w:pPr>
          </w:p>
        </w:tc>
      </w:tr>
      <w:tr w14:paraId="57AC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66DE8F47">
            <w:pPr>
              <w:topLinePunct/>
            </w:pPr>
          </w:p>
        </w:tc>
        <w:tc>
          <w:tcPr>
            <w:tcW w:w="1397" w:type="dxa"/>
          </w:tcPr>
          <w:p w14:paraId="4F8974A9">
            <w:pPr>
              <w:topLinePunct/>
            </w:pPr>
          </w:p>
        </w:tc>
        <w:tc>
          <w:tcPr>
            <w:tcW w:w="1274" w:type="dxa"/>
          </w:tcPr>
          <w:p w14:paraId="1F700E4E">
            <w:pPr>
              <w:topLinePunct/>
            </w:pPr>
          </w:p>
        </w:tc>
        <w:tc>
          <w:tcPr>
            <w:tcW w:w="851" w:type="dxa"/>
          </w:tcPr>
          <w:p w14:paraId="085D5A5E">
            <w:pPr>
              <w:topLinePunct/>
            </w:pPr>
          </w:p>
        </w:tc>
        <w:tc>
          <w:tcPr>
            <w:tcW w:w="1275" w:type="dxa"/>
          </w:tcPr>
          <w:p w14:paraId="3BC496E0">
            <w:pPr>
              <w:topLinePunct/>
            </w:pPr>
          </w:p>
        </w:tc>
        <w:tc>
          <w:tcPr>
            <w:tcW w:w="1416" w:type="dxa"/>
          </w:tcPr>
          <w:p w14:paraId="467553CF">
            <w:pPr>
              <w:topLinePunct/>
            </w:pPr>
          </w:p>
        </w:tc>
        <w:tc>
          <w:tcPr>
            <w:tcW w:w="992" w:type="dxa"/>
          </w:tcPr>
          <w:p w14:paraId="727A8EAF">
            <w:pPr>
              <w:topLinePunct/>
            </w:pPr>
          </w:p>
        </w:tc>
        <w:tc>
          <w:tcPr>
            <w:tcW w:w="1534" w:type="dxa"/>
          </w:tcPr>
          <w:p w14:paraId="3827F6B0">
            <w:pPr>
              <w:topLinePunct/>
            </w:pPr>
          </w:p>
        </w:tc>
      </w:tr>
      <w:tr w14:paraId="76BE2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1EDBE477">
            <w:pPr>
              <w:topLinePunct/>
            </w:pPr>
          </w:p>
        </w:tc>
        <w:tc>
          <w:tcPr>
            <w:tcW w:w="1397" w:type="dxa"/>
          </w:tcPr>
          <w:p w14:paraId="4A297AA5">
            <w:pPr>
              <w:topLinePunct/>
            </w:pPr>
          </w:p>
        </w:tc>
        <w:tc>
          <w:tcPr>
            <w:tcW w:w="1274" w:type="dxa"/>
          </w:tcPr>
          <w:p w14:paraId="5D5EA8CA">
            <w:pPr>
              <w:topLinePunct/>
            </w:pPr>
          </w:p>
        </w:tc>
        <w:tc>
          <w:tcPr>
            <w:tcW w:w="851" w:type="dxa"/>
          </w:tcPr>
          <w:p w14:paraId="26C99416">
            <w:pPr>
              <w:topLinePunct/>
            </w:pPr>
          </w:p>
        </w:tc>
        <w:tc>
          <w:tcPr>
            <w:tcW w:w="1275" w:type="dxa"/>
          </w:tcPr>
          <w:p w14:paraId="7B0F29DD">
            <w:pPr>
              <w:topLinePunct/>
            </w:pPr>
          </w:p>
        </w:tc>
        <w:tc>
          <w:tcPr>
            <w:tcW w:w="1416" w:type="dxa"/>
          </w:tcPr>
          <w:p w14:paraId="68CA3654">
            <w:pPr>
              <w:topLinePunct/>
            </w:pPr>
          </w:p>
        </w:tc>
        <w:tc>
          <w:tcPr>
            <w:tcW w:w="992" w:type="dxa"/>
          </w:tcPr>
          <w:p w14:paraId="02143B5D">
            <w:pPr>
              <w:topLinePunct/>
            </w:pPr>
          </w:p>
        </w:tc>
        <w:tc>
          <w:tcPr>
            <w:tcW w:w="1534" w:type="dxa"/>
          </w:tcPr>
          <w:p w14:paraId="3E10A884">
            <w:pPr>
              <w:topLinePunct/>
            </w:pPr>
          </w:p>
        </w:tc>
      </w:tr>
      <w:tr w14:paraId="36761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3DB99692">
            <w:pPr>
              <w:topLinePunct/>
            </w:pPr>
          </w:p>
        </w:tc>
        <w:tc>
          <w:tcPr>
            <w:tcW w:w="1397" w:type="dxa"/>
          </w:tcPr>
          <w:p w14:paraId="1DD4D3E2">
            <w:pPr>
              <w:topLinePunct/>
            </w:pPr>
          </w:p>
        </w:tc>
        <w:tc>
          <w:tcPr>
            <w:tcW w:w="1274" w:type="dxa"/>
          </w:tcPr>
          <w:p w14:paraId="412CFAB1">
            <w:pPr>
              <w:topLinePunct/>
            </w:pPr>
          </w:p>
        </w:tc>
        <w:tc>
          <w:tcPr>
            <w:tcW w:w="851" w:type="dxa"/>
          </w:tcPr>
          <w:p w14:paraId="7175CEEE">
            <w:pPr>
              <w:topLinePunct/>
            </w:pPr>
          </w:p>
        </w:tc>
        <w:tc>
          <w:tcPr>
            <w:tcW w:w="1275" w:type="dxa"/>
          </w:tcPr>
          <w:p w14:paraId="00B86FF5">
            <w:pPr>
              <w:topLinePunct/>
            </w:pPr>
          </w:p>
        </w:tc>
        <w:tc>
          <w:tcPr>
            <w:tcW w:w="1416" w:type="dxa"/>
          </w:tcPr>
          <w:p w14:paraId="2AB4FFE1">
            <w:pPr>
              <w:topLinePunct/>
            </w:pPr>
          </w:p>
        </w:tc>
        <w:tc>
          <w:tcPr>
            <w:tcW w:w="992" w:type="dxa"/>
          </w:tcPr>
          <w:p w14:paraId="7B49ECDF">
            <w:pPr>
              <w:topLinePunct/>
            </w:pPr>
          </w:p>
        </w:tc>
        <w:tc>
          <w:tcPr>
            <w:tcW w:w="1534" w:type="dxa"/>
          </w:tcPr>
          <w:p w14:paraId="54FD4E97">
            <w:pPr>
              <w:topLinePunct/>
            </w:pPr>
          </w:p>
        </w:tc>
      </w:tr>
      <w:tr w14:paraId="363E7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841" w:type="dxa"/>
          </w:tcPr>
          <w:p w14:paraId="7C4A076E">
            <w:pPr>
              <w:topLinePunct/>
            </w:pPr>
          </w:p>
        </w:tc>
        <w:tc>
          <w:tcPr>
            <w:tcW w:w="1397" w:type="dxa"/>
          </w:tcPr>
          <w:p w14:paraId="49E044BB">
            <w:pPr>
              <w:topLinePunct/>
            </w:pPr>
          </w:p>
        </w:tc>
        <w:tc>
          <w:tcPr>
            <w:tcW w:w="1274" w:type="dxa"/>
          </w:tcPr>
          <w:p w14:paraId="7A6E8A4F">
            <w:pPr>
              <w:topLinePunct/>
            </w:pPr>
          </w:p>
        </w:tc>
        <w:tc>
          <w:tcPr>
            <w:tcW w:w="851" w:type="dxa"/>
          </w:tcPr>
          <w:p w14:paraId="5D21A372">
            <w:pPr>
              <w:topLinePunct/>
            </w:pPr>
          </w:p>
        </w:tc>
        <w:tc>
          <w:tcPr>
            <w:tcW w:w="1275" w:type="dxa"/>
          </w:tcPr>
          <w:p w14:paraId="792C2267">
            <w:pPr>
              <w:topLinePunct/>
            </w:pPr>
          </w:p>
        </w:tc>
        <w:tc>
          <w:tcPr>
            <w:tcW w:w="1416" w:type="dxa"/>
          </w:tcPr>
          <w:p w14:paraId="255EE359">
            <w:pPr>
              <w:topLinePunct/>
            </w:pPr>
          </w:p>
        </w:tc>
        <w:tc>
          <w:tcPr>
            <w:tcW w:w="992" w:type="dxa"/>
          </w:tcPr>
          <w:p w14:paraId="26F1BCDB">
            <w:pPr>
              <w:topLinePunct/>
            </w:pPr>
          </w:p>
        </w:tc>
        <w:tc>
          <w:tcPr>
            <w:tcW w:w="1534" w:type="dxa"/>
          </w:tcPr>
          <w:p w14:paraId="44DCFE6D">
            <w:pPr>
              <w:topLinePunct/>
            </w:pPr>
          </w:p>
        </w:tc>
      </w:tr>
      <w:tr w14:paraId="5FD82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0" w:hRule="atLeast"/>
          <w:jc w:val="center"/>
        </w:trPr>
        <w:tc>
          <w:tcPr>
            <w:tcW w:w="841" w:type="dxa"/>
          </w:tcPr>
          <w:p w14:paraId="0CF4C14A">
            <w:pPr>
              <w:topLinePunct/>
            </w:pPr>
          </w:p>
        </w:tc>
        <w:tc>
          <w:tcPr>
            <w:tcW w:w="1397" w:type="dxa"/>
          </w:tcPr>
          <w:p w14:paraId="3C84942B">
            <w:pPr>
              <w:topLinePunct/>
            </w:pPr>
          </w:p>
        </w:tc>
        <w:tc>
          <w:tcPr>
            <w:tcW w:w="1274" w:type="dxa"/>
          </w:tcPr>
          <w:p w14:paraId="181BD396">
            <w:pPr>
              <w:topLinePunct/>
            </w:pPr>
          </w:p>
        </w:tc>
        <w:tc>
          <w:tcPr>
            <w:tcW w:w="851" w:type="dxa"/>
          </w:tcPr>
          <w:p w14:paraId="02E5CEF9">
            <w:pPr>
              <w:topLinePunct/>
            </w:pPr>
          </w:p>
        </w:tc>
        <w:tc>
          <w:tcPr>
            <w:tcW w:w="1275" w:type="dxa"/>
          </w:tcPr>
          <w:p w14:paraId="6903A779">
            <w:pPr>
              <w:topLinePunct/>
            </w:pPr>
          </w:p>
        </w:tc>
        <w:tc>
          <w:tcPr>
            <w:tcW w:w="1416" w:type="dxa"/>
          </w:tcPr>
          <w:p w14:paraId="2477AB44">
            <w:pPr>
              <w:topLinePunct/>
            </w:pPr>
          </w:p>
        </w:tc>
        <w:tc>
          <w:tcPr>
            <w:tcW w:w="992" w:type="dxa"/>
          </w:tcPr>
          <w:p w14:paraId="02F9CEAD">
            <w:pPr>
              <w:topLinePunct/>
            </w:pPr>
          </w:p>
        </w:tc>
        <w:tc>
          <w:tcPr>
            <w:tcW w:w="1534" w:type="dxa"/>
          </w:tcPr>
          <w:p w14:paraId="7E53827F">
            <w:pPr>
              <w:topLinePunct/>
            </w:pPr>
          </w:p>
        </w:tc>
      </w:tr>
      <w:tr w14:paraId="21CCC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841" w:type="dxa"/>
          </w:tcPr>
          <w:p w14:paraId="3A2271C4">
            <w:pPr>
              <w:topLinePunct/>
            </w:pPr>
          </w:p>
        </w:tc>
        <w:tc>
          <w:tcPr>
            <w:tcW w:w="1397" w:type="dxa"/>
          </w:tcPr>
          <w:p w14:paraId="1D56E09D">
            <w:pPr>
              <w:topLinePunct/>
            </w:pPr>
          </w:p>
        </w:tc>
        <w:tc>
          <w:tcPr>
            <w:tcW w:w="1274" w:type="dxa"/>
          </w:tcPr>
          <w:p w14:paraId="5099DCC6">
            <w:pPr>
              <w:topLinePunct/>
            </w:pPr>
          </w:p>
        </w:tc>
        <w:tc>
          <w:tcPr>
            <w:tcW w:w="851" w:type="dxa"/>
          </w:tcPr>
          <w:p w14:paraId="6E2CEB16">
            <w:pPr>
              <w:topLinePunct/>
            </w:pPr>
          </w:p>
        </w:tc>
        <w:tc>
          <w:tcPr>
            <w:tcW w:w="1275" w:type="dxa"/>
          </w:tcPr>
          <w:p w14:paraId="4CFD205A">
            <w:pPr>
              <w:topLinePunct/>
            </w:pPr>
          </w:p>
        </w:tc>
        <w:tc>
          <w:tcPr>
            <w:tcW w:w="1416" w:type="dxa"/>
          </w:tcPr>
          <w:p w14:paraId="2CB737F0">
            <w:pPr>
              <w:topLinePunct/>
            </w:pPr>
          </w:p>
        </w:tc>
        <w:tc>
          <w:tcPr>
            <w:tcW w:w="992" w:type="dxa"/>
          </w:tcPr>
          <w:p w14:paraId="2B196310">
            <w:pPr>
              <w:topLinePunct/>
            </w:pPr>
          </w:p>
        </w:tc>
        <w:tc>
          <w:tcPr>
            <w:tcW w:w="1534" w:type="dxa"/>
          </w:tcPr>
          <w:p w14:paraId="05E92B32">
            <w:pPr>
              <w:topLinePunct/>
            </w:pPr>
          </w:p>
        </w:tc>
      </w:tr>
    </w:tbl>
    <w:p w14:paraId="2CEFF2D7">
      <w:pPr>
        <w:spacing w:line="360" w:lineRule="auto"/>
        <w:rPr>
          <w:rFonts w:ascii="宋体" w:hAnsi="宋体" w:eastAsia="宋体"/>
          <w:sz w:val="28"/>
          <w:szCs w:val="28"/>
        </w:rPr>
      </w:pPr>
    </w:p>
    <w:p w14:paraId="75064D6A">
      <w:pPr>
        <w:widowControl/>
        <w:jc w:val="left"/>
        <w:rPr>
          <w:rFonts w:ascii="宋体" w:hAnsi="宋体" w:eastAsia="宋体"/>
          <w:sz w:val="28"/>
          <w:szCs w:val="28"/>
        </w:rPr>
      </w:pPr>
      <w:r>
        <w:rPr>
          <w:rFonts w:ascii="宋体" w:hAnsi="宋体" w:eastAsia="宋体"/>
          <w:sz w:val="28"/>
          <w:szCs w:val="28"/>
        </w:rPr>
        <w:br w:type="page"/>
      </w:r>
    </w:p>
    <w:p w14:paraId="0FBF91CB">
      <w:pPr>
        <w:pStyle w:val="2"/>
        <w:kinsoku/>
        <w:topLinePunct/>
        <w:autoSpaceDE/>
        <w:autoSpaceDN/>
        <w:spacing w:before="101" w:line="210" w:lineRule="auto"/>
        <w:jc w:val="center"/>
        <w:outlineLvl w:val="2"/>
        <w:rPr>
          <w:rFonts w:hint="default"/>
          <w:spacing w:val="9"/>
          <w14:textOutline w14:w="5791" w14:cap="sq" w14:cmpd="sng" w14:algn="ctr">
            <w14:solidFill>
              <w14:srgbClr w14:val="000000"/>
            </w14:solidFill>
            <w14:prstDash w14:val="solid"/>
            <w14:bevel/>
          </w14:textOutline>
        </w:rPr>
      </w:pPr>
      <w:bookmarkStart w:id="192" w:name="_Toc199944436"/>
      <w:r>
        <w:rPr>
          <w:spacing w:val="9"/>
          <w14:textOutline w14:w="5791" w14:cap="sq" w14:cmpd="sng" w14:algn="ctr">
            <w14:solidFill>
              <w14:srgbClr w14:val="000000"/>
            </w14:solidFill>
            <w14:prstDash w14:val="solid"/>
            <w14:bevel/>
          </w14:textOutline>
        </w:rPr>
        <w:t>（九）中小企业声明函</w:t>
      </w:r>
      <w:bookmarkEnd w:id="192"/>
    </w:p>
    <w:p w14:paraId="610A7CE0">
      <w:pPr>
        <w:pStyle w:val="14"/>
        <w:kinsoku/>
        <w:topLinePunct/>
        <w:autoSpaceDE/>
        <w:autoSpaceDN/>
        <w:ind w:left="420" w:firstLine="480"/>
        <w:rPr>
          <w:rFonts w:hint="default"/>
        </w:rPr>
      </w:pPr>
    </w:p>
    <w:p w14:paraId="7C4E06F4">
      <w:pPr>
        <w:topLinePunct/>
        <w:spacing w:line="360" w:lineRule="auto"/>
        <w:ind w:firstLine="480" w:firstLineChars="200"/>
        <w:rPr>
          <w:rFonts w:ascii="宋体" w:hAnsi="宋体" w:cs="宋体"/>
          <w:sz w:val="24"/>
          <w:lang w:bidi="ar"/>
        </w:rPr>
      </w:pPr>
      <w:r>
        <w:rPr>
          <w:rFonts w:hint="eastAsia" w:ascii="宋体" w:hAnsi="宋体" w:cs="宋体"/>
          <w:sz w:val="24"/>
          <w:lang w:bidi="ar"/>
        </w:rPr>
        <w:t>本公司郑重声明，根据</w:t>
      </w:r>
      <w:r>
        <w:rPr>
          <w:rFonts w:hint="eastAsia" w:ascii="宋体" w:hAnsi="宋体" w:eastAsia="宋体" w:cs="宋体"/>
          <w:sz w:val="24"/>
          <w:lang w:val="zh-CN"/>
        </w:rPr>
        <w:t>关于进一步加大政府采购支持中小企业力度的通知财库〔2022〕19号、</w:t>
      </w:r>
      <w:r>
        <w:rPr>
          <w:rFonts w:hint="eastAsia" w:ascii="宋体" w:hAnsi="宋体" w:cs="宋体"/>
          <w:sz w:val="24"/>
          <w:lang w:bidi="ar"/>
        </w:rPr>
        <w:t>《政府采购促进中小企业发展管理办法》（财库﹝2020﹞46号）的规定，本公司</w:t>
      </w:r>
      <w:r>
        <w:rPr>
          <w:rFonts w:hint="eastAsia" w:ascii="宋体" w:hAnsi="宋体" w:cs="宋体"/>
          <w:sz w:val="24"/>
          <w:u w:val="single"/>
          <w:lang w:bidi="ar"/>
        </w:rPr>
        <w:t xml:space="preserve">                 </w:t>
      </w:r>
      <w:r>
        <w:rPr>
          <w:rFonts w:hint="eastAsia" w:ascii="宋体" w:hAnsi="宋体" w:cs="宋体"/>
          <w:sz w:val="24"/>
          <w:lang w:bidi="ar"/>
        </w:rPr>
        <w:t>参加</w:t>
      </w:r>
      <w:r>
        <w:rPr>
          <w:rFonts w:hint="eastAsia" w:ascii="宋体" w:hAnsi="宋体" w:cs="宋体"/>
          <w:sz w:val="24"/>
          <w:u w:val="single"/>
          <w:lang w:bidi="ar"/>
        </w:rPr>
        <w:t xml:space="preserve">                </w:t>
      </w:r>
      <w:r>
        <w:rPr>
          <w:rFonts w:hint="eastAsia" w:ascii="宋体" w:hAnsi="宋体" w:cs="宋体"/>
          <w:sz w:val="24"/>
          <w:lang w:bidi="ar"/>
        </w:rPr>
        <w:t>（单位名称）的</w:t>
      </w:r>
      <w:r>
        <w:rPr>
          <w:rFonts w:hint="eastAsia" w:ascii="宋体" w:hAnsi="宋体" w:cs="宋体"/>
          <w:sz w:val="24"/>
          <w:u w:val="single"/>
          <w:lang w:bidi="ar"/>
        </w:rPr>
        <w:t xml:space="preserve">               </w:t>
      </w:r>
      <w:r>
        <w:rPr>
          <w:rFonts w:hint="eastAsia" w:ascii="宋体" w:hAnsi="宋体" w:cs="宋体"/>
          <w:sz w:val="24"/>
          <w:lang w:bidi="ar"/>
        </w:rPr>
        <w:t>（项目名称）采购活动，工程的施工单位全部为符合政策要求的中小企业（或者：服务全部由符合政策要求的中小企业承接）。相关企业（含联合 体中的中小企业、签订分包意向协议的中小企业）的具体情况如下：</w:t>
      </w:r>
    </w:p>
    <w:p w14:paraId="7E3D6E18">
      <w:pPr>
        <w:tabs>
          <w:tab w:val="left" w:pos="0"/>
        </w:tabs>
        <w:topLinePunct/>
        <w:spacing w:line="360" w:lineRule="auto"/>
        <w:ind w:firstLine="480" w:firstLineChars="200"/>
        <w:rPr>
          <w:rFonts w:ascii="宋体" w:hAnsi="宋体" w:cs="宋体"/>
          <w:sz w:val="24"/>
        </w:rPr>
      </w:pPr>
      <w:r>
        <w:rPr>
          <w:rFonts w:ascii="宋体" w:hAnsi="宋体" w:cs="宋体"/>
          <w:sz w:val="24"/>
          <w:u w:val="single"/>
          <w:lang w:bidi="ar"/>
        </w:rPr>
        <w:t>1.</w:t>
      </w:r>
      <w:r>
        <w:rPr>
          <w:rFonts w:hint="eastAsia" w:ascii="宋体" w:hAnsi="宋体" w:cs="宋体"/>
          <w:sz w:val="24"/>
          <w:u w:val="single"/>
          <w:lang w:bidi="ar"/>
        </w:rPr>
        <w:t xml:space="preserve">                 </w:t>
      </w:r>
      <w:r>
        <w:rPr>
          <w:rFonts w:hint="eastAsia" w:ascii="宋体" w:hAnsi="宋体" w:cs="宋体"/>
          <w:sz w:val="24"/>
          <w:lang w:bidi="ar"/>
        </w:rPr>
        <w:t>（标的名称），属于（采购文件中明确的所属行业）；承建（承接）企业为</w:t>
      </w:r>
      <w:r>
        <w:rPr>
          <w:rFonts w:hint="eastAsia" w:ascii="宋体" w:hAnsi="宋体" w:cs="宋体"/>
          <w:sz w:val="24"/>
          <w:u w:val="single"/>
          <w:lang w:bidi="ar"/>
        </w:rPr>
        <w:t xml:space="preserve">   </w:t>
      </w:r>
      <w:r>
        <w:rPr>
          <w:rFonts w:hint="eastAsia" w:ascii="宋体" w:hAnsi="宋体" w:cs="宋体"/>
          <w:sz w:val="24"/>
          <w:lang w:bidi="ar"/>
        </w:rPr>
        <w:t>（企业名称），从业人员</w:t>
      </w:r>
      <w:r>
        <w:rPr>
          <w:rFonts w:hint="eastAsia" w:ascii="宋体" w:hAnsi="宋体" w:cs="宋体"/>
          <w:sz w:val="24"/>
          <w:u w:val="single"/>
          <w:lang w:bidi="ar"/>
        </w:rPr>
        <w:t xml:space="preserve">   人</w:t>
      </w:r>
      <w:r>
        <w:rPr>
          <w:rFonts w:hint="eastAsia" w:ascii="宋体" w:hAnsi="宋体" w:cs="宋体"/>
          <w:sz w:val="24"/>
          <w:lang w:bidi="ar"/>
        </w:rPr>
        <w:t>，营业 收入为</w:t>
      </w:r>
      <w:r>
        <w:rPr>
          <w:rFonts w:hint="eastAsia" w:ascii="宋体" w:hAnsi="宋体" w:cs="宋体"/>
          <w:sz w:val="24"/>
          <w:u w:val="single"/>
          <w:lang w:bidi="ar"/>
        </w:rPr>
        <w:t xml:space="preserve">   万元</w:t>
      </w:r>
      <w:r>
        <w:rPr>
          <w:rFonts w:hint="eastAsia" w:ascii="宋体" w:hAnsi="宋体" w:cs="宋体"/>
          <w:sz w:val="24"/>
          <w:lang w:bidi="ar"/>
        </w:rPr>
        <w:t>，资产总额为</w:t>
      </w:r>
      <w:r>
        <w:rPr>
          <w:rFonts w:hint="eastAsia" w:ascii="宋体" w:hAnsi="宋体" w:cs="宋体"/>
          <w:sz w:val="24"/>
          <w:u w:val="single"/>
          <w:lang w:bidi="ar"/>
        </w:rPr>
        <w:t xml:space="preserve">   万元</w:t>
      </w:r>
      <w:r>
        <w:rPr>
          <w:rFonts w:hint="eastAsia" w:ascii="宋体" w:hAnsi="宋体" w:cs="宋体"/>
          <w:sz w:val="24"/>
          <w:lang w:bidi="ar"/>
        </w:rPr>
        <w:t>，属于</w:t>
      </w:r>
      <w:r>
        <w:rPr>
          <w:rFonts w:hint="eastAsia" w:ascii="宋体" w:hAnsi="宋体" w:cs="宋体"/>
          <w:sz w:val="24"/>
          <w:u w:val="single"/>
          <w:lang w:bidi="ar"/>
        </w:rPr>
        <w:t xml:space="preserve">      </w:t>
      </w:r>
      <w:r>
        <w:rPr>
          <w:rFonts w:hint="eastAsia" w:ascii="宋体" w:hAnsi="宋体" w:cs="宋体"/>
          <w:sz w:val="24"/>
          <w:lang w:bidi="ar"/>
        </w:rPr>
        <w:t xml:space="preserve">（中型企业、小型企业、微型企业）； </w:t>
      </w:r>
    </w:p>
    <w:p w14:paraId="207D9B83">
      <w:pPr>
        <w:tabs>
          <w:tab w:val="left" w:pos="0"/>
        </w:tabs>
        <w:topLinePunct/>
        <w:spacing w:line="360" w:lineRule="auto"/>
        <w:ind w:firstLine="480" w:firstLineChars="200"/>
        <w:rPr>
          <w:rFonts w:ascii="宋体" w:hAnsi="宋体" w:cs="宋体"/>
          <w:sz w:val="24"/>
        </w:rPr>
      </w:pPr>
      <w:r>
        <w:rPr>
          <w:rFonts w:ascii="宋体" w:hAnsi="宋体" w:cs="宋体"/>
          <w:sz w:val="24"/>
          <w:u w:val="single"/>
          <w:lang w:bidi="ar"/>
        </w:rPr>
        <w:t>2.</w:t>
      </w:r>
      <w:r>
        <w:rPr>
          <w:rFonts w:hint="eastAsia" w:ascii="宋体" w:hAnsi="宋体" w:cs="宋体"/>
          <w:sz w:val="24"/>
          <w:u w:val="single"/>
          <w:lang w:bidi="ar"/>
        </w:rPr>
        <w:t xml:space="preserve">                 </w:t>
      </w:r>
      <w:r>
        <w:rPr>
          <w:rFonts w:hint="eastAsia" w:ascii="宋体" w:hAnsi="宋体" w:cs="宋体"/>
          <w:sz w:val="24"/>
          <w:lang w:bidi="ar"/>
        </w:rPr>
        <w:t>（标的名称），属于（采购文件中明确的所属行业）；承建（承接）企业为</w:t>
      </w:r>
      <w:r>
        <w:rPr>
          <w:rFonts w:hint="eastAsia" w:ascii="宋体" w:hAnsi="宋体" w:cs="宋体"/>
          <w:sz w:val="24"/>
          <w:u w:val="single"/>
          <w:lang w:bidi="ar"/>
        </w:rPr>
        <w:t xml:space="preserve">  </w:t>
      </w:r>
      <w:r>
        <w:rPr>
          <w:rFonts w:hint="eastAsia" w:ascii="宋体" w:hAnsi="宋体" w:cs="宋体"/>
          <w:sz w:val="24"/>
          <w:lang w:bidi="ar"/>
        </w:rPr>
        <w:t>（企业名称），从业人员</w:t>
      </w:r>
      <w:r>
        <w:rPr>
          <w:rFonts w:hint="eastAsia" w:ascii="宋体" w:hAnsi="宋体" w:cs="宋体"/>
          <w:sz w:val="24"/>
          <w:u w:val="single"/>
          <w:lang w:bidi="ar"/>
        </w:rPr>
        <w:t xml:space="preserve">   人</w:t>
      </w:r>
      <w:r>
        <w:rPr>
          <w:rFonts w:hint="eastAsia" w:ascii="宋体" w:hAnsi="宋体" w:cs="宋体"/>
          <w:sz w:val="24"/>
          <w:lang w:bidi="ar"/>
        </w:rPr>
        <w:t>，营业 收入为</w:t>
      </w:r>
      <w:r>
        <w:rPr>
          <w:rFonts w:hint="eastAsia" w:ascii="宋体" w:hAnsi="宋体" w:cs="宋体"/>
          <w:sz w:val="24"/>
          <w:u w:val="single"/>
          <w:lang w:bidi="ar"/>
        </w:rPr>
        <w:t xml:space="preserve">   万元</w:t>
      </w:r>
      <w:r>
        <w:rPr>
          <w:rFonts w:hint="eastAsia" w:ascii="宋体" w:hAnsi="宋体" w:cs="宋体"/>
          <w:sz w:val="24"/>
          <w:lang w:bidi="ar"/>
        </w:rPr>
        <w:t>，资产总额为</w:t>
      </w:r>
      <w:r>
        <w:rPr>
          <w:rFonts w:hint="eastAsia" w:ascii="宋体" w:hAnsi="宋体" w:cs="宋体"/>
          <w:sz w:val="24"/>
          <w:u w:val="single"/>
          <w:lang w:bidi="ar"/>
        </w:rPr>
        <w:t xml:space="preserve">   万元</w:t>
      </w:r>
      <w:r>
        <w:rPr>
          <w:rFonts w:hint="eastAsia" w:ascii="宋体" w:hAnsi="宋体" w:cs="宋体"/>
          <w:sz w:val="24"/>
          <w:lang w:bidi="ar"/>
        </w:rPr>
        <w:t>，属于</w:t>
      </w:r>
      <w:r>
        <w:rPr>
          <w:rFonts w:hint="eastAsia" w:ascii="宋体" w:hAnsi="宋体" w:cs="宋体"/>
          <w:sz w:val="24"/>
          <w:u w:val="single"/>
          <w:lang w:bidi="ar"/>
        </w:rPr>
        <w:t xml:space="preserve">     </w:t>
      </w:r>
      <w:r>
        <w:rPr>
          <w:rFonts w:hint="eastAsia" w:ascii="宋体" w:hAnsi="宋体" w:cs="宋体"/>
          <w:sz w:val="24"/>
          <w:lang w:bidi="ar"/>
        </w:rPr>
        <w:t xml:space="preserve">（中型企业、小型企业、微型企业）； </w:t>
      </w:r>
    </w:p>
    <w:p w14:paraId="0B3D7CA7">
      <w:pPr>
        <w:topLinePunct/>
        <w:spacing w:line="360" w:lineRule="auto"/>
        <w:ind w:firstLine="480" w:firstLineChars="200"/>
        <w:rPr>
          <w:rFonts w:ascii="宋体" w:hAnsi="宋体" w:cs="宋体"/>
          <w:sz w:val="24"/>
        </w:rPr>
      </w:pPr>
      <w:r>
        <w:rPr>
          <w:rFonts w:hint="eastAsia" w:ascii="宋体" w:hAnsi="宋体" w:cs="宋体"/>
          <w:sz w:val="24"/>
          <w:lang w:bidi="ar"/>
        </w:rPr>
        <w:t>……</w:t>
      </w:r>
    </w:p>
    <w:p w14:paraId="1B5B04E0">
      <w:pPr>
        <w:topLinePunct/>
        <w:spacing w:line="360" w:lineRule="auto"/>
        <w:ind w:firstLine="480" w:firstLineChars="200"/>
        <w:rPr>
          <w:rFonts w:ascii="宋体" w:hAnsi="宋体" w:cs="宋体"/>
          <w:sz w:val="24"/>
        </w:rPr>
      </w:pPr>
      <w:r>
        <w:rPr>
          <w:rFonts w:hint="eastAsia" w:ascii="宋体" w:hAnsi="宋体" w:cs="宋体"/>
          <w:sz w:val="24"/>
          <w:lang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2A3FE865">
      <w:pPr>
        <w:topLinePunct/>
        <w:spacing w:line="360" w:lineRule="auto"/>
        <w:ind w:firstLine="480" w:firstLineChars="200"/>
        <w:rPr>
          <w:rFonts w:ascii="宋体" w:hAnsi="宋体" w:cs="宋体"/>
          <w:sz w:val="24"/>
        </w:rPr>
      </w:pPr>
      <w:r>
        <w:rPr>
          <w:rFonts w:hint="eastAsia" w:ascii="宋体" w:hAnsi="宋体" w:cs="宋体"/>
          <w:sz w:val="24"/>
          <w:lang w:bidi="ar"/>
        </w:rPr>
        <w:t xml:space="preserve">企业名称（盖章）： </w:t>
      </w:r>
    </w:p>
    <w:p w14:paraId="2BFC4D8E">
      <w:pPr>
        <w:topLinePunct/>
        <w:spacing w:line="360" w:lineRule="auto"/>
        <w:ind w:firstLine="480" w:firstLineChars="200"/>
        <w:rPr>
          <w:rFonts w:ascii="宋体" w:hAnsi="宋体" w:cs="宋体"/>
          <w:sz w:val="24"/>
        </w:rPr>
      </w:pPr>
      <w:r>
        <w:rPr>
          <w:rFonts w:hint="eastAsia" w:ascii="宋体" w:hAnsi="宋体" w:cs="宋体"/>
          <w:sz w:val="24"/>
          <w:lang w:bidi="ar"/>
        </w:rPr>
        <w:t>日 期：</w:t>
      </w:r>
    </w:p>
    <w:p w14:paraId="29754197">
      <w:pPr>
        <w:topLinePunct/>
        <w:rPr>
          <w:rFonts w:ascii="宋体" w:hAnsi="宋体" w:eastAsia="宋体" w:cs="微软雅黑"/>
          <w:spacing w:val="8"/>
          <w14:textOutline w14:w="5791" w14:cap="sq" w14:cmpd="sng" w14:algn="ctr">
            <w14:solidFill>
              <w14:srgbClr w14:val="000000"/>
            </w14:solidFill>
            <w14:prstDash w14:val="solid"/>
            <w14:bevel/>
          </w14:textOutline>
        </w:rPr>
      </w:pPr>
      <w:r>
        <w:rPr>
          <w:rFonts w:hint="eastAsia" w:ascii="宋体" w:hAnsi="宋体" w:eastAsia="宋体" w:cs="微软雅黑"/>
          <w:spacing w:val="8"/>
          <w14:textOutline w14:w="5791" w14:cap="sq" w14:cmpd="sng" w14:algn="ctr">
            <w14:solidFill>
              <w14:srgbClr w14:val="000000"/>
            </w14:solidFill>
            <w14:prstDash w14:val="solid"/>
            <w14:bevel/>
          </w14:textOutline>
        </w:rPr>
        <w:t>注：</w:t>
      </w:r>
    </w:p>
    <w:p w14:paraId="209C7A3A">
      <w:pPr>
        <w:topLinePunct/>
        <w:rPr>
          <w:rFonts w:ascii="宋体" w:hAnsi="宋体" w:eastAsia="宋体" w:cs="微软雅黑"/>
          <w:spacing w:val="8"/>
          <w14:textOutline w14:w="5791" w14:cap="sq" w14:cmpd="sng" w14:algn="ctr">
            <w14:solidFill>
              <w14:srgbClr w14:val="000000"/>
            </w14:solidFill>
            <w14:prstDash w14:val="solid"/>
            <w14:bevel/>
          </w14:textOutline>
        </w:rPr>
      </w:pPr>
      <w:r>
        <w:rPr>
          <w:rFonts w:hint="eastAsia" w:ascii="宋体" w:hAnsi="宋体" w:eastAsia="宋体" w:cs="微软雅黑"/>
          <w:spacing w:val="8"/>
          <w14:textOutline w14:w="5791" w14:cap="sq" w14:cmpd="sng" w14:algn="ctr">
            <w14:solidFill>
              <w14:srgbClr w14:val="000000"/>
            </w14:solidFill>
            <w14:prstDash w14:val="solid"/>
            <w14:bevel/>
          </w14:textOutline>
        </w:rPr>
        <w:t>1</w:t>
      </w:r>
      <w:r>
        <w:rPr>
          <w:rFonts w:ascii="宋体" w:hAnsi="宋体" w:eastAsia="宋体" w:cs="微软雅黑"/>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填写要求：①</w:t>
      </w:r>
      <w:r>
        <w:rPr>
          <w:rFonts w:ascii="宋体" w:hAnsi="宋体" w:eastAsia="宋体"/>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标的名称</w:t>
      </w:r>
      <w:r>
        <w:rPr>
          <w:rFonts w:ascii="宋体" w:hAnsi="宋体" w:eastAsia="宋体"/>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w:t>
      </w:r>
      <w:r>
        <w:rPr>
          <w:rFonts w:ascii="宋体" w:hAnsi="宋体" w:eastAsia="宋体"/>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采购文件中明确的所属行业</w:t>
      </w:r>
      <w:r>
        <w:rPr>
          <w:rFonts w:ascii="宋体" w:hAnsi="宋体" w:eastAsia="宋体"/>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依据采购文件第二部分供应商须知前附表中1</w:t>
      </w:r>
      <w:r>
        <w:rPr>
          <w:rFonts w:ascii="宋体" w:hAnsi="宋体" w:eastAsia="宋体" w:cs="微软雅黑"/>
          <w:spacing w:val="8"/>
          <w14:textOutline w14:w="5791" w14:cap="sq" w14:cmpd="sng" w14:algn="ctr">
            <w14:solidFill>
              <w14:srgbClr w14:val="000000"/>
            </w14:solidFill>
            <w14:prstDash w14:val="solid"/>
            <w14:bevel/>
          </w14:textOutline>
        </w:rPr>
        <w:t>0.7</w:t>
      </w:r>
      <w:r>
        <w:rPr>
          <w:rFonts w:ascii="宋体" w:hAnsi="宋体" w:eastAsia="宋体"/>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中小企业划分标准所属行业</w:t>
      </w:r>
      <w:r>
        <w:rPr>
          <w:rFonts w:ascii="宋体" w:hAnsi="宋体" w:eastAsia="宋体"/>
          <w:spacing w:val="8"/>
          <w14:textOutline w14:w="5791" w14:cap="sq" w14:cmpd="sng" w14:algn="ctr">
            <w14:solidFill>
              <w14:srgbClr w14:val="000000"/>
            </w14:solidFill>
            <w14:prstDash w14:val="solid"/>
            <w14:bevel/>
          </w14:textOutline>
        </w:rPr>
        <w:t>”</w:t>
      </w:r>
      <w:r>
        <w:rPr>
          <w:rFonts w:hint="eastAsia" w:ascii="宋体" w:hAnsi="宋体" w:eastAsia="宋体" w:cs="微软雅黑"/>
          <w:spacing w:val="8"/>
          <w14:textOutline w14:w="5791" w14:cap="sq" w14:cmpd="sng" w14:algn="ctr">
            <w14:solidFill>
              <w14:srgbClr w14:val="000000"/>
            </w14:solidFill>
            <w14:prstDash w14:val="solid"/>
            <w14:bevel/>
          </w14:textOutline>
        </w:rPr>
        <w:t>的指引，逐一填写，不得缺漏；②从业人员、营业收入、资产总额填报上一年度数据，无上一年度数据的新成立企业可不填报；③中型企业、小型企业、微型企业等</w:t>
      </w:r>
      <w:r>
        <w:rPr>
          <w:rFonts w:ascii="宋体" w:hAnsi="宋体" w:eastAsia="宋体"/>
          <w:spacing w:val="8"/>
          <w14:textOutline w14:w="5791" w14:cap="sq" w14:cmpd="sng" w14:algn="ctr">
            <w14:solidFill>
              <w14:srgbClr w14:val="000000"/>
            </w14:solidFill>
            <w14:prstDash w14:val="solid"/>
            <w14:bevel/>
          </w14:textOutline>
        </w:rPr>
        <w:t>3</w:t>
      </w:r>
      <w:r>
        <w:rPr>
          <w:rFonts w:hint="eastAsia" w:ascii="宋体" w:hAnsi="宋体" w:eastAsia="宋体" w:cs="微软雅黑"/>
          <w:spacing w:val="8"/>
          <w14:textOutline w14:w="5791" w14:cap="sq" w14:cmpd="sng" w14:algn="ctr">
            <w14:solidFill>
              <w14:srgbClr w14:val="000000"/>
            </w14:solidFill>
            <w14:prstDash w14:val="solid"/>
            <w14:bevel/>
          </w14:textOutline>
        </w:rPr>
        <w:t>种企业类型，结合以上数据，依据《中小企业划型标准规定》（工信部联企业〔</w:t>
      </w:r>
      <w:r>
        <w:rPr>
          <w:rFonts w:ascii="宋体" w:hAnsi="宋体" w:eastAsia="宋体"/>
          <w:spacing w:val="8"/>
          <w14:textOutline w14:w="5791" w14:cap="sq" w14:cmpd="sng" w14:algn="ctr">
            <w14:solidFill>
              <w14:srgbClr w14:val="000000"/>
            </w14:solidFill>
            <w14:prstDash w14:val="solid"/>
            <w14:bevel/>
          </w14:textOutline>
        </w:rPr>
        <w:t>2011</w:t>
      </w:r>
      <w:r>
        <w:rPr>
          <w:rFonts w:hint="eastAsia" w:ascii="宋体" w:hAnsi="宋体" w:eastAsia="宋体" w:cs="微软雅黑"/>
          <w:spacing w:val="8"/>
          <w14:textOutline w14:w="5791" w14:cap="sq" w14:cmpd="sng" w14:algn="ctr">
            <w14:solidFill>
              <w14:srgbClr w14:val="000000"/>
            </w14:solidFill>
            <w14:prstDash w14:val="solid"/>
            <w14:bevel/>
          </w14:textOutline>
        </w:rPr>
        <w:t>〕</w:t>
      </w:r>
      <w:r>
        <w:rPr>
          <w:rFonts w:ascii="宋体" w:hAnsi="宋体" w:eastAsia="宋体"/>
          <w:spacing w:val="8"/>
          <w14:textOutline w14:w="5791" w14:cap="sq" w14:cmpd="sng" w14:algn="ctr">
            <w14:solidFill>
              <w14:srgbClr w14:val="000000"/>
            </w14:solidFill>
            <w14:prstDash w14:val="solid"/>
            <w14:bevel/>
          </w14:textOutline>
        </w:rPr>
        <w:t>300</w:t>
      </w:r>
      <w:r>
        <w:rPr>
          <w:rFonts w:hint="eastAsia" w:ascii="宋体" w:hAnsi="宋体" w:eastAsia="宋体" w:cs="微软雅黑"/>
          <w:spacing w:val="8"/>
          <w14:textOutline w14:w="5791" w14:cap="sq" w14:cmpd="sng" w14:algn="ctr">
            <w14:solidFill>
              <w14:srgbClr w14:val="000000"/>
            </w14:solidFill>
            <w14:prstDash w14:val="solid"/>
            <w14:bevel/>
          </w14:textOutline>
        </w:rPr>
        <w:t>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5474F91">
      <w:pPr>
        <w:topLinePunct/>
        <w:rPr>
          <w:rFonts w:ascii="宋体" w:hAnsi="宋体" w:eastAsia="宋体" w:cs="微软雅黑"/>
          <w:spacing w:val="8"/>
          <w14:textOutline w14:w="5791" w14:cap="sq" w14:cmpd="sng" w14:algn="ctr">
            <w14:solidFill>
              <w14:srgbClr w14:val="000000"/>
            </w14:solidFill>
            <w14:prstDash w14:val="solid"/>
            <w14:bevel/>
          </w14:textOutline>
        </w:rPr>
      </w:pPr>
      <w:r>
        <w:rPr>
          <w:rFonts w:hint="eastAsia" w:ascii="宋体" w:hAnsi="宋体" w:eastAsia="宋体" w:cs="微软雅黑"/>
          <w:spacing w:val="8"/>
          <w14:textOutline w14:w="5791" w14:cap="sq" w14:cmpd="sng" w14:algn="ctr">
            <w14:solidFill>
              <w14:srgbClr w14:val="000000"/>
            </w14:solidFill>
            <w14:prstDash w14:val="solid"/>
            <w14:bevel/>
          </w14:textOutline>
        </w:rPr>
        <w:t>2</w:t>
      </w:r>
      <w:r>
        <w:rPr>
          <w:rFonts w:ascii="宋体" w:hAnsi="宋体" w:eastAsia="宋体" w:cs="微软雅黑"/>
          <w:spacing w:val="8"/>
          <w14:textOutline w14:w="5791" w14:cap="sq" w14:cmpd="sng" w14:algn="ctr">
            <w14:solidFill>
              <w14:srgbClr w14:val="000000"/>
            </w14:solidFill>
            <w14:prstDash w14:val="solid"/>
            <w14:bevel/>
          </w14:textOutline>
        </w:rPr>
        <w:t>.</w:t>
      </w:r>
      <w:r>
        <w:rPr>
          <w:rFonts w:hint="eastAsia"/>
        </w:rPr>
        <w:t xml:space="preserve"> </w:t>
      </w:r>
      <w:r>
        <w:rPr>
          <w:rFonts w:hint="eastAsia" w:ascii="宋体" w:hAnsi="宋体" w:eastAsia="宋体" w:cs="微软雅黑"/>
          <w:spacing w:val="8"/>
          <w14:textOutline w14:w="5791" w14:cap="sq" w14:cmpd="sng" w14:algn="ctr">
            <w14:solidFill>
              <w14:srgbClr w14:val="000000"/>
            </w14:solidFill>
            <w14:prstDash w14:val="solid"/>
            <w14:bevel/>
          </w14:textOutline>
        </w:rPr>
        <w:t>符合《关于促进残疾人就业政府采购政策的通知》（财库〔</w:t>
      </w:r>
      <w:r>
        <w:rPr>
          <w:rFonts w:ascii="宋体" w:hAnsi="宋体" w:eastAsia="宋体" w:cs="微软雅黑"/>
          <w:spacing w:val="8"/>
          <w14:textOutline w14:w="5791" w14:cap="sq" w14:cmpd="sng" w14:algn="ctr">
            <w14:solidFill>
              <w14:srgbClr w14:val="000000"/>
            </w14:solidFill>
            <w14:prstDash w14:val="solid"/>
            <w14:bevel/>
          </w14:textOutline>
        </w:rPr>
        <w:t>2017</w:t>
      </w:r>
      <w:r>
        <w:rPr>
          <w:rFonts w:hint="eastAsia" w:ascii="宋体" w:hAnsi="宋体" w:eastAsia="宋体" w:cs="微软雅黑"/>
          <w:spacing w:val="8"/>
          <w14:textOutline w14:w="5791" w14:cap="sq" w14:cmpd="sng" w14:algn="ctr">
            <w14:solidFill>
              <w14:srgbClr w14:val="000000"/>
            </w14:solidFill>
            <w14:prstDash w14:val="solid"/>
            <w14:bevel/>
          </w14:textOutline>
        </w:rPr>
        <w:t>〕</w:t>
      </w:r>
      <w:r>
        <w:rPr>
          <w:rFonts w:ascii="宋体" w:hAnsi="宋体" w:eastAsia="宋体" w:cs="微软雅黑"/>
          <w:spacing w:val="8"/>
          <w14:textOutline w14:w="5791" w14:cap="sq" w14:cmpd="sng" w14:algn="ctr">
            <w14:solidFill>
              <w14:srgbClr w14:val="000000"/>
            </w14:solidFill>
            <w14:prstDash w14:val="solid"/>
            <w14:bevel/>
          </w14:textOutline>
        </w:rPr>
        <w:t>141</w:t>
      </w:r>
      <w:r>
        <w:rPr>
          <w:rFonts w:hint="eastAsia" w:ascii="宋体" w:hAnsi="宋体" w:eastAsia="宋体" w:cs="微软雅黑"/>
          <w:spacing w:val="8"/>
          <w14:textOutline w14:w="5791" w14:cap="sq" w14:cmpd="sng" w14:algn="ctr">
            <w14:solidFill>
              <w14:srgbClr w14:val="000000"/>
            </w14:solidFill>
            <w14:prstDash w14:val="solid"/>
            <w14:bevel/>
          </w14:textOutline>
        </w:rPr>
        <w:t>号）规定的条件并提供《残疾人福利性单位声明函》（附件</w:t>
      </w:r>
      <w:r>
        <w:rPr>
          <w:rFonts w:ascii="宋体" w:hAnsi="宋体" w:eastAsia="宋体" w:cs="微软雅黑"/>
          <w:spacing w:val="8"/>
          <w14:textOutline w14:w="5791" w14:cap="sq" w14:cmpd="sng" w14:algn="ctr">
            <w14:solidFill>
              <w14:srgbClr w14:val="000000"/>
            </w14:solidFill>
            <w14:prstDash w14:val="solid"/>
            <w14:bevel/>
          </w14:textOutline>
        </w:rPr>
        <w:t>1</w:t>
      </w:r>
      <w:r>
        <w:rPr>
          <w:rFonts w:hint="eastAsia" w:ascii="宋体" w:hAnsi="宋体" w:eastAsia="宋体" w:cs="微软雅黑"/>
          <w:spacing w:val="8"/>
          <w14:textOutline w14:w="5791" w14:cap="sq" w14:cmpd="sng" w14:algn="ctr">
            <w14:solidFill>
              <w14:srgbClr w14:val="000000"/>
            </w14:solidFill>
            <w14:prstDash w14:val="solid"/>
            <w14:bevel/>
          </w14:textOutline>
        </w:rPr>
        <w:t>）的残疾人福利性单位视同小型、微型企业；根据《关于政府采购支持监狱企业发展有关问题的通知》（财库</w:t>
      </w:r>
      <w:r>
        <w:rPr>
          <w:rFonts w:ascii="宋体" w:hAnsi="宋体" w:eastAsia="宋体" w:cs="微软雅黑"/>
          <w:spacing w:val="8"/>
          <w14:textOutline w14:w="5791" w14:cap="sq" w14:cmpd="sng" w14:algn="ctr">
            <w14:solidFill>
              <w14:srgbClr w14:val="000000"/>
            </w14:solidFill>
            <w14:prstDash w14:val="solid"/>
            <w14:bevel/>
          </w14:textOutline>
        </w:rPr>
        <w:t>[2014]68</w:t>
      </w:r>
      <w:r>
        <w:rPr>
          <w:rFonts w:hint="eastAsia" w:ascii="宋体" w:hAnsi="宋体" w:eastAsia="宋体" w:cs="微软雅黑"/>
          <w:spacing w:val="8"/>
          <w14:textOutline w14:w="5791" w14:cap="sq" w14:cmpd="sng" w14:algn="ctr">
            <w14:solidFill>
              <w14:srgbClr w14:val="000000"/>
            </w14:solidFill>
            <w14:prstDash w14:val="solid"/>
            <w14:bevel/>
          </w14:textOutline>
        </w:rPr>
        <w:t>号）的规定，供应商提供由省级以上监狱管理局、戒毒管理局（含新疆生产建设兵团）出具的属于监狱企业证明文件的，视同为小型和微型企业。</w:t>
      </w:r>
    </w:p>
    <w:p w14:paraId="6F1828CD">
      <w:pPr>
        <w:widowControl/>
        <w:jc w:val="left"/>
        <w:rPr>
          <w:sz w:val="20"/>
          <w:szCs w:val="20"/>
        </w:rPr>
      </w:pPr>
      <w:r>
        <w:rPr>
          <w:sz w:val="20"/>
          <w:szCs w:val="20"/>
        </w:rPr>
        <w:br w:type="page"/>
      </w:r>
    </w:p>
    <w:p w14:paraId="20924E01">
      <w:pPr>
        <w:widowControl/>
        <w:jc w:val="left"/>
        <w:rPr>
          <w:sz w:val="20"/>
          <w:szCs w:val="20"/>
        </w:rPr>
      </w:pPr>
    </w:p>
    <w:p w14:paraId="42B19B15">
      <w:pPr>
        <w:pStyle w:val="2"/>
        <w:kinsoku/>
        <w:topLinePunct/>
        <w:autoSpaceDE/>
        <w:autoSpaceDN/>
        <w:spacing w:before="64" w:line="225" w:lineRule="auto"/>
        <w:jc w:val="center"/>
        <w:outlineLvl w:val="1"/>
        <w:rPr>
          <w:rFonts w:hint="default"/>
          <w:spacing w:val="8"/>
          <w14:textOutline w14:w="5791" w14:cap="sq" w14:cmpd="sng" w14:algn="ctr">
            <w14:solidFill>
              <w14:srgbClr w14:val="000000"/>
            </w14:solidFill>
            <w14:prstDash w14:val="solid"/>
            <w14:bevel/>
          </w14:textOutline>
        </w:rPr>
      </w:pPr>
      <w:bookmarkStart w:id="193" w:name="_Toc199944437"/>
      <w:bookmarkStart w:id="194" w:name="_Toc200025599"/>
      <w:bookmarkStart w:id="195" w:name="_Toc28712"/>
      <w:r>
        <w:rPr>
          <w:spacing w:val="8"/>
          <w14:textOutline w14:w="5791" w14:cap="sq" w14:cmpd="sng" w14:algn="ctr">
            <w14:solidFill>
              <w14:srgbClr w14:val="000000"/>
            </w14:solidFill>
            <w14:prstDash w14:val="solid"/>
            <w14:bevel/>
          </w14:textOutline>
        </w:rPr>
        <w:t>六、监理大纲</w:t>
      </w:r>
      <w:bookmarkEnd w:id="193"/>
      <w:bookmarkEnd w:id="194"/>
      <w:bookmarkEnd w:id="195"/>
    </w:p>
    <w:p w14:paraId="25808D73">
      <w:pPr>
        <w:widowControl/>
        <w:spacing w:line="360" w:lineRule="auto"/>
        <w:jc w:val="left"/>
        <w:rPr>
          <w:rFonts w:ascii="宋体" w:hAnsi="宋体" w:eastAsia="宋体" w:cs="Times New Roman"/>
          <w:color w:val="000000"/>
          <w:spacing w:val="8"/>
          <w:kern w:val="0"/>
          <w:sz w:val="24"/>
          <w14:textOutline w14:w="5791" w14:cap="sq" w14:cmpd="sng" w14:algn="ctr">
            <w14:solidFill>
              <w14:srgbClr w14:val="000000"/>
            </w14:solidFill>
            <w14:prstDash w14:val="solid"/>
            <w14:bevel/>
          </w14:textOutline>
        </w:rPr>
      </w:pPr>
    </w:p>
    <w:p w14:paraId="098B2659">
      <w:pPr>
        <w:spacing w:line="360" w:lineRule="auto"/>
        <w:rPr>
          <w:rFonts w:hint="eastAsia"/>
          <w:sz w:val="24"/>
        </w:rPr>
      </w:pPr>
      <w:r>
        <w:rPr>
          <w:rFonts w:hint="eastAsia"/>
          <w:sz w:val="24"/>
        </w:rPr>
        <w:t>监理大纲应包括(但不限于)下列内容：</w:t>
      </w:r>
    </w:p>
    <w:p w14:paraId="1A2606CF">
      <w:pPr>
        <w:spacing w:line="360" w:lineRule="auto"/>
        <w:rPr>
          <w:rFonts w:hint="eastAsia"/>
          <w:sz w:val="24"/>
        </w:rPr>
      </w:pPr>
      <w:r>
        <w:rPr>
          <w:rFonts w:hint="eastAsia"/>
          <w:sz w:val="24"/>
        </w:rPr>
        <w:t>一、监理工程概况；</w:t>
      </w:r>
    </w:p>
    <w:p w14:paraId="1DF97D5C">
      <w:pPr>
        <w:spacing w:line="360" w:lineRule="auto"/>
        <w:rPr>
          <w:rFonts w:hint="eastAsia"/>
          <w:sz w:val="24"/>
        </w:rPr>
      </w:pPr>
      <w:r>
        <w:rPr>
          <w:rFonts w:hint="eastAsia"/>
          <w:sz w:val="24"/>
        </w:rPr>
        <w:t>二、监理范围、监理内容；</w:t>
      </w:r>
    </w:p>
    <w:p w14:paraId="163F33EF">
      <w:pPr>
        <w:spacing w:line="360" w:lineRule="auto"/>
        <w:rPr>
          <w:rFonts w:hint="eastAsia"/>
          <w:sz w:val="24"/>
        </w:rPr>
      </w:pPr>
      <w:r>
        <w:rPr>
          <w:rFonts w:hint="eastAsia"/>
          <w:sz w:val="24"/>
        </w:rPr>
        <w:t>三、监理依据、监理工作目标；</w:t>
      </w:r>
    </w:p>
    <w:p w14:paraId="1782DB27">
      <w:pPr>
        <w:spacing w:line="360" w:lineRule="auto"/>
        <w:rPr>
          <w:rFonts w:hint="eastAsia"/>
          <w:sz w:val="24"/>
        </w:rPr>
      </w:pPr>
      <w:r>
        <w:rPr>
          <w:rFonts w:hint="eastAsia"/>
          <w:sz w:val="24"/>
        </w:rPr>
        <w:t>四、监理机构设置（框图）、岗位职责：</w:t>
      </w:r>
    </w:p>
    <w:p w14:paraId="467883C2">
      <w:pPr>
        <w:spacing w:line="360" w:lineRule="auto"/>
        <w:rPr>
          <w:rFonts w:hint="eastAsia"/>
          <w:sz w:val="24"/>
        </w:rPr>
      </w:pPr>
      <w:r>
        <w:rPr>
          <w:rFonts w:hint="eastAsia"/>
          <w:sz w:val="24"/>
        </w:rPr>
        <w:t>五、监理工作程序、方法和制度；</w:t>
      </w:r>
    </w:p>
    <w:p w14:paraId="4E9AFAB6">
      <w:pPr>
        <w:spacing w:line="360" w:lineRule="auto"/>
        <w:rPr>
          <w:rFonts w:hint="eastAsia"/>
          <w:sz w:val="24"/>
        </w:rPr>
      </w:pPr>
      <w:r>
        <w:rPr>
          <w:rFonts w:hint="eastAsia"/>
          <w:sz w:val="24"/>
        </w:rPr>
        <w:t>六、拟投入的监理人员、试验检测仪器设备；</w:t>
      </w:r>
    </w:p>
    <w:p w14:paraId="70347168">
      <w:pPr>
        <w:spacing w:line="360" w:lineRule="auto"/>
        <w:rPr>
          <w:rFonts w:hint="eastAsia"/>
          <w:sz w:val="24"/>
        </w:rPr>
      </w:pPr>
      <w:r>
        <w:rPr>
          <w:rFonts w:hint="eastAsia"/>
          <w:sz w:val="24"/>
        </w:rPr>
        <w:t>七、质量、进度、造价、安全、环保监理措施；</w:t>
      </w:r>
    </w:p>
    <w:p w14:paraId="0A1D2DFD">
      <w:pPr>
        <w:spacing w:line="360" w:lineRule="auto"/>
        <w:rPr>
          <w:rFonts w:hint="eastAsia"/>
          <w:sz w:val="24"/>
        </w:rPr>
      </w:pPr>
      <w:r>
        <w:rPr>
          <w:rFonts w:hint="eastAsia"/>
          <w:sz w:val="24"/>
        </w:rPr>
        <w:t>八、合同、信息管理方案；</w:t>
      </w:r>
    </w:p>
    <w:p w14:paraId="4620993E">
      <w:pPr>
        <w:spacing w:line="360" w:lineRule="auto"/>
        <w:rPr>
          <w:rFonts w:hint="eastAsia"/>
          <w:sz w:val="24"/>
        </w:rPr>
      </w:pPr>
      <w:r>
        <w:rPr>
          <w:rFonts w:hint="eastAsia"/>
          <w:sz w:val="24"/>
        </w:rPr>
        <w:t>十、组织协调内容及措施；</w:t>
      </w:r>
    </w:p>
    <w:p w14:paraId="7D88A8DC">
      <w:pPr>
        <w:spacing w:line="360" w:lineRule="auto"/>
        <w:rPr>
          <w:rFonts w:hint="eastAsia"/>
          <w:sz w:val="24"/>
        </w:rPr>
      </w:pPr>
      <w:r>
        <w:rPr>
          <w:rFonts w:hint="eastAsia"/>
          <w:sz w:val="24"/>
        </w:rPr>
        <w:t>十一、监理工作重点、难点分析：</w:t>
      </w:r>
    </w:p>
    <w:p w14:paraId="17B582C3">
      <w:pPr>
        <w:spacing w:line="360" w:lineRule="auto"/>
        <w:rPr>
          <w:sz w:val="24"/>
        </w:rPr>
      </w:pPr>
      <w:r>
        <w:rPr>
          <w:rFonts w:hint="eastAsia"/>
          <w:sz w:val="24"/>
        </w:rPr>
        <w:t>十二、对本工程监理的合理化建议。</w:t>
      </w:r>
    </w:p>
    <w:p w14:paraId="34F8FA1F">
      <w:pPr>
        <w:widowControl/>
        <w:jc w:val="left"/>
        <w:rPr>
          <w:rFonts w:ascii="宋体" w:hAnsi="宋体" w:eastAsia="宋体" w:cs="Times New Roman"/>
          <w:color w:val="000000"/>
          <w:spacing w:val="7"/>
          <w:kern w:val="0"/>
          <w:sz w:val="31"/>
          <w:szCs w:val="31"/>
          <w14:textOutline w14:w="5791" w14:cap="sq" w14:cmpd="sng" w14:algn="ctr">
            <w14:solidFill>
              <w14:srgbClr w14:val="000000"/>
            </w14:solidFill>
            <w14:prstDash w14:val="solid"/>
            <w14:bevel/>
          </w14:textOutline>
        </w:rPr>
      </w:pPr>
      <w:bookmarkStart w:id="196" w:name="_Toc199944438"/>
      <w:bookmarkStart w:id="197" w:name="_Toc200025600"/>
      <w:bookmarkStart w:id="198" w:name="_Toc28649"/>
      <w:r>
        <w:rPr>
          <w:spacing w:val="7"/>
          <w14:textOutline w14:w="5791" w14:cap="sq" w14:cmpd="sng" w14:algn="ctr">
            <w14:solidFill>
              <w14:srgbClr w14:val="000000"/>
            </w14:solidFill>
            <w14:prstDash w14:val="solid"/>
            <w14:bevel/>
          </w14:textOutline>
        </w:rPr>
        <w:br w:type="page"/>
      </w:r>
    </w:p>
    <w:p w14:paraId="57B2F88F">
      <w:pPr>
        <w:pStyle w:val="2"/>
        <w:kinsoku/>
        <w:topLinePunct/>
        <w:autoSpaceDE/>
        <w:autoSpaceDN/>
        <w:spacing w:before="64" w:line="225" w:lineRule="auto"/>
        <w:jc w:val="center"/>
        <w:outlineLvl w:val="1"/>
        <w:rPr>
          <w:rFonts w:hint="default"/>
        </w:rPr>
      </w:pPr>
      <w:r>
        <w:rPr>
          <w:spacing w:val="7"/>
          <w14:textOutline w14:w="5791" w14:cap="sq" w14:cmpd="sng" w14:algn="ctr">
            <w14:solidFill>
              <w14:srgbClr w14:val="000000"/>
            </w14:solidFill>
            <w14:prstDash w14:val="solid"/>
            <w14:bevel/>
          </w14:textOutline>
        </w:rPr>
        <w:t>七、其他资料</w:t>
      </w:r>
      <w:bookmarkEnd w:id="196"/>
      <w:bookmarkEnd w:id="197"/>
      <w:bookmarkEnd w:id="198"/>
    </w:p>
    <w:p w14:paraId="55E9AC89">
      <w:pPr>
        <w:topLinePunct/>
        <w:spacing w:line="245" w:lineRule="auto"/>
      </w:pPr>
    </w:p>
    <w:p w14:paraId="02AB2EC1">
      <w:pPr>
        <w:pStyle w:val="2"/>
        <w:kinsoku/>
        <w:topLinePunct/>
        <w:autoSpaceDE/>
        <w:autoSpaceDN/>
        <w:spacing w:before="78" w:line="360" w:lineRule="auto"/>
        <w:ind w:firstLine="476" w:firstLineChars="200"/>
        <w:rPr>
          <w:rFonts w:hint="default"/>
          <w:spacing w:val="-1"/>
          <w:sz w:val="24"/>
          <w:szCs w:val="24"/>
        </w:rPr>
      </w:pPr>
      <w:r>
        <w:rPr>
          <w:spacing w:val="-1"/>
          <w:sz w:val="24"/>
          <w:szCs w:val="24"/>
        </w:rPr>
        <w:t>与评审有关的承诺书及其他证明材料在此部分提供（承诺书已提供格式的按格式填写，未提供格式的供应商自行拟定）。</w:t>
      </w:r>
    </w:p>
    <w:p w14:paraId="673451B0">
      <w:pPr>
        <w:widowControl/>
        <w:jc w:val="left"/>
        <w:rPr>
          <w:rFonts w:ascii="宋体" w:hAnsi="宋体" w:eastAsia="宋体" w:cs="Times New Roman"/>
          <w:color w:val="000000"/>
          <w:spacing w:val="-1"/>
          <w:kern w:val="0"/>
          <w:sz w:val="24"/>
        </w:rPr>
      </w:pPr>
      <w:r>
        <w:rPr>
          <w:spacing w:val="-1"/>
          <w:sz w:val="24"/>
        </w:rPr>
        <w:br w:type="page"/>
      </w:r>
    </w:p>
    <w:p w14:paraId="4AF5725E">
      <w:pPr>
        <w:jc w:val="center"/>
        <w:rPr>
          <w:b/>
          <w:sz w:val="28"/>
          <w:szCs w:val="28"/>
        </w:rPr>
      </w:pPr>
      <w:r>
        <w:rPr>
          <w:b/>
          <w:sz w:val="28"/>
          <w:szCs w:val="28"/>
        </w:rPr>
        <w:t>未列入政府取消投标资格记录期间的承诺书</w:t>
      </w:r>
    </w:p>
    <w:p w14:paraId="09CDD46B">
      <w:pPr>
        <w:spacing w:line="360" w:lineRule="auto"/>
        <w:rPr>
          <w:rFonts w:ascii="仿宋" w:hAnsi="仿宋" w:eastAsia="仿宋"/>
          <w:sz w:val="24"/>
        </w:rPr>
      </w:pPr>
    </w:p>
    <w:p w14:paraId="16C10829">
      <w:pPr>
        <w:spacing w:line="360" w:lineRule="auto"/>
        <w:rPr>
          <w:rFonts w:asciiTheme="minorEastAsia" w:hAnsiTheme="minorEastAsia"/>
          <w:sz w:val="24"/>
        </w:rPr>
      </w:pPr>
      <w:r>
        <w:rPr>
          <w:rFonts w:asciiTheme="minorEastAsia" w:hAnsiTheme="minorEastAsia"/>
          <w:sz w:val="24"/>
        </w:rPr>
        <w:t>致：</w:t>
      </w:r>
      <w:r>
        <w:rPr>
          <w:rFonts w:asciiTheme="minorEastAsia" w:hAnsiTheme="minorEastAsia"/>
          <w:sz w:val="24"/>
          <w:u w:val="single"/>
        </w:rPr>
        <w:t>（采购人名称）</w:t>
      </w:r>
    </w:p>
    <w:p w14:paraId="5A69AF9C">
      <w:pPr>
        <w:spacing w:line="360" w:lineRule="auto"/>
        <w:ind w:firstLine="480" w:firstLineChars="200"/>
        <w:rPr>
          <w:rFonts w:asciiTheme="minorEastAsia" w:hAnsiTheme="minorEastAsia"/>
          <w:sz w:val="24"/>
        </w:rPr>
      </w:pPr>
      <w:r>
        <w:rPr>
          <w:rFonts w:asciiTheme="minorEastAsia" w:hAnsiTheme="minorEastAsia"/>
          <w:sz w:val="24"/>
        </w:rPr>
        <w:t>我单位承诺：我单位为未被列入政府取消投标资格记录期间的供应商。</w:t>
      </w:r>
    </w:p>
    <w:p w14:paraId="4E8A6CC4">
      <w:pPr>
        <w:spacing w:line="360" w:lineRule="auto"/>
        <w:ind w:firstLine="480" w:firstLineChars="200"/>
        <w:rPr>
          <w:rFonts w:asciiTheme="minorEastAsia" w:hAnsiTheme="minorEastAsia"/>
          <w:sz w:val="24"/>
        </w:rPr>
      </w:pPr>
      <w:r>
        <w:rPr>
          <w:rFonts w:asciiTheme="minorEastAsia" w:hAnsiTheme="minorEastAsia"/>
          <w:sz w:val="24"/>
        </w:rPr>
        <w:t>特此承诺。</w:t>
      </w:r>
    </w:p>
    <w:p w14:paraId="2F492885">
      <w:pPr>
        <w:spacing w:line="320" w:lineRule="exact"/>
        <w:ind w:firstLine="3960"/>
        <w:rPr>
          <w:rFonts w:asciiTheme="minorEastAsia" w:hAnsiTheme="minorEastAsia"/>
          <w:sz w:val="24"/>
        </w:rPr>
      </w:pPr>
    </w:p>
    <w:p w14:paraId="7AF8460C">
      <w:pPr>
        <w:spacing w:line="320" w:lineRule="exact"/>
        <w:ind w:firstLine="3960"/>
        <w:rPr>
          <w:rFonts w:asciiTheme="minorEastAsia" w:hAnsiTheme="minorEastAsia"/>
          <w:sz w:val="24"/>
        </w:rPr>
      </w:pPr>
    </w:p>
    <w:p w14:paraId="3CC91914">
      <w:pPr>
        <w:spacing w:line="320" w:lineRule="exact"/>
        <w:ind w:firstLine="3960"/>
        <w:rPr>
          <w:rFonts w:asciiTheme="minorEastAsia" w:hAnsiTheme="minorEastAsia"/>
          <w:sz w:val="24"/>
        </w:rPr>
      </w:pPr>
    </w:p>
    <w:p w14:paraId="7CB2E7E8">
      <w:pPr>
        <w:spacing w:line="320" w:lineRule="exact"/>
        <w:jc w:val="right"/>
        <w:rPr>
          <w:rFonts w:asciiTheme="minorEastAsia" w:hAnsiTheme="minorEastAsia"/>
          <w:sz w:val="24"/>
        </w:rPr>
      </w:pPr>
      <w:r>
        <w:rPr>
          <w:rFonts w:asciiTheme="minorEastAsia" w:hAnsiTheme="minorEastAsia"/>
          <w:sz w:val="24"/>
        </w:rPr>
        <w:t>供应商：</w:t>
      </w:r>
      <w:r>
        <w:rPr>
          <w:rFonts w:cs="宋体" w:asciiTheme="minorEastAsia" w:hAnsiTheme="minorEastAsia"/>
          <w:sz w:val="24"/>
          <w:u w:val="single"/>
        </w:rPr>
        <w:t xml:space="preserve">                  </w:t>
      </w:r>
      <w:r>
        <w:rPr>
          <w:rFonts w:asciiTheme="minorEastAsia" w:hAnsiTheme="minorEastAsia"/>
          <w:sz w:val="24"/>
        </w:rPr>
        <w:t>（盖单位章）</w:t>
      </w:r>
    </w:p>
    <w:p w14:paraId="4D2CBD11">
      <w:pPr>
        <w:spacing w:line="320" w:lineRule="exact"/>
        <w:ind w:left="3420" w:hanging="3420"/>
        <w:rPr>
          <w:rFonts w:asciiTheme="minorEastAsia" w:hAnsiTheme="minorEastAsia"/>
          <w:sz w:val="24"/>
        </w:rPr>
      </w:pPr>
      <w:r>
        <w:rPr>
          <w:rFonts w:asciiTheme="minorEastAsia" w:hAnsiTheme="minorEastAsia"/>
          <w:sz w:val="24"/>
        </w:rPr>
        <w:t xml:space="preserve">                                 </w:t>
      </w:r>
    </w:p>
    <w:p w14:paraId="6A2181C0">
      <w:pPr>
        <w:spacing w:line="320" w:lineRule="exact"/>
        <w:ind w:left="3990"/>
        <w:rPr>
          <w:rFonts w:asciiTheme="minorEastAsia" w:hAnsiTheme="minorEastAsia"/>
          <w:sz w:val="24"/>
        </w:rPr>
      </w:pPr>
      <w:r>
        <w:rPr>
          <w:rFonts w:asciiTheme="minorEastAsia" w:hAnsiTheme="minorEastAsia"/>
          <w:sz w:val="24"/>
        </w:rPr>
        <w:t>法定代表人或委托代理人：</w:t>
      </w:r>
      <w:r>
        <w:rPr>
          <w:rFonts w:cs="宋体" w:asciiTheme="minorEastAsia" w:hAnsiTheme="minorEastAsia"/>
          <w:sz w:val="24"/>
          <w:u w:val="single"/>
        </w:rPr>
        <w:t xml:space="preserve">              </w:t>
      </w:r>
      <w:r>
        <w:rPr>
          <w:rFonts w:asciiTheme="minorEastAsia" w:hAnsiTheme="minorEastAsia"/>
          <w:sz w:val="24"/>
        </w:rPr>
        <w:t>（签字或盖章）</w:t>
      </w:r>
    </w:p>
    <w:p w14:paraId="17DA4404">
      <w:pPr>
        <w:jc w:val="right"/>
        <w:rPr>
          <w:rFonts w:asciiTheme="minorEastAsia" w:hAnsiTheme="minorEastAsia"/>
          <w:sz w:val="24"/>
        </w:rPr>
      </w:pPr>
      <w:r>
        <w:rPr>
          <w:rFonts w:asciiTheme="minorEastAsia" w:hAnsiTheme="minorEastAsia"/>
          <w:sz w:val="24"/>
          <w:u w:val="single"/>
        </w:rPr>
        <w:t xml:space="preserve">     </w:t>
      </w:r>
      <w:r>
        <w:rPr>
          <w:rFonts w:asciiTheme="minorEastAsia" w:hAnsiTheme="minorEastAsia"/>
          <w:sz w:val="24"/>
        </w:rPr>
        <w:t>年</w:t>
      </w:r>
      <w:r>
        <w:rPr>
          <w:rFonts w:asciiTheme="minorEastAsia" w:hAnsiTheme="minorEastAsia"/>
          <w:sz w:val="24"/>
          <w:u w:val="single"/>
        </w:rPr>
        <w:t xml:space="preserve">     </w:t>
      </w:r>
      <w:r>
        <w:rPr>
          <w:rFonts w:asciiTheme="minorEastAsia" w:hAnsiTheme="minorEastAsia"/>
          <w:sz w:val="24"/>
        </w:rPr>
        <w:t>月</w:t>
      </w:r>
      <w:r>
        <w:rPr>
          <w:rFonts w:asciiTheme="minorEastAsia" w:hAnsiTheme="minorEastAsia"/>
          <w:sz w:val="24"/>
          <w:u w:val="single"/>
        </w:rPr>
        <w:t xml:space="preserve">     </w:t>
      </w:r>
      <w:r>
        <w:rPr>
          <w:rFonts w:asciiTheme="minorEastAsia" w:hAnsiTheme="minorEastAsia"/>
          <w:sz w:val="24"/>
        </w:rPr>
        <w:t>日</w:t>
      </w:r>
    </w:p>
    <w:p w14:paraId="5DC2CF06">
      <w:pPr>
        <w:rPr>
          <w:rFonts w:eastAsia="宋体" w:cs="宋体"/>
          <w:b/>
          <w:sz w:val="28"/>
          <w:szCs w:val="28"/>
        </w:rPr>
      </w:pPr>
      <w:r>
        <w:rPr>
          <w:b/>
          <w:sz w:val="28"/>
          <w:szCs w:val="28"/>
        </w:rPr>
        <w:br w:type="page"/>
      </w:r>
    </w:p>
    <w:p w14:paraId="611140F1">
      <w:pPr>
        <w:jc w:val="center"/>
        <w:rPr>
          <w:b/>
          <w:sz w:val="28"/>
          <w:szCs w:val="28"/>
        </w:rPr>
      </w:pPr>
      <w:r>
        <w:rPr>
          <w:b/>
          <w:sz w:val="28"/>
          <w:szCs w:val="28"/>
        </w:rPr>
        <w:t>不存在禁止投标的情形承诺书</w:t>
      </w:r>
    </w:p>
    <w:p w14:paraId="1DF60CE9">
      <w:pPr>
        <w:spacing w:line="360" w:lineRule="auto"/>
        <w:rPr>
          <w:rFonts w:ascii="宋体" w:hAnsi="宋体" w:eastAsia="宋体"/>
          <w:sz w:val="24"/>
        </w:rPr>
      </w:pPr>
      <w:r>
        <w:rPr>
          <w:rFonts w:ascii="宋体" w:hAnsi="宋体" w:eastAsia="宋体"/>
          <w:sz w:val="24"/>
        </w:rPr>
        <w:t>致：</w:t>
      </w:r>
      <w:r>
        <w:rPr>
          <w:rFonts w:ascii="宋体" w:hAnsi="宋体" w:eastAsia="宋体"/>
          <w:sz w:val="24"/>
          <w:u w:val="single"/>
        </w:rPr>
        <w:t>（采购人名称）</w:t>
      </w:r>
    </w:p>
    <w:p w14:paraId="03B88963">
      <w:pPr>
        <w:spacing w:line="360" w:lineRule="auto"/>
        <w:rPr>
          <w:rFonts w:ascii="宋体" w:hAnsi="宋体" w:eastAsia="宋体"/>
          <w:sz w:val="24"/>
        </w:rPr>
      </w:pPr>
      <w:r>
        <w:rPr>
          <w:rFonts w:ascii="宋体" w:hAnsi="宋体" w:eastAsia="宋体"/>
          <w:sz w:val="24"/>
        </w:rPr>
        <w:t>1、我公司承诺在此</w:t>
      </w:r>
      <w:r>
        <w:rPr>
          <w:rFonts w:hint="eastAsia" w:ascii="宋体" w:hAnsi="宋体" w:eastAsia="宋体"/>
          <w:sz w:val="24"/>
        </w:rPr>
        <w:t>项目投标响应</w:t>
      </w:r>
      <w:r>
        <w:rPr>
          <w:rFonts w:ascii="宋体" w:hAnsi="宋体" w:eastAsia="宋体"/>
          <w:sz w:val="24"/>
        </w:rPr>
        <w:t>期间，不存在以下任何一种情形：</w:t>
      </w:r>
    </w:p>
    <w:p w14:paraId="482461B6">
      <w:pPr>
        <w:pStyle w:val="2"/>
        <w:kinsoku/>
        <w:topLinePunct/>
        <w:autoSpaceDE/>
        <w:autoSpaceDN/>
        <w:spacing w:line="360" w:lineRule="auto"/>
        <w:ind w:firstLine="512" w:firstLineChars="200"/>
        <w:rPr>
          <w:rFonts w:hint="default"/>
          <w:spacing w:val="8"/>
          <w:sz w:val="24"/>
          <w:szCs w:val="24"/>
        </w:rPr>
      </w:pPr>
      <w:r>
        <w:rPr>
          <w:spacing w:val="8"/>
          <w:sz w:val="24"/>
          <w:szCs w:val="24"/>
        </w:rPr>
        <w:t>（1）为招标人不具有独立法人资格的附属机构（单位）</w:t>
      </w:r>
    </w:p>
    <w:p w14:paraId="006B5CD0">
      <w:pPr>
        <w:pStyle w:val="2"/>
        <w:kinsoku/>
        <w:topLinePunct/>
        <w:autoSpaceDE/>
        <w:autoSpaceDN/>
        <w:spacing w:line="360" w:lineRule="auto"/>
        <w:ind w:firstLine="512" w:firstLineChars="200"/>
        <w:rPr>
          <w:rFonts w:hint="default"/>
          <w:spacing w:val="8"/>
          <w:sz w:val="24"/>
          <w:szCs w:val="24"/>
        </w:rPr>
      </w:pPr>
      <w:r>
        <w:rPr>
          <w:spacing w:val="8"/>
          <w:sz w:val="24"/>
          <w:szCs w:val="24"/>
        </w:rPr>
        <w:t>（2）与招标人存在利害关系且可能影响采购公正性；</w:t>
      </w:r>
    </w:p>
    <w:p w14:paraId="5CE06C5D">
      <w:pPr>
        <w:pStyle w:val="2"/>
        <w:kinsoku/>
        <w:topLinePunct/>
        <w:autoSpaceDE/>
        <w:autoSpaceDN/>
        <w:spacing w:line="360" w:lineRule="auto"/>
        <w:ind w:firstLine="512" w:firstLineChars="200"/>
        <w:rPr>
          <w:rFonts w:hint="default"/>
          <w:spacing w:val="8"/>
          <w:sz w:val="24"/>
          <w:szCs w:val="24"/>
        </w:rPr>
      </w:pPr>
      <w:r>
        <w:rPr>
          <w:spacing w:val="8"/>
          <w:sz w:val="24"/>
          <w:szCs w:val="24"/>
        </w:rPr>
        <w:t>（3）与本采购项目的其他供应商为同一个单位负责人；</w:t>
      </w:r>
    </w:p>
    <w:p w14:paraId="28A81B6E">
      <w:pPr>
        <w:pStyle w:val="2"/>
        <w:kinsoku/>
        <w:topLinePunct/>
        <w:autoSpaceDE/>
        <w:autoSpaceDN/>
        <w:spacing w:line="360" w:lineRule="auto"/>
        <w:ind w:firstLine="512" w:firstLineChars="200"/>
        <w:rPr>
          <w:rFonts w:hint="default"/>
          <w:spacing w:val="8"/>
          <w:sz w:val="24"/>
          <w:szCs w:val="24"/>
        </w:rPr>
      </w:pPr>
      <w:r>
        <w:rPr>
          <w:spacing w:val="8"/>
          <w:sz w:val="24"/>
          <w:szCs w:val="24"/>
        </w:rPr>
        <w:t>（4）与本采购项目的其他供应商存在控股、管理关系；</w:t>
      </w:r>
    </w:p>
    <w:p w14:paraId="2B94F8BD">
      <w:pPr>
        <w:pStyle w:val="2"/>
        <w:kinsoku/>
        <w:topLinePunct/>
        <w:autoSpaceDE/>
        <w:autoSpaceDN/>
        <w:spacing w:line="360" w:lineRule="auto"/>
        <w:ind w:firstLine="512" w:firstLineChars="200"/>
        <w:rPr>
          <w:rFonts w:hint="default"/>
          <w:spacing w:val="8"/>
          <w:sz w:val="24"/>
          <w:szCs w:val="24"/>
        </w:rPr>
      </w:pPr>
      <w:r>
        <w:rPr>
          <w:spacing w:val="8"/>
          <w:sz w:val="24"/>
          <w:szCs w:val="24"/>
        </w:rPr>
        <w:t>（5）为本采购项目的代建人；</w:t>
      </w:r>
    </w:p>
    <w:p w14:paraId="4193DBE0">
      <w:pPr>
        <w:pStyle w:val="2"/>
        <w:kinsoku/>
        <w:topLinePunct/>
        <w:autoSpaceDE/>
        <w:autoSpaceDN/>
        <w:spacing w:line="360" w:lineRule="auto"/>
        <w:ind w:firstLine="512" w:firstLineChars="200"/>
        <w:rPr>
          <w:rFonts w:hint="default"/>
          <w:spacing w:val="8"/>
          <w:sz w:val="24"/>
          <w:szCs w:val="24"/>
        </w:rPr>
      </w:pPr>
      <w:r>
        <w:rPr>
          <w:spacing w:val="8"/>
          <w:sz w:val="24"/>
          <w:szCs w:val="24"/>
        </w:rPr>
        <w:t>（6）为本采购项目的招标代理机构；</w:t>
      </w:r>
    </w:p>
    <w:p w14:paraId="76183DC5">
      <w:pPr>
        <w:pStyle w:val="2"/>
        <w:kinsoku/>
        <w:topLinePunct/>
        <w:autoSpaceDE/>
        <w:autoSpaceDN/>
        <w:spacing w:line="360" w:lineRule="auto"/>
        <w:ind w:firstLine="512" w:firstLineChars="200"/>
        <w:rPr>
          <w:rFonts w:hint="default"/>
          <w:spacing w:val="8"/>
          <w:sz w:val="24"/>
          <w:szCs w:val="24"/>
        </w:rPr>
      </w:pPr>
      <w:r>
        <w:rPr>
          <w:spacing w:val="8"/>
          <w:sz w:val="24"/>
          <w:szCs w:val="24"/>
        </w:rPr>
        <w:t>（7）与本采购项目的代建人或采购代理机构同为一个法定代表人；</w:t>
      </w:r>
    </w:p>
    <w:p w14:paraId="49588173">
      <w:pPr>
        <w:pStyle w:val="2"/>
        <w:kinsoku/>
        <w:topLinePunct/>
        <w:autoSpaceDE/>
        <w:autoSpaceDN/>
        <w:spacing w:line="360" w:lineRule="auto"/>
        <w:ind w:firstLine="512" w:firstLineChars="200"/>
        <w:rPr>
          <w:rFonts w:hint="default"/>
          <w:spacing w:val="8"/>
          <w:sz w:val="24"/>
          <w:szCs w:val="24"/>
        </w:rPr>
      </w:pPr>
      <w:r>
        <w:rPr>
          <w:spacing w:val="8"/>
          <w:sz w:val="24"/>
          <w:szCs w:val="24"/>
        </w:rPr>
        <w:t>（8）与本采购项目的代建人或采购代理机构存在控股或参股关系；</w:t>
      </w:r>
    </w:p>
    <w:p w14:paraId="4BC17608">
      <w:pPr>
        <w:pStyle w:val="2"/>
        <w:kinsoku/>
        <w:topLinePunct/>
        <w:autoSpaceDE/>
        <w:autoSpaceDN/>
        <w:spacing w:line="360" w:lineRule="auto"/>
        <w:ind w:firstLine="512" w:firstLineChars="200"/>
        <w:rPr>
          <w:rFonts w:hint="default"/>
          <w:spacing w:val="8"/>
          <w:sz w:val="24"/>
          <w:szCs w:val="24"/>
        </w:rPr>
      </w:pPr>
      <w:r>
        <w:rPr>
          <w:spacing w:val="8"/>
          <w:sz w:val="24"/>
          <w:szCs w:val="24"/>
        </w:rPr>
        <w:t>（9）与本采购项目的施工承包人以及建筑材料、建筑构配件和设备供应商有隶属关系或者其他利害关系；</w:t>
      </w:r>
    </w:p>
    <w:p w14:paraId="39F47408">
      <w:pPr>
        <w:pStyle w:val="2"/>
        <w:kinsoku/>
        <w:topLinePunct/>
        <w:autoSpaceDE/>
        <w:autoSpaceDN/>
        <w:spacing w:line="360" w:lineRule="auto"/>
        <w:ind w:firstLine="512" w:firstLineChars="200"/>
        <w:rPr>
          <w:rFonts w:hint="default"/>
          <w:spacing w:val="8"/>
          <w:sz w:val="24"/>
          <w:szCs w:val="24"/>
        </w:rPr>
      </w:pPr>
      <w:r>
        <w:rPr>
          <w:spacing w:val="8"/>
          <w:sz w:val="24"/>
          <w:szCs w:val="24"/>
        </w:rPr>
        <w:t>（10）被依法暂停或者取消投标资格；</w:t>
      </w:r>
    </w:p>
    <w:p w14:paraId="67CEF0B5">
      <w:pPr>
        <w:pStyle w:val="2"/>
        <w:kinsoku/>
        <w:topLinePunct/>
        <w:autoSpaceDE/>
        <w:autoSpaceDN/>
        <w:spacing w:line="360" w:lineRule="auto"/>
        <w:ind w:firstLine="512" w:firstLineChars="200"/>
        <w:rPr>
          <w:rFonts w:hint="default"/>
          <w:spacing w:val="8"/>
          <w:sz w:val="24"/>
          <w:szCs w:val="24"/>
        </w:rPr>
      </w:pPr>
      <w:r>
        <w:rPr>
          <w:spacing w:val="8"/>
          <w:sz w:val="24"/>
          <w:szCs w:val="24"/>
        </w:rPr>
        <w:t>（11）被责令停产停业、暂扣或者吊销许可证、暂扣或者吊销执照；</w:t>
      </w:r>
    </w:p>
    <w:p w14:paraId="1E3BBA98">
      <w:pPr>
        <w:pStyle w:val="2"/>
        <w:kinsoku/>
        <w:topLinePunct/>
        <w:autoSpaceDE/>
        <w:autoSpaceDN/>
        <w:spacing w:line="360" w:lineRule="auto"/>
        <w:ind w:firstLine="512" w:firstLineChars="200"/>
        <w:rPr>
          <w:rFonts w:hint="default"/>
          <w:spacing w:val="8"/>
          <w:sz w:val="24"/>
          <w:szCs w:val="24"/>
        </w:rPr>
      </w:pPr>
      <w:r>
        <w:rPr>
          <w:spacing w:val="8"/>
          <w:sz w:val="24"/>
          <w:szCs w:val="24"/>
        </w:rPr>
        <w:t>（12）进入清算程序，或被宣告破产，或其他丧失履约能力的情形；</w:t>
      </w:r>
    </w:p>
    <w:p w14:paraId="6CFA400D">
      <w:pPr>
        <w:pStyle w:val="2"/>
        <w:kinsoku/>
        <w:topLinePunct/>
        <w:autoSpaceDE/>
        <w:autoSpaceDN/>
        <w:spacing w:line="360" w:lineRule="auto"/>
        <w:ind w:firstLine="512" w:firstLineChars="200"/>
        <w:rPr>
          <w:rFonts w:hint="default"/>
          <w:spacing w:val="8"/>
          <w:sz w:val="24"/>
          <w:szCs w:val="24"/>
        </w:rPr>
      </w:pPr>
      <w:r>
        <w:rPr>
          <w:spacing w:val="8"/>
          <w:sz w:val="24"/>
          <w:szCs w:val="24"/>
        </w:rPr>
        <w:t>（13）在最近三年内发生重大监理质量问题（以相关行业主管部门的行政处罚决定或司法机关出具的有关法律文书为准）；</w:t>
      </w:r>
    </w:p>
    <w:p w14:paraId="3BD88B48">
      <w:pPr>
        <w:pStyle w:val="2"/>
        <w:kinsoku/>
        <w:topLinePunct/>
        <w:autoSpaceDE/>
        <w:autoSpaceDN/>
        <w:spacing w:line="360" w:lineRule="auto"/>
        <w:ind w:firstLine="512" w:firstLineChars="200"/>
        <w:rPr>
          <w:rFonts w:hint="default"/>
          <w:spacing w:val="8"/>
          <w:sz w:val="24"/>
          <w:szCs w:val="24"/>
        </w:rPr>
      </w:pPr>
      <w:r>
        <w:rPr>
          <w:spacing w:val="8"/>
          <w:sz w:val="24"/>
          <w:szCs w:val="24"/>
        </w:rPr>
        <w:t>（14）法律法规或供应商须知前附表规定的其他情形。</w:t>
      </w:r>
    </w:p>
    <w:p w14:paraId="5595515F">
      <w:pPr>
        <w:wordWrap w:val="0"/>
        <w:spacing w:line="440" w:lineRule="exact"/>
        <w:ind w:firstLine="480" w:firstLineChars="200"/>
        <w:rPr>
          <w:rFonts w:ascii="宋体" w:hAnsi="宋体" w:eastAsia="宋体"/>
          <w:bCs/>
          <w:sz w:val="24"/>
        </w:rPr>
      </w:pPr>
      <w:r>
        <w:rPr>
          <w:rFonts w:ascii="宋体" w:hAnsi="宋体" w:eastAsia="宋体"/>
          <w:bCs/>
          <w:sz w:val="24"/>
        </w:rPr>
        <w:t>特此承诺。</w:t>
      </w:r>
    </w:p>
    <w:p w14:paraId="5A667274">
      <w:pPr>
        <w:wordWrap w:val="0"/>
        <w:spacing w:line="440" w:lineRule="exact"/>
        <w:ind w:firstLine="480" w:firstLineChars="200"/>
        <w:rPr>
          <w:rFonts w:ascii="宋体" w:hAnsi="宋体" w:eastAsia="宋体"/>
          <w:bCs/>
          <w:sz w:val="24"/>
        </w:rPr>
      </w:pPr>
      <w:r>
        <w:rPr>
          <w:rFonts w:ascii="宋体" w:hAnsi="宋体" w:eastAsia="宋体"/>
          <w:bCs/>
          <w:sz w:val="24"/>
        </w:rPr>
        <w:t xml:space="preserve"> </w:t>
      </w:r>
    </w:p>
    <w:p w14:paraId="44443BFA">
      <w:pPr>
        <w:spacing w:line="320" w:lineRule="exact"/>
        <w:ind w:firstLine="361"/>
        <w:rPr>
          <w:rFonts w:ascii="宋体" w:hAnsi="宋体" w:eastAsia="宋体"/>
          <w:b/>
          <w:sz w:val="24"/>
        </w:rPr>
      </w:pPr>
      <w:r>
        <w:rPr>
          <w:rFonts w:ascii="宋体" w:hAnsi="宋体" w:eastAsia="宋体"/>
          <w:b/>
          <w:sz w:val="24"/>
        </w:rPr>
        <w:t xml:space="preserve"> </w:t>
      </w:r>
    </w:p>
    <w:p w14:paraId="01691B93">
      <w:pPr>
        <w:spacing w:line="320" w:lineRule="exact"/>
        <w:jc w:val="center"/>
        <w:rPr>
          <w:rFonts w:ascii="宋体" w:hAnsi="宋体" w:eastAsia="宋体"/>
          <w:sz w:val="24"/>
        </w:rPr>
      </w:pPr>
      <w:r>
        <w:rPr>
          <w:rFonts w:ascii="宋体" w:hAnsi="宋体" w:eastAsia="宋体"/>
          <w:sz w:val="24"/>
        </w:rPr>
        <w:t xml:space="preserve"> </w:t>
      </w:r>
    </w:p>
    <w:p w14:paraId="68BE28F6">
      <w:pPr>
        <w:spacing w:line="320" w:lineRule="exact"/>
        <w:jc w:val="right"/>
        <w:rPr>
          <w:rFonts w:ascii="宋体" w:hAnsi="宋体" w:eastAsia="宋体"/>
          <w:sz w:val="24"/>
        </w:rPr>
      </w:pPr>
      <w:r>
        <w:rPr>
          <w:rFonts w:ascii="宋体" w:hAnsi="宋体" w:eastAsia="宋体"/>
          <w:sz w:val="24"/>
        </w:rPr>
        <w:t>供应商：</w:t>
      </w:r>
      <w:r>
        <w:rPr>
          <w:rFonts w:ascii="宋体" w:hAnsi="宋体" w:eastAsia="宋体" w:cs="宋体"/>
          <w:sz w:val="24"/>
          <w:u w:val="single"/>
        </w:rPr>
        <w:t xml:space="preserve">                  </w:t>
      </w:r>
      <w:r>
        <w:rPr>
          <w:rFonts w:ascii="宋体" w:hAnsi="宋体" w:eastAsia="宋体"/>
          <w:sz w:val="24"/>
        </w:rPr>
        <w:t>（盖单位章）</w:t>
      </w:r>
    </w:p>
    <w:p w14:paraId="23544E20">
      <w:pPr>
        <w:spacing w:line="320" w:lineRule="exact"/>
        <w:ind w:left="3420" w:hanging="3420"/>
        <w:rPr>
          <w:rFonts w:ascii="宋体" w:hAnsi="宋体" w:eastAsia="宋体"/>
          <w:sz w:val="24"/>
        </w:rPr>
      </w:pPr>
      <w:r>
        <w:rPr>
          <w:rFonts w:ascii="宋体" w:hAnsi="宋体" w:eastAsia="宋体"/>
          <w:sz w:val="24"/>
        </w:rPr>
        <w:t xml:space="preserve">                                 </w:t>
      </w:r>
    </w:p>
    <w:p w14:paraId="5E41F548">
      <w:pPr>
        <w:spacing w:line="320" w:lineRule="exact"/>
        <w:ind w:left="3990"/>
        <w:rPr>
          <w:rFonts w:ascii="宋体" w:hAnsi="宋体" w:eastAsia="宋体"/>
          <w:sz w:val="24"/>
        </w:rPr>
      </w:pPr>
      <w:r>
        <w:rPr>
          <w:rFonts w:ascii="宋体" w:hAnsi="宋体" w:eastAsia="宋体"/>
          <w:sz w:val="24"/>
        </w:rPr>
        <w:t>法定代表人或委托代理人：</w:t>
      </w:r>
      <w:r>
        <w:rPr>
          <w:rFonts w:ascii="宋体" w:hAnsi="宋体" w:eastAsia="宋体" w:cs="宋体"/>
          <w:sz w:val="24"/>
          <w:u w:val="single"/>
        </w:rPr>
        <w:t xml:space="preserve">              </w:t>
      </w:r>
      <w:r>
        <w:rPr>
          <w:rFonts w:ascii="宋体" w:hAnsi="宋体" w:eastAsia="宋体"/>
          <w:sz w:val="24"/>
        </w:rPr>
        <w:t>（签字或盖章）</w:t>
      </w:r>
    </w:p>
    <w:p w14:paraId="6F2B8BA4">
      <w:pPr>
        <w:jc w:val="right"/>
        <w:rPr>
          <w:rFonts w:ascii="宋体" w:hAnsi="宋体" w:eastAsia="宋体"/>
          <w:sz w:val="24"/>
        </w:rPr>
      </w:pP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037BEE57">
      <w:pPr>
        <w:pStyle w:val="33"/>
        <w:ind w:left="5250"/>
        <w:rPr>
          <w:i w:val="0"/>
          <w:lang w:eastAsia="en-US"/>
        </w:rPr>
      </w:pPr>
    </w:p>
    <w:p w14:paraId="19B2F231">
      <w:pPr>
        <w:widowControl/>
        <w:jc w:val="left"/>
        <w:rPr>
          <w:sz w:val="24"/>
        </w:rPr>
      </w:pPr>
      <w:r>
        <w:rPr>
          <w:sz w:val="24"/>
        </w:rPr>
        <w:br w:type="page"/>
      </w:r>
    </w:p>
    <w:p w14:paraId="22528891">
      <w:pPr>
        <w:rPr>
          <w:sz w:val="28"/>
          <w:szCs w:val="28"/>
        </w:rPr>
      </w:pPr>
      <w:r>
        <w:rPr>
          <w:sz w:val="28"/>
          <w:szCs w:val="28"/>
        </w:rPr>
        <w:t>附件1</w:t>
      </w:r>
    </w:p>
    <w:p w14:paraId="0A8D6A12">
      <w:pPr>
        <w:topLinePunct/>
        <w:spacing w:line="272" w:lineRule="auto"/>
      </w:pPr>
    </w:p>
    <w:p w14:paraId="35451955">
      <w:pPr>
        <w:jc w:val="center"/>
        <w:rPr>
          <w:b/>
          <w:sz w:val="32"/>
          <w:szCs w:val="32"/>
        </w:rPr>
      </w:pPr>
      <w:r>
        <w:rPr>
          <w:b/>
          <w:sz w:val="32"/>
          <w:szCs w:val="32"/>
        </w:rPr>
        <w:t>第二次报价表</w:t>
      </w:r>
    </w:p>
    <w:p w14:paraId="21BFEFC3">
      <w:pPr>
        <w:topLinePunct/>
        <w:spacing w:line="396" w:lineRule="auto"/>
      </w:pPr>
    </w:p>
    <w:p w14:paraId="1E7BB302">
      <w:pPr>
        <w:pStyle w:val="2"/>
        <w:kinsoku/>
        <w:topLinePunct/>
        <w:autoSpaceDE/>
        <w:autoSpaceDN/>
        <w:spacing w:line="360" w:lineRule="auto"/>
        <w:ind w:firstLine="480" w:firstLineChars="200"/>
        <w:rPr>
          <w:rFonts w:hint="default"/>
          <w:spacing w:val="-1"/>
          <w:sz w:val="24"/>
          <w:szCs w:val="24"/>
        </w:rPr>
      </w:pPr>
      <w:r>
        <w:rPr>
          <w:sz w:val="24"/>
          <w:szCs w:val="24"/>
        </w:rPr>
        <w:t>具体以政采云平台中给出的格式进行填写，按系统</w:t>
      </w:r>
      <w:r>
        <w:rPr>
          <w:spacing w:val="-1"/>
          <w:sz w:val="24"/>
          <w:szCs w:val="24"/>
        </w:rPr>
        <w:t>规定的时间内提交二次报价，由于供</w:t>
      </w:r>
      <w:r>
        <w:rPr>
          <w:sz w:val="24"/>
          <w:szCs w:val="24"/>
        </w:rPr>
        <w:t>应商自身原因在递交二次报价文件截止时间前</w:t>
      </w:r>
      <w:r>
        <w:rPr>
          <w:spacing w:val="-1"/>
          <w:sz w:val="24"/>
          <w:szCs w:val="24"/>
        </w:rPr>
        <w:t>无法完成的，后果自负。</w:t>
      </w:r>
    </w:p>
    <w:p w14:paraId="50D555A9">
      <w:pPr>
        <w:widowControl/>
        <w:jc w:val="left"/>
        <w:rPr>
          <w:rFonts w:ascii="宋体" w:hAnsi="宋体" w:eastAsia="宋体" w:cs="Times New Roman"/>
          <w:color w:val="000000"/>
          <w:spacing w:val="-1"/>
          <w:kern w:val="0"/>
          <w:sz w:val="24"/>
        </w:rPr>
      </w:pPr>
      <w:r>
        <w:rPr>
          <w:spacing w:val="-1"/>
          <w:sz w:val="24"/>
        </w:rPr>
        <w:br w:type="page"/>
      </w:r>
    </w:p>
    <w:p w14:paraId="2BF73689">
      <w:pPr>
        <w:pStyle w:val="2"/>
        <w:kinsoku/>
        <w:topLinePunct/>
        <w:autoSpaceDE/>
        <w:autoSpaceDN/>
        <w:spacing w:line="360" w:lineRule="auto"/>
        <w:ind w:firstLine="480" w:firstLineChars="200"/>
        <w:rPr>
          <w:rFonts w:hint="default"/>
          <w:sz w:val="24"/>
          <w:szCs w:val="24"/>
        </w:rPr>
        <w:sectPr>
          <w:footerReference r:id="rId4" w:type="default"/>
          <w:pgSz w:w="11906" w:h="16838"/>
          <w:pgMar w:top="1440" w:right="1800" w:bottom="1440" w:left="1800" w:header="720" w:footer="720" w:gutter="0"/>
          <w:cols w:space="425" w:num="1"/>
          <w:docGrid w:type="lines" w:linePitch="312" w:charSpace="0"/>
        </w:sectPr>
      </w:pPr>
    </w:p>
    <w:p w14:paraId="43992099">
      <w:pPr>
        <w:pStyle w:val="2"/>
        <w:kinsoku/>
        <w:topLinePunct/>
        <w:autoSpaceDE/>
        <w:autoSpaceDN/>
        <w:spacing w:line="360" w:lineRule="auto"/>
        <w:ind w:firstLine="560" w:firstLineChars="200"/>
        <w:jc w:val="center"/>
        <w:rPr>
          <w:rFonts w:hint="default"/>
          <w:sz w:val="28"/>
          <w:szCs w:val="28"/>
        </w:rPr>
      </w:pPr>
      <w:r>
        <w:rPr>
          <w:sz w:val="28"/>
          <w:szCs w:val="28"/>
        </w:rPr>
        <w:t>中小企业划型标准</w:t>
      </w:r>
    </w:p>
    <w:tbl>
      <w:tblPr>
        <w:tblStyle w:val="15"/>
        <w:tblW w:w="10741" w:type="dxa"/>
        <w:jc w:val="center"/>
        <w:tblLayout w:type="fixed"/>
        <w:tblCellMar>
          <w:top w:w="0" w:type="dxa"/>
          <w:left w:w="108" w:type="dxa"/>
          <w:bottom w:w="0" w:type="dxa"/>
          <w:right w:w="108" w:type="dxa"/>
        </w:tblCellMar>
      </w:tblPr>
      <w:tblGrid>
        <w:gridCol w:w="479"/>
        <w:gridCol w:w="764"/>
        <w:gridCol w:w="851"/>
        <w:gridCol w:w="850"/>
        <w:gridCol w:w="851"/>
        <w:gridCol w:w="850"/>
        <w:gridCol w:w="709"/>
        <w:gridCol w:w="851"/>
        <w:gridCol w:w="850"/>
        <w:gridCol w:w="851"/>
        <w:gridCol w:w="708"/>
        <w:gridCol w:w="709"/>
        <w:gridCol w:w="709"/>
        <w:gridCol w:w="709"/>
      </w:tblGrid>
      <w:tr w14:paraId="105E8D4E">
        <w:tblPrEx>
          <w:tblCellMar>
            <w:top w:w="0" w:type="dxa"/>
            <w:left w:w="108" w:type="dxa"/>
            <w:bottom w:w="0" w:type="dxa"/>
            <w:right w:w="108" w:type="dxa"/>
          </w:tblCellMar>
        </w:tblPrEx>
        <w:trPr>
          <w:trHeight w:val="500" w:hRule="atLeast"/>
          <w:tblHeader/>
          <w:jc w:val="center"/>
        </w:trPr>
        <w:tc>
          <w:tcPr>
            <w:tcW w:w="479" w:type="dxa"/>
            <w:vMerge w:val="restart"/>
            <w:tcBorders>
              <w:top w:val="single" w:color="auto" w:sz="4" w:space="0"/>
              <w:left w:val="single" w:color="auto" w:sz="4" w:space="0"/>
              <w:right w:val="single" w:color="auto" w:sz="4" w:space="0"/>
            </w:tcBorders>
            <w:vAlign w:val="center"/>
          </w:tcPr>
          <w:p w14:paraId="54AAFA09">
            <w:pPr>
              <w:pStyle w:val="32"/>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764" w:type="dxa"/>
            <w:vMerge w:val="restart"/>
            <w:tcBorders>
              <w:top w:val="single" w:color="auto" w:sz="4" w:space="0"/>
              <w:left w:val="nil"/>
              <w:right w:val="single" w:color="auto" w:sz="4" w:space="0"/>
            </w:tcBorders>
            <w:vAlign w:val="center"/>
          </w:tcPr>
          <w:p w14:paraId="130F422C">
            <w:pPr>
              <w:pStyle w:val="32"/>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2552" w:type="dxa"/>
            <w:gridSpan w:val="3"/>
            <w:tcBorders>
              <w:top w:val="single" w:color="auto" w:sz="4" w:space="0"/>
              <w:left w:val="nil"/>
              <w:bottom w:val="single" w:color="auto" w:sz="4" w:space="0"/>
              <w:right w:val="single" w:color="auto" w:sz="4" w:space="0"/>
            </w:tcBorders>
            <w:vAlign w:val="center"/>
          </w:tcPr>
          <w:p w14:paraId="6146D360">
            <w:pPr>
              <w:pStyle w:val="32"/>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2410" w:type="dxa"/>
            <w:gridSpan w:val="3"/>
            <w:tcBorders>
              <w:top w:val="single" w:color="auto" w:sz="4" w:space="0"/>
              <w:left w:val="nil"/>
              <w:bottom w:val="single" w:color="auto" w:sz="4" w:space="0"/>
              <w:right w:val="single" w:color="auto" w:sz="4" w:space="0"/>
            </w:tcBorders>
            <w:vAlign w:val="center"/>
          </w:tcPr>
          <w:p w14:paraId="0181A8FC">
            <w:pPr>
              <w:pStyle w:val="32"/>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2409" w:type="dxa"/>
            <w:gridSpan w:val="3"/>
            <w:tcBorders>
              <w:top w:val="single" w:color="auto" w:sz="4" w:space="0"/>
              <w:left w:val="nil"/>
              <w:bottom w:val="single" w:color="auto" w:sz="4" w:space="0"/>
              <w:right w:val="single" w:color="auto" w:sz="4" w:space="0"/>
            </w:tcBorders>
            <w:vAlign w:val="center"/>
          </w:tcPr>
          <w:p w14:paraId="76B57C69">
            <w:pPr>
              <w:pStyle w:val="32"/>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127" w:type="dxa"/>
            <w:gridSpan w:val="3"/>
            <w:tcBorders>
              <w:top w:val="single" w:color="auto" w:sz="4" w:space="0"/>
              <w:left w:val="nil"/>
              <w:bottom w:val="single" w:color="auto" w:sz="4" w:space="0"/>
              <w:right w:val="single" w:color="auto" w:sz="4" w:space="0"/>
            </w:tcBorders>
            <w:vAlign w:val="center"/>
          </w:tcPr>
          <w:p w14:paraId="68F723D0">
            <w:pPr>
              <w:pStyle w:val="32"/>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14:paraId="6F9D1461">
        <w:tblPrEx>
          <w:tblCellMar>
            <w:top w:w="0" w:type="dxa"/>
            <w:left w:w="108" w:type="dxa"/>
            <w:bottom w:w="0" w:type="dxa"/>
            <w:right w:w="108" w:type="dxa"/>
          </w:tblCellMar>
        </w:tblPrEx>
        <w:trPr>
          <w:trHeight w:val="946" w:hRule="atLeast"/>
          <w:tblHeader/>
          <w:jc w:val="center"/>
        </w:trPr>
        <w:tc>
          <w:tcPr>
            <w:tcW w:w="479" w:type="dxa"/>
            <w:vMerge w:val="continue"/>
            <w:tcBorders>
              <w:left w:val="single" w:color="auto" w:sz="4" w:space="0"/>
              <w:bottom w:val="single" w:color="auto" w:sz="4" w:space="0"/>
              <w:right w:val="single" w:color="auto" w:sz="4" w:space="0"/>
            </w:tcBorders>
            <w:vAlign w:val="center"/>
          </w:tcPr>
          <w:p w14:paraId="6084B575">
            <w:pPr>
              <w:pStyle w:val="32"/>
              <w:ind w:left="-48" w:leftChars="-23" w:right="-65" w:rightChars="-31"/>
              <w:jc w:val="center"/>
              <w:rPr>
                <w:rFonts w:ascii="宋体" w:hAnsi="宋体" w:cs="宋体"/>
                <w:b/>
                <w:kern w:val="0"/>
                <w:szCs w:val="21"/>
              </w:rPr>
            </w:pPr>
          </w:p>
        </w:tc>
        <w:tc>
          <w:tcPr>
            <w:tcW w:w="764" w:type="dxa"/>
            <w:vMerge w:val="continue"/>
            <w:tcBorders>
              <w:left w:val="nil"/>
              <w:bottom w:val="single" w:color="auto" w:sz="4" w:space="0"/>
              <w:right w:val="single" w:color="auto" w:sz="4" w:space="0"/>
            </w:tcBorders>
            <w:vAlign w:val="center"/>
          </w:tcPr>
          <w:p w14:paraId="169AB7CB">
            <w:pPr>
              <w:pStyle w:val="32"/>
              <w:ind w:left="-48" w:leftChars="-23" w:right="-65" w:rightChars="-31"/>
              <w:jc w:val="left"/>
              <w:rPr>
                <w:rFonts w:ascii="宋体" w:hAnsi="宋体" w:cs="宋体"/>
                <w:b/>
                <w:kern w:val="0"/>
                <w:szCs w:val="21"/>
              </w:rPr>
            </w:pPr>
          </w:p>
        </w:tc>
        <w:tc>
          <w:tcPr>
            <w:tcW w:w="851" w:type="dxa"/>
            <w:tcBorders>
              <w:top w:val="nil"/>
              <w:left w:val="nil"/>
              <w:bottom w:val="single" w:color="auto" w:sz="4" w:space="0"/>
              <w:right w:val="single" w:color="auto" w:sz="4" w:space="0"/>
            </w:tcBorders>
            <w:vAlign w:val="center"/>
          </w:tcPr>
          <w:p w14:paraId="3545FE8A">
            <w:pPr>
              <w:pStyle w:val="32"/>
              <w:ind w:left="-48" w:leftChars="-23" w:right="-65" w:rightChars="-31"/>
              <w:jc w:val="center"/>
              <w:rPr>
                <w:rFonts w:ascii="宋体" w:hAnsi="宋体" w:cs="宋体"/>
                <w:b/>
                <w:kern w:val="0"/>
                <w:szCs w:val="21"/>
              </w:rPr>
            </w:pPr>
            <w:r>
              <w:rPr>
                <w:rFonts w:hint="eastAsia" w:ascii="宋体" w:hAnsi="宋体" w:cs="宋体"/>
                <w:b/>
                <w:kern w:val="0"/>
                <w:szCs w:val="21"/>
              </w:rPr>
              <w:t>营业收入(万元)</w:t>
            </w:r>
          </w:p>
        </w:tc>
        <w:tc>
          <w:tcPr>
            <w:tcW w:w="850" w:type="dxa"/>
            <w:tcBorders>
              <w:top w:val="nil"/>
              <w:left w:val="nil"/>
              <w:bottom w:val="single" w:color="auto" w:sz="4" w:space="0"/>
              <w:right w:val="single" w:color="auto" w:sz="4" w:space="0"/>
            </w:tcBorders>
            <w:vAlign w:val="center"/>
          </w:tcPr>
          <w:p w14:paraId="479112AA">
            <w:pPr>
              <w:pStyle w:val="32"/>
              <w:ind w:left="-48" w:leftChars="-23" w:right="-65" w:rightChars="-31"/>
              <w:jc w:val="center"/>
              <w:rPr>
                <w:rFonts w:ascii="宋体" w:hAnsi="宋体" w:cs="宋体"/>
                <w:b/>
                <w:kern w:val="0"/>
                <w:szCs w:val="21"/>
              </w:rPr>
            </w:pPr>
            <w:r>
              <w:rPr>
                <w:rFonts w:hint="eastAsia" w:ascii="宋体" w:hAnsi="宋体" w:cs="宋体"/>
                <w:b/>
                <w:kern w:val="0"/>
                <w:szCs w:val="21"/>
              </w:rPr>
              <w:t>从业人员(人)</w:t>
            </w:r>
          </w:p>
        </w:tc>
        <w:tc>
          <w:tcPr>
            <w:tcW w:w="851" w:type="dxa"/>
            <w:tcBorders>
              <w:top w:val="nil"/>
              <w:left w:val="nil"/>
              <w:bottom w:val="single" w:color="auto" w:sz="4" w:space="0"/>
              <w:right w:val="single" w:color="auto" w:sz="4" w:space="0"/>
            </w:tcBorders>
            <w:vAlign w:val="center"/>
          </w:tcPr>
          <w:p w14:paraId="467D28A2">
            <w:pPr>
              <w:pStyle w:val="32"/>
              <w:ind w:left="-48" w:leftChars="-23" w:right="-65" w:rightChars="-31"/>
              <w:jc w:val="center"/>
              <w:rPr>
                <w:rFonts w:ascii="宋体" w:hAnsi="宋体" w:cs="宋体"/>
                <w:b/>
                <w:kern w:val="0"/>
                <w:szCs w:val="21"/>
              </w:rPr>
            </w:pPr>
            <w:r>
              <w:rPr>
                <w:rFonts w:hint="eastAsia" w:ascii="宋体" w:hAnsi="宋体" w:cs="宋体"/>
                <w:b/>
                <w:kern w:val="0"/>
                <w:szCs w:val="21"/>
              </w:rPr>
              <w:t>总资产(万元)</w:t>
            </w:r>
          </w:p>
        </w:tc>
        <w:tc>
          <w:tcPr>
            <w:tcW w:w="850" w:type="dxa"/>
            <w:tcBorders>
              <w:top w:val="nil"/>
              <w:left w:val="nil"/>
              <w:bottom w:val="single" w:color="auto" w:sz="4" w:space="0"/>
              <w:right w:val="single" w:color="auto" w:sz="4" w:space="0"/>
            </w:tcBorders>
            <w:vAlign w:val="center"/>
          </w:tcPr>
          <w:p w14:paraId="1CA009D8">
            <w:pPr>
              <w:pStyle w:val="32"/>
              <w:ind w:left="-48" w:leftChars="-23" w:right="-65" w:rightChars="-31"/>
              <w:jc w:val="center"/>
              <w:rPr>
                <w:rFonts w:ascii="宋体" w:hAnsi="宋体" w:cs="宋体"/>
                <w:b/>
                <w:kern w:val="0"/>
                <w:szCs w:val="21"/>
              </w:rPr>
            </w:pPr>
            <w:r>
              <w:rPr>
                <w:rFonts w:hint="eastAsia" w:ascii="宋体" w:hAnsi="宋体" w:cs="宋体"/>
                <w:b/>
                <w:kern w:val="0"/>
                <w:szCs w:val="21"/>
              </w:rPr>
              <w:t>营业收入(万元)</w:t>
            </w:r>
          </w:p>
        </w:tc>
        <w:tc>
          <w:tcPr>
            <w:tcW w:w="709" w:type="dxa"/>
            <w:tcBorders>
              <w:top w:val="nil"/>
              <w:left w:val="nil"/>
              <w:bottom w:val="single" w:color="auto" w:sz="4" w:space="0"/>
              <w:right w:val="single" w:color="auto" w:sz="4" w:space="0"/>
            </w:tcBorders>
            <w:vAlign w:val="center"/>
          </w:tcPr>
          <w:p w14:paraId="11A33E58">
            <w:pPr>
              <w:pStyle w:val="32"/>
              <w:ind w:left="-48" w:leftChars="-23" w:right="-65" w:rightChars="-31"/>
              <w:jc w:val="center"/>
              <w:rPr>
                <w:rFonts w:ascii="宋体" w:hAnsi="宋体" w:cs="宋体"/>
                <w:b/>
                <w:kern w:val="0"/>
                <w:szCs w:val="21"/>
              </w:rPr>
            </w:pPr>
            <w:r>
              <w:rPr>
                <w:rFonts w:hint="eastAsia" w:ascii="宋体" w:hAnsi="宋体" w:cs="宋体"/>
                <w:b/>
                <w:kern w:val="0"/>
                <w:szCs w:val="21"/>
              </w:rPr>
              <w:t>从业人员(人)</w:t>
            </w:r>
          </w:p>
        </w:tc>
        <w:tc>
          <w:tcPr>
            <w:tcW w:w="851" w:type="dxa"/>
            <w:tcBorders>
              <w:top w:val="nil"/>
              <w:left w:val="nil"/>
              <w:bottom w:val="single" w:color="auto" w:sz="4" w:space="0"/>
              <w:right w:val="single" w:color="auto" w:sz="4" w:space="0"/>
            </w:tcBorders>
            <w:vAlign w:val="center"/>
          </w:tcPr>
          <w:p w14:paraId="268616F2">
            <w:pPr>
              <w:pStyle w:val="32"/>
              <w:ind w:left="-48" w:leftChars="-23" w:right="-65" w:rightChars="-31"/>
              <w:jc w:val="center"/>
              <w:rPr>
                <w:rFonts w:ascii="宋体" w:hAnsi="宋体" w:cs="宋体"/>
                <w:b/>
                <w:kern w:val="0"/>
                <w:szCs w:val="21"/>
              </w:rPr>
            </w:pPr>
            <w:r>
              <w:rPr>
                <w:rFonts w:hint="eastAsia" w:ascii="宋体" w:hAnsi="宋体" w:cs="宋体"/>
                <w:b/>
                <w:kern w:val="0"/>
                <w:szCs w:val="21"/>
              </w:rPr>
              <w:t>总资产(万元)</w:t>
            </w:r>
          </w:p>
        </w:tc>
        <w:tc>
          <w:tcPr>
            <w:tcW w:w="850" w:type="dxa"/>
            <w:tcBorders>
              <w:top w:val="nil"/>
              <w:left w:val="nil"/>
              <w:bottom w:val="single" w:color="auto" w:sz="4" w:space="0"/>
              <w:right w:val="single" w:color="auto" w:sz="4" w:space="0"/>
            </w:tcBorders>
            <w:vAlign w:val="center"/>
          </w:tcPr>
          <w:p w14:paraId="4824C1AF">
            <w:pPr>
              <w:pStyle w:val="32"/>
              <w:ind w:left="-48" w:leftChars="-23" w:right="-65" w:rightChars="-31"/>
              <w:jc w:val="center"/>
              <w:rPr>
                <w:rFonts w:ascii="宋体" w:hAnsi="宋体" w:cs="宋体"/>
                <w:b/>
                <w:kern w:val="0"/>
                <w:szCs w:val="21"/>
              </w:rPr>
            </w:pPr>
            <w:r>
              <w:rPr>
                <w:rFonts w:hint="eastAsia" w:ascii="宋体" w:hAnsi="宋体" w:cs="宋体"/>
                <w:b/>
                <w:kern w:val="0"/>
                <w:szCs w:val="21"/>
              </w:rPr>
              <w:t>营业收入(万元)</w:t>
            </w:r>
          </w:p>
        </w:tc>
        <w:tc>
          <w:tcPr>
            <w:tcW w:w="851" w:type="dxa"/>
            <w:tcBorders>
              <w:top w:val="nil"/>
              <w:left w:val="nil"/>
              <w:bottom w:val="single" w:color="auto" w:sz="4" w:space="0"/>
              <w:right w:val="single" w:color="auto" w:sz="4" w:space="0"/>
            </w:tcBorders>
            <w:vAlign w:val="center"/>
          </w:tcPr>
          <w:p w14:paraId="64A8D177">
            <w:pPr>
              <w:pStyle w:val="32"/>
              <w:ind w:left="117" w:leftChars="-23" w:right="-65" w:rightChars="-31" w:hanging="165" w:hangingChars="79"/>
              <w:jc w:val="center"/>
              <w:rPr>
                <w:rFonts w:ascii="宋体" w:hAnsi="宋体" w:cs="宋体"/>
                <w:b/>
                <w:kern w:val="0"/>
                <w:szCs w:val="21"/>
              </w:rPr>
            </w:pPr>
            <w:r>
              <w:rPr>
                <w:rFonts w:hint="eastAsia" w:ascii="宋体" w:hAnsi="宋体" w:cs="宋体"/>
                <w:b/>
                <w:kern w:val="0"/>
                <w:szCs w:val="21"/>
              </w:rPr>
              <w:t>从业人员(人)</w:t>
            </w:r>
          </w:p>
        </w:tc>
        <w:tc>
          <w:tcPr>
            <w:tcW w:w="708" w:type="dxa"/>
            <w:tcBorders>
              <w:top w:val="nil"/>
              <w:left w:val="nil"/>
              <w:bottom w:val="single" w:color="auto" w:sz="4" w:space="0"/>
              <w:right w:val="single" w:color="auto" w:sz="4" w:space="0"/>
            </w:tcBorders>
            <w:vAlign w:val="center"/>
          </w:tcPr>
          <w:p w14:paraId="16D75947">
            <w:pPr>
              <w:pStyle w:val="32"/>
              <w:ind w:left="-48" w:leftChars="-23" w:right="-65" w:rightChars="-31"/>
              <w:jc w:val="center"/>
              <w:rPr>
                <w:rFonts w:ascii="宋体" w:hAnsi="宋体" w:cs="宋体"/>
                <w:b/>
                <w:kern w:val="0"/>
                <w:szCs w:val="21"/>
              </w:rPr>
            </w:pPr>
            <w:r>
              <w:rPr>
                <w:rFonts w:hint="eastAsia" w:ascii="宋体" w:hAnsi="宋体" w:cs="宋体"/>
                <w:b/>
                <w:kern w:val="0"/>
                <w:szCs w:val="21"/>
              </w:rPr>
              <w:t>总资产(万元)</w:t>
            </w:r>
          </w:p>
        </w:tc>
        <w:tc>
          <w:tcPr>
            <w:tcW w:w="709" w:type="dxa"/>
            <w:tcBorders>
              <w:top w:val="nil"/>
              <w:left w:val="nil"/>
              <w:bottom w:val="single" w:color="auto" w:sz="4" w:space="0"/>
              <w:right w:val="single" w:color="auto" w:sz="4" w:space="0"/>
            </w:tcBorders>
            <w:vAlign w:val="center"/>
          </w:tcPr>
          <w:p w14:paraId="548CF48F">
            <w:pPr>
              <w:pStyle w:val="32"/>
              <w:ind w:left="-48" w:leftChars="-23" w:right="-65" w:rightChars="-31"/>
              <w:jc w:val="center"/>
              <w:rPr>
                <w:rFonts w:ascii="宋体" w:hAnsi="宋体" w:cs="宋体"/>
                <w:b/>
                <w:kern w:val="0"/>
                <w:szCs w:val="21"/>
              </w:rPr>
            </w:pPr>
            <w:r>
              <w:rPr>
                <w:rFonts w:hint="eastAsia" w:ascii="宋体" w:hAnsi="宋体" w:cs="宋体"/>
                <w:b/>
                <w:kern w:val="0"/>
                <w:szCs w:val="21"/>
              </w:rPr>
              <w:t>营业收入(万元)</w:t>
            </w:r>
          </w:p>
        </w:tc>
        <w:tc>
          <w:tcPr>
            <w:tcW w:w="709" w:type="dxa"/>
            <w:tcBorders>
              <w:top w:val="nil"/>
              <w:left w:val="nil"/>
              <w:bottom w:val="single" w:color="auto" w:sz="4" w:space="0"/>
              <w:right w:val="single" w:color="auto" w:sz="4" w:space="0"/>
            </w:tcBorders>
            <w:vAlign w:val="center"/>
          </w:tcPr>
          <w:p w14:paraId="193FF120">
            <w:pPr>
              <w:pStyle w:val="32"/>
              <w:ind w:left="-48" w:leftChars="-23" w:right="-65" w:rightChars="-31"/>
              <w:jc w:val="center"/>
              <w:rPr>
                <w:rFonts w:ascii="宋体" w:hAnsi="宋体" w:cs="宋体"/>
                <w:b/>
                <w:kern w:val="0"/>
                <w:szCs w:val="21"/>
              </w:rPr>
            </w:pPr>
            <w:r>
              <w:rPr>
                <w:rFonts w:hint="eastAsia" w:ascii="宋体" w:hAnsi="宋体" w:cs="宋体"/>
                <w:b/>
                <w:kern w:val="0"/>
                <w:szCs w:val="21"/>
              </w:rPr>
              <w:t>从业人员(人)</w:t>
            </w:r>
          </w:p>
        </w:tc>
        <w:tc>
          <w:tcPr>
            <w:tcW w:w="709" w:type="dxa"/>
            <w:tcBorders>
              <w:top w:val="nil"/>
              <w:left w:val="nil"/>
              <w:bottom w:val="single" w:color="auto" w:sz="4" w:space="0"/>
              <w:right w:val="single" w:color="auto" w:sz="4" w:space="0"/>
            </w:tcBorders>
            <w:vAlign w:val="center"/>
          </w:tcPr>
          <w:p w14:paraId="0A072F70">
            <w:pPr>
              <w:pStyle w:val="32"/>
              <w:ind w:left="-48" w:leftChars="-23" w:right="-65" w:rightChars="-31"/>
              <w:jc w:val="center"/>
              <w:rPr>
                <w:rFonts w:ascii="宋体" w:hAnsi="宋体" w:cs="宋体"/>
                <w:b/>
                <w:kern w:val="0"/>
                <w:szCs w:val="21"/>
              </w:rPr>
            </w:pPr>
            <w:r>
              <w:rPr>
                <w:rFonts w:hint="eastAsia" w:ascii="宋体" w:hAnsi="宋体" w:cs="宋体"/>
                <w:b/>
                <w:kern w:val="0"/>
                <w:szCs w:val="21"/>
              </w:rPr>
              <w:t>总资产(万元)</w:t>
            </w:r>
          </w:p>
        </w:tc>
      </w:tr>
      <w:tr w14:paraId="5DA710A1">
        <w:tblPrEx>
          <w:tblCellMar>
            <w:top w:w="0" w:type="dxa"/>
            <w:left w:w="108" w:type="dxa"/>
            <w:bottom w:w="0" w:type="dxa"/>
            <w:right w:w="108" w:type="dxa"/>
          </w:tblCellMar>
        </w:tblPrEx>
        <w:trPr>
          <w:trHeight w:val="369"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4BB10182">
            <w:pPr>
              <w:pStyle w:val="32"/>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764" w:type="dxa"/>
            <w:tcBorders>
              <w:top w:val="single" w:color="auto" w:sz="4" w:space="0"/>
              <w:left w:val="nil"/>
              <w:bottom w:val="single" w:color="auto" w:sz="4" w:space="0"/>
              <w:right w:val="single" w:color="auto" w:sz="4" w:space="0"/>
            </w:tcBorders>
            <w:vAlign w:val="center"/>
          </w:tcPr>
          <w:p w14:paraId="36F34181">
            <w:pPr>
              <w:pStyle w:val="32"/>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851" w:type="dxa"/>
            <w:tcBorders>
              <w:top w:val="single" w:color="auto" w:sz="4" w:space="0"/>
              <w:left w:val="nil"/>
              <w:bottom w:val="single" w:color="auto" w:sz="4" w:space="0"/>
              <w:right w:val="single" w:color="auto" w:sz="4" w:space="0"/>
            </w:tcBorders>
            <w:vAlign w:val="center"/>
          </w:tcPr>
          <w:p w14:paraId="6B0B1D76">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50" w:type="dxa"/>
            <w:tcBorders>
              <w:top w:val="nil"/>
              <w:left w:val="nil"/>
              <w:bottom w:val="single" w:color="auto" w:sz="4" w:space="0"/>
              <w:right w:val="single" w:color="auto" w:sz="4" w:space="0"/>
            </w:tcBorders>
            <w:vAlign w:val="center"/>
          </w:tcPr>
          <w:p w14:paraId="08C1A0E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78BF6677">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70EBB2B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709" w:type="dxa"/>
            <w:tcBorders>
              <w:top w:val="nil"/>
              <w:left w:val="nil"/>
              <w:bottom w:val="single" w:color="auto" w:sz="4" w:space="0"/>
              <w:right w:val="single" w:color="auto" w:sz="4" w:space="0"/>
            </w:tcBorders>
            <w:vAlign w:val="center"/>
          </w:tcPr>
          <w:p w14:paraId="0EDB3E0C">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11848204">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263B13D7">
            <w:pPr>
              <w:pStyle w:val="32"/>
              <w:widowControl/>
              <w:jc w:val="center"/>
              <w:rPr>
                <w:rFonts w:ascii="宋体" w:hAnsi="宋体" w:cs="宋体"/>
                <w:kern w:val="0"/>
                <w:szCs w:val="21"/>
              </w:rPr>
            </w:pPr>
            <w:r>
              <w:rPr>
                <w:rFonts w:hint="eastAsia" w:ascii="宋体" w:hAnsi="宋体" w:cs="宋体"/>
                <w:kern w:val="0"/>
                <w:szCs w:val="21"/>
              </w:rPr>
              <w:t>≥50</w:t>
            </w:r>
          </w:p>
        </w:tc>
        <w:tc>
          <w:tcPr>
            <w:tcW w:w="851" w:type="dxa"/>
            <w:tcBorders>
              <w:top w:val="nil"/>
              <w:left w:val="nil"/>
              <w:bottom w:val="single" w:color="auto" w:sz="4" w:space="0"/>
              <w:right w:val="single" w:color="auto" w:sz="4" w:space="0"/>
            </w:tcBorders>
            <w:vAlign w:val="center"/>
          </w:tcPr>
          <w:p w14:paraId="1066DE70">
            <w:pPr>
              <w:pStyle w:val="32"/>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vAlign w:val="center"/>
          </w:tcPr>
          <w:p w14:paraId="0BBA681C">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64F6DE72">
            <w:pPr>
              <w:pStyle w:val="32"/>
              <w:widowControl/>
              <w:jc w:val="center"/>
              <w:rPr>
                <w:rFonts w:ascii="宋体" w:hAnsi="宋体" w:cs="宋体"/>
                <w:kern w:val="0"/>
                <w:szCs w:val="21"/>
              </w:rPr>
            </w:pPr>
            <w:r>
              <w:rPr>
                <w:rFonts w:hint="eastAsia" w:ascii="宋体" w:hAnsi="宋体" w:cs="宋体"/>
                <w:kern w:val="0"/>
                <w:szCs w:val="21"/>
              </w:rPr>
              <w:t>＜50</w:t>
            </w:r>
          </w:p>
        </w:tc>
        <w:tc>
          <w:tcPr>
            <w:tcW w:w="709" w:type="dxa"/>
            <w:tcBorders>
              <w:top w:val="nil"/>
              <w:left w:val="nil"/>
              <w:bottom w:val="single" w:color="auto" w:sz="4" w:space="0"/>
              <w:right w:val="single" w:color="auto" w:sz="4" w:space="0"/>
            </w:tcBorders>
            <w:vAlign w:val="center"/>
          </w:tcPr>
          <w:p w14:paraId="5D3F02DB">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4C724276">
            <w:pPr>
              <w:pStyle w:val="32"/>
              <w:widowControl/>
              <w:jc w:val="center"/>
              <w:rPr>
                <w:rFonts w:ascii="宋体" w:hAnsi="宋体" w:cs="宋体"/>
                <w:kern w:val="0"/>
                <w:szCs w:val="21"/>
              </w:rPr>
            </w:pPr>
            <w:r>
              <w:rPr>
                <w:rFonts w:hint="eastAsia" w:ascii="宋体" w:hAnsi="宋体" w:cs="宋体"/>
                <w:kern w:val="0"/>
                <w:szCs w:val="21"/>
              </w:rPr>
              <w:t>　</w:t>
            </w:r>
          </w:p>
        </w:tc>
      </w:tr>
      <w:tr w14:paraId="2E2C1DEC">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540A06B3">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764" w:type="dxa"/>
            <w:tcBorders>
              <w:top w:val="nil"/>
              <w:left w:val="nil"/>
              <w:bottom w:val="single" w:color="auto" w:sz="4" w:space="0"/>
              <w:right w:val="single" w:color="auto" w:sz="4" w:space="0"/>
            </w:tcBorders>
            <w:vAlign w:val="center"/>
          </w:tcPr>
          <w:p w14:paraId="667259DC">
            <w:pPr>
              <w:pStyle w:val="32"/>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851" w:type="dxa"/>
            <w:tcBorders>
              <w:top w:val="nil"/>
              <w:left w:val="nil"/>
              <w:bottom w:val="single" w:color="auto" w:sz="4" w:space="0"/>
              <w:right w:val="single" w:color="auto" w:sz="4" w:space="0"/>
            </w:tcBorders>
            <w:vAlign w:val="center"/>
          </w:tcPr>
          <w:p w14:paraId="4AB0235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50" w:type="dxa"/>
            <w:tcBorders>
              <w:top w:val="nil"/>
              <w:left w:val="nil"/>
              <w:bottom w:val="single" w:color="auto" w:sz="4" w:space="0"/>
              <w:right w:val="single" w:color="auto" w:sz="4" w:space="0"/>
            </w:tcBorders>
            <w:vAlign w:val="center"/>
          </w:tcPr>
          <w:p w14:paraId="12DA8844">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且≥1000</w:t>
            </w:r>
          </w:p>
        </w:tc>
        <w:tc>
          <w:tcPr>
            <w:tcW w:w="851" w:type="dxa"/>
            <w:tcBorders>
              <w:top w:val="nil"/>
              <w:left w:val="nil"/>
              <w:bottom w:val="single" w:color="auto" w:sz="4" w:space="0"/>
              <w:right w:val="single" w:color="auto" w:sz="4" w:space="0"/>
            </w:tcBorders>
            <w:vAlign w:val="center"/>
          </w:tcPr>
          <w:p w14:paraId="651AED7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7CA85880">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709" w:type="dxa"/>
            <w:tcBorders>
              <w:top w:val="nil"/>
              <w:left w:val="nil"/>
              <w:bottom w:val="single" w:color="auto" w:sz="4" w:space="0"/>
              <w:right w:val="single" w:color="auto" w:sz="4" w:space="0"/>
            </w:tcBorders>
            <w:vAlign w:val="center"/>
          </w:tcPr>
          <w:p w14:paraId="556E10B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7FB1CD34">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3CAECD6A">
            <w:pPr>
              <w:pStyle w:val="32"/>
              <w:widowControl/>
              <w:jc w:val="center"/>
              <w:rPr>
                <w:rFonts w:ascii="宋体" w:hAnsi="宋体" w:cs="宋体"/>
                <w:kern w:val="0"/>
                <w:szCs w:val="21"/>
              </w:rPr>
            </w:pPr>
            <w:r>
              <w:rPr>
                <w:rFonts w:hint="eastAsia" w:ascii="宋体" w:hAnsi="宋体" w:cs="宋体"/>
                <w:kern w:val="0"/>
                <w:szCs w:val="21"/>
              </w:rPr>
              <w:t>≥300</w:t>
            </w:r>
          </w:p>
        </w:tc>
        <w:tc>
          <w:tcPr>
            <w:tcW w:w="851" w:type="dxa"/>
            <w:tcBorders>
              <w:top w:val="nil"/>
              <w:left w:val="nil"/>
              <w:bottom w:val="single" w:color="auto" w:sz="4" w:space="0"/>
              <w:right w:val="single" w:color="auto" w:sz="4" w:space="0"/>
            </w:tcBorders>
            <w:vAlign w:val="center"/>
          </w:tcPr>
          <w:p w14:paraId="40B20EBF">
            <w:pPr>
              <w:pStyle w:val="32"/>
              <w:widowControl/>
              <w:jc w:val="center"/>
              <w:rPr>
                <w:rFonts w:ascii="宋体" w:hAnsi="宋体" w:cs="宋体"/>
                <w:kern w:val="0"/>
                <w:szCs w:val="21"/>
              </w:rPr>
            </w:pPr>
            <w:r>
              <w:rPr>
                <w:rFonts w:hint="eastAsia" w:ascii="宋体" w:hAnsi="宋体" w:cs="宋体"/>
                <w:kern w:val="0"/>
                <w:szCs w:val="21"/>
              </w:rPr>
              <w:t>且≥20</w:t>
            </w:r>
          </w:p>
        </w:tc>
        <w:tc>
          <w:tcPr>
            <w:tcW w:w="708" w:type="dxa"/>
            <w:tcBorders>
              <w:top w:val="nil"/>
              <w:left w:val="nil"/>
              <w:bottom w:val="single" w:color="auto" w:sz="4" w:space="0"/>
              <w:right w:val="single" w:color="auto" w:sz="4" w:space="0"/>
            </w:tcBorders>
            <w:vAlign w:val="center"/>
          </w:tcPr>
          <w:p w14:paraId="608A4AF2">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5C6B1BD0">
            <w:pPr>
              <w:pStyle w:val="32"/>
              <w:widowControl/>
              <w:jc w:val="center"/>
              <w:rPr>
                <w:rFonts w:ascii="宋体" w:hAnsi="宋体" w:cs="宋体"/>
                <w:kern w:val="0"/>
                <w:szCs w:val="21"/>
              </w:rPr>
            </w:pPr>
            <w:r>
              <w:rPr>
                <w:rFonts w:hint="eastAsia" w:ascii="宋体" w:hAnsi="宋体" w:cs="宋体"/>
                <w:kern w:val="0"/>
                <w:szCs w:val="21"/>
              </w:rPr>
              <w:t>＜300</w:t>
            </w:r>
          </w:p>
        </w:tc>
        <w:tc>
          <w:tcPr>
            <w:tcW w:w="709" w:type="dxa"/>
            <w:tcBorders>
              <w:top w:val="nil"/>
              <w:left w:val="nil"/>
              <w:bottom w:val="single" w:color="auto" w:sz="4" w:space="0"/>
              <w:right w:val="single" w:color="auto" w:sz="4" w:space="0"/>
            </w:tcBorders>
            <w:vAlign w:val="center"/>
          </w:tcPr>
          <w:p w14:paraId="448CA3F5">
            <w:pPr>
              <w:pStyle w:val="32"/>
              <w:widowControl/>
              <w:jc w:val="center"/>
              <w:rPr>
                <w:rFonts w:ascii="宋体" w:hAnsi="宋体" w:cs="宋体"/>
                <w:kern w:val="0"/>
                <w:szCs w:val="21"/>
              </w:rPr>
            </w:pPr>
            <w:r>
              <w:rPr>
                <w:rFonts w:hint="eastAsia" w:ascii="宋体" w:hAnsi="宋体" w:cs="宋体"/>
                <w:kern w:val="0"/>
                <w:szCs w:val="21"/>
              </w:rPr>
              <w:t>或＜20</w:t>
            </w:r>
          </w:p>
        </w:tc>
        <w:tc>
          <w:tcPr>
            <w:tcW w:w="709" w:type="dxa"/>
            <w:tcBorders>
              <w:top w:val="nil"/>
              <w:left w:val="nil"/>
              <w:bottom w:val="single" w:color="auto" w:sz="4" w:space="0"/>
              <w:right w:val="single" w:color="auto" w:sz="4" w:space="0"/>
            </w:tcBorders>
            <w:vAlign w:val="center"/>
          </w:tcPr>
          <w:p w14:paraId="640F3990">
            <w:pPr>
              <w:pStyle w:val="32"/>
              <w:widowControl/>
              <w:jc w:val="center"/>
              <w:rPr>
                <w:rFonts w:ascii="宋体" w:hAnsi="宋体" w:cs="宋体"/>
                <w:kern w:val="0"/>
                <w:szCs w:val="21"/>
              </w:rPr>
            </w:pPr>
            <w:r>
              <w:rPr>
                <w:rFonts w:hint="eastAsia" w:ascii="宋体" w:hAnsi="宋体" w:cs="宋体"/>
                <w:kern w:val="0"/>
                <w:szCs w:val="21"/>
              </w:rPr>
              <w:t>　</w:t>
            </w:r>
          </w:p>
        </w:tc>
      </w:tr>
      <w:tr w14:paraId="36295D4D">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07CD2B05">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764" w:type="dxa"/>
            <w:tcBorders>
              <w:top w:val="nil"/>
              <w:left w:val="nil"/>
              <w:bottom w:val="single" w:color="auto" w:sz="4" w:space="0"/>
              <w:right w:val="single" w:color="auto" w:sz="4" w:space="0"/>
            </w:tcBorders>
            <w:vAlign w:val="center"/>
          </w:tcPr>
          <w:p w14:paraId="47F28A56">
            <w:pPr>
              <w:pStyle w:val="32"/>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851" w:type="dxa"/>
            <w:tcBorders>
              <w:top w:val="nil"/>
              <w:left w:val="nil"/>
              <w:bottom w:val="single" w:color="auto" w:sz="4" w:space="0"/>
              <w:right w:val="single" w:color="auto" w:sz="4" w:space="0"/>
            </w:tcBorders>
            <w:vAlign w:val="center"/>
          </w:tcPr>
          <w:p w14:paraId="6BC986E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850" w:type="dxa"/>
            <w:tcBorders>
              <w:top w:val="nil"/>
              <w:left w:val="nil"/>
              <w:bottom w:val="single" w:color="auto" w:sz="4" w:space="0"/>
              <w:right w:val="single" w:color="auto" w:sz="4" w:space="0"/>
            </w:tcBorders>
            <w:vAlign w:val="center"/>
          </w:tcPr>
          <w:p w14:paraId="6ED0F079">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3E89F484">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且≥80000</w:t>
            </w:r>
          </w:p>
        </w:tc>
        <w:tc>
          <w:tcPr>
            <w:tcW w:w="850" w:type="dxa"/>
            <w:tcBorders>
              <w:top w:val="nil"/>
              <w:left w:val="nil"/>
              <w:bottom w:val="single" w:color="auto" w:sz="4" w:space="0"/>
              <w:right w:val="single" w:color="auto" w:sz="4" w:space="0"/>
            </w:tcBorders>
            <w:vAlign w:val="center"/>
          </w:tcPr>
          <w:p w14:paraId="32651DA4">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≥6000</w:t>
            </w:r>
          </w:p>
        </w:tc>
        <w:tc>
          <w:tcPr>
            <w:tcW w:w="709" w:type="dxa"/>
            <w:tcBorders>
              <w:top w:val="nil"/>
              <w:left w:val="nil"/>
              <w:bottom w:val="single" w:color="auto" w:sz="4" w:space="0"/>
              <w:right w:val="single" w:color="auto" w:sz="4" w:space="0"/>
            </w:tcBorders>
            <w:vAlign w:val="center"/>
          </w:tcPr>
          <w:p w14:paraId="47D8A58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1FB661A1">
            <w:pPr>
              <w:pStyle w:val="32"/>
              <w:widowControl/>
              <w:jc w:val="center"/>
              <w:rPr>
                <w:rFonts w:ascii="宋体" w:hAnsi="宋体" w:cs="宋体"/>
                <w:kern w:val="0"/>
                <w:szCs w:val="21"/>
              </w:rPr>
            </w:pPr>
            <w:r>
              <w:rPr>
                <w:rFonts w:hint="eastAsia" w:ascii="宋体" w:hAnsi="宋体" w:cs="宋体"/>
                <w:kern w:val="0"/>
                <w:szCs w:val="21"/>
              </w:rPr>
              <w:t>且≥5000</w:t>
            </w:r>
          </w:p>
        </w:tc>
        <w:tc>
          <w:tcPr>
            <w:tcW w:w="850" w:type="dxa"/>
            <w:tcBorders>
              <w:top w:val="nil"/>
              <w:left w:val="nil"/>
              <w:bottom w:val="single" w:color="auto" w:sz="4" w:space="0"/>
              <w:right w:val="single" w:color="auto" w:sz="4" w:space="0"/>
            </w:tcBorders>
            <w:vAlign w:val="center"/>
          </w:tcPr>
          <w:p w14:paraId="53E37483">
            <w:pPr>
              <w:pStyle w:val="32"/>
              <w:widowControl/>
              <w:jc w:val="center"/>
              <w:rPr>
                <w:rFonts w:ascii="宋体" w:hAnsi="宋体" w:cs="宋体"/>
                <w:kern w:val="0"/>
                <w:szCs w:val="21"/>
              </w:rPr>
            </w:pPr>
            <w:r>
              <w:rPr>
                <w:rFonts w:hint="eastAsia" w:ascii="宋体" w:hAnsi="宋体" w:cs="宋体"/>
                <w:kern w:val="0"/>
                <w:szCs w:val="21"/>
              </w:rPr>
              <w:t>≥300</w:t>
            </w:r>
          </w:p>
        </w:tc>
        <w:tc>
          <w:tcPr>
            <w:tcW w:w="851" w:type="dxa"/>
            <w:tcBorders>
              <w:top w:val="nil"/>
              <w:left w:val="nil"/>
              <w:bottom w:val="single" w:color="auto" w:sz="4" w:space="0"/>
              <w:right w:val="single" w:color="auto" w:sz="4" w:space="0"/>
            </w:tcBorders>
            <w:vAlign w:val="center"/>
          </w:tcPr>
          <w:p w14:paraId="18B04B11">
            <w:pPr>
              <w:pStyle w:val="32"/>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vAlign w:val="center"/>
          </w:tcPr>
          <w:p w14:paraId="2F8CA02C">
            <w:pPr>
              <w:pStyle w:val="32"/>
              <w:widowControl/>
              <w:jc w:val="center"/>
              <w:rPr>
                <w:rFonts w:ascii="宋体" w:hAnsi="宋体" w:cs="宋体"/>
                <w:kern w:val="0"/>
                <w:szCs w:val="21"/>
              </w:rPr>
            </w:pPr>
            <w:r>
              <w:rPr>
                <w:rFonts w:hint="eastAsia" w:ascii="宋体" w:hAnsi="宋体" w:cs="宋体"/>
                <w:kern w:val="0"/>
                <w:szCs w:val="21"/>
              </w:rPr>
              <w:t>且≥300</w:t>
            </w:r>
          </w:p>
        </w:tc>
        <w:tc>
          <w:tcPr>
            <w:tcW w:w="709" w:type="dxa"/>
            <w:tcBorders>
              <w:top w:val="nil"/>
              <w:left w:val="nil"/>
              <w:bottom w:val="single" w:color="auto" w:sz="4" w:space="0"/>
              <w:right w:val="single" w:color="auto" w:sz="4" w:space="0"/>
            </w:tcBorders>
            <w:vAlign w:val="center"/>
          </w:tcPr>
          <w:p w14:paraId="01EC56A9">
            <w:pPr>
              <w:pStyle w:val="32"/>
              <w:widowControl/>
              <w:jc w:val="center"/>
              <w:rPr>
                <w:rFonts w:ascii="宋体" w:hAnsi="宋体" w:cs="宋体"/>
                <w:kern w:val="0"/>
                <w:szCs w:val="21"/>
              </w:rPr>
            </w:pPr>
            <w:r>
              <w:rPr>
                <w:rFonts w:hint="eastAsia" w:ascii="宋体" w:hAnsi="宋体" w:cs="宋体"/>
                <w:kern w:val="0"/>
                <w:szCs w:val="21"/>
              </w:rPr>
              <w:t>＜300</w:t>
            </w:r>
          </w:p>
        </w:tc>
        <w:tc>
          <w:tcPr>
            <w:tcW w:w="709" w:type="dxa"/>
            <w:tcBorders>
              <w:top w:val="nil"/>
              <w:left w:val="nil"/>
              <w:bottom w:val="single" w:color="auto" w:sz="4" w:space="0"/>
              <w:right w:val="single" w:color="auto" w:sz="4" w:space="0"/>
            </w:tcBorders>
            <w:vAlign w:val="center"/>
          </w:tcPr>
          <w:p w14:paraId="20A69B13">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5FC62E87">
            <w:pPr>
              <w:pStyle w:val="32"/>
              <w:widowControl/>
              <w:jc w:val="center"/>
              <w:rPr>
                <w:rFonts w:ascii="宋体" w:hAnsi="宋体" w:cs="宋体"/>
                <w:kern w:val="0"/>
                <w:szCs w:val="21"/>
              </w:rPr>
            </w:pPr>
            <w:r>
              <w:rPr>
                <w:rFonts w:hint="eastAsia" w:ascii="宋体" w:hAnsi="宋体" w:cs="宋体"/>
                <w:kern w:val="0"/>
                <w:szCs w:val="21"/>
              </w:rPr>
              <w:t>或＜300</w:t>
            </w:r>
          </w:p>
        </w:tc>
      </w:tr>
      <w:tr w14:paraId="49D4A4DC">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78A17C7D">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764" w:type="dxa"/>
            <w:tcBorders>
              <w:top w:val="nil"/>
              <w:left w:val="nil"/>
              <w:bottom w:val="single" w:color="auto" w:sz="4" w:space="0"/>
              <w:right w:val="single" w:color="auto" w:sz="4" w:space="0"/>
            </w:tcBorders>
            <w:vAlign w:val="center"/>
          </w:tcPr>
          <w:p w14:paraId="793B23D8">
            <w:pPr>
              <w:pStyle w:val="32"/>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851" w:type="dxa"/>
            <w:tcBorders>
              <w:top w:val="nil"/>
              <w:left w:val="nil"/>
              <w:bottom w:val="single" w:color="auto" w:sz="4" w:space="0"/>
              <w:right w:val="single" w:color="auto" w:sz="4" w:space="0"/>
            </w:tcBorders>
            <w:vAlign w:val="center"/>
          </w:tcPr>
          <w:p w14:paraId="3F1DACF5">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50" w:type="dxa"/>
            <w:tcBorders>
              <w:top w:val="nil"/>
              <w:left w:val="nil"/>
              <w:bottom w:val="single" w:color="auto" w:sz="4" w:space="0"/>
              <w:right w:val="single" w:color="auto" w:sz="4" w:space="0"/>
            </w:tcBorders>
            <w:vAlign w:val="center"/>
          </w:tcPr>
          <w:p w14:paraId="33FD04C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且≥200</w:t>
            </w:r>
          </w:p>
        </w:tc>
        <w:tc>
          <w:tcPr>
            <w:tcW w:w="851" w:type="dxa"/>
            <w:tcBorders>
              <w:top w:val="nil"/>
              <w:left w:val="nil"/>
              <w:bottom w:val="single" w:color="auto" w:sz="4" w:space="0"/>
              <w:right w:val="single" w:color="auto" w:sz="4" w:space="0"/>
            </w:tcBorders>
            <w:vAlign w:val="center"/>
          </w:tcPr>
          <w:p w14:paraId="73C4017C">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50092FF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709" w:type="dxa"/>
            <w:tcBorders>
              <w:top w:val="nil"/>
              <w:left w:val="nil"/>
              <w:bottom w:val="single" w:color="auto" w:sz="4" w:space="0"/>
              <w:right w:val="single" w:color="auto" w:sz="4" w:space="0"/>
            </w:tcBorders>
            <w:vAlign w:val="center"/>
          </w:tcPr>
          <w:p w14:paraId="6F3E3D3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且≥20</w:t>
            </w:r>
          </w:p>
        </w:tc>
        <w:tc>
          <w:tcPr>
            <w:tcW w:w="851" w:type="dxa"/>
            <w:tcBorders>
              <w:top w:val="nil"/>
              <w:left w:val="nil"/>
              <w:bottom w:val="single" w:color="auto" w:sz="4" w:space="0"/>
              <w:right w:val="single" w:color="auto" w:sz="4" w:space="0"/>
            </w:tcBorders>
            <w:vAlign w:val="center"/>
          </w:tcPr>
          <w:p w14:paraId="23453420">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0AF989B4">
            <w:pPr>
              <w:pStyle w:val="32"/>
              <w:widowControl/>
              <w:jc w:val="center"/>
              <w:rPr>
                <w:rFonts w:ascii="宋体" w:hAnsi="宋体" w:cs="宋体"/>
                <w:kern w:val="0"/>
                <w:szCs w:val="21"/>
              </w:rPr>
            </w:pPr>
            <w:r>
              <w:rPr>
                <w:rFonts w:hint="eastAsia" w:ascii="宋体" w:hAnsi="宋体" w:cs="宋体"/>
                <w:kern w:val="0"/>
                <w:szCs w:val="21"/>
              </w:rPr>
              <w:t>≥1000</w:t>
            </w:r>
          </w:p>
        </w:tc>
        <w:tc>
          <w:tcPr>
            <w:tcW w:w="851" w:type="dxa"/>
            <w:tcBorders>
              <w:top w:val="nil"/>
              <w:left w:val="nil"/>
              <w:bottom w:val="single" w:color="auto" w:sz="4" w:space="0"/>
              <w:right w:val="single" w:color="auto" w:sz="4" w:space="0"/>
            </w:tcBorders>
            <w:vAlign w:val="center"/>
          </w:tcPr>
          <w:p w14:paraId="390640F6">
            <w:pPr>
              <w:pStyle w:val="32"/>
              <w:widowControl/>
              <w:jc w:val="center"/>
              <w:rPr>
                <w:rFonts w:ascii="宋体" w:hAnsi="宋体" w:cs="宋体"/>
                <w:kern w:val="0"/>
                <w:szCs w:val="21"/>
              </w:rPr>
            </w:pPr>
            <w:r>
              <w:rPr>
                <w:rFonts w:hint="eastAsia" w:ascii="宋体" w:hAnsi="宋体" w:cs="宋体"/>
                <w:kern w:val="0"/>
                <w:szCs w:val="21"/>
              </w:rPr>
              <w:t>且≥5</w:t>
            </w:r>
          </w:p>
        </w:tc>
        <w:tc>
          <w:tcPr>
            <w:tcW w:w="708" w:type="dxa"/>
            <w:tcBorders>
              <w:top w:val="nil"/>
              <w:left w:val="nil"/>
              <w:bottom w:val="single" w:color="auto" w:sz="4" w:space="0"/>
              <w:right w:val="single" w:color="auto" w:sz="4" w:space="0"/>
            </w:tcBorders>
            <w:vAlign w:val="center"/>
          </w:tcPr>
          <w:p w14:paraId="0A670944">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26EE0269">
            <w:pPr>
              <w:pStyle w:val="32"/>
              <w:widowControl/>
              <w:jc w:val="center"/>
              <w:rPr>
                <w:rFonts w:ascii="宋体" w:hAnsi="宋体" w:cs="宋体"/>
                <w:kern w:val="0"/>
                <w:szCs w:val="21"/>
              </w:rPr>
            </w:pPr>
            <w:r>
              <w:rPr>
                <w:rFonts w:hint="eastAsia" w:ascii="宋体" w:hAnsi="宋体" w:cs="宋体"/>
                <w:kern w:val="0"/>
                <w:szCs w:val="21"/>
              </w:rPr>
              <w:t>＜1000</w:t>
            </w:r>
          </w:p>
        </w:tc>
        <w:tc>
          <w:tcPr>
            <w:tcW w:w="709" w:type="dxa"/>
            <w:tcBorders>
              <w:top w:val="nil"/>
              <w:left w:val="nil"/>
              <w:bottom w:val="single" w:color="auto" w:sz="4" w:space="0"/>
              <w:right w:val="single" w:color="auto" w:sz="4" w:space="0"/>
            </w:tcBorders>
            <w:vAlign w:val="center"/>
          </w:tcPr>
          <w:p w14:paraId="40B00B4D">
            <w:pPr>
              <w:pStyle w:val="32"/>
              <w:widowControl/>
              <w:jc w:val="center"/>
              <w:rPr>
                <w:rFonts w:ascii="宋体" w:hAnsi="宋体" w:cs="宋体"/>
                <w:kern w:val="0"/>
                <w:szCs w:val="21"/>
              </w:rPr>
            </w:pPr>
            <w:r>
              <w:rPr>
                <w:rFonts w:hint="eastAsia" w:ascii="宋体" w:hAnsi="宋体" w:cs="宋体"/>
                <w:kern w:val="0"/>
                <w:szCs w:val="21"/>
              </w:rPr>
              <w:t>或＜5</w:t>
            </w:r>
          </w:p>
        </w:tc>
        <w:tc>
          <w:tcPr>
            <w:tcW w:w="709" w:type="dxa"/>
            <w:tcBorders>
              <w:top w:val="nil"/>
              <w:left w:val="nil"/>
              <w:bottom w:val="single" w:color="auto" w:sz="4" w:space="0"/>
              <w:right w:val="single" w:color="auto" w:sz="4" w:space="0"/>
            </w:tcBorders>
            <w:vAlign w:val="center"/>
          </w:tcPr>
          <w:p w14:paraId="01A62DEF">
            <w:pPr>
              <w:pStyle w:val="32"/>
              <w:widowControl/>
              <w:jc w:val="center"/>
              <w:rPr>
                <w:rFonts w:ascii="宋体" w:hAnsi="宋体" w:cs="宋体"/>
                <w:kern w:val="0"/>
                <w:szCs w:val="21"/>
              </w:rPr>
            </w:pPr>
            <w:r>
              <w:rPr>
                <w:rFonts w:hint="eastAsia" w:ascii="宋体" w:hAnsi="宋体" w:cs="宋体"/>
                <w:kern w:val="0"/>
                <w:szCs w:val="21"/>
              </w:rPr>
              <w:t>　</w:t>
            </w:r>
          </w:p>
        </w:tc>
      </w:tr>
      <w:tr w14:paraId="607CEB58">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347BC510">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764" w:type="dxa"/>
            <w:tcBorders>
              <w:top w:val="nil"/>
              <w:left w:val="nil"/>
              <w:bottom w:val="single" w:color="auto" w:sz="4" w:space="0"/>
              <w:right w:val="single" w:color="auto" w:sz="4" w:space="0"/>
            </w:tcBorders>
            <w:vAlign w:val="center"/>
          </w:tcPr>
          <w:p w14:paraId="2DE1A1FB">
            <w:pPr>
              <w:pStyle w:val="32"/>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851" w:type="dxa"/>
            <w:tcBorders>
              <w:top w:val="nil"/>
              <w:left w:val="nil"/>
              <w:bottom w:val="single" w:color="auto" w:sz="4" w:space="0"/>
              <w:right w:val="single" w:color="auto" w:sz="4" w:space="0"/>
            </w:tcBorders>
            <w:vAlign w:val="center"/>
          </w:tcPr>
          <w:p w14:paraId="2C474FB7">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50" w:type="dxa"/>
            <w:tcBorders>
              <w:top w:val="nil"/>
              <w:left w:val="nil"/>
              <w:bottom w:val="single" w:color="auto" w:sz="4" w:space="0"/>
              <w:right w:val="single" w:color="auto" w:sz="4" w:space="0"/>
            </w:tcBorders>
            <w:vAlign w:val="center"/>
          </w:tcPr>
          <w:p w14:paraId="4C36C72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2A88FFD1">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2CA012B7">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709" w:type="dxa"/>
            <w:tcBorders>
              <w:top w:val="nil"/>
              <w:left w:val="nil"/>
              <w:bottom w:val="single" w:color="auto" w:sz="4" w:space="0"/>
              <w:right w:val="single" w:color="auto" w:sz="4" w:space="0"/>
            </w:tcBorders>
            <w:vAlign w:val="center"/>
          </w:tcPr>
          <w:p w14:paraId="75664CF4">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且≥50</w:t>
            </w:r>
          </w:p>
        </w:tc>
        <w:tc>
          <w:tcPr>
            <w:tcW w:w="851" w:type="dxa"/>
            <w:tcBorders>
              <w:top w:val="nil"/>
              <w:left w:val="nil"/>
              <w:bottom w:val="single" w:color="auto" w:sz="4" w:space="0"/>
              <w:right w:val="single" w:color="auto" w:sz="4" w:space="0"/>
            </w:tcBorders>
            <w:vAlign w:val="center"/>
          </w:tcPr>
          <w:p w14:paraId="6944D6B7">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6E969B99">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334EF71C">
            <w:pPr>
              <w:pStyle w:val="32"/>
              <w:widowControl/>
              <w:jc w:val="center"/>
              <w:rPr>
                <w:rFonts w:ascii="宋体" w:hAnsi="宋体" w:cs="宋体"/>
                <w:kern w:val="0"/>
                <w:szCs w:val="21"/>
              </w:rPr>
            </w:pPr>
            <w:r>
              <w:rPr>
                <w:rFonts w:hint="eastAsia" w:ascii="宋体" w:hAnsi="宋体" w:cs="宋体"/>
                <w:kern w:val="0"/>
                <w:szCs w:val="21"/>
              </w:rPr>
              <w:t>且≥10</w:t>
            </w:r>
          </w:p>
        </w:tc>
        <w:tc>
          <w:tcPr>
            <w:tcW w:w="708" w:type="dxa"/>
            <w:tcBorders>
              <w:top w:val="nil"/>
              <w:left w:val="nil"/>
              <w:bottom w:val="single" w:color="auto" w:sz="4" w:space="0"/>
              <w:right w:val="single" w:color="auto" w:sz="4" w:space="0"/>
            </w:tcBorders>
            <w:vAlign w:val="center"/>
          </w:tcPr>
          <w:p w14:paraId="0289D8F0">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36CAFFF0">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73C4F4A0">
            <w:pPr>
              <w:pStyle w:val="32"/>
              <w:widowControl/>
              <w:jc w:val="center"/>
              <w:rPr>
                <w:rFonts w:ascii="宋体" w:hAnsi="宋体" w:cs="宋体"/>
                <w:kern w:val="0"/>
                <w:szCs w:val="21"/>
              </w:rPr>
            </w:pPr>
            <w:r>
              <w:rPr>
                <w:rFonts w:hint="eastAsia" w:ascii="宋体" w:hAnsi="宋体" w:cs="宋体"/>
                <w:kern w:val="0"/>
                <w:szCs w:val="21"/>
              </w:rPr>
              <w:t>或＜10</w:t>
            </w:r>
          </w:p>
        </w:tc>
        <w:tc>
          <w:tcPr>
            <w:tcW w:w="709" w:type="dxa"/>
            <w:tcBorders>
              <w:top w:val="nil"/>
              <w:left w:val="nil"/>
              <w:bottom w:val="single" w:color="auto" w:sz="4" w:space="0"/>
              <w:right w:val="single" w:color="auto" w:sz="4" w:space="0"/>
            </w:tcBorders>
            <w:vAlign w:val="center"/>
          </w:tcPr>
          <w:p w14:paraId="5117E4DF">
            <w:pPr>
              <w:pStyle w:val="32"/>
              <w:widowControl/>
              <w:jc w:val="center"/>
              <w:rPr>
                <w:rFonts w:ascii="宋体" w:hAnsi="宋体" w:cs="宋体"/>
                <w:kern w:val="0"/>
                <w:szCs w:val="21"/>
              </w:rPr>
            </w:pPr>
            <w:r>
              <w:rPr>
                <w:rFonts w:hint="eastAsia" w:ascii="宋体" w:hAnsi="宋体" w:cs="宋体"/>
                <w:kern w:val="0"/>
                <w:szCs w:val="21"/>
              </w:rPr>
              <w:t>　</w:t>
            </w:r>
          </w:p>
        </w:tc>
      </w:tr>
      <w:tr w14:paraId="196E7645">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2A132779">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764" w:type="dxa"/>
            <w:tcBorders>
              <w:top w:val="nil"/>
              <w:left w:val="nil"/>
              <w:bottom w:val="single" w:color="auto" w:sz="4" w:space="0"/>
              <w:right w:val="single" w:color="auto" w:sz="4" w:space="0"/>
            </w:tcBorders>
            <w:vAlign w:val="center"/>
          </w:tcPr>
          <w:p w14:paraId="7E603B34">
            <w:pPr>
              <w:pStyle w:val="32"/>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851" w:type="dxa"/>
            <w:tcBorders>
              <w:top w:val="nil"/>
              <w:left w:val="nil"/>
              <w:bottom w:val="single" w:color="auto" w:sz="4" w:space="0"/>
              <w:right w:val="single" w:color="auto" w:sz="4" w:space="0"/>
            </w:tcBorders>
            <w:vAlign w:val="center"/>
          </w:tcPr>
          <w:p w14:paraId="1FD6A653">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50" w:type="dxa"/>
            <w:tcBorders>
              <w:top w:val="nil"/>
              <w:left w:val="nil"/>
              <w:bottom w:val="single" w:color="auto" w:sz="4" w:space="0"/>
              <w:right w:val="single" w:color="auto" w:sz="4" w:space="0"/>
            </w:tcBorders>
            <w:vAlign w:val="center"/>
          </w:tcPr>
          <w:p w14:paraId="7AC5DB9D">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且≥1000</w:t>
            </w:r>
          </w:p>
        </w:tc>
        <w:tc>
          <w:tcPr>
            <w:tcW w:w="851" w:type="dxa"/>
            <w:tcBorders>
              <w:top w:val="nil"/>
              <w:left w:val="nil"/>
              <w:bottom w:val="single" w:color="auto" w:sz="4" w:space="0"/>
              <w:right w:val="single" w:color="auto" w:sz="4" w:space="0"/>
            </w:tcBorders>
            <w:vAlign w:val="center"/>
          </w:tcPr>
          <w:p w14:paraId="6072972D">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72F038BA">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709" w:type="dxa"/>
            <w:tcBorders>
              <w:top w:val="nil"/>
              <w:left w:val="nil"/>
              <w:bottom w:val="single" w:color="auto" w:sz="4" w:space="0"/>
              <w:right w:val="single" w:color="auto" w:sz="4" w:space="0"/>
            </w:tcBorders>
            <w:vAlign w:val="center"/>
          </w:tcPr>
          <w:p w14:paraId="138DC2A4">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38A47713">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7216DE97">
            <w:pPr>
              <w:pStyle w:val="32"/>
              <w:widowControl/>
              <w:jc w:val="center"/>
              <w:rPr>
                <w:rFonts w:ascii="宋体" w:hAnsi="宋体" w:cs="宋体"/>
                <w:kern w:val="0"/>
                <w:szCs w:val="21"/>
              </w:rPr>
            </w:pPr>
            <w:r>
              <w:rPr>
                <w:rFonts w:hint="eastAsia" w:ascii="宋体" w:hAnsi="宋体" w:cs="宋体"/>
                <w:kern w:val="0"/>
                <w:szCs w:val="21"/>
              </w:rPr>
              <w:t>≥200</w:t>
            </w:r>
          </w:p>
        </w:tc>
        <w:tc>
          <w:tcPr>
            <w:tcW w:w="851" w:type="dxa"/>
            <w:tcBorders>
              <w:top w:val="nil"/>
              <w:left w:val="nil"/>
              <w:bottom w:val="single" w:color="auto" w:sz="4" w:space="0"/>
              <w:right w:val="single" w:color="auto" w:sz="4" w:space="0"/>
            </w:tcBorders>
            <w:vAlign w:val="center"/>
          </w:tcPr>
          <w:p w14:paraId="6AC609D7">
            <w:pPr>
              <w:pStyle w:val="32"/>
              <w:widowControl/>
              <w:jc w:val="center"/>
              <w:rPr>
                <w:rFonts w:ascii="宋体" w:hAnsi="宋体" w:cs="宋体"/>
                <w:kern w:val="0"/>
                <w:szCs w:val="21"/>
              </w:rPr>
            </w:pPr>
            <w:r>
              <w:rPr>
                <w:rFonts w:hint="eastAsia" w:ascii="宋体" w:hAnsi="宋体" w:cs="宋体"/>
                <w:kern w:val="0"/>
                <w:szCs w:val="21"/>
              </w:rPr>
              <w:t>且≥20</w:t>
            </w:r>
          </w:p>
        </w:tc>
        <w:tc>
          <w:tcPr>
            <w:tcW w:w="708" w:type="dxa"/>
            <w:tcBorders>
              <w:top w:val="nil"/>
              <w:left w:val="nil"/>
              <w:bottom w:val="single" w:color="auto" w:sz="4" w:space="0"/>
              <w:right w:val="single" w:color="auto" w:sz="4" w:space="0"/>
            </w:tcBorders>
            <w:vAlign w:val="center"/>
          </w:tcPr>
          <w:p w14:paraId="513C8BA2">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2C60B5E0">
            <w:pPr>
              <w:pStyle w:val="32"/>
              <w:widowControl/>
              <w:jc w:val="center"/>
              <w:rPr>
                <w:rFonts w:ascii="宋体" w:hAnsi="宋体" w:cs="宋体"/>
                <w:kern w:val="0"/>
                <w:szCs w:val="21"/>
              </w:rPr>
            </w:pPr>
            <w:r>
              <w:rPr>
                <w:rFonts w:hint="eastAsia" w:ascii="宋体" w:hAnsi="宋体" w:cs="宋体"/>
                <w:kern w:val="0"/>
                <w:szCs w:val="21"/>
              </w:rPr>
              <w:t>＜200</w:t>
            </w:r>
          </w:p>
        </w:tc>
        <w:tc>
          <w:tcPr>
            <w:tcW w:w="709" w:type="dxa"/>
            <w:tcBorders>
              <w:top w:val="nil"/>
              <w:left w:val="nil"/>
              <w:bottom w:val="single" w:color="auto" w:sz="4" w:space="0"/>
              <w:right w:val="single" w:color="auto" w:sz="4" w:space="0"/>
            </w:tcBorders>
            <w:vAlign w:val="center"/>
          </w:tcPr>
          <w:p w14:paraId="0CA007A1">
            <w:pPr>
              <w:pStyle w:val="32"/>
              <w:widowControl/>
              <w:jc w:val="center"/>
              <w:rPr>
                <w:rFonts w:ascii="宋体" w:hAnsi="宋体" w:cs="宋体"/>
                <w:kern w:val="0"/>
                <w:szCs w:val="21"/>
              </w:rPr>
            </w:pPr>
            <w:r>
              <w:rPr>
                <w:rFonts w:hint="eastAsia" w:ascii="宋体" w:hAnsi="宋体" w:cs="宋体"/>
                <w:kern w:val="0"/>
                <w:szCs w:val="21"/>
              </w:rPr>
              <w:t>或＜20</w:t>
            </w:r>
          </w:p>
        </w:tc>
        <w:tc>
          <w:tcPr>
            <w:tcW w:w="709" w:type="dxa"/>
            <w:tcBorders>
              <w:top w:val="nil"/>
              <w:left w:val="nil"/>
              <w:bottom w:val="single" w:color="auto" w:sz="4" w:space="0"/>
              <w:right w:val="single" w:color="auto" w:sz="4" w:space="0"/>
            </w:tcBorders>
            <w:vAlign w:val="center"/>
          </w:tcPr>
          <w:p w14:paraId="6862A3CF">
            <w:pPr>
              <w:pStyle w:val="32"/>
              <w:widowControl/>
              <w:jc w:val="center"/>
              <w:rPr>
                <w:rFonts w:ascii="宋体" w:hAnsi="宋体" w:cs="宋体"/>
                <w:kern w:val="0"/>
                <w:szCs w:val="21"/>
              </w:rPr>
            </w:pPr>
            <w:r>
              <w:rPr>
                <w:rFonts w:hint="eastAsia" w:ascii="宋体" w:hAnsi="宋体" w:cs="宋体"/>
                <w:kern w:val="0"/>
                <w:szCs w:val="21"/>
              </w:rPr>
              <w:t>　</w:t>
            </w:r>
          </w:p>
        </w:tc>
      </w:tr>
      <w:tr w14:paraId="4E804540">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30C1EBC1">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764" w:type="dxa"/>
            <w:tcBorders>
              <w:top w:val="nil"/>
              <w:left w:val="nil"/>
              <w:bottom w:val="single" w:color="auto" w:sz="4" w:space="0"/>
              <w:right w:val="single" w:color="auto" w:sz="4" w:space="0"/>
            </w:tcBorders>
            <w:vAlign w:val="center"/>
          </w:tcPr>
          <w:p w14:paraId="3FE133BB">
            <w:pPr>
              <w:pStyle w:val="32"/>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851" w:type="dxa"/>
            <w:tcBorders>
              <w:top w:val="nil"/>
              <w:left w:val="nil"/>
              <w:bottom w:val="single" w:color="auto" w:sz="4" w:space="0"/>
              <w:right w:val="single" w:color="auto" w:sz="4" w:space="0"/>
            </w:tcBorders>
            <w:vAlign w:val="center"/>
          </w:tcPr>
          <w:p w14:paraId="277B7645">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50" w:type="dxa"/>
            <w:tcBorders>
              <w:top w:val="nil"/>
              <w:left w:val="nil"/>
              <w:bottom w:val="single" w:color="auto" w:sz="4" w:space="0"/>
              <w:right w:val="single" w:color="auto" w:sz="4" w:space="0"/>
            </w:tcBorders>
            <w:vAlign w:val="center"/>
          </w:tcPr>
          <w:p w14:paraId="0BB55D67">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且≥200</w:t>
            </w:r>
          </w:p>
        </w:tc>
        <w:tc>
          <w:tcPr>
            <w:tcW w:w="851" w:type="dxa"/>
            <w:tcBorders>
              <w:top w:val="nil"/>
              <w:left w:val="nil"/>
              <w:bottom w:val="single" w:color="auto" w:sz="4" w:space="0"/>
              <w:right w:val="single" w:color="auto" w:sz="4" w:space="0"/>
            </w:tcBorders>
            <w:vAlign w:val="center"/>
          </w:tcPr>
          <w:p w14:paraId="476CF59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6EF04E17">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709" w:type="dxa"/>
            <w:tcBorders>
              <w:top w:val="nil"/>
              <w:left w:val="nil"/>
              <w:bottom w:val="single" w:color="auto" w:sz="4" w:space="0"/>
              <w:right w:val="single" w:color="auto" w:sz="4" w:space="0"/>
            </w:tcBorders>
            <w:vAlign w:val="center"/>
          </w:tcPr>
          <w:p w14:paraId="14FC12F6">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w:t>
            </w:r>
          </w:p>
        </w:tc>
        <w:tc>
          <w:tcPr>
            <w:tcW w:w="851" w:type="dxa"/>
            <w:tcBorders>
              <w:top w:val="nil"/>
              <w:left w:val="nil"/>
              <w:bottom w:val="single" w:color="auto" w:sz="4" w:space="0"/>
              <w:right w:val="single" w:color="auto" w:sz="4" w:space="0"/>
            </w:tcBorders>
            <w:vAlign w:val="center"/>
          </w:tcPr>
          <w:p w14:paraId="66AF5389">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5262D264">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59166595">
            <w:pPr>
              <w:pStyle w:val="32"/>
              <w:widowControl/>
              <w:jc w:val="center"/>
              <w:rPr>
                <w:rFonts w:ascii="宋体" w:hAnsi="宋体" w:cs="宋体"/>
                <w:kern w:val="0"/>
                <w:szCs w:val="21"/>
              </w:rPr>
            </w:pPr>
            <w:r>
              <w:rPr>
                <w:rFonts w:hint="eastAsia" w:ascii="宋体" w:hAnsi="宋体" w:cs="宋体"/>
                <w:kern w:val="0"/>
                <w:szCs w:val="21"/>
              </w:rPr>
              <w:t>且≥20</w:t>
            </w:r>
          </w:p>
        </w:tc>
        <w:tc>
          <w:tcPr>
            <w:tcW w:w="708" w:type="dxa"/>
            <w:tcBorders>
              <w:top w:val="nil"/>
              <w:left w:val="nil"/>
              <w:bottom w:val="single" w:color="auto" w:sz="4" w:space="0"/>
              <w:right w:val="single" w:color="auto" w:sz="4" w:space="0"/>
            </w:tcBorders>
            <w:vAlign w:val="center"/>
          </w:tcPr>
          <w:p w14:paraId="38ED8E81">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53D9BAEE">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1979334A">
            <w:pPr>
              <w:pStyle w:val="32"/>
              <w:widowControl/>
              <w:jc w:val="center"/>
              <w:rPr>
                <w:rFonts w:ascii="宋体" w:hAnsi="宋体" w:cs="宋体"/>
                <w:kern w:val="0"/>
                <w:szCs w:val="21"/>
              </w:rPr>
            </w:pPr>
            <w:r>
              <w:rPr>
                <w:rFonts w:hint="eastAsia" w:ascii="宋体" w:hAnsi="宋体" w:cs="宋体"/>
                <w:kern w:val="0"/>
                <w:szCs w:val="21"/>
              </w:rPr>
              <w:t>或＜20</w:t>
            </w:r>
          </w:p>
        </w:tc>
        <w:tc>
          <w:tcPr>
            <w:tcW w:w="709" w:type="dxa"/>
            <w:tcBorders>
              <w:top w:val="nil"/>
              <w:left w:val="nil"/>
              <w:bottom w:val="single" w:color="auto" w:sz="4" w:space="0"/>
              <w:right w:val="single" w:color="auto" w:sz="4" w:space="0"/>
            </w:tcBorders>
            <w:vAlign w:val="center"/>
          </w:tcPr>
          <w:p w14:paraId="19904330">
            <w:pPr>
              <w:pStyle w:val="32"/>
              <w:widowControl/>
              <w:jc w:val="center"/>
              <w:rPr>
                <w:rFonts w:ascii="宋体" w:hAnsi="宋体" w:cs="宋体"/>
                <w:kern w:val="0"/>
                <w:szCs w:val="21"/>
              </w:rPr>
            </w:pPr>
            <w:r>
              <w:rPr>
                <w:rFonts w:hint="eastAsia" w:ascii="宋体" w:hAnsi="宋体" w:cs="宋体"/>
                <w:kern w:val="0"/>
                <w:szCs w:val="21"/>
              </w:rPr>
              <w:t>　</w:t>
            </w:r>
          </w:p>
        </w:tc>
      </w:tr>
      <w:tr w14:paraId="5AC8FB25">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31B3D78E">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764" w:type="dxa"/>
            <w:tcBorders>
              <w:top w:val="nil"/>
              <w:left w:val="nil"/>
              <w:bottom w:val="single" w:color="auto" w:sz="4" w:space="0"/>
              <w:right w:val="single" w:color="auto" w:sz="4" w:space="0"/>
            </w:tcBorders>
            <w:vAlign w:val="center"/>
          </w:tcPr>
          <w:p w14:paraId="3A41D5C4">
            <w:pPr>
              <w:pStyle w:val="32"/>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851" w:type="dxa"/>
            <w:tcBorders>
              <w:top w:val="nil"/>
              <w:left w:val="nil"/>
              <w:bottom w:val="single" w:color="auto" w:sz="4" w:space="0"/>
              <w:right w:val="single" w:color="auto" w:sz="4" w:space="0"/>
            </w:tcBorders>
            <w:vAlign w:val="center"/>
          </w:tcPr>
          <w:p w14:paraId="4B4D4EBA">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50" w:type="dxa"/>
            <w:tcBorders>
              <w:top w:val="nil"/>
              <w:left w:val="nil"/>
              <w:bottom w:val="single" w:color="auto" w:sz="4" w:space="0"/>
              <w:right w:val="single" w:color="auto" w:sz="4" w:space="0"/>
            </w:tcBorders>
            <w:vAlign w:val="center"/>
          </w:tcPr>
          <w:p w14:paraId="32944E4A">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且≥1000</w:t>
            </w:r>
          </w:p>
        </w:tc>
        <w:tc>
          <w:tcPr>
            <w:tcW w:w="851" w:type="dxa"/>
            <w:tcBorders>
              <w:top w:val="nil"/>
              <w:left w:val="nil"/>
              <w:bottom w:val="single" w:color="auto" w:sz="4" w:space="0"/>
              <w:right w:val="single" w:color="auto" w:sz="4" w:space="0"/>
            </w:tcBorders>
            <w:vAlign w:val="center"/>
          </w:tcPr>
          <w:p w14:paraId="49887F24">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40B7B263">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709" w:type="dxa"/>
            <w:tcBorders>
              <w:top w:val="nil"/>
              <w:left w:val="nil"/>
              <w:bottom w:val="single" w:color="auto" w:sz="4" w:space="0"/>
              <w:right w:val="single" w:color="auto" w:sz="4" w:space="0"/>
            </w:tcBorders>
            <w:vAlign w:val="center"/>
          </w:tcPr>
          <w:p w14:paraId="5F18B92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7086AF4A">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2F22A5E7">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7DCDDDDC">
            <w:pPr>
              <w:pStyle w:val="32"/>
              <w:widowControl/>
              <w:jc w:val="center"/>
              <w:rPr>
                <w:rFonts w:ascii="宋体" w:hAnsi="宋体" w:cs="宋体"/>
                <w:kern w:val="0"/>
                <w:szCs w:val="21"/>
              </w:rPr>
            </w:pPr>
            <w:r>
              <w:rPr>
                <w:rFonts w:hint="eastAsia" w:ascii="宋体" w:hAnsi="宋体" w:cs="宋体"/>
                <w:kern w:val="0"/>
                <w:szCs w:val="21"/>
              </w:rPr>
              <w:t>且≥20</w:t>
            </w:r>
          </w:p>
        </w:tc>
        <w:tc>
          <w:tcPr>
            <w:tcW w:w="708" w:type="dxa"/>
            <w:tcBorders>
              <w:top w:val="nil"/>
              <w:left w:val="nil"/>
              <w:bottom w:val="single" w:color="auto" w:sz="4" w:space="0"/>
              <w:right w:val="single" w:color="auto" w:sz="4" w:space="0"/>
            </w:tcBorders>
            <w:vAlign w:val="center"/>
          </w:tcPr>
          <w:p w14:paraId="7653AD76">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50795CFF">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17C0CACD">
            <w:pPr>
              <w:pStyle w:val="32"/>
              <w:widowControl/>
              <w:jc w:val="center"/>
              <w:rPr>
                <w:rFonts w:ascii="宋体" w:hAnsi="宋体" w:cs="宋体"/>
                <w:kern w:val="0"/>
                <w:szCs w:val="21"/>
              </w:rPr>
            </w:pPr>
            <w:r>
              <w:rPr>
                <w:rFonts w:hint="eastAsia" w:ascii="宋体" w:hAnsi="宋体" w:cs="宋体"/>
                <w:kern w:val="0"/>
                <w:szCs w:val="21"/>
              </w:rPr>
              <w:t>或＜20</w:t>
            </w:r>
          </w:p>
        </w:tc>
        <w:tc>
          <w:tcPr>
            <w:tcW w:w="709" w:type="dxa"/>
            <w:tcBorders>
              <w:top w:val="nil"/>
              <w:left w:val="nil"/>
              <w:bottom w:val="single" w:color="auto" w:sz="4" w:space="0"/>
              <w:right w:val="single" w:color="auto" w:sz="4" w:space="0"/>
            </w:tcBorders>
            <w:vAlign w:val="center"/>
          </w:tcPr>
          <w:p w14:paraId="139CBDD6">
            <w:pPr>
              <w:pStyle w:val="32"/>
              <w:widowControl/>
              <w:jc w:val="center"/>
              <w:rPr>
                <w:rFonts w:ascii="宋体" w:hAnsi="宋体" w:cs="宋体"/>
                <w:kern w:val="0"/>
                <w:szCs w:val="21"/>
              </w:rPr>
            </w:pPr>
            <w:r>
              <w:rPr>
                <w:rFonts w:hint="eastAsia" w:ascii="宋体" w:hAnsi="宋体" w:cs="宋体"/>
                <w:kern w:val="0"/>
                <w:szCs w:val="21"/>
              </w:rPr>
              <w:t>　</w:t>
            </w:r>
          </w:p>
        </w:tc>
      </w:tr>
      <w:tr w14:paraId="2804AB1F">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42AD86A6">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764" w:type="dxa"/>
            <w:tcBorders>
              <w:top w:val="nil"/>
              <w:left w:val="nil"/>
              <w:bottom w:val="single" w:color="auto" w:sz="4" w:space="0"/>
              <w:right w:val="single" w:color="auto" w:sz="4" w:space="0"/>
            </w:tcBorders>
            <w:vAlign w:val="center"/>
          </w:tcPr>
          <w:p w14:paraId="428C3B12">
            <w:pPr>
              <w:pStyle w:val="32"/>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851" w:type="dxa"/>
            <w:tcBorders>
              <w:top w:val="nil"/>
              <w:left w:val="nil"/>
              <w:bottom w:val="single" w:color="auto" w:sz="4" w:space="0"/>
              <w:right w:val="single" w:color="auto" w:sz="4" w:space="0"/>
            </w:tcBorders>
            <w:vAlign w:val="center"/>
          </w:tcPr>
          <w:p w14:paraId="66B0C86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50" w:type="dxa"/>
            <w:tcBorders>
              <w:top w:val="nil"/>
              <w:left w:val="nil"/>
              <w:bottom w:val="single" w:color="auto" w:sz="4" w:space="0"/>
              <w:right w:val="single" w:color="auto" w:sz="4" w:space="0"/>
            </w:tcBorders>
            <w:vAlign w:val="center"/>
          </w:tcPr>
          <w:p w14:paraId="1D42EE63">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05A8342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6F3BACC3">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709" w:type="dxa"/>
            <w:tcBorders>
              <w:top w:val="nil"/>
              <w:left w:val="nil"/>
              <w:bottom w:val="single" w:color="auto" w:sz="4" w:space="0"/>
              <w:right w:val="single" w:color="auto" w:sz="4" w:space="0"/>
            </w:tcBorders>
            <w:vAlign w:val="center"/>
          </w:tcPr>
          <w:p w14:paraId="73CBC745">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w:t>
            </w:r>
          </w:p>
        </w:tc>
        <w:tc>
          <w:tcPr>
            <w:tcW w:w="851" w:type="dxa"/>
            <w:tcBorders>
              <w:top w:val="nil"/>
              <w:left w:val="nil"/>
              <w:bottom w:val="single" w:color="auto" w:sz="4" w:space="0"/>
              <w:right w:val="single" w:color="auto" w:sz="4" w:space="0"/>
            </w:tcBorders>
            <w:vAlign w:val="center"/>
          </w:tcPr>
          <w:p w14:paraId="4049876B">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10805705">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20AAFB17">
            <w:pPr>
              <w:pStyle w:val="32"/>
              <w:widowControl/>
              <w:jc w:val="center"/>
              <w:rPr>
                <w:rFonts w:ascii="宋体" w:hAnsi="宋体" w:cs="宋体"/>
                <w:kern w:val="0"/>
                <w:szCs w:val="21"/>
              </w:rPr>
            </w:pPr>
            <w:r>
              <w:rPr>
                <w:rFonts w:hint="eastAsia" w:ascii="宋体" w:hAnsi="宋体" w:cs="宋体"/>
                <w:kern w:val="0"/>
                <w:szCs w:val="21"/>
              </w:rPr>
              <w:t>且≥10</w:t>
            </w:r>
          </w:p>
        </w:tc>
        <w:tc>
          <w:tcPr>
            <w:tcW w:w="708" w:type="dxa"/>
            <w:tcBorders>
              <w:top w:val="nil"/>
              <w:left w:val="nil"/>
              <w:bottom w:val="single" w:color="auto" w:sz="4" w:space="0"/>
              <w:right w:val="single" w:color="auto" w:sz="4" w:space="0"/>
            </w:tcBorders>
            <w:vAlign w:val="center"/>
          </w:tcPr>
          <w:p w14:paraId="04A3DFA4">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41383F8F">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0337F95F">
            <w:pPr>
              <w:pStyle w:val="32"/>
              <w:widowControl/>
              <w:jc w:val="center"/>
              <w:rPr>
                <w:rFonts w:ascii="宋体" w:hAnsi="宋体" w:cs="宋体"/>
                <w:kern w:val="0"/>
                <w:szCs w:val="21"/>
              </w:rPr>
            </w:pPr>
            <w:r>
              <w:rPr>
                <w:rFonts w:hint="eastAsia" w:ascii="宋体" w:hAnsi="宋体" w:cs="宋体"/>
                <w:kern w:val="0"/>
                <w:szCs w:val="21"/>
              </w:rPr>
              <w:t>或＜10</w:t>
            </w:r>
          </w:p>
        </w:tc>
        <w:tc>
          <w:tcPr>
            <w:tcW w:w="709" w:type="dxa"/>
            <w:tcBorders>
              <w:top w:val="nil"/>
              <w:left w:val="nil"/>
              <w:bottom w:val="single" w:color="auto" w:sz="4" w:space="0"/>
              <w:right w:val="single" w:color="auto" w:sz="4" w:space="0"/>
            </w:tcBorders>
            <w:vAlign w:val="center"/>
          </w:tcPr>
          <w:p w14:paraId="22ACD075">
            <w:pPr>
              <w:pStyle w:val="32"/>
              <w:widowControl/>
              <w:jc w:val="center"/>
              <w:rPr>
                <w:rFonts w:ascii="宋体" w:hAnsi="宋体" w:cs="宋体"/>
                <w:kern w:val="0"/>
                <w:szCs w:val="21"/>
              </w:rPr>
            </w:pPr>
            <w:r>
              <w:rPr>
                <w:rFonts w:hint="eastAsia" w:ascii="宋体" w:hAnsi="宋体" w:cs="宋体"/>
                <w:kern w:val="0"/>
                <w:szCs w:val="21"/>
              </w:rPr>
              <w:t>　</w:t>
            </w:r>
          </w:p>
        </w:tc>
      </w:tr>
      <w:tr w14:paraId="76843EF2">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0D84CE3B">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764" w:type="dxa"/>
            <w:tcBorders>
              <w:top w:val="nil"/>
              <w:left w:val="nil"/>
              <w:bottom w:val="single" w:color="auto" w:sz="4" w:space="0"/>
              <w:right w:val="single" w:color="auto" w:sz="4" w:space="0"/>
            </w:tcBorders>
            <w:vAlign w:val="center"/>
          </w:tcPr>
          <w:p w14:paraId="06D59F8A">
            <w:pPr>
              <w:pStyle w:val="32"/>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851" w:type="dxa"/>
            <w:tcBorders>
              <w:top w:val="nil"/>
              <w:left w:val="nil"/>
              <w:bottom w:val="single" w:color="auto" w:sz="4" w:space="0"/>
              <w:right w:val="single" w:color="auto" w:sz="4" w:space="0"/>
            </w:tcBorders>
            <w:vAlign w:val="center"/>
          </w:tcPr>
          <w:p w14:paraId="6869FEA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50" w:type="dxa"/>
            <w:tcBorders>
              <w:top w:val="nil"/>
              <w:left w:val="nil"/>
              <w:bottom w:val="single" w:color="auto" w:sz="4" w:space="0"/>
              <w:right w:val="single" w:color="auto" w:sz="4" w:space="0"/>
            </w:tcBorders>
            <w:vAlign w:val="center"/>
          </w:tcPr>
          <w:p w14:paraId="633740E5">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502BD35D">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587CAA93">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709" w:type="dxa"/>
            <w:tcBorders>
              <w:top w:val="nil"/>
              <w:left w:val="nil"/>
              <w:bottom w:val="single" w:color="auto" w:sz="4" w:space="0"/>
              <w:right w:val="single" w:color="auto" w:sz="4" w:space="0"/>
            </w:tcBorders>
            <w:vAlign w:val="center"/>
          </w:tcPr>
          <w:p w14:paraId="77631870">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w:t>
            </w:r>
          </w:p>
        </w:tc>
        <w:tc>
          <w:tcPr>
            <w:tcW w:w="851" w:type="dxa"/>
            <w:tcBorders>
              <w:top w:val="nil"/>
              <w:left w:val="nil"/>
              <w:bottom w:val="single" w:color="auto" w:sz="4" w:space="0"/>
              <w:right w:val="single" w:color="auto" w:sz="4" w:space="0"/>
            </w:tcBorders>
            <w:vAlign w:val="center"/>
          </w:tcPr>
          <w:p w14:paraId="05C33DEE">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2BAFB5F0">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22FA765F">
            <w:pPr>
              <w:pStyle w:val="32"/>
              <w:widowControl/>
              <w:jc w:val="center"/>
              <w:rPr>
                <w:rFonts w:ascii="宋体" w:hAnsi="宋体" w:cs="宋体"/>
                <w:kern w:val="0"/>
                <w:szCs w:val="21"/>
              </w:rPr>
            </w:pPr>
            <w:r>
              <w:rPr>
                <w:rFonts w:hint="eastAsia" w:ascii="宋体" w:hAnsi="宋体" w:cs="宋体"/>
                <w:kern w:val="0"/>
                <w:szCs w:val="21"/>
              </w:rPr>
              <w:t>且≥10</w:t>
            </w:r>
          </w:p>
        </w:tc>
        <w:tc>
          <w:tcPr>
            <w:tcW w:w="708" w:type="dxa"/>
            <w:tcBorders>
              <w:top w:val="nil"/>
              <w:left w:val="nil"/>
              <w:bottom w:val="single" w:color="auto" w:sz="4" w:space="0"/>
              <w:right w:val="single" w:color="auto" w:sz="4" w:space="0"/>
            </w:tcBorders>
            <w:vAlign w:val="center"/>
          </w:tcPr>
          <w:p w14:paraId="7E66045C">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13C1BA56">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447AF323">
            <w:pPr>
              <w:pStyle w:val="32"/>
              <w:widowControl/>
              <w:jc w:val="center"/>
              <w:rPr>
                <w:rFonts w:ascii="宋体" w:hAnsi="宋体" w:cs="宋体"/>
                <w:kern w:val="0"/>
                <w:szCs w:val="21"/>
              </w:rPr>
            </w:pPr>
            <w:r>
              <w:rPr>
                <w:rFonts w:hint="eastAsia" w:ascii="宋体" w:hAnsi="宋体" w:cs="宋体"/>
                <w:kern w:val="0"/>
                <w:szCs w:val="21"/>
              </w:rPr>
              <w:t>或＜10</w:t>
            </w:r>
          </w:p>
        </w:tc>
        <w:tc>
          <w:tcPr>
            <w:tcW w:w="709" w:type="dxa"/>
            <w:tcBorders>
              <w:top w:val="nil"/>
              <w:left w:val="nil"/>
              <w:bottom w:val="single" w:color="auto" w:sz="4" w:space="0"/>
              <w:right w:val="single" w:color="auto" w:sz="4" w:space="0"/>
            </w:tcBorders>
            <w:vAlign w:val="center"/>
          </w:tcPr>
          <w:p w14:paraId="2B080553">
            <w:pPr>
              <w:pStyle w:val="32"/>
              <w:widowControl/>
              <w:jc w:val="center"/>
              <w:rPr>
                <w:rFonts w:ascii="宋体" w:hAnsi="宋体" w:cs="宋体"/>
                <w:kern w:val="0"/>
                <w:szCs w:val="21"/>
              </w:rPr>
            </w:pPr>
            <w:r>
              <w:rPr>
                <w:rFonts w:hint="eastAsia" w:ascii="宋体" w:hAnsi="宋体" w:cs="宋体"/>
                <w:kern w:val="0"/>
                <w:szCs w:val="21"/>
              </w:rPr>
              <w:t>　</w:t>
            </w:r>
          </w:p>
        </w:tc>
      </w:tr>
      <w:tr w14:paraId="53F58BAA">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78B8B8EF">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764" w:type="dxa"/>
            <w:tcBorders>
              <w:top w:val="nil"/>
              <w:left w:val="nil"/>
              <w:bottom w:val="single" w:color="auto" w:sz="4" w:space="0"/>
              <w:right w:val="single" w:color="auto" w:sz="4" w:space="0"/>
            </w:tcBorders>
            <w:vAlign w:val="center"/>
          </w:tcPr>
          <w:p w14:paraId="1038C949">
            <w:pPr>
              <w:pStyle w:val="32"/>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851" w:type="dxa"/>
            <w:tcBorders>
              <w:top w:val="nil"/>
              <w:left w:val="nil"/>
              <w:bottom w:val="single" w:color="auto" w:sz="4" w:space="0"/>
              <w:right w:val="single" w:color="auto" w:sz="4" w:space="0"/>
            </w:tcBorders>
            <w:vAlign w:val="center"/>
          </w:tcPr>
          <w:p w14:paraId="66A0426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850" w:type="dxa"/>
            <w:tcBorders>
              <w:top w:val="nil"/>
              <w:left w:val="nil"/>
              <w:bottom w:val="single" w:color="auto" w:sz="4" w:space="0"/>
              <w:right w:val="single" w:color="auto" w:sz="4" w:space="0"/>
            </w:tcBorders>
            <w:vAlign w:val="center"/>
          </w:tcPr>
          <w:p w14:paraId="3A3AD3E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且≥2000</w:t>
            </w:r>
          </w:p>
        </w:tc>
        <w:tc>
          <w:tcPr>
            <w:tcW w:w="851" w:type="dxa"/>
            <w:tcBorders>
              <w:top w:val="nil"/>
              <w:left w:val="nil"/>
              <w:bottom w:val="single" w:color="auto" w:sz="4" w:space="0"/>
              <w:right w:val="single" w:color="auto" w:sz="4" w:space="0"/>
            </w:tcBorders>
            <w:vAlign w:val="center"/>
          </w:tcPr>
          <w:p w14:paraId="4D28D16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75670BE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709" w:type="dxa"/>
            <w:tcBorders>
              <w:top w:val="nil"/>
              <w:left w:val="nil"/>
              <w:bottom w:val="single" w:color="auto" w:sz="4" w:space="0"/>
              <w:right w:val="single" w:color="auto" w:sz="4" w:space="0"/>
            </w:tcBorders>
            <w:vAlign w:val="center"/>
          </w:tcPr>
          <w:p w14:paraId="3551F47B">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w:t>
            </w:r>
          </w:p>
        </w:tc>
        <w:tc>
          <w:tcPr>
            <w:tcW w:w="851" w:type="dxa"/>
            <w:tcBorders>
              <w:top w:val="nil"/>
              <w:left w:val="nil"/>
              <w:bottom w:val="single" w:color="auto" w:sz="4" w:space="0"/>
              <w:right w:val="single" w:color="auto" w:sz="4" w:space="0"/>
            </w:tcBorders>
            <w:vAlign w:val="center"/>
          </w:tcPr>
          <w:p w14:paraId="59BBE41A">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1B2607CE">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37460240">
            <w:pPr>
              <w:pStyle w:val="32"/>
              <w:widowControl/>
              <w:jc w:val="center"/>
              <w:rPr>
                <w:rFonts w:ascii="宋体" w:hAnsi="宋体" w:cs="宋体"/>
                <w:kern w:val="0"/>
                <w:szCs w:val="21"/>
              </w:rPr>
            </w:pPr>
            <w:r>
              <w:rPr>
                <w:rFonts w:hint="eastAsia" w:ascii="宋体" w:hAnsi="宋体" w:cs="宋体"/>
                <w:kern w:val="0"/>
                <w:szCs w:val="21"/>
              </w:rPr>
              <w:t>且≥10</w:t>
            </w:r>
          </w:p>
        </w:tc>
        <w:tc>
          <w:tcPr>
            <w:tcW w:w="708" w:type="dxa"/>
            <w:tcBorders>
              <w:top w:val="nil"/>
              <w:left w:val="nil"/>
              <w:bottom w:val="single" w:color="auto" w:sz="4" w:space="0"/>
              <w:right w:val="single" w:color="auto" w:sz="4" w:space="0"/>
            </w:tcBorders>
            <w:vAlign w:val="center"/>
          </w:tcPr>
          <w:p w14:paraId="43D56585">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3F26A588">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0FA0351D">
            <w:pPr>
              <w:pStyle w:val="32"/>
              <w:widowControl/>
              <w:jc w:val="center"/>
              <w:rPr>
                <w:rFonts w:ascii="宋体" w:hAnsi="宋体" w:cs="宋体"/>
                <w:kern w:val="0"/>
                <w:szCs w:val="21"/>
              </w:rPr>
            </w:pPr>
            <w:r>
              <w:rPr>
                <w:rFonts w:hint="eastAsia" w:ascii="宋体" w:hAnsi="宋体" w:cs="宋体"/>
                <w:kern w:val="0"/>
                <w:szCs w:val="21"/>
              </w:rPr>
              <w:t>或＜10</w:t>
            </w:r>
          </w:p>
        </w:tc>
        <w:tc>
          <w:tcPr>
            <w:tcW w:w="709" w:type="dxa"/>
            <w:tcBorders>
              <w:top w:val="nil"/>
              <w:left w:val="nil"/>
              <w:bottom w:val="single" w:color="auto" w:sz="4" w:space="0"/>
              <w:right w:val="single" w:color="auto" w:sz="4" w:space="0"/>
            </w:tcBorders>
            <w:vAlign w:val="center"/>
          </w:tcPr>
          <w:p w14:paraId="59FDDB53">
            <w:pPr>
              <w:pStyle w:val="32"/>
              <w:widowControl/>
              <w:jc w:val="center"/>
              <w:rPr>
                <w:rFonts w:ascii="宋体" w:hAnsi="宋体" w:cs="宋体"/>
                <w:kern w:val="0"/>
                <w:szCs w:val="21"/>
              </w:rPr>
            </w:pPr>
            <w:r>
              <w:rPr>
                <w:rFonts w:hint="eastAsia" w:ascii="宋体" w:hAnsi="宋体" w:cs="宋体"/>
                <w:kern w:val="0"/>
                <w:szCs w:val="21"/>
              </w:rPr>
              <w:t>　</w:t>
            </w:r>
          </w:p>
        </w:tc>
      </w:tr>
      <w:tr w14:paraId="4EBBB336">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08CC7CBF">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764" w:type="dxa"/>
            <w:tcBorders>
              <w:top w:val="nil"/>
              <w:left w:val="nil"/>
              <w:bottom w:val="single" w:color="auto" w:sz="4" w:space="0"/>
              <w:right w:val="single" w:color="auto" w:sz="4" w:space="0"/>
            </w:tcBorders>
            <w:vAlign w:val="center"/>
          </w:tcPr>
          <w:p w14:paraId="4559F0AA">
            <w:pPr>
              <w:pStyle w:val="32"/>
              <w:ind w:left="-27" w:leftChars="-13" w:right="-65" w:rightChars="-31"/>
              <w:jc w:val="left"/>
              <w:rPr>
                <w:rFonts w:ascii="宋体" w:hAnsi="宋体" w:cs="宋体"/>
                <w:b/>
                <w:kern w:val="0"/>
                <w:szCs w:val="21"/>
              </w:rPr>
            </w:pPr>
            <w:r>
              <w:rPr>
                <w:rFonts w:hint="eastAsia" w:ascii="宋体" w:hAnsi="宋体" w:cs="宋体"/>
                <w:b/>
                <w:kern w:val="0"/>
                <w:szCs w:val="21"/>
              </w:rPr>
              <w:t>软件和信息技术服务业</w:t>
            </w:r>
          </w:p>
        </w:tc>
        <w:tc>
          <w:tcPr>
            <w:tcW w:w="851" w:type="dxa"/>
            <w:tcBorders>
              <w:top w:val="nil"/>
              <w:left w:val="nil"/>
              <w:bottom w:val="single" w:color="auto" w:sz="4" w:space="0"/>
              <w:right w:val="single" w:color="auto" w:sz="4" w:space="0"/>
            </w:tcBorders>
            <w:vAlign w:val="center"/>
          </w:tcPr>
          <w:p w14:paraId="72762637">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50" w:type="dxa"/>
            <w:tcBorders>
              <w:top w:val="nil"/>
              <w:left w:val="nil"/>
              <w:bottom w:val="single" w:color="auto" w:sz="4" w:space="0"/>
              <w:right w:val="single" w:color="auto" w:sz="4" w:space="0"/>
            </w:tcBorders>
            <w:vAlign w:val="center"/>
          </w:tcPr>
          <w:p w14:paraId="0C7DDBE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14E94C6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02694C1C">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709" w:type="dxa"/>
            <w:tcBorders>
              <w:top w:val="nil"/>
              <w:left w:val="nil"/>
              <w:bottom w:val="single" w:color="auto" w:sz="4" w:space="0"/>
              <w:right w:val="single" w:color="auto" w:sz="4" w:space="0"/>
            </w:tcBorders>
            <w:vAlign w:val="center"/>
          </w:tcPr>
          <w:p w14:paraId="39F8A3E5">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w:t>
            </w:r>
          </w:p>
        </w:tc>
        <w:tc>
          <w:tcPr>
            <w:tcW w:w="851" w:type="dxa"/>
            <w:tcBorders>
              <w:top w:val="nil"/>
              <w:left w:val="nil"/>
              <w:bottom w:val="single" w:color="auto" w:sz="4" w:space="0"/>
              <w:right w:val="single" w:color="auto" w:sz="4" w:space="0"/>
            </w:tcBorders>
            <w:vAlign w:val="center"/>
          </w:tcPr>
          <w:p w14:paraId="69CD6D48">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6D5F2C5C">
            <w:pPr>
              <w:pStyle w:val="32"/>
              <w:widowControl/>
              <w:jc w:val="center"/>
              <w:rPr>
                <w:rFonts w:ascii="宋体" w:hAnsi="宋体" w:cs="宋体"/>
                <w:kern w:val="0"/>
                <w:szCs w:val="21"/>
              </w:rPr>
            </w:pPr>
            <w:r>
              <w:rPr>
                <w:rFonts w:hint="eastAsia" w:ascii="宋体" w:hAnsi="宋体" w:cs="宋体"/>
                <w:kern w:val="0"/>
                <w:szCs w:val="21"/>
              </w:rPr>
              <w:t>≥50</w:t>
            </w:r>
          </w:p>
        </w:tc>
        <w:tc>
          <w:tcPr>
            <w:tcW w:w="851" w:type="dxa"/>
            <w:tcBorders>
              <w:top w:val="nil"/>
              <w:left w:val="nil"/>
              <w:bottom w:val="single" w:color="auto" w:sz="4" w:space="0"/>
              <w:right w:val="single" w:color="auto" w:sz="4" w:space="0"/>
            </w:tcBorders>
            <w:vAlign w:val="center"/>
          </w:tcPr>
          <w:p w14:paraId="7EE2AF59">
            <w:pPr>
              <w:pStyle w:val="32"/>
              <w:widowControl/>
              <w:jc w:val="center"/>
              <w:rPr>
                <w:rFonts w:ascii="宋体" w:hAnsi="宋体" w:cs="宋体"/>
                <w:kern w:val="0"/>
                <w:szCs w:val="21"/>
              </w:rPr>
            </w:pPr>
            <w:r>
              <w:rPr>
                <w:rFonts w:hint="eastAsia" w:ascii="宋体" w:hAnsi="宋体" w:cs="宋体"/>
                <w:kern w:val="0"/>
                <w:szCs w:val="21"/>
              </w:rPr>
              <w:t>且≥10</w:t>
            </w:r>
          </w:p>
        </w:tc>
        <w:tc>
          <w:tcPr>
            <w:tcW w:w="708" w:type="dxa"/>
            <w:tcBorders>
              <w:top w:val="nil"/>
              <w:left w:val="nil"/>
              <w:bottom w:val="single" w:color="auto" w:sz="4" w:space="0"/>
              <w:right w:val="single" w:color="auto" w:sz="4" w:space="0"/>
            </w:tcBorders>
            <w:vAlign w:val="center"/>
          </w:tcPr>
          <w:p w14:paraId="44CCD3AD">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404AC25A">
            <w:pPr>
              <w:pStyle w:val="32"/>
              <w:widowControl/>
              <w:jc w:val="center"/>
              <w:rPr>
                <w:rFonts w:ascii="宋体" w:hAnsi="宋体" w:cs="宋体"/>
                <w:kern w:val="0"/>
                <w:szCs w:val="21"/>
              </w:rPr>
            </w:pPr>
            <w:r>
              <w:rPr>
                <w:rFonts w:hint="eastAsia" w:ascii="宋体" w:hAnsi="宋体" w:cs="宋体"/>
                <w:kern w:val="0"/>
                <w:szCs w:val="21"/>
              </w:rPr>
              <w:t>＜50</w:t>
            </w:r>
          </w:p>
        </w:tc>
        <w:tc>
          <w:tcPr>
            <w:tcW w:w="709" w:type="dxa"/>
            <w:tcBorders>
              <w:top w:val="nil"/>
              <w:left w:val="nil"/>
              <w:bottom w:val="single" w:color="auto" w:sz="4" w:space="0"/>
              <w:right w:val="single" w:color="auto" w:sz="4" w:space="0"/>
            </w:tcBorders>
            <w:vAlign w:val="center"/>
          </w:tcPr>
          <w:p w14:paraId="3961B66D">
            <w:pPr>
              <w:pStyle w:val="32"/>
              <w:widowControl/>
              <w:jc w:val="center"/>
              <w:rPr>
                <w:rFonts w:ascii="宋体" w:hAnsi="宋体" w:cs="宋体"/>
                <w:kern w:val="0"/>
                <w:szCs w:val="21"/>
              </w:rPr>
            </w:pPr>
            <w:r>
              <w:rPr>
                <w:rFonts w:hint="eastAsia" w:ascii="宋体" w:hAnsi="宋体" w:cs="宋体"/>
                <w:kern w:val="0"/>
                <w:szCs w:val="21"/>
              </w:rPr>
              <w:t>或＜10</w:t>
            </w:r>
          </w:p>
        </w:tc>
        <w:tc>
          <w:tcPr>
            <w:tcW w:w="709" w:type="dxa"/>
            <w:tcBorders>
              <w:top w:val="nil"/>
              <w:left w:val="nil"/>
              <w:bottom w:val="single" w:color="auto" w:sz="4" w:space="0"/>
              <w:right w:val="single" w:color="auto" w:sz="4" w:space="0"/>
            </w:tcBorders>
            <w:vAlign w:val="center"/>
          </w:tcPr>
          <w:p w14:paraId="47DDD85D">
            <w:pPr>
              <w:pStyle w:val="32"/>
              <w:widowControl/>
              <w:jc w:val="center"/>
              <w:rPr>
                <w:rFonts w:ascii="宋体" w:hAnsi="宋体" w:cs="宋体"/>
                <w:kern w:val="0"/>
                <w:szCs w:val="21"/>
              </w:rPr>
            </w:pPr>
            <w:r>
              <w:rPr>
                <w:rFonts w:hint="eastAsia" w:ascii="宋体" w:hAnsi="宋体" w:cs="宋体"/>
                <w:kern w:val="0"/>
                <w:szCs w:val="21"/>
              </w:rPr>
              <w:t>　</w:t>
            </w:r>
          </w:p>
        </w:tc>
      </w:tr>
      <w:tr w14:paraId="0834CF36">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47FAE390">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764" w:type="dxa"/>
            <w:tcBorders>
              <w:top w:val="nil"/>
              <w:left w:val="nil"/>
              <w:bottom w:val="single" w:color="auto" w:sz="4" w:space="0"/>
              <w:right w:val="single" w:color="auto" w:sz="4" w:space="0"/>
            </w:tcBorders>
            <w:vAlign w:val="center"/>
          </w:tcPr>
          <w:p w14:paraId="06CF6E41">
            <w:pPr>
              <w:pStyle w:val="32"/>
              <w:ind w:left="-27" w:leftChars="-13" w:right="-65" w:rightChars="-31"/>
              <w:jc w:val="left"/>
              <w:rPr>
                <w:rFonts w:ascii="宋体" w:hAnsi="宋体" w:cs="宋体"/>
                <w:b/>
                <w:kern w:val="0"/>
                <w:szCs w:val="21"/>
              </w:rPr>
            </w:pPr>
            <w:r>
              <w:rPr>
                <w:rFonts w:hint="eastAsia" w:ascii="宋体" w:hAnsi="宋体" w:cs="宋体"/>
                <w:b/>
                <w:kern w:val="0"/>
                <w:szCs w:val="21"/>
              </w:rPr>
              <w:t>房地产开发经营</w:t>
            </w:r>
          </w:p>
        </w:tc>
        <w:tc>
          <w:tcPr>
            <w:tcW w:w="851" w:type="dxa"/>
            <w:tcBorders>
              <w:top w:val="nil"/>
              <w:left w:val="nil"/>
              <w:bottom w:val="single" w:color="auto" w:sz="4" w:space="0"/>
              <w:right w:val="single" w:color="auto" w:sz="4" w:space="0"/>
            </w:tcBorders>
            <w:vAlign w:val="center"/>
          </w:tcPr>
          <w:p w14:paraId="7DD2537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850" w:type="dxa"/>
            <w:tcBorders>
              <w:top w:val="nil"/>
              <w:left w:val="nil"/>
              <w:bottom w:val="single" w:color="auto" w:sz="4" w:space="0"/>
              <w:right w:val="single" w:color="auto" w:sz="4" w:space="0"/>
            </w:tcBorders>
            <w:vAlign w:val="center"/>
          </w:tcPr>
          <w:p w14:paraId="432DB6E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451D0CC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且≥10000</w:t>
            </w:r>
          </w:p>
        </w:tc>
        <w:tc>
          <w:tcPr>
            <w:tcW w:w="850" w:type="dxa"/>
            <w:tcBorders>
              <w:top w:val="nil"/>
              <w:left w:val="nil"/>
              <w:bottom w:val="single" w:color="auto" w:sz="4" w:space="0"/>
              <w:right w:val="single" w:color="auto" w:sz="4" w:space="0"/>
            </w:tcBorders>
            <w:vAlign w:val="center"/>
          </w:tcPr>
          <w:p w14:paraId="3EE7751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709" w:type="dxa"/>
            <w:tcBorders>
              <w:top w:val="nil"/>
              <w:left w:val="nil"/>
              <w:bottom w:val="single" w:color="auto" w:sz="4" w:space="0"/>
              <w:right w:val="single" w:color="auto" w:sz="4" w:space="0"/>
            </w:tcBorders>
            <w:vAlign w:val="center"/>
          </w:tcPr>
          <w:p w14:paraId="5C3A0459">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46520687">
            <w:pPr>
              <w:pStyle w:val="32"/>
              <w:widowControl/>
              <w:jc w:val="center"/>
              <w:rPr>
                <w:rFonts w:ascii="宋体" w:hAnsi="宋体" w:cs="宋体"/>
                <w:kern w:val="0"/>
                <w:szCs w:val="21"/>
              </w:rPr>
            </w:pPr>
            <w:r>
              <w:rPr>
                <w:rFonts w:hint="eastAsia" w:ascii="宋体" w:hAnsi="宋体" w:cs="宋体"/>
                <w:kern w:val="0"/>
                <w:szCs w:val="21"/>
              </w:rPr>
              <w:t>且≥5000</w:t>
            </w:r>
          </w:p>
        </w:tc>
        <w:tc>
          <w:tcPr>
            <w:tcW w:w="850" w:type="dxa"/>
            <w:tcBorders>
              <w:top w:val="nil"/>
              <w:left w:val="nil"/>
              <w:bottom w:val="single" w:color="auto" w:sz="4" w:space="0"/>
              <w:right w:val="single" w:color="auto" w:sz="4" w:space="0"/>
            </w:tcBorders>
            <w:vAlign w:val="center"/>
          </w:tcPr>
          <w:p w14:paraId="1E3DD1CB">
            <w:pPr>
              <w:pStyle w:val="32"/>
              <w:widowControl/>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2A253C1F">
            <w:pPr>
              <w:pStyle w:val="32"/>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vAlign w:val="center"/>
          </w:tcPr>
          <w:p w14:paraId="4A960371">
            <w:pPr>
              <w:pStyle w:val="32"/>
              <w:widowControl/>
              <w:jc w:val="center"/>
              <w:rPr>
                <w:rFonts w:ascii="宋体" w:hAnsi="宋体" w:cs="宋体"/>
                <w:kern w:val="0"/>
                <w:szCs w:val="21"/>
              </w:rPr>
            </w:pPr>
            <w:r>
              <w:rPr>
                <w:rFonts w:hint="eastAsia" w:ascii="宋体" w:hAnsi="宋体" w:cs="宋体"/>
                <w:kern w:val="0"/>
                <w:szCs w:val="21"/>
              </w:rPr>
              <w:t>且≥2000</w:t>
            </w:r>
          </w:p>
        </w:tc>
        <w:tc>
          <w:tcPr>
            <w:tcW w:w="709" w:type="dxa"/>
            <w:tcBorders>
              <w:top w:val="nil"/>
              <w:left w:val="nil"/>
              <w:bottom w:val="single" w:color="auto" w:sz="4" w:space="0"/>
              <w:right w:val="single" w:color="auto" w:sz="4" w:space="0"/>
            </w:tcBorders>
            <w:vAlign w:val="center"/>
          </w:tcPr>
          <w:p w14:paraId="37FCE8B7">
            <w:pPr>
              <w:pStyle w:val="32"/>
              <w:widowControl/>
              <w:jc w:val="center"/>
              <w:rPr>
                <w:rFonts w:ascii="宋体" w:hAnsi="宋体" w:cs="宋体"/>
                <w:kern w:val="0"/>
                <w:szCs w:val="21"/>
              </w:rPr>
            </w:pPr>
            <w:r>
              <w:rPr>
                <w:rFonts w:hint="eastAsia" w:ascii="宋体" w:hAnsi="宋体" w:cs="宋体"/>
                <w:kern w:val="0"/>
                <w:szCs w:val="21"/>
              </w:rPr>
              <w:t>＜100</w:t>
            </w:r>
          </w:p>
        </w:tc>
        <w:tc>
          <w:tcPr>
            <w:tcW w:w="709" w:type="dxa"/>
            <w:tcBorders>
              <w:top w:val="nil"/>
              <w:left w:val="nil"/>
              <w:bottom w:val="single" w:color="auto" w:sz="4" w:space="0"/>
              <w:right w:val="single" w:color="auto" w:sz="4" w:space="0"/>
            </w:tcBorders>
            <w:vAlign w:val="center"/>
          </w:tcPr>
          <w:p w14:paraId="014AF79B">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55AA6DB5">
            <w:pPr>
              <w:pStyle w:val="32"/>
              <w:widowControl/>
              <w:jc w:val="center"/>
              <w:rPr>
                <w:rFonts w:ascii="宋体" w:hAnsi="宋体" w:cs="宋体"/>
                <w:kern w:val="0"/>
                <w:szCs w:val="21"/>
              </w:rPr>
            </w:pPr>
            <w:r>
              <w:rPr>
                <w:rFonts w:hint="eastAsia" w:ascii="宋体" w:hAnsi="宋体" w:cs="宋体"/>
                <w:kern w:val="0"/>
                <w:szCs w:val="21"/>
              </w:rPr>
              <w:t>或＜2000</w:t>
            </w:r>
          </w:p>
        </w:tc>
      </w:tr>
      <w:tr w14:paraId="066E92CE">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404374B9">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764" w:type="dxa"/>
            <w:tcBorders>
              <w:top w:val="nil"/>
              <w:left w:val="nil"/>
              <w:bottom w:val="single" w:color="auto" w:sz="4" w:space="0"/>
              <w:right w:val="single" w:color="auto" w:sz="4" w:space="0"/>
            </w:tcBorders>
            <w:vAlign w:val="center"/>
          </w:tcPr>
          <w:p w14:paraId="53A0A4AB">
            <w:pPr>
              <w:pStyle w:val="32"/>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851" w:type="dxa"/>
            <w:tcBorders>
              <w:top w:val="nil"/>
              <w:left w:val="nil"/>
              <w:bottom w:val="single" w:color="auto" w:sz="4" w:space="0"/>
              <w:right w:val="single" w:color="auto" w:sz="4" w:space="0"/>
            </w:tcBorders>
            <w:vAlign w:val="center"/>
          </w:tcPr>
          <w:p w14:paraId="4BC37191">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850" w:type="dxa"/>
            <w:tcBorders>
              <w:top w:val="nil"/>
              <w:left w:val="nil"/>
              <w:bottom w:val="single" w:color="auto" w:sz="4" w:space="0"/>
              <w:right w:val="single" w:color="auto" w:sz="4" w:space="0"/>
            </w:tcBorders>
            <w:vAlign w:val="center"/>
          </w:tcPr>
          <w:p w14:paraId="4DC9154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且≥1000</w:t>
            </w:r>
          </w:p>
        </w:tc>
        <w:tc>
          <w:tcPr>
            <w:tcW w:w="851" w:type="dxa"/>
            <w:tcBorders>
              <w:top w:val="nil"/>
              <w:left w:val="nil"/>
              <w:bottom w:val="single" w:color="auto" w:sz="4" w:space="0"/>
              <w:right w:val="single" w:color="auto" w:sz="4" w:space="0"/>
            </w:tcBorders>
            <w:vAlign w:val="center"/>
          </w:tcPr>
          <w:p w14:paraId="3A2E907B">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2DB3A06C">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709" w:type="dxa"/>
            <w:tcBorders>
              <w:top w:val="nil"/>
              <w:left w:val="nil"/>
              <w:bottom w:val="single" w:color="auto" w:sz="4" w:space="0"/>
              <w:right w:val="single" w:color="auto" w:sz="4" w:space="0"/>
            </w:tcBorders>
            <w:vAlign w:val="center"/>
          </w:tcPr>
          <w:p w14:paraId="1E75652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且≥300</w:t>
            </w:r>
          </w:p>
        </w:tc>
        <w:tc>
          <w:tcPr>
            <w:tcW w:w="851" w:type="dxa"/>
            <w:tcBorders>
              <w:top w:val="nil"/>
              <w:left w:val="nil"/>
              <w:bottom w:val="single" w:color="auto" w:sz="4" w:space="0"/>
              <w:right w:val="single" w:color="auto" w:sz="4" w:space="0"/>
            </w:tcBorders>
            <w:vAlign w:val="center"/>
          </w:tcPr>
          <w:p w14:paraId="55FCED07">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765F7FAD">
            <w:pPr>
              <w:pStyle w:val="32"/>
              <w:widowControl/>
              <w:jc w:val="center"/>
              <w:rPr>
                <w:rFonts w:ascii="宋体" w:hAnsi="宋体" w:cs="宋体"/>
                <w:kern w:val="0"/>
                <w:szCs w:val="21"/>
              </w:rPr>
            </w:pPr>
            <w:r>
              <w:rPr>
                <w:rFonts w:hint="eastAsia" w:ascii="宋体" w:hAnsi="宋体" w:cs="宋体"/>
                <w:kern w:val="0"/>
                <w:szCs w:val="21"/>
              </w:rPr>
              <w:t>≥500</w:t>
            </w:r>
          </w:p>
        </w:tc>
        <w:tc>
          <w:tcPr>
            <w:tcW w:w="851" w:type="dxa"/>
            <w:tcBorders>
              <w:top w:val="nil"/>
              <w:left w:val="nil"/>
              <w:bottom w:val="single" w:color="auto" w:sz="4" w:space="0"/>
              <w:right w:val="single" w:color="auto" w:sz="4" w:space="0"/>
            </w:tcBorders>
            <w:vAlign w:val="center"/>
          </w:tcPr>
          <w:p w14:paraId="199B449C">
            <w:pPr>
              <w:pStyle w:val="32"/>
              <w:widowControl/>
              <w:jc w:val="center"/>
              <w:rPr>
                <w:rFonts w:ascii="宋体" w:hAnsi="宋体" w:cs="宋体"/>
                <w:kern w:val="0"/>
                <w:szCs w:val="21"/>
              </w:rPr>
            </w:pPr>
            <w:r>
              <w:rPr>
                <w:rFonts w:hint="eastAsia" w:ascii="宋体" w:hAnsi="宋体" w:cs="宋体"/>
                <w:kern w:val="0"/>
                <w:szCs w:val="21"/>
              </w:rPr>
              <w:t>且≥100</w:t>
            </w:r>
          </w:p>
        </w:tc>
        <w:tc>
          <w:tcPr>
            <w:tcW w:w="708" w:type="dxa"/>
            <w:tcBorders>
              <w:top w:val="nil"/>
              <w:left w:val="nil"/>
              <w:bottom w:val="single" w:color="auto" w:sz="4" w:space="0"/>
              <w:right w:val="single" w:color="auto" w:sz="4" w:space="0"/>
            </w:tcBorders>
            <w:vAlign w:val="center"/>
          </w:tcPr>
          <w:p w14:paraId="07D72101">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78FFCAC6">
            <w:pPr>
              <w:pStyle w:val="32"/>
              <w:widowControl/>
              <w:jc w:val="center"/>
              <w:rPr>
                <w:rFonts w:ascii="宋体" w:hAnsi="宋体" w:cs="宋体"/>
                <w:kern w:val="0"/>
                <w:szCs w:val="21"/>
              </w:rPr>
            </w:pPr>
            <w:r>
              <w:rPr>
                <w:rFonts w:hint="eastAsia" w:ascii="宋体" w:hAnsi="宋体" w:cs="宋体"/>
                <w:kern w:val="0"/>
                <w:szCs w:val="21"/>
              </w:rPr>
              <w:t>＜500</w:t>
            </w:r>
          </w:p>
        </w:tc>
        <w:tc>
          <w:tcPr>
            <w:tcW w:w="709" w:type="dxa"/>
            <w:tcBorders>
              <w:top w:val="nil"/>
              <w:left w:val="nil"/>
              <w:bottom w:val="single" w:color="auto" w:sz="4" w:space="0"/>
              <w:right w:val="single" w:color="auto" w:sz="4" w:space="0"/>
            </w:tcBorders>
            <w:vAlign w:val="center"/>
          </w:tcPr>
          <w:p w14:paraId="532AD655">
            <w:pPr>
              <w:pStyle w:val="32"/>
              <w:widowControl/>
              <w:jc w:val="center"/>
              <w:rPr>
                <w:rFonts w:ascii="宋体" w:hAnsi="宋体" w:cs="宋体"/>
                <w:kern w:val="0"/>
                <w:szCs w:val="21"/>
              </w:rPr>
            </w:pPr>
            <w:r>
              <w:rPr>
                <w:rFonts w:hint="eastAsia" w:ascii="宋体" w:hAnsi="宋体" w:cs="宋体"/>
                <w:kern w:val="0"/>
                <w:szCs w:val="21"/>
              </w:rPr>
              <w:t>或＜100</w:t>
            </w:r>
          </w:p>
        </w:tc>
        <w:tc>
          <w:tcPr>
            <w:tcW w:w="709" w:type="dxa"/>
            <w:tcBorders>
              <w:top w:val="nil"/>
              <w:left w:val="nil"/>
              <w:bottom w:val="single" w:color="auto" w:sz="4" w:space="0"/>
              <w:right w:val="single" w:color="auto" w:sz="4" w:space="0"/>
            </w:tcBorders>
            <w:vAlign w:val="center"/>
          </w:tcPr>
          <w:p w14:paraId="5F728A4F">
            <w:pPr>
              <w:pStyle w:val="32"/>
              <w:widowControl/>
              <w:jc w:val="center"/>
              <w:rPr>
                <w:rFonts w:ascii="宋体" w:hAnsi="宋体" w:cs="宋体"/>
                <w:kern w:val="0"/>
                <w:szCs w:val="21"/>
              </w:rPr>
            </w:pPr>
            <w:r>
              <w:rPr>
                <w:rFonts w:hint="eastAsia" w:ascii="宋体" w:hAnsi="宋体" w:cs="宋体"/>
                <w:kern w:val="0"/>
                <w:szCs w:val="21"/>
              </w:rPr>
              <w:t>　</w:t>
            </w:r>
          </w:p>
        </w:tc>
      </w:tr>
      <w:tr w14:paraId="665BBCBA">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659D92E1">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764" w:type="dxa"/>
            <w:tcBorders>
              <w:top w:val="nil"/>
              <w:left w:val="nil"/>
              <w:bottom w:val="single" w:color="auto" w:sz="4" w:space="0"/>
              <w:right w:val="single" w:color="auto" w:sz="4" w:space="0"/>
            </w:tcBorders>
            <w:vAlign w:val="center"/>
          </w:tcPr>
          <w:p w14:paraId="724F3E07">
            <w:pPr>
              <w:pStyle w:val="32"/>
              <w:ind w:left="-27" w:leftChars="-13" w:right="-65" w:rightChars="-31"/>
              <w:jc w:val="left"/>
              <w:rPr>
                <w:rFonts w:ascii="宋体" w:hAnsi="宋体" w:cs="宋体"/>
                <w:b/>
                <w:kern w:val="0"/>
                <w:szCs w:val="21"/>
              </w:rPr>
            </w:pPr>
            <w:r>
              <w:rPr>
                <w:rFonts w:hint="eastAsia" w:ascii="宋体" w:hAnsi="宋体" w:cs="宋体"/>
                <w:b/>
                <w:kern w:val="0"/>
                <w:szCs w:val="21"/>
              </w:rPr>
              <w:t>租赁和商务服务业</w:t>
            </w:r>
          </w:p>
        </w:tc>
        <w:tc>
          <w:tcPr>
            <w:tcW w:w="851" w:type="dxa"/>
            <w:tcBorders>
              <w:top w:val="nil"/>
              <w:left w:val="nil"/>
              <w:bottom w:val="single" w:color="auto" w:sz="4" w:space="0"/>
              <w:right w:val="single" w:color="auto" w:sz="4" w:space="0"/>
            </w:tcBorders>
            <w:vAlign w:val="center"/>
          </w:tcPr>
          <w:p w14:paraId="2DAFB6D0">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2112FA60">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851" w:type="dxa"/>
            <w:tcBorders>
              <w:top w:val="nil"/>
              <w:left w:val="nil"/>
              <w:bottom w:val="single" w:color="auto" w:sz="4" w:space="0"/>
              <w:right w:val="single" w:color="auto" w:sz="4" w:space="0"/>
            </w:tcBorders>
            <w:vAlign w:val="center"/>
          </w:tcPr>
          <w:p w14:paraId="4ACD4358">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且≥120000</w:t>
            </w:r>
          </w:p>
        </w:tc>
        <w:tc>
          <w:tcPr>
            <w:tcW w:w="850" w:type="dxa"/>
            <w:tcBorders>
              <w:top w:val="nil"/>
              <w:left w:val="nil"/>
              <w:bottom w:val="single" w:color="auto" w:sz="4" w:space="0"/>
              <w:right w:val="single" w:color="auto" w:sz="4" w:space="0"/>
            </w:tcBorders>
            <w:vAlign w:val="center"/>
          </w:tcPr>
          <w:p w14:paraId="4AD94C8F">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7C28E0DB">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3C8C9D75">
            <w:pPr>
              <w:pStyle w:val="32"/>
              <w:widowControl/>
              <w:jc w:val="center"/>
              <w:rPr>
                <w:rFonts w:ascii="宋体" w:hAnsi="宋体" w:cs="宋体"/>
                <w:kern w:val="0"/>
                <w:szCs w:val="21"/>
              </w:rPr>
            </w:pPr>
            <w:r>
              <w:rPr>
                <w:rFonts w:hint="eastAsia" w:ascii="宋体" w:hAnsi="宋体" w:cs="宋体"/>
                <w:kern w:val="0"/>
                <w:szCs w:val="21"/>
              </w:rPr>
              <w:t>且≥8000</w:t>
            </w:r>
          </w:p>
        </w:tc>
        <w:tc>
          <w:tcPr>
            <w:tcW w:w="850" w:type="dxa"/>
            <w:tcBorders>
              <w:top w:val="nil"/>
              <w:left w:val="nil"/>
              <w:bottom w:val="single" w:color="auto" w:sz="4" w:space="0"/>
              <w:right w:val="single" w:color="auto" w:sz="4" w:space="0"/>
            </w:tcBorders>
            <w:vAlign w:val="center"/>
          </w:tcPr>
          <w:p w14:paraId="042E7BC8">
            <w:pPr>
              <w:pStyle w:val="32"/>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079BC034">
            <w:pPr>
              <w:pStyle w:val="32"/>
              <w:widowControl/>
              <w:jc w:val="center"/>
              <w:rPr>
                <w:rFonts w:ascii="宋体" w:hAnsi="宋体" w:cs="宋体"/>
                <w:kern w:val="0"/>
                <w:szCs w:val="21"/>
              </w:rPr>
            </w:pPr>
            <w:r>
              <w:rPr>
                <w:rFonts w:hint="eastAsia" w:ascii="宋体" w:hAnsi="宋体" w:cs="宋体"/>
                <w:kern w:val="0"/>
                <w:szCs w:val="21"/>
              </w:rPr>
              <w:t>≥10</w:t>
            </w:r>
          </w:p>
        </w:tc>
        <w:tc>
          <w:tcPr>
            <w:tcW w:w="708" w:type="dxa"/>
            <w:tcBorders>
              <w:top w:val="nil"/>
              <w:left w:val="nil"/>
              <w:bottom w:val="single" w:color="auto" w:sz="4" w:space="0"/>
              <w:right w:val="single" w:color="auto" w:sz="4" w:space="0"/>
            </w:tcBorders>
            <w:vAlign w:val="center"/>
          </w:tcPr>
          <w:p w14:paraId="37C155CB">
            <w:pPr>
              <w:pStyle w:val="32"/>
              <w:widowControl/>
              <w:jc w:val="center"/>
              <w:rPr>
                <w:rFonts w:ascii="宋体" w:hAnsi="宋体" w:cs="宋体"/>
                <w:kern w:val="0"/>
                <w:szCs w:val="21"/>
              </w:rPr>
            </w:pPr>
            <w:r>
              <w:rPr>
                <w:rFonts w:hint="eastAsia" w:ascii="宋体" w:hAnsi="宋体" w:cs="宋体"/>
                <w:kern w:val="0"/>
                <w:szCs w:val="21"/>
              </w:rPr>
              <w:t>且≥100</w:t>
            </w:r>
          </w:p>
        </w:tc>
        <w:tc>
          <w:tcPr>
            <w:tcW w:w="709" w:type="dxa"/>
            <w:tcBorders>
              <w:top w:val="nil"/>
              <w:left w:val="nil"/>
              <w:bottom w:val="single" w:color="auto" w:sz="4" w:space="0"/>
              <w:right w:val="single" w:color="auto" w:sz="4" w:space="0"/>
            </w:tcBorders>
            <w:vAlign w:val="center"/>
          </w:tcPr>
          <w:p w14:paraId="36A2635D">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094EDDDF">
            <w:pPr>
              <w:pStyle w:val="32"/>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vAlign w:val="center"/>
          </w:tcPr>
          <w:p w14:paraId="5562B4BF">
            <w:pPr>
              <w:pStyle w:val="32"/>
              <w:widowControl/>
              <w:jc w:val="center"/>
              <w:rPr>
                <w:rFonts w:ascii="宋体" w:hAnsi="宋体" w:cs="宋体"/>
                <w:kern w:val="0"/>
                <w:szCs w:val="21"/>
              </w:rPr>
            </w:pPr>
            <w:r>
              <w:rPr>
                <w:rFonts w:hint="eastAsia" w:ascii="宋体" w:hAnsi="宋体" w:cs="宋体"/>
                <w:kern w:val="0"/>
                <w:szCs w:val="21"/>
              </w:rPr>
              <w:t>或＜100</w:t>
            </w:r>
          </w:p>
        </w:tc>
      </w:tr>
      <w:tr w14:paraId="14E268AF">
        <w:tblPrEx>
          <w:tblCellMar>
            <w:top w:w="0" w:type="dxa"/>
            <w:left w:w="108" w:type="dxa"/>
            <w:bottom w:w="0" w:type="dxa"/>
            <w:right w:w="108" w:type="dxa"/>
          </w:tblCellMar>
        </w:tblPrEx>
        <w:trPr>
          <w:trHeight w:val="369" w:hRule="atLeast"/>
          <w:jc w:val="center"/>
        </w:trPr>
        <w:tc>
          <w:tcPr>
            <w:tcW w:w="479" w:type="dxa"/>
            <w:tcBorders>
              <w:top w:val="nil"/>
              <w:left w:val="single" w:color="auto" w:sz="4" w:space="0"/>
              <w:bottom w:val="single" w:color="auto" w:sz="4" w:space="0"/>
              <w:right w:val="single" w:color="auto" w:sz="4" w:space="0"/>
            </w:tcBorders>
            <w:vAlign w:val="center"/>
          </w:tcPr>
          <w:p w14:paraId="1DF4144C">
            <w:pPr>
              <w:pStyle w:val="32"/>
              <w:widowControl/>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764" w:type="dxa"/>
            <w:tcBorders>
              <w:top w:val="nil"/>
              <w:left w:val="nil"/>
              <w:bottom w:val="single" w:color="auto" w:sz="4" w:space="0"/>
              <w:right w:val="single" w:color="auto" w:sz="4" w:space="0"/>
            </w:tcBorders>
            <w:vAlign w:val="center"/>
          </w:tcPr>
          <w:p w14:paraId="40785222">
            <w:pPr>
              <w:pStyle w:val="32"/>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851" w:type="dxa"/>
            <w:tcBorders>
              <w:top w:val="nil"/>
              <w:left w:val="nil"/>
              <w:bottom w:val="single" w:color="auto" w:sz="4" w:space="0"/>
              <w:right w:val="single" w:color="auto" w:sz="4" w:space="0"/>
            </w:tcBorders>
            <w:vAlign w:val="center"/>
          </w:tcPr>
          <w:p w14:paraId="35682421">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3D661FF2">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851" w:type="dxa"/>
            <w:tcBorders>
              <w:top w:val="nil"/>
              <w:left w:val="nil"/>
              <w:bottom w:val="single" w:color="auto" w:sz="4" w:space="0"/>
              <w:right w:val="single" w:color="auto" w:sz="4" w:space="0"/>
            </w:tcBorders>
            <w:vAlign w:val="center"/>
          </w:tcPr>
          <w:p w14:paraId="1830AC29">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15809C46">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6BBAE58E">
            <w:pPr>
              <w:pStyle w:val="32"/>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14:paraId="193CE7D3">
            <w:pPr>
              <w:pStyle w:val="32"/>
              <w:widowControl/>
              <w:jc w:val="center"/>
              <w:rPr>
                <w:rFonts w:ascii="宋体" w:hAnsi="宋体" w:cs="宋体"/>
                <w:kern w:val="0"/>
                <w:szCs w:val="21"/>
              </w:rPr>
            </w:pPr>
            <w:r>
              <w:rPr>
                <w:rFonts w:hint="eastAsia" w:ascii="宋体" w:hAnsi="宋体" w:cs="宋体"/>
                <w:kern w:val="0"/>
                <w:szCs w:val="21"/>
              </w:rPr>
              <w:t>　</w:t>
            </w:r>
          </w:p>
        </w:tc>
        <w:tc>
          <w:tcPr>
            <w:tcW w:w="850" w:type="dxa"/>
            <w:tcBorders>
              <w:top w:val="nil"/>
              <w:left w:val="nil"/>
              <w:bottom w:val="single" w:color="auto" w:sz="4" w:space="0"/>
              <w:right w:val="single" w:color="auto" w:sz="4" w:space="0"/>
            </w:tcBorders>
            <w:vAlign w:val="center"/>
          </w:tcPr>
          <w:p w14:paraId="3392B820">
            <w:pPr>
              <w:pStyle w:val="32"/>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14:paraId="0CE1B921">
            <w:pPr>
              <w:pStyle w:val="32"/>
              <w:widowControl/>
              <w:jc w:val="center"/>
              <w:rPr>
                <w:rFonts w:ascii="宋体" w:hAnsi="宋体" w:cs="宋体"/>
                <w:kern w:val="0"/>
                <w:szCs w:val="21"/>
              </w:rPr>
            </w:pPr>
            <w:r>
              <w:rPr>
                <w:rFonts w:hint="eastAsia" w:ascii="宋体" w:hAnsi="宋体" w:cs="宋体"/>
                <w:kern w:val="0"/>
                <w:szCs w:val="21"/>
              </w:rPr>
              <w:t>≥10</w:t>
            </w:r>
          </w:p>
        </w:tc>
        <w:tc>
          <w:tcPr>
            <w:tcW w:w="708" w:type="dxa"/>
            <w:tcBorders>
              <w:top w:val="nil"/>
              <w:left w:val="nil"/>
              <w:bottom w:val="single" w:color="auto" w:sz="4" w:space="0"/>
              <w:right w:val="single" w:color="auto" w:sz="4" w:space="0"/>
            </w:tcBorders>
            <w:vAlign w:val="center"/>
          </w:tcPr>
          <w:p w14:paraId="17B5A7A7">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5CDCCB7B">
            <w:pPr>
              <w:pStyle w:val="32"/>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vAlign w:val="center"/>
          </w:tcPr>
          <w:p w14:paraId="3E9B9F28">
            <w:pPr>
              <w:pStyle w:val="32"/>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vAlign w:val="center"/>
          </w:tcPr>
          <w:p w14:paraId="23AE421C">
            <w:pPr>
              <w:pStyle w:val="32"/>
              <w:widowControl/>
              <w:jc w:val="center"/>
              <w:rPr>
                <w:rFonts w:ascii="宋体" w:hAnsi="宋体" w:cs="宋体"/>
                <w:kern w:val="0"/>
                <w:szCs w:val="21"/>
              </w:rPr>
            </w:pPr>
            <w:r>
              <w:rPr>
                <w:rFonts w:hint="eastAsia" w:ascii="宋体" w:hAnsi="宋体" w:cs="宋体"/>
                <w:kern w:val="0"/>
                <w:szCs w:val="21"/>
              </w:rPr>
              <w:t>　</w:t>
            </w:r>
          </w:p>
        </w:tc>
      </w:tr>
    </w:tbl>
    <w:p w14:paraId="719683F3">
      <w:pPr>
        <w:widowControl/>
        <w:jc w:val="left"/>
        <w:rPr>
          <w:rFonts w:ascii="仿宋_GB2312" w:hAnsi="宋体" w:eastAsia="仿宋_GB2312"/>
          <w:sz w:val="24"/>
        </w:rPr>
      </w:pPr>
    </w:p>
    <w:sectPr>
      <w:pgSz w:w="11906" w:h="16838"/>
      <w:pgMar w:top="1134" w:right="1355" w:bottom="958" w:left="1452" w:header="720" w:footer="72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中宋">
    <w:altName w:val="Malgun Gothic Semilight"/>
    <w:panose1 w:val="00000000000000000000"/>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Times New Roman"/>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Ch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DC8D">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DEEC2">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ADEEC2">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6F2D">
    <w:pPr>
      <w:spacing w:line="176" w:lineRule="auto"/>
      <w:ind w:left="44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7CDC3">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87CDC3">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C8"/>
    <w:rsid w:val="00065B8A"/>
    <w:rsid w:val="00076661"/>
    <w:rsid w:val="0008569B"/>
    <w:rsid w:val="00097E71"/>
    <w:rsid w:val="000A5497"/>
    <w:rsid w:val="001D0024"/>
    <w:rsid w:val="00206B99"/>
    <w:rsid w:val="003635E3"/>
    <w:rsid w:val="0057079A"/>
    <w:rsid w:val="006206B1"/>
    <w:rsid w:val="006362F6"/>
    <w:rsid w:val="006A448D"/>
    <w:rsid w:val="0070534A"/>
    <w:rsid w:val="0073099D"/>
    <w:rsid w:val="00755758"/>
    <w:rsid w:val="007C5E36"/>
    <w:rsid w:val="00895868"/>
    <w:rsid w:val="00906DB2"/>
    <w:rsid w:val="0091171D"/>
    <w:rsid w:val="009B2DF0"/>
    <w:rsid w:val="00A4567B"/>
    <w:rsid w:val="00A52D2E"/>
    <w:rsid w:val="00A847BF"/>
    <w:rsid w:val="00AA6FD9"/>
    <w:rsid w:val="00B61874"/>
    <w:rsid w:val="00B70DC8"/>
    <w:rsid w:val="00B7557B"/>
    <w:rsid w:val="00BC4701"/>
    <w:rsid w:val="00C33F28"/>
    <w:rsid w:val="00C65CA8"/>
    <w:rsid w:val="00CB2BA2"/>
    <w:rsid w:val="00E228DC"/>
    <w:rsid w:val="00F52BF6"/>
    <w:rsid w:val="00F804E1"/>
    <w:rsid w:val="00FC5A70"/>
    <w:rsid w:val="02006082"/>
    <w:rsid w:val="099A5DD9"/>
    <w:rsid w:val="100212E1"/>
    <w:rsid w:val="120174E4"/>
    <w:rsid w:val="19704F4F"/>
    <w:rsid w:val="1FBF6BA7"/>
    <w:rsid w:val="27244C60"/>
    <w:rsid w:val="317B3B07"/>
    <w:rsid w:val="3A2B0CF2"/>
    <w:rsid w:val="43DB0941"/>
    <w:rsid w:val="4A286DF8"/>
    <w:rsid w:val="52E33CDE"/>
    <w:rsid w:val="55980A4A"/>
    <w:rsid w:val="590A1D69"/>
    <w:rsid w:val="5C114178"/>
    <w:rsid w:val="60A5399D"/>
    <w:rsid w:val="6C9A6B00"/>
    <w:rsid w:val="6F5E4111"/>
    <w:rsid w:val="75AF46A6"/>
    <w:rsid w:val="7BEC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19"/>
    <w:qFormat/>
    <w:uiPriority w:val="0"/>
    <w:pPr>
      <w:widowControl/>
      <w:kinsoku w:val="0"/>
      <w:autoSpaceDE w:val="0"/>
      <w:autoSpaceDN w:val="0"/>
      <w:adjustRightInd w:val="0"/>
      <w:snapToGrid w:val="0"/>
      <w:jc w:val="left"/>
    </w:pPr>
    <w:rPr>
      <w:rFonts w:hint="eastAsia" w:ascii="宋体" w:hAnsi="宋体" w:eastAsia="宋体" w:cs="Times New Roman"/>
      <w:color w:val="000000"/>
      <w:kern w:val="0"/>
      <w:sz w:val="31"/>
      <w:szCs w:val="31"/>
    </w:rPr>
  </w:style>
  <w:style w:type="paragraph" w:styleId="3">
    <w:name w:val="Body Text Indent"/>
    <w:basedOn w:val="1"/>
    <w:link w:val="20"/>
    <w:qFormat/>
    <w:uiPriority w:val="0"/>
    <w:pPr>
      <w:spacing w:after="120"/>
      <w:ind w:left="420" w:leftChars="200"/>
    </w:pPr>
  </w:style>
  <w:style w:type="paragraph" w:styleId="4">
    <w:name w:val="List 2"/>
    <w:basedOn w:val="1"/>
    <w:qFormat/>
    <w:uiPriority w:val="0"/>
    <w:pPr>
      <w:widowControl/>
      <w:kinsoku w:val="0"/>
      <w:autoSpaceDE w:val="0"/>
      <w:autoSpaceDN w:val="0"/>
      <w:adjustRightInd w:val="0"/>
      <w:snapToGrid w:val="0"/>
      <w:ind w:left="100" w:leftChars="200" w:hanging="200" w:hangingChars="200"/>
      <w:jc w:val="left"/>
      <w:textAlignment w:val="baseline"/>
    </w:pPr>
    <w:rPr>
      <w:rFonts w:ascii="Arial" w:hAnsi="Arial" w:eastAsia="Arial" w:cs="Arial"/>
      <w:snapToGrid w:val="0"/>
      <w:color w:val="000000"/>
      <w:kern w:val="0"/>
      <w:szCs w:val="21"/>
      <w:lang w:eastAsia="en-US"/>
    </w:rPr>
  </w:style>
  <w:style w:type="paragraph" w:styleId="5">
    <w:name w:val="Block Text"/>
    <w:basedOn w:val="1"/>
    <w:qFormat/>
    <w:uiPriority w:val="0"/>
    <w:pPr>
      <w:spacing w:after="120"/>
      <w:ind w:left="1440" w:leftChars="700" w:right="700" w:rightChars="700"/>
    </w:pPr>
  </w:style>
  <w:style w:type="paragraph" w:styleId="6">
    <w:name w:val="Plain Text"/>
    <w:basedOn w:val="1"/>
    <w:link w:val="28"/>
    <w:unhideWhenUsed/>
    <w:qFormat/>
    <w:uiPriority w:val="99"/>
    <w:rPr>
      <w:rFonts w:ascii="宋体" w:hAnsi="Courier New" w:eastAsia="宋体" w:cs="宋体"/>
      <w:sz w:val="24"/>
    </w:rPr>
  </w:style>
  <w:style w:type="paragraph" w:styleId="7">
    <w:name w:val="Date"/>
    <w:basedOn w:val="1"/>
    <w:next w:val="1"/>
    <w:link w:val="23"/>
    <w:qFormat/>
    <w:uiPriority w:val="0"/>
    <w:pPr>
      <w:ind w:left="100" w:leftChars="2500"/>
    </w:p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Body Text 2"/>
    <w:basedOn w:val="1"/>
    <w:link w:val="31"/>
    <w:qFormat/>
    <w:uiPriority w:val="0"/>
    <w:pPr>
      <w:spacing w:after="120" w:line="480" w:lineRule="auto"/>
    </w:pPr>
  </w:style>
  <w:style w:type="paragraph" w:styleId="13">
    <w:name w:val="Normal (Web)"/>
    <w:basedOn w:val="1"/>
    <w:qFormat/>
    <w:uiPriority w:val="0"/>
    <w:pPr>
      <w:widowControl/>
      <w:kinsoku w:val="0"/>
      <w:autoSpaceDE w:val="0"/>
      <w:autoSpaceDN w:val="0"/>
      <w:adjustRightInd w:val="0"/>
      <w:snapToGrid w:val="0"/>
      <w:spacing w:beforeAutospacing="1" w:afterAutospacing="1"/>
      <w:jc w:val="left"/>
    </w:pPr>
    <w:rPr>
      <w:rFonts w:ascii="??" w:hAnsi="??" w:eastAsia="Arial" w:cs="Times New Roman"/>
      <w:color w:val="000000"/>
      <w:kern w:val="0"/>
      <w:sz w:val="24"/>
    </w:rPr>
  </w:style>
  <w:style w:type="paragraph" w:styleId="14">
    <w:name w:val="Body Text First Indent 2"/>
    <w:basedOn w:val="3"/>
    <w:next w:val="5"/>
    <w:link w:val="21"/>
    <w:qFormat/>
    <w:uiPriority w:val="0"/>
    <w:pPr>
      <w:widowControl/>
      <w:suppressAutoHyphens/>
      <w:kinsoku w:val="0"/>
      <w:autoSpaceDE w:val="0"/>
      <w:autoSpaceDN w:val="0"/>
      <w:adjustRightInd w:val="0"/>
      <w:snapToGrid w:val="0"/>
      <w:spacing w:after="0" w:line="360" w:lineRule="auto"/>
      <w:ind w:left="0" w:firstLine="420" w:firstLineChars="200"/>
      <w:jc w:val="left"/>
    </w:pPr>
    <w:rPr>
      <w:rFonts w:hint="eastAsia" w:ascii="宋体" w:hAnsi="Arial" w:eastAsia="Arial" w:cs="Times New Roman"/>
      <w:color w:val="000000"/>
      <w:kern w:val="1"/>
      <w:sz w:val="24"/>
      <w:szCs w:val="21"/>
    </w:rPr>
  </w:style>
  <w:style w:type="character" w:styleId="17">
    <w:name w:val="Hyperlink"/>
    <w:basedOn w:val="16"/>
    <w:unhideWhenUsed/>
    <w:qFormat/>
    <w:uiPriority w:val="99"/>
    <w:rPr>
      <w:color w:val="0026E5" w:themeColor="hyperlink"/>
      <w:u w:val="single"/>
      <w14:textFill>
        <w14:solidFill>
          <w14:schemeClr w14:val="hlink"/>
        </w14:solidFill>
      </w14:textFill>
    </w:rPr>
  </w:style>
  <w:style w:type="character" w:customStyle="1" w:styleId="18">
    <w:name w:val="引用 字符"/>
    <w:basedOn w:val="16"/>
    <w:qFormat/>
    <w:uiPriority w:val="0"/>
    <w:rPr>
      <w:rFonts w:ascii="Arial" w:hAnsi="Arial" w:eastAsia="Arial" w:cs="Arial"/>
      <w:i/>
      <w:iCs/>
      <w:snapToGrid/>
      <w:color w:val="404040"/>
      <w:sz w:val="21"/>
      <w:szCs w:val="21"/>
      <w:lang w:eastAsia="en-US"/>
    </w:rPr>
  </w:style>
  <w:style w:type="character" w:customStyle="1" w:styleId="19">
    <w:name w:val="正文文本 字符"/>
    <w:basedOn w:val="16"/>
    <w:link w:val="2"/>
    <w:qFormat/>
    <w:uiPriority w:val="0"/>
    <w:rPr>
      <w:rFonts w:hint="eastAsia" w:ascii="宋体" w:hAnsi="宋体" w:eastAsia="宋体" w:cs="宋体"/>
      <w:snapToGrid/>
      <w:color w:val="000000"/>
      <w:sz w:val="31"/>
      <w:szCs w:val="31"/>
      <w:lang w:eastAsia="en-US"/>
    </w:rPr>
  </w:style>
  <w:style w:type="character" w:customStyle="1" w:styleId="20">
    <w:name w:val="正文文本缩进 字符"/>
    <w:basedOn w:val="16"/>
    <w:link w:val="3"/>
    <w:qFormat/>
    <w:uiPriority w:val="0"/>
    <w:rPr>
      <w:rFonts w:hint="default" w:ascii="Arial" w:hAnsi="Arial" w:eastAsia="Arial" w:cs="Arial"/>
      <w:snapToGrid/>
      <w:color w:val="000000"/>
      <w:sz w:val="21"/>
      <w:szCs w:val="21"/>
      <w:lang w:eastAsia="en-US"/>
    </w:rPr>
  </w:style>
  <w:style w:type="character" w:customStyle="1" w:styleId="21">
    <w:name w:val="正文首行缩进 2 字符"/>
    <w:basedOn w:val="20"/>
    <w:link w:val="14"/>
    <w:qFormat/>
    <w:uiPriority w:val="0"/>
    <w:rPr>
      <w:rFonts w:hint="eastAsia" w:ascii="宋体" w:hAnsi="Arial" w:eastAsia="Arial" w:cs="Arial"/>
      <w:snapToGrid/>
      <w:color w:val="000000"/>
      <w:kern w:val="1"/>
      <w:sz w:val="24"/>
      <w:szCs w:val="21"/>
      <w:lang w:eastAsia="ar"/>
    </w:rPr>
  </w:style>
  <w:style w:type="paragraph" w:customStyle="1" w:styleId="22">
    <w:name w:val="Default"/>
    <w:basedOn w:val="1"/>
    <w:next w:val="7"/>
    <w:qFormat/>
    <w:uiPriority w:val="0"/>
    <w:pPr>
      <w:autoSpaceDE w:val="0"/>
      <w:autoSpaceDN w:val="0"/>
      <w:adjustRightInd w:val="0"/>
      <w:jc w:val="left"/>
    </w:pPr>
    <w:rPr>
      <w:rFonts w:hint="eastAsia" w:ascii="宋体" w:hAnsi="Times New Roman" w:eastAsia="宋体" w:cs="Times New Roman"/>
      <w:color w:val="000000"/>
      <w:kern w:val="0"/>
      <w:sz w:val="24"/>
    </w:rPr>
  </w:style>
  <w:style w:type="character" w:customStyle="1" w:styleId="23">
    <w:name w:val="日期 字符"/>
    <w:basedOn w:val="16"/>
    <w:link w:val="7"/>
    <w:qFormat/>
    <w:uiPriority w:val="0"/>
    <w:rPr>
      <w:rFonts w:hint="default" w:ascii="Arial" w:hAnsi="Arial" w:eastAsia="Arial" w:cs="Arial"/>
      <w:snapToGrid/>
      <w:color w:val="000000"/>
      <w:sz w:val="21"/>
      <w:szCs w:val="21"/>
      <w:lang w:eastAsia="en-US"/>
    </w:rPr>
  </w:style>
  <w:style w:type="paragraph" w:customStyle="1" w:styleId="24">
    <w:name w:val="Table Text"/>
    <w:basedOn w:val="1"/>
    <w:hidden/>
    <w:qFormat/>
    <w:uiPriority w:val="0"/>
    <w:pPr>
      <w:widowControl/>
      <w:kinsoku w:val="0"/>
      <w:autoSpaceDE w:val="0"/>
      <w:autoSpaceDN w:val="0"/>
      <w:adjustRightInd w:val="0"/>
      <w:snapToGrid w:val="0"/>
      <w:jc w:val="left"/>
    </w:pPr>
    <w:rPr>
      <w:rFonts w:hint="eastAsia" w:ascii="宋体" w:hAnsi="宋体" w:eastAsia="宋体" w:cs="Times New Roman"/>
      <w:color w:val="000000"/>
      <w:kern w:val="0"/>
      <w:sz w:val="24"/>
    </w:rPr>
  </w:style>
  <w:style w:type="paragraph" w:customStyle="1" w:styleId="25">
    <w:name w:val="Table Paragraph"/>
    <w:basedOn w:val="1"/>
    <w:qFormat/>
    <w:uiPriority w:val="0"/>
    <w:pPr>
      <w:widowControl/>
      <w:kinsoku w:val="0"/>
      <w:autoSpaceDE w:val="0"/>
      <w:autoSpaceDN w:val="0"/>
      <w:adjustRightInd w:val="0"/>
      <w:snapToGrid w:val="0"/>
      <w:jc w:val="left"/>
    </w:pPr>
    <w:rPr>
      <w:rFonts w:hint="eastAsia" w:ascii="宋体" w:hAnsi="宋体" w:eastAsia="宋体" w:cs="Times New Roman"/>
      <w:color w:val="000000"/>
      <w:kern w:val="0"/>
      <w:szCs w:val="21"/>
    </w:rPr>
  </w:style>
  <w:style w:type="character" w:customStyle="1" w:styleId="26">
    <w:name w:val="页眉 字符"/>
    <w:basedOn w:val="16"/>
    <w:link w:val="9"/>
    <w:qFormat/>
    <w:uiPriority w:val="0"/>
    <w:rPr>
      <w:rFonts w:asciiTheme="minorHAnsi" w:hAnsiTheme="minorHAnsi" w:eastAsiaTheme="minorEastAsia" w:cstheme="minorBidi"/>
      <w:kern w:val="2"/>
      <w:sz w:val="18"/>
      <w:szCs w:val="18"/>
    </w:rPr>
  </w:style>
  <w:style w:type="character" w:customStyle="1" w:styleId="27">
    <w:name w:val="页脚 字符"/>
    <w:basedOn w:val="16"/>
    <w:link w:val="8"/>
    <w:qFormat/>
    <w:uiPriority w:val="0"/>
    <w:rPr>
      <w:rFonts w:asciiTheme="minorHAnsi" w:hAnsiTheme="minorHAnsi" w:eastAsiaTheme="minorEastAsia" w:cstheme="minorBidi"/>
      <w:kern w:val="2"/>
      <w:sz w:val="18"/>
      <w:szCs w:val="18"/>
    </w:rPr>
  </w:style>
  <w:style w:type="character" w:customStyle="1" w:styleId="28">
    <w:name w:val="纯文本 字符"/>
    <w:basedOn w:val="16"/>
    <w:link w:val="6"/>
    <w:qFormat/>
    <w:uiPriority w:val="99"/>
    <w:rPr>
      <w:rFonts w:ascii="宋体" w:hAnsi="Courier New" w:cs="宋体"/>
      <w:kern w:val="2"/>
      <w:sz w:val="24"/>
      <w:szCs w:val="24"/>
    </w:rPr>
  </w:style>
  <w:style w:type="character" w:customStyle="1" w:styleId="29">
    <w:name w:val="纯文本 字符1"/>
    <w:basedOn w:val="16"/>
    <w:qFormat/>
    <w:uiPriority w:val="0"/>
    <w:rPr>
      <w:rFonts w:hAnsi="Courier New" w:cs="Courier New" w:asciiTheme="minorEastAsia" w:eastAsiaTheme="minorEastAsia"/>
      <w:kern w:val="2"/>
      <w:sz w:val="21"/>
      <w:szCs w:val="24"/>
    </w:rPr>
  </w:style>
  <w:style w:type="paragraph" w:customStyle="1" w:styleId="30">
    <w:name w:val="表格文字"/>
    <w:basedOn w:val="2"/>
    <w:next w:val="2"/>
    <w:qFormat/>
    <w:uiPriority w:val="0"/>
    <w:pPr>
      <w:spacing w:before="20" w:beforeLines="20" w:after="20" w:afterLines="20"/>
      <w:textAlignment w:val="baseline"/>
    </w:pPr>
    <w:rPr>
      <w:rFonts w:hint="default" w:ascii="Arial" w:hAnsi="Arial" w:cs="宋体"/>
      <w:snapToGrid w:val="0"/>
      <w:lang w:eastAsia="en-US"/>
    </w:rPr>
  </w:style>
  <w:style w:type="character" w:customStyle="1" w:styleId="31">
    <w:name w:val="正文文本 2 字符"/>
    <w:basedOn w:val="16"/>
    <w:link w:val="12"/>
    <w:qFormat/>
    <w:uiPriority w:val="0"/>
    <w:rPr>
      <w:rFonts w:asciiTheme="minorHAnsi" w:hAnsiTheme="minorHAnsi" w:eastAsiaTheme="minorEastAsia" w:cstheme="minorBidi"/>
      <w:kern w:val="2"/>
      <w:sz w:val="21"/>
      <w:szCs w:val="24"/>
    </w:rPr>
  </w:style>
  <w:style w:type="paragraph" w:customStyle="1" w:styleId="32">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3">
    <w:name w:val="Quote"/>
    <w:next w:val="1"/>
    <w:link w:val="34"/>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4">
    <w:name w:val="引用 字符1"/>
    <w:basedOn w:val="16"/>
    <w:link w:val="33"/>
    <w:qFormat/>
    <w:uiPriority w:val="0"/>
    <w:rPr>
      <w:rFonts w:ascii="Times New Roman" w:hAnsi="Times New Roman" w:cs="Times New Roman"/>
      <w:i/>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56232-D067-48BC-9370-705670546B5F}">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80</Pages>
  <Words>25515</Words>
  <Characters>27501</Characters>
  <Lines>304</Lines>
  <Paragraphs>85</Paragraphs>
  <TotalTime>5</TotalTime>
  <ScaleCrop>false</ScaleCrop>
  <LinksUpToDate>false</LinksUpToDate>
  <CharactersWithSpaces>29485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2025-06-05T05:18:00Z</dcterms:created>
  <dc:creator>Administrator</dc:creator>
  <cp:lastModifiedBy>Administrator</cp:lastModifiedBy>
  <cp:lastPrinted>2025-06-19T03:42:12Z</cp:lastPrinted>
  <dcterms:modified xsi:type="dcterms:W3CDTF">2025-06-19T04:04:41Z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eyJoZGlkIjoiMzEzNmM2ZTRjYjkxYmRlYmUzYTRjODBhNjg2NjE1MTIiLCJ1c2VySWQiOiIyNDY5NjM2MzUifQ==</vt:lpwstr>
  </property>
  <property fmtid="{D5CDD505-2E9C-101B-9397-08002B2CF9AE}" pid="4" name="ICV">
    <vt:lpwstr>3047EE928532407EA832700AFEFD4119_12</vt:lpwstr>
  </property>
</Properties>
</file>