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0D565">
      <w:pPr>
        <w:widowControl/>
        <w:tabs>
          <w:tab w:val="left" w:pos="9900"/>
        </w:tabs>
        <w:spacing w:line="360" w:lineRule="auto"/>
        <w:jc w:val="center"/>
        <w:outlineLvl w:val="0"/>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吉林广播电视台广播电视安全播出运行维护电视高清播总控系统运维项目</w:t>
      </w:r>
    </w:p>
    <w:p w14:paraId="27A12EEF">
      <w:pPr>
        <w:widowControl/>
        <w:tabs>
          <w:tab w:val="left" w:pos="9900"/>
        </w:tabs>
        <w:spacing w:line="360" w:lineRule="auto"/>
        <w:jc w:val="center"/>
        <w:outlineLvl w:val="0"/>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t>更正文件</w:t>
      </w:r>
    </w:p>
    <w:p w14:paraId="4B9B5375">
      <w:pPr>
        <w:pStyle w:val="2"/>
        <w:rPr>
          <w:rFonts w:hint="eastAsia" w:ascii="宋体" w:hAnsi="宋体" w:cs="宋体"/>
          <w:b/>
          <w:kern w:val="0"/>
          <w:sz w:val="28"/>
          <w:szCs w:val="28"/>
          <w:lang w:val="en-US" w:eastAsia="zh-CN"/>
        </w:rPr>
      </w:pPr>
    </w:p>
    <w:p w14:paraId="5D25C677">
      <w:pPr>
        <w:numPr>
          <w:ilvl w:val="0"/>
          <w:numId w:val="1"/>
        </w:numPr>
        <w:autoSpaceDE w:val="0"/>
        <w:autoSpaceDN w:val="0"/>
        <w:adjustRightInd w:val="0"/>
        <w:spacing w:line="500" w:lineRule="exact"/>
        <w:ind w:left="0" w:leftChars="0" w:firstLine="0" w:firstLineChars="0"/>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zh-CN"/>
        </w:rPr>
        <w:t>磋商文件第二章供应商须知前附表序号</w:t>
      </w:r>
      <w:r>
        <w:rPr>
          <w:rFonts w:hint="eastAsia" w:asciiTheme="minorEastAsia" w:hAnsiTheme="minorEastAsia" w:eastAsiaTheme="minorEastAsia" w:cstheme="minorEastAsia"/>
          <w:b w:val="0"/>
          <w:bCs/>
          <w:sz w:val="21"/>
          <w:szCs w:val="21"/>
          <w:lang w:val="en-US" w:eastAsia="zh-CN"/>
        </w:rPr>
        <w:t>23变更前：“</w:t>
      </w:r>
      <w:r>
        <w:rPr>
          <w:rFonts w:hint="eastAsia" w:asciiTheme="minorEastAsia" w:hAnsiTheme="minorEastAsia" w:eastAsiaTheme="minorEastAsia" w:cstheme="minorEastAsia"/>
          <w:b w:val="0"/>
          <w:bCs/>
          <w:sz w:val="21"/>
          <w:szCs w:val="21"/>
          <w:lang w:val="zh-CN"/>
        </w:rPr>
        <w:t>近年完成的类似项目的年份要求</w:t>
      </w:r>
      <w:r>
        <w:rPr>
          <w:rFonts w:hint="eastAsia" w:asciiTheme="minorEastAsia" w:hAnsiTheme="minorEastAsia" w:eastAsiaTheme="minorEastAsia" w:cstheme="minorEastAsia"/>
          <w:b w:val="0"/>
          <w:bCs/>
          <w:kern w:val="15"/>
          <w:sz w:val="21"/>
          <w:szCs w:val="21"/>
        </w:rPr>
        <w:t>20</w:t>
      </w:r>
      <w:r>
        <w:rPr>
          <w:rFonts w:hint="eastAsia" w:asciiTheme="minorEastAsia" w:hAnsiTheme="minorEastAsia" w:eastAsiaTheme="minorEastAsia" w:cstheme="minorEastAsia"/>
          <w:b w:val="0"/>
          <w:bCs/>
          <w:kern w:val="15"/>
          <w:sz w:val="21"/>
          <w:szCs w:val="21"/>
          <w:lang w:val="en-US" w:eastAsia="zh-CN"/>
        </w:rPr>
        <w:t>21</w:t>
      </w:r>
      <w:r>
        <w:rPr>
          <w:rFonts w:hint="eastAsia" w:asciiTheme="minorEastAsia" w:hAnsiTheme="minorEastAsia" w:eastAsiaTheme="minorEastAsia" w:cstheme="minorEastAsia"/>
          <w:b w:val="0"/>
          <w:bCs/>
          <w:kern w:val="15"/>
          <w:sz w:val="21"/>
          <w:szCs w:val="21"/>
        </w:rPr>
        <w:t>年至今</w:t>
      </w:r>
      <w:r>
        <w:rPr>
          <w:rFonts w:hint="eastAsia" w:asciiTheme="minorEastAsia" w:hAnsiTheme="minorEastAsia" w:eastAsiaTheme="minorEastAsia" w:cstheme="minorEastAsia"/>
          <w:b w:val="0"/>
          <w:bCs/>
          <w:sz w:val="21"/>
          <w:szCs w:val="21"/>
          <w:lang w:val="en-US" w:eastAsia="zh-CN"/>
        </w:rPr>
        <w:t>”</w:t>
      </w:r>
    </w:p>
    <w:p w14:paraId="14BDF97D">
      <w:pPr>
        <w:numPr>
          <w:ilvl w:val="0"/>
          <w:numId w:val="0"/>
        </w:numPr>
        <w:autoSpaceDE w:val="0"/>
        <w:autoSpaceDN w:val="0"/>
        <w:adjustRightInd w:val="0"/>
        <w:spacing w:line="500" w:lineRule="exact"/>
        <w:ind w:leftChars="0"/>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变更后：</w:t>
      </w:r>
      <w:r>
        <w:rPr>
          <w:rFonts w:hint="eastAsia" w:asciiTheme="minorEastAsia" w:hAnsiTheme="minorEastAsia" w:eastAsiaTheme="minorEastAsia" w:cstheme="minorEastAsia"/>
          <w:b w:val="0"/>
          <w:bCs/>
          <w:sz w:val="21"/>
          <w:szCs w:val="21"/>
          <w:lang w:val="zh-CN"/>
        </w:rPr>
        <w:t>近年完成的类似项目的年份要求</w:t>
      </w:r>
      <w:r>
        <w:rPr>
          <w:rFonts w:hint="eastAsia" w:asciiTheme="minorEastAsia" w:hAnsiTheme="minorEastAsia" w:eastAsiaTheme="minorEastAsia" w:cstheme="minorEastAsia"/>
          <w:b w:val="0"/>
          <w:bCs/>
          <w:kern w:val="15"/>
          <w:sz w:val="21"/>
          <w:szCs w:val="21"/>
        </w:rPr>
        <w:t>20</w:t>
      </w:r>
      <w:r>
        <w:rPr>
          <w:rFonts w:hint="eastAsia" w:asciiTheme="minorEastAsia" w:hAnsiTheme="minorEastAsia" w:eastAsiaTheme="minorEastAsia" w:cstheme="minorEastAsia"/>
          <w:b w:val="0"/>
          <w:bCs/>
          <w:kern w:val="15"/>
          <w:sz w:val="21"/>
          <w:szCs w:val="21"/>
          <w:lang w:val="en-US" w:eastAsia="zh-CN"/>
        </w:rPr>
        <w:t>20</w:t>
      </w:r>
      <w:r>
        <w:rPr>
          <w:rFonts w:hint="eastAsia" w:asciiTheme="minorEastAsia" w:hAnsiTheme="minorEastAsia" w:eastAsiaTheme="minorEastAsia" w:cstheme="minorEastAsia"/>
          <w:b w:val="0"/>
          <w:bCs/>
          <w:kern w:val="15"/>
          <w:sz w:val="21"/>
          <w:szCs w:val="21"/>
        </w:rPr>
        <w:t>年至今</w:t>
      </w:r>
    </w:p>
    <w:p w14:paraId="4AB49341">
      <w:pPr>
        <w:pStyle w:val="2"/>
        <w:numPr>
          <w:ilvl w:val="0"/>
          <w:numId w:val="0"/>
        </w:numPr>
        <w:ind w:leftChars="0"/>
        <w:rPr>
          <w:rFonts w:hint="eastAsia" w:asciiTheme="minorEastAsia" w:hAnsiTheme="minorEastAsia" w:eastAsiaTheme="minorEastAsia" w:cstheme="minorEastAsia"/>
          <w:b w:val="0"/>
          <w:bCs/>
          <w:kern w:val="0"/>
          <w:sz w:val="21"/>
          <w:szCs w:val="21"/>
          <w:lang w:val="en-US" w:eastAsia="zh-CN"/>
        </w:rPr>
      </w:pPr>
      <w:r>
        <w:rPr>
          <w:rFonts w:hint="eastAsia" w:asciiTheme="minorEastAsia" w:hAnsiTheme="minorEastAsia" w:eastAsiaTheme="minorEastAsia" w:cstheme="minorEastAsia"/>
          <w:b w:val="0"/>
          <w:bCs/>
          <w:kern w:val="0"/>
          <w:sz w:val="21"/>
          <w:szCs w:val="21"/>
          <w:lang w:val="en-US" w:eastAsia="zh-CN"/>
        </w:rPr>
        <w:t>2、磋商文件第三章评审办法详细评审变更前：</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246"/>
        <w:gridCol w:w="6583"/>
        <w:gridCol w:w="997"/>
      </w:tblGrid>
      <w:tr w14:paraId="153F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65" w:type="pct"/>
            <w:tcBorders>
              <w:top w:val="single" w:color="auto" w:sz="4" w:space="0"/>
              <w:left w:val="single" w:color="auto" w:sz="4" w:space="0"/>
              <w:bottom w:val="single" w:color="auto" w:sz="4" w:space="0"/>
              <w:right w:val="single" w:color="auto" w:sz="4" w:space="0"/>
            </w:tcBorders>
            <w:vAlign w:val="center"/>
          </w:tcPr>
          <w:p w14:paraId="5938B3CE">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评分项目</w:t>
            </w:r>
          </w:p>
        </w:tc>
        <w:tc>
          <w:tcPr>
            <w:tcW w:w="598" w:type="pct"/>
            <w:tcBorders>
              <w:top w:val="single" w:color="auto" w:sz="4" w:space="0"/>
              <w:left w:val="single" w:color="auto" w:sz="4" w:space="0"/>
              <w:bottom w:val="single" w:color="auto" w:sz="4" w:space="0"/>
              <w:right w:val="single" w:color="auto" w:sz="4" w:space="0"/>
            </w:tcBorders>
            <w:vAlign w:val="center"/>
          </w:tcPr>
          <w:p w14:paraId="6F56C644">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基准</w:t>
            </w:r>
          </w:p>
          <w:p w14:paraId="6F011623">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分值</w:t>
            </w:r>
          </w:p>
        </w:tc>
        <w:tc>
          <w:tcPr>
            <w:tcW w:w="3159" w:type="pct"/>
            <w:tcBorders>
              <w:top w:val="single" w:color="auto" w:sz="4" w:space="0"/>
              <w:left w:val="single" w:color="auto" w:sz="4" w:space="0"/>
              <w:bottom w:val="single" w:color="auto" w:sz="4" w:space="0"/>
              <w:right w:val="single" w:color="auto" w:sz="4" w:space="0"/>
            </w:tcBorders>
            <w:vAlign w:val="center"/>
          </w:tcPr>
          <w:p w14:paraId="17BB2B3D">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评分标准</w:t>
            </w:r>
          </w:p>
        </w:tc>
        <w:tc>
          <w:tcPr>
            <w:tcW w:w="478" w:type="pct"/>
            <w:tcBorders>
              <w:top w:val="single" w:color="auto" w:sz="4" w:space="0"/>
              <w:left w:val="single" w:color="auto" w:sz="4" w:space="0"/>
              <w:bottom w:val="single" w:color="auto" w:sz="4" w:space="0"/>
              <w:right w:val="single" w:color="auto" w:sz="4" w:space="0"/>
            </w:tcBorders>
            <w:vAlign w:val="center"/>
          </w:tcPr>
          <w:p w14:paraId="027673A5">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得分</w:t>
            </w:r>
          </w:p>
        </w:tc>
      </w:tr>
      <w:tr w14:paraId="2B65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65" w:type="pct"/>
            <w:vAlign w:val="center"/>
          </w:tcPr>
          <w:p w14:paraId="320A7E3B">
            <w:pPr>
              <w:snapToGrid w:val="0"/>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价格部分</w:t>
            </w:r>
          </w:p>
          <w:p w14:paraId="579973AD">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kern w:val="0"/>
                <w:sz w:val="21"/>
                <w:szCs w:val="21"/>
              </w:rPr>
              <w:t>（60分）</w:t>
            </w:r>
          </w:p>
        </w:tc>
        <w:tc>
          <w:tcPr>
            <w:tcW w:w="598" w:type="pct"/>
            <w:vAlign w:val="center"/>
          </w:tcPr>
          <w:p w14:paraId="34F7904F">
            <w:pPr>
              <w:snapToGrid w:val="0"/>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基准价格评分法</w:t>
            </w:r>
          </w:p>
          <w:p w14:paraId="18680616">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kern w:val="0"/>
                <w:sz w:val="21"/>
                <w:szCs w:val="21"/>
              </w:rPr>
              <w:t>（60分）</w:t>
            </w:r>
          </w:p>
        </w:tc>
        <w:tc>
          <w:tcPr>
            <w:tcW w:w="3159" w:type="pct"/>
            <w:vAlign w:val="center"/>
          </w:tcPr>
          <w:p w14:paraId="69BE363B">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综合评分法中的价格分统一采用低价优先法计算，即满足磋商文件要求且最后报价(第二次)最低的价格为磋商基准价，其价格分为满分。对于明显低于市场的报价，应当要求该供应商作出书面说明并提供相应的证明材料。供应商不能合理说明或者不能提供相应证明材料的，竞磋小组专家应当认定该供应商以低于成本报价竞争，报价分得零分。其他单位的价格分统一按照下列公式计算：</w:t>
            </w:r>
          </w:p>
          <w:p w14:paraId="6E6E3D4C">
            <w:pPr>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sz w:val="21"/>
                <w:szCs w:val="21"/>
              </w:rPr>
              <w:t>磋商报价得分=（磋商基准价/最终磋商报价）*价格权重（60%）*100，四舍五入保留小数点后两位有效数字。</w:t>
            </w:r>
          </w:p>
        </w:tc>
        <w:tc>
          <w:tcPr>
            <w:tcW w:w="478" w:type="pct"/>
            <w:vAlign w:val="center"/>
          </w:tcPr>
          <w:p w14:paraId="163286AC">
            <w:pPr>
              <w:snapToGri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kern w:val="0"/>
                <w:sz w:val="21"/>
                <w:szCs w:val="21"/>
              </w:rPr>
              <w:t>60</w:t>
            </w:r>
          </w:p>
        </w:tc>
      </w:tr>
      <w:tr w14:paraId="431B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5" w:type="pct"/>
            <w:tcBorders>
              <w:top w:val="single" w:color="auto" w:sz="4" w:space="0"/>
              <w:left w:val="single" w:color="auto" w:sz="4" w:space="0"/>
              <w:bottom w:val="single" w:color="auto" w:sz="4" w:space="0"/>
              <w:right w:val="single" w:color="auto" w:sz="4" w:space="0"/>
            </w:tcBorders>
            <w:vAlign w:val="center"/>
          </w:tcPr>
          <w:p w14:paraId="621FA105">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技术服务支持</w:t>
            </w:r>
          </w:p>
          <w:p w14:paraId="727134EC">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（40分）</w:t>
            </w:r>
          </w:p>
        </w:tc>
        <w:tc>
          <w:tcPr>
            <w:tcW w:w="598" w:type="pct"/>
            <w:tcBorders>
              <w:top w:val="single" w:color="auto" w:sz="4" w:space="0"/>
              <w:left w:val="single" w:color="auto" w:sz="4" w:space="0"/>
              <w:bottom w:val="single" w:color="auto" w:sz="4" w:space="0"/>
              <w:right w:val="single" w:color="auto" w:sz="4" w:space="0"/>
            </w:tcBorders>
            <w:vAlign w:val="center"/>
          </w:tcPr>
          <w:p w14:paraId="7C084874">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40分</w:t>
            </w:r>
          </w:p>
        </w:tc>
        <w:tc>
          <w:tcPr>
            <w:tcW w:w="3159" w:type="pct"/>
            <w:tcBorders>
              <w:top w:val="single" w:color="auto" w:sz="4" w:space="0"/>
              <w:left w:val="single" w:color="auto" w:sz="4" w:space="0"/>
              <w:right w:val="single" w:color="auto" w:sz="4" w:space="0"/>
            </w:tcBorders>
            <w:vAlign w:val="center"/>
          </w:tcPr>
          <w:p w14:paraId="64D07AC2">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承诺重要安全播出保障期、常规停机检修时段、外电线路应急倒换时段和电源系统紧急抢修时段提供现场技术支持和保障，并提供承诺函，得3分，不提供不得分。</w:t>
            </w:r>
          </w:p>
          <w:p w14:paraId="2D023E9E">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提供符合62号令要求的维修检护方案，优秀得3分，良好得2分，一般得1分，差或不提供不得分。</w:t>
            </w:r>
          </w:p>
          <w:p w14:paraId="4A28FA94">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提供符合62号令要求的操控规程，优秀得3分，良好得2分，一般得1分，差或不提供不得分。</w:t>
            </w:r>
          </w:p>
          <w:p w14:paraId="2121EF09">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提供符合62号令要求的应急预案，优秀得3分，良好得2分，一般得1分，差或不提供不得分。</w:t>
            </w:r>
          </w:p>
          <w:p w14:paraId="2DDBFBFF">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维保设备出现故障时，承诺服务响应及到达现场时间在2小时以内，并提供承诺函，得3分，不提供不得分。</w:t>
            </w:r>
          </w:p>
          <w:p w14:paraId="6B5F234D">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承诺免费提供1个UPS 25KVA功率模块（品牌：华为）放在播总控机房作为应急备用，并提供承诺函，得3分，不提供不得分。</w:t>
            </w:r>
          </w:p>
          <w:p w14:paraId="3BDA2D9F">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承诺免费提供1个精密空调压缩机（品牌：施耐德）放在播总控机房作为应急备用，并提供承诺函，得3分，不提供不得分。</w:t>
            </w:r>
          </w:p>
          <w:p w14:paraId="61B54390">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提供P2录像机原厂配件维修服务，并提供承诺函，得3分，不提供不得分。</w:t>
            </w:r>
          </w:p>
          <w:p w14:paraId="676E24F2">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应用服务器、工作站出现故障时，承诺免费提供应急备用设备，并提供承诺函，得3分，不提供不得分。</w:t>
            </w:r>
          </w:p>
          <w:p w14:paraId="5EA076D6">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投标人项目负责人（或技术负责人）具有ITSS工程师证书、中国网络安全审查技术与认证中心颁发的信息安全保障人员认证证书（CISAW证书）、安全生产监督管理局颁发的低压电工业特种作业操作证、安全生产监督管理局颁发的热切割与焊接作业特种作业操作证，提供证书复印件，每提供一项得1分，最多得3分。</w:t>
            </w:r>
          </w:p>
          <w:p w14:paraId="5831B856">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承诺每季度对播出系统进行网络安全巡检并提交检测报告和解决方案，并提供承诺函，得2分，不提供不得分。</w:t>
            </w:r>
          </w:p>
          <w:p w14:paraId="0679AC8A">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承诺每季度对高清播出系统存储进行巡检并提交检测报告和解决方案，并提供承诺函，得2分，不提供不得分。</w:t>
            </w:r>
          </w:p>
          <w:p w14:paraId="61AAE411">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承诺每2个月对高清播总控系统播控软件及控制设备进行巡检并提交巡检报告和解决方案，并提供承诺函，得2分，不提供不得分。</w:t>
            </w:r>
          </w:p>
          <w:p w14:paraId="39446BA2">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卫星天线调校时，承诺提供1名工程师现场技术支持和保障，提供承诺函，得2分，不提供不得分。</w:t>
            </w:r>
          </w:p>
          <w:p w14:paraId="1459CA57">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卫星天线伺服、接收系统配件出现故障时，承诺免费提供应急备用器件，并提供承诺函，得2分，不提供不得分。</w:t>
            </w:r>
          </w:p>
        </w:tc>
        <w:tc>
          <w:tcPr>
            <w:tcW w:w="478" w:type="pct"/>
            <w:tcBorders>
              <w:top w:val="single" w:color="auto" w:sz="4" w:space="0"/>
              <w:left w:val="single" w:color="auto" w:sz="4" w:space="0"/>
              <w:right w:val="single" w:color="auto" w:sz="4" w:space="0"/>
            </w:tcBorders>
            <w:vAlign w:val="center"/>
          </w:tcPr>
          <w:p w14:paraId="53B43329">
            <w:pPr>
              <w:snapToGrid w:val="0"/>
              <w:jc w:val="center"/>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40</w:t>
            </w:r>
          </w:p>
        </w:tc>
      </w:tr>
    </w:tbl>
    <w:p w14:paraId="55D1C52D">
      <w:pPr>
        <w:pStyle w:val="2"/>
        <w:numPr>
          <w:ilvl w:val="0"/>
          <w:numId w:val="0"/>
        </w:numPr>
        <w:ind w:leftChars="0"/>
        <w:rPr>
          <w:rFonts w:hint="eastAsia" w:asciiTheme="minorEastAsia" w:hAnsiTheme="minorEastAsia" w:eastAsiaTheme="minorEastAsia" w:cstheme="minorEastAsia"/>
          <w:b w:val="0"/>
          <w:bCs/>
          <w:kern w:val="0"/>
          <w:sz w:val="21"/>
          <w:szCs w:val="21"/>
          <w:lang w:val="en-US" w:eastAsia="zh-CN"/>
        </w:rPr>
      </w:pPr>
      <w:r>
        <w:rPr>
          <w:rFonts w:hint="eastAsia" w:asciiTheme="minorEastAsia" w:hAnsiTheme="minorEastAsia" w:eastAsiaTheme="minorEastAsia" w:cstheme="minorEastAsia"/>
          <w:b w:val="0"/>
          <w:bCs/>
          <w:kern w:val="0"/>
          <w:sz w:val="21"/>
          <w:szCs w:val="21"/>
          <w:lang w:val="en-US" w:eastAsia="zh-CN"/>
        </w:rPr>
        <w:t>变更后：</w:t>
      </w:r>
    </w:p>
    <w:p w14:paraId="221900EA">
      <w:pPr>
        <w:widowControl/>
        <w:tabs>
          <w:tab w:val="left" w:pos="9900"/>
        </w:tabs>
        <w:spacing w:line="360" w:lineRule="auto"/>
        <w:jc w:val="center"/>
        <w:outlineLvl w:val="0"/>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详细评审</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246"/>
        <w:gridCol w:w="6584"/>
        <w:gridCol w:w="997"/>
      </w:tblGrid>
      <w:tr w14:paraId="13A3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65" w:type="pct"/>
            <w:tcBorders>
              <w:top w:val="single" w:color="auto" w:sz="4" w:space="0"/>
              <w:left w:val="single" w:color="auto" w:sz="4" w:space="0"/>
              <w:bottom w:val="single" w:color="auto" w:sz="4" w:space="0"/>
              <w:right w:val="single" w:color="auto" w:sz="4" w:space="0"/>
            </w:tcBorders>
            <w:vAlign w:val="center"/>
          </w:tcPr>
          <w:p w14:paraId="2B9B2BAC">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评分项目</w:t>
            </w:r>
          </w:p>
        </w:tc>
        <w:tc>
          <w:tcPr>
            <w:tcW w:w="597" w:type="pct"/>
            <w:tcBorders>
              <w:top w:val="single" w:color="auto" w:sz="4" w:space="0"/>
              <w:left w:val="single" w:color="auto" w:sz="4" w:space="0"/>
              <w:bottom w:val="single" w:color="auto" w:sz="4" w:space="0"/>
              <w:right w:val="single" w:color="auto" w:sz="4" w:space="0"/>
            </w:tcBorders>
            <w:vAlign w:val="center"/>
          </w:tcPr>
          <w:p w14:paraId="3538878C">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基准</w:t>
            </w:r>
          </w:p>
          <w:p w14:paraId="0E8FC215">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分值</w:t>
            </w:r>
          </w:p>
        </w:tc>
        <w:tc>
          <w:tcPr>
            <w:tcW w:w="3158" w:type="pct"/>
            <w:tcBorders>
              <w:top w:val="single" w:color="auto" w:sz="4" w:space="0"/>
              <w:left w:val="single" w:color="auto" w:sz="4" w:space="0"/>
              <w:bottom w:val="single" w:color="auto" w:sz="4" w:space="0"/>
              <w:right w:val="single" w:color="auto" w:sz="4" w:space="0"/>
            </w:tcBorders>
            <w:vAlign w:val="center"/>
          </w:tcPr>
          <w:p w14:paraId="5547BAD6">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评分标准</w:t>
            </w:r>
          </w:p>
        </w:tc>
        <w:tc>
          <w:tcPr>
            <w:tcW w:w="478" w:type="pct"/>
            <w:tcBorders>
              <w:top w:val="single" w:color="auto" w:sz="4" w:space="0"/>
              <w:left w:val="single" w:color="auto" w:sz="4" w:space="0"/>
              <w:bottom w:val="single" w:color="auto" w:sz="4" w:space="0"/>
              <w:right w:val="single" w:color="auto" w:sz="4" w:space="0"/>
            </w:tcBorders>
            <w:vAlign w:val="center"/>
          </w:tcPr>
          <w:p w14:paraId="5DB6C0A2">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得分</w:t>
            </w:r>
          </w:p>
        </w:tc>
      </w:tr>
      <w:tr w14:paraId="53A9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65" w:type="pct"/>
            <w:vAlign w:val="center"/>
          </w:tcPr>
          <w:p w14:paraId="21B2843F">
            <w:pPr>
              <w:snapToGrid w:val="0"/>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价格部分</w:t>
            </w:r>
          </w:p>
          <w:p w14:paraId="0D97562D">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kern w:val="0"/>
                <w:sz w:val="21"/>
                <w:szCs w:val="21"/>
              </w:rPr>
              <w:t>（30分）</w:t>
            </w:r>
          </w:p>
        </w:tc>
        <w:tc>
          <w:tcPr>
            <w:tcW w:w="597" w:type="pct"/>
            <w:vAlign w:val="center"/>
          </w:tcPr>
          <w:p w14:paraId="38B60220">
            <w:pPr>
              <w:snapToGrid w:val="0"/>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基准价格评分法</w:t>
            </w:r>
          </w:p>
          <w:p w14:paraId="5A1E554D">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kern w:val="0"/>
                <w:sz w:val="21"/>
                <w:szCs w:val="21"/>
              </w:rPr>
              <w:t>（30分）</w:t>
            </w:r>
          </w:p>
        </w:tc>
        <w:tc>
          <w:tcPr>
            <w:tcW w:w="3158" w:type="pct"/>
            <w:vAlign w:val="center"/>
          </w:tcPr>
          <w:p w14:paraId="69B4CF8E">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综合评分法中的价格分统一采用低价优先法计算，即满足磋商文件要求且最后报价(第二次)最低的价格为磋商基准价，其价格分为满分。对于明显低于市场的报价，应当要求该供应商作出书面说明并提供相应的证明材料。供应商不能合理说明或者不能提供相应证明材料的，竞磋小组专家应当认定该供应商以低于成本报价竞争，报价分得零分。其他单位的价格分统一按照下列公式计算：</w:t>
            </w:r>
          </w:p>
          <w:p w14:paraId="4FDDC902">
            <w:pPr>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sz w:val="21"/>
                <w:szCs w:val="21"/>
              </w:rPr>
              <w:t>磋商报价得分=（磋商基准价/最终磋商报价）*价格权重（30%）*100，四舍五入保留小数点后两位有效数字。</w:t>
            </w:r>
          </w:p>
        </w:tc>
        <w:tc>
          <w:tcPr>
            <w:tcW w:w="478" w:type="pct"/>
            <w:vAlign w:val="center"/>
          </w:tcPr>
          <w:p w14:paraId="62C3D2BD">
            <w:pPr>
              <w:snapToGri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kern w:val="0"/>
                <w:sz w:val="21"/>
                <w:szCs w:val="21"/>
              </w:rPr>
              <w:t>30</w:t>
            </w:r>
          </w:p>
        </w:tc>
      </w:tr>
      <w:tr w14:paraId="470E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5" w:type="pct"/>
            <w:tcBorders>
              <w:top w:val="single" w:color="auto" w:sz="4" w:space="0"/>
              <w:left w:val="single" w:color="auto" w:sz="4" w:space="0"/>
              <w:bottom w:val="single" w:color="auto" w:sz="4" w:space="0"/>
              <w:right w:val="single" w:color="auto" w:sz="4" w:space="0"/>
            </w:tcBorders>
            <w:vAlign w:val="center"/>
          </w:tcPr>
          <w:p w14:paraId="1BA67FDF">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技术服务支持</w:t>
            </w:r>
          </w:p>
          <w:p w14:paraId="5F28F282">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（60分）</w:t>
            </w:r>
          </w:p>
        </w:tc>
        <w:tc>
          <w:tcPr>
            <w:tcW w:w="597" w:type="pct"/>
            <w:tcBorders>
              <w:top w:val="single" w:color="auto" w:sz="4" w:space="0"/>
              <w:left w:val="single" w:color="auto" w:sz="4" w:space="0"/>
              <w:bottom w:val="single" w:color="auto" w:sz="4" w:space="0"/>
              <w:right w:val="single" w:color="auto" w:sz="4" w:space="0"/>
            </w:tcBorders>
            <w:vAlign w:val="center"/>
          </w:tcPr>
          <w:p w14:paraId="19644EFA">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60分</w:t>
            </w:r>
          </w:p>
        </w:tc>
        <w:tc>
          <w:tcPr>
            <w:tcW w:w="3158" w:type="pct"/>
            <w:tcBorders>
              <w:top w:val="single" w:color="auto" w:sz="4" w:space="0"/>
              <w:left w:val="single" w:color="auto" w:sz="4" w:space="0"/>
              <w:bottom w:val="single" w:color="auto" w:sz="4" w:space="0"/>
              <w:right w:val="single" w:color="auto" w:sz="4" w:space="0"/>
            </w:tcBorders>
            <w:vAlign w:val="center"/>
          </w:tcPr>
          <w:p w14:paraId="445D9698">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承诺重要安全播出保障期、常规停机检修时段、外电线路应急倒换时段和电源系统紧急抢修时段提供现场技术支持和保障，并提供承诺函，得4分，不提供不得分。</w:t>
            </w:r>
          </w:p>
          <w:p w14:paraId="556726C6">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提供符合62号令要求的维修检护方案，优秀得4分，良好得3分，一般得2分，差得1分，不提供不得分。</w:t>
            </w:r>
          </w:p>
          <w:p w14:paraId="714766CC">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提供符合62号令要求的操控规程，优秀得4分，良好得3分，一般得2分，差得1分，不提供不得分。</w:t>
            </w:r>
          </w:p>
          <w:p w14:paraId="5B3F9D63">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提供符合62号令要求的应急预案，优秀得4分，良好得3分，一般得2分，差得1分，不提供不得分。</w:t>
            </w:r>
          </w:p>
          <w:p w14:paraId="3285D3C7">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维保设备出现故障时，承诺服务响应及到达现场时间在2小时以内，并提供承诺函，得4分，不提供不得分。</w:t>
            </w:r>
          </w:p>
          <w:p w14:paraId="531A59F3">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承诺免费提供1个UPS 25KVA功率模块（品牌：华为）放在播总控机房作为应急备用，并提供承诺函，得4分，不提供不得分。</w:t>
            </w:r>
          </w:p>
          <w:p w14:paraId="34F9A541">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承诺免费提供1个精密空调压缩机（品牌：施耐德）放在播总控机房作为应急备用，并提供承诺函，得4分，不提供不得分。</w:t>
            </w:r>
          </w:p>
          <w:p w14:paraId="6845909E">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提供P2录像机原厂配件维修服务，并提供承诺函，得4分，不提供不得分。</w:t>
            </w:r>
          </w:p>
          <w:p w14:paraId="4FC9EDB7">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应用服务器、工作站出现故障时，承诺免费提供应急备用设备，并提供承诺函，得4分，不提供不得分。</w:t>
            </w:r>
          </w:p>
          <w:p w14:paraId="10B16A0A">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响应人项目负责人（或技术负责人）具有ITSS工程师证书、中国网络安全审查技术与认证中心颁发的信息安全保障人员认证证书（CISAW证书）、安全生产监督管理局颁发的低压电工业特种作业操作证、安全生产监督管理局颁发的热切割与焊接作业特种作业操作证，提供证书复印件，每提供一项得1分，最多得4分。</w:t>
            </w:r>
          </w:p>
          <w:p w14:paraId="013DABF9">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承诺每季度对播出系统进行网络安全巡检并提交检测报告和解决方案，并提供承诺函，得4分，不提供不得分。</w:t>
            </w:r>
          </w:p>
          <w:p w14:paraId="35FB149F">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承诺每季度对高清播出系统存储进行巡检并提交检测报告和解决方案，并提供承诺函，得4分，不提供不得分。</w:t>
            </w:r>
          </w:p>
          <w:p w14:paraId="7C52F532">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承诺每季度对高清播总控系统播控软件及控制设备进行巡检并提交巡检报告和解决方案，并提供承诺函，得4分，不提供不得分。</w:t>
            </w:r>
          </w:p>
          <w:p w14:paraId="159577E0">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卫星天线调校时，承诺提供1名工程师现场技术支持和保障，提供承诺函，得4分，不提供不得分。</w:t>
            </w:r>
          </w:p>
          <w:p w14:paraId="341E224A">
            <w:pPr>
              <w:numPr>
                <w:ilvl w:val="0"/>
                <w:numId w:val="2"/>
              </w:num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卫星天线伺服、接收系统配件出现故障时，承诺免费提供应急备用器件，并提供承诺函，得4分，不提供不得分。</w:t>
            </w:r>
          </w:p>
        </w:tc>
        <w:tc>
          <w:tcPr>
            <w:tcW w:w="478" w:type="pct"/>
            <w:tcBorders>
              <w:top w:val="single" w:color="auto" w:sz="4" w:space="0"/>
              <w:left w:val="single" w:color="auto" w:sz="4" w:space="0"/>
              <w:bottom w:val="single" w:color="auto" w:sz="4" w:space="0"/>
              <w:right w:val="single" w:color="auto" w:sz="4" w:space="0"/>
            </w:tcBorders>
            <w:vAlign w:val="center"/>
          </w:tcPr>
          <w:p w14:paraId="2F0793B9">
            <w:pPr>
              <w:snapToGrid w:val="0"/>
              <w:jc w:val="center"/>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60</w:t>
            </w:r>
          </w:p>
        </w:tc>
      </w:tr>
      <w:tr w14:paraId="52C5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65" w:type="pct"/>
            <w:vMerge w:val="restart"/>
            <w:tcBorders>
              <w:top w:val="single" w:color="auto" w:sz="4" w:space="0"/>
              <w:left w:val="single" w:color="auto" w:sz="4" w:space="0"/>
              <w:right w:val="single" w:color="auto" w:sz="4" w:space="0"/>
            </w:tcBorders>
            <w:vAlign w:val="center"/>
          </w:tcPr>
          <w:p w14:paraId="61CB201B">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商务</w:t>
            </w:r>
          </w:p>
          <w:p w14:paraId="0BADE561">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部分</w:t>
            </w:r>
          </w:p>
          <w:p w14:paraId="361682A3">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（10分）</w:t>
            </w:r>
          </w:p>
        </w:tc>
        <w:tc>
          <w:tcPr>
            <w:tcW w:w="597" w:type="pct"/>
            <w:tcBorders>
              <w:top w:val="single" w:color="auto" w:sz="4" w:space="0"/>
              <w:left w:val="single" w:color="auto" w:sz="4" w:space="0"/>
              <w:bottom w:val="single" w:color="auto" w:sz="4" w:space="0"/>
              <w:right w:val="single" w:color="auto" w:sz="4" w:space="0"/>
            </w:tcBorders>
            <w:vAlign w:val="center"/>
          </w:tcPr>
          <w:p w14:paraId="48C67AD0">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6分</w:t>
            </w:r>
          </w:p>
        </w:tc>
        <w:tc>
          <w:tcPr>
            <w:tcW w:w="3158" w:type="pct"/>
            <w:tcBorders>
              <w:top w:val="single" w:color="auto" w:sz="4" w:space="0"/>
              <w:left w:val="single" w:color="auto" w:sz="4" w:space="0"/>
              <w:bottom w:val="single" w:color="auto" w:sz="4" w:space="0"/>
              <w:right w:val="single" w:color="auto" w:sz="4" w:space="0"/>
            </w:tcBorders>
            <w:vAlign w:val="center"/>
          </w:tcPr>
          <w:p w14:paraId="48428CAD">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color w:val="000000"/>
                <w:sz w:val="21"/>
                <w:szCs w:val="21"/>
              </w:rPr>
              <w:t>响应人</w:t>
            </w:r>
            <w:r>
              <w:rPr>
                <w:rFonts w:hint="eastAsia" w:asciiTheme="minorEastAsia" w:hAnsiTheme="minorEastAsia" w:eastAsiaTheme="minorEastAsia" w:cstheme="minorEastAsia"/>
                <w:b w:val="0"/>
                <w:bCs/>
                <w:sz w:val="21"/>
                <w:szCs w:val="21"/>
              </w:rPr>
              <w:t>每提供一份近5年内同类业绩的得2分，此项最多得6分。</w:t>
            </w:r>
          </w:p>
          <w:p w14:paraId="3500BF07">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注：</w:t>
            </w:r>
            <w:r>
              <w:rPr>
                <w:rFonts w:hint="eastAsia" w:asciiTheme="minorEastAsia" w:hAnsiTheme="minorEastAsia" w:eastAsiaTheme="minorEastAsia" w:cstheme="minorEastAsia"/>
                <w:b w:val="0"/>
                <w:bCs/>
                <w:color w:val="000000"/>
                <w:sz w:val="21"/>
                <w:szCs w:val="21"/>
              </w:rPr>
              <w:t>响应人</w:t>
            </w:r>
            <w:r>
              <w:rPr>
                <w:rFonts w:hint="eastAsia" w:asciiTheme="minorEastAsia" w:hAnsiTheme="minorEastAsia" w:eastAsiaTheme="minorEastAsia" w:cstheme="minorEastAsia"/>
                <w:b w:val="0"/>
                <w:bCs/>
                <w:sz w:val="21"/>
                <w:szCs w:val="21"/>
              </w:rPr>
              <w:t>需提供近5年内同类业绩项目合同复印件，合同复印件至少包括：首页、含服务内容的相关页面、签署/盖章页复印件，未提供完整的材料，相关案例不得分。</w:t>
            </w:r>
          </w:p>
        </w:tc>
        <w:tc>
          <w:tcPr>
            <w:tcW w:w="478" w:type="pct"/>
            <w:tcBorders>
              <w:top w:val="single" w:color="auto" w:sz="4" w:space="0"/>
              <w:left w:val="single" w:color="auto" w:sz="4" w:space="0"/>
              <w:bottom w:val="single" w:color="auto" w:sz="4" w:space="0"/>
              <w:right w:val="single" w:color="auto" w:sz="4" w:space="0"/>
            </w:tcBorders>
            <w:vAlign w:val="center"/>
          </w:tcPr>
          <w:p w14:paraId="4EADDE5F">
            <w:pPr>
              <w:snapToGrid w:val="0"/>
              <w:jc w:val="center"/>
              <w:rPr>
                <w:rFonts w:hint="default" w:asciiTheme="minorEastAsia" w:hAnsiTheme="minorEastAsia" w:eastAsiaTheme="minorEastAsia" w:cstheme="minorEastAsia"/>
                <w:b w:val="0"/>
                <w:bCs/>
                <w:kern w:val="0"/>
                <w:sz w:val="21"/>
                <w:szCs w:val="21"/>
                <w:lang w:val="en-US" w:eastAsia="zh-CN"/>
              </w:rPr>
            </w:pPr>
            <w:r>
              <w:rPr>
                <w:rFonts w:hint="eastAsia" w:asciiTheme="minorEastAsia" w:hAnsiTheme="minorEastAsia" w:eastAsiaTheme="minorEastAsia" w:cstheme="minorEastAsia"/>
                <w:b w:val="0"/>
                <w:bCs/>
                <w:kern w:val="0"/>
                <w:sz w:val="21"/>
                <w:szCs w:val="21"/>
                <w:lang w:val="en-US" w:eastAsia="zh-CN"/>
              </w:rPr>
              <w:t>6</w:t>
            </w:r>
          </w:p>
        </w:tc>
      </w:tr>
      <w:tr w14:paraId="1B53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5" w:type="pct"/>
            <w:vMerge w:val="continue"/>
            <w:tcBorders>
              <w:left w:val="single" w:color="auto" w:sz="4" w:space="0"/>
              <w:bottom w:val="single" w:color="auto" w:sz="4" w:space="0"/>
              <w:right w:val="single" w:color="auto" w:sz="4" w:space="0"/>
            </w:tcBorders>
            <w:vAlign w:val="center"/>
          </w:tcPr>
          <w:p w14:paraId="5F02B981">
            <w:pPr>
              <w:jc w:val="center"/>
              <w:rPr>
                <w:rFonts w:hint="eastAsia" w:asciiTheme="minorEastAsia" w:hAnsiTheme="minorEastAsia" w:eastAsiaTheme="minorEastAsia" w:cstheme="minorEastAsia"/>
                <w:b w:val="0"/>
                <w:bCs/>
                <w:sz w:val="21"/>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6B86AC24">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4分</w:t>
            </w:r>
          </w:p>
        </w:tc>
        <w:tc>
          <w:tcPr>
            <w:tcW w:w="3158" w:type="pct"/>
            <w:tcBorders>
              <w:top w:val="single" w:color="auto" w:sz="4" w:space="0"/>
              <w:left w:val="single" w:color="auto" w:sz="4" w:space="0"/>
              <w:right w:val="single" w:color="auto" w:sz="4" w:space="0"/>
            </w:tcBorders>
            <w:vAlign w:val="center"/>
          </w:tcPr>
          <w:p w14:paraId="5E680EC8">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color w:val="000000"/>
                <w:sz w:val="21"/>
                <w:szCs w:val="21"/>
              </w:rPr>
              <w:t>对响应人提出的采购人可以接受的合理优惠条件进行综合评价，</w:t>
            </w:r>
            <w:r>
              <w:rPr>
                <w:rFonts w:hint="eastAsia" w:asciiTheme="minorEastAsia" w:hAnsiTheme="minorEastAsia" w:eastAsiaTheme="minorEastAsia" w:cstheme="minorEastAsia"/>
                <w:b w:val="0"/>
                <w:bCs/>
                <w:sz w:val="21"/>
                <w:szCs w:val="21"/>
              </w:rPr>
              <w:t>优秀得4分，良好得3分，一般得2分，差得1分，不提供不得分</w:t>
            </w:r>
            <w:r>
              <w:rPr>
                <w:rFonts w:hint="eastAsia" w:asciiTheme="minorEastAsia" w:hAnsiTheme="minorEastAsia" w:eastAsiaTheme="minorEastAsia" w:cstheme="minorEastAsia"/>
                <w:b w:val="0"/>
                <w:bCs/>
                <w:color w:val="000000"/>
                <w:sz w:val="21"/>
                <w:szCs w:val="21"/>
              </w:rPr>
              <w:t>。</w:t>
            </w:r>
          </w:p>
        </w:tc>
        <w:tc>
          <w:tcPr>
            <w:tcW w:w="478" w:type="pct"/>
            <w:tcBorders>
              <w:top w:val="single" w:color="auto" w:sz="4" w:space="0"/>
              <w:left w:val="single" w:color="auto" w:sz="4" w:space="0"/>
              <w:right w:val="single" w:color="auto" w:sz="4" w:space="0"/>
            </w:tcBorders>
            <w:vAlign w:val="center"/>
          </w:tcPr>
          <w:p w14:paraId="7262C0D1">
            <w:pPr>
              <w:snapToGrid w:val="0"/>
              <w:jc w:val="center"/>
              <w:rPr>
                <w:rFonts w:hint="eastAsia" w:asciiTheme="minorEastAsia" w:hAnsiTheme="minorEastAsia" w:eastAsiaTheme="minorEastAsia" w:cstheme="minorEastAsia"/>
                <w:b w:val="0"/>
                <w:bCs/>
                <w:kern w:val="0"/>
                <w:sz w:val="21"/>
                <w:szCs w:val="21"/>
                <w:lang w:val="en-US" w:eastAsia="zh-CN"/>
              </w:rPr>
            </w:pPr>
            <w:r>
              <w:rPr>
                <w:rFonts w:hint="eastAsia" w:asciiTheme="minorEastAsia" w:hAnsiTheme="minorEastAsia" w:eastAsiaTheme="minorEastAsia" w:cstheme="minorEastAsia"/>
                <w:b w:val="0"/>
                <w:bCs/>
                <w:kern w:val="0"/>
                <w:sz w:val="21"/>
                <w:szCs w:val="21"/>
                <w:lang w:val="en-US" w:eastAsia="zh-CN"/>
              </w:rPr>
              <w:t>4</w:t>
            </w:r>
            <w:bookmarkStart w:id="3" w:name="_GoBack"/>
            <w:bookmarkEnd w:id="3"/>
          </w:p>
        </w:tc>
      </w:tr>
    </w:tbl>
    <w:p w14:paraId="7246F38C">
      <w:pPr>
        <w:rPr>
          <w:rFonts w:hint="eastAsia" w:asciiTheme="minorEastAsia" w:hAnsiTheme="minorEastAsia" w:eastAsiaTheme="minorEastAsia" w:cstheme="minorEastAsia"/>
          <w:b w:val="0"/>
          <w:bCs/>
          <w:sz w:val="21"/>
          <w:szCs w:val="21"/>
        </w:rPr>
      </w:pPr>
    </w:p>
    <w:p w14:paraId="28D1CDEF">
      <w:pPr>
        <w:pStyle w:val="2"/>
        <w:numPr>
          <w:ilvl w:val="0"/>
          <w:numId w:val="3"/>
        </w:numPr>
        <w:ind w:left="0" w:leftChars="0" w:firstLine="0" w:firstLineChars="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磋商文件第六章</w:t>
      </w:r>
      <w:r>
        <w:rPr>
          <w:rStyle w:val="11"/>
          <w:rFonts w:hint="eastAsia" w:asciiTheme="minorEastAsia" w:hAnsiTheme="minorEastAsia" w:eastAsiaTheme="minorEastAsia" w:cstheme="minorEastAsia"/>
          <w:b w:val="0"/>
          <w:bCs/>
          <w:color w:val="auto"/>
          <w:sz w:val="21"/>
          <w:szCs w:val="21"/>
          <w:u w:val="none"/>
        </w:rPr>
        <w:t>响应文件构成、要求及格式</w:t>
      </w:r>
      <w:r>
        <w:rPr>
          <w:rFonts w:hint="eastAsia" w:asciiTheme="minorEastAsia" w:hAnsiTheme="minorEastAsia" w:eastAsiaTheme="minorEastAsia" w:cstheme="minorEastAsia"/>
          <w:b w:val="0"/>
          <w:bCs/>
          <w:sz w:val="21"/>
          <w:szCs w:val="21"/>
          <w:lang w:val="zh-CN"/>
        </w:rPr>
        <w:t>四、</w:t>
      </w:r>
      <w:bookmarkStart w:id="0" w:name="_Toc373772564"/>
      <w:bookmarkStart w:id="1" w:name="_Toc3920"/>
      <w:bookmarkStart w:id="2" w:name="_Toc372556120"/>
      <w:r>
        <w:rPr>
          <w:rFonts w:hint="eastAsia" w:asciiTheme="minorEastAsia" w:hAnsiTheme="minorEastAsia" w:eastAsiaTheme="minorEastAsia" w:cstheme="minorEastAsia"/>
          <w:b w:val="0"/>
          <w:bCs/>
          <w:sz w:val="21"/>
          <w:szCs w:val="21"/>
          <w:lang w:val="zh-CN"/>
        </w:rPr>
        <w:t>资格审查资料</w:t>
      </w:r>
      <w:bookmarkEnd w:id="0"/>
      <w:bookmarkEnd w:id="1"/>
      <w:bookmarkEnd w:id="2"/>
      <w:r>
        <w:rPr>
          <w:rFonts w:hint="eastAsia" w:asciiTheme="minorEastAsia" w:hAnsiTheme="minorEastAsia" w:eastAsiaTheme="minorEastAsia" w:cstheme="minorEastAsia"/>
          <w:b w:val="0"/>
          <w:bCs/>
          <w:kern w:val="0"/>
          <w:sz w:val="21"/>
          <w:szCs w:val="21"/>
        </w:rPr>
        <w:t>(二)供应商已完成类似项目情况</w:t>
      </w:r>
      <w:r>
        <w:rPr>
          <w:rFonts w:hint="eastAsia" w:asciiTheme="minorEastAsia" w:hAnsiTheme="minorEastAsia" w:eastAsiaTheme="minorEastAsia" w:cstheme="minorEastAsia"/>
          <w:b w:val="0"/>
          <w:bCs/>
          <w:kern w:val="0"/>
          <w:sz w:val="21"/>
          <w:szCs w:val="21"/>
          <w:lang w:eastAsia="zh-CN"/>
        </w:rPr>
        <w:t>变更前“</w:t>
      </w:r>
      <w:r>
        <w:rPr>
          <w:rFonts w:hint="eastAsia" w:asciiTheme="minorEastAsia" w:hAnsiTheme="minorEastAsia" w:eastAsiaTheme="minorEastAsia" w:cstheme="minorEastAsia"/>
          <w:b w:val="0"/>
          <w:bCs/>
          <w:kern w:val="0"/>
          <w:sz w:val="21"/>
          <w:szCs w:val="21"/>
        </w:rPr>
        <w:t>注：1、供应商应随本表出具所填项目的成交通知书或合同协议书的复印件</w:t>
      </w:r>
      <w:r>
        <w:rPr>
          <w:rFonts w:hint="eastAsia" w:asciiTheme="minorEastAsia" w:hAnsiTheme="minorEastAsia" w:eastAsiaTheme="minorEastAsia" w:cstheme="minorEastAsia"/>
          <w:b w:val="0"/>
          <w:bCs/>
          <w:kern w:val="0"/>
          <w:sz w:val="21"/>
          <w:szCs w:val="21"/>
          <w:lang w:val="en-US" w:eastAsia="zh-CN"/>
        </w:rPr>
        <w:t>加盖公章</w:t>
      </w:r>
      <w:r>
        <w:rPr>
          <w:rFonts w:hint="eastAsia" w:asciiTheme="minorEastAsia" w:hAnsiTheme="minorEastAsia" w:eastAsiaTheme="minorEastAsia" w:cstheme="minorEastAsia"/>
          <w:b w:val="0"/>
          <w:bCs/>
          <w:kern w:val="0"/>
          <w:sz w:val="21"/>
          <w:szCs w:val="21"/>
        </w:rPr>
        <w:t>。</w:t>
      </w:r>
      <w:r>
        <w:rPr>
          <w:rFonts w:hint="eastAsia" w:asciiTheme="minorEastAsia" w:hAnsiTheme="minorEastAsia" w:eastAsiaTheme="minorEastAsia" w:cstheme="minorEastAsia"/>
          <w:b w:val="0"/>
          <w:bCs/>
          <w:kern w:val="0"/>
          <w:sz w:val="21"/>
          <w:szCs w:val="21"/>
          <w:lang w:eastAsia="zh-CN"/>
        </w:rPr>
        <w:t>”</w:t>
      </w:r>
    </w:p>
    <w:p w14:paraId="74127A90">
      <w:pPr>
        <w:pStyle w:val="2"/>
        <w:numPr>
          <w:ilvl w:val="0"/>
          <w:numId w:val="0"/>
        </w:numPr>
        <w:ind w:leftChars="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变更后：“</w:t>
      </w:r>
      <w:r>
        <w:rPr>
          <w:rFonts w:hint="eastAsia" w:asciiTheme="minorEastAsia" w:hAnsiTheme="minorEastAsia" w:eastAsiaTheme="minorEastAsia" w:cstheme="minorEastAsia"/>
          <w:b w:val="0"/>
          <w:bCs/>
          <w:kern w:val="0"/>
          <w:sz w:val="21"/>
          <w:szCs w:val="21"/>
        </w:rPr>
        <w:t>注：响应人需提供近5年内同类业绩项目合同复印件，合同复印件至少包括：首页、含服务内容的相关页面、签署/盖章页复印件，未提供完整的材料，相关案例不得分。</w:t>
      </w:r>
    </w:p>
    <w:p w14:paraId="04009E9E">
      <w:pPr>
        <w:pStyle w:val="5"/>
        <w:jc w:val="both"/>
        <w:rPr>
          <w:rFonts w:hint="eastAsia" w:eastAsia="黑体"/>
          <w:lang w:val="en-US" w:eastAsia="zh-CN"/>
        </w:rPr>
      </w:pPr>
    </w:p>
    <w:sectPr>
      <w:pgSz w:w="11906" w:h="16838"/>
      <w:pgMar w:top="567" w:right="850" w:bottom="567"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139F4"/>
    <w:multiLevelType w:val="singleLevel"/>
    <w:tmpl w:val="C62139F4"/>
    <w:lvl w:ilvl="0" w:tentative="0">
      <w:start w:val="3"/>
      <w:numFmt w:val="decimal"/>
      <w:suff w:val="nothing"/>
      <w:lvlText w:val="%1、"/>
      <w:lvlJc w:val="left"/>
    </w:lvl>
  </w:abstractNum>
  <w:abstractNum w:abstractNumId="1">
    <w:nsid w:val="DB482F58"/>
    <w:multiLevelType w:val="singleLevel"/>
    <w:tmpl w:val="DB482F58"/>
    <w:lvl w:ilvl="0" w:tentative="0">
      <w:start w:val="1"/>
      <w:numFmt w:val="decimal"/>
      <w:suff w:val="nothing"/>
      <w:lvlText w:val="%1、"/>
      <w:lvlJc w:val="left"/>
    </w:lvl>
  </w:abstractNum>
  <w:abstractNum w:abstractNumId="2">
    <w:nsid w:val="44A10CD3"/>
    <w:multiLevelType w:val="multilevel"/>
    <w:tmpl w:val="44A10CD3"/>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B33245"/>
    <w:rsid w:val="00287093"/>
    <w:rsid w:val="00570C10"/>
    <w:rsid w:val="005D0DF4"/>
    <w:rsid w:val="00635363"/>
    <w:rsid w:val="0083663F"/>
    <w:rsid w:val="00AA5791"/>
    <w:rsid w:val="00BB7EA3"/>
    <w:rsid w:val="00ED7352"/>
    <w:rsid w:val="0E102600"/>
    <w:rsid w:val="10B17666"/>
    <w:rsid w:val="13B33245"/>
    <w:rsid w:val="25D54AB7"/>
    <w:rsid w:val="3DE96EFA"/>
    <w:rsid w:val="4CE41735"/>
    <w:rsid w:val="4D345790"/>
    <w:rsid w:val="51B573C7"/>
    <w:rsid w:val="61414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widowControl/>
      <w:spacing w:before="260" w:after="260"/>
      <w:jc w:val="center"/>
      <w:outlineLvl w:val="1"/>
    </w:pPr>
    <w:rPr>
      <w:rFonts w:ascii="Arial" w:hAnsi="Arial" w:eastAsia="黑体"/>
      <w:kern w:val="0"/>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adjustRightInd w:val="0"/>
      <w:spacing w:line="360" w:lineRule="auto"/>
      <w:ind w:firstLine="200" w:firstLineChars="200"/>
      <w:textAlignment w:val="baseline"/>
    </w:pPr>
    <w:rPr>
      <w:rFonts w:ascii="Arial" w:hAnsi="Arial"/>
      <w:kern w:val="0"/>
    </w:r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6">
    <w:name w:val="Date"/>
    <w:basedOn w:val="1"/>
    <w:next w:val="1"/>
    <w:qFormat/>
    <w:uiPriority w:val="0"/>
    <w:pPr>
      <w:ind w:left="100" w:leftChars="2500"/>
    </w:pPr>
    <w:rPr>
      <w:sz w:val="36"/>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qFormat/>
    <w:uiPriority w:val="99"/>
    <w:rPr>
      <w:rFonts w:ascii="微软雅黑" w:hAnsi="微软雅黑" w:eastAsia="微软雅黑" w:cs="微软雅黑"/>
      <w:color w:val="02396F"/>
      <w:u w:val="single"/>
      <w:lang w:eastAsia="en-US"/>
    </w:rPr>
  </w:style>
  <w:style w:type="character" w:customStyle="1" w:styleId="12">
    <w:name w:val="页眉 字符"/>
    <w:basedOn w:val="10"/>
    <w:link w:val="8"/>
    <w:qFormat/>
    <w:uiPriority w:val="0"/>
    <w:rPr>
      <w:rFonts w:ascii="Times New Roman" w:hAnsi="Times New Roman" w:eastAsia="宋体" w:cs="Times New Roman"/>
      <w:kern w:val="2"/>
      <w:sz w:val="18"/>
      <w:szCs w:val="18"/>
    </w:rPr>
  </w:style>
  <w:style w:type="paragraph" w:customStyle="1" w:styleId="13">
    <w:name w:val="Default"/>
    <w:next w:val="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2652</Words>
  <Characters>2716</Characters>
  <Lines>9</Lines>
  <Paragraphs>2</Paragraphs>
  <TotalTime>2</TotalTime>
  <ScaleCrop>false</ScaleCrop>
  <LinksUpToDate>false</LinksUpToDate>
  <CharactersWithSpaces>2718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2025-07-11T05:40:00Z</dcterms:created>
  <dc:creator>畅</dc:creator>
  <cp:lastModifiedBy>畅</cp:lastModifiedBy>
  <dcterms:modified xsi:type="dcterms:W3CDTF">2025-07-11T07:00:35Z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E4C353EF6DC54078A0352F03FEA97939_13</vt:lpwstr>
  </property>
  <property fmtid="{D5CDD505-2E9C-101B-9397-08002B2CF9AE}" pid="4" name="KSOTemplateDocerSaveRecord">
    <vt:lpwstr>eyJoZGlkIjoiYWMxN2E1NGFmZjlmYWY2ZGMwOWNkMDRjMWQ1ZmUzODIiLCJ1c2VySWQiOiIyNTIyOTY1NTIifQ==</vt:lpwstr>
  </property>
</Properties>
</file>