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A16516">
      <w:pPr>
        <w:rPr>
          <w:rFonts w:hint="eastAsia" w:eastAsiaTheme="minorEastAsia"/>
          <w:lang w:val="en-US" w:eastAsia="zh-CN"/>
        </w:rPr>
      </w:pPr>
    </w:p>
    <w:p w14:paraId="1A648870"/>
    <w:p w14:paraId="37CA4223">
      <w:pPr>
        <w:jc w:val="center"/>
        <w:rPr>
          <w:b/>
          <w:bCs/>
          <w:sz w:val="52"/>
          <w:szCs w:val="52"/>
        </w:rPr>
      </w:pPr>
      <w:r>
        <w:rPr>
          <w:rFonts w:hint="eastAsia"/>
          <w:b/>
          <w:bCs/>
          <w:sz w:val="52"/>
          <w:szCs w:val="52"/>
          <w:lang w:eastAsia="zh-CN"/>
        </w:rPr>
        <w:t>长春市宽城区医院异地建设项目、长春市宽城区卫生综合体建设项目医疗家具采购项目</w:t>
      </w:r>
    </w:p>
    <w:p w14:paraId="58E7FEEE"/>
    <w:p w14:paraId="3F5CFD78">
      <w:pPr>
        <w:bidi w:val="0"/>
        <w:jc w:val="center"/>
        <w:rPr>
          <w:rFonts w:hint="eastAsia" w:ascii="宋体" w:hAnsi="宋体" w:eastAsia="宋体" w:cs="宋体"/>
          <w:b/>
          <w:bCs/>
          <w:sz w:val="84"/>
          <w:szCs w:val="84"/>
          <w:lang w:eastAsia="zh-CN"/>
        </w:rPr>
      </w:pPr>
    </w:p>
    <w:p w14:paraId="4EC55FA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b/>
          <w:bCs/>
          <w:sz w:val="84"/>
          <w:szCs w:val="84"/>
          <w:lang w:eastAsia="zh-CN"/>
        </w:rPr>
      </w:pPr>
      <w:r>
        <w:rPr>
          <w:rFonts w:hint="eastAsia"/>
          <w:b/>
          <w:bCs/>
          <w:sz w:val="84"/>
          <w:szCs w:val="84"/>
          <w:lang w:eastAsia="zh-CN"/>
        </w:rPr>
        <w:t>招</w:t>
      </w:r>
      <w:r>
        <w:rPr>
          <w:rFonts w:hint="eastAsia"/>
          <w:b/>
          <w:bCs/>
          <w:sz w:val="84"/>
          <w:szCs w:val="84"/>
          <w:lang w:val="en-US" w:eastAsia="zh-CN"/>
        </w:rPr>
        <w:t xml:space="preserve"> </w:t>
      </w:r>
      <w:r>
        <w:rPr>
          <w:rFonts w:hint="eastAsia"/>
          <w:b/>
          <w:bCs/>
          <w:sz w:val="84"/>
          <w:szCs w:val="84"/>
          <w:lang w:eastAsia="zh-CN"/>
        </w:rPr>
        <w:t>标</w:t>
      </w:r>
      <w:r>
        <w:rPr>
          <w:rFonts w:hint="eastAsia"/>
          <w:b/>
          <w:bCs/>
          <w:sz w:val="84"/>
          <w:szCs w:val="84"/>
          <w:lang w:val="en-US" w:eastAsia="zh-CN"/>
        </w:rPr>
        <w:t xml:space="preserve"> </w:t>
      </w:r>
      <w:r>
        <w:rPr>
          <w:rFonts w:hint="eastAsia"/>
          <w:b/>
          <w:bCs/>
          <w:sz w:val="84"/>
          <w:szCs w:val="84"/>
          <w:lang w:eastAsia="zh-CN"/>
        </w:rPr>
        <w:t>文</w:t>
      </w:r>
      <w:r>
        <w:rPr>
          <w:rFonts w:hint="eastAsia"/>
          <w:b/>
          <w:bCs/>
          <w:sz w:val="84"/>
          <w:szCs w:val="84"/>
          <w:lang w:val="en-US" w:eastAsia="zh-CN"/>
        </w:rPr>
        <w:t xml:space="preserve"> </w:t>
      </w:r>
      <w:r>
        <w:rPr>
          <w:rFonts w:hint="eastAsia"/>
          <w:b/>
          <w:bCs/>
          <w:sz w:val="84"/>
          <w:szCs w:val="84"/>
          <w:lang w:eastAsia="zh-CN"/>
        </w:rPr>
        <w:t>件</w:t>
      </w:r>
    </w:p>
    <w:p w14:paraId="3F558154">
      <w:pPr>
        <w:bidi w:val="0"/>
        <w:spacing w:line="360" w:lineRule="auto"/>
        <w:jc w:val="center"/>
        <w:rPr>
          <w:rFonts w:hint="eastAsia"/>
          <w:b/>
          <w:bCs/>
          <w:sz w:val="32"/>
          <w:szCs w:val="32"/>
          <w:lang w:eastAsia="zh-CN"/>
        </w:rPr>
      </w:pPr>
    </w:p>
    <w:p w14:paraId="3FDB724A">
      <w:pPr>
        <w:bidi w:val="0"/>
        <w:spacing w:line="360" w:lineRule="auto"/>
        <w:jc w:val="center"/>
        <w:rPr>
          <w:rFonts w:hint="eastAsia"/>
          <w:b/>
          <w:bCs/>
          <w:sz w:val="32"/>
          <w:szCs w:val="32"/>
          <w:lang w:eastAsia="zh-CN"/>
        </w:rPr>
      </w:pPr>
    </w:p>
    <w:p w14:paraId="6E1B94EB">
      <w:pPr>
        <w:bidi w:val="0"/>
        <w:spacing w:line="360" w:lineRule="auto"/>
        <w:jc w:val="center"/>
        <w:outlineLvl w:val="0"/>
        <w:rPr>
          <w:rFonts w:hint="default"/>
          <w:b/>
          <w:bCs/>
          <w:sz w:val="32"/>
          <w:szCs w:val="32"/>
          <w:highlight w:val="yellow"/>
          <w:lang w:val="en-US" w:eastAsia="zh-CN"/>
        </w:rPr>
      </w:pPr>
      <w:bookmarkStart w:id="0" w:name="_Toc18119"/>
      <w:r>
        <w:rPr>
          <w:rFonts w:hint="eastAsia"/>
          <w:b/>
          <w:bCs/>
          <w:sz w:val="32"/>
          <w:szCs w:val="32"/>
          <w:highlight w:val="none"/>
          <w:lang w:eastAsia="zh-CN"/>
        </w:rPr>
        <w:t>项目编号：</w:t>
      </w:r>
      <w:bookmarkEnd w:id="0"/>
      <w:r>
        <w:rPr>
          <w:rFonts w:hint="eastAsia" w:ascii="宋体" w:hAnsi="宋体" w:eastAsia="宋体" w:cs="宋体"/>
          <w:b/>
          <w:bCs/>
          <w:sz w:val="32"/>
          <w:szCs w:val="32"/>
          <w:highlight w:val="none"/>
          <w:lang w:eastAsia="zh-CN"/>
        </w:rPr>
        <w:t>JLKCJKCG[2025]30号-01</w:t>
      </w:r>
    </w:p>
    <w:p w14:paraId="26A1453B">
      <w:pPr>
        <w:bidi w:val="0"/>
        <w:spacing w:line="360" w:lineRule="auto"/>
        <w:ind w:firstLine="964" w:firstLineChars="300"/>
        <w:rPr>
          <w:rFonts w:hint="eastAsia"/>
          <w:b/>
          <w:bCs/>
          <w:sz w:val="32"/>
          <w:szCs w:val="32"/>
          <w:lang w:eastAsia="zh-CN"/>
        </w:rPr>
      </w:pPr>
    </w:p>
    <w:p w14:paraId="09190366">
      <w:pPr>
        <w:bidi w:val="0"/>
        <w:spacing w:line="360" w:lineRule="auto"/>
        <w:ind w:firstLine="964" w:firstLineChars="300"/>
        <w:rPr>
          <w:rFonts w:hint="eastAsia"/>
          <w:b/>
          <w:bCs/>
          <w:sz w:val="32"/>
          <w:szCs w:val="32"/>
          <w:lang w:eastAsia="zh-CN"/>
        </w:rPr>
      </w:pPr>
    </w:p>
    <w:p w14:paraId="1FEED6CA">
      <w:pPr>
        <w:bidi w:val="0"/>
        <w:spacing w:line="360" w:lineRule="auto"/>
        <w:ind w:firstLine="964" w:firstLineChars="300"/>
        <w:rPr>
          <w:rFonts w:hint="eastAsia"/>
          <w:b/>
          <w:bCs/>
          <w:sz w:val="32"/>
          <w:szCs w:val="32"/>
          <w:lang w:eastAsia="zh-CN"/>
        </w:rPr>
      </w:pPr>
    </w:p>
    <w:p w14:paraId="5CFF2730">
      <w:pPr>
        <w:bidi w:val="0"/>
        <w:spacing w:line="360" w:lineRule="auto"/>
        <w:ind w:firstLine="964" w:firstLineChars="300"/>
        <w:rPr>
          <w:rFonts w:hint="eastAsia"/>
          <w:b/>
          <w:bCs/>
          <w:sz w:val="32"/>
          <w:szCs w:val="32"/>
          <w:lang w:eastAsia="zh-CN"/>
        </w:rPr>
      </w:pPr>
    </w:p>
    <w:p w14:paraId="1B82A74F">
      <w:pPr>
        <w:bidi w:val="0"/>
        <w:spacing w:line="360" w:lineRule="auto"/>
        <w:jc w:val="center"/>
        <w:rPr>
          <w:rFonts w:hint="eastAsia"/>
          <w:b/>
          <w:bCs/>
          <w:sz w:val="32"/>
          <w:szCs w:val="32"/>
          <w:lang w:eastAsia="zh-CN"/>
        </w:rPr>
      </w:pPr>
    </w:p>
    <w:p w14:paraId="31600366">
      <w:pPr>
        <w:bidi w:val="0"/>
        <w:spacing w:line="360" w:lineRule="auto"/>
        <w:jc w:val="center"/>
        <w:rPr>
          <w:rFonts w:hint="eastAsia"/>
          <w:b/>
          <w:bCs/>
          <w:sz w:val="32"/>
          <w:szCs w:val="32"/>
          <w:lang w:eastAsia="zh-CN"/>
        </w:rPr>
      </w:pPr>
    </w:p>
    <w:p w14:paraId="619635D7">
      <w:pPr>
        <w:bidi w:val="0"/>
        <w:spacing w:line="360" w:lineRule="auto"/>
        <w:jc w:val="both"/>
        <w:rPr>
          <w:rFonts w:hint="eastAsia"/>
          <w:b/>
          <w:bCs/>
          <w:sz w:val="32"/>
          <w:szCs w:val="32"/>
          <w:lang w:eastAsia="zh-CN"/>
        </w:rPr>
      </w:pPr>
    </w:p>
    <w:p w14:paraId="2A1246A0">
      <w:pPr>
        <w:bidi w:val="0"/>
        <w:spacing w:line="360" w:lineRule="auto"/>
        <w:jc w:val="both"/>
        <w:rPr>
          <w:rFonts w:hint="eastAsia"/>
          <w:b/>
          <w:bCs/>
          <w:sz w:val="32"/>
          <w:szCs w:val="32"/>
          <w:highlight w:val="yellow"/>
          <w:lang w:eastAsia="zh-CN"/>
        </w:rPr>
      </w:pPr>
      <w:r>
        <w:rPr>
          <w:rFonts w:hint="eastAsia"/>
          <w:b/>
          <w:bCs/>
          <w:sz w:val="32"/>
          <w:szCs w:val="32"/>
          <w:lang w:eastAsia="zh-CN"/>
        </w:rPr>
        <w:t>采购人：</w:t>
      </w:r>
      <w:r>
        <w:rPr>
          <w:rFonts w:hint="eastAsia"/>
          <w:b/>
          <w:bCs/>
          <w:sz w:val="32"/>
          <w:szCs w:val="32"/>
          <w:highlight w:val="none"/>
          <w:lang w:eastAsia="zh-CN"/>
        </w:rPr>
        <w:t>长春宽城经济开发区管理委员会</w:t>
      </w:r>
    </w:p>
    <w:p w14:paraId="62771DDC">
      <w:pPr>
        <w:bidi w:val="0"/>
        <w:spacing w:line="360" w:lineRule="auto"/>
        <w:jc w:val="both"/>
        <w:rPr>
          <w:rFonts w:hint="eastAsia"/>
          <w:b/>
          <w:bCs/>
          <w:sz w:val="32"/>
          <w:szCs w:val="32"/>
          <w:lang w:eastAsia="zh-CN"/>
        </w:rPr>
      </w:pPr>
      <w:r>
        <w:rPr>
          <w:rFonts w:hint="eastAsia"/>
          <w:b/>
          <w:bCs/>
          <w:sz w:val="32"/>
          <w:szCs w:val="32"/>
          <w:lang w:eastAsia="zh-CN"/>
        </w:rPr>
        <w:t>采购代理机构：吉林省捷冠工程管理有限公司</w:t>
      </w:r>
    </w:p>
    <w:p w14:paraId="2C39FBB3">
      <w:pPr>
        <w:bidi w:val="0"/>
        <w:spacing w:line="360" w:lineRule="auto"/>
        <w:ind w:firstLine="2570" w:firstLineChars="800"/>
        <w:jc w:val="both"/>
        <w:rPr>
          <w:rFonts w:hint="eastAsia"/>
          <w:b/>
          <w:bCs/>
          <w:sz w:val="32"/>
          <w:szCs w:val="32"/>
          <w:lang w:eastAsia="zh-CN"/>
        </w:rPr>
      </w:pPr>
      <w:r>
        <w:rPr>
          <w:rFonts w:hint="eastAsia"/>
          <w:b/>
          <w:bCs/>
          <w:sz w:val="32"/>
          <w:szCs w:val="32"/>
          <w:lang w:eastAsia="zh-CN"/>
        </w:rPr>
        <w:t>二〇二五年</w:t>
      </w:r>
      <w:r>
        <w:rPr>
          <w:rFonts w:hint="eastAsia"/>
          <w:b/>
          <w:bCs/>
          <w:sz w:val="32"/>
          <w:szCs w:val="32"/>
          <w:lang w:val="en-US" w:eastAsia="zh-CN"/>
        </w:rPr>
        <w:t>六</w:t>
      </w:r>
      <w:r>
        <w:rPr>
          <w:rFonts w:hint="eastAsia"/>
          <w:b/>
          <w:bCs/>
          <w:sz w:val="32"/>
          <w:szCs w:val="32"/>
          <w:lang w:eastAsia="zh-CN"/>
        </w:rPr>
        <w:t>月</w:t>
      </w:r>
    </w:p>
    <w:p w14:paraId="26194ABD">
      <w:pPr>
        <w:rPr>
          <w:rFonts w:hint="eastAsia"/>
          <w:b/>
          <w:bCs/>
          <w:sz w:val="32"/>
          <w:szCs w:val="32"/>
          <w:lang w:eastAsia="zh-CN"/>
        </w:rPr>
      </w:pPr>
      <w:r>
        <w:rPr>
          <w:rFonts w:hint="eastAsia"/>
          <w:b/>
          <w:bCs/>
          <w:sz w:val="32"/>
          <w:szCs w:val="32"/>
          <w:lang w:eastAsia="zh-CN"/>
        </w:rPr>
        <w:br w:type="page"/>
      </w:r>
    </w:p>
    <w:sdt>
      <w:sdtPr>
        <w:rPr>
          <w:rFonts w:ascii="宋体" w:hAnsi="宋体" w:eastAsia="宋体" w:cstheme="minorBidi"/>
          <w:kern w:val="2"/>
          <w:sz w:val="21"/>
          <w:szCs w:val="24"/>
          <w:lang w:val="en-US" w:eastAsia="zh-CN" w:bidi="ar-SA"/>
        </w:rPr>
        <w:id w:val="147456252"/>
        <w15:color w:val="DBDBDB"/>
        <w:docPartObj>
          <w:docPartGallery w:val="Table of Contents"/>
          <w:docPartUnique/>
        </w:docPartObj>
      </w:sdtPr>
      <w:sdtEndPr>
        <w:rPr>
          <w:rFonts w:hint="eastAsia" w:ascii="宋体" w:hAnsi="宋体" w:eastAsia="宋体" w:cs="宋体"/>
          <w:bCs/>
          <w:kern w:val="2"/>
          <w:sz w:val="21"/>
          <w:szCs w:val="32"/>
          <w:lang w:val="en-US" w:eastAsia="zh-CN" w:bidi="ar-SA"/>
        </w:rPr>
      </w:sdtEndPr>
      <w:sdtContent>
        <w:p w14:paraId="04027087">
          <w:pPr>
            <w:spacing w:before="0" w:beforeLines="0" w:after="0" w:afterLines="0" w:line="240" w:lineRule="auto"/>
            <w:ind w:left="0" w:leftChars="0" w:right="0" w:rightChars="0" w:firstLine="0" w:firstLineChars="0"/>
            <w:jc w:val="center"/>
            <w:rPr>
              <w:rFonts w:ascii="宋体" w:hAnsi="宋体" w:eastAsia="宋体" w:cstheme="minorBidi"/>
              <w:kern w:val="2"/>
              <w:sz w:val="21"/>
              <w:szCs w:val="24"/>
              <w:lang w:val="en-US" w:eastAsia="zh-CN" w:bidi="ar-SA"/>
            </w:rPr>
          </w:pPr>
        </w:p>
        <w:p w14:paraId="692BD160">
          <w:pPr>
            <w:spacing w:before="0" w:beforeLines="0" w:after="0" w:afterLines="0" w:line="240" w:lineRule="auto"/>
            <w:ind w:left="0" w:leftChars="0" w:right="0" w:rightChars="0" w:firstLine="0" w:firstLineChars="0"/>
            <w:jc w:val="center"/>
            <w:rPr>
              <w:rFonts w:ascii="宋体" w:hAnsi="宋体" w:eastAsia="宋体"/>
              <w:b/>
              <w:bCs/>
              <w:sz w:val="32"/>
              <w:szCs w:val="40"/>
            </w:rPr>
          </w:pPr>
          <w:r>
            <w:rPr>
              <w:rFonts w:ascii="宋体" w:hAnsi="宋体" w:eastAsia="宋体"/>
              <w:b/>
              <w:bCs/>
              <w:sz w:val="32"/>
              <w:szCs w:val="40"/>
            </w:rPr>
            <w:t>目录</w:t>
          </w:r>
        </w:p>
        <w:p w14:paraId="610A3F2D">
          <w:pPr>
            <w:spacing w:before="0" w:beforeLines="0" w:after="0" w:afterLines="0" w:line="240" w:lineRule="auto"/>
            <w:ind w:left="0" w:leftChars="0" w:right="0" w:rightChars="0" w:firstLine="0" w:firstLineChars="0"/>
            <w:jc w:val="center"/>
            <w:rPr>
              <w:rFonts w:ascii="宋体" w:hAnsi="宋体" w:eastAsia="宋体"/>
              <w:b/>
              <w:bCs/>
              <w:sz w:val="32"/>
              <w:szCs w:val="40"/>
            </w:rPr>
          </w:pPr>
        </w:p>
        <w:p w14:paraId="49B3AFA3">
          <w:pPr>
            <w:pStyle w:val="37"/>
            <w:tabs>
              <w:tab w:val="right" w:leader="dot" w:pos="8300"/>
            </w:tabs>
          </w:pPr>
          <w:r>
            <w:rPr>
              <w:rFonts w:hint="eastAsia" w:ascii="宋体" w:hAnsi="宋体" w:eastAsia="宋体" w:cs="宋体"/>
              <w:b/>
              <w:bCs/>
              <w:sz w:val="32"/>
              <w:szCs w:val="32"/>
            </w:rPr>
            <w:fldChar w:fldCharType="begin"/>
          </w:r>
          <w:r>
            <w:rPr>
              <w:rFonts w:hint="eastAsia" w:ascii="宋体" w:hAnsi="宋体" w:eastAsia="宋体" w:cs="宋体"/>
              <w:b/>
              <w:bCs/>
              <w:sz w:val="32"/>
              <w:szCs w:val="32"/>
            </w:rPr>
            <w:instrText xml:space="preserve">TOC \o "1-1" \h \u </w:instrText>
          </w:r>
          <w:r>
            <w:rPr>
              <w:rFonts w:hint="eastAsia" w:ascii="宋体" w:hAnsi="宋体" w:eastAsia="宋体" w:cs="宋体"/>
              <w:b/>
              <w:bCs/>
              <w:sz w:val="32"/>
              <w:szCs w:val="32"/>
            </w:rPr>
            <w:fldChar w:fldCharType="separate"/>
          </w:r>
        </w:p>
        <w:p w14:paraId="78357FA0">
          <w:pPr>
            <w:pStyle w:val="37"/>
            <w:tabs>
              <w:tab w:val="right" w:leader="dot" w:pos="8300"/>
            </w:tabs>
            <w:spacing w:line="360" w:lineRule="auto"/>
            <w:rPr>
              <w:rFonts w:hint="eastAsia" w:ascii="宋体" w:hAnsi="宋体" w:eastAsia="宋体" w:cs="宋体"/>
              <w:sz w:val="28"/>
              <w:szCs w:val="28"/>
            </w:rPr>
          </w:pPr>
          <w:r>
            <w:rPr>
              <w:rFonts w:hint="eastAsia" w:ascii="宋体" w:hAnsi="宋体" w:eastAsia="宋体" w:cs="宋体"/>
              <w:bCs/>
              <w:sz w:val="28"/>
              <w:szCs w:val="28"/>
            </w:rPr>
            <w:fldChar w:fldCharType="begin"/>
          </w:r>
          <w:r>
            <w:rPr>
              <w:rFonts w:hint="eastAsia" w:ascii="宋体" w:hAnsi="宋体" w:eastAsia="宋体" w:cs="宋体"/>
              <w:bCs/>
              <w:sz w:val="28"/>
              <w:szCs w:val="28"/>
            </w:rPr>
            <w:instrText xml:space="preserve"> HYPERLINK \l _Toc31158 </w:instrText>
          </w:r>
          <w:r>
            <w:rPr>
              <w:rFonts w:hint="eastAsia" w:ascii="宋体" w:hAnsi="宋体" w:eastAsia="宋体" w:cs="宋体"/>
              <w:bCs/>
              <w:sz w:val="28"/>
              <w:szCs w:val="28"/>
            </w:rPr>
            <w:fldChar w:fldCharType="separate"/>
          </w:r>
          <w:r>
            <w:rPr>
              <w:rFonts w:hint="eastAsia" w:ascii="宋体" w:hAnsi="宋体" w:eastAsia="宋体" w:cs="宋体"/>
              <w:bCs/>
              <w:sz w:val="28"/>
              <w:szCs w:val="28"/>
            </w:rPr>
            <w:t>第一章 招标公告</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_Toc31158 \h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bCs/>
              <w:sz w:val="28"/>
              <w:szCs w:val="28"/>
            </w:rPr>
            <w:fldChar w:fldCharType="end"/>
          </w:r>
        </w:p>
        <w:p w14:paraId="72BF4663">
          <w:pPr>
            <w:pStyle w:val="37"/>
            <w:tabs>
              <w:tab w:val="right" w:leader="dot" w:pos="8300"/>
            </w:tabs>
            <w:spacing w:line="360" w:lineRule="auto"/>
            <w:rPr>
              <w:rFonts w:hint="eastAsia" w:ascii="宋体" w:hAnsi="宋体" w:eastAsia="宋体" w:cs="宋体"/>
              <w:sz w:val="28"/>
              <w:szCs w:val="28"/>
            </w:rPr>
          </w:pPr>
          <w:r>
            <w:rPr>
              <w:rFonts w:hint="eastAsia" w:ascii="宋体" w:hAnsi="宋体" w:eastAsia="宋体" w:cs="宋体"/>
              <w:bCs/>
              <w:sz w:val="28"/>
              <w:szCs w:val="28"/>
            </w:rPr>
            <w:fldChar w:fldCharType="begin"/>
          </w:r>
          <w:r>
            <w:rPr>
              <w:rFonts w:hint="eastAsia" w:ascii="宋体" w:hAnsi="宋体" w:eastAsia="宋体" w:cs="宋体"/>
              <w:bCs/>
              <w:sz w:val="28"/>
              <w:szCs w:val="28"/>
            </w:rPr>
            <w:instrText xml:space="preserve"> HYPERLINK \l _Toc9826 </w:instrText>
          </w:r>
          <w:r>
            <w:rPr>
              <w:rFonts w:hint="eastAsia" w:ascii="宋体" w:hAnsi="宋体" w:eastAsia="宋体" w:cs="宋体"/>
              <w:bCs/>
              <w:sz w:val="28"/>
              <w:szCs w:val="28"/>
            </w:rPr>
            <w:fldChar w:fldCharType="separate"/>
          </w:r>
          <w:r>
            <w:rPr>
              <w:rFonts w:hint="eastAsia" w:ascii="宋体" w:hAnsi="宋体" w:eastAsia="宋体" w:cs="宋体"/>
              <w:bCs w:val="0"/>
              <w:snapToGrid w:val="0"/>
              <w:sz w:val="28"/>
              <w:szCs w:val="28"/>
              <w:highlight w:val="none"/>
            </w:rPr>
            <w:t>第二章 投标人须知</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_Toc9826 \h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bCs/>
              <w:sz w:val="28"/>
              <w:szCs w:val="28"/>
            </w:rPr>
            <w:fldChar w:fldCharType="end"/>
          </w:r>
        </w:p>
        <w:p w14:paraId="556515D5">
          <w:pPr>
            <w:pStyle w:val="37"/>
            <w:tabs>
              <w:tab w:val="right" w:leader="dot" w:pos="8300"/>
            </w:tabs>
            <w:spacing w:line="360" w:lineRule="auto"/>
            <w:rPr>
              <w:rFonts w:hint="eastAsia" w:ascii="宋体" w:hAnsi="宋体" w:eastAsia="宋体" w:cs="宋体"/>
              <w:sz w:val="28"/>
              <w:szCs w:val="28"/>
            </w:rPr>
          </w:pPr>
          <w:r>
            <w:rPr>
              <w:rFonts w:hint="eastAsia" w:ascii="宋体" w:hAnsi="宋体" w:eastAsia="宋体" w:cs="宋体"/>
              <w:bCs/>
              <w:sz w:val="28"/>
              <w:szCs w:val="28"/>
            </w:rPr>
            <w:fldChar w:fldCharType="begin"/>
          </w:r>
          <w:r>
            <w:rPr>
              <w:rFonts w:hint="eastAsia" w:ascii="宋体" w:hAnsi="宋体" w:eastAsia="宋体" w:cs="宋体"/>
              <w:bCs/>
              <w:sz w:val="28"/>
              <w:szCs w:val="28"/>
            </w:rPr>
            <w:instrText xml:space="preserve"> HYPERLINK \l _Toc1779 </w:instrText>
          </w:r>
          <w:r>
            <w:rPr>
              <w:rFonts w:hint="eastAsia" w:ascii="宋体" w:hAnsi="宋体" w:eastAsia="宋体" w:cs="宋体"/>
              <w:bCs/>
              <w:sz w:val="28"/>
              <w:szCs w:val="28"/>
            </w:rPr>
            <w:fldChar w:fldCharType="separate"/>
          </w:r>
          <w:r>
            <w:rPr>
              <w:rFonts w:hint="eastAsia" w:ascii="宋体" w:hAnsi="宋体" w:eastAsia="宋体" w:cs="宋体"/>
              <w:sz w:val="28"/>
              <w:szCs w:val="28"/>
              <w:highlight w:val="none"/>
            </w:rPr>
            <w:t>第三章 评标方法及标准</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_Toc1779 \h </w:instrText>
          </w:r>
          <w:r>
            <w:rPr>
              <w:rFonts w:hint="eastAsia" w:ascii="宋体" w:hAnsi="宋体" w:eastAsia="宋体" w:cs="宋体"/>
              <w:sz w:val="28"/>
              <w:szCs w:val="28"/>
            </w:rPr>
            <w:fldChar w:fldCharType="separate"/>
          </w:r>
          <w:r>
            <w:rPr>
              <w:rFonts w:hint="eastAsia" w:ascii="宋体" w:hAnsi="宋体" w:eastAsia="宋体" w:cs="宋体"/>
              <w:sz w:val="28"/>
              <w:szCs w:val="28"/>
            </w:rPr>
            <w:t>34</w:t>
          </w:r>
          <w:r>
            <w:rPr>
              <w:rFonts w:hint="eastAsia" w:ascii="宋体" w:hAnsi="宋体" w:eastAsia="宋体" w:cs="宋体"/>
              <w:sz w:val="28"/>
              <w:szCs w:val="28"/>
            </w:rPr>
            <w:fldChar w:fldCharType="end"/>
          </w:r>
          <w:r>
            <w:rPr>
              <w:rFonts w:hint="eastAsia" w:ascii="宋体" w:hAnsi="宋体" w:eastAsia="宋体" w:cs="宋体"/>
              <w:bCs/>
              <w:sz w:val="28"/>
              <w:szCs w:val="28"/>
            </w:rPr>
            <w:fldChar w:fldCharType="end"/>
          </w:r>
        </w:p>
        <w:p w14:paraId="0A869EE0">
          <w:pPr>
            <w:pStyle w:val="37"/>
            <w:tabs>
              <w:tab w:val="right" w:leader="dot" w:pos="8300"/>
            </w:tabs>
            <w:spacing w:line="360" w:lineRule="auto"/>
            <w:rPr>
              <w:rFonts w:hint="eastAsia" w:ascii="宋体" w:hAnsi="宋体" w:eastAsia="宋体" w:cs="宋体"/>
              <w:sz w:val="28"/>
              <w:szCs w:val="28"/>
            </w:rPr>
          </w:pPr>
          <w:r>
            <w:rPr>
              <w:rFonts w:hint="eastAsia" w:ascii="宋体" w:hAnsi="宋体" w:eastAsia="宋体" w:cs="宋体"/>
              <w:bCs/>
              <w:sz w:val="28"/>
              <w:szCs w:val="28"/>
            </w:rPr>
            <w:fldChar w:fldCharType="begin"/>
          </w:r>
          <w:r>
            <w:rPr>
              <w:rFonts w:hint="eastAsia" w:ascii="宋体" w:hAnsi="宋体" w:eastAsia="宋体" w:cs="宋体"/>
              <w:bCs/>
              <w:sz w:val="28"/>
              <w:szCs w:val="28"/>
            </w:rPr>
            <w:instrText xml:space="preserve"> HYPERLINK \l _Toc25838 </w:instrText>
          </w:r>
          <w:r>
            <w:rPr>
              <w:rFonts w:hint="eastAsia" w:ascii="宋体" w:hAnsi="宋体" w:eastAsia="宋体" w:cs="宋体"/>
              <w:bCs/>
              <w:sz w:val="28"/>
              <w:szCs w:val="28"/>
            </w:rPr>
            <w:fldChar w:fldCharType="separate"/>
          </w:r>
          <w:r>
            <w:rPr>
              <w:rFonts w:hint="eastAsia" w:ascii="宋体" w:hAnsi="宋体" w:eastAsia="宋体" w:cs="宋体"/>
              <w:bCs/>
              <w:sz w:val="28"/>
              <w:szCs w:val="28"/>
            </w:rPr>
            <w:t xml:space="preserve">第四章 </w:t>
          </w:r>
          <w:r>
            <w:rPr>
              <w:rFonts w:hint="eastAsia" w:ascii="宋体" w:hAnsi="宋体" w:eastAsia="宋体" w:cs="宋体"/>
              <w:bCs/>
              <w:sz w:val="28"/>
              <w:szCs w:val="28"/>
              <w:highlight w:val="none"/>
            </w:rPr>
            <w:t>合同主要条款及格式</w:t>
          </w:r>
          <w:r>
            <w:rPr>
              <w:rFonts w:hint="eastAsia" w:ascii="宋体" w:hAnsi="宋体" w:eastAsia="宋体" w:cs="宋体"/>
              <w:sz w:val="28"/>
              <w:szCs w:val="28"/>
              <w:highlight w:val="none"/>
            </w:rPr>
            <w:t>（参考格式）</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_Toc25838 \h </w:instrText>
          </w:r>
          <w:r>
            <w:rPr>
              <w:rFonts w:hint="eastAsia" w:ascii="宋体" w:hAnsi="宋体" w:eastAsia="宋体" w:cs="宋体"/>
              <w:sz w:val="28"/>
              <w:szCs w:val="28"/>
            </w:rPr>
            <w:fldChar w:fldCharType="separate"/>
          </w:r>
          <w:r>
            <w:rPr>
              <w:rFonts w:hint="eastAsia" w:ascii="宋体" w:hAnsi="宋体" w:eastAsia="宋体" w:cs="宋体"/>
              <w:sz w:val="28"/>
              <w:szCs w:val="28"/>
            </w:rPr>
            <w:t>43</w:t>
          </w:r>
          <w:r>
            <w:rPr>
              <w:rFonts w:hint="eastAsia" w:ascii="宋体" w:hAnsi="宋体" w:eastAsia="宋体" w:cs="宋体"/>
              <w:sz w:val="28"/>
              <w:szCs w:val="28"/>
            </w:rPr>
            <w:fldChar w:fldCharType="end"/>
          </w:r>
          <w:r>
            <w:rPr>
              <w:rFonts w:hint="eastAsia" w:ascii="宋体" w:hAnsi="宋体" w:eastAsia="宋体" w:cs="宋体"/>
              <w:bCs/>
              <w:sz w:val="28"/>
              <w:szCs w:val="28"/>
            </w:rPr>
            <w:fldChar w:fldCharType="end"/>
          </w:r>
        </w:p>
        <w:p w14:paraId="0D7B8314">
          <w:pPr>
            <w:pStyle w:val="37"/>
            <w:tabs>
              <w:tab w:val="right" w:leader="dot" w:pos="8300"/>
            </w:tabs>
            <w:spacing w:line="360" w:lineRule="auto"/>
            <w:rPr>
              <w:rFonts w:hint="eastAsia" w:ascii="宋体" w:hAnsi="宋体" w:eastAsia="宋体" w:cs="宋体"/>
              <w:sz w:val="28"/>
              <w:szCs w:val="28"/>
            </w:rPr>
          </w:pPr>
          <w:r>
            <w:rPr>
              <w:rFonts w:hint="eastAsia" w:ascii="宋体" w:hAnsi="宋体" w:eastAsia="宋体" w:cs="宋体"/>
              <w:bCs/>
              <w:sz w:val="28"/>
              <w:szCs w:val="28"/>
            </w:rPr>
            <w:fldChar w:fldCharType="begin"/>
          </w:r>
          <w:r>
            <w:rPr>
              <w:rFonts w:hint="eastAsia" w:ascii="宋体" w:hAnsi="宋体" w:eastAsia="宋体" w:cs="宋体"/>
              <w:bCs/>
              <w:sz w:val="28"/>
              <w:szCs w:val="28"/>
            </w:rPr>
            <w:instrText xml:space="preserve"> HYPERLINK \l _Toc13023 </w:instrText>
          </w:r>
          <w:r>
            <w:rPr>
              <w:rFonts w:hint="eastAsia" w:ascii="宋体" w:hAnsi="宋体" w:eastAsia="宋体" w:cs="宋体"/>
              <w:bCs/>
              <w:sz w:val="28"/>
              <w:szCs w:val="28"/>
            </w:rPr>
            <w:fldChar w:fldCharType="separate"/>
          </w:r>
          <w:r>
            <w:rPr>
              <w:rFonts w:hint="eastAsia" w:ascii="宋体" w:hAnsi="宋体" w:eastAsia="宋体" w:cs="宋体"/>
              <w:bCs/>
              <w:sz w:val="28"/>
              <w:szCs w:val="28"/>
            </w:rPr>
            <w:t xml:space="preserve">第五章 </w:t>
          </w:r>
          <w:r>
            <w:rPr>
              <w:rFonts w:hint="eastAsia" w:ascii="宋体" w:hAnsi="宋体" w:eastAsia="宋体" w:cs="宋体"/>
              <w:bCs/>
              <w:sz w:val="28"/>
              <w:szCs w:val="28"/>
              <w:highlight w:val="none"/>
            </w:rPr>
            <w:t>采购需求</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_Toc13023 \h </w:instrText>
          </w:r>
          <w:r>
            <w:rPr>
              <w:rFonts w:hint="eastAsia" w:ascii="宋体" w:hAnsi="宋体" w:eastAsia="宋体" w:cs="宋体"/>
              <w:sz w:val="28"/>
              <w:szCs w:val="28"/>
            </w:rPr>
            <w:fldChar w:fldCharType="separate"/>
          </w:r>
          <w:r>
            <w:rPr>
              <w:rFonts w:hint="eastAsia" w:ascii="宋体" w:hAnsi="宋体" w:eastAsia="宋体" w:cs="宋体"/>
              <w:sz w:val="28"/>
              <w:szCs w:val="28"/>
            </w:rPr>
            <w:t>51</w:t>
          </w:r>
          <w:r>
            <w:rPr>
              <w:rFonts w:hint="eastAsia" w:ascii="宋体" w:hAnsi="宋体" w:eastAsia="宋体" w:cs="宋体"/>
              <w:sz w:val="28"/>
              <w:szCs w:val="28"/>
            </w:rPr>
            <w:fldChar w:fldCharType="end"/>
          </w:r>
          <w:r>
            <w:rPr>
              <w:rFonts w:hint="eastAsia" w:ascii="宋体" w:hAnsi="宋体" w:eastAsia="宋体" w:cs="宋体"/>
              <w:bCs/>
              <w:sz w:val="28"/>
              <w:szCs w:val="28"/>
            </w:rPr>
            <w:fldChar w:fldCharType="end"/>
          </w:r>
        </w:p>
        <w:p w14:paraId="5B34D6DD">
          <w:pPr>
            <w:pStyle w:val="37"/>
            <w:tabs>
              <w:tab w:val="right" w:leader="dot" w:pos="8300"/>
            </w:tabs>
            <w:spacing w:line="360" w:lineRule="auto"/>
          </w:pPr>
          <w:r>
            <w:rPr>
              <w:rFonts w:hint="eastAsia" w:ascii="宋体" w:hAnsi="宋体" w:eastAsia="宋体" w:cs="宋体"/>
              <w:bCs/>
              <w:sz w:val="28"/>
              <w:szCs w:val="28"/>
            </w:rPr>
            <w:fldChar w:fldCharType="begin"/>
          </w:r>
          <w:r>
            <w:rPr>
              <w:rFonts w:hint="eastAsia" w:ascii="宋体" w:hAnsi="宋体" w:eastAsia="宋体" w:cs="宋体"/>
              <w:bCs/>
              <w:sz w:val="28"/>
              <w:szCs w:val="28"/>
            </w:rPr>
            <w:instrText xml:space="preserve"> HYPERLINK \l _Toc5334 </w:instrText>
          </w:r>
          <w:r>
            <w:rPr>
              <w:rFonts w:hint="eastAsia" w:ascii="宋体" w:hAnsi="宋体" w:eastAsia="宋体" w:cs="宋体"/>
              <w:bCs/>
              <w:sz w:val="28"/>
              <w:szCs w:val="28"/>
            </w:rPr>
            <w:fldChar w:fldCharType="separate"/>
          </w:r>
          <w:r>
            <w:rPr>
              <w:rFonts w:hint="eastAsia" w:ascii="宋体" w:hAnsi="宋体" w:eastAsia="宋体" w:cs="宋体"/>
              <w:sz w:val="28"/>
              <w:szCs w:val="28"/>
              <w:highlight w:val="none"/>
              <w:lang w:val="zh-CN"/>
            </w:rPr>
            <w:t>第六章 投标文件格式</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_Toc5334 \h </w:instrText>
          </w:r>
          <w:r>
            <w:rPr>
              <w:rFonts w:hint="eastAsia" w:ascii="宋体" w:hAnsi="宋体" w:eastAsia="宋体" w:cs="宋体"/>
              <w:sz w:val="28"/>
              <w:szCs w:val="28"/>
            </w:rPr>
            <w:fldChar w:fldCharType="separate"/>
          </w:r>
          <w:r>
            <w:rPr>
              <w:rFonts w:hint="eastAsia" w:ascii="宋体" w:hAnsi="宋体" w:eastAsia="宋体" w:cs="宋体"/>
              <w:sz w:val="28"/>
              <w:szCs w:val="28"/>
            </w:rPr>
            <w:t>60</w:t>
          </w:r>
          <w:r>
            <w:rPr>
              <w:rFonts w:hint="eastAsia" w:ascii="宋体" w:hAnsi="宋体" w:eastAsia="宋体" w:cs="宋体"/>
              <w:sz w:val="28"/>
              <w:szCs w:val="28"/>
            </w:rPr>
            <w:fldChar w:fldCharType="end"/>
          </w:r>
          <w:r>
            <w:rPr>
              <w:rFonts w:hint="eastAsia" w:ascii="宋体" w:hAnsi="宋体" w:eastAsia="宋体" w:cs="宋体"/>
              <w:bCs/>
              <w:sz w:val="28"/>
              <w:szCs w:val="28"/>
            </w:rPr>
            <w:fldChar w:fldCharType="end"/>
          </w:r>
        </w:p>
        <w:p w14:paraId="5301B665">
          <w:pPr>
            <w:pStyle w:val="37"/>
            <w:tabs>
              <w:tab w:val="right" w:leader="dot" w:pos="8300"/>
            </w:tabs>
          </w:pPr>
        </w:p>
        <w:p w14:paraId="15B8F898">
          <w:pPr>
            <w:rPr>
              <w:rFonts w:hint="eastAsia" w:ascii="宋体" w:hAnsi="宋体" w:eastAsia="宋体" w:cs="宋体"/>
              <w:bCs/>
              <w:kern w:val="2"/>
              <w:sz w:val="21"/>
              <w:szCs w:val="32"/>
              <w:lang w:val="en-US" w:eastAsia="zh-CN" w:bidi="ar-SA"/>
            </w:rPr>
          </w:pPr>
          <w:r>
            <w:rPr>
              <w:rFonts w:hint="eastAsia" w:ascii="宋体" w:hAnsi="宋体" w:eastAsia="宋体" w:cs="宋体"/>
              <w:bCs/>
              <w:szCs w:val="32"/>
            </w:rPr>
            <w:fldChar w:fldCharType="end"/>
          </w:r>
        </w:p>
      </w:sdtContent>
    </w:sdt>
    <w:p w14:paraId="485A0784">
      <w:pPr>
        <w:rPr>
          <w:rFonts w:hint="eastAsia" w:ascii="宋体" w:hAnsi="宋体" w:eastAsia="宋体" w:cs="宋体"/>
          <w:bCs/>
          <w:kern w:val="2"/>
          <w:sz w:val="21"/>
          <w:szCs w:val="32"/>
          <w:lang w:val="en-US" w:eastAsia="zh-CN" w:bidi="ar-SA"/>
        </w:rPr>
      </w:pPr>
    </w:p>
    <w:p w14:paraId="2CEF5105">
      <w:pPr>
        <w:rPr>
          <w:rFonts w:hint="eastAsia" w:ascii="宋体" w:hAnsi="宋体" w:eastAsia="宋体" w:cs="宋体"/>
          <w:b/>
          <w:bCs/>
          <w:sz w:val="32"/>
          <w:szCs w:val="32"/>
        </w:rPr>
      </w:pPr>
      <w:bookmarkStart w:id="1" w:name="_Toc31158"/>
      <w:r>
        <w:rPr>
          <w:rFonts w:hint="eastAsia" w:ascii="宋体" w:hAnsi="宋体" w:eastAsia="宋体" w:cs="宋体"/>
          <w:b/>
          <w:bCs/>
          <w:sz w:val="32"/>
          <w:szCs w:val="32"/>
        </w:rPr>
        <w:br w:type="page"/>
      </w:r>
    </w:p>
    <w:p w14:paraId="69171CD3">
      <w:pPr>
        <w:bidi w:val="0"/>
        <w:jc w:val="left"/>
        <w:rPr>
          <w:rFonts w:hint="eastAsia" w:asciiTheme="minorHAnsi" w:hAnsiTheme="minorHAnsi" w:eastAsiaTheme="minorEastAsia" w:cstheme="minorBidi"/>
          <w:kern w:val="2"/>
          <w:sz w:val="21"/>
          <w:szCs w:val="24"/>
          <w:lang w:val="en-US" w:eastAsia="zh-CN" w:bidi="ar-SA"/>
        </w:rPr>
      </w:pPr>
    </w:p>
    <w:p w14:paraId="2633D691">
      <w:pPr>
        <w:bidi w:val="0"/>
        <w:jc w:val="center"/>
        <w:outlineLvl w:val="0"/>
        <w:rPr>
          <w:rFonts w:hint="eastAsia" w:ascii="宋体" w:hAnsi="宋体" w:eastAsia="宋体" w:cs="宋体"/>
          <w:b/>
          <w:bCs/>
          <w:sz w:val="32"/>
          <w:szCs w:val="32"/>
        </w:rPr>
      </w:pPr>
      <w:r>
        <w:rPr>
          <w:rFonts w:hint="eastAsia" w:ascii="宋体" w:hAnsi="宋体" w:eastAsia="宋体" w:cs="宋体"/>
          <w:b/>
          <w:bCs/>
          <w:sz w:val="32"/>
          <w:szCs w:val="32"/>
        </w:rPr>
        <w:t>第一章 招标公告</w:t>
      </w:r>
      <w:bookmarkEnd w:id="1"/>
    </w:p>
    <w:p w14:paraId="41267FE2">
      <w:pPr>
        <w:spacing w:before="25"/>
      </w:pPr>
    </w:p>
    <w:p w14:paraId="21586731">
      <w:pPr>
        <w:keepNext w:val="0"/>
        <w:keepLines w:val="0"/>
        <w:pageBreakBefore w:val="0"/>
        <w:kinsoku/>
        <w:wordWrap/>
        <w:overflowPunct/>
        <w:topLinePunct w:val="0"/>
        <w:autoSpaceDE/>
        <w:autoSpaceDN/>
        <w:bidi w:val="0"/>
        <w:adjustRightInd/>
        <w:snapToGrid/>
        <w:spacing w:line="240" w:lineRule="auto"/>
        <w:textAlignment w:val="auto"/>
        <w:rPr>
          <w:sz w:val="24"/>
          <w:szCs w:val="24"/>
        </w:rPr>
      </w:pPr>
      <w:r>
        <w:rPr>
          <w:rFonts w:hint="eastAsia" w:ascii="宋体" w:hAnsi="宋体" w:eastAsia="宋体" w:cs="宋体"/>
          <w:b/>
          <w:bCs/>
          <w:spacing w:val="-1"/>
          <w:sz w:val="24"/>
          <w:szCs w:val="24"/>
          <w:lang w:val="en-US" w:eastAsia="en-US"/>
        </w:rPr>
        <w:t>项目概况</w:t>
      </w:r>
    </w:p>
    <w:tbl>
      <w:tblPr>
        <w:tblStyle w:val="22"/>
        <w:tblpPr w:leftFromText="180" w:rightFromText="180" w:vertAnchor="text" w:tblpX="-491" w:tblpY="342"/>
        <w:tblOverlap w:val="never"/>
        <w:tblW w:w="91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72"/>
      </w:tblGrid>
      <w:tr w14:paraId="1499A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7" w:hRule="atLeast"/>
        </w:trPr>
        <w:tc>
          <w:tcPr>
            <w:tcW w:w="9172" w:type="dxa"/>
          </w:tcPr>
          <w:p w14:paraId="0AFB234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spacing w:val="-1"/>
                <w:sz w:val="24"/>
                <w:szCs w:val="24"/>
                <w:vertAlign w:val="baseline"/>
                <w:lang w:val="en-US" w:eastAsia="en-US"/>
              </w:rPr>
            </w:pPr>
            <w:r>
              <w:rPr>
                <w:rFonts w:hint="eastAsia" w:ascii="宋体" w:hAnsi="宋体" w:eastAsia="宋体" w:cs="宋体"/>
                <w:sz w:val="24"/>
                <w:szCs w:val="24"/>
                <w:lang w:eastAsia="zh-CN"/>
              </w:rPr>
              <w:t>长春市宽城区医院异地建设项目、长春市宽城区卫生综合体建设项目医疗家具采购项目</w:t>
            </w:r>
            <w:r>
              <w:rPr>
                <w:rFonts w:hint="eastAsia" w:ascii="宋体" w:hAnsi="宋体" w:eastAsia="宋体" w:cs="宋体"/>
                <w:color w:val="auto"/>
                <w:sz w:val="24"/>
                <w:szCs w:val="24"/>
              </w:rPr>
              <w:t>的潜在</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应自行登录政府采购云平台（网址</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http://www.zcygov.cn）</w:t>
            </w:r>
            <w:r>
              <w:rPr>
                <w:rFonts w:hint="eastAsia" w:ascii="宋体" w:hAnsi="宋体" w:eastAsia="宋体" w:cs="宋体"/>
                <w:color w:val="auto"/>
                <w:sz w:val="24"/>
                <w:szCs w:val="24"/>
                <w:lang w:eastAsia="zh-CN"/>
              </w:rPr>
              <w:t>网上</w:t>
            </w:r>
            <w:r>
              <w:rPr>
                <w:rFonts w:hint="eastAsia" w:ascii="宋体" w:hAnsi="宋体" w:eastAsia="宋体" w:cs="宋体"/>
                <w:color w:val="auto"/>
                <w:sz w:val="24"/>
                <w:szCs w:val="24"/>
                <w:highlight w:val="none"/>
                <w:lang w:eastAsia="zh-CN"/>
              </w:rPr>
              <w:t>注册（https://middle.zcygov.cn/v-settle-front/registry）并下载招标文件，</w:t>
            </w:r>
            <w:r>
              <w:rPr>
                <w:rFonts w:hint="eastAsia" w:ascii="宋体" w:hAnsi="宋体" w:eastAsia="宋体" w:cs="宋体"/>
                <w:color w:val="auto"/>
                <w:sz w:val="24"/>
                <w:szCs w:val="24"/>
                <w:highlight w:val="none"/>
              </w:rPr>
              <w:t>并于</w:t>
            </w:r>
            <w:r>
              <w:rPr>
                <w:rFonts w:hint="eastAsia" w:ascii="宋体" w:hAnsi="宋体" w:eastAsia="宋体" w:cs="宋体"/>
                <w:color w:val="auto"/>
                <w:sz w:val="24"/>
                <w:szCs w:val="24"/>
                <w:highlight w:val="none"/>
                <w:u w:val="single"/>
              </w:rPr>
              <w:t>202</w:t>
            </w:r>
            <w:r>
              <w:rPr>
                <w:rFonts w:hint="eastAsia" w:ascii="宋体" w:hAnsi="宋体" w:eastAsia="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rPr>
              <w:t>年</w:t>
            </w:r>
            <w:r>
              <w:rPr>
                <w:rFonts w:hint="eastAsia" w:ascii="宋体" w:hAnsi="宋体" w:eastAsia="宋体" w:cs="宋体"/>
                <w:color w:val="auto"/>
                <w:sz w:val="24"/>
                <w:szCs w:val="24"/>
                <w:highlight w:val="none"/>
                <w:u w:val="single"/>
                <w:lang w:val="en-US" w:eastAsia="zh-CN"/>
              </w:rPr>
              <w:t>7</w:t>
            </w:r>
            <w:r>
              <w:rPr>
                <w:rFonts w:hint="eastAsia" w:ascii="宋体" w:hAnsi="宋体" w:eastAsia="宋体" w:cs="宋体"/>
                <w:color w:val="auto"/>
                <w:sz w:val="24"/>
                <w:szCs w:val="24"/>
                <w:highlight w:val="none"/>
                <w:u w:val="single"/>
                <w:lang w:eastAsia="zh-CN"/>
              </w:rPr>
              <w:t>月</w:t>
            </w:r>
            <w:r>
              <w:rPr>
                <w:rFonts w:hint="eastAsia" w:ascii="宋体" w:hAnsi="宋体" w:eastAsia="宋体" w:cs="宋体"/>
                <w:color w:val="auto"/>
                <w:sz w:val="24"/>
                <w:szCs w:val="24"/>
                <w:highlight w:val="none"/>
                <w:u w:val="single"/>
                <w:lang w:val="en-US" w:eastAsia="zh-CN"/>
              </w:rPr>
              <w:t>3</w:t>
            </w:r>
            <w:r>
              <w:rPr>
                <w:rFonts w:hint="eastAsia" w:ascii="宋体" w:hAnsi="宋体" w:eastAsia="宋体" w:cs="宋体"/>
                <w:color w:val="auto"/>
                <w:sz w:val="24"/>
                <w:szCs w:val="24"/>
                <w:highlight w:val="none"/>
                <w:u w:val="single"/>
                <w:lang w:eastAsia="zh-CN"/>
              </w:rPr>
              <w:t>日</w:t>
            </w:r>
            <w:r>
              <w:rPr>
                <w:rFonts w:hint="eastAsia" w:ascii="宋体" w:hAnsi="宋体" w:eastAsia="宋体" w:cs="宋体"/>
                <w:color w:val="auto"/>
                <w:sz w:val="24"/>
                <w:szCs w:val="24"/>
                <w:highlight w:val="none"/>
                <w:u w:val="single"/>
                <w:lang w:val="en-US" w:eastAsia="zh-CN"/>
              </w:rPr>
              <w:t>9</w:t>
            </w:r>
            <w:r>
              <w:rPr>
                <w:rFonts w:hint="eastAsia" w:ascii="宋体" w:hAnsi="宋体" w:eastAsia="宋体" w:cs="宋体"/>
                <w:color w:val="auto"/>
                <w:sz w:val="24"/>
                <w:szCs w:val="24"/>
                <w:highlight w:val="none"/>
                <w:u w:val="single"/>
              </w:rPr>
              <w:t>时</w:t>
            </w:r>
            <w:r>
              <w:rPr>
                <w:rFonts w:hint="eastAsia" w:ascii="宋体" w:hAnsi="宋体" w:eastAsia="宋体" w:cs="宋体"/>
                <w:color w:val="auto"/>
                <w:sz w:val="24"/>
                <w:szCs w:val="24"/>
                <w:highlight w:val="none"/>
                <w:u w:val="single"/>
                <w:lang w:val="en-US" w:eastAsia="zh-CN"/>
              </w:rPr>
              <w:t>30</w:t>
            </w:r>
            <w:r>
              <w:rPr>
                <w:rFonts w:hint="eastAsia" w:ascii="宋体" w:hAnsi="宋体" w:eastAsia="宋体" w:cs="宋体"/>
                <w:color w:val="auto"/>
                <w:sz w:val="24"/>
                <w:szCs w:val="24"/>
                <w:highlight w:val="none"/>
                <w:u w:val="single"/>
              </w:rPr>
              <w:t>分</w:t>
            </w:r>
            <w:r>
              <w:rPr>
                <w:rFonts w:hint="eastAsia" w:ascii="宋体" w:hAnsi="宋体" w:eastAsia="宋体" w:cs="宋体"/>
                <w:color w:val="auto"/>
                <w:sz w:val="24"/>
                <w:szCs w:val="24"/>
                <w:highlight w:val="none"/>
              </w:rPr>
              <w:t>（北京时</w:t>
            </w:r>
            <w:r>
              <w:rPr>
                <w:rFonts w:hint="eastAsia" w:ascii="宋体" w:hAnsi="宋体" w:eastAsia="宋体" w:cs="宋体"/>
                <w:color w:val="auto"/>
                <w:sz w:val="24"/>
                <w:szCs w:val="24"/>
              </w:rPr>
              <w:t>间）前提交</w:t>
            </w:r>
            <w:r>
              <w:rPr>
                <w:rFonts w:hint="eastAsia" w:ascii="宋体" w:hAnsi="宋体" w:eastAsia="宋体" w:cs="宋体"/>
                <w:color w:val="auto"/>
                <w:sz w:val="24"/>
                <w:szCs w:val="24"/>
                <w:lang w:val="en-US" w:eastAsia="zh-CN"/>
              </w:rPr>
              <w:t>投标</w:t>
            </w:r>
            <w:r>
              <w:rPr>
                <w:rFonts w:hint="eastAsia" w:ascii="宋体" w:hAnsi="宋体" w:eastAsia="宋体" w:cs="宋体"/>
                <w:color w:val="auto"/>
                <w:sz w:val="24"/>
                <w:szCs w:val="24"/>
              </w:rPr>
              <w:t>文件。</w:t>
            </w:r>
          </w:p>
        </w:tc>
      </w:tr>
    </w:tbl>
    <w:p w14:paraId="69E2DA7B">
      <w:pPr>
        <w:keepNext w:val="0"/>
        <w:keepLines w:val="0"/>
        <w:pageBreakBefore w:val="0"/>
        <w:kinsoku/>
        <w:wordWrap/>
        <w:overflowPunct/>
        <w:topLinePunct w:val="0"/>
        <w:autoSpaceDE/>
        <w:autoSpaceDN/>
        <w:bidi w:val="0"/>
        <w:adjustRightInd/>
        <w:snapToGrid/>
        <w:spacing w:before="195" w:line="360" w:lineRule="auto"/>
        <w:ind w:left="23"/>
        <w:textAlignment w:val="auto"/>
        <w:rPr>
          <w:rFonts w:hint="eastAsia" w:ascii="宋体" w:hAnsi="宋体" w:eastAsia="宋体" w:cs="宋体"/>
          <w:sz w:val="24"/>
          <w:szCs w:val="24"/>
        </w:rPr>
      </w:pPr>
      <w:r>
        <w:rPr>
          <w:rFonts w:hint="eastAsia" w:ascii="宋体" w:hAnsi="宋体" w:eastAsia="宋体" w:cs="宋体"/>
          <w:b/>
          <w:bCs/>
          <w:spacing w:val="-5"/>
          <w:sz w:val="24"/>
          <w:szCs w:val="24"/>
        </w:rPr>
        <w:t>一、项目基本情况</w:t>
      </w:r>
    </w:p>
    <w:p w14:paraId="60041965">
      <w:pPr>
        <w:keepNext w:val="0"/>
        <w:keepLines w:val="0"/>
        <w:pageBreakBefore w:val="0"/>
        <w:widowControl w:val="0"/>
        <w:kinsoku/>
        <w:wordWrap/>
        <w:overflowPunct/>
        <w:topLinePunct w:val="0"/>
        <w:autoSpaceDE/>
        <w:autoSpaceDN/>
        <w:bidi w:val="0"/>
        <w:adjustRightInd/>
        <w:snapToGrid/>
        <w:spacing w:line="360" w:lineRule="auto"/>
        <w:ind w:left="0" w:firstLine="476" w:firstLineChars="200"/>
        <w:textAlignment w:val="auto"/>
        <w:rPr>
          <w:rFonts w:hint="eastAsia" w:ascii="宋体" w:hAnsi="宋体" w:eastAsia="宋体" w:cs="宋体"/>
          <w:spacing w:val="-1"/>
          <w:sz w:val="24"/>
          <w:szCs w:val="24"/>
          <w:lang w:eastAsia="zh-CN"/>
        </w:rPr>
      </w:pPr>
      <w:r>
        <w:rPr>
          <w:rFonts w:hint="eastAsia" w:ascii="宋体" w:hAnsi="宋体" w:eastAsia="宋体" w:cs="宋体"/>
          <w:spacing w:val="-1"/>
          <w:sz w:val="24"/>
          <w:szCs w:val="24"/>
        </w:rPr>
        <w:t>项目编号：</w:t>
      </w:r>
      <w:r>
        <w:rPr>
          <w:rFonts w:hint="eastAsia" w:ascii="宋体" w:hAnsi="宋体" w:eastAsia="宋体" w:cs="宋体"/>
          <w:spacing w:val="-1"/>
          <w:sz w:val="24"/>
          <w:szCs w:val="24"/>
          <w:lang w:eastAsia="zh-CN"/>
        </w:rPr>
        <w:t>JLKCJKCG[2025]30号-01</w:t>
      </w:r>
    </w:p>
    <w:p w14:paraId="1EFBBD50">
      <w:pPr>
        <w:keepNext w:val="0"/>
        <w:keepLines w:val="0"/>
        <w:pageBreakBefore w:val="0"/>
        <w:widowControl w:val="0"/>
        <w:kinsoku/>
        <w:wordWrap/>
        <w:overflowPunct/>
        <w:topLinePunct w:val="0"/>
        <w:autoSpaceDE/>
        <w:autoSpaceDN/>
        <w:bidi w:val="0"/>
        <w:adjustRightInd/>
        <w:snapToGrid/>
        <w:spacing w:line="360" w:lineRule="auto"/>
        <w:ind w:left="0" w:firstLine="476" w:firstLineChars="200"/>
        <w:textAlignment w:val="auto"/>
        <w:rPr>
          <w:rFonts w:hint="eastAsia" w:ascii="宋体" w:hAnsi="宋体" w:eastAsia="宋体" w:cs="宋体"/>
          <w:color w:val="auto"/>
          <w:sz w:val="24"/>
          <w:szCs w:val="24"/>
          <w:lang w:eastAsia="zh-CN"/>
        </w:rPr>
      </w:pPr>
      <w:r>
        <w:rPr>
          <w:rFonts w:hint="eastAsia" w:ascii="宋体" w:hAnsi="宋体" w:eastAsia="宋体" w:cs="宋体"/>
          <w:spacing w:val="-1"/>
          <w:sz w:val="24"/>
          <w:szCs w:val="24"/>
        </w:rPr>
        <w:t>项目名称：</w:t>
      </w:r>
      <w:r>
        <w:rPr>
          <w:rFonts w:hint="eastAsia" w:ascii="宋体" w:hAnsi="宋体" w:eastAsia="宋体" w:cs="宋体"/>
          <w:spacing w:val="-1"/>
          <w:sz w:val="24"/>
          <w:szCs w:val="24"/>
          <w:lang w:eastAsia="zh-CN"/>
        </w:rPr>
        <w:t>长春市宽城区医院异地建设项目、长春市宽城区卫生综合体建设项目医疗家具采购项目</w:t>
      </w:r>
    </w:p>
    <w:p w14:paraId="4D34C3D3">
      <w:pPr>
        <w:keepNext w:val="0"/>
        <w:keepLines w:val="0"/>
        <w:pageBreakBefore w:val="0"/>
        <w:widowControl w:val="0"/>
        <w:kinsoku/>
        <w:wordWrap/>
        <w:overflowPunct/>
        <w:topLinePunct w:val="0"/>
        <w:autoSpaceDE/>
        <w:autoSpaceDN/>
        <w:bidi w:val="0"/>
        <w:adjustRightInd/>
        <w:snapToGrid/>
        <w:spacing w:line="360" w:lineRule="auto"/>
        <w:ind w:left="0" w:firstLine="476"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pacing w:val="-1"/>
          <w:sz w:val="24"/>
          <w:szCs w:val="24"/>
        </w:rPr>
        <w:t>预算金额：4,305,963元</w:t>
      </w:r>
    </w:p>
    <w:p w14:paraId="6A0236F3">
      <w:pPr>
        <w:keepNext w:val="0"/>
        <w:keepLines w:val="0"/>
        <w:pageBreakBefore w:val="0"/>
        <w:widowControl w:val="0"/>
        <w:kinsoku/>
        <w:wordWrap/>
        <w:overflowPunct/>
        <w:topLinePunct w:val="0"/>
        <w:autoSpaceDE/>
        <w:autoSpaceDN/>
        <w:bidi w:val="0"/>
        <w:adjustRightInd/>
        <w:snapToGrid/>
        <w:spacing w:line="360" w:lineRule="auto"/>
        <w:ind w:left="0" w:firstLine="472"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最高限价：4,305,963元</w:t>
      </w:r>
    </w:p>
    <w:p w14:paraId="5F71A4E3">
      <w:pPr>
        <w:keepNext w:val="0"/>
        <w:keepLines w:val="0"/>
        <w:pageBreakBefore w:val="0"/>
        <w:widowControl w:val="0"/>
        <w:kinsoku/>
        <w:wordWrap/>
        <w:overflowPunct/>
        <w:topLinePunct w:val="0"/>
        <w:autoSpaceDE/>
        <w:autoSpaceDN/>
        <w:bidi w:val="0"/>
        <w:adjustRightInd/>
        <w:snapToGrid/>
        <w:spacing w:line="360" w:lineRule="auto"/>
        <w:ind w:left="0" w:firstLine="472" w:firstLineChars="200"/>
        <w:textAlignment w:val="auto"/>
        <w:rPr>
          <w:rFonts w:hint="default"/>
          <w:sz w:val="24"/>
          <w:szCs w:val="24"/>
          <w:highlight w:val="none"/>
          <w:lang w:val="en-US"/>
        </w:rPr>
      </w:pPr>
      <w:r>
        <w:rPr>
          <w:rFonts w:hint="eastAsia" w:ascii="宋体" w:hAnsi="宋体" w:eastAsia="宋体" w:cs="宋体"/>
          <w:spacing w:val="-2"/>
          <w:sz w:val="24"/>
          <w:szCs w:val="24"/>
        </w:rPr>
        <w:t>采购需求</w:t>
      </w:r>
      <w:r>
        <w:rPr>
          <w:rFonts w:hint="eastAsia" w:ascii="宋体" w:hAnsi="宋体" w:eastAsia="宋体" w:cs="宋体"/>
          <w:spacing w:val="-2"/>
          <w:sz w:val="24"/>
          <w:szCs w:val="24"/>
          <w:lang w:eastAsia="zh-CN"/>
        </w:rPr>
        <w:t>：为宽城区医院、宽城区疾控中心(卫生监督所)、宽城区中医院、兰家卫生院新址配备办公桌椅、会议桌椅、资料存储柜等办公类家具;以及门诊、疗区的诊室、药房、病房、公共区域等医疗类家具。</w:t>
      </w:r>
    </w:p>
    <w:p w14:paraId="35C24D3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合同履行期限(交货期限)：合同订立后</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天内交货</w:t>
      </w:r>
      <w:r>
        <w:rPr>
          <w:rFonts w:hint="eastAsia" w:ascii="宋体" w:hAnsi="宋体" w:eastAsia="宋体" w:cs="宋体"/>
          <w:color w:val="auto"/>
          <w:sz w:val="24"/>
          <w:szCs w:val="24"/>
          <w:highlight w:val="none"/>
          <w:lang w:eastAsia="zh-CN"/>
        </w:rPr>
        <w:t>，并安装完毕</w:t>
      </w:r>
      <w:r>
        <w:rPr>
          <w:rFonts w:hint="eastAsia" w:ascii="宋体" w:hAnsi="宋体" w:eastAsia="宋体" w:cs="宋体"/>
          <w:color w:val="auto"/>
          <w:sz w:val="24"/>
          <w:szCs w:val="24"/>
          <w:highlight w:val="none"/>
        </w:rPr>
        <w:t>。</w:t>
      </w:r>
    </w:p>
    <w:p w14:paraId="3684064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交货地点：</w:t>
      </w:r>
      <w:r>
        <w:rPr>
          <w:rFonts w:hint="eastAsia" w:ascii="宋体" w:hAnsi="宋体" w:eastAsia="宋体" w:cs="宋体"/>
          <w:sz w:val="24"/>
          <w:szCs w:val="24"/>
          <w:lang w:val="en-US" w:eastAsia="zh-CN"/>
        </w:rPr>
        <w:t>采购人</w:t>
      </w:r>
      <w:r>
        <w:rPr>
          <w:rFonts w:hint="eastAsia" w:ascii="宋体" w:hAnsi="宋体" w:eastAsia="宋体" w:cs="宋体"/>
          <w:sz w:val="24"/>
          <w:szCs w:val="24"/>
        </w:rPr>
        <w:t xml:space="preserve">指定地点。 </w:t>
      </w:r>
    </w:p>
    <w:p w14:paraId="3BDEA36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本项目不接受联合体投标。</w:t>
      </w:r>
    </w:p>
    <w:p w14:paraId="08BA4A80">
      <w:pPr>
        <w:keepNext w:val="0"/>
        <w:keepLines w:val="0"/>
        <w:pageBreakBefore w:val="0"/>
        <w:kinsoku/>
        <w:wordWrap/>
        <w:overflowPunct/>
        <w:topLinePunct w:val="0"/>
        <w:autoSpaceDE/>
        <w:autoSpaceDN/>
        <w:bidi w:val="0"/>
        <w:adjustRightInd/>
        <w:snapToGrid/>
        <w:spacing w:before="36" w:line="360" w:lineRule="auto"/>
        <w:ind w:left="26"/>
        <w:textAlignment w:val="auto"/>
        <w:rPr>
          <w:rFonts w:hint="eastAsia" w:ascii="宋体" w:hAnsi="宋体" w:eastAsia="宋体" w:cs="宋体"/>
          <w:sz w:val="24"/>
          <w:szCs w:val="24"/>
        </w:rPr>
      </w:pPr>
      <w:r>
        <w:rPr>
          <w:rFonts w:hint="eastAsia" w:ascii="宋体" w:hAnsi="宋体" w:eastAsia="宋体" w:cs="宋体"/>
          <w:b/>
          <w:bCs/>
          <w:spacing w:val="-9"/>
          <w:sz w:val="24"/>
          <w:szCs w:val="24"/>
        </w:rPr>
        <w:t>二、</w:t>
      </w:r>
      <w:r>
        <w:rPr>
          <w:rFonts w:hint="eastAsia" w:ascii="宋体" w:hAnsi="宋体" w:eastAsia="宋体" w:cs="宋体"/>
          <w:spacing w:val="-64"/>
          <w:sz w:val="24"/>
          <w:szCs w:val="24"/>
        </w:rPr>
        <w:t xml:space="preserve"> </w:t>
      </w:r>
      <w:r>
        <w:rPr>
          <w:rFonts w:hint="eastAsia" w:ascii="宋体" w:hAnsi="宋体" w:eastAsia="宋体" w:cs="宋体"/>
          <w:b/>
          <w:bCs/>
          <w:spacing w:val="-9"/>
          <w:sz w:val="24"/>
          <w:szCs w:val="24"/>
        </w:rPr>
        <w:t>申请人的资格要求：</w:t>
      </w:r>
    </w:p>
    <w:p w14:paraId="1D8BFA72">
      <w:pPr>
        <w:keepNext w:val="0"/>
        <w:keepLines w:val="0"/>
        <w:pageBreakBefore w:val="0"/>
        <w:widowControl w:val="0"/>
        <w:kinsoku/>
        <w:wordWrap/>
        <w:overflowPunct/>
        <w:topLinePunct w:val="0"/>
        <w:autoSpaceDE/>
        <w:autoSpaceDN/>
        <w:bidi w:val="0"/>
        <w:adjustRightInd/>
        <w:snapToGrid/>
        <w:spacing w:line="360" w:lineRule="auto"/>
        <w:ind w:left="0" w:right="0" w:firstLine="476" w:firstLineChars="200"/>
        <w:textAlignment w:val="auto"/>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rPr>
        <w:t>1</w:t>
      </w:r>
      <w:r>
        <w:rPr>
          <w:rFonts w:hint="eastAsia" w:ascii="宋体" w:hAnsi="宋体" w:eastAsia="宋体" w:cs="宋体"/>
          <w:sz w:val="24"/>
          <w:szCs w:val="24"/>
          <w:highlight w:val="none"/>
        </w:rPr>
        <w:t>.</w:t>
      </w:r>
      <w:r>
        <w:rPr>
          <w:rFonts w:hint="eastAsia" w:ascii="宋体" w:hAnsi="宋体" w:eastAsia="宋体" w:cs="宋体"/>
          <w:spacing w:val="-1"/>
          <w:sz w:val="24"/>
          <w:szCs w:val="24"/>
          <w:highlight w:val="none"/>
        </w:rPr>
        <w:t xml:space="preserve"> 满足《中华人民共和国政府采购法》第二十二条规定</w:t>
      </w:r>
      <w:r>
        <w:rPr>
          <w:rFonts w:hint="eastAsia" w:ascii="宋体" w:hAnsi="宋体" w:eastAsia="宋体" w:cs="宋体"/>
          <w:spacing w:val="-1"/>
          <w:sz w:val="24"/>
          <w:szCs w:val="24"/>
          <w:highlight w:val="none"/>
          <w:lang w:eastAsia="zh-CN"/>
        </w:rPr>
        <w:t>。</w:t>
      </w:r>
    </w:p>
    <w:p w14:paraId="1B436E6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 落实政府采购政策需满足的资格要求：本</w:t>
      </w:r>
      <w:r>
        <w:rPr>
          <w:rFonts w:hint="eastAsia" w:ascii="宋体" w:hAnsi="宋体" w:eastAsia="宋体" w:cs="宋体"/>
          <w:spacing w:val="-1"/>
          <w:sz w:val="24"/>
          <w:szCs w:val="24"/>
          <w:highlight w:val="none"/>
        </w:rPr>
        <w:t>项目</w:t>
      </w:r>
      <w:r>
        <w:rPr>
          <w:rFonts w:hint="eastAsia" w:ascii="宋体" w:hAnsi="宋体" w:eastAsia="宋体" w:cs="宋体"/>
          <w:spacing w:val="-1"/>
          <w:sz w:val="24"/>
          <w:szCs w:val="24"/>
          <w:highlight w:val="none"/>
          <w:lang w:val="en-US" w:eastAsia="zh-CN"/>
        </w:rPr>
        <w:t>非</w:t>
      </w:r>
      <w:r>
        <w:rPr>
          <w:rFonts w:hint="eastAsia" w:ascii="宋体" w:hAnsi="宋体" w:eastAsia="宋体" w:cs="宋体"/>
          <w:spacing w:val="-1"/>
          <w:sz w:val="24"/>
          <w:szCs w:val="24"/>
          <w:highlight w:val="none"/>
        </w:rPr>
        <w:t>专门面向中小企业</w:t>
      </w:r>
      <w:r>
        <w:rPr>
          <w:rFonts w:hint="eastAsia" w:ascii="宋体" w:hAnsi="宋体" w:eastAsia="宋体" w:cs="宋体"/>
          <w:spacing w:val="-1"/>
          <w:sz w:val="24"/>
          <w:szCs w:val="24"/>
          <w:highlight w:val="none"/>
          <w:lang w:eastAsia="zh-CN"/>
        </w:rPr>
        <w:t>，</w:t>
      </w:r>
      <w:r>
        <w:rPr>
          <w:rFonts w:hint="eastAsia" w:ascii="宋体" w:hAnsi="宋体" w:eastAsia="宋体" w:cs="宋体"/>
          <w:spacing w:val="-1"/>
          <w:sz w:val="24"/>
          <w:szCs w:val="24"/>
          <w:highlight w:val="none"/>
          <w:lang w:val="en-US" w:eastAsia="zh-CN"/>
        </w:rPr>
        <w:t>（本项目中小企业划分标准所属行业：工业）</w:t>
      </w:r>
      <w:r>
        <w:rPr>
          <w:rFonts w:hint="eastAsia" w:ascii="宋体" w:hAnsi="宋体" w:eastAsia="宋体" w:cs="宋体"/>
          <w:spacing w:val="-1"/>
          <w:sz w:val="24"/>
          <w:szCs w:val="24"/>
          <w:highlight w:val="none"/>
          <w:lang w:eastAsia="zh-CN"/>
        </w:rPr>
        <w:t>。</w:t>
      </w:r>
    </w:p>
    <w:p w14:paraId="61E0E0A1">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3.本项目的特定资格要求：</w:t>
      </w:r>
    </w:p>
    <w:p w14:paraId="6E396CB0">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3.1投标申请人须在中华人民共和国境内注册，具有独立承担民事责任能力的法人、自然人或具备国家认可经营资格的其他组织，并在人员、设备、资金等方面具有相应的供货能力</w:t>
      </w:r>
      <w:r>
        <w:rPr>
          <w:rFonts w:hint="eastAsia" w:ascii="宋体" w:hAnsi="宋体" w:eastAsia="宋体" w:cs="宋体"/>
          <w:sz w:val="24"/>
          <w:szCs w:val="24"/>
          <w:highlight w:val="none"/>
          <w:lang w:eastAsia="zh-CN"/>
        </w:rPr>
        <w:t>；</w:t>
      </w:r>
    </w:p>
    <w:p w14:paraId="37E676D4">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3.2</w:t>
      </w:r>
      <w:r>
        <w:rPr>
          <w:rFonts w:hint="eastAsia" w:ascii="宋体" w:hAnsi="宋体" w:eastAsia="宋体" w:cs="宋体"/>
          <w:color w:val="000000" w:themeColor="text1"/>
          <w:sz w:val="24"/>
          <w:szCs w:val="24"/>
          <w14:textFill>
            <w14:solidFill>
              <w14:schemeClr w14:val="tx1"/>
            </w14:solidFill>
          </w14:textFill>
        </w:rPr>
        <w:t>具有良好的商业信誉和健全的财务会计制度，依法缴纳税收和社会保障资金的良好记录，根据[长财采购[2022]2066号文件]关于加强政府采购信用体系建设简化</w:t>
      </w:r>
      <w:r>
        <w:rPr>
          <w:rFonts w:hint="eastAsia" w:ascii="宋体" w:hAnsi="宋体" w:eastAsia="宋体" w:cs="宋体"/>
          <w:color w:val="000000" w:themeColor="text1"/>
          <w:sz w:val="24"/>
          <w:szCs w:val="24"/>
          <w:lang w:eastAsia="zh-CN"/>
          <w14:textFill>
            <w14:solidFill>
              <w14:schemeClr w14:val="tx1"/>
            </w14:solidFill>
          </w14:textFill>
        </w:rPr>
        <w:t>投标人</w:t>
      </w:r>
      <w:r>
        <w:rPr>
          <w:rFonts w:hint="eastAsia" w:ascii="宋体" w:hAnsi="宋体" w:eastAsia="宋体" w:cs="宋体"/>
          <w:color w:val="000000" w:themeColor="text1"/>
          <w:sz w:val="24"/>
          <w:szCs w:val="24"/>
          <w14:textFill>
            <w14:solidFill>
              <w14:schemeClr w14:val="tx1"/>
            </w14:solidFill>
          </w14:textFill>
        </w:rPr>
        <w:t>资格条件有关事项的通知提供资格条件承诺函</w:t>
      </w:r>
      <w:r>
        <w:rPr>
          <w:rFonts w:hint="eastAsia" w:ascii="宋体" w:hAnsi="宋体" w:eastAsia="宋体" w:cs="宋体"/>
          <w:color w:val="000000" w:themeColor="text1"/>
          <w:sz w:val="24"/>
          <w:szCs w:val="24"/>
          <w:lang w:eastAsia="zh-CN"/>
          <w14:textFill>
            <w14:solidFill>
              <w14:schemeClr w14:val="tx1"/>
            </w14:solidFill>
          </w14:textFill>
        </w:rPr>
        <w:t>；</w:t>
      </w:r>
    </w:p>
    <w:p w14:paraId="72D1518D">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3.3参加本次采购活动前三年内，在经营活动中没有重大违法记录。不接受被政府列入取消投标资格及行业不良行为记录期限内的企业或个人参加投标</w:t>
      </w:r>
      <w:r>
        <w:rPr>
          <w:rFonts w:hint="eastAsia" w:ascii="宋体" w:hAnsi="宋体" w:eastAsia="宋体" w:cs="宋体"/>
          <w:sz w:val="24"/>
          <w:szCs w:val="24"/>
          <w:highlight w:val="none"/>
          <w:lang w:eastAsia="zh-CN"/>
        </w:rPr>
        <w:t>；</w:t>
      </w:r>
    </w:p>
    <w:p w14:paraId="0EC47BF0">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3.4投标人近三年（2022年至投标截止日）不得为“中国政府采购网”政府采购严重违法失信行为记录名单中被财政部门禁止参加政府采购活动的投标人（在处罚决定规定的时间和地域范围内）（详见财[2016]125 号文）；不得为“信用中国”网站（www.creditchina.gov.cn）中列入失信被执行人和重大税收违法失信主体名单的投标人；不得为工商行政管理机关在“国家企业信用信息公示系统”中列入严重违法失信企业名单；投标人</w:t>
      </w:r>
      <w:r>
        <w:rPr>
          <w:rFonts w:hint="eastAsia" w:ascii="宋体" w:hAnsi="宋体" w:eastAsia="宋体" w:cs="宋体"/>
          <w:color w:val="auto"/>
          <w:sz w:val="24"/>
          <w:szCs w:val="24"/>
          <w:highlight w:val="none"/>
          <w:lang w:val="en-US" w:eastAsia="zh-CN"/>
        </w:rPr>
        <w:t>须</w:t>
      </w:r>
      <w:r>
        <w:rPr>
          <w:rFonts w:hint="eastAsia" w:ascii="宋体" w:hAnsi="宋体" w:eastAsia="宋体" w:cs="宋体"/>
          <w:sz w:val="24"/>
          <w:szCs w:val="24"/>
          <w:highlight w:val="none"/>
          <w:lang w:val="en-US" w:eastAsia="zh-CN"/>
        </w:rPr>
        <w:t>在“中国裁判文书网”自行查询本公司近三年内无行贿行为记录；</w:t>
      </w:r>
    </w:p>
    <w:p w14:paraId="4323214D">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3.5</w:t>
      </w:r>
      <w:r>
        <w:rPr>
          <w:rFonts w:hint="eastAsia" w:ascii="宋体" w:hAnsi="宋体" w:eastAsia="宋体" w:cs="宋体"/>
          <w:sz w:val="24"/>
          <w:szCs w:val="24"/>
          <w:highlight w:val="none"/>
          <w:lang w:eastAsia="zh-CN"/>
        </w:rPr>
        <w:t>与招标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法定代表人为同一人的两个及两个以上的法人，母公司与全资子公司/由其控股的子公司不得同时参与本项目；</w:t>
      </w:r>
    </w:p>
    <w:p w14:paraId="60D82F5B">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3.6</w:t>
      </w:r>
      <w:r>
        <w:rPr>
          <w:rFonts w:hint="eastAsia" w:ascii="宋体" w:hAnsi="宋体" w:eastAsia="宋体" w:cs="宋体"/>
          <w:sz w:val="24"/>
          <w:szCs w:val="24"/>
          <w:highlight w:val="none"/>
          <w:lang w:eastAsia="zh-CN"/>
        </w:rPr>
        <w:t>本项目不接受联合体投标。</w:t>
      </w:r>
    </w:p>
    <w:p w14:paraId="64AA38CA">
      <w:pPr>
        <w:keepNext w:val="0"/>
        <w:keepLines w:val="0"/>
        <w:pageBreakBefore w:val="0"/>
        <w:kinsoku/>
        <w:wordWrap/>
        <w:overflowPunct/>
        <w:topLinePunct w:val="0"/>
        <w:autoSpaceDE/>
        <w:autoSpaceDN/>
        <w:bidi w:val="0"/>
        <w:adjustRightInd/>
        <w:snapToGrid/>
        <w:spacing w:before="36" w:line="360" w:lineRule="auto"/>
        <w:ind w:left="26"/>
        <w:textAlignment w:val="auto"/>
        <w:rPr>
          <w:rFonts w:hint="eastAsia" w:ascii="宋体" w:hAnsi="宋体" w:eastAsia="宋体" w:cs="宋体"/>
          <w:b/>
          <w:bCs/>
          <w:spacing w:val="-9"/>
          <w:sz w:val="24"/>
          <w:szCs w:val="24"/>
          <w:highlight w:val="none"/>
        </w:rPr>
      </w:pPr>
      <w:r>
        <w:rPr>
          <w:rFonts w:hint="eastAsia" w:ascii="宋体" w:hAnsi="宋体" w:eastAsia="宋体" w:cs="宋体"/>
          <w:b/>
          <w:bCs/>
          <w:spacing w:val="-9"/>
          <w:sz w:val="24"/>
          <w:szCs w:val="24"/>
        </w:rPr>
        <w:t>三、获取招标</w:t>
      </w:r>
      <w:r>
        <w:rPr>
          <w:rFonts w:hint="eastAsia" w:ascii="宋体" w:hAnsi="宋体" w:eastAsia="宋体" w:cs="宋体"/>
          <w:b/>
          <w:bCs/>
          <w:spacing w:val="-9"/>
          <w:sz w:val="24"/>
          <w:szCs w:val="24"/>
          <w:highlight w:val="none"/>
        </w:rPr>
        <w:t>文件的时间、地点、方式及招标文件售价</w:t>
      </w:r>
    </w:p>
    <w:p w14:paraId="54BF098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日至202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19</w:t>
      </w:r>
      <w:r>
        <w:rPr>
          <w:rFonts w:hint="eastAsia" w:ascii="宋体" w:hAnsi="宋体" w:eastAsia="宋体" w:cs="宋体"/>
          <w:color w:val="auto"/>
          <w:sz w:val="24"/>
          <w:szCs w:val="24"/>
          <w:highlight w:val="none"/>
        </w:rPr>
        <w:t>日08：30至16：00（北京时间，法定节假日除外）。</w:t>
      </w:r>
    </w:p>
    <w:p w14:paraId="154728D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地点：政府采购云平台（网址：http:// www.zcygov.cn）</w:t>
      </w:r>
      <w:r>
        <w:rPr>
          <w:rFonts w:hint="eastAsia" w:ascii="宋体" w:hAnsi="宋体" w:eastAsia="宋体" w:cs="宋体"/>
          <w:color w:val="auto"/>
          <w:sz w:val="24"/>
          <w:szCs w:val="24"/>
          <w:highlight w:val="none"/>
          <w:lang w:val="zh-CN"/>
        </w:rPr>
        <w:t>。</w:t>
      </w:r>
    </w:p>
    <w:p w14:paraId="2C023EF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rPr>
        <w:t>方式：潜在</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可自行在“政采云”平台（网址：http：//www.zcygov.cn）下载</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（操作路径：登录“政采云”平台-项目采购-获取采购文件-找到本项目-点击“申请获取采购文件”），其他途径获取的采购文件开标时一律按无效投标处理</w:t>
      </w:r>
      <w:r>
        <w:rPr>
          <w:rFonts w:hint="eastAsia" w:ascii="宋体" w:hAnsi="宋体" w:eastAsia="宋体" w:cs="宋体"/>
          <w:color w:val="auto"/>
          <w:sz w:val="24"/>
          <w:szCs w:val="24"/>
          <w:highlight w:val="none"/>
          <w:lang w:eastAsia="zh-CN"/>
        </w:rPr>
        <w:t>。</w:t>
      </w:r>
    </w:p>
    <w:p w14:paraId="66C1CEB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未进行网上注册并办理CA认证的</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将无法参与本次招标活动。</w:t>
      </w:r>
    </w:p>
    <w:p w14:paraId="1D3F398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售价：0元。</w:t>
      </w:r>
    </w:p>
    <w:p w14:paraId="77BD6E30">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eastAsia" w:ascii="宋体" w:hAnsi="宋体" w:eastAsia="宋体" w:cs="宋体"/>
          <w:b/>
          <w:bCs/>
          <w:color w:val="auto"/>
          <w:spacing w:val="-9"/>
          <w:sz w:val="24"/>
          <w:szCs w:val="24"/>
          <w:highlight w:val="none"/>
        </w:rPr>
      </w:pPr>
      <w:r>
        <w:rPr>
          <w:rFonts w:hint="eastAsia" w:ascii="宋体" w:hAnsi="宋体" w:eastAsia="宋体" w:cs="宋体"/>
          <w:b/>
          <w:bCs/>
          <w:color w:val="auto"/>
          <w:spacing w:val="-9"/>
          <w:sz w:val="24"/>
          <w:szCs w:val="24"/>
          <w:highlight w:val="none"/>
        </w:rPr>
        <w:t>四、提交投标文件截止时间、开标时间和地点</w:t>
      </w:r>
    </w:p>
    <w:p w14:paraId="2987A90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highlight w:val="none"/>
        </w:rPr>
        <w:t>提交投标文件截止时间、开标时间：202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none"/>
          <w:lang w:val="en-US" w:eastAsia="zh-CN"/>
        </w:rPr>
        <w:t>9</w:t>
      </w:r>
      <w:r>
        <w:rPr>
          <w:rFonts w:hint="eastAsia" w:ascii="宋体" w:hAnsi="宋体" w:eastAsia="宋体" w:cs="宋体"/>
          <w:color w:val="auto"/>
          <w:sz w:val="24"/>
          <w:szCs w:val="24"/>
          <w:highlight w:val="none"/>
          <w:u w:val="none"/>
        </w:rPr>
        <w:t>点</w:t>
      </w:r>
      <w:r>
        <w:rPr>
          <w:rFonts w:hint="eastAsia" w:ascii="宋体" w:hAnsi="宋体" w:eastAsia="宋体" w:cs="宋体"/>
          <w:color w:val="auto"/>
          <w:sz w:val="24"/>
          <w:szCs w:val="24"/>
          <w:highlight w:val="none"/>
          <w:u w:val="none"/>
          <w:lang w:val="en-US" w:eastAsia="zh-CN"/>
        </w:rPr>
        <w:t>3</w:t>
      </w:r>
      <w:r>
        <w:rPr>
          <w:rFonts w:hint="eastAsia" w:ascii="宋体" w:hAnsi="宋体" w:eastAsia="宋体" w:cs="宋体"/>
          <w:color w:val="auto"/>
          <w:sz w:val="24"/>
          <w:szCs w:val="24"/>
          <w:highlight w:val="none"/>
          <w:u w:val="none"/>
        </w:rPr>
        <w:t>0分</w:t>
      </w:r>
      <w:r>
        <w:rPr>
          <w:rFonts w:hint="eastAsia" w:ascii="宋体" w:hAnsi="宋体" w:eastAsia="宋体" w:cs="宋体"/>
          <w:color w:val="auto"/>
          <w:sz w:val="24"/>
          <w:szCs w:val="24"/>
          <w:highlight w:val="none"/>
        </w:rPr>
        <w:t>（北京</w:t>
      </w:r>
      <w:r>
        <w:rPr>
          <w:rFonts w:hint="eastAsia" w:ascii="宋体" w:hAnsi="宋体" w:eastAsia="宋体" w:cs="宋体"/>
          <w:color w:val="auto"/>
          <w:sz w:val="24"/>
          <w:szCs w:val="24"/>
        </w:rPr>
        <w:t>时间）。</w:t>
      </w:r>
    </w:p>
    <w:p w14:paraId="66AB593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地点：</w:t>
      </w:r>
      <w:r>
        <w:rPr>
          <w:rFonts w:hint="eastAsia" w:ascii="宋体" w:hAnsi="宋体" w:eastAsia="宋体" w:cs="宋体"/>
          <w:color w:val="auto"/>
          <w:sz w:val="24"/>
          <w:szCs w:val="24"/>
          <w:highlight w:val="none"/>
          <w:lang w:val="zh-CN"/>
        </w:rPr>
        <w:t>长春市高新区鸿达街吉林日报副楼4楼吉利招第三开标室。</w:t>
      </w:r>
    </w:p>
    <w:p w14:paraId="6B285B9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投标</w:t>
      </w:r>
      <w:r>
        <w:rPr>
          <w:rFonts w:hint="eastAsia" w:ascii="宋体" w:hAnsi="宋体" w:eastAsia="宋体" w:cs="宋体"/>
          <w:sz w:val="24"/>
          <w:szCs w:val="24"/>
        </w:rPr>
        <w:t>文件提交方式：本项目为全流程电子化项目，通过“政采云 ”平台（http：//www.zcygov.cn）实行在线电子投标，</w:t>
      </w:r>
      <w:r>
        <w:rPr>
          <w:rFonts w:hint="eastAsia" w:ascii="宋体" w:hAnsi="宋体" w:eastAsia="宋体" w:cs="宋体"/>
          <w:sz w:val="24"/>
          <w:szCs w:val="24"/>
          <w:lang w:eastAsia="zh-CN"/>
        </w:rPr>
        <w:t>投标人</w:t>
      </w:r>
      <w:r>
        <w:rPr>
          <w:rFonts w:hint="eastAsia" w:ascii="宋体" w:hAnsi="宋体" w:eastAsia="宋体" w:cs="宋体"/>
          <w:sz w:val="24"/>
          <w:szCs w:val="24"/>
        </w:rPr>
        <w:t>应先安装“政采云投标客户端 ”（请自行前往“政采云 ”平台进行下载），并按照本项目</w:t>
      </w:r>
      <w:r>
        <w:rPr>
          <w:rFonts w:hint="eastAsia" w:ascii="宋体" w:hAnsi="宋体" w:eastAsia="宋体" w:cs="宋体"/>
          <w:sz w:val="24"/>
          <w:szCs w:val="24"/>
          <w:lang w:val="en-US" w:eastAsia="zh-CN"/>
        </w:rPr>
        <w:t>采购</w:t>
      </w:r>
      <w:r>
        <w:rPr>
          <w:rFonts w:hint="eastAsia" w:ascii="宋体" w:hAnsi="宋体" w:eastAsia="宋体" w:cs="宋体"/>
          <w:sz w:val="24"/>
          <w:szCs w:val="24"/>
        </w:rPr>
        <w:t>文件和“政采云 ”平台的要求编制、加密后在</w:t>
      </w:r>
      <w:r>
        <w:rPr>
          <w:rFonts w:hint="eastAsia" w:ascii="宋体" w:hAnsi="宋体" w:eastAsia="宋体" w:cs="宋体"/>
          <w:sz w:val="24"/>
          <w:szCs w:val="24"/>
          <w:lang w:val="en-US" w:eastAsia="zh-CN"/>
        </w:rPr>
        <w:t>投标</w:t>
      </w:r>
      <w:r>
        <w:rPr>
          <w:rFonts w:hint="eastAsia" w:ascii="宋体" w:hAnsi="宋体" w:eastAsia="宋体" w:cs="宋体"/>
          <w:sz w:val="24"/>
          <w:szCs w:val="24"/>
        </w:rPr>
        <w:t>文件截止时间前通过网络上传至“政采云”平台，</w:t>
      </w:r>
      <w:r>
        <w:rPr>
          <w:rFonts w:hint="eastAsia" w:ascii="宋体" w:hAnsi="宋体" w:eastAsia="宋体" w:cs="宋体"/>
          <w:sz w:val="24"/>
          <w:szCs w:val="24"/>
          <w:lang w:eastAsia="zh-CN"/>
        </w:rPr>
        <w:t>投标人</w:t>
      </w:r>
      <w:r>
        <w:rPr>
          <w:rFonts w:hint="eastAsia" w:ascii="宋体" w:hAnsi="宋体" w:eastAsia="宋体" w:cs="宋体"/>
          <w:sz w:val="24"/>
          <w:szCs w:val="24"/>
        </w:rPr>
        <w:t>在“政采云 ”平台提交电子版</w:t>
      </w:r>
      <w:r>
        <w:rPr>
          <w:rFonts w:hint="eastAsia" w:ascii="宋体" w:hAnsi="宋体" w:eastAsia="宋体" w:cs="宋体"/>
          <w:sz w:val="24"/>
          <w:szCs w:val="24"/>
          <w:lang w:val="en-US" w:eastAsia="zh-CN"/>
        </w:rPr>
        <w:t>投标</w:t>
      </w:r>
      <w:r>
        <w:rPr>
          <w:rFonts w:hint="eastAsia" w:ascii="宋体" w:hAnsi="宋体" w:eastAsia="宋体" w:cs="宋体"/>
          <w:sz w:val="24"/>
          <w:szCs w:val="24"/>
        </w:rPr>
        <w:t>文件时，请填写参加采购活动经办人联系方式。</w:t>
      </w:r>
    </w:p>
    <w:p w14:paraId="73A6FDDB">
      <w:pPr>
        <w:keepNext w:val="0"/>
        <w:keepLines w:val="0"/>
        <w:pageBreakBefore w:val="0"/>
        <w:kinsoku/>
        <w:wordWrap/>
        <w:overflowPunct/>
        <w:topLinePunct w:val="0"/>
        <w:autoSpaceDE/>
        <w:autoSpaceDN/>
        <w:bidi w:val="0"/>
        <w:adjustRightInd/>
        <w:snapToGrid/>
        <w:spacing w:before="36" w:line="360" w:lineRule="auto"/>
        <w:ind w:left="26"/>
        <w:textAlignment w:val="auto"/>
        <w:rPr>
          <w:rFonts w:hint="eastAsia" w:ascii="宋体" w:hAnsi="宋体" w:eastAsia="宋体" w:cs="宋体"/>
          <w:b/>
          <w:bCs/>
          <w:spacing w:val="-9"/>
          <w:sz w:val="24"/>
          <w:szCs w:val="24"/>
        </w:rPr>
      </w:pPr>
      <w:r>
        <w:rPr>
          <w:rFonts w:hint="eastAsia" w:ascii="宋体" w:hAnsi="宋体" w:eastAsia="宋体" w:cs="宋体"/>
          <w:b/>
          <w:bCs/>
          <w:spacing w:val="-9"/>
          <w:sz w:val="24"/>
          <w:szCs w:val="24"/>
        </w:rPr>
        <w:t>五、公告期限</w:t>
      </w:r>
    </w:p>
    <w:p w14:paraId="65D37D5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自本公告发布之日起 5 个工作日。</w:t>
      </w:r>
    </w:p>
    <w:p w14:paraId="0D54C2B0">
      <w:pPr>
        <w:keepNext w:val="0"/>
        <w:keepLines w:val="0"/>
        <w:pageBreakBefore w:val="0"/>
        <w:kinsoku/>
        <w:wordWrap/>
        <w:overflowPunct/>
        <w:topLinePunct w:val="0"/>
        <w:autoSpaceDE/>
        <w:autoSpaceDN/>
        <w:bidi w:val="0"/>
        <w:adjustRightInd/>
        <w:snapToGrid/>
        <w:spacing w:before="36" w:line="360" w:lineRule="auto"/>
        <w:ind w:left="26"/>
        <w:textAlignment w:val="auto"/>
        <w:rPr>
          <w:rFonts w:hint="eastAsia" w:ascii="宋体" w:hAnsi="宋体" w:eastAsia="宋体" w:cs="宋体"/>
          <w:b/>
          <w:bCs/>
          <w:spacing w:val="-9"/>
          <w:sz w:val="24"/>
          <w:szCs w:val="24"/>
        </w:rPr>
      </w:pPr>
      <w:r>
        <w:rPr>
          <w:rFonts w:hint="eastAsia" w:ascii="宋体" w:hAnsi="宋体" w:eastAsia="宋体" w:cs="宋体"/>
          <w:b/>
          <w:bCs/>
          <w:spacing w:val="-9"/>
          <w:sz w:val="24"/>
          <w:szCs w:val="24"/>
        </w:rPr>
        <w:t>六、其他补充事宜</w:t>
      </w:r>
    </w:p>
    <w:p w14:paraId="6E8AFAB4">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hAnsi="宋体" w:eastAsia="宋体" w:cs="宋体"/>
          <w:sz w:val="24"/>
          <w:szCs w:val="24"/>
          <w:lang w:val="en-US" w:eastAsia="zh-CN"/>
        </w:rPr>
        <w:t>6</w:t>
      </w:r>
      <w:r>
        <w:rPr>
          <w:rFonts w:hint="eastAsia" w:ascii="宋体" w:hAnsi="宋体" w:eastAsia="宋体" w:cs="宋体"/>
          <w:sz w:val="24"/>
          <w:szCs w:val="24"/>
        </w:rPr>
        <w:t xml:space="preserve">.1 </w:t>
      </w:r>
      <w:r>
        <w:rPr>
          <w:rFonts w:hint="eastAsia" w:ascii="宋体" w:hAnsi="宋体" w:eastAsia="宋体" w:cs="宋体"/>
          <w:sz w:val="24"/>
          <w:szCs w:val="24"/>
          <w:highlight w:val="none"/>
          <w:lang w:val="en-US" w:eastAsia="zh-CN"/>
        </w:rPr>
        <w:t>逾期送达的或者未送达指定地点的投标文件，采购人、采购代理机构不予受理。</w:t>
      </w:r>
    </w:p>
    <w:p w14:paraId="28A00816">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宋体" w:hAnsi="宋体" w:eastAsia="宋体" w:cs="宋体"/>
          <w:sz w:val="24"/>
          <w:szCs w:val="24"/>
          <w:highlight w:val="none"/>
          <w:lang w:val="zh-CN"/>
        </w:rPr>
      </w:pPr>
      <w:r>
        <w:rPr>
          <w:rFonts w:hint="eastAsia" w:hAnsi="宋体" w:eastAsia="宋体" w:cs="宋体"/>
          <w:sz w:val="24"/>
          <w:szCs w:val="24"/>
          <w:lang w:val="en-US" w:eastAsia="zh-CN"/>
        </w:rPr>
        <w:t>6</w:t>
      </w:r>
      <w:r>
        <w:rPr>
          <w:rFonts w:hint="eastAsia" w:ascii="宋体" w:hAnsi="宋体" w:eastAsia="宋体" w:cs="宋体"/>
          <w:sz w:val="24"/>
          <w:szCs w:val="24"/>
        </w:rPr>
        <w:t>.</w:t>
      </w:r>
      <w:r>
        <w:rPr>
          <w:rFonts w:hint="eastAsia" w:hAnsi="宋体" w:eastAsia="宋体" w:cs="宋体"/>
          <w:sz w:val="24"/>
          <w:szCs w:val="24"/>
          <w:lang w:val="en-US" w:eastAsia="zh-CN"/>
        </w:rPr>
        <w:t>2</w:t>
      </w:r>
      <w:r>
        <w:rPr>
          <w:rFonts w:hint="eastAsia" w:ascii="宋体" w:hAnsi="宋体" w:eastAsia="宋体" w:cs="宋体"/>
          <w:sz w:val="24"/>
          <w:szCs w:val="24"/>
        </w:rPr>
        <w:t xml:space="preserve"> </w:t>
      </w:r>
      <w:r>
        <w:rPr>
          <w:rFonts w:hint="eastAsia" w:ascii="宋体" w:hAnsi="宋体" w:eastAsia="宋体" w:cs="宋体"/>
          <w:sz w:val="24"/>
          <w:szCs w:val="24"/>
          <w:highlight w:val="none"/>
          <w:lang w:val="zh-CN"/>
        </w:rPr>
        <w:t>本项目采用全流程电子化招投标，开标方式为远程开标，</w:t>
      </w:r>
      <w:r>
        <w:rPr>
          <w:rFonts w:hint="eastAsia" w:hAnsi="宋体" w:eastAsia="宋体" w:cs="宋体"/>
          <w:sz w:val="24"/>
          <w:szCs w:val="24"/>
          <w:highlight w:val="none"/>
          <w:lang w:val="zh-CN"/>
        </w:rPr>
        <w:t>投标人</w:t>
      </w:r>
      <w:r>
        <w:rPr>
          <w:rFonts w:hint="eastAsia" w:ascii="宋体" w:hAnsi="宋体" w:eastAsia="宋体" w:cs="宋体"/>
          <w:sz w:val="24"/>
          <w:szCs w:val="24"/>
          <w:highlight w:val="none"/>
          <w:lang w:val="zh-CN"/>
        </w:rPr>
        <w:t>须在提交</w:t>
      </w:r>
      <w:r>
        <w:rPr>
          <w:rFonts w:hint="eastAsia" w:ascii="宋体" w:hAnsi="宋体" w:eastAsia="宋体" w:cs="宋体"/>
          <w:sz w:val="24"/>
          <w:szCs w:val="24"/>
          <w:highlight w:val="none"/>
          <w:lang w:val="en-US" w:eastAsia="zh-CN"/>
        </w:rPr>
        <w:t>投标</w:t>
      </w:r>
      <w:r>
        <w:rPr>
          <w:rFonts w:hint="eastAsia" w:ascii="宋体" w:hAnsi="宋体" w:eastAsia="宋体" w:cs="宋体"/>
          <w:sz w:val="24"/>
          <w:szCs w:val="24"/>
          <w:highlight w:val="none"/>
          <w:lang w:val="zh-CN"/>
        </w:rPr>
        <w:t>文件截止时间前通过政府采购云平台（网址：http://www.zcygov.cn）递交电子</w:t>
      </w:r>
      <w:r>
        <w:rPr>
          <w:rFonts w:hint="eastAsia" w:ascii="宋体" w:hAnsi="宋体" w:eastAsia="宋体" w:cs="宋体"/>
          <w:sz w:val="24"/>
          <w:szCs w:val="24"/>
          <w:highlight w:val="none"/>
          <w:lang w:val="en-US" w:eastAsia="zh-CN"/>
        </w:rPr>
        <w:t>投标</w:t>
      </w:r>
      <w:r>
        <w:rPr>
          <w:rFonts w:hint="eastAsia" w:ascii="宋体" w:hAnsi="宋体" w:eastAsia="宋体" w:cs="宋体"/>
          <w:sz w:val="24"/>
          <w:szCs w:val="24"/>
          <w:highlight w:val="none"/>
          <w:lang w:val="zh-CN"/>
        </w:rPr>
        <w:t>文件，并使用CA锁进行投标文件远程解密。</w:t>
      </w:r>
    </w:p>
    <w:p w14:paraId="3F97B8DB">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宋体" w:hAnsi="宋体" w:eastAsia="宋体" w:cs="宋体"/>
          <w:sz w:val="24"/>
          <w:szCs w:val="24"/>
          <w:highlight w:val="none"/>
          <w:lang w:val="zh-CN"/>
        </w:rPr>
      </w:pPr>
      <w:r>
        <w:rPr>
          <w:rFonts w:hint="eastAsia" w:hAnsi="宋体" w:eastAsia="宋体" w:cs="宋体"/>
          <w:sz w:val="24"/>
          <w:szCs w:val="24"/>
          <w:lang w:val="en-US" w:eastAsia="zh-CN"/>
        </w:rPr>
        <w:t>6</w:t>
      </w:r>
      <w:r>
        <w:rPr>
          <w:rFonts w:hint="eastAsia" w:ascii="宋体" w:hAnsi="宋体" w:eastAsia="宋体" w:cs="宋体"/>
          <w:sz w:val="24"/>
          <w:szCs w:val="24"/>
        </w:rPr>
        <w:t>.</w:t>
      </w:r>
      <w:r>
        <w:rPr>
          <w:rFonts w:hint="eastAsia" w:hAnsi="宋体" w:eastAsia="宋体" w:cs="宋体"/>
          <w:sz w:val="24"/>
          <w:szCs w:val="24"/>
          <w:lang w:val="en-US" w:eastAsia="zh-CN"/>
        </w:rPr>
        <w:t>3</w:t>
      </w:r>
      <w:r>
        <w:rPr>
          <w:rFonts w:hint="eastAsia" w:ascii="宋体" w:hAnsi="宋体" w:eastAsia="宋体" w:cs="宋体"/>
          <w:sz w:val="24"/>
          <w:szCs w:val="24"/>
        </w:rPr>
        <w:t xml:space="preserve"> </w:t>
      </w:r>
      <w:r>
        <w:rPr>
          <w:rFonts w:hint="eastAsia" w:ascii="宋体" w:hAnsi="宋体" w:eastAsia="宋体" w:cs="宋体"/>
          <w:sz w:val="24"/>
          <w:szCs w:val="24"/>
          <w:highlight w:val="none"/>
          <w:lang w:val="zh-CN"/>
        </w:rPr>
        <w:t>投标操作流程：</w:t>
      </w:r>
      <w:r>
        <w:rPr>
          <w:rFonts w:hint="eastAsia" w:hAnsi="宋体" w:eastAsia="宋体" w:cs="宋体"/>
          <w:sz w:val="24"/>
          <w:szCs w:val="24"/>
          <w:highlight w:val="none"/>
          <w:lang w:val="zh-CN"/>
        </w:rPr>
        <w:t>投标人</w:t>
      </w:r>
      <w:r>
        <w:rPr>
          <w:rFonts w:hint="eastAsia" w:ascii="宋体" w:hAnsi="宋体" w:eastAsia="宋体" w:cs="宋体"/>
          <w:sz w:val="24"/>
          <w:szCs w:val="24"/>
          <w:highlight w:val="none"/>
          <w:lang w:val="zh-CN"/>
        </w:rPr>
        <w:t>在政府采购云平台网注册入库成为正式</w:t>
      </w:r>
      <w:r>
        <w:rPr>
          <w:rFonts w:hint="eastAsia" w:hAnsi="宋体" w:eastAsia="宋体" w:cs="宋体"/>
          <w:sz w:val="24"/>
          <w:szCs w:val="24"/>
          <w:highlight w:val="none"/>
          <w:lang w:val="zh-CN"/>
        </w:rPr>
        <w:t>投标人</w:t>
      </w:r>
      <w:r>
        <w:rPr>
          <w:rFonts w:hint="eastAsia" w:ascii="宋体" w:hAnsi="宋体" w:eastAsia="宋体" w:cs="宋体"/>
          <w:sz w:val="24"/>
          <w:szCs w:val="24"/>
          <w:highlight w:val="none"/>
          <w:lang w:val="zh-CN"/>
        </w:rPr>
        <w:t>后，在平台上按《政府采购项目电子交易管理操作指南-</w:t>
      </w:r>
      <w:r>
        <w:rPr>
          <w:rFonts w:hint="eastAsia" w:hAnsi="宋体" w:eastAsia="宋体" w:cs="宋体"/>
          <w:sz w:val="24"/>
          <w:szCs w:val="24"/>
          <w:highlight w:val="none"/>
          <w:lang w:val="zh-CN"/>
        </w:rPr>
        <w:t>投标人</w:t>
      </w:r>
      <w:r>
        <w:rPr>
          <w:rFonts w:hint="eastAsia" w:ascii="宋体" w:hAnsi="宋体" w:eastAsia="宋体" w:cs="宋体"/>
          <w:sz w:val="24"/>
          <w:szCs w:val="24"/>
          <w:highlight w:val="none"/>
          <w:lang w:val="zh-CN"/>
        </w:rPr>
        <w:t>》进行投标操作。</w:t>
      </w:r>
    </w:p>
    <w:p w14:paraId="32FBB8B8">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宋体" w:hAnsi="宋体" w:eastAsia="宋体" w:cs="宋体"/>
          <w:sz w:val="24"/>
          <w:szCs w:val="24"/>
          <w:highlight w:val="none"/>
          <w:lang w:val="zh-CN"/>
        </w:rPr>
      </w:pPr>
      <w:r>
        <w:rPr>
          <w:rFonts w:hint="eastAsia" w:hAnsi="宋体" w:eastAsia="宋体" w:cs="宋体"/>
          <w:sz w:val="24"/>
          <w:szCs w:val="24"/>
          <w:lang w:val="en-US" w:eastAsia="zh-CN"/>
        </w:rPr>
        <w:t>6</w:t>
      </w:r>
      <w:r>
        <w:rPr>
          <w:rFonts w:hint="eastAsia" w:ascii="宋体" w:hAnsi="宋体" w:eastAsia="宋体" w:cs="宋体"/>
          <w:sz w:val="24"/>
          <w:szCs w:val="24"/>
        </w:rPr>
        <w:t>.</w:t>
      </w:r>
      <w:r>
        <w:rPr>
          <w:rFonts w:hint="eastAsia" w:hAnsi="宋体" w:eastAsia="宋体" w:cs="宋体"/>
          <w:sz w:val="24"/>
          <w:szCs w:val="24"/>
          <w:lang w:val="en-US" w:eastAsia="zh-CN"/>
        </w:rPr>
        <w:t>4</w:t>
      </w:r>
      <w:r>
        <w:rPr>
          <w:rFonts w:hint="eastAsia" w:ascii="宋体" w:hAnsi="宋体" w:eastAsia="宋体" w:cs="宋体"/>
          <w:sz w:val="24"/>
          <w:szCs w:val="24"/>
        </w:rPr>
        <w:t xml:space="preserve"> </w:t>
      </w:r>
      <w:r>
        <w:rPr>
          <w:rFonts w:hint="eastAsia" w:ascii="宋体" w:hAnsi="宋体" w:eastAsia="宋体" w:cs="宋体"/>
          <w:sz w:val="24"/>
          <w:szCs w:val="24"/>
          <w:highlight w:val="none"/>
          <w:lang w:val="zh-CN"/>
        </w:rPr>
        <w:t>数字证书办理及投标技术咨询：投标人须办理数字证书方可参加投标。</w:t>
      </w:r>
      <w:r>
        <w:rPr>
          <w:rFonts w:hint="eastAsia" w:hAnsi="宋体" w:eastAsia="宋体" w:cs="宋体"/>
          <w:sz w:val="24"/>
          <w:szCs w:val="24"/>
          <w:highlight w:val="none"/>
          <w:lang w:val="zh-CN"/>
        </w:rPr>
        <w:t>投标人</w:t>
      </w:r>
      <w:r>
        <w:rPr>
          <w:rFonts w:hint="eastAsia" w:ascii="宋体" w:hAnsi="宋体" w:eastAsia="宋体" w:cs="宋体"/>
          <w:sz w:val="24"/>
          <w:szCs w:val="24"/>
          <w:highlight w:val="none"/>
          <w:lang w:val="zh-CN"/>
        </w:rPr>
        <w:t>须自行考虑数字证书办理时限，由于</w:t>
      </w:r>
      <w:r>
        <w:rPr>
          <w:rFonts w:hint="eastAsia" w:hAnsi="宋体" w:eastAsia="宋体" w:cs="宋体"/>
          <w:sz w:val="24"/>
          <w:szCs w:val="24"/>
          <w:highlight w:val="none"/>
          <w:lang w:val="zh-CN"/>
        </w:rPr>
        <w:t>投标人</w:t>
      </w:r>
      <w:r>
        <w:rPr>
          <w:rFonts w:hint="eastAsia" w:ascii="宋体" w:hAnsi="宋体" w:eastAsia="宋体" w:cs="宋体"/>
          <w:sz w:val="24"/>
          <w:szCs w:val="24"/>
          <w:highlight w:val="none"/>
          <w:lang w:val="zh-CN"/>
        </w:rPr>
        <w:t>自身原因在开标前无法完成办理，后果自负。</w:t>
      </w:r>
    </w:p>
    <w:p w14:paraId="203269CD">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宋体" w:hAnsi="宋体" w:eastAsia="宋体" w:cs="宋体"/>
          <w:sz w:val="24"/>
          <w:szCs w:val="24"/>
          <w:highlight w:val="none"/>
        </w:rPr>
      </w:pPr>
      <w:r>
        <w:rPr>
          <w:rFonts w:hint="eastAsia" w:hAnsi="宋体" w:eastAsia="宋体" w:cs="宋体"/>
          <w:sz w:val="24"/>
          <w:szCs w:val="24"/>
          <w:lang w:val="en-US" w:eastAsia="zh-CN"/>
        </w:rPr>
        <w:t>6</w:t>
      </w:r>
      <w:r>
        <w:rPr>
          <w:rFonts w:hint="eastAsia" w:ascii="宋体" w:hAnsi="宋体" w:eastAsia="宋体" w:cs="宋体"/>
          <w:sz w:val="24"/>
          <w:szCs w:val="24"/>
        </w:rPr>
        <w:t>.</w:t>
      </w:r>
      <w:r>
        <w:rPr>
          <w:rFonts w:hint="eastAsia" w:hAnsi="宋体" w:eastAsia="宋体" w:cs="宋体"/>
          <w:sz w:val="24"/>
          <w:szCs w:val="24"/>
          <w:lang w:val="en-US" w:eastAsia="zh-CN"/>
        </w:rPr>
        <w:t>5</w:t>
      </w:r>
      <w:r>
        <w:rPr>
          <w:rFonts w:hint="eastAsia" w:ascii="宋体" w:hAnsi="宋体" w:eastAsia="宋体" w:cs="宋体"/>
          <w:sz w:val="24"/>
          <w:szCs w:val="24"/>
        </w:rPr>
        <w:t xml:space="preserve"> </w:t>
      </w:r>
      <w:r>
        <w:rPr>
          <w:rFonts w:hint="eastAsia" w:ascii="宋体" w:hAnsi="宋体" w:eastAsia="宋体" w:cs="宋体"/>
          <w:sz w:val="24"/>
          <w:szCs w:val="24"/>
          <w:highlight w:val="none"/>
        </w:rPr>
        <w:t>若对项目采购电子交易系统操作有疑问，可登录“政采云”平台（https://www.zcygov.cn/）点击右侧咨询小采，获取采小蜜智能服务管家帮助，或拨打政采云服务热线95763获取热线服务帮助。</w:t>
      </w:r>
    </w:p>
    <w:p w14:paraId="271736FF">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hAnsi="宋体" w:eastAsia="宋体" w:cs="宋体"/>
          <w:sz w:val="24"/>
          <w:szCs w:val="24"/>
          <w:lang w:val="en-US" w:eastAsia="zh-CN"/>
        </w:rPr>
        <w:t>6</w:t>
      </w:r>
      <w:r>
        <w:rPr>
          <w:rFonts w:hint="eastAsia" w:ascii="宋体" w:hAnsi="宋体" w:eastAsia="宋体" w:cs="宋体"/>
          <w:sz w:val="24"/>
          <w:szCs w:val="24"/>
        </w:rPr>
        <w:t>.</w:t>
      </w:r>
      <w:r>
        <w:rPr>
          <w:rFonts w:hint="eastAsia" w:hAnsi="宋体" w:eastAsia="宋体" w:cs="宋体"/>
          <w:sz w:val="24"/>
          <w:szCs w:val="24"/>
          <w:lang w:val="en-US" w:eastAsia="zh-CN"/>
        </w:rPr>
        <w:t>6</w:t>
      </w:r>
      <w:r>
        <w:rPr>
          <w:rFonts w:hint="eastAsia" w:ascii="宋体" w:hAnsi="宋体" w:eastAsia="宋体" w:cs="宋体"/>
          <w:sz w:val="24"/>
          <w:szCs w:val="24"/>
        </w:rPr>
        <w:t xml:space="preserve"> </w:t>
      </w:r>
      <w:r>
        <w:rPr>
          <w:rFonts w:hint="eastAsia" w:ascii="宋体" w:hAnsi="宋体" w:eastAsia="宋体" w:cs="宋体"/>
          <w:sz w:val="24"/>
          <w:szCs w:val="24"/>
          <w:highlight w:val="none"/>
          <w:lang w:val="en-US" w:eastAsia="zh-CN"/>
        </w:rPr>
        <w:t>因企业CA锁原因未能进行解密的，其投标无效。</w:t>
      </w:r>
    </w:p>
    <w:p w14:paraId="1131D62A">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宋体" w:hAnsi="宋体" w:eastAsia="宋体" w:cs="宋体"/>
          <w:sz w:val="24"/>
          <w:szCs w:val="24"/>
          <w:highlight w:val="none"/>
        </w:rPr>
      </w:pPr>
      <w:r>
        <w:rPr>
          <w:rFonts w:hint="eastAsia" w:hAnsi="宋体" w:eastAsia="宋体" w:cs="宋体"/>
          <w:sz w:val="24"/>
          <w:szCs w:val="24"/>
          <w:lang w:val="en-US" w:eastAsia="zh-CN"/>
        </w:rPr>
        <w:t>6</w:t>
      </w:r>
      <w:r>
        <w:rPr>
          <w:rFonts w:hint="eastAsia" w:ascii="宋体" w:hAnsi="宋体" w:eastAsia="宋体" w:cs="宋体"/>
          <w:sz w:val="24"/>
          <w:szCs w:val="24"/>
        </w:rPr>
        <w:t>.</w:t>
      </w:r>
      <w:r>
        <w:rPr>
          <w:rFonts w:hint="eastAsia" w:hAnsi="宋体" w:eastAsia="宋体" w:cs="宋体"/>
          <w:sz w:val="24"/>
          <w:szCs w:val="24"/>
          <w:lang w:val="en-US" w:eastAsia="zh-CN"/>
        </w:rPr>
        <w:t>7</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本次招标公告在“政采云”平台（http://www.zcygov.cn）（同步推送到中国政府采购网、吉林省政府采购网、长春市公共资源交易网）上发布。</w:t>
      </w:r>
    </w:p>
    <w:p w14:paraId="4659C1AF">
      <w:pPr>
        <w:keepNext w:val="0"/>
        <w:keepLines w:val="0"/>
        <w:pageBreakBefore w:val="0"/>
        <w:kinsoku/>
        <w:wordWrap/>
        <w:overflowPunct/>
        <w:topLinePunct w:val="0"/>
        <w:autoSpaceDE/>
        <w:autoSpaceDN/>
        <w:bidi w:val="0"/>
        <w:adjustRightInd/>
        <w:snapToGrid/>
        <w:spacing w:before="36" w:line="360" w:lineRule="auto"/>
        <w:ind w:left="26"/>
        <w:textAlignment w:val="auto"/>
        <w:rPr>
          <w:rFonts w:hint="eastAsia" w:ascii="宋体" w:hAnsi="宋体" w:eastAsia="宋体" w:cs="宋体"/>
          <w:b/>
          <w:bCs/>
          <w:spacing w:val="-9"/>
          <w:sz w:val="24"/>
          <w:szCs w:val="24"/>
        </w:rPr>
      </w:pPr>
      <w:r>
        <w:rPr>
          <w:rFonts w:hint="eastAsia" w:ascii="宋体" w:hAnsi="宋体" w:eastAsia="宋体" w:cs="宋体"/>
          <w:b/>
          <w:bCs/>
          <w:spacing w:val="-9"/>
          <w:sz w:val="24"/>
          <w:szCs w:val="24"/>
          <w:lang w:eastAsia="zh-CN"/>
        </w:rPr>
        <w:t>七</w:t>
      </w:r>
      <w:r>
        <w:rPr>
          <w:rFonts w:hint="eastAsia" w:ascii="宋体" w:hAnsi="宋体" w:eastAsia="宋体" w:cs="宋体"/>
          <w:b/>
          <w:bCs/>
          <w:spacing w:val="-9"/>
          <w:sz w:val="24"/>
          <w:szCs w:val="24"/>
        </w:rPr>
        <w:t>、对本次招标提出询问，请按以下方式联系。</w:t>
      </w:r>
    </w:p>
    <w:p w14:paraId="25BCEC1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1.采购人信息</w:t>
      </w:r>
    </w:p>
    <w:p w14:paraId="13981E2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eastAsia="zh-CN"/>
        </w:rPr>
        <w:t>名</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CN" w:eastAsia="zh-CN"/>
        </w:rPr>
        <w:t>称</w:t>
      </w:r>
      <w:r>
        <w:rPr>
          <w:rFonts w:hint="eastAsia" w:ascii="宋体" w:hAnsi="宋体" w:eastAsia="宋体" w:cs="宋体"/>
          <w:sz w:val="24"/>
          <w:szCs w:val="24"/>
          <w:lang w:val="zh-CN"/>
        </w:rPr>
        <w:t>：长春宽城经济开发区管理委员会</w:t>
      </w:r>
    </w:p>
    <w:p w14:paraId="559F8A3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地</w:t>
      </w:r>
      <w:r>
        <w:rPr>
          <w:rFonts w:hint="eastAsia" w:ascii="宋体" w:hAnsi="宋体" w:eastAsia="宋体" w:cs="宋体"/>
          <w:sz w:val="24"/>
          <w:szCs w:val="24"/>
          <w:lang w:val="zh-CN" w:eastAsia="zh-CN"/>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CN"/>
        </w:rPr>
        <w:t>址：长春市宽城区凯旋北路7388号</w:t>
      </w:r>
    </w:p>
    <w:p w14:paraId="129AC40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zh-CN"/>
        </w:rPr>
        <w:t>联</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CN"/>
        </w:rPr>
        <w:t>系</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CN" w:eastAsia="zh-CN"/>
        </w:rPr>
        <w:t>人</w:t>
      </w:r>
      <w:r>
        <w:rPr>
          <w:rFonts w:hint="eastAsia" w:ascii="宋体" w:hAnsi="宋体" w:eastAsia="宋体" w:cs="宋体"/>
          <w:sz w:val="24"/>
          <w:szCs w:val="24"/>
          <w:lang w:val="zh-CN"/>
        </w:rPr>
        <w:t>：胡玉姝</w:t>
      </w:r>
    </w:p>
    <w:p w14:paraId="1A85A33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eastAsia="zh-CN"/>
        </w:rPr>
        <w:t>联系电话：</w:t>
      </w:r>
      <w:r>
        <w:rPr>
          <w:rFonts w:hint="eastAsia" w:ascii="宋体" w:hAnsi="宋体" w:eastAsia="宋体" w:cs="宋体"/>
          <w:sz w:val="24"/>
          <w:szCs w:val="24"/>
          <w:lang w:val="en-US" w:eastAsia="zh-CN"/>
        </w:rPr>
        <w:t>0431-89991801</w:t>
      </w:r>
    </w:p>
    <w:p w14:paraId="1FDA6B6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lang w:val="zh-CN" w:eastAsia="zh-CN"/>
        </w:rPr>
        <w:t>.</w:t>
      </w:r>
      <w:r>
        <w:rPr>
          <w:rFonts w:hint="eastAsia" w:ascii="宋体" w:hAnsi="宋体" w:eastAsia="宋体" w:cs="宋体"/>
          <w:sz w:val="24"/>
          <w:szCs w:val="24"/>
          <w:lang w:val="zh-CN"/>
        </w:rPr>
        <w:t>采购代理机构信息</w:t>
      </w:r>
    </w:p>
    <w:p w14:paraId="3D4EA2F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rPr>
        <w:t>采购代理机构：</w:t>
      </w:r>
      <w:r>
        <w:rPr>
          <w:rFonts w:hint="eastAsia" w:ascii="宋体" w:hAnsi="宋体" w:eastAsia="宋体" w:cs="宋体"/>
          <w:sz w:val="24"/>
          <w:szCs w:val="24"/>
          <w:lang w:val="zh-CN" w:eastAsia="zh-CN"/>
        </w:rPr>
        <w:t>吉林省捷冠工程管理有限公司</w:t>
      </w:r>
    </w:p>
    <w:p w14:paraId="220C7A2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zh-CN"/>
        </w:rPr>
        <w:t>地</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CN"/>
        </w:rPr>
        <w:t>址：长春市朝阳区红旗街765号华亿红府4、14幢1单元1205号房</w:t>
      </w:r>
    </w:p>
    <w:p w14:paraId="6D4C1F2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联</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CN"/>
        </w:rPr>
        <w:t>系</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CN"/>
        </w:rPr>
        <w:t>人：恬露</w:t>
      </w:r>
    </w:p>
    <w:p w14:paraId="21C2DB1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联系电话：15643022390</w:t>
      </w:r>
    </w:p>
    <w:p w14:paraId="048F06C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3</w:t>
      </w:r>
      <w:r>
        <w:rPr>
          <w:rFonts w:hint="eastAsia" w:ascii="宋体" w:hAnsi="宋体" w:eastAsia="宋体" w:cs="宋体"/>
          <w:sz w:val="24"/>
          <w:szCs w:val="24"/>
          <w:lang w:val="zh-CN" w:eastAsia="zh-CN"/>
        </w:rPr>
        <w:t>.</w:t>
      </w:r>
      <w:r>
        <w:rPr>
          <w:rFonts w:hint="eastAsia" w:ascii="宋体" w:hAnsi="宋体" w:eastAsia="宋体" w:cs="宋体"/>
          <w:sz w:val="24"/>
          <w:szCs w:val="24"/>
          <w:lang w:val="zh-CN"/>
        </w:rPr>
        <w:t>项目联系方式</w:t>
      </w:r>
    </w:p>
    <w:p w14:paraId="4BEC5A9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采购代理机构联系人：</w:t>
      </w:r>
      <w:r>
        <w:rPr>
          <w:rFonts w:hint="eastAsia" w:ascii="宋体" w:hAnsi="宋体" w:eastAsia="宋体" w:cs="宋体"/>
          <w:sz w:val="24"/>
          <w:szCs w:val="24"/>
          <w:lang w:val="en-US" w:eastAsia="zh-CN"/>
        </w:rPr>
        <w:t>恬露</w:t>
      </w:r>
      <w:r>
        <w:rPr>
          <w:rFonts w:hint="eastAsia" w:ascii="宋体" w:hAnsi="宋体" w:eastAsia="宋体" w:cs="宋体"/>
          <w:sz w:val="24"/>
          <w:szCs w:val="24"/>
          <w:lang w:val="zh-CN"/>
        </w:rPr>
        <w:t xml:space="preserve"> </w:t>
      </w:r>
    </w:p>
    <w:p w14:paraId="6E802CF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联系电话：15643022390</w:t>
      </w:r>
    </w:p>
    <w:p w14:paraId="09495A8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4.监督联系方式：</w:t>
      </w:r>
    </w:p>
    <w:p w14:paraId="7080F53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监督部门：长春宽城经济开发区财政金融局</w:t>
      </w:r>
    </w:p>
    <w:p w14:paraId="1E19112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联系电话：0431-89991808</w:t>
      </w:r>
    </w:p>
    <w:p w14:paraId="7D97FAD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5.本项目按照吉林省财政厅《关于依托政府采购数字金融服务平台开展融资业务有关事项的通知》(吉财采购(2023]721号)支持申请“政采合同贷”政策。</w:t>
      </w:r>
    </w:p>
    <w:p w14:paraId="126EB1F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“政采数金平台”联系电话：张经理0431-81888978  柯经理0431-81888998</w:t>
      </w:r>
    </w:p>
    <w:p w14:paraId="2A7165CD">
      <w:pPr>
        <w:rPr>
          <w:rFonts w:hint="eastAsia"/>
        </w:rPr>
        <w:sectPr>
          <w:headerReference r:id="rId3" w:type="default"/>
          <w:footerReference r:id="rId4" w:type="default"/>
          <w:pgSz w:w="11906" w:h="16838"/>
          <w:pgMar w:top="1440" w:right="1803" w:bottom="1440" w:left="1803" w:header="708" w:footer="964" w:gutter="0"/>
          <w:pgNumType w:fmt="decimal" w:start="1"/>
          <w:cols w:space="720" w:num="1"/>
          <w:docGrid w:linePitch="360" w:charSpace="0"/>
        </w:sectPr>
      </w:pPr>
      <w:r>
        <w:rPr>
          <w:rFonts w:hint="eastAsia"/>
        </w:rPr>
        <w:br w:type="page"/>
      </w:r>
    </w:p>
    <w:p w14:paraId="38113779">
      <w:pPr>
        <w:pStyle w:val="2"/>
        <w:tabs>
          <w:tab w:val="left" w:pos="0"/>
        </w:tabs>
        <w:autoSpaceDE w:val="0"/>
        <w:autoSpaceDN w:val="0"/>
        <w:adjustRightInd w:val="0"/>
        <w:spacing w:before="0" w:after="0" w:line="360" w:lineRule="auto"/>
        <w:jc w:val="center"/>
        <w:rPr>
          <w:rFonts w:ascii="华文中宋" w:hAnsi="华文中宋" w:eastAsia="华文中宋"/>
        </w:rPr>
      </w:pPr>
      <w:bookmarkStart w:id="2" w:name="_Toc35393813"/>
      <w:r>
        <w:rPr>
          <w:rFonts w:hint="eastAsia" w:ascii="华文中宋" w:hAnsi="华文中宋" w:eastAsia="华文中宋"/>
        </w:rPr>
        <w:t>更正公告</w:t>
      </w:r>
      <w:bookmarkEnd w:id="2"/>
    </w:p>
    <w:p w14:paraId="165EF9D5">
      <w:pPr>
        <w:pStyle w:val="3"/>
        <w:spacing w:line="360" w:lineRule="auto"/>
        <w:rPr>
          <w:rFonts w:ascii="黑体" w:hAnsi="黑体" w:cs="宋体"/>
          <w:b w:val="0"/>
          <w:sz w:val="28"/>
          <w:szCs w:val="28"/>
        </w:rPr>
      </w:pPr>
      <w:bookmarkStart w:id="3" w:name="_Toc28359104"/>
      <w:bookmarkStart w:id="4" w:name="_Toc35393645"/>
      <w:bookmarkStart w:id="5" w:name="_Toc28359027"/>
      <w:bookmarkStart w:id="6" w:name="_Toc35393814"/>
      <w:r>
        <w:rPr>
          <w:rFonts w:hint="eastAsia" w:ascii="黑体" w:hAnsi="黑体" w:cs="宋体"/>
          <w:b w:val="0"/>
          <w:sz w:val="28"/>
          <w:szCs w:val="28"/>
        </w:rPr>
        <w:t>一、项目基本情况</w:t>
      </w:r>
      <w:bookmarkEnd w:id="3"/>
      <w:bookmarkEnd w:id="4"/>
      <w:bookmarkEnd w:id="5"/>
      <w:bookmarkEnd w:id="6"/>
    </w:p>
    <w:p w14:paraId="65A8ED79">
      <w:pPr>
        <w:ind w:firstLine="560" w:firstLineChars="200"/>
        <w:rPr>
          <w:rFonts w:ascii="仿宋" w:hAnsi="仿宋" w:eastAsia="仿宋"/>
          <w:sz w:val="28"/>
          <w:szCs w:val="28"/>
        </w:rPr>
      </w:pPr>
      <w:r>
        <w:rPr>
          <w:rFonts w:hint="eastAsia" w:ascii="仿宋" w:hAnsi="仿宋" w:eastAsia="仿宋"/>
          <w:sz w:val="28"/>
          <w:szCs w:val="28"/>
        </w:rPr>
        <w:t>原公告的采购项目编号：</w:t>
      </w:r>
      <w:r>
        <w:rPr>
          <w:rFonts w:hint="eastAsia" w:ascii="仿宋" w:hAnsi="仿宋" w:eastAsia="仿宋"/>
          <w:sz w:val="28"/>
          <w:szCs w:val="28"/>
          <w:u w:val="single"/>
        </w:rPr>
        <w:t>　JLKCJKCG[2025]30号-01　</w:t>
      </w:r>
    </w:p>
    <w:p w14:paraId="03503A41">
      <w:pPr>
        <w:ind w:firstLine="560" w:firstLineChars="200"/>
        <w:rPr>
          <w:rFonts w:ascii="仿宋" w:hAnsi="仿宋" w:eastAsia="仿宋"/>
          <w:sz w:val="28"/>
          <w:szCs w:val="28"/>
        </w:rPr>
      </w:pPr>
      <w:r>
        <w:rPr>
          <w:rFonts w:hint="eastAsia" w:ascii="仿宋" w:hAnsi="仿宋" w:eastAsia="仿宋"/>
          <w:sz w:val="28"/>
          <w:szCs w:val="28"/>
        </w:rPr>
        <w:t>原公告的采购项目名称：</w:t>
      </w:r>
      <w:r>
        <w:rPr>
          <w:rFonts w:hint="eastAsia" w:ascii="仿宋" w:hAnsi="仿宋" w:eastAsia="仿宋"/>
          <w:sz w:val="28"/>
          <w:szCs w:val="28"/>
          <w:u w:val="single"/>
        </w:rPr>
        <w:t>　长春市宽城区医院异地建设项目、长春市宽城区卫生综合体建设项目医疗家具采购项目　</w:t>
      </w:r>
    </w:p>
    <w:p w14:paraId="314FDB25">
      <w:pPr>
        <w:ind w:firstLine="560" w:firstLineChars="200"/>
        <w:rPr>
          <w:rFonts w:ascii="仿宋" w:hAnsi="仿宋" w:eastAsia="仿宋"/>
          <w:sz w:val="28"/>
          <w:szCs w:val="28"/>
        </w:rPr>
      </w:pPr>
      <w:r>
        <w:rPr>
          <w:rFonts w:hint="eastAsia" w:ascii="仿宋" w:hAnsi="仿宋" w:eastAsia="仿宋"/>
          <w:sz w:val="28"/>
          <w:szCs w:val="28"/>
        </w:rPr>
        <w:t>首次公告日期：</w:t>
      </w:r>
      <w:r>
        <w:rPr>
          <w:rFonts w:hint="eastAsia" w:ascii="仿宋" w:hAnsi="仿宋" w:eastAsia="仿宋"/>
          <w:sz w:val="28"/>
          <w:szCs w:val="28"/>
          <w:u w:val="single"/>
        </w:rPr>
        <w:t>　</w:t>
      </w:r>
      <w:r>
        <w:rPr>
          <w:rFonts w:hint="eastAsia" w:ascii="仿宋" w:hAnsi="仿宋" w:eastAsia="仿宋"/>
          <w:sz w:val="28"/>
          <w:szCs w:val="28"/>
          <w:u w:val="single"/>
          <w:lang w:val="en-US" w:eastAsia="zh-CN"/>
        </w:rPr>
        <w:t>2025年6月12日</w:t>
      </w:r>
      <w:r>
        <w:rPr>
          <w:rFonts w:hint="eastAsia" w:ascii="仿宋" w:hAnsi="仿宋" w:eastAsia="仿宋"/>
          <w:sz w:val="28"/>
          <w:szCs w:val="28"/>
          <w:u w:val="single"/>
        </w:rPr>
        <w:t>　　</w:t>
      </w:r>
    </w:p>
    <w:p w14:paraId="1DAB466A">
      <w:pPr>
        <w:pStyle w:val="3"/>
        <w:spacing w:line="360" w:lineRule="auto"/>
        <w:rPr>
          <w:rFonts w:ascii="黑体" w:hAnsi="黑体" w:cs="宋体"/>
          <w:b w:val="0"/>
          <w:sz w:val="28"/>
          <w:szCs w:val="28"/>
        </w:rPr>
      </w:pPr>
      <w:bookmarkStart w:id="7" w:name="_Toc28359028"/>
      <w:bookmarkStart w:id="8" w:name="_Toc35393815"/>
      <w:bookmarkStart w:id="9" w:name="_Toc35393646"/>
      <w:bookmarkStart w:id="10" w:name="_Toc28359105"/>
      <w:r>
        <w:rPr>
          <w:rFonts w:hint="eastAsia" w:ascii="黑体" w:hAnsi="黑体" w:cs="宋体"/>
          <w:b w:val="0"/>
          <w:sz w:val="28"/>
          <w:szCs w:val="28"/>
        </w:rPr>
        <w:t>二、更正信息</w:t>
      </w:r>
      <w:bookmarkEnd w:id="7"/>
      <w:bookmarkEnd w:id="8"/>
      <w:bookmarkEnd w:id="9"/>
      <w:bookmarkEnd w:id="10"/>
    </w:p>
    <w:p w14:paraId="6BCF8AF9">
      <w:pPr>
        <w:ind w:firstLine="560" w:firstLineChars="200"/>
        <w:rPr>
          <w:rFonts w:ascii="仿宋" w:hAnsi="仿宋" w:eastAsia="仿宋"/>
          <w:sz w:val="28"/>
          <w:szCs w:val="28"/>
        </w:rPr>
      </w:pPr>
      <w:r>
        <w:rPr>
          <w:rFonts w:hint="eastAsia" w:ascii="仿宋" w:hAnsi="仿宋" w:eastAsia="仿宋"/>
          <w:sz w:val="28"/>
          <w:szCs w:val="28"/>
        </w:rPr>
        <w:t xml:space="preserve">更正事项：□采购公告 </w:t>
      </w:r>
      <w:r>
        <w:rPr>
          <w:rFonts w:hint="eastAsia" w:ascii="仿宋" w:hAnsi="仿宋" w:eastAsia="仿宋"/>
          <w:sz w:val="28"/>
          <w:szCs w:val="28"/>
          <w:lang w:eastAsia="zh-CN"/>
        </w:rPr>
        <w:t>☑</w:t>
      </w:r>
      <w:r>
        <w:rPr>
          <w:rFonts w:hint="eastAsia" w:ascii="仿宋" w:hAnsi="仿宋" w:eastAsia="仿宋"/>
          <w:sz w:val="28"/>
          <w:szCs w:val="28"/>
        </w:rPr>
        <w:t xml:space="preserve">采购文件 □采购结果     </w:t>
      </w:r>
    </w:p>
    <w:p w14:paraId="757C1BB8">
      <w:pPr>
        <w:ind w:firstLine="560" w:firstLineChars="200"/>
        <w:rPr>
          <w:rFonts w:hint="eastAsia" w:ascii="仿宋" w:hAnsi="仿宋" w:eastAsia="仿宋"/>
          <w:sz w:val="28"/>
          <w:szCs w:val="28"/>
        </w:rPr>
      </w:pPr>
      <w:r>
        <w:rPr>
          <w:rFonts w:hint="eastAsia" w:ascii="仿宋" w:hAnsi="仿宋" w:eastAsia="仿宋"/>
          <w:sz w:val="28"/>
          <w:szCs w:val="28"/>
        </w:rPr>
        <w:t>更正内容：</w:t>
      </w:r>
    </w:p>
    <w:p w14:paraId="7CE2E43A">
      <w:pPr>
        <w:numPr>
          <w:ilvl w:val="0"/>
          <w:numId w:val="1"/>
        </w:numPr>
        <w:ind w:firstLine="560" w:firstLineChars="200"/>
        <w:rPr>
          <w:rFonts w:hint="eastAsia" w:ascii="仿宋" w:hAnsi="仿宋" w:eastAsia="仿宋"/>
          <w:sz w:val="28"/>
          <w:szCs w:val="28"/>
          <w:u w:val="single"/>
          <w:lang w:val="en-US" w:eastAsia="zh-CN"/>
        </w:rPr>
      </w:pPr>
      <w:r>
        <w:rPr>
          <w:rFonts w:hint="eastAsia" w:ascii="仿宋" w:hAnsi="仿宋" w:eastAsia="仿宋"/>
          <w:sz w:val="28"/>
          <w:szCs w:val="28"/>
          <w:u w:val="single"/>
          <w:lang w:val="en-US" w:eastAsia="zh-CN"/>
        </w:rPr>
        <w:t>删除原文件及清单中“提供第三方检测机构（检测报告需带CMA标识）出具检测报告以及在全国认证认可信息公共服务平台的查询截图，否则不予认可。  ”</w:t>
      </w:r>
    </w:p>
    <w:p w14:paraId="51F84674">
      <w:pPr>
        <w:numPr>
          <w:ilvl w:val="0"/>
          <w:numId w:val="1"/>
        </w:numPr>
        <w:ind w:firstLine="560" w:firstLineChars="200"/>
        <w:rPr>
          <w:rFonts w:hint="default" w:ascii="仿宋" w:hAnsi="仿宋" w:eastAsia="仿宋"/>
          <w:sz w:val="28"/>
          <w:szCs w:val="28"/>
          <w:u w:val="single"/>
          <w:lang w:val="en-US" w:eastAsia="zh-CN"/>
        </w:rPr>
      </w:pPr>
      <w:r>
        <w:rPr>
          <w:rFonts w:hint="eastAsia" w:ascii="仿宋" w:hAnsi="仿宋" w:eastAsia="仿宋"/>
          <w:sz w:val="28"/>
          <w:szCs w:val="28"/>
          <w:u w:val="single"/>
          <w:lang w:val="en-US" w:eastAsia="zh-CN"/>
        </w:rPr>
        <w:t>增加合同模板</w:t>
      </w:r>
    </w:p>
    <w:p w14:paraId="49F17322">
      <w:pPr>
        <w:numPr>
          <w:ilvl w:val="0"/>
          <w:numId w:val="1"/>
        </w:numPr>
        <w:ind w:firstLine="560" w:firstLineChars="200"/>
        <w:rPr>
          <w:rFonts w:hint="default" w:ascii="仿宋" w:hAnsi="仿宋" w:eastAsia="仿宋"/>
          <w:sz w:val="28"/>
          <w:szCs w:val="28"/>
          <w:u w:val="single"/>
          <w:lang w:val="en-US" w:eastAsia="zh-CN"/>
        </w:rPr>
      </w:pPr>
      <w:r>
        <w:rPr>
          <w:rFonts w:hint="eastAsia" w:ascii="仿宋" w:hAnsi="仿宋" w:eastAsia="仿宋"/>
          <w:sz w:val="28"/>
          <w:szCs w:val="28"/>
          <w:u w:val="single"/>
          <w:lang w:val="en-US" w:eastAsia="zh-CN"/>
        </w:rPr>
        <w:t>原开标时间：2025年7月3日9点30分，变更为：2025年7月11日10点00分</w:t>
      </w:r>
    </w:p>
    <w:p w14:paraId="6468EB95">
      <w:pPr>
        <w:ind w:firstLine="560" w:firstLineChars="200"/>
        <w:rPr>
          <w:rFonts w:ascii="仿宋" w:hAnsi="仿宋" w:eastAsia="仿宋"/>
          <w:sz w:val="28"/>
          <w:szCs w:val="28"/>
          <w:u w:val="single"/>
        </w:rPr>
      </w:pPr>
      <w:r>
        <w:rPr>
          <w:rFonts w:hint="eastAsia" w:ascii="仿宋" w:hAnsi="仿宋" w:eastAsia="仿宋"/>
          <w:sz w:val="28"/>
          <w:szCs w:val="28"/>
        </w:rPr>
        <w:t>更正日期：</w:t>
      </w:r>
      <w:r>
        <w:rPr>
          <w:rFonts w:hint="eastAsia" w:ascii="仿宋" w:hAnsi="仿宋" w:eastAsia="仿宋"/>
          <w:sz w:val="28"/>
          <w:szCs w:val="28"/>
          <w:u w:val="single"/>
        </w:rPr>
        <w:t>　</w:t>
      </w:r>
      <w:r>
        <w:rPr>
          <w:rFonts w:hint="eastAsia" w:ascii="仿宋" w:hAnsi="仿宋" w:eastAsia="仿宋"/>
          <w:sz w:val="28"/>
          <w:szCs w:val="28"/>
          <w:u w:val="single"/>
          <w:lang w:val="en-US" w:eastAsia="zh-CN"/>
        </w:rPr>
        <w:t>2025年6月27日</w:t>
      </w:r>
      <w:r>
        <w:rPr>
          <w:rFonts w:hint="eastAsia" w:ascii="仿宋" w:hAnsi="仿宋" w:eastAsia="仿宋"/>
          <w:sz w:val="28"/>
          <w:szCs w:val="28"/>
          <w:u w:val="single"/>
        </w:rPr>
        <w:t>　</w:t>
      </w:r>
    </w:p>
    <w:p w14:paraId="1A865ECF">
      <w:pPr>
        <w:pStyle w:val="3"/>
        <w:spacing w:line="360" w:lineRule="auto"/>
        <w:rPr>
          <w:rFonts w:ascii="黑体" w:hAnsi="黑体" w:cs="宋体"/>
          <w:b w:val="0"/>
          <w:sz w:val="28"/>
          <w:szCs w:val="28"/>
        </w:rPr>
      </w:pPr>
      <w:bookmarkStart w:id="11" w:name="_Toc35393816"/>
      <w:bookmarkStart w:id="12" w:name="_Toc35393647"/>
      <w:r>
        <w:rPr>
          <w:rFonts w:hint="eastAsia" w:ascii="黑体" w:hAnsi="黑体" w:cs="宋体"/>
          <w:b w:val="0"/>
          <w:sz w:val="28"/>
          <w:szCs w:val="28"/>
        </w:rPr>
        <w:t>三、其他补充事宜</w:t>
      </w:r>
      <w:bookmarkEnd w:id="11"/>
      <w:bookmarkEnd w:id="12"/>
    </w:p>
    <w:p w14:paraId="095A8B95">
      <w:pPr>
        <w:rPr>
          <w:sz w:val="28"/>
          <w:szCs w:val="28"/>
        </w:rPr>
      </w:pPr>
    </w:p>
    <w:p w14:paraId="5A36FC2C">
      <w:pPr>
        <w:pStyle w:val="3"/>
        <w:spacing w:line="360" w:lineRule="auto"/>
        <w:rPr>
          <w:rFonts w:ascii="黑体" w:hAnsi="黑体" w:cs="宋体"/>
          <w:b w:val="0"/>
          <w:sz w:val="28"/>
          <w:szCs w:val="28"/>
        </w:rPr>
      </w:pPr>
      <w:bookmarkStart w:id="13" w:name="_Toc28359106"/>
      <w:bookmarkStart w:id="14" w:name="_Toc35393817"/>
      <w:bookmarkStart w:id="15" w:name="_Toc35393648"/>
      <w:bookmarkStart w:id="16" w:name="_Toc28359029"/>
      <w:r>
        <w:rPr>
          <w:rFonts w:hint="eastAsia" w:ascii="黑体" w:hAnsi="黑体" w:cs="宋体"/>
          <w:b w:val="0"/>
          <w:sz w:val="28"/>
          <w:szCs w:val="28"/>
        </w:rPr>
        <w:t>四、凡对本次公告内容提出询问，请按以下方式联系。</w:t>
      </w:r>
      <w:bookmarkEnd w:id="13"/>
      <w:bookmarkEnd w:id="14"/>
      <w:bookmarkEnd w:id="15"/>
      <w:bookmarkEnd w:id="16"/>
    </w:p>
    <w:p w14:paraId="2BC1D2B7">
      <w:pPr>
        <w:ind w:firstLine="560" w:firstLineChars="200"/>
        <w:rPr>
          <w:rFonts w:hint="eastAsia" w:ascii="仿宋" w:hAnsi="仿宋" w:eastAsia="仿宋" w:cs="Times New Roman"/>
          <w:sz w:val="28"/>
          <w:szCs w:val="28"/>
          <w:lang w:val="zh-CN"/>
        </w:rPr>
      </w:pPr>
      <w:r>
        <w:rPr>
          <w:rFonts w:hint="eastAsia" w:ascii="仿宋" w:hAnsi="仿宋" w:eastAsia="仿宋" w:cs="Times New Roman"/>
          <w:sz w:val="28"/>
          <w:szCs w:val="28"/>
          <w:lang w:val="zh-CN"/>
        </w:rPr>
        <w:t>1.采购人信息</w:t>
      </w:r>
    </w:p>
    <w:p w14:paraId="7C69A511">
      <w:pPr>
        <w:ind w:firstLine="560" w:firstLineChars="200"/>
        <w:rPr>
          <w:rFonts w:hint="eastAsia" w:ascii="仿宋" w:hAnsi="仿宋" w:eastAsia="仿宋" w:cs="Times New Roman"/>
          <w:sz w:val="28"/>
          <w:szCs w:val="28"/>
          <w:lang w:val="zh-CN"/>
        </w:rPr>
      </w:pPr>
      <w:r>
        <w:rPr>
          <w:rFonts w:hint="eastAsia" w:ascii="仿宋" w:hAnsi="仿宋" w:eastAsia="仿宋" w:cs="Times New Roman"/>
          <w:sz w:val="28"/>
          <w:szCs w:val="28"/>
          <w:lang w:val="zh-CN" w:eastAsia="zh-CN"/>
        </w:rPr>
        <w:t>名</w:t>
      </w:r>
      <w:r>
        <w:rPr>
          <w:rFonts w:hint="eastAsia" w:ascii="仿宋" w:hAnsi="仿宋" w:eastAsia="仿宋" w:cs="Times New Roman"/>
          <w:sz w:val="28"/>
          <w:szCs w:val="28"/>
          <w:lang w:val="en-US" w:eastAsia="zh-CN"/>
        </w:rPr>
        <w:t xml:space="preserve">    </w:t>
      </w:r>
      <w:r>
        <w:rPr>
          <w:rFonts w:hint="eastAsia" w:ascii="仿宋" w:hAnsi="仿宋" w:eastAsia="仿宋" w:cs="Times New Roman"/>
          <w:sz w:val="28"/>
          <w:szCs w:val="28"/>
          <w:lang w:val="zh-CN" w:eastAsia="zh-CN"/>
        </w:rPr>
        <w:t>称</w:t>
      </w:r>
      <w:r>
        <w:rPr>
          <w:rFonts w:hint="eastAsia" w:ascii="仿宋" w:hAnsi="仿宋" w:eastAsia="仿宋" w:cs="Times New Roman"/>
          <w:sz w:val="28"/>
          <w:szCs w:val="28"/>
          <w:lang w:val="zh-CN"/>
        </w:rPr>
        <w:t>：长春宽城经济开发区管理委员会</w:t>
      </w:r>
    </w:p>
    <w:p w14:paraId="0D5C6934">
      <w:pPr>
        <w:ind w:firstLine="560" w:firstLineChars="200"/>
        <w:rPr>
          <w:rFonts w:hint="eastAsia" w:ascii="仿宋" w:hAnsi="仿宋" w:eastAsia="仿宋" w:cs="Times New Roman"/>
          <w:sz w:val="28"/>
          <w:szCs w:val="28"/>
          <w:lang w:val="zh-CN"/>
        </w:rPr>
      </w:pPr>
      <w:r>
        <w:rPr>
          <w:rFonts w:hint="eastAsia" w:ascii="仿宋" w:hAnsi="仿宋" w:eastAsia="仿宋" w:cs="Times New Roman"/>
          <w:sz w:val="28"/>
          <w:szCs w:val="28"/>
          <w:lang w:val="zh-CN"/>
        </w:rPr>
        <w:t>地</w:t>
      </w:r>
      <w:r>
        <w:rPr>
          <w:rFonts w:hint="eastAsia" w:ascii="仿宋" w:hAnsi="仿宋" w:eastAsia="仿宋" w:cs="Times New Roman"/>
          <w:sz w:val="28"/>
          <w:szCs w:val="28"/>
          <w:lang w:val="zh-CN" w:eastAsia="zh-CN"/>
        </w:rPr>
        <w:t xml:space="preserve"> </w:t>
      </w:r>
      <w:r>
        <w:rPr>
          <w:rFonts w:hint="eastAsia" w:ascii="仿宋" w:hAnsi="仿宋" w:eastAsia="仿宋" w:cs="Times New Roman"/>
          <w:sz w:val="28"/>
          <w:szCs w:val="28"/>
          <w:lang w:val="en-US" w:eastAsia="zh-CN"/>
        </w:rPr>
        <w:t xml:space="preserve">   </w:t>
      </w:r>
      <w:r>
        <w:rPr>
          <w:rFonts w:hint="eastAsia" w:ascii="仿宋" w:hAnsi="仿宋" w:eastAsia="仿宋" w:cs="Times New Roman"/>
          <w:sz w:val="28"/>
          <w:szCs w:val="28"/>
          <w:lang w:val="zh-CN"/>
        </w:rPr>
        <w:t>址：长春市宽城区凯旋北路7388号</w:t>
      </w:r>
    </w:p>
    <w:p w14:paraId="7A4F991C">
      <w:pPr>
        <w:ind w:firstLine="560" w:firstLineChars="200"/>
        <w:rPr>
          <w:rFonts w:hint="default" w:ascii="仿宋" w:hAnsi="仿宋" w:eastAsia="仿宋" w:cs="Times New Roman"/>
          <w:sz w:val="28"/>
          <w:szCs w:val="28"/>
          <w:lang w:val="en-US" w:eastAsia="zh-CN"/>
        </w:rPr>
      </w:pPr>
      <w:r>
        <w:rPr>
          <w:rFonts w:hint="eastAsia" w:ascii="仿宋" w:hAnsi="仿宋" w:eastAsia="仿宋" w:cs="Times New Roman"/>
          <w:sz w:val="28"/>
          <w:szCs w:val="28"/>
          <w:lang w:val="zh-CN"/>
        </w:rPr>
        <w:t>联</w:t>
      </w:r>
      <w:r>
        <w:rPr>
          <w:rFonts w:hint="eastAsia" w:ascii="仿宋" w:hAnsi="仿宋" w:eastAsia="仿宋" w:cs="Times New Roman"/>
          <w:sz w:val="28"/>
          <w:szCs w:val="28"/>
          <w:lang w:val="en-US" w:eastAsia="zh-CN"/>
        </w:rPr>
        <w:t xml:space="preserve"> </w:t>
      </w:r>
      <w:r>
        <w:rPr>
          <w:rFonts w:hint="eastAsia" w:ascii="仿宋" w:hAnsi="仿宋" w:eastAsia="仿宋" w:cs="Times New Roman"/>
          <w:sz w:val="28"/>
          <w:szCs w:val="28"/>
          <w:lang w:val="zh-CN"/>
        </w:rPr>
        <w:t>系</w:t>
      </w:r>
      <w:r>
        <w:rPr>
          <w:rFonts w:hint="eastAsia" w:ascii="仿宋" w:hAnsi="仿宋" w:eastAsia="仿宋" w:cs="Times New Roman"/>
          <w:sz w:val="28"/>
          <w:szCs w:val="28"/>
          <w:lang w:val="en-US" w:eastAsia="zh-CN"/>
        </w:rPr>
        <w:t xml:space="preserve"> </w:t>
      </w:r>
      <w:r>
        <w:rPr>
          <w:rFonts w:hint="eastAsia" w:ascii="仿宋" w:hAnsi="仿宋" w:eastAsia="仿宋" w:cs="Times New Roman"/>
          <w:sz w:val="28"/>
          <w:szCs w:val="28"/>
          <w:lang w:val="zh-CN" w:eastAsia="zh-CN"/>
        </w:rPr>
        <w:t>人</w:t>
      </w:r>
      <w:r>
        <w:rPr>
          <w:rFonts w:hint="eastAsia" w:ascii="仿宋" w:hAnsi="仿宋" w:eastAsia="仿宋" w:cs="Times New Roman"/>
          <w:sz w:val="28"/>
          <w:szCs w:val="28"/>
          <w:lang w:val="zh-CN"/>
        </w:rPr>
        <w:t>：胡玉姝</w:t>
      </w:r>
    </w:p>
    <w:p w14:paraId="57C7C9E8">
      <w:pPr>
        <w:ind w:firstLine="560" w:firstLineChars="200"/>
        <w:rPr>
          <w:rFonts w:hint="eastAsia" w:ascii="仿宋" w:hAnsi="仿宋" w:eastAsia="仿宋" w:cs="Times New Roman"/>
          <w:sz w:val="28"/>
          <w:szCs w:val="28"/>
          <w:lang w:val="zh-CN"/>
        </w:rPr>
      </w:pPr>
      <w:r>
        <w:rPr>
          <w:rFonts w:hint="eastAsia" w:ascii="仿宋" w:hAnsi="仿宋" w:eastAsia="仿宋" w:cs="Times New Roman"/>
          <w:sz w:val="28"/>
          <w:szCs w:val="28"/>
          <w:lang w:val="zh-CN" w:eastAsia="zh-CN"/>
        </w:rPr>
        <w:t>联系电话：</w:t>
      </w:r>
      <w:r>
        <w:rPr>
          <w:rFonts w:hint="eastAsia" w:ascii="仿宋" w:hAnsi="仿宋" w:eastAsia="仿宋" w:cs="Times New Roman"/>
          <w:sz w:val="28"/>
          <w:szCs w:val="28"/>
          <w:lang w:val="en-US" w:eastAsia="zh-CN"/>
        </w:rPr>
        <w:t>0431-89991801</w:t>
      </w:r>
    </w:p>
    <w:p w14:paraId="03839DB3">
      <w:pPr>
        <w:ind w:firstLine="560" w:firstLineChars="200"/>
        <w:rPr>
          <w:rFonts w:hint="eastAsia" w:ascii="仿宋" w:hAnsi="仿宋" w:eastAsia="仿宋" w:cs="Times New Roman"/>
          <w:sz w:val="28"/>
          <w:szCs w:val="28"/>
          <w:lang w:val="zh-CN"/>
        </w:rPr>
      </w:pPr>
      <w:r>
        <w:rPr>
          <w:rFonts w:hint="eastAsia" w:ascii="仿宋" w:hAnsi="仿宋" w:eastAsia="仿宋" w:cs="Times New Roman"/>
          <w:sz w:val="28"/>
          <w:szCs w:val="28"/>
          <w:lang w:val="zh-CN"/>
        </w:rPr>
        <w:t>2</w:t>
      </w:r>
      <w:r>
        <w:rPr>
          <w:rFonts w:hint="eastAsia" w:ascii="仿宋" w:hAnsi="仿宋" w:eastAsia="仿宋" w:cs="Times New Roman"/>
          <w:sz w:val="28"/>
          <w:szCs w:val="28"/>
          <w:lang w:val="zh-CN" w:eastAsia="zh-CN"/>
        </w:rPr>
        <w:t>.</w:t>
      </w:r>
      <w:r>
        <w:rPr>
          <w:rFonts w:hint="eastAsia" w:ascii="仿宋" w:hAnsi="仿宋" w:eastAsia="仿宋" w:cs="Times New Roman"/>
          <w:sz w:val="28"/>
          <w:szCs w:val="28"/>
          <w:lang w:val="zh-CN"/>
        </w:rPr>
        <w:t>采购代理机构信息</w:t>
      </w:r>
    </w:p>
    <w:p w14:paraId="0982B13D">
      <w:pPr>
        <w:ind w:firstLine="560" w:firstLineChars="200"/>
        <w:rPr>
          <w:rFonts w:hint="eastAsia" w:ascii="仿宋" w:hAnsi="仿宋" w:eastAsia="仿宋" w:cs="Times New Roman"/>
          <w:sz w:val="28"/>
          <w:szCs w:val="28"/>
          <w:lang w:val="zh-CN" w:eastAsia="zh-CN"/>
        </w:rPr>
      </w:pPr>
      <w:r>
        <w:rPr>
          <w:rFonts w:hint="eastAsia" w:ascii="仿宋" w:hAnsi="仿宋" w:eastAsia="仿宋" w:cs="Times New Roman"/>
          <w:sz w:val="28"/>
          <w:szCs w:val="28"/>
          <w:lang w:val="zh-CN"/>
        </w:rPr>
        <w:t>采购代理机构：</w:t>
      </w:r>
      <w:r>
        <w:rPr>
          <w:rFonts w:hint="eastAsia" w:ascii="仿宋" w:hAnsi="仿宋" w:eastAsia="仿宋" w:cs="Times New Roman"/>
          <w:sz w:val="28"/>
          <w:szCs w:val="28"/>
          <w:lang w:val="zh-CN" w:eastAsia="zh-CN"/>
        </w:rPr>
        <w:t>吉林省捷冠工程管理有限公司</w:t>
      </w:r>
    </w:p>
    <w:p w14:paraId="63F068FA">
      <w:pPr>
        <w:ind w:firstLine="560" w:firstLineChars="200"/>
        <w:rPr>
          <w:rFonts w:hint="default" w:ascii="仿宋" w:hAnsi="仿宋" w:eastAsia="仿宋" w:cs="Times New Roman"/>
          <w:sz w:val="28"/>
          <w:szCs w:val="28"/>
          <w:lang w:val="en-US" w:eastAsia="zh-CN"/>
        </w:rPr>
      </w:pPr>
      <w:r>
        <w:rPr>
          <w:rFonts w:hint="eastAsia" w:ascii="仿宋" w:hAnsi="仿宋" w:eastAsia="仿宋" w:cs="Times New Roman"/>
          <w:sz w:val="28"/>
          <w:szCs w:val="28"/>
          <w:lang w:val="zh-CN"/>
        </w:rPr>
        <w:t>地</w:t>
      </w:r>
      <w:r>
        <w:rPr>
          <w:rFonts w:hint="eastAsia" w:ascii="仿宋" w:hAnsi="仿宋" w:eastAsia="仿宋" w:cs="Times New Roman"/>
          <w:sz w:val="28"/>
          <w:szCs w:val="28"/>
          <w:lang w:val="en-US" w:eastAsia="zh-CN"/>
        </w:rPr>
        <w:t xml:space="preserve">    </w:t>
      </w:r>
      <w:r>
        <w:rPr>
          <w:rFonts w:hint="eastAsia" w:ascii="仿宋" w:hAnsi="仿宋" w:eastAsia="仿宋" w:cs="Times New Roman"/>
          <w:sz w:val="28"/>
          <w:szCs w:val="28"/>
          <w:lang w:val="zh-CN"/>
        </w:rPr>
        <w:t>址：长春市朝阳区红旗街765号华亿红府4、14幢1单元1205号房</w:t>
      </w:r>
    </w:p>
    <w:p w14:paraId="0C5CD839">
      <w:pPr>
        <w:ind w:firstLine="560" w:firstLineChars="200"/>
        <w:rPr>
          <w:rFonts w:hint="eastAsia" w:ascii="仿宋" w:hAnsi="仿宋" w:eastAsia="仿宋" w:cs="Times New Roman"/>
          <w:sz w:val="28"/>
          <w:szCs w:val="28"/>
          <w:lang w:val="zh-CN"/>
        </w:rPr>
      </w:pPr>
      <w:r>
        <w:rPr>
          <w:rFonts w:hint="eastAsia" w:ascii="仿宋" w:hAnsi="仿宋" w:eastAsia="仿宋" w:cs="Times New Roman"/>
          <w:sz w:val="28"/>
          <w:szCs w:val="28"/>
          <w:lang w:val="zh-CN"/>
        </w:rPr>
        <w:t>联</w:t>
      </w:r>
      <w:r>
        <w:rPr>
          <w:rFonts w:hint="eastAsia" w:ascii="仿宋" w:hAnsi="仿宋" w:eastAsia="仿宋" w:cs="Times New Roman"/>
          <w:sz w:val="28"/>
          <w:szCs w:val="28"/>
          <w:lang w:val="en-US" w:eastAsia="zh-CN"/>
        </w:rPr>
        <w:t xml:space="preserve"> </w:t>
      </w:r>
      <w:r>
        <w:rPr>
          <w:rFonts w:hint="eastAsia" w:ascii="仿宋" w:hAnsi="仿宋" w:eastAsia="仿宋" w:cs="Times New Roman"/>
          <w:sz w:val="28"/>
          <w:szCs w:val="28"/>
          <w:lang w:val="zh-CN"/>
        </w:rPr>
        <w:t>系</w:t>
      </w:r>
      <w:r>
        <w:rPr>
          <w:rFonts w:hint="eastAsia" w:ascii="仿宋" w:hAnsi="仿宋" w:eastAsia="仿宋" w:cs="Times New Roman"/>
          <w:sz w:val="28"/>
          <w:szCs w:val="28"/>
          <w:lang w:val="en-US" w:eastAsia="zh-CN"/>
        </w:rPr>
        <w:t xml:space="preserve"> </w:t>
      </w:r>
      <w:r>
        <w:rPr>
          <w:rFonts w:hint="eastAsia" w:ascii="仿宋" w:hAnsi="仿宋" w:eastAsia="仿宋" w:cs="Times New Roman"/>
          <w:sz w:val="28"/>
          <w:szCs w:val="28"/>
          <w:lang w:val="zh-CN"/>
        </w:rPr>
        <w:t>人：恬露</w:t>
      </w:r>
    </w:p>
    <w:p w14:paraId="01F1A590">
      <w:pPr>
        <w:ind w:firstLine="560" w:firstLineChars="200"/>
        <w:rPr>
          <w:rFonts w:hint="eastAsia" w:ascii="仿宋" w:hAnsi="仿宋" w:eastAsia="仿宋" w:cs="Times New Roman"/>
          <w:sz w:val="28"/>
          <w:szCs w:val="28"/>
          <w:lang w:val="zh-CN"/>
        </w:rPr>
      </w:pPr>
      <w:r>
        <w:rPr>
          <w:rFonts w:hint="eastAsia" w:ascii="仿宋" w:hAnsi="仿宋" w:eastAsia="仿宋" w:cs="Times New Roman"/>
          <w:sz w:val="28"/>
          <w:szCs w:val="28"/>
          <w:lang w:val="zh-CN"/>
        </w:rPr>
        <w:t>联系电话：15643022390</w:t>
      </w:r>
    </w:p>
    <w:p w14:paraId="3C1C1C6B">
      <w:pPr>
        <w:ind w:firstLine="560" w:firstLineChars="200"/>
        <w:rPr>
          <w:rFonts w:hint="eastAsia" w:ascii="仿宋" w:hAnsi="仿宋" w:eastAsia="仿宋" w:cs="Times New Roman"/>
          <w:sz w:val="28"/>
          <w:szCs w:val="28"/>
          <w:lang w:val="zh-CN"/>
        </w:rPr>
      </w:pPr>
      <w:r>
        <w:rPr>
          <w:rFonts w:hint="eastAsia" w:ascii="仿宋" w:hAnsi="仿宋" w:eastAsia="仿宋" w:cs="Times New Roman"/>
          <w:sz w:val="28"/>
          <w:szCs w:val="28"/>
          <w:lang w:val="zh-CN"/>
        </w:rPr>
        <w:t>3</w:t>
      </w:r>
      <w:r>
        <w:rPr>
          <w:rFonts w:hint="eastAsia" w:ascii="仿宋" w:hAnsi="仿宋" w:eastAsia="仿宋" w:cs="Times New Roman"/>
          <w:sz w:val="28"/>
          <w:szCs w:val="28"/>
          <w:lang w:val="zh-CN" w:eastAsia="zh-CN"/>
        </w:rPr>
        <w:t>.</w:t>
      </w:r>
      <w:r>
        <w:rPr>
          <w:rFonts w:hint="eastAsia" w:ascii="仿宋" w:hAnsi="仿宋" w:eastAsia="仿宋" w:cs="Times New Roman"/>
          <w:sz w:val="28"/>
          <w:szCs w:val="28"/>
          <w:lang w:val="zh-CN"/>
        </w:rPr>
        <w:t>项目联系方式</w:t>
      </w:r>
    </w:p>
    <w:p w14:paraId="7E353D22">
      <w:pPr>
        <w:ind w:firstLine="560" w:firstLineChars="200"/>
        <w:rPr>
          <w:rFonts w:hint="eastAsia" w:ascii="仿宋" w:hAnsi="仿宋" w:eastAsia="仿宋" w:cs="Times New Roman"/>
          <w:sz w:val="28"/>
          <w:szCs w:val="28"/>
          <w:lang w:val="zh-CN"/>
        </w:rPr>
      </w:pPr>
      <w:r>
        <w:rPr>
          <w:rFonts w:hint="eastAsia" w:ascii="仿宋" w:hAnsi="仿宋" w:eastAsia="仿宋" w:cs="Times New Roman"/>
          <w:sz w:val="28"/>
          <w:szCs w:val="28"/>
          <w:lang w:val="zh-CN"/>
        </w:rPr>
        <w:t>采购代理机构联系人：</w:t>
      </w:r>
      <w:r>
        <w:rPr>
          <w:rFonts w:hint="eastAsia" w:ascii="仿宋" w:hAnsi="仿宋" w:eastAsia="仿宋" w:cs="Times New Roman"/>
          <w:sz w:val="28"/>
          <w:szCs w:val="28"/>
          <w:lang w:val="en-US" w:eastAsia="zh-CN"/>
        </w:rPr>
        <w:t>恬露</w:t>
      </w:r>
      <w:r>
        <w:rPr>
          <w:rFonts w:hint="eastAsia" w:ascii="仿宋" w:hAnsi="仿宋" w:eastAsia="仿宋" w:cs="Times New Roman"/>
          <w:sz w:val="28"/>
          <w:szCs w:val="28"/>
          <w:lang w:val="zh-CN"/>
        </w:rPr>
        <w:t xml:space="preserve"> </w:t>
      </w:r>
    </w:p>
    <w:p w14:paraId="56B45010">
      <w:pPr>
        <w:ind w:firstLine="560" w:firstLineChars="200"/>
        <w:rPr>
          <w:rFonts w:hint="eastAsia" w:ascii="仿宋" w:hAnsi="仿宋" w:eastAsia="仿宋" w:cs="Times New Roman"/>
          <w:sz w:val="28"/>
          <w:szCs w:val="28"/>
          <w:lang w:val="zh-CN"/>
        </w:rPr>
      </w:pPr>
      <w:r>
        <w:rPr>
          <w:rFonts w:hint="eastAsia" w:ascii="仿宋" w:hAnsi="仿宋" w:eastAsia="仿宋" w:cs="Times New Roman"/>
          <w:sz w:val="28"/>
          <w:szCs w:val="28"/>
          <w:lang w:val="zh-CN"/>
        </w:rPr>
        <w:t>联系电话：15643022390</w:t>
      </w:r>
    </w:p>
    <w:p w14:paraId="6D1E438A">
      <w:pPr>
        <w:rPr>
          <w:rFonts w:hint="eastAsia"/>
        </w:rPr>
      </w:pPr>
    </w:p>
    <w:p w14:paraId="767FAB55">
      <w:pPr>
        <w:rPr>
          <w:rFonts w:hint="eastAsia"/>
        </w:rPr>
      </w:pPr>
    </w:p>
    <w:p w14:paraId="179B7C43">
      <w:pPr>
        <w:rPr>
          <w:rFonts w:hint="eastAsia"/>
        </w:rPr>
      </w:pPr>
    </w:p>
    <w:p w14:paraId="1DB82231">
      <w:pPr>
        <w:rPr>
          <w:rFonts w:hint="eastAsia"/>
        </w:rPr>
      </w:pPr>
    </w:p>
    <w:p w14:paraId="1D2B0545">
      <w:pPr>
        <w:rPr>
          <w:rFonts w:hint="eastAsia"/>
        </w:rPr>
      </w:pPr>
    </w:p>
    <w:p w14:paraId="1014FC89">
      <w:pPr>
        <w:rPr>
          <w:rFonts w:hint="eastAsia"/>
        </w:rPr>
      </w:pPr>
    </w:p>
    <w:p w14:paraId="1F9D684B">
      <w:pPr>
        <w:rPr>
          <w:rFonts w:hint="eastAsia"/>
        </w:rPr>
      </w:pPr>
    </w:p>
    <w:p w14:paraId="4F5C37A6">
      <w:pPr>
        <w:rPr>
          <w:rFonts w:hint="eastAsia"/>
        </w:rPr>
      </w:pPr>
    </w:p>
    <w:p w14:paraId="29F462F5">
      <w:pPr>
        <w:rPr>
          <w:rFonts w:hint="eastAsia"/>
        </w:rPr>
      </w:pPr>
    </w:p>
    <w:p w14:paraId="66567C68">
      <w:pPr>
        <w:rPr>
          <w:rFonts w:hint="eastAsia"/>
        </w:rPr>
      </w:pPr>
    </w:p>
    <w:p w14:paraId="54C65B9C">
      <w:pPr>
        <w:rPr>
          <w:rFonts w:hint="eastAsia"/>
        </w:rPr>
      </w:pPr>
    </w:p>
    <w:p w14:paraId="2A8F25FE">
      <w:pPr>
        <w:rPr>
          <w:rFonts w:hint="eastAsia"/>
        </w:rPr>
      </w:pPr>
    </w:p>
    <w:p w14:paraId="149D27BF">
      <w:pPr>
        <w:rPr>
          <w:rFonts w:hint="eastAsia"/>
        </w:rPr>
      </w:pPr>
    </w:p>
    <w:p w14:paraId="515C8750">
      <w:pPr>
        <w:rPr>
          <w:rFonts w:hint="eastAsia"/>
        </w:rPr>
      </w:pPr>
    </w:p>
    <w:p w14:paraId="4DF74B2F">
      <w:pPr>
        <w:rPr>
          <w:rFonts w:hint="eastAsia"/>
        </w:rPr>
      </w:pPr>
    </w:p>
    <w:p w14:paraId="13DD23B2">
      <w:pPr>
        <w:rPr>
          <w:rFonts w:hint="eastAsia"/>
        </w:rPr>
      </w:pPr>
    </w:p>
    <w:p w14:paraId="44E527A1">
      <w:pPr>
        <w:rPr>
          <w:rFonts w:hint="eastAsia"/>
        </w:rPr>
      </w:pPr>
    </w:p>
    <w:p w14:paraId="0FEB9E50">
      <w:pPr>
        <w:rPr>
          <w:rFonts w:hint="eastAsia"/>
        </w:rPr>
      </w:pPr>
    </w:p>
    <w:p w14:paraId="67FBDC1E">
      <w:pPr>
        <w:rPr>
          <w:rFonts w:hint="eastAsia"/>
        </w:rPr>
      </w:pPr>
    </w:p>
    <w:p w14:paraId="5CFB2B2C">
      <w:pPr>
        <w:rPr>
          <w:rFonts w:hint="eastAsia"/>
        </w:rPr>
      </w:pPr>
    </w:p>
    <w:p w14:paraId="36A4042D">
      <w:pPr>
        <w:rPr>
          <w:rFonts w:hint="eastAsia"/>
        </w:rPr>
      </w:pPr>
    </w:p>
    <w:p w14:paraId="510BFCB1">
      <w:pPr>
        <w:rPr>
          <w:rFonts w:hint="eastAsia"/>
        </w:rPr>
      </w:pPr>
    </w:p>
    <w:p w14:paraId="6E50B3A5">
      <w:pPr>
        <w:rPr>
          <w:rFonts w:hint="eastAsia"/>
        </w:rPr>
      </w:pPr>
    </w:p>
    <w:p w14:paraId="79CFE910">
      <w:pPr>
        <w:rPr>
          <w:rFonts w:hint="eastAsia"/>
        </w:rPr>
      </w:pPr>
    </w:p>
    <w:p w14:paraId="4F66A155">
      <w:pPr>
        <w:rPr>
          <w:rFonts w:hint="eastAsia"/>
        </w:rPr>
      </w:pPr>
    </w:p>
    <w:p w14:paraId="5083F6A8">
      <w:pPr>
        <w:rPr>
          <w:rFonts w:hint="eastAsia"/>
        </w:rPr>
      </w:pPr>
    </w:p>
    <w:p w14:paraId="34280409">
      <w:pPr>
        <w:rPr>
          <w:rFonts w:hint="eastAsia"/>
        </w:rPr>
      </w:pPr>
    </w:p>
    <w:p w14:paraId="5313F9BA">
      <w:pPr>
        <w:rPr>
          <w:rFonts w:hint="eastAsia"/>
        </w:rPr>
      </w:pPr>
    </w:p>
    <w:p w14:paraId="5CD01E4D">
      <w:pPr>
        <w:rPr>
          <w:rFonts w:hint="eastAsia"/>
        </w:rPr>
      </w:pPr>
    </w:p>
    <w:p w14:paraId="66657877">
      <w:pPr>
        <w:rPr>
          <w:rFonts w:hint="eastAsia"/>
        </w:rPr>
      </w:pPr>
    </w:p>
    <w:p w14:paraId="06D72E00">
      <w:pPr>
        <w:rPr>
          <w:rFonts w:hint="eastAsia"/>
        </w:rPr>
      </w:pPr>
    </w:p>
    <w:p w14:paraId="32B8D51F">
      <w:pPr>
        <w:rPr>
          <w:rFonts w:hint="eastAsia"/>
        </w:rPr>
      </w:pPr>
    </w:p>
    <w:p w14:paraId="51075EB1">
      <w:pPr>
        <w:rPr>
          <w:rFonts w:hint="eastAsia"/>
        </w:rPr>
      </w:pPr>
    </w:p>
    <w:p w14:paraId="7CE1D81F">
      <w:pPr>
        <w:rPr>
          <w:rFonts w:hint="eastAsia"/>
        </w:rPr>
      </w:pPr>
    </w:p>
    <w:p w14:paraId="634182BC">
      <w:pPr>
        <w:rPr>
          <w:rFonts w:hint="eastAsia"/>
        </w:rPr>
      </w:pPr>
    </w:p>
    <w:p w14:paraId="6E293F91">
      <w:pPr>
        <w:rPr>
          <w:rFonts w:hint="eastAsia"/>
        </w:rPr>
      </w:pPr>
    </w:p>
    <w:p w14:paraId="4610E69E">
      <w:pPr>
        <w:rPr>
          <w:rFonts w:hint="eastAsia"/>
        </w:rPr>
      </w:pPr>
    </w:p>
    <w:p w14:paraId="1240DD24">
      <w:pPr>
        <w:rPr>
          <w:rFonts w:hint="eastAsia"/>
        </w:rPr>
      </w:pPr>
    </w:p>
    <w:p w14:paraId="784435FF">
      <w:pPr>
        <w:rPr>
          <w:rFonts w:hint="eastAsia"/>
        </w:rPr>
      </w:pPr>
    </w:p>
    <w:p w14:paraId="331487F3">
      <w:pPr>
        <w:rPr>
          <w:rFonts w:hint="eastAsia"/>
        </w:rPr>
      </w:pPr>
    </w:p>
    <w:p w14:paraId="59318778">
      <w:pPr>
        <w:rPr>
          <w:rFonts w:hint="eastAsia"/>
        </w:rPr>
      </w:pPr>
    </w:p>
    <w:p w14:paraId="65B1AACF">
      <w:pPr>
        <w:rPr>
          <w:rFonts w:hint="eastAsia"/>
        </w:rPr>
      </w:pPr>
    </w:p>
    <w:p w14:paraId="4BD7ACAA">
      <w:pPr>
        <w:rPr>
          <w:rFonts w:hint="eastAsia"/>
        </w:rPr>
      </w:pPr>
    </w:p>
    <w:p w14:paraId="3443A8AB">
      <w:pPr>
        <w:rPr>
          <w:rFonts w:hint="eastAsia"/>
        </w:rPr>
      </w:pPr>
    </w:p>
    <w:p w14:paraId="00BFF666">
      <w:pPr>
        <w:rPr>
          <w:rFonts w:hint="eastAsia"/>
        </w:rPr>
      </w:pPr>
    </w:p>
    <w:p w14:paraId="5B7B9CBE">
      <w:pPr>
        <w:rPr>
          <w:rFonts w:hint="eastAsia"/>
        </w:rPr>
      </w:pPr>
    </w:p>
    <w:p w14:paraId="7323A36D">
      <w:pPr>
        <w:pStyle w:val="18"/>
        <w:jc w:val="center"/>
        <w:outlineLvl w:val="0"/>
        <w:rPr>
          <w:color w:val="000000"/>
          <w:highlight w:val="none"/>
        </w:rPr>
      </w:pPr>
      <w:bookmarkStart w:id="17" w:name="_Toc9826"/>
      <w:r>
        <w:rPr>
          <w:rFonts w:hint="eastAsia" w:ascii="宋体" w:cs="宋体"/>
          <w:bCs w:val="0"/>
          <w:snapToGrid w:val="0"/>
          <w:sz w:val="36"/>
          <w:szCs w:val="36"/>
          <w:highlight w:val="none"/>
        </w:rPr>
        <w:t>第二章 投标人须知</w:t>
      </w:r>
      <w:bookmarkEnd w:id="17"/>
    </w:p>
    <w:p w14:paraId="2CAE00E3">
      <w:pPr>
        <w:autoSpaceDE w:val="0"/>
        <w:autoSpaceDN w:val="0"/>
        <w:adjustRightInd w:val="0"/>
        <w:snapToGrid w:val="0"/>
        <w:spacing w:line="360" w:lineRule="auto"/>
        <w:ind w:firstLine="120" w:firstLineChars="50"/>
        <w:jc w:val="center"/>
        <w:rPr>
          <w:rFonts w:hint="eastAsia" w:ascii="宋体" w:hAnsi="宋体" w:eastAsia="宋体" w:cs="宋体"/>
          <w:color w:val="000000"/>
          <w:kern w:val="0"/>
          <w:sz w:val="24"/>
          <w:szCs w:val="24"/>
          <w:highlight w:val="none"/>
        </w:rPr>
      </w:pPr>
      <w:r>
        <w:rPr>
          <w:rFonts w:hint="eastAsia" w:ascii="宋体" w:hAnsi="宋体" w:eastAsia="宋体" w:cs="宋体"/>
          <w:b/>
          <w:bCs/>
          <w:color w:val="000000"/>
          <w:kern w:val="0"/>
          <w:sz w:val="24"/>
          <w:szCs w:val="24"/>
          <w:highlight w:val="none"/>
        </w:rPr>
        <w:t>投标人须知前附表</w:t>
      </w:r>
    </w:p>
    <w:tbl>
      <w:tblPr>
        <w:tblStyle w:val="21"/>
        <w:tblW w:w="5089" w:type="pct"/>
        <w:jc w:val="center"/>
        <w:tblLayout w:type="autofit"/>
        <w:tblCellMar>
          <w:top w:w="0" w:type="dxa"/>
          <w:left w:w="108" w:type="dxa"/>
          <w:bottom w:w="0" w:type="dxa"/>
          <w:right w:w="108" w:type="dxa"/>
        </w:tblCellMar>
      </w:tblPr>
      <w:tblGrid>
        <w:gridCol w:w="741"/>
        <w:gridCol w:w="2414"/>
        <w:gridCol w:w="5309"/>
      </w:tblGrid>
      <w:tr w14:paraId="624C60BF">
        <w:tblPrEx>
          <w:tblCellMar>
            <w:top w:w="0" w:type="dxa"/>
            <w:left w:w="108" w:type="dxa"/>
            <w:bottom w:w="0" w:type="dxa"/>
            <w:right w:w="108" w:type="dxa"/>
          </w:tblCellMar>
        </w:tblPrEx>
        <w:trPr>
          <w:trHeight w:val="418" w:hRule="atLeast"/>
          <w:jc w:val="center"/>
        </w:trPr>
        <w:tc>
          <w:tcPr>
            <w:tcW w:w="438" w:type="pct"/>
            <w:tcBorders>
              <w:top w:val="double" w:color="auto" w:sz="2" w:space="0"/>
              <w:left w:val="double" w:color="auto" w:sz="2" w:space="0"/>
              <w:bottom w:val="single" w:color="auto" w:sz="6" w:space="0"/>
              <w:right w:val="single" w:color="auto" w:sz="6" w:space="0"/>
            </w:tcBorders>
            <w:noWrap w:val="0"/>
            <w:tcMar>
              <w:left w:w="0" w:type="dxa"/>
              <w:right w:w="0" w:type="dxa"/>
            </w:tcMar>
            <w:vAlign w:val="center"/>
          </w:tcPr>
          <w:p w14:paraId="39748293">
            <w:pPr>
              <w:keepNext w:val="0"/>
              <w:keepLines w:val="0"/>
              <w:pageBreakBefore w:val="0"/>
              <w:widowControl w:val="0"/>
              <w:kinsoku/>
              <w:wordWrap/>
              <w:overflowPunct/>
              <w:topLinePunct w:val="0"/>
              <w:bidi w:val="0"/>
              <w:adjustRightInd/>
              <w:spacing w:line="360" w:lineRule="auto"/>
              <w:jc w:val="center"/>
              <w:textAlignment w:val="auto"/>
              <w:rPr>
                <w:rFonts w:hint="eastAsia" w:ascii="宋体" w:cs="宋体"/>
                <w:b/>
                <w:bCs/>
                <w:color w:val="000000"/>
                <w:highlight w:val="none"/>
              </w:rPr>
            </w:pPr>
            <w:r>
              <w:rPr>
                <w:rFonts w:hint="eastAsia" w:ascii="宋体" w:cs="宋体"/>
                <w:b/>
                <w:bCs/>
                <w:color w:val="000000"/>
                <w:highlight w:val="none"/>
              </w:rPr>
              <w:t>序号</w:t>
            </w:r>
          </w:p>
        </w:tc>
        <w:tc>
          <w:tcPr>
            <w:tcW w:w="1426" w:type="pct"/>
            <w:tcBorders>
              <w:top w:val="double" w:color="auto" w:sz="2" w:space="0"/>
              <w:left w:val="single" w:color="auto" w:sz="6" w:space="0"/>
              <w:bottom w:val="single" w:color="auto" w:sz="6" w:space="0"/>
              <w:right w:val="single" w:color="auto" w:sz="6" w:space="0"/>
            </w:tcBorders>
            <w:noWrap w:val="0"/>
            <w:tcMar>
              <w:left w:w="0" w:type="dxa"/>
              <w:right w:w="0" w:type="dxa"/>
            </w:tcMar>
            <w:vAlign w:val="center"/>
          </w:tcPr>
          <w:p w14:paraId="7B09BAE7">
            <w:pPr>
              <w:keepNext w:val="0"/>
              <w:keepLines w:val="0"/>
              <w:pageBreakBefore w:val="0"/>
              <w:widowControl w:val="0"/>
              <w:kinsoku/>
              <w:wordWrap/>
              <w:overflowPunct/>
              <w:topLinePunct w:val="0"/>
              <w:bidi w:val="0"/>
              <w:adjustRightInd/>
              <w:spacing w:line="360" w:lineRule="auto"/>
              <w:jc w:val="center"/>
              <w:textAlignment w:val="auto"/>
              <w:rPr>
                <w:rFonts w:hint="eastAsia" w:ascii="宋体" w:cs="宋体"/>
                <w:b/>
                <w:bCs/>
                <w:color w:val="000000"/>
                <w:highlight w:val="none"/>
              </w:rPr>
            </w:pPr>
            <w:r>
              <w:rPr>
                <w:rFonts w:hint="eastAsia" w:ascii="宋体" w:cs="宋体"/>
                <w:b/>
                <w:bCs/>
                <w:color w:val="000000"/>
                <w:highlight w:val="none"/>
              </w:rPr>
              <w:t>名称</w:t>
            </w:r>
          </w:p>
        </w:tc>
        <w:tc>
          <w:tcPr>
            <w:tcW w:w="3135" w:type="pct"/>
            <w:tcBorders>
              <w:top w:val="double" w:color="auto" w:sz="2" w:space="0"/>
              <w:left w:val="single" w:color="auto" w:sz="6" w:space="0"/>
              <w:bottom w:val="single" w:color="auto" w:sz="6" w:space="0"/>
              <w:right w:val="double" w:color="auto" w:sz="2" w:space="0"/>
            </w:tcBorders>
            <w:noWrap w:val="0"/>
            <w:tcMar>
              <w:left w:w="0" w:type="dxa"/>
              <w:right w:w="0" w:type="dxa"/>
            </w:tcMar>
            <w:vAlign w:val="center"/>
          </w:tcPr>
          <w:p w14:paraId="5B9EFE26">
            <w:pPr>
              <w:keepNext w:val="0"/>
              <w:keepLines w:val="0"/>
              <w:pageBreakBefore w:val="0"/>
              <w:widowControl w:val="0"/>
              <w:kinsoku/>
              <w:wordWrap/>
              <w:overflowPunct/>
              <w:topLinePunct w:val="0"/>
              <w:bidi w:val="0"/>
              <w:adjustRightInd/>
              <w:spacing w:line="360" w:lineRule="auto"/>
              <w:jc w:val="center"/>
              <w:textAlignment w:val="auto"/>
              <w:rPr>
                <w:rFonts w:hint="eastAsia" w:ascii="宋体" w:cs="宋体"/>
                <w:b/>
                <w:bCs/>
                <w:color w:val="000000"/>
                <w:highlight w:val="none"/>
              </w:rPr>
            </w:pPr>
            <w:r>
              <w:rPr>
                <w:rFonts w:hint="eastAsia" w:ascii="宋体" w:cs="宋体"/>
                <w:b/>
                <w:bCs/>
                <w:color w:val="000000"/>
                <w:highlight w:val="none"/>
              </w:rPr>
              <w:t>编列内容</w:t>
            </w:r>
          </w:p>
        </w:tc>
      </w:tr>
      <w:tr w14:paraId="4EF5DA47">
        <w:tblPrEx>
          <w:tblCellMar>
            <w:top w:w="0" w:type="dxa"/>
            <w:left w:w="108" w:type="dxa"/>
            <w:bottom w:w="0" w:type="dxa"/>
            <w:right w:w="108" w:type="dxa"/>
          </w:tblCellMar>
        </w:tblPrEx>
        <w:trPr>
          <w:trHeight w:val="892" w:hRule="atLeast"/>
          <w:jc w:val="center"/>
        </w:trPr>
        <w:tc>
          <w:tcPr>
            <w:tcW w:w="438" w:type="pct"/>
            <w:tcBorders>
              <w:top w:val="single" w:color="auto" w:sz="6" w:space="0"/>
              <w:left w:val="double" w:color="auto" w:sz="2" w:space="0"/>
              <w:bottom w:val="single" w:color="auto" w:sz="6" w:space="0"/>
              <w:right w:val="single" w:color="auto" w:sz="6" w:space="0"/>
            </w:tcBorders>
            <w:noWrap w:val="0"/>
            <w:tcMar>
              <w:left w:w="0" w:type="dxa"/>
              <w:right w:w="0" w:type="dxa"/>
            </w:tcMar>
            <w:vAlign w:val="center"/>
          </w:tcPr>
          <w:p w14:paraId="2E5C5B5B">
            <w:pPr>
              <w:keepNext w:val="0"/>
              <w:keepLines w:val="0"/>
              <w:pageBreakBefore w:val="0"/>
              <w:widowControl w:val="0"/>
              <w:kinsoku/>
              <w:wordWrap/>
              <w:overflowPunct/>
              <w:topLinePunct w:val="0"/>
              <w:bidi w:val="0"/>
              <w:adjustRightInd/>
              <w:snapToGrid w:val="0"/>
              <w:spacing w:line="360" w:lineRule="auto"/>
              <w:jc w:val="center"/>
              <w:textAlignment w:val="auto"/>
              <w:rPr>
                <w:rFonts w:hint="eastAsia" w:ascii="宋体" w:cs="宋体"/>
                <w:color w:val="000000"/>
                <w:highlight w:val="none"/>
              </w:rPr>
            </w:pPr>
            <w:r>
              <w:rPr>
                <w:rFonts w:hint="eastAsia" w:ascii="宋体" w:cs="宋体"/>
                <w:color w:val="000000"/>
                <w:highlight w:val="none"/>
              </w:rPr>
              <w:t>1</w:t>
            </w:r>
          </w:p>
        </w:tc>
        <w:tc>
          <w:tcPr>
            <w:tcW w:w="1426" w:type="pct"/>
            <w:tcBorders>
              <w:top w:val="single" w:color="auto" w:sz="6" w:space="0"/>
              <w:left w:val="single" w:color="auto" w:sz="6" w:space="0"/>
              <w:bottom w:val="single" w:color="auto" w:sz="6" w:space="0"/>
              <w:right w:val="single" w:color="auto" w:sz="6" w:space="0"/>
            </w:tcBorders>
            <w:noWrap w:val="0"/>
            <w:tcMar>
              <w:left w:w="0" w:type="dxa"/>
              <w:right w:w="0" w:type="dxa"/>
            </w:tcMar>
            <w:vAlign w:val="center"/>
          </w:tcPr>
          <w:p w14:paraId="4CDFC744">
            <w:pPr>
              <w:keepNext w:val="0"/>
              <w:keepLines w:val="0"/>
              <w:pageBreakBefore w:val="0"/>
              <w:widowControl w:val="0"/>
              <w:kinsoku/>
              <w:wordWrap/>
              <w:overflowPunct/>
              <w:topLinePunct w:val="0"/>
              <w:bidi w:val="0"/>
              <w:adjustRightInd/>
              <w:spacing w:line="360" w:lineRule="auto"/>
              <w:jc w:val="center"/>
              <w:textAlignment w:val="auto"/>
              <w:rPr>
                <w:rFonts w:hint="eastAsia" w:ascii="宋体" w:cs="宋体"/>
                <w:color w:val="000000"/>
                <w:highlight w:val="none"/>
                <w:lang w:val="zh-CN" w:eastAsia="zh-CN"/>
              </w:rPr>
            </w:pPr>
            <w:r>
              <w:rPr>
                <w:rFonts w:hint="eastAsia" w:ascii="宋体" w:cs="宋体"/>
                <w:color w:val="000000"/>
                <w:highlight w:val="none"/>
                <w:lang w:val="zh-CN" w:eastAsia="zh-CN"/>
              </w:rPr>
              <w:t>采购人</w:t>
            </w:r>
          </w:p>
        </w:tc>
        <w:tc>
          <w:tcPr>
            <w:tcW w:w="3135" w:type="pct"/>
            <w:tcBorders>
              <w:top w:val="single" w:color="auto" w:sz="6" w:space="0"/>
              <w:left w:val="single" w:color="auto" w:sz="6" w:space="0"/>
              <w:bottom w:val="single" w:color="auto" w:sz="6" w:space="0"/>
              <w:right w:val="double" w:color="auto" w:sz="2" w:space="0"/>
            </w:tcBorders>
            <w:noWrap w:val="0"/>
            <w:tcMar>
              <w:left w:w="0" w:type="dxa"/>
              <w:right w:w="0" w:type="dxa"/>
            </w:tcMar>
            <w:vAlign w:val="center"/>
          </w:tcPr>
          <w:p w14:paraId="32557739">
            <w:pPr>
              <w:keepNext w:val="0"/>
              <w:keepLines w:val="0"/>
              <w:pageBreakBefore w:val="0"/>
              <w:widowControl w:val="0"/>
              <w:kinsoku/>
              <w:wordWrap/>
              <w:overflowPunct/>
              <w:topLinePunct w:val="0"/>
              <w:bidi w:val="0"/>
              <w:adjustRightInd/>
              <w:spacing w:line="360" w:lineRule="auto"/>
              <w:jc w:val="left"/>
              <w:textAlignment w:val="auto"/>
              <w:rPr>
                <w:rFonts w:hint="eastAsia" w:ascii="宋体" w:cs="宋体"/>
                <w:color w:val="000000"/>
                <w:highlight w:val="none"/>
                <w:lang w:val="zh-CN" w:eastAsia="zh-CN"/>
              </w:rPr>
            </w:pPr>
            <w:r>
              <w:rPr>
                <w:rFonts w:hint="eastAsia" w:ascii="宋体" w:cs="宋体"/>
                <w:color w:val="000000"/>
                <w:highlight w:val="none"/>
                <w:lang w:val="zh-CN" w:eastAsia="zh-CN"/>
              </w:rPr>
              <w:t>名    称：长春宽城经济开发区管理委员会</w:t>
            </w:r>
          </w:p>
          <w:p w14:paraId="2AA4C25E">
            <w:pPr>
              <w:keepNext w:val="0"/>
              <w:keepLines w:val="0"/>
              <w:pageBreakBefore w:val="0"/>
              <w:widowControl w:val="0"/>
              <w:kinsoku/>
              <w:wordWrap/>
              <w:overflowPunct/>
              <w:topLinePunct w:val="0"/>
              <w:bidi w:val="0"/>
              <w:adjustRightInd/>
              <w:spacing w:line="360" w:lineRule="auto"/>
              <w:jc w:val="left"/>
              <w:textAlignment w:val="auto"/>
              <w:rPr>
                <w:rFonts w:hint="eastAsia" w:ascii="宋体" w:cs="宋体"/>
                <w:color w:val="000000"/>
                <w:highlight w:val="none"/>
                <w:lang w:val="zh-CN" w:eastAsia="zh-CN"/>
              </w:rPr>
            </w:pPr>
            <w:r>
              <w:rPr>
                <w:rFonts w:hint="eastAsia" w:ascii="宋体" w:cs="宋体"/>
                <w:color w:val="000000"/>
                <w:highlight w:val="none"/>
                <w:lang w:val="zh-CN" w:eastAsia="zh-CN"/>
              </w:rPr>
              <w:t>地    址：长春市宽城区凯旋北路7388号</w:t>
            </w:r>
          </w:p>
          <w:p w14:paraId="4F50EF67">
            <w:pPr>
              <w:keepNext w:val="0"/>
              <w:keepLines w:val="0"/>
              <w:pageBreakBefore w:val="0"/>
              <w:widowControl w:val="0"/>
              <w:kinsoku/>
              <w:wordWrap/>
              <w:overflowPunct/>
              <w:topLinePunct w:val="0"/>
              <w:bidi w:val="0"/>
              <w:adjustRightInd/>
              <w:spacing w:line="360" w:lineRule="auto"/>
              <w:jc w:val="left"/>
              <w:textAlignment w:val="auto"/>
              <w:rPr>
                <w:rFonts w:hint="eastAsia" w:ascii="宋体" w:cs="宋体"/>
                <w:color w:val="000000"/>
                <w:highlight w:val="none"/>
                <w:lang w:val="zh-CN" w:eastAsia="zh-CN"/>
              </w:rPr>
            </w:pPr>
            <w:r>
              <w:rPr>
                <w:rFonts w:hint="eastAsia" w:ascii="宋体" w:cs="宋体"/>
                <w:color w:val="000000"/>
                <w:highlight w:val="none"/>
                <w:lang w:val="zh-CN" w:eastAsia="zh-CN"/>
              </w:rPr>
              <w:t>联 系 人：胡玉姝</w:t>
            </w:r>
          </w:p>
          <w:p w14:paraId="38E376E7">
            <w:pPr>
              <w:keepNext w:val="0"/>
              <w:keepLines w:val="0"/>
              <w:pageBreakBefore w:val="0"/>
              <w:widowControl w:val="0"/>
              <w:kinsoku/>
              <w:wordWrap/>
              <w:overflowPunct/>
              <w:topLinePunct w:val="0"/>
              <w:bidi w:val="0"/>
              <w:adjustRightInd/>
              <w:spacing w:line="360" w:lineRule="auto"/>
              <w:jc w:val="left"/>
              <w:textAlignment w:val="auto"/>
              <w:rPr>
                <w:rFonts w:hint="eastAsia" w:ascii="宋体" w:cs="宋体"/>
                <w:color w:val="000000"/>
                <w:highlight w:val="none"/>
                <w:lang w:val="zh-CN" w:eastAsia="zh-CN"/>
              </w:rPr>
            </w:pPr>
            <w:r>
              <w:rPr>
                <w:rFonts w:hint="eastAsia" w:ascii="宋体" w:cs="宋体"/>
                <w:color w:val="000000"/>
                <w:highlight w:val="none"/>
                <w:lang w:val="zh-CN" w:eastAsia="zh-CN"/>
              </w:rPr>
              <w:t>联系电话：0431-89991801</w:t>
            </w:r>
          </w:p>
        </w:tc>
      </w:tr>
      <w:tr w14:paraId="01C972D8">
        <w:tblPrEx>
          <w:tblCellMar>
            <w:top w:w="0" w:type="dxa"/>
            <w:left w:w="108" w:type="dxa"/>
            <w:bottom w:w="0" w:type="dxa"/>
            <w:right w:w="108" w:type="dxa"/>
          </w:tblCellMar>
        </w:tblPrEx>
        <w:trPr>
          <w:trHeight w:val="932" w:hRule="atLeast"/>
          <w:jc w:val="center"/>
        </w:trPr>
        <w:tc>
          <w:tcPr>
            <w:tcW w:w="438" w:type="pct"/>
            <w:tcBorders>
              <w:top w:val="single" w:color="auto" w:sz="6" w:space="0"/>
              <w:left w:val="double" w:color="auto" w:sz="2" w:space="0"/>
              <w:bottom w:val="single" w:color="auto" w:sz="6" w:space="0"/>
              <w:right w:val="single" w:color="auto" w:sz="6" w:space="0"/>
            </w:tcBorders>
            <w:noWrap w:val="0"/>
            <w:tcMar>
              <w:left w:w="0" w:type="dxa"/>
              <w:right w:w="0" w:type="dxa"/>
            </w:tcMar>
            <w:vAlign w:val="center"/>
          </w:tcPr>
          <w:p w14:paraId="59B3DA95">
            <w:pPr>
              <w:keepNext w:val="0"/>
              <w:keepLines w:val="0"/>
              <w:pageBreakBefore w:val="0"/>
              <w:widowControl w:val="0"/>
              <w:kinsoku/>
              <w:wordWrap/>
              <w:overflowPunct/>
              <w:topLinePunct w:val="0"/>
              <w:bidi w:val="0"/>
              <w:adjustRightInd/>
              <w:snapToGrid w:val="0"/>
              <w:spacing w:line="360" w:lineRule="auto"/>
              <w:jc w:val="center"/>
              <w:textAlignment w:val="auto"/>
              <w:rPr>
                <w:rFonts w:hint="eastAsia" w:ascii="宋体" w:cs="宋体"/>
                <w:color w:val="000000"/>
                <w:highlight w:val="none"/>
              </w:rPr>
            </w:pPr>
            <w:r>
              <w:rPr>
                <w:rFonts w:hint="eastAsia" w:ascii="宋体" w:cs="宋体"/>
                <w:color w:val="000000"/>
                <w:highlight w:val="none"/>
              </w:rPr>
              <w:t>2</w:t>
            </w:r>
          </w:p>
        </w:tc>
        <w:tc>
          <w:tcPr>
            <w:tcW w:w="1426" w:type="pct"/>
            <w:tcBorders>
              <w:top w:val="single" w:color="auto" w:sz="6" w:space="0"/>
              <w:left w:val="single" w:color="auto" w:sz="6" w:space="0"/>
              <w:bottom w:val="single" w:color="auto" w:sz="6" w:space="0"/>
              <w:right w:val="single" w:color="auto" w:sz="6" w:space="0"/>
            </w:tcBorders>
            <w:noWrap w:val="0"/>
            <w:tcMar>
              <w:left w:w="0" w:type="dxa"/>
              <w:right w:w="0" w:type="dxa"/>
            </w:tcMar>
            <w:vAlign w:val="center"/>
          </w:tcPr>
          <w:p w14:paraId="3B3C2809">
            <w:pPr>
              <w:keepNext w:val="0"/>
              <w:keepLines w:val="0"/>
              <w:pageBreakBefore w:val="0"/>
              <w:widowControl w:val="0"/>
              <w:kinsoku/>
              <w:wordWrap/>
              <w:overflowPunct/>
              <w:topLinePunct w:val="0"/>
              <w:bidi w:val="0"/>
              <w:adjustRightInd/>
              <w:spacing w:line="360" w:lineRule="auto"/>
              <w:jc w:val="center"/>
              <w:textAlignment w:val="auto"/>
              <w:rPr>
                <w:rFonts w:hint="eastAsia" w:ascii="宋体" w:cs="宋体"/>
                <w:color w:val="000000"/>
                <w:highlight w:val="none"/>
                <w:lang w:val="zh-CN"/>
              </w:rPr>
            </w:pPr>
            <w:r>
              <w:rPr>
                <w:rFonts w:hint="eastAsia" w:ascii="宋体" w:cs="宋体"/>
                <w:color w:val="000000"/>
                <w:highlight w:val="none"/>
                <w:lang w:val="zh-CN"/>
              </w:rPr>
              <w:t>采购代理机构</w:t>
            </w:r>
          </w:p>
        </w:tc>
        <w:tc>
          <w:tcPr>
            <w:tcW w:w="3135" w:type="pct"/>
            <w:tcBorders>
              <w:top w:val="single" w:color="auto" w:sz="6" w:space="0"/>
              <w:left w:val="single" w:color="auto" w:sz="6" w:space="0"/>
              <w:bottom w:val="single" w:color="auto" w:sz="6" w:space="0"/>
              <w:right w:val="double" w:color="auto" w:sz="2" w:space="0"/>
            </w:tcBorders>
            <w:noWrap w:val="0"/>
            <w:tcMar>
              <w:left w:w="0" w:type="dxa"/>
              <w:right w:w="0" w:type="dxa"/>
            </w:tcMar>
            <w:vAlign w:val="center"/>
          </w:tcPr>
          <w:p w14:paraId="5E406F72">
            <w:pPr>
              <w:keepNext w:val="0"/>
              <w:keepLines w:val="0"/>
              <w:pageBreakBefore w:val="0"/>
              <w:widowControl w:val="0"/>
              <w:kinsoku/>
              <w:wordWrap/>
              <w:overflowPunct/>
              <w:topLinePunct w:val="0"/>
              <w:bidi w:val="0"/>
              <w:adjustRightInd/>
              <w:spacing w:line="360" w:lineRule="auto"/>
              <w:jc w:val="left"/>
              <w:textAlignment w:val="auto"/>
              <w:rPr>
                <w:rFonts w:hint="eastAsia" w:ascii="宋体" w:cs="宋体"/>
                <w:color w:val="000000"/>
                <w:highlight w:val="none"/>
                <w:lang w:val="zh-CN"/>
              </w:rPr>
            </w:pPr>
            <w:r>
              <w:rPr>
                <w:rFonts w:hint="eastAsia" w:ascii="宋体" w:cs="宋体"/>
                <w:color w:val="000000"/>
                <w:highlight w:val="none"/>
                <w:lang w:val="zh-CN"/>
              </w:rPr>
              <w:t>采购代理机构：吉林省捷冠工程管理有限公司</w:t>
            </w:r>
          </w:p>
          <w:p w14:paraId="16374ACF">
            <w:pPr>
              <w:keepNext w:val="0"/>
              <w:keepLines w:val="0"/>
              <w:pageBreakBefore w:val="0"/>
              <w:widowControl w:val="0"/>
              <w:kinsoku/>
              <w:wordWrap/>
              <w:overflowPunct/>
              <w:topLinePunct w:val="0"/>
              <w:bidi w:val="0"/>
              <w:adjustRightInd/>
              <w:spacing w:line="360" w:lineRule="auto"/>
              <w:jc w:val="left"/>
              <w:textAlignment w:val="auto"/>
              <w:rPr>
                <w:rFonts w:hint="eastAsia" w:ascii="宋体" w:cs="宋体"/>
                <w:color w:val="000000"/>
                <w:highlight w:val="none"/>
                <w:lang w:val="zh-CN"/>
              </w:rPr>
            </w:pPr>
            <w:r>
              <w:rPr>
                <w:rFonts w:hint="eastAsia" w:ascii="宋体" w:cs="宋体"/>
                <w:color w:val="000000"/>
                <w:highlight w:val="none"/>
                <w:lang w:val="zh-CN"/>
              </w:rPr>
              <w:t>地    址：长春市朝阳区红旗街765号华亿红府4、14幢1单元1205号房</w:t>
            </w:r>
          </w:p>
          <w:p w14:paraId="7CE777BC">
            <w:pPr>
              <w:keepNext w:val="0"/>
              <w:keepLines w:val="0"/>
              <w:pageBreakBefore w:val="0"/>
              <w:widowControl w:val="0"/>
              <w:kinsoku/>
              <w:wordWrap/>
              <w:overflowPunct/>
              <w:topLinePunct w:val="0"/>
              <w:bidi w:val="0"/>
              <w:adjustRightInd/>
              <w:spacing w:line="360" w:lineRule="auto"/>
              <w:jc w:val="left"/>
              <w:textAlignment w:val="auto"/>
              <w:rPr>
                <w:rFonts w:hint="eastAsia" w:ascii="宋体" w:cs="宋体"/>
                <w:color w:val="000000"/>
                <w:highlight w:val="none"/>
                <w:lang w:val="zh-CN"/>
              </w:rPr>
            </w:pPr>
            <w:r>
              <w:rPr>
                <w:rFonts w:hint="eastAsia" w:ascii="宋体" w:cs="宋体"/>
                <w:color w:val="000000"/>
                <w:highlight w:val="none"/>
                <w:lang w:val="zh-CN"/>
              </w:rPr>
              <w:t>联 系 人：恬露</w:t>
            </w:r>
          </w:p>
          <w:p w14:paraId="6A27FB5D">
            <w:pPr>
              <w:keepNext w:val="0"/>
              <w:keepLines w:val="0"/>
              <w:pageBreakBefore w:val="0"/>
              <w:widowControl w:val="0"/>
              <w:kinsoku/>
              <w:wordWrap/>
              <w:overflowPunct/>
              <w:topLinePunct w:val="0"/>
              <w:bidi w:val="0"/>
              <w:adjustRightInd/>
              <w:spacing w:line="360" w:lineRule="auto"/>
              <w:jc w:val="left"/>
              <w:textAlignment w:val="auto"/>
              <w:rPr>
                <w:rFonts w:hint="eastAsia" w:ascii="宋体" w:cs="宋体"/>
                <w:color w:val="000000"/>
                <w:highlight w:val="none"/>
                <w:lang w:val="zh-CN"/>
              </w:rPr>
            </w:pPr>
            <w:r>
              <w:rPr>
                <w:rFonts w:hint="eastAsia" w:ascii="宋体" w:cs="宋体"/>
                <w:color w:val="000000"/>
                <w:highlight w:val="none"/>
                <w:lang w:val="zh-CN"/>
              </w:rPr>
              <w:t>联系电话：15643022390</w:t>
            </w:r>
          </w:p>
        </w:tc>
      </w:tr>
      <w:tr w14:paraId="123489F2">
        <w:tblPrEx>
          <w:tblCellMar>
            <w:top w:w="0" w:type="dxa"/>
            <w:left w:w="108" w:type="dxa"/>
            <w:bottom w:w="0" w:type="dxa"/>
            <w:right w:w="108" w:type="dxa"/>
          </w:tblCellMar>
        </w:tblPrEx>
        <w:trPr>
          <w:trHeight w:val="704" w:hRule="atLeast"/>
          <w:jc w:val="center"/>
        </w:trPr>
        <w:tc>
          <w:tcPr>
            <w:tcW w:w="438" w:type="pct"/>
            <w:tcBorders>
              <w:top w:val="single" w:color="auto" w:sz="6" w:space="0"/>
              <w:left w:val="double" w:color="auto" w:sz="2" w:space="0"/>
              <w:right w:val="single" w:color="auto" w:sz="6" w:space="0"/>
            </w:tcBorders>
            <w:noWrap w:val="0"/>
            <w:tcMar>
              <w:left w:w="0" w:type="dxa"/>
              <w:right w:w="0" w:type="dxa"/>
            </w:tcMar>
            <w:vAlign w:val="center"/>
          </w:tcPr>
          <w:p w14:paraId="7D0E7EA5">
            <w:pPr>
              <w:keepNext w:val="0"/>
              <w:keepLines w:val="0"/>
              <w:pageBreakBefore w:val="0"/>
              <w:widowControl w:val="0"/>
              <w:kinsoku/>
              <w:wordWrap/>
              <w:overflowPunct/>
              <w:topLinePunct w:val="0"/>
              <w:bidi w:val="0"/>
              <w:adjustRightInd/>
              <w:snapToGrid w:val="0"/>
              <w:spacing w:line="360" w:lineRule="auto"/>
              <w:jc w:val="center"/>
              <w:textAlignment w:val="auto"/>
              <w:rPr>
                <w:rFonts w:hint="eastAsia" w:ascii="宋体" w:cs="宋体"/>
                <w:color w:val="000000"/>
                <w:highlight w:val="none"/>
              </w:rPr>
            </w:pPr>
            <w:r>
              <w:rPr>
                <w:rFonts w:hint="eastAsia" w:ascii="宋体" w:cs="宋体"/>
                <w:color w:val="000000"/>
                <w:highlight w:val="none"/>
              </w:rPr>
              <w:t>3</w:t>
            </w:r>
          </w:p>
        </w:tc>
        <w:tc>
          <w:tcPr>
            <w:tcW w:w="1426" w:type="pct"/>
            <w:tcBorders>
              <w:top w:val="single" w:color="auto" w:sz="6" w:space="0"/>
              <w:left w:val="single" w:color="auto" w:sz="6" w:space="0"/>
              <w:right w:val="single" w:color="auto" w:sz="6" w:space="0"/>
            </w:tcBorders>
            <w:noWrap w:val="0"/>
            <w:tcMar>
              <w:left w:w="0" w:type="dxa"/>
              <w:right w:w="0" w:type="dxa"/>
            </w:tcMar>
            <w:vAlign w:val="center"/>
          </w:tcPr>
          <w:p w14:paraId="26225176">
            <w:pPr>
              <w:keepNext w:val="0"/>
              <w:keepLines w:val="0"/>
              <w:pageBreakBefore w:val="0"/>
              <w:widowControl w:val="0"/>
              <w:kinsoku/>
              <w:wordWrap/>
              <w:overflowPunct/>
              <w:topLinePunct w:val="0"/>
              <w:bidi w:val="0"/>
              <w:adjustRightInd/>
              <w:spacing w:line="360" w:lineRule="auto"/>
              <w:jc w:val="center"/>
              <w:textAlignment w:val="auto"/>
              <w:rPr>
                <w:rFonts w:hint="default" w:ascii="宋体" w:eastAsia="宋体" w:cs="宋体"/>
                <w:color w:val="000000"/>
                <w:highlight w:val="none"/>
                <w:lang w:val="en-US" w:eastAsia="zh-CN"/>
              </w:rPr>
            </w:pPr>
            <w:r>
              <w:rPr>
                <w:rFonts w:hint="eastAsia" w:ascii="宋体" w:cs="宋体"/>
                <w:highlight w:val="none"/>
              </w:rPr>
              <w:t>项目</w:t>
            </w:r>
            <w:r>
              <w:rPr>
                <w:rFonts w:hint="eastAsia" w:ascii="宋体" w:cs="宋体"/>
                <w:color w:val="000000"/>
                <w:highlight w:val="none"/>
                <w:lang w:val="zh-CN"/>
              </w:rPr>
              <w:t>名称</w:t>
            </w:r>
            <w:r>
              <w:rPr>
                <w:rFonts w:hint="eastAsia" w:ascii="宋体" w:cs="宋体"/>
                <w:highlight w:val="none"/>
                <w:lang w:eastAsia="zh-CN"/>
              </w:rPr>
              <w:t>、</w:t>
            </w:r>
            <w:r>
              <w:rPr>
                <w:rFonts w:hint="eastAsia" w:ascii="宋体" w:cs="宋体"/>
                <w:highlight w:val="none"/>
                <w:lang w:val="en-US" w:eastAsia="zh-CN"/>
              </w:rPr>
              <w:t>项目编号</w:t>
            </w:r>
          </w:p>
        </w:tc>
        <w:tc>
          <w:tcPr>
            <w:tcW w:w="3135" w:type="pct"/>
            <w:tcBorders>
              <w:top w:val="single" w:color="auto" w:sz="6" w:space="0"/>
              <w:left w:val="single" w:color="auto" w:sz="6" w:space="0"/>
              <w:bottom w:val="single" w:color="auto" w:sz="6" w:space="0"/>
              <w:right w:val="double" w:color="auto" w:sz="2" w:space="0"/>
            </w:tcBorders>
            <w:noWrap w:val="0"/>
            <w:tcMar>
              <w:left w:w="0" w:type="dxa"/>
              <w:right w:w="0" w:type="dxa"/>
            </w:tcMar>
            <w:vAlign w:val="center"/>
          </w:tcPr>
          <w:p w14:paraId="535BD3BC">
            <w:pPr>
              <w:keepNext w:val="0"/>
              <w:keepLines w:val="0"/>
              <w:pageBreakBefore w:val="0"/>
              <w:widowControl w:val="0"/>
              <w:kinsoku/>
              <w:wordWrap/>
              <w:overflowPunct/>
              <w:topLinePunct w:val="0"/>
              <w:bidi w:val="0"/>
              <w:adjustRightInd/>
              <w:spacing w:line="360" w:lineRule="auto"/>
              <w:jc w:val="left"/>
              <w:textAlignment w:val="auto"/>
              <w:rPr>
                <w:rFonts w:hint="eastAsia" w:ascii="宋体" w:hAnsi="Times New Roman" w:eastAsia="宋体" w:cs="宋体"/>
                <w:color w:val="000000"/>
                <w:highlight w:val="none"/>
                <w:lang w:val="en-US" w:eastAsia="zh-CN"/>
              </w:rPr>
            </w:pPr>
            <w:r>
              <w:rPr>
                <w:rFonts w:hint="eastAsia" w:ascii="宋体" w:hAnsi="Times New Roman" w:eastAsia="宋体" w:cs="宋体"/>
                <w:color w:val="000000"/>
                <w:highlight w:val="none"/>
                <w:lang w:val="en-US" w:eastAsia="zh-CN"/>
              </w:rPr>
              <w:t>名称：长春市宽城区医院异地建设项目、长春市宽城区卫生综合体建设项目医疗家具采购项目</w:t>
            </w:r>
          </w:p>
          <w:p w14:paraId="608929DE">
            <w:pPr>
              <w:keepNext w:val="0"/>
              <w:keepLines w:val="0"/>
              <w:pageBreakBefore w:val="0"/>
              <w:widowControl w:val="0"/>
              <w:kinsoku/>
              <w:wordWrap/>
              <w:overflowPunct/>
              <w:topLinePunct w:val="0"/>
              <w:bidi w:val="0"/>
              <w:adjustRightInd/>
              <w:spacing w:line="360" w:lineRule="auto"/>
              <w:jc w:val="left"/>
              <w:textAlignment w:val="auto"/>
              <w:rPr>
                <w:rFonts w:hint="default" w:ascii="宋体" w:hAnsi="Times New Roman" w:eastAsia="宋体" w:cs="宋体"/>
                <w:color w:val="000000"/>
                <w:highlight w:val="none"/>
                <w:lang w:val="en-US" w:eastAsia="zh-CN"/>
              </w:rPr>
            </w:pPr>
            <w:r>
              <w:rPr>
                <w:rFonts w:hint="eastAsia" w:ascii="宋体" w:hAnsi="Times New Roman" w:eastAsia="宋体" w:cs="宋体"/>
                <w:color w:val="000000"/>
                <w:highlight w:val="none"/>
                <w:lang w:val="en-US" w:eastAsia="zh-CN"/>
              </w:rPr>
              <w:t>编号：JLKCJKCG[2025]30号-01</w:t>
            </w:r>
          </w:p>
        </w:tc>
      </w:tr>
      <w:tr w14:paraId="38DC877D">
        <w:tblPrEx>
          <w:tblCellMar>
            <w:top w:w="0" w:type="dxa"/>
            <w:left w:w="108" w:type="dxa"/>
            <w:bottom w:w="0" w:type="dxa"/>
            <w:right w:w="108" w:type="dxa"/>
          </w:tblCellMar>
        </w:tblPrEx>
        <w:trPr>
          <w:trHeight w:val="318" w:hRule="atLeast"/>
          <w:jc w:val="center"/>
        </w:trPr>
        <w:tc>
          <w:tcPr>
            <w:tcW w:w="438" w:type="pct"/>
            <w:tcBorders>
              <w:top w:val="single" w:color="auto" w:sz="6" w:space="0"/>
              <w:left w:val="double" w:color="auto" w:sz="2" w:space="0"/>
              <w:bottom w:val="single" w:color="auto" w:sz="6" w:space="0"/>
              <w:right w:val="single" w:color="auto" w:sz="6" w:space="0"/>
            </w:tcBorders>
            <w:noWrap w:val="0"/>
            <w:tcMar>
              <w:left w:w="0" w:type="dxa"/>
              <w:right w:w="0" w:type="dxa"/>
            </w:tcMar>
            <w:vAlign w:val="center"/>
          </w:tcPr>
          <w:p w14:paraId="416D8A2C">
            <w:pPr>
              <w:keepNext w:val="0"/>
              <w:keepLines w:val="0"/>
              <w:pageBreakBefore w:val="0"/>
              <w:widowControl w:val="0"/>
              <w:kinsoku/>
              <w:wordWrap/>
              <w:overflowPunct/>
              <w:topLinePunct w:val="0"/>
              <w:bidi w:val="0"/>
              <w:adjustRightInd/>
              <w:snapToGrid w:val="0"/>
              <w:spacing w:line="360" w:lineRule="auto"/>
              <w:jc w:val="center"/>
              <w:textAlignment w:val="auto"/>
              <w:rPr>
                <w:rFonts w:hint="eastAsia" w:ascii="宋体" w:cs="宋体"/>
                <w:color w:val="000000"/>
                <w:highlight w:val="none"/>
              </w:rPr>
            </w:pPr>
            <w:r>
              <w:rPr>
                <w:rFonts w:hint="eastAsia" w:ascii="宋体" w:cs="宋体"/>
                <w:color w:val="000000"/>
                <w:highlight w:val="none"/>
              </w:rPr>
              <w:t>4</w:t>
            </w:r>
          </w:p>
        </w:tc>
        <w:tc>
          <w:tcPr>
            <w:tcW w:w="1426" w:type="pct"/>
            <w:tcBorders>
              <w:top w:val="single" w:color="auto" w:sz="6" w:space="0"/>
              <w:left w:val="single" w:color="auto" w:sz="6" w:space="0"/>
              <w:bottom w:val="single" w:color="auto" w:sz="6" w:space="0"/>
              <w:right w:val="single" w:color="auto" w:sz="6" w:space="0"/>
            </w:tcBorders>
            <w:noWrap w:val="0"/>
            <w:tcMar>
              <w:left w:w="0" w:type="dxa"/>
              <w:right w:w="0" w:type="dxa"/>
            </w:tcMar>
            <w:vAlign w:val="center"/>
          </w:tcPr>
          <w:p w14:paraId="6156A5B4">
            <w:pPr>
              <w:keepNext w:val="0"/>
              <w:keepLines w:val="0"/>
              <w:pageBreakBefore w:val="0"/>
              <w:widowControl w:val="0"/>
              <w:kinsoku/>
              <w:wordWrap/>
              <w:overflowPunct/>
              <w:topLinePunct w:val="0"/>
              <w:bidi w:val="0"/>
              <w:adjustRightInd/>
              <w:spacing w:line="360" w:lineRule="auto"/>
              <w:jc w:val="center"/>
              <w:textAlignment w:val="auto"/>
              <w:rPr>
                <w:rFonts w:hint="eastAsia" w:ascii="宋体" w:cs="宋体"/>
                <w:color w:val="000000"/>
                <w:highlight w:val="none"/>
                <w:lang w:val="zh-CN"/>
              </w:rPr>
            </w:pPr>
            <w:r>
              <w:rPr>
                <w:rFonts w:hint="eastAsia" w:ascii="宋体" w:cs="宋体"/>
                <w:color w:val="000000"/>
                <w:highlight w:val="none"/>
                <w:lang w:val="zh-CN"/>
              </w:rPr>
              <w:t>交货地点</w:t>
            </w:r>
          </w:p>
        </w:tc>
        <w:tc>
          <w:tcPr>
            <w:tcW w:w="3135" w:type="pct"/>
            <w:tcBorders>
              <w:top w:val="single" w:color="auto" w:sz="6" w:space="0"/>
              <w:left w:val="single" w:color="auto" w:sz="6" w:space="0"/>
              <w:bottom w:val="single" w:color="auto" w:sz="6" w:space="0"/>
              <w:right w:val="double" w:color="auto" w:sz="2" w:space="0"/>
            </w:tcBorders>
            <w:noWrap w:val="0"/>
            <w:tcMar>
              <w:left w:w="0" w:type="dxa"/>
              <w:right w:w="0" w:type="dxa"/>
            </w:tcMar>
            <w:vAlign w:val="center"/>
          </w:tcPr>
          <w:p w14:paraId="64BC89E9">
            <w:pPr>
              <w:keepNext w:val="0"/>
              <w:keepLines w:val="0"/>
              <w:pageBreakBefore w:val="0"/>
              <w:widowControl w:val="0"/>
              <w:kinsoku/>
              <w:wordWrap/>
              <w:overflowPunct/>
              <w:topLinePunct w:val="0"/>
              <w:bidi w:val="0"/>
              <w:adjustRightInd/>
              <w:spacing w:line="360" w:lineRule="auto"/>
              <w:jc w:val="both"/>
              <w:textAlignment w:val="auto"/>
              <w:rPr>
                <w:rFonts w:hint="default" w:ascii="宋体" w:cs="宋体"/>
                <w:color w:val="000000"/>
                <w:highlight w:val="none"/>
                <w:lang w:val="en-US" w:eastAsia="zh-CN"/>
              </w:rPr>
            </w:pPr>
            <w:r>
              <w:rPr>
                <w:rFonts w:hint="eastAsia" w:ascii="宋体" w:cs="宋体"/>
                <w:color w:val="000000"/>
                <w:highlight w:val="none"/>
                <w:lang w:val="en-US" w:eastAsia="zh-CN"/>
              </w:rPr>
              <w:t>采购人指定地点</w:t>
            </w:r>
          </w:p>
        </w:tc>
      </w:tr>
      <w:tr w14:paraId="5DB3A0FF">
        <w:tblPrEx>
          <w:tblCellMar>
            <w:top w:w="0" w:type="dxa"/>
            <w:left w:w="108" w:type="dxa"/>
            <w:bottom w:w="0" w:type="dxa"/>
            <w:right w:w="108" w:type="dxa"/>
          </w:tblCellMar>
        </w:tblPrEx>
        <w:trPr>
          <w:trHeight w:val="48" w:hRule="atLeast"/>
          <w:jc w:val="center"/>
        </w:trPr>
        <w:tc>
          <w:tcPr>
            <w:tcW w:w="438" w:type="pct"/>
            <w:tcBorders>
              <w:top w:val="single" w:color="auto" w:sz="6" w:space="0"/>
              <w:left w:val="double" w:color="auto" w:sz="2" w:space="0"/>
              <w:bottom w:val="single" w:color="auto" w:sz="6" w:space="0"/>
              <w:right w:val="single" w:color="auto" w:sz="6" w:space="0"/>
            </w:tcBorders>
            <w:noWrap w:val="0"/>
            <w:tcMar>
              <w:left w:w="0" w:type="dxa"/>
              <w:right w:w="0" w:type="dxa"/>
            </w:tcMar>
            <w:vAlign w:val="center"/>
          </w:tcPr>
          <w:p w14:paraId="50FEE95F">
            <w:pPr>
              <w:keepNext w:val="0"/>
              <w:keepLines w:val="0"/>
              <w:pageBreakBefore w:val="0"/>
              <w:widowControl w:val="0"/>
              <w:kinsoku/>
              <w:wordWrap/>
              <w:overflowPunct/>
              <w:topLinePunct w:val="0"/>
              <w:bidi w:val="0"/>
              <w:adjustRightInd/>
              <w:snapToGrid w:val="0"/>
              <w:spacing w:line="360" w:lineRule="auto"/>
              <w:jc w:val="center"/>
              <w:textAlignment w:val="auto"/>
              <w:rPr>
                <w:rFonts w:hint="eastAsia" w:ascii="宋体" w:cs="宋体"/>
                <w:color w:val="000000"/>
                <w:highlight w:val="none"/>
              </w:rPr>
            </w:pPr>
            <w:r>
              <w:rPr>
                <w:rFonts w:hint="eastAsia" w:ascii="宋体" w:cs="宋体"/>
                <w:color w:val="000000"/>
                <w:highlight w:val="none"/>
              </w:rPr>
              <w:t>5</w:t>
            </w:r>
          </w:p>
        </w:tc>
        <w:tc>
          <w:tcPr>
            <w:tcW w:w="1426" w:type="pct"/>
            <w:tcBorders>
              <w:top w:val="single" w:color="auto" w:sz="6" w:space="0"/>
              <w:left w:val="single" w:color="auto" w:sz="6" w:space="0"/>
              <w:bottom w:val="single" w:color="auto" w:sz="6" w:space="0"/>
              <w:right w:val="single" w:color="auto" w:sz="6" w:space="0"/>
            </w:tcBorders>
            <w:noWrap w:val="0"/>
            <w:tcMar>
              <w:left w:w="0" w:type="dxa"/>
              <w:right w:w="0" w:type="dxa"/>
            </w:tcMar>
            <w:vAlign w:val="center"/>
          </w:tcPr>
          <w:p w14:paraId="5C83A69C">
            <w:pPr>
              <w:keepNext w:val="0"/>
              <w:keepLines w:val="0"/>
              <w:pageBreakBefore w:val="0"/>
              <w:widowControl w:val="0"/>
              <w:kinsoku/>
              <w:wordWrap/>
              <w:overflowPunct/>
              <w:topLinePunct w:val="0"/>
              <w:bidi w:val="0"/>
              <w:adjustRightInd/>
              <w:spacing w:line="360" w:lineRule="auto"/>
              <w:jc w:val="center"/>
              <w:textAlignment w:val="auto"/>
              <w:rPr>
                <w:rFonts w:hint="eastAsia" w:ascii="宋体" w:cs="宋体"/>
                <w:color w:val="FF0000"/>
                <w:highlight w:val="none"/>
              </w:rPr>
            </w:pPr>
            <w:r>
              <w:rPr>
                <w:rFonts w:hint="eastAsia" w:ascii="宋体" w:cs="宋体"/>
                <w:color w:val="auto"/>
                <w:highlight w:val="none"/>
              </w:rPr>
              <w:t>资金来源</w:t>
            </w:r>
          </w:p>
        </w:tc>
        <w:tc>
          <w:tcPr>
            <w:tcW w:w="3135" w:type="pct"/>
            <w:tcBorders>
              <w:top w:val="single" w:color="auto" w:sz="6" w:space="0"/>
              <w:left w:val="single" w:color="auto" w:sz="6" w:space="0"/>
              <w:bottom w:val="single" w:color="auto" w:sz="6" w:space="0"/>
              <w:right w:val="double" w:color="auto" w:sz="2" w:space="0"/>
            </w:tcBorders>
            <w:noWrap w:val="0"/>
            <w:tcMar>
              <w:left w:w="0" w:type="dxa"/>
              <w:right w:w="0" w:type="dxa"/>
            </w:tcMar>
            <w:vAlign w:val="center"/>
          </w:tcPr>
          <w:p w14:paraId="41480E9E">
            <w:pPr>
              <w:keepNext w:val="0"/>
              <w:keepLines w:val="0"/>
              <w:pageBreakBefore w:val="0"/>
              <w:widowControl w:val="0"/>
              <w:kinsoku/>
              <w:wordWrap/>
              <w:overflowPunct/>
              <w:topLinePunct w:val="0"/>
              <w:bidi w:val="0"/>
              <w:adjustRightInd/>
              <w:spacing w:line="360" w:lineRule="auto"/>
              <w:jc w:val="left"/>
              <w:textAlignment w:val="auto"/>
              <w:rPr>
                <w:rFonts w:hint="default" w:ascii="宋体" w:eastAsia="宋体" w:cs="宋体"/>
                <w:color w:val="FF0000"/>
                <w:highlight w:val="none"/>
                <w:lang w:val="en-US" w:eastAsia="zh-CN"/>
              </w:rPr>
            </w:pPr>
            <w:r>
              <w:rPr>
                <w:rFonts w:hint="eastAsia" w:ascii="宋体" w:eastAsia="宋体" w:cs="宋体"/>
                <w:color w:val="auto"/>
                <w:highlight w:val="none"/>
                <w:lang w:val="en-US" w:eastAsia="zh-CN"/>
              </w:rPr>
              <w:t>专项债及财政资金</w:t>
            </w:r>
          </w:p>
        </w:tc>
      </w:tr>
      <w:tr w14:paraId="41D19447">
        <w:tblPrEx>
          <w:tblCellMar>
            <w:top w:w="0" w:type="dxa"/>
            <w:left w:w="108" w:type="dxa"/>
            <w:bottom w:w="0" w:type="dxa"/>
            <w:right w:w="108" w:type="dxa"/>
          </w:tblCellMar>
        </w:tblPrEx>
        <w:trPr>
          <w:trHeight w:val="90" w:hRule="atLeast"/>
          <w:jc w:val="center"/>
        </w:trPr>
        <w:tc>
          <w:tcPr>
            <w:tcW w:w="438" w:type="pct"/>
            <w:tcBorders>
              <w:top w:val="single" w:color="auto" w:sz="6" w:space="0"/>
              <w:left w:val="double" w:color="auto" w:sz="2" w:space="0"/>
              <w:bottom w:val="single" w:color="auto" w:sz="6" w:space="0"/>
              <w:right w:val="single" w:color="auto" w:sz="6" w:space="0"/>
            </w:tcBorders>
            <w:noWrap w:val="0"/>
            <w:tcMar>
              <w:left w:w="0" w:type="dxa"/>
              <w:right w:w="0" w:type="dxa"/>
            </w:tcMar>
            <w:vAlign w:val="center"/>
          </w:tcPr>
          <w:p w14:paraId="1FEC91E7">
            <w:pPr>
              <w:keepNext w:val="0"/>
              <w:keepLines w:val="0"/>
              <w:pageBreakBefore w:val="0"/>
              <w:widowControl w:val="0"/>
              <w:kinsoku/>
              <w:wordWrap/>
              <w:overflowPunct/>
              <w:topLinePunct w:val="0"/>
              <w:bidi w:val="0"/>
              <w:adjustRightInd/>
              <w:snapToGrid w:val="0"/>
              <w:spacing w:line="360" w:lineRule="auto"/>
              <w:jc w:val="center"/>
              <w:textAlignment w:val="auto"/>
              <w:rPr>
                <w:rFonts w:hint="eastAsia" w:ascii="宋体" w:cs="宋体"/>
                <w:color w:val="000000"/>
                <w:highlight w:val="none"/>
              </w:rPr>
            </w:pPr>
            <w:r>
              <w:rPr>
                <w:rFonts w:hint="eastAsia" w:ascii="宋体" w:cs="宋体"/>
                <w:color w:val="000000"/>
                <w:highlight w:val="none"/>
              </w:rPr>
              <w:t>6</w:t>
            </w:r>
          </w:p>
        </w:tc>
        <w:tc>
          <w:tcPr>
            <w:tcW w:w="1426" w:type="pct"/>
            <w:tcBorders>
              <w:top w:val="single" w:color="auto" w:sz="6" w:space="0"/>
              <w:left w:val="single" w:color="auto" w:sz="6" w:space="0"/>
              <w:bottom w:val="single" w:color="auto" w:sz="6" w:space="0"/>
              <w:right w:val="single" w:color="auto" w:sz="6" w:space="0"/>
            </w:tcBorders>
            <w:noWrap w:val="0"/>
            <w:tcMar>
              <w:left w:w="0" w:type="dxa"/>
              <w:right w:w="0" w:type="dxa"/>
            </w:tcMar>
            <w:vAlign w:val="center"/>
          </w:tcPr>
          <w:p w14:paraId="74411950">
            <w:pPr>
              <w:keepNext w:val="0"/>
              <w:keepLines w:val="0"/>
              <w:pageBreakBefore w:val="0"/>
              <w:widowControl w:val="0"/>
              <w:kinsoku/>
              <w:wordWrap/>
              <w:overflowPunct/>
              <w:topLinePunct w:val="0"/>
              <w:bidi w:val="0"/>
              <w:adjustRightInd/>
              <w:spacing w:line="360" w:lineRule="auto"/>
              <w:jc w:val="center"/>
              <w:textAlignment w:val="auto"/>
              <w:rPr>
                <w:rFonts w:hint="eastAsia" w:ascii="宋体" w:cs="宋体"/>
                <w:color w:val="000000"/>
                <w:highlight w:val="none"/>
              </w:rPr>
            </w:pPr>
            <w:r>
              <w:rPr>
                <w:rFonts w:hint="eastAsia" w:ascii="宋体" w:cs="宋体"/>
                <w:color w:val="000000"/>
                <w:highlight w:val="none"/>
              </w:rPr>
              <w:t>出资比例</w:t>
            </w:r>
          </w:p>
        </w:tc>
        <w:tc>
          <w:tcPr>
            <w:tcW w:w="3135" w:type="pct"/>
            <w:tcBorders>
              <w:top w:val="single" w:color="auto" w:sz="6" w:space="0"/>
              <w:left w:val="single" w:color="auto" w:sz="6" w:space="0"/>
              <w:bottom w:val="single" w:color="auto" w:sz="6" w:space="0"/>
              <w:right w:val="double" w:color="auto" w:sz="2" w:space="0"/>
            </w:tcBorders>
            <w:noWrap w:val="0"/>
            <w:tcMar>
              <w:left w:w="0" w:type="dxa"/>
              <w:right w:w="0" w:type="dxa"/>
            </w:tcMar>
            <w:vAlign w:val="center"/>
          </w:tcPr>
          <w:p w14:paraId="48F2C4BB">
            <w:pPr>
              <w:keepNext w:val="0"/>
              <w:keepLines w:val="0"/>
              <w:pageBreakBefore w:val="0"/>
              <w:widowControl w:val="0"/>
              <w:kinsoku/>
              <w:wordWrap/>
              <w:overflowPunct/>
              <w:topLinePunct w:val="0"/>
              <w:bidi w:val="0"/>
              <w:adjustRightInd/>
              <w:spacing w:line="360" w:lineRule="auto"/>
              <w:jc w:val="left"/>
              <w:textAlignment w:val="auto"/>
              <w:rPr>
                <w:rFonts w:hint="eastAsia" w:ascii="宋体" w:cs="宋体"/>
                <w:color w:val="000000"/>
                <w:highlight w:val="none"/>
              </w:rPr>
            </w:pPr>
            <w:r>
              <w:rPr>
                <w:rFonts w:hint="eastAsia" w:ascii="宋体" w:cs="宋体"/>
                <w:color w:val="000000"/>
                <w:highlight w:val="none"/>
              </w:rPr>
              <w:t>100%</w:t>
            </w:r>
          </w:p>
        </w:tc>
      </w:tr>
      <w:tr w14:paraId="43F16FE7">
        <w:tblPrEx>
          <w:tblCellMar>
            <w:top w:w="0" w:type="dxa"/>
            <w:left w:w="108" w:type="dxa"/>
            <w:bottom w:w="0" w:type="dxa"/>
            <w:right w:w="108" w:type="dxa"/>
          </w:tblCellMar>
        </w:tblPrEx>
        <w:trPr>
          <w:trHeight w:val="48" w:hRule="atLeast"/>
          <w:jc w:val="center"/>
        </w:trPr>
        <w:tc>
          <w:tcPr>
            <w:tcW w:w="438" w:type="pct"/>
            <w:tcBorders>
              <w:top w:val="single" w:color="auto" w:sz="6" w:space="0"/>
              <w:left w:val="double" w:color="auto" w:sz="2" w:space="0"/>
              <w:bottom w:val="single" w:color="auto" w:sz="6" w:space="0"/>
              <w:right w:val="single" w:color="auto" w:sz="6" w:space="0"/>
            </w:tcBorders>
            <w:noWrap w:val="0"/>
            <w:tcMar>
              <w:left w:w="0" w:type="dxa"/>
              <w:right w:w="0" w:type="dxa"/>
            </w:tcMar>
            <w:vAlign w:val="center"/>
          </w:tcPr>
          <w:p w14:paraId="23AE049D">
            <w:pPr>
              <w:keepNext w:val="0"/>
              <w:keepLines w:val="0"/>
              <w:pageBreakBefore w:val="0"/>
              <w:widowControl w:val="0"/>
              <w:kinsoku/>
              <w:wordWrap/>
              <w:overflowPunct/>
              <w:topLinePunct w:val="0"/>
              <w:bidi w:val="0"/>
              <w:adjustRightInd/>
              <w:snapToGrid w:val="0"/>
              <w:spacing w:line="360" w:lineRule="auto"/>
              <w:jc w:val="center"/>
              <w:textAlignment w:val="auto"/>
              <w:rPr>
                <w:rFonts w:hint="eastAsia" w:ascii="宋体" w:cs="宋体"/>
                <w:color w:val="000000"/>
                <w:highlight w:val="none"/>
              </w:rPr>
            </w:pPr>
            <w:r>
              <w:rPr>
                <w:rFonts w:hint="eastAsia" w:ascii="宋体" w:cs="宋体"/>
                <w:color w:val="000000"/>
                <w:highlight w:val="none"/>
              </w:rPr>
              <w:t>7</w:t>
            </w:r>
          </w:p>
        </w:tc>
        <w:tc>
          <w:tcPr>
            <w:tcW w:w="1426" w:type="pct"/>
            <w:tcBorders>
              <w:top w:val="single" w:color="auto" w:sz="6" w:space="0"/>
              <w:left w:val="single" w:color="auto" w:sz="6" w:space="0"/>
              <w:bottom w:val="single" w:color="auto" w:sz="6" w:space="0"/>
              <w:right w:val="single" w:color="auto" w:sz="6" w:space="0"/>
            </w:tcBorders>
            <w:noWrap w:val="0"/>
            <w:tcMar>
              <w:left w:w="0" w:type="dxa"/>
              <w:right w:w="0" w:type="dxa"/>
            </w:tcMar>
            <w:vAlign w:val="center"/>
          </w:tcPr>
          <w:p w14:paraId="18949FB1">
            <w:pPr>
              <w:keepNext w:val="0"/>
              <w:keepLines w:val="0"/>
              <w:pageBreakBefore w:val="0"/>
              <w:widowControl w:val="0"/>
              <w:kinsoku/>
              <w:wordWrap/>
              <w:overflowPunct/>
              <w:topLinePunct w:val="0"/>
              <w:bidi w:val="0"/>
              <w:adjustRightInd/>
              <w:spacing w:line="360" w:lineRule="auto"/>
              <w:jc w:val="center"/>
              <w:textAlignment w:val="auto"/>
              <w:rPr>
                <w:rFonts w:hint="eastAsia" w:ascii="宋体" w:cs="宋体"/>
                <w:color w:val="000000"/>
                <w:highlight w:val="none"/>
              </w:rPr>
            </w:pPr>
            <w:r>
              <w:rPr>
                <w:rFonts w:hint="eastAsia" w:ascii="宋体" w:cs="宋体"/>
                <w:color w:val="000000"/>
                <w:highlight w:val="none"/>
              </w:rPr>
              <w:t>资金落实情况</w:t>
            </w:r>
          </w:p>
        </w:tc>
        <w:tc>
          <w:tcPr>
            <w:tcW w:w="3135" w:type="pct"/>
            <w:tcBorders>
              <w:top w:val="single" w:color="auto" w:sz="6" w:space="0"/>
              <w:left w:val="single" w:color="auto" w:sz="6" w:space="0"/>
              <w:bottom w:val="single" w:color="auto" w:sz="6" w:space="0"/>
              <w:right w:val="double" w:color="auto" w:sz="2" w:space="0"/>
            </w:tcBorders>
            <w:noWrap w:val="0"/>
            <w:tcMar>
              <w:left w:w="0" w:type="dxa"/>
              <w:right w:w="0" w:type="dxa"/>
            </w:tcMar>
            <w:vAlign w:val="center"/>
          </w:tcPr>
          <w:p w14:paraId="387FAD94">
            <w:pPr>
              <w:keepNext w:val="0"/>
              <w:keepLines w:val="0"/>
              <w:pageBreakBefore w:val="0"/>
              <w:widowControl w:val="0"/>
              <w:kinsoku/>
              <w:wordWrap/>
              <w:overflowPunct/>
              <w:topLinePunct w:val="0"/>
              <w:bidi w:val="0"/>
              <w:adjustRightInd/>
              <w:spacing w:line="360" w:lineRule="auto"/>
              <w:jc w:val="left"/>
              <w:textAlignment w:val="auto"/>
              <w:rPr>
                <w:rFonts w:hint="eastAsia" w:ascii="宋体" w:cs="宋体"/>
                <w:color w:val="000000"/>
                <w:highlight w:val="none"/>
              </w:rPr>
            </w:pPr>
            <w:r>
              <w:rPr>
                <w:rFonts w:hint="eastAsia" w:ascii="宋体" w:cs="宋体"/>
                <w:color w:val="000000"/>
                <w:highlight w:val="none"/>
              </w:rPr>
              <w:t>已落实</w:t>
            </w:r>
          </w:p>
        </w:tc>
      </w:tr>
      <w:tr w14:paraId="4EFCABD7">
        <w:tblPrEx>
          <w:tblCellMar>
            <w:top w:w="0" w:type="dxa"/>
            <w:left w:w="108" w:type="dxa"/>
            <w:bottom w:w="0" w:type="dxa"/>
            <w:right w:w="108" w:type="dxa"/>
          </w:tblCellMar>
        </w:tblPrEx>
        <w:trPr>
          <w:trHeight w:val="618" w:hRule="atLeast"/>
          <w:jc w:val="center"/>
        </w:trPr>
        <w:tc>
          <w:tcPr>
            <w:tcW w:w="438" w:type="pct"/>
            <w:tcBorders>
              <w:top w:val="single" w:color="auto" w:sz="6" w:space="0"/>
              <w:left w:val="double" w:color="auto" w:sz="2" w:space="0"/>
              <w:bottom w:val="single" w:color="auto" w:sz="6" w:space="0"/>
              <w:right w:val="single" w:color="auto" w:sz="6" w:space="0"/>
            </w:tcBorders>
            <w:noWrap w:val="0"/>
            <w:tcMar>
              <w:left w:w="0" w:type="dxa"/>
              <w:right w:w="0" w:type="dxa"/>
            </w:tcMar>
            <w:vAlign w:val="center"/>
          </w:tcPr>
          <w:p w14:paraId="3526379D">
            <w:pPr>
              <w:keepNext w:val="0"/>
              <w:keepLines w:val="0"/>
              <w:pageBreakBefore w:val="0"/>
              <w:widowControl w:val="0"/>
              <w:kinsoku/>
              <w:wordWrap/>
              <w:overflowPunct/>
              <w:topLinePunct w:val="0"/>
              <w:bidi w:val="0"/>
              <w:adjustRightInd/>
              <w:snapToGrid w:val="0"/>
              <w:spacing w:line="360" w:lineRule="auto"/>
              <w:jc w:val="center"/>
              <w:textAlignment w:val="auto"/>
              <w:rPr>
                <w:rFonts w:hint="eastAsia" w:ascii="宋体" w:cs="宋体"/>
                <w:color w:val="000000"/>
                <w:highlight w:val="none"/>
              </w:rPr>
            </w:pPr>
            <w:r>
              <w:rPr>
                <w:rFonts w:hint="eastAsia" w:ascii="宋体" w:cs="宋体"/>
                <w:color w:val="000000"/>
                <w:highlight w:val="none"/>
              </w:rPr>
              <w:t>8</w:t>
            </w:r>
          </w:p>
        </w:tc>
        <w:tc>
          <w:tcPr>
            <w:tcW w:w="1426" w:type="pct"/>
            <w:tcBorders>
              <w:top w:val="single" w:color="auto" w:sz="6" w:space="0"/>
              <w:left w:val="single" w:color="auto" w:sz="6" w:space="0"/>
              <w:bottom w:val="single" w:color="auto" w:sz="6" w:space="0"/>
              <w:right w:val="single" w:color="auto" w:sz="6" w:space="0"/>
            </w:tcBorders>
            <w:noWrap w:val="0"/>
            <w:tcMar>
              <w:left w:w="0" w:type="dxa"/>
              <w:right w:w="0" w:type="dxa"/>
            </w:tcMar>
            <w:vAlign w:val="center"/>
          </w:tcPr>
          <w:p w14:paraId="2A7F2C27">
            <w:pPr>
              <w:keepNext w:val="0"/>
              <w:keepLines w:val="0"/>
              <w:pageBreakBefore w:val="0"/>
              <w:widowControl w:val="0"/>
              <w:kinsoku/>
              <w:wordWrap/>
              <w:overflowPunct/>
              <w:topLinePunct w:val="0"/>
              <w:bidi w:val="0"/>
              <w:adjustRightInd/>
              <w:spacing w:line="360" w:lineRule="auto"/>
              <w:jc w:val="center"/>
              <w:textAlignment w:val="auto"/>
              <w:rPr>
                <w:rFonts w:hint="eastAsia" w:ascii="宋体" w:cs="宋体"/>
                <w:color w:val="000000"/>
                <w:highlight w:val="none"/>
              </w:rPr>
            </w:pPr>
            <w:r>
              <w:rPr>
                <w:rFonts w:hint="eastAsia" w:ascii="宋体" w:cs="宋体"/>
                <w:color w:val="000000"/>
                <w:highlight w:val="none"/>
                <w:lang w:val="en-US" w:eastAsia="zh-CN"/>
              </w:rPr>
              <w:t>采购需求</w:t>
            </w:r>
          </w:p>
        </w:tc>
        <w:tc>
          <w:tcPr>
            <w:tcW w:w="3135" w:type="pct"/>
            <w:tcBorders>
              <w:top w:val="single" w:color="auto" w:sz="6" w:space="0"/>
              <w:left w:val="single" w:color="auto" w:sz="6" w:space="0"/>
              <w:bottom w:val="single" w:color="auto" w:sz="6" w:space="0"/>
              <w:right w:val="double" w:color="auto" w:sz="2" w:space="0"/>
            </w:tcBorders>
            <w:noWrap w:val="0"/>
            <w:tcMar>
              <w:left w:w="0" w:type="dxa"/>
              <w:right w:w="0" w:type="dxa"/>
            </w:tcMar>
            <w:vAlign w:val="center"/>
          </w:tcPr>
          <w:p w14:paraId="1D9DEE5E">
            <w:pPr>
              <w:keepNext w:val="0"/>
              <w:keepLines w:val="0"/>
              <w:pageBreakBefore w:val="0"/>
              <w:widowControl w:val="0"/>
              <w:kinsoku/>
              <w:wordWrap/>
              <w:overflowPunct/>
              <w:topLinePunct w:val="0"/>
              <w:bidi w:val="0"/>
              <w:adjustRightInd/>
              <w:spacing w:line="360" w:lineRule="auto"/>
              <w:jc w:val="left"/>
              <w:textAlignment w:val="auto"/>
              <w:rPr>
                <w:rFonts w:hint="eastAsia" w:ascii="宋体" w:eastAsia="宋体" w:cs="宋体"/>
                <w:color w:val="000000"/>
                <w:highlight w:val="none"/>
                <w:lang w:eastAsia="zh-CN"/>
              </w:rPr>
            </w:pPr>
            <w:r>
              <w:rPr>
                <w:rFonts w:hint="eastAsia" w:ascii="宋体" w:cs="宋体"/>
                <w:color w:val="000000"/>
                <w:highlight w:val="none"/>
                <w:lang w:eastAsia="zh-CN"/>
              </w:rPr>
              <w:t>长春市宽城区医院异地建设项目、长春市宽城区卫生综合体建设项目医疗家具采购项目，详见</w:t>
            </w:r>
            <w:r>
              <w:rPr>
                <w:rFonts w:hint="eastAsia" w:ascii="宋体" w:cs="宋体"/>
                <w:color w:val="000000"/>
                <w:highlight w:val="none"/>
                <w:lang w:val="en-US" w:eastAsia="zh-CN"/>
              </w:rPr>
              <w:t>招标文件第五章。</w:t>
            </w:r>
          </w:p>
        </w:tc>
      </w:tr>
      <w:tr w14:paraId="5DFCF430">
        <w:tblPrEx>
          <w:tblCellMar>
            <w:top w:w="0" w:type="dxa"/>
            <w:left w:w="108" w:type="dxa"/>
            <w:bottom w:w="0" w:type="dxa"/>
            <w:right w:w="108" w:type="dxa"/>
          </w:tblCellMar>
        </w:tblPrEx>
        <w:trPr>
          <w:trHeight w:val="352" w:hRule="atLeast"/>
          <w:jc w:val="center"/>
        </w:trPr>
        <w:tc>
          <w:tcPr>
            <w:tcW w:w="438" w:type="pct"/>
            <w:tcBorders>
              <w:top w:val="single" w:color="auto" w:sz="6" w:space="0"/>
              <w:left w:val="double" w:color="auto" w:sz="2" w:space="0"/>
              <w:bottom w:val="single" w:color="auto" w:sz="6" w:space="0"/>
              <w:right w:val="single" w:color="auto" w:sz="6" w:space="0"/>
            </w:tcBorders>
            <w:noWrap w:val="0"/>
            <w:tcMar>
              <w:left w:w="0" w:type="dxa"/>
              <w:right w:w="0" w:type="dxa"/>
            </w:tcMar>
            <w:vAlign w:val="center"/>
          </w:tcPr>
          <w:p w14:paraId="2F6F9ADE">
            <w:pPr>
              <w:keepNext w:val="0"/>
              <w:keepLines w:val="0"/>
              <w:pageBreakBefore w:val="0"/>
              <w:widowControl w:val="0"/>
              <w:kinsoku/>
              <w:wordWrap/>
              <w:overflowPunct/>
              <w:topLinePunct w:val="0"/>
              <w:bidi w:val="0"/>
              <w:adjustRightInd/>
              <w:snapToGrid w:val="0"/>
              <w:spacing w:line="360" w:lineRule="auto"/>
              <w:jc w:val="center"/>
              <w:textAlignment w:val="auto"/>
              <w:rPr>
                <w:rFonts w:hint="eastAsia" w:ascii="宋体" w:cs="宋体"/>
                <w:color w:val="000000"/>
                <w:highlight w:val="none"/>
              </w:rPr>
            </w:pPr>
            <w:r>
              <w:rPr>
                <w:rFonts w:hint="eastAsia" w:ascii="宋体" w:cs="宋体"/>
                <w:color w:val="000000"/>
                <w:highlight w:val="none"/>
              </w:rPr>
              <w:t>9</w:t>
            </w:r>
          </w:p>
        </w:tc>
        <w:tc>
          <w:tcPr>
            <w:tcW w:w="1426" w:type="pct"/>
            <w:tcBorders>
              <w:top w:val="single" w:color="auto" w:sz="6" w:space="0"/>
              <w:left w:val="single" w:color="auto" w:sz="6" w:space="0"/>
              <w:bottom w:val="single" w:color="auto" w:sz="6" w:space="0"/>
              <w:right w:val="single" w:color="auto" w:sz="6" w:space="0"/>
            </w:tcBorders>
            <w:noWrap w:val="0"/>
            <w:tcMar>
              <w:left w:w="0" w:type="dxa"/>
              <w:right w:w="0" w:type="dxa"/>
            </w:tcMar>
            <w:vAlign w:val="center"/>
          </w:tcPr>
          <w:p w14:paraId="5E2EF5F7">
            <w:pPr>
              <w:keepNext w:val="0"/>
              <w:keepLines w:val="0"/>
              <w:pageBreakBefore w:val="0"/>
              <w:widowControl w:val="0"/>
              <w:kinsoku/>
              <w:wordWrap/>
              <w:overflowPunct/>
              <w:topLinePunct w:val="0"/>
              <w:bidi w:val="0"/>
              <w:adjustRightInd/>
              <w:spacing w:line="360" w:lineRule="auto"/>
              <w:jc w:val="left"/>
              <w:textAlignment w:val="auto"/>
              <w:rPr>
                <w:rFonts w:hint="eastAsia" w:ascii="宋体" w:hAnsi="宋体"/>
                <w:color w:val="auto"/>
                <w:highlight w:val="none"/>
              </w:rPr>
            </w:pPr>
            <w:r>
              <w:rPr>
                <w:rFonts w:hint="eastAsia" w:ascii="宋体" w:hAnsi="宋体"/>
                <w:color w:val="auto"/>
                <w:highlight w:val="none"/>
              </w:rPr>
              <w:t>合同履行期限(交货期限)</w:t>
            </w:r>
          </w:p>
        </w:tc>
        <w:tc>
          <w:tcPr>
            <w:tcW w:w="3135" w:type="pct"/>
            <w:tcBorders>
              <w:top w:val="single" w:color="auto" w:sz="6" w:space="0"/>
              <w:left w:val="single" w:color="auto" w:sz="6" w:space="0"/>
              <w:bottom w:val="single" w:color="auto" w:sz="6" w:space="0"/>
              <w:right w:val="double" w:color="auto" w:sz="2" w:space="0"/>
            </w:tcBorders>
            <w:noWrap w:val="0"/>
            <w:tcMar>
              <w:left w:w="0" w:type="dxa"/>
              <w:right w:w="0" w:type="dxa"/>
            </w:tcMar>
            <w:vAlign w:val="center"/>
          </w:tcPr>
          <w:p w14:paraId="434A2F1D">
            <w:pPr>
              <w:keepNext w:val="0"/>
              <w:keepLines w:val="0"/>
              <w:pageBreakBefore w:val="0"/>
              <w:widowControl w:val="0"/>
              <w:kinsoku/>
              <w:wordWrap/>
              <w:overflowPunct/>
              <w:topLinePunct w:val="0"/>
              <w:bidi w:val="0"/>
              <w:adjustRightInd/>
              <w:spacing w:line="360" w:lineRule="auto"/>
              <w:jc w:val="left"/>
              <w:textAlignment w:val="auto"/>
              <w:rPr>
                <w:rFonts w:hint="eastAsia" w:ascii="宋体" w:hAnsi="宋体"/>
                <w:color w:val="auto"/>
                <w:highlight w:val="none"/>
                <w:lang w:eastAsia="zh-CN"/>
              </w:rPr>
            </w:pPr>
            <w:r>
              <w:rPr>
                <w:rFonts w:hint="eastAsia" w:ascii="宋体" w:hAnsi="宋体"/>
                <w:color w:val="auto"/>
                <w:highlight w:val="none"/>
              </w:rPr>
              <w:t>合同订立后</w:t>
            </w:r>
            <w:r>
              <w:rPr>
                <w:rFonts w:hint="eastAsia" w:ascii="宋体" w:hAnsi="宋体"/>
                <w:color w:val="auto"/>
                <w:highlight w:val="none"/>
                <w:lang w:val="en-US" w:eastAsia="zh-CN"/>
              </w:rPr>
              <w:t>30</w:t>
            </w:r>
            <w:r>
              <w:rPr>
                <w:rFonts w:hint="eastAsia" w:ascii="宋体" w:hAnsi="宋体"/>
                <w:color w:val="auto"/>
                <w:highlight w:val="none"/>
              </w:rPr>
              <w:t>天内交货</w:t>
            </w:r>
            <w:r>
              <w:rPr>
                <w:rFonts w:hint="eastAsia" w:ascii="宋体" w:hAnsi="宋体"/>
                <w:color w:val="auto"/>
                <w:highlight w:val="none"/>
                <w:lang w:eastAsia="zh-CN"/>
              </w:rPr>
              <w:t>，并安装完毕</w:t>
            </w:r>
            <w:r>
              <w:rPr>
                <w:rFonts w:hint="eastAsia" w:ascii="宋体" w:hAnsi="宋体"/>
                <w:color w:val="auto"/>
                <w:highlight w:val="none"/>
              </w:rPr>
              <w:t>。</w:t>
            </w:r>
          </w:p>
        </w:tc>
      </w:tr>
      <w:tr w14:paraId="3C55155C">
        <w:tblPrEx>
          <w:tblCellMar>
            <w:top w:w="0" w:type="dxa"/>
            <w:left w:w="108" w:type="dxa"/>
            <w:bottom w:w="0" w:type="dxa"/>
            <w:right w:w="108" w:type="dxa"/>
          </w:tblCellMar>
        </w:tblPrEx>
        <w:trPr>
          <w:trHeight w:val="90" w:hRule="atLeast"/>
          <w:jc w:val="center"/>
        </w:trPr>
        <w:tc>
          <w:tcPr>
            <w:tcW w:w="438" w:type="pct"/>
            <w:tcBorders>
              <w:top w:val="single" w:color="auto" w:sz="6" w:space="0"/>
              <w:left w:val="double" w:color="auto" w:sz="2" w:space="0"/>
              <w:bottom w:val="single" w:color="auto" w:sz="6" w:space="0"/>
              <w:right w:val="single" w:color="auto" w:sz="6" w:space="0"/>
            </w:tcBorders>
            <w:noWrap w:val="0"/>
            <w:tcMar>
              <w:left w:w="0" w:type="dxa"/>
              <w:right w:w="0" w:type="dxa"/>
            </w:tcMar>
            <w:vAlign w:val="center"/>
          </w:tcPr>
          <w:p w14:paraId="0CADCFE9">
            <w:pPr>
              <w:keepNext w:val="0"/>
              <w:keepLines w:val="0"/>
              <w:pageBreakBefore w:val="0"/>
              <w:widowControl w:val="0"/>
              <w:kinsoku/>
              <w:wordWrap/>
              <w:overflowPunct/>
              <w:topLinePunct w:val="0"/>
              <w:bidi w:val="0"/>
              <w:adjustRightInd/>
              <w:snapToGrid w:val="0"/>
              <w:spacing w:line="360" w:lineRule="auto"/>
              <w:jc w:val="center"/>
              <w:textAlignment w:val="auto"/>
              <w:rPr>
                <w:rFonts w:hint="eastAsia" w:ascii="宋体" w:cs="宋体"/>
                <w:color w:val="000000"/>
                <w:highlight w:val="none"/>
              </w:rPr>
            </w:pPr>
            <w:r>
              <w:rPr>
                <w:rFonts w:hint="eastAsia" w:ascii="宋体" w:cs="宋体"/>
                <w:color w:val="000000"/>
                <w:highlight w:val="none"/>
              </w:rPr>
              <w:t>10</w:t>
            </w:r>
          </w:p>
        </w:tc>
        <w:tc>
          <w:tcPr>
            <w:tcW w:w="1426" w:type="pct"/>
            <w:tcBorders>
              <w:top w:val="single" w:color="auto" w:sz="6" w:space="0"/>
              <w:left w:val="single" w:color="auto" w:sz="6" w:space="0"/>
              <w:bottom w:val="single" w:color="auto" w:sz="6" w:space="0"/>
              <w:right w:val="single" w:color="auto" w:sz="6" w:space="0"/>
            </w:tcBorders>
            <w:noWrap w:val="0"/>
            <w:tcMar>
              <w:left w:w="0" w:type="dxa"/>
              <w:right w:w="0" w:type="dxa"/>
            </w:tcMar>
            <w:vAlign w:val="center"/>
          </w:tcPr>
          <w:p w14:paraId="3141073E">
            <w:pPr>
              <w:keepNext w:val="0"/>
              <w:keepLines w:val="0"/>
              <w:pageBreakBefore w:val="0"/>
              <w:widowControl w:val="0"/>
              <w:kinsoku/>
              <w:wordWrap/>
              <w:overflowPunct/>
              <w:topLinePunct w:val="0"/>
              <w:bidi w:val="0"/>
              <w:adjustRightInd/>
              <w:spacing w:line="360" w:lineRule="auto"/>
              <w:jc w:val="center"/>
              <w:textAlignment w:val="auto"/>
              <w:rPr>
                <w:rFonts w:hint="eastAsia" w:ascii="宋体" w:cs="宋体"/>
                <w:color w:val="000000"/>
                <w:highlight w:val="none"/>
                <w:lang w:val="en-US" w:eastAsia="zh-CN"/>
              </w:rPr>
            </w:pPr>
            <w:r>
              <w:rPr>
                <w:rFonts w:hint="eastAsia" w:ascii="宋体" w:cs="宋体"/>
                <w:color w:val="000000"/>
                <w:highlight w:val="none"/>
                <w:lang w:val="en-US" w:eastAsia="zh-CN"/>
              </w:rPr>
              <w:t>质量要求</w:t>
            </w:r>
          </w:p>
        </w:tc>
        <w:tc>
          <w:tcPr>
            <w:tcW w:w="3135" w:type="pct"/>
            <w:tcBorders>
              <w:top w:val="single" w:color="auto" w:sz="6" w:space="0"/>
              <w:left w:val="single" w:color="auto" w:sz="6" w:space="0"/>
              <w:bottom w:val="single" w:color="auto" w:sz="6" w:space="0"/>
              <w:right w:val="double" w:color="auto" w:sz="2" w:space="0"/>
            </w:tcBorders>
            <w:noWrap w:val="0"/>
            <w:tcMar>
              <w:left w:w="0" w:type="dxa"/>
              <w:right w:w="0" w:type="dxa"/>
            </w:tcMar>
            <w:vAlign w:val="center"/>
          </w:tcPr>
          <w:p w14:paraId="7A4B3BF5">
            <w:pPr>
              <w:keepNext w:val="0"/>
              <w:keepLines w:val="0"/>
              <w:pageBreakBefore w:val="0"/>
              <w:widowControl w:val="0"/>
              <w:kinsoku/>
              <w:wordWrap/>
              <w:overflowPunct/>
              <w:topLinePunct w:val="0"/>
              <w:bidi w:val="0"/>
              <w:adjustRightInd/>
              <w:spacing w:line="360" w:lineRule="auto"/>
              <w:jc w:val="center"/>
              <w:textAlignment w:val="auto"/>
              <w:rPr>
                <w:rFonts w:hint="eastAsia" w:ascii="宋体" w:cs="宋体"/>
                <w:color w:val="000000"/>
                <w:highlight w:val="none"/>
                <w:lang w:val="en-US" w:eastAsia="zh-CN"/>
              </w:rPr>
            </w:pPr>
            <w:r>
              <w:rPr>
                <w:rFonts w:hint="eastAsia" w:ascii="宋体" w:cs="宋体"/>
                <w:color w:val="000000"/>
                <w:highlight w:val="none"/>
                <w:lang w:val="en-US" w:eastAsia="zh-CN"/>
              </w:rPr>
              <w:t>符合现行国家、行业、地方或者其他相关标准的合格要求</w:t>
            </w:r>
          </w:p>
        </w:tc>
      </w:tr>
      <w:tr w14:paraId="50B912AE">
        <w:tblPrEx>
          <w:tblCellMar>
            <w:top w:w="0" w:type="dxa"/>
            <w:left w:w="108" w:type="dxa"/>
            <w:bottom w:w="0" w:type="dxa"/>
            <w:right w:w="108" w:type="dxa"/>
          </w:tblCellMar>
        </w:tblPrEx>
        <w:trPr>
          <w:trHeight w:val="2504" w:hRule="atLeast"/>
          <w:jc w:val="center"/>
        </w:trPr>
        <w:tc>
          <w:tcPr>
            <w:tcW w:w="438" w:type="pct"/>
            <w:tcBorders>
              <w:top w:val="single" w:color="auto" w:sz="6" w:space="0"/>
              <w:left w:val="double" w:color="auto" w:sz="2" w:space="0"/>
              <w:bottom w:val="single" w:color="auto" w:sz="6" w:space="0"/>
              <w:right w:val="single" w:color="auto" w:sz="6" w:space="0"/>
            </w:tcBorders>
            <w:noWrap w:val="0"/>
            <w:tcMar>
              <w:left w:w="0" w:type="dxa"/>
              <w:right w:w="0" w:type="dxa"/>
            </w:tcMar>
            <w:vAlign w:val="center"/>
          </w:tcPr>
          <w:p w14:paraId="27AFB800">
            <w:pPr>
              <w:keepNext w:val="0"/>
              <w:keepLines w:val="0"/>
              <w:pageBreakBefore w:val="0"/>
              <w:widowControl w:val="0"/>
              <w:kinsoku/>
              <w:wordWrap/>
              <w:overflowPunct/>
              <w:topLinePunct w:val="0"/>
              <w:bidi w:val="0"/>
              <w:adjustRightInd/>
              <w:snapToGrid w:val="0"/>
              <w:spacing w:line="360" w:lineRule="auto"/>
              <w:jc w:val="center"/>
              <w:textAlignment w:val="auto"/>
              <w:rPr>
                <w:rFonts w:hint="eastAsia" w:ascii="宋体" w:cs="宋体"/>
                <w:color w:val="000000"/>
                <w:highlight w:val="none"/>
              </w:rPr>
            </w:pPr>
            <w:r>
              <w:rPr>
                <w:rFonts w:hint="eastAsia" w:ascii="宋体" w:cs="宋体"/>
                <w:color w:val="000000"/>
                <w:highlight w:val="none"/>
              </w:rPr>
              <w:t>11</w:t>
            </w:r>
          </w:p>
        </w:tc>
        <w:tc>
          <w:tcPr>
            <w:tcW w:w="1426" w:type="pct"/>
            <w:tcBorders>
              <w:top w:val="single" w:color="auto" w:sz="6" w:space="0"/>
              <w:left w:val="single" w:color="auto" w:sz="6" w:space="0"/>
              <w:bottom w:val="single" w:color="auto" w:sz="6" w:space="0"/>
              <w:right w:val="single" w:color="auto" w:sz="6" w:space="0"/>
            </w:tcBorders>
            <w:noWrap w:val="0"/>
            <w:tcMar>
              <w:left w:w="0" w:type="dxa"/>
              <w:right w:w="0" w:type="dxa"/>
            </w:tcMar>
            <w:vAlign w:val="center"/>
          </w:tcPr>
          <w:p w14:paraId="5D675D12">
            <w:pPr>
              <w:keepNext w:val="0"/>
              <w:keepLines w:val="0"/>
              <w:pageBreakBefore w:val="0"/>
              <w:widowControl w:val="0"/>
              <w:kinsoku/>
              <w:wordWrap/>
              <w:overflowPunct/>
              <w:topLinePunct w:val="0"/>
              <w:bidi w:val="0"/>
              <w:adjustRightInd/>
              <w:spacing w:line="360" w:lineRule="auto"/>
              <w:jc w:val="center"/>
              <w:textAlignment w:val="auto"/>
              <w:rPr>
                <w:rFonts w:hint="eastAsia" w:ascii="宋体" w:cs="宋体"/>
                <w:color w:val="000000"/>
                <w:highlight w:val="none"/>
              </w:rPr>
            </w:pPr>
            <w:r>
              <w:rPr>
                <w:rFonts w:hint="eastAsia" w:ascii="宋体" w:cs="宋体"/>
                <w:highlight w:val="none"/>
              </w:rPr>
              <w:t>投标人资质条件、能力</w:t>
            </w:r>
          </w:p>
        </w:tc>
        <w:tc>
          <w:tcPr>
            <w:tcW w:w="3135" w:type="pct"/>
            <w:tcBorders>
              <w:top w:val="single" w:color="auto" w:sz="6" w:space="0"/>
              <w:left w:val="single" w:color="auto" w:sz="6" w:space="0"/>
              <w:bottom w:val="single" w:color="auto" w:sz="6" w:space="0"/>
              <w:right w:val="double" w:color="auto" w:sz="2" w:space="0"/>
            </w:tcBorders>
            <w:noWrap w:val="0"/>
            <w:tcMar>
              <w:left w:w="0" w:type="dxa"/>
              <w:right w:w="0" w:type="dxa"/>
            </w:tcMar>
            <w:vAlign w:val="center"/>
          </w:tcPr>
          <w:p w14:paraId="1108C6F9">
            <w:pPr>
              <w:keepNext w:val="0"/>
              <w:keepLines w:val="0"/>
              <w:pageBreakBefore w:val="0"/>
              <w:widowControl w:val="0"/>
              <w:kinsoku/>
              <w:wordWrap/>
              <w:overflowPunct/>
              <w:topLinePunct w:val="0"/>
              <w:bidi w:val="0"/>
              <w:adjustRightInd/>
              <w:spacing w:line="360" w:lineRule="auto"/>
              <w:jc w:val="left"/>
              <w:textAlignment w:val="auto"/>
              <w:rPr>
                <w:rFonts w:hint="eastAsia" w:ascii="宋体" w:cs="宋体"/>
                <w:color w:val="000000"/>
                <w:highlight w:val="none"/>
              </w:rPr>
            </w:pPr>
            <w:r>
              <w:rPr>
                <w:rFonts w:hint="eastAsia" w:ascii="宋体" w:cs="宋体"/>
                <w:color w:val="000000"/>
                <w:highlight w:val="none"/>
              </w:rPr>
              <w:t>1. 满足《中华人民共和国政府采购法》第二十二条规定。</w:t>
            </w:r>
          </w:p>
          <w:p w14:paraId="10F1B153">
            <w:pPr>
              <w:keepNext w:val="0"/>
              <w:keepLines w:val="0"/>
              <w:pageBreakBefore w:val="0"/>
              <w:widowControl w:val="0"/>
              <w:kinsoku/>
              <w:wordWrap/>
              <w:overflowPunct/>
              <w:topLinePunct w:val="0"/>
              <w:bidi w:val="0"/>
              <w:adjustRightInd/>
              <w:spacing w:line="360" w:lineRule="auto"/>
              <w:jc w:val="left"/>
              <w:textAlignment w:val="auto"/>
              <w:rPr>
                <w:rFonts w:hint="eastAsia" w:ascii="宋体" w:cs="宋体"/>
                <w:color w:val="000000"/>
                <w:highlight w:val="none"/>
              </w:rPr>
            </w:pPr>
            <w:r>
              <w:rPr>
                <w:rFonts w:hint="eastAsia" w:ascii="宋体" w:cs="宋体"/>
                <w:color w:val="000000"/>
                <w:highlight w:val="none"/>
              </w:rPr>
              <w:t>2. 落实政府采购政策需满足的资格要求：本项目</w:t>
            </w:r>
            <w:r>
              <w:rPr>
                <w:rFonts w:hint="eastAsia" w:ascii="宋体" w:cs="宋体"/>
                <w:color w:val="000000"/>
                <w:highlight w:val="none"/>
                <w:lang w:val="en-US" w:eastAsia="zh-CN"/>
              </w:rPr>
              <w:t>非</w:t>
            </w:r>
            <w:r>
              <w:rPr>
                <w:rFonts w:hint="eastAsia" w:ascii="宋体" w:cs="宋体"/>
                <w:color w:val="000000"/>
                <w:highlight w:val="none"/>
              </w:rPr>
              <w:t>专门面向中小企业</w:t>
            </w:r>
            <w:r>
              <w:rPr>
                <w:rFonts w:hint="eastAsia" w:ascii="宋体" w:cs="宋体"/>
                <w:color w:val="000000"/>
                <w:highlight w:val="none"/>
                <w:lang w:eastAsia="zh-CN"/>
              </w:rPr>
              <w:t>，</w:t>
            </w:r>
            <w:r>
              <w:rPr>
                <w:rFonts w:hint="eastAsia" w:ascii="宋体" w:cs="宋体"/>
                <w:color w:val="000000"/>
                <w:highlight w:val="none"/>
                <w:lang w:val="en-US" w:eastAsia="zh-CN"/>
              </w:rPr>
              <w:t>（本项目中小企业划分标准所属行业：工业）</w:t>
            </w:r>
            <w:r>
              <w:rPr>
                <w:rFonts w:hint="eastAsia" w:ascii="宋体" w:cs="宋体"/>
                <w:color w:val="000000"/>
                <w:highlight w:val="none"/>
              </w:rPr>
              <w:t>；</w:t>
            </w:r>
          </w:p>
          <w:p w14:paraId="68E737D1">
            <w:pPr>
              <w:keepNext w:val="0"/>
              <w:keepLines w:val="0"/>
              <w:pageBreakBefore w:val="0"/>
              <w:widowControl w:val="0"/>
              <w:kinsoku/>
              <w:wordWrap/>
              <w:overflowPunct/>
              <w:topLinePunct w:val="0"/>
              <w:bidi w:val="0"/>
              <w:adjustRightInd/>
              <w:spacing w:line="360" w:lineRule="auto"/>
              <w:jc w:val="left"/>
              <w:textAlignment w:val="auto"/>
              <w:rPr>
                <w:rFonts w:hint="eastAsia" w:ascii="宋体" w:cs="宋体"/>
                <w:color w:val="000000"/>
                <w:highlight w:val="none"/>
              </w:rPr>
            </w:pPr>
            <w:r>
              <w:rPr>
                <w:rFonts w:hint="eastAsia" w:ascii="宋体" w:cs="宋体"/>
                <w:color w:val="000000"/>
                <w:highlight w:val="none"/>
              </w:rPr>
              <w:t>3.本项目的特定资格要求：</w:t>
            </w:r>
          </w:p>
          <w:p w14:paraId="004AB09C">
            <w:pPr>
              <w:keepNext w:val="0"/>
              <w:keepLines w:val="0"/>
              <w:pageBreakBefore w:val="0"/>
              <w:widowControl w:val="0"/>
              <w:kinsoku/>
              <w:wordWrap/>
              <w:overflowPunct/>
              <w:topLinePunct w:val="0"/>
              <w:bidi w:val="0"/>
              <w:adjustRightInd/>
              <w:spacing w:line="360" w:lineRule="auto"/>
              <w:jc w:val="left"/>
              <w:textAlignment w:val="auto"/>
              <w:rPr>
                <w:rFonts w:hint="eastAsia" w:ascii="宋体" w:eastAsia="宋体" w:cs="宋体"/>
                <w:color w:val="000000"/>
                <w:highlight w:val="none"/>
                <w:lang w:eastAsia="zh-CN"/>
              </w:rPr>
            </w:pPr>
            <w:r>
              <w:rPr>
                <w:rFonts w:hint="eastAsia" w:ascii="宋体" w:cs="宋体"/>
                <w:color w:val="000000"/>
                <w:highlight w:val="none"/>
              </w:rPr>
              <w:t>3.1</w:t>
            </w:r>
            <w:r>
              <w:rPr>
                <w:rFonts w:hint="eastAsia" w:ascii="宋体" w:hAnsi="宋体" w:eastAsia="宋体" w:cs="宋体"/>
                <w:sz w:val="21"/>
                <w:szCs w:val="21"/>
                <w:highlight w:val="none"/>
              </w:rPr>
              <w:t>投标申请人须在中华人民共和国境内注册，具有独立承担民事责任能力的法人、自然人或具备国家认可经营资格的其他组织，并在人员、设备、资金等方面具有相应的供货能力</w:t>
            </w:r>
            <w:r>
              <w:rPr>
                <w:rFonts w:hint="eastAsia" w:ascii="宋体" w:eastAsia="宋体" w:cs="宋体"/>
                <w:color w:val="000000"/>
                <w:highlight w:val="none"/>
                <w:lang w:eastAsia="zh-CN"/>
              </w:rPr>
              <w:t>；</w:t>
            </w:r>
          </w:p>
          <w:p w14:paraId="24C6F5B1">
            <w:pPr>
              <w:keepNext w:val="0"/>
              <w:keepLines w:val="0"/>
              <w:pageBreakBefore w:val="0"/>
              <w:widowControl w:val="0"/>
              <w:kinsoku/>
              <w:wordWrap/>
              <w:overflowPunct/>
              <w:topLinePunct w:val="0"/>
              <w:bidi w:val="0"/>
              <w:adjustRightInd/>
              <w:spacing w:line="360" w:lineRule="auto"/>
              <w:jc w:val="left"/>
              <w:textAlignment w:val="auto"/>
              <w:rPr>
                <w:rFonts w:hint="eastAsia" w:ascii="宋体" w:cs="宋体"/>
                <w:color w:val="auto"/>
                <w:highlight w:val="none"/>
                <w:lang w:eastAsia="zh-CN"/>
              </w:rPr>
            </w:pPr>
            <w:r>
              <w:rPr>
                <w:rFonts w:hint="eastAsia" w:ascii="宋体" w:cs="宋体"/>
                <w:color w:val="000000"/>
                <w:highlight w:val="none"/>
              </w:rPr>
              <w:t>3.2</w:t>
            </w:r>
            <w:r>
              <w:rPr>
                <w:rFonts w:hint="eastAsia" w:ascii="宋体" w:cs="宋体"/>
                <w:color w:val="auto"/>
                <w:highlight w:val="none"/>
              </w:rPr>
              <w:t>具有良好的商业信誉和健全的财务会计制度，依法缴纳税收和社会保障资金的良好记录，根据[长财采购[2022]2066号文件]关于加强政府采购信用体系建设简化</w:t>
            </w:r>
            <w:r>
              <w:rPr>
                <w:rFonts w:hint="eastAsia" w:ascii="宋体" w:cs="宋体"/>
                <w:color w:val="auto"/>
                <w:highlight w:val="none"/>
                <w:lang w:eastAsia="zh-CN"/>
              </w:rPr>
              <w:t>投标人</w:t>
            </w:r>
            <w:r>
              <w:rPr>
                <w:rFonts w:hint="eastAsia" w:ascii="宋体" w:cs="宋体"/>
                <w:color w:val="auto"/>
                <w:highlight w:val="none"/>
              </w:rPr>
              <w:t>资格条件有关事项的通知提供资格条件承诺函</w:t>
            </w:r>
            <w:r>
              <w:rPr>
                <w:rFonts w:hint="eastAsia" w:ascii="宋体" w:cs="宋体"/>
                <w:color w:val="auto"/>
                <w:highlight w:val="none"/>
                <w:lang w:eastAsia="zh-CN"/>
              </w:rPr>
              <w:t>；</w:t>
            </w:r>
          </w:p>
          <w:p w14:paraId="2F825099">
            <w:pPr>
              <w:keepNext w:val="0"/>
              <w:keepLines w:val="0"/>
              <w:pageBreakBefore w:val="0"/>
              <w:widowControl w:val="0"/>
              <w:kinsoku/>
              <w:wordWrap/>
              <w:overflowPunct/>
              <w:topLinePunct w:val="0"/>
              <w:bidi w:val="0"/>
              <w:adjustRightInd/>
              <w:spacing w:line="360" w:lineRule="auto"/>
              <w:jc w:val="left"/>
              <w:textAlignment w:val="auto"/>
              <w:rPr>
                <w:rFonts w:hint="eastAsia" w:ascii="宋体" w:cs="宋体"/>
                <w:color w:val="000000"/>
                <w:highlight w:val="none"/>
                <w:lang w:eastAsia="zh-CN"/>
              </w:rPr>
            </w:pPr>
            <w:r>
              <w:rPr>
                <w:rFonts w:hint="eastAsia" w:ascii="宋体" w:cs="宋体"/>
                <w:color w:val="000000"/>
                <w:highlight w:val="none"/>
                <w:lang w:val="en-US" w:eastAsia="zh-CN"/>
              </w:rPr>
              <w:t>3.3参加本次采购活动前三年内，在经营活动中没有重大违法记录。不接受被政府列入取消投标资格及行业不良行为记录期限内的企业或个人参加投标</w:t>
            </w:r>
            <w:r>
              <w:rPr>
                <w:rFonts w:hint="eastAsia" w:ascii="宋体" w:cs="宋体"/>
                <w:color w:val="000000"/>
                <w:highlight w:val="none"/>
                <w:lang w:eastAsia="zh-CN"/>
              </w:rPr>
              <w:t>；</w:t>
            </w:r>
          </w:p>
          <w:p w14:paraId="5BDFC088">
            <w:pPr>
              <w:keepNext w:val="0"/>
              <w:keepLines w:val="0"/>
              <w:pageBreakBefore w:val="0"/>
              <w:widowControl w:val="0"/>
              <w:kinsoku/>
              <w:wordWrap/>
              <w:overflowPunct/>
              <w:topLinePunct w:val="0"/>
              <w:bidi w:val="0"/>
              <w:adjustRightInd/>
              <w:spacing w:line="360" w:lineRule="auto"/>
              <w:jc w:val="left"/>
              <w:textAlignment w:val="auto"/>
              <w:rPr>
                <w:rFonts w:hint="eastAsia" w:ascii="宋体" w:cs="宋体"/>
                <w:color w:val="000000"/>
                <w:highlight w:val="none"/>
                <w:lang w:val="en-US" w:eastAsia="zh-CN"/>
              </w:rPr>
            </w:pPr>
            <w:r>
              <w:rPr>
                <w:rFonts w:hint="eastAsia" w:ascii="宋体" w:cs="宋体"/>
                <w:color w:val="000000"/>
                <w:highlight w:val="none"/>
                <w:lang w:val="en-US" w:eastAsia="zh-CN"/>
              </w:rPr>
              <w:t>3.4</w:t>
            </w:r>
            <w:r>
              <w:rPr>
                <w:rFonts w:hint="eastAsia" w:ascii="宋体" w:hAnsi="宋体" w:eastAsia="宋体" w:cs="宋体"/>
                <w:sz w:val="21"/>
                <w:szCs w:val="21"/>
                <w:highlight w:val="none"/>
                <w:lang w:val="en-US" w:eastAsia="zh-CN"/>
              </w:rPr>
              <w:t>投标人近三年（2022年至投标截止日）不得为“中国政府采购网”政府采购严重违法失信行为记录名单中被财政部门禁止参加政府采购活动的投标人（在处罚决定规定的时间和地域范围内）（详见财[2016]125 号文）；不得为“信用中国”网站（www.creditchina.gov.cn）中列入失信被执行人和重大税收违法失信主体名单的投标人；不得为工商行政管理机关在“国家企业信用信息公示系统”中列入严重违法失信企业名单；投标</w:t>
            </w:r>
            <w:r>
              <w:rPr>
                <w:rFonts w:hint="eastAsia" w:ascii="宋体" w:hAnsi="宋体" w:eastAsia="宋体" w:cs="宋体"/>
                <w:color w:val="auto"/>
                <w:sz w:val="21"/>
                <w:szCs w:val="21"/>
                <w:highlight w:val="none"/>
                <w:lang w:val="en-US" w:eastAsia="zh-CN"/>
              </w:rPr>
              <w:t>人须在</w:t>
            </w:r>
            <w:r>
              <w:rPr>
                <w:rFonts w:hint="eastAsia" w:ascii="宋体" w:hAnsi="宋体" w:eastAsia="宋体" w:cs="宋体"/>
                <w:sz w:val="21"/>
                <w:szCs w:val="21"/>
                <w:highlight w:val="none"/>
                <w:lang w:val="en-US" w:eastAsia="zh-CN"/>
              </w:rPr>
              <w:t>“中国裁判文书网”自行查询本公司近三年内无行贿行为记录</w:t>
            </w:r>
            <w:r>
              <w:rPr>
                <w:rFonts w:hint="eastAsia" w:ascii="宋体" w:cs="宋体"/>
                <w:color w:val="000000"/>
                <w:highlight w:val="none"/>
                <w:lang w:val="en-US" w:eastAsia="zh-CN"/>
              </w:rPr>
              <w:t>；</w:t>
            </w:r>
          </w:p>
          <w:p w14:paraId="1277ADBA">
            <w:pPr>
              <w:keepNext w:val="0"/>
              <w:keepLines w:val="0"/>
              <w:pageBreakBefore w:val="0"/>
              <w:widowControl w:val="0"/>
              <w:kinsoku/>
              <w:wordWrap/>
              <w:overflowPunct/>
              <w:topLinePunct w:val="0"/>
              <w:bidi w:val="0"/>
              <w:adjustRightInd/>
              <w:spacing w:line="360" w:lineRule="auto"/>
              <w:jc w:val="left"/>
              <w:textAlignment w:val="auto"/>
              <w:rPr>
                <w:rFonts w:hint="eastAsia" w:ascii="宋体" w:cs="宋体"/>
                <w:color w:val="000000"/>
                <w:highlight w:val="none"/>
                <w:lang w:eastAsia="zh-CN"/>
              </w:rPr>
            </w:pPr>
            <w:r>
              <w:rPr>
                <w:rFonts w:hint="eastAsia" w:ascii="宋体" w:cs="宋体"/>
                <w:color w:val="000000"/>
                <w:highlight w:val="none"/>
                <w:lang w:val="en-US" w:eastAsia="zh-CN"/>
              </w:rPr>
              <w:t>3.5</w:t>
            </w:r>
            <w:r>
              <w:rPr>
                <w:rFonts w:hint="eastAsia" w:ascii="宋体" w:cs="宋体"/>
                <w:color w:val="000000"/>
                <w:highlight w:val="none"/>
                <w:lang w:eastAsia="zh-CN"/>
              </w:rPr>
              <w:t>与招标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法定代表人为同一人的两个及两个以上的法人，母公司与全资子公司/由其控股的子公司不得同时参与本项目；</w:t>
            </w:r>
          </w:p>
          <w:p w14:paraId="6FE60A12">
            <w:pPr>
              <w:keepNext w:val="0"/>
              <w:keepLines w:val="0"/>
              <w:pageBreakBefore w:val="0"/>
              <w:widowControl w:val="0"/>
              <w:kinsoku/>
              <w:wordWrap/>
              <w:overflowPunct/>
              <w:topLinePunct w:val="0"/>
              <w:bidi w:val="0"/>
              <w:adjustRightInd/>
              <w:spacing w:line="360" w:lineRule="auto"/>
              <w:jc w:val="left"/>
              <w:textAlignment w:val="auto"/>
              <w:rPr>
                <w:rFonts w:hint="eastAsia" w:ascii="宋体" w:cs="宋体"/>
                <w:color w:val="000000"/>
                <w:highlight w:val="none"/>
              </w:rPr>
            </w:pPr>
            <w:r>
              <w:rPr>
                <w:rFonts w:hint="eastAsia" w:ascii="宋体" w:cs="宋体"/>
                <w:color w:val="000000"/>
                <w:highlight w:val="none"/>
                <w:lang w:val="en-US" w:eastAsia="zh-CN"/>
              </w:rPr>
              <w:t>3.6</w:t>
            </w:r>
            <w:r>
              <w:rPr>
                <w:rFonts w:hint="eastAsia" w:ascii="宋体" w:cs="宋体"/>
                <w:color w:val="000000"/>
                <w:highlight w:val="none"/>
                <w:lang w:eastAsia="zh-CN"/>
              </w:rPr>
              <w:t>本项目不接受联合体投标。</w:t>
            </w:r>
          </w:p>
        </w:tc>
      </w:tr>
      <w:tr w14:paraId="66D64A1A">
        <w:tblPrEx>
          <w:tblCellMar>
            <w:top w:w="0" w:type="dxa"/>
            <w:left w:w="108" w:type="dxa"/>
            <w:bottom w:w="0" w:type="dxa"/>
            <w:right w:w="108" w:type="dxa"/>
          </w:tblCellMar>
        </w:tblPrEx>
        <w:trPr>
          <w:trHeight w:val="402" w:hRule="atLeast"/>
          <w:jc w:val="center"/>
        </w:trPr>
        <w:tc>
          <w:tcPr>
            <w:tcW w:w="438" w:type="pct"/>
            <w:tcBorders>
              <w:top w:val="single" w:color="auto" w:sz="6" w:space="0"/>
              <w:left w:val="double" w:color="auto" w:sz="2" w:space="0"/>
              <w:bottom w:val="single" w:color="auto" w:sz="6" w:space="0"/>
              <w:right w:val="single" w:color="auto" w:sz="6" w:space="0"/>
            </w:tcBorders>
            <w:noWrap w:val="0"/>
            <w:tcMar>
              <w:left w:w="0" w:type="dxa"/>
              <w:right w:w="0" w:type="dxa"/>
            </w:tcMar>
            <w:vAlign w:val="center"/>
          </w:tcPr>
          <w:p w14:paraId="6F355846">
            <w:pPr>
              <w:keepNext w:val="0"/>
              <w:keepLines w:val="0"/>
              <w:pageBreakBefore w:val="0"/>
              <w:widowControl w:val="0"/>
              <w:kinsoku/>
              <w:wordWrap/>
              <w:overflowPunct/>
              <w:topLinePunct w:val="0"/>
              <w:bidi w:val="0"/>
              <w:adjustRightInd/>
              <w:snapToGrid w:val="0"/>
              <w:spacing w:line="360" w:lineRule="auto"/>
              <w:jc w:val="center"/>
              <w:textAlignment w:val="auto"/>
              <w:rPr>
                <w:rFonts w:hint="eastAsia" w:ascii="宋体" w:cs="宋体"/>
                <w:color w:val="000000"/>
                <w:highlight w:val="none"/>
              </w:rPr>
            </w:pPr>
            <w:r>
              <w:rPr>
                <w:rFonts w:hint="eastAsia" w:ascii="宋体" w:cs="宋体"/>
                <w:color w:val="000000"/>
                <w:highlight w:val="none"/>
              </w:rPr>
              <w:t>12</w:t>
            </w:r>
          </w:p>
        </w:tc>
        <w:tc>
          <w:tcPr>
            <w:tcW w:w="1426" w:type="pct"/>
            <w:tcBorders>
              <w:top w:val="single" w:color="auto" w:sz="6" w:space="0"/>
              <w:left w:val="single" w:color="auto" w:sz="6" w:space="0"/>
              <w:bottom w:val="single" w:color="auto" w:sz="6" w:space="0"/>
              <w:right w:val="single" w:color="auto" w:sz="6" w:space="0"/>
            </w:tcBorders>
            <w:noWrap w:val="0"/>
            <w:tcMar>
              <w:left w:w="0" w:type="dxa"/>
              <w:right w:w="0" w:type="dxa"/>
            </w:tcMar>
            <w:vAlign w:val="center"/>
          </w:tcPr>
          <w:p w14:paraId="13B3F6F1">
            <w:pPr>
              <w:keepNext w:val="0"/>
              <w:keepLines w:val="0"/>
              <w:pageBreakBefore w:val="0"/>
              <w:widowControl w:val="0"/>
              <w:kinsoku/>
              <w:wordWrap/>
              <w:overflowPunct/>
              <w:topLinePunct w:val="0"/>
              <w:bidi w:val="0"/>
              <w:adjustRightInd/>
              <w:spacing w:line="360" w:lineRule="auto"/>
              <w:jc w:val="center"/>
              <w:textAlignment w:val="auto"/>
              <w:rPr>
                <w:rFonts w:hint="eastAsia" w:ascii="宋体" w:cs="宋体"/>
                <w:color w:val="000000"/>
                <w:highlight w:val="none"/>
              </w:rPr>
            </w:pPr>
            <w:r>
              <w:rPr>
                <w:rFonts w:hint="eastAsia" w:ascii="宋体" w:cs="宋体"/>
                <w:color w:val="000000"/>
                <w:highlight w:val="none"/>
              </w:rPr>
              <w:t>是否接受联合体投标</w:t>
            </w:r>
          </w:p>
        </w:tc>
        <w:tc>
          <w:tcPr>
            <w:tcW w:w="3135" w:type="pct"/>
            <w:tcBorders>
              <w:top w:val="single" w:color="auto" w:sz="6" w:space="0"/>
              <w:left w:val="single" w:color="auto" w:sz="6" w:space="0"/>
              <w:bottom w:val="single" w:color="auto" w:sz="6" w:space="0"/>
              <w:right w:val="double" w:color="auto" w:sz="2" w:space="0"/>
            </w:tcBorders>
            <w:noWrap w:val="0"/>
            <w:tcMar>
              <w:left w:w="0" w:type="dxa"/>
              <w:right w:w="0" w:type="dxa"/>
            </w:tcMar>
            <w:vAlign w:val="center"/>
          </w:tcPr>
          <w:p w14:paraId="02BAECF3">
            <w:pPr>
              <w:keepNext w:val="0"/>
              <w:keepLines w:val="0"/>
              <w:pageBreakBefore w:val="0"/>
              <w:widowControl w:val="0"/>
              <w:kinsoku/>
              <w:wordWrap/>
              <w:overflowPunct/>
              <w:topLinePunct w:val="0"/>
              <w:bidi w:val="0"/>
              <w:adjustRightInd/>
              <w:spacing w:line="360" w:lineRule="auto"/>
              <w:jc w:val="left"/>
              <w:textAlignment w:val="auto"/>
              <w:rPr>
                <w:rFonts w:hint="eastAsia" w:ascii="宋体" w:cs="宋体"/>
                <w:color w:val="000000"/>
                <w:highlight w:val="none"/>
              </w:rPr>
            </w:pPr>
            <w:r>
              <w:rPr>
                <w:rFonts w:hint="eastAsia" w:ascii="宋体" w:cs="宋体"/>
                <w:color w:val="000000"/>
                <w:highlight w:val="none"/>
              </w:rPr>
              <w:t>不接受</w:t>
            </w:r>
          </w:p>
        </w:tc>
      </w:tr>
      <w:tr w14:paraId="3E85F7C6">
        <w:tblPrEx>
          <w:tblCellMar>
            <w:top w:w="0" w:type="dxa"/>
            <w:left w:w="108" w:type="dxa"/>
            <w:bottom w:w="0" w:type="dxa"/>
            <w:right w:w="108" w:type="dxa"/>
          </w:tblCellMar>
        </w:tblPrEx>
        <w:trPr>
          <w:trHeight w:val="336" w:hRule="atLeast"/>
          <w:jc w:val="center"/>
        </w:trPr>
        <w:tc>
          <w:tcPr>
            <w:tcW w:w="438" w:type="pct"/>
            <w:tcBorders>
              <w:top w:val="single" w:color="auto" w:sz="6" w:space="0"/>
              <w:left w:val="double" w:color="auto" w:sz="2" w:space="0"/>
              <w:bottom w:val="single" w:color="auto" w:sz="6" w:space="0"/>
              <w:right w:val="single" w:color="auto" w:sz="6" w:space="0"/>
            </w:tcBorders>
            <w:noWrap w:val="0"/>
            <w:tcMar>
              <w:left w:w="0" w:type="dxa"/>
              <w:right w:w="0" w:type="dxa"/>
            </w:tcMar>
            <w:vAlign w:val="center"/>
          </w:tcPr>
          <w:p w14:paraId="145EA498">
            <w:pPr>
              <w:keepNext w:val="0"/>
              <w:keepLines w:val="0"/>
              <w:pageBreakBefore w:val="0"/>
              <w:widowControl w:val="0"/>
              <w:kinsoku/>
              <w:wordWrap/>
              <w:overflowPunct/>
              <w:topLinePunct w:val="0"/>
              <w:bidi w:val="0"/>
              <w:adjustRightInd/>
              <w:snapToGrid w:val="0"/>
              <w:spacing w:line="360" w:lineRule="auto"/>
              <w:jc w:val="center"/>
              <w:textAlignment w:val="auto"/>
              <w:rPr>
                <w:rFonts w:hint="eastAsia" w:ascii="宋体" w:cs="宋体"/>
                <w:color w:val="000000"/>
                <w:highlight w:val="none"/>
              </w:rPr>
            </w:pPr>
            <w:r>
              <w:rPr>
                <w:rFonts w:hint="eastAsia" w:ascii="宋体" w:cs="宋体"/>
                <w:color w:val="000000"/>
                <w:highlight w:val="none"/>
              </w:rPr>
              <w:t>13</w:t>
            </w:r>
          </w:p>
        </w:tc>
        <w:tc>
          <w:tcPr>
            <w:tcW w:w="1426" w:type="pct"/>
            <w:tcBorders>
              <w:top w:val="single" w:color="auto" w:sz="6" w:space="0"/>
              <w:left w:val="single" w:color="auto" w:sz="6" w:space="0"/>
              <w:bottom w:val="single" w:color="auto" w:sz="6" w:space="0"/>
              <w:right w:val="single" w:color="auto" w:sz="6" w:space="0"/>
            </w:tcBorders>
            <w:noWrap w:val="0"/>
            <w:tcMar>
              <w:left w:w="0" w:type="dxa"/>
              <w:right w:w="0" w:type="dxa"/>
            </w:tcMar>
            <w:vAlign w:val="center"/>
          </w:tcPr>
          <w:p w14:paraId="612C1600">
            <w:pPr>
              <w:keepNext w:val="0"/>
              <w:keepLines w:val="0"/>
              <w:pageBreakBefore w:val="0"/>
              <w:widowControl w:val="0"/>
              <w:kinsoku/>
              <w:wordWrap/>
              <w:overflowPunct/>
              <w:topLinePunct w:val="0"/>
              <w:bidi w:val="0"/>
              <w:adjustRightInd/>
              <w:spacing w:line="360" w:lineRule="auto"/>
              <w:jc w:val="center"/>
              <w:textAlignment w:val="auto"/>
              <w:rPr>
                <w:rFonts w:hint="eastAsia" w:ascii="宋体" w:cs="宋体"/>
                <w:color w:val="000000"/>
                <w:highlight w:val="none"/>
              </w:rPr>
            </w:pPr>
            <w:r>
              <w:rPr>
                <w:rFonts w:hint="eastAsia" w:ascii="宋体" w:cs="宋体"/>
                <w:color w:val="000000"/>
                <w:highlight w:val="none"/>
              </w:rPr>
              <w:t>踏勘现场</w:t>
            </w:r>
          </w:p>
        </w:tc>
        <w:tc>
          <w:tcPr>
            <w:tcW w:w="3135" w:type="pct"/>
            <w:tcBorders>
              <w:top w:val="single" w:color="auto" w:sz="6" w:space="0"/>
              <w:left w:val="single" w:color="auto" w:sz="6" w:space="0"/>
              <w:bottom w:val="single" w:color="auto" w:sz="6" w:space="0"/>
              <w:right w:val="double" w:color="auto" w:sz="2" w:space="0"/>
            </w:tcBorders>
            <w:noWrap w:val="0"/>
            <w:tcMar>
              <w:left w:w="0" w:type="dxa"/>
              <w:right w:w="0" w:type="dxa"/>
            </w:tcMar>
            <w:vAlign w:val="center"/>
          </w:tcPr>
          <w:p w14:paraId="6179783D">
            <w:pPr>
              <w:keepNext w:val="0"/>
              <w:keepLines w:val="0"/>
              <w:pageBreakBefore w:val="0"/>
              <w:widowControl w:val="0"/>
              <w:kinsoku/>
              <w:wordWrap/>
              <w:overflowPunct/>
              <w:topLinePunct w:val="0"/>
              <w:bidi w:val="0"/>
              <w:adjustRightInd/>
              <w:spacing w:line="360" w:lineRule="auto"/>
              <w:jc w:val="left"/>
              <w:textAlignment w:val="auto"/>
              <w:rPr>
                <w:rFonts w:hint="eastAsia" w:ascii="宋体" w:cs="宋体"/>
                <w:color w:val="000000"/>
                <w:highlight w:val="none"/>
              </w:rPr>
            </w:pPr>
            <w:r>
              <w:rPr>
                <w:rFonts w:hint="eastAsia" w:ascii="宋体" w:cs="宋体"/>
                <w:color w:val="000000"/>
                <w:highlight w:val="none"/>
              </w:rPr>
              <w:t>不组织踏勘</w:t>
            </w:r>
          </w:p>
        </w:tc>
      </w:tr>
      <w:tr w14:paraId="2316CA30">
        <w:tblPrEx>
          <w:tblCellMar>
            <w:top w:w="0" w:type="dxa"/>
            <w:left w:w="108" w:type="dxa"/>
            <w:bottom w:w="0" w:type="dxa"/>
            <w:right w:w="108" w:type="dxa"/>
          </w:tblCellMar>
        </w:tblPrEx>
        <w:trPr>
          <w:trHeight w:val="402" w:hRule="atLeast"/>
          <w:jc w:val="center"/>
        </w:trPr>
        <w:tc>
          <w:tcPr>
            <w:tcW w:w="438" w:type="pct"/>
            <w:tcBorders>
              <w:top w:val="single" w:color="auto" w:sz="6" w:space="0"/>
              <w:left w:val="double" w:color="auto" w:sz="2" w:space="0"/>
              <w:bottom w:val="single" w:color="auto" w:sz="6" w:space="0"/>
              <w:right w:val="single" w:color="auto" w:sz="6" w:space="0"/>
            </w:tcBorders>
            <w:noWrap w:val="0"/>
            <w:tcMar>
              <w:left w:w="0" w:type="dxa"/>
              <w:right w:w="0" w:type="dxa"/>
            </w:tcMar>
            <w:vAlign w:val="center"/>
          </w:tcPr>
          <w:p w14:paraId="683355E9">
            <w:pPr>
              <w:keepNext w:val="0"/>
              <w:keepLines w:val="0"/>
              <w:pageBreakBefore w:val="0"/>
              <w:widowControl w:val="0"/>
              <w:kinsoku/>
              <w:wordWrap/>
              <w:overflowPunct/>
              <w:topLinePunct w:val="0"/>
              <w:bidi w:val="0"/>
              <w:adjustRightInd/>
              <w:snapToGrid w:val="0"/>
              <w:spacing w:line="360" w:lineRule="auto"/>
              <w:jc w:val="center"/>
              <w:textAlignment w:val="auto"/>
              <w:rPr>
                <w:rFonts w:hint="eastAsia" w:ascii="宋体" w:cs="宋体"/>
                <w:color w:val="000000"/>
                <w:highlight w:val="none"/>
              </w:rPr>
            </w:pPr>
            <w:r>
              <w:rPr>
                <w:rFonts w:hint="eastAsia" w:ascii="宋体" w:cs="宋体"/>
                <w:color w:val="000000"/>
                <w:highlight w:val="none"/>
              </w:rPr>
              <w:t>14</w:t>
            </w:r>
          </w:p>
        </w:tc>
        <w:tc>
          <w:tcPr>
            <w:tcW w:w="1426" w:type="pct"/>
            <w:tcBorders>
              <w:top w:val="single" w:color="auto" w:sz="6" w:space="0"/>
              <w:left w:val="single" w:color="auto" w:sz="6" w:space="0"/>
              <w:bottom w:val="single" w:color="auto" w:sz="6" w:space="0"/>
              <w:right w:val="single" w:color="auto" w:sz="6" w:space="0"/>
            </w:tcBorders>
            <w:noWrap w:val="0"/>
            <w:tcMar>
              <w:left w:w="0" w:type="dxa"/>
              <w:right w:w="0" w:type="dxa"/>
            </w:tcMar>
            <w:vAlign w:val="center"/>
          </w:tcPr>
          <w:p w14:paraId="46E426EE">
            <w:pPr>
              <w:keepNext w:val="0"/>
              <w:keepLines w:val="0"/>
              <w:pageBreakBefore w:val="0"/>
              <w:widowControl w:val="0"/>
              <w:kinsoku/>
              <w:wordWrap/>
              <w:overflowPunct/>
              <w:topLinePunct w:val="0"/>
              <w:bidi w:val="0"/>
              <w:adjustRightInd/>
              <w:spacing w:line="360" w:lineRule="auto"/>
              <w:jc w:val="center"/>
              <w:textAlignment w:val="auto"/>
              <w:rPr>
                <w:rFonts w:hint="eastAsia" w:ascii="宋体" w:cs="宋体"/>
                <w:color w:val="000000"/>
                <w:highlight w:val="none"/>
              </w:rPr>
            </w:pPr>
            <w:r>
              <w:rPr>
                <w:rFonts w:hint="eastAsia" w:ascii="宋体" w:cs="宋体"/>
                <w:color w:val="000000"/>
                <w:highlight w:val="none"/>
              </w:rPr>
              <w:t>答疑会</w:t>
            </w:r>
          </w:p>
        </w:tc>
        <w:tc>
          <w:tcPr>
            <w:tcW w:w="3135" w:type="pct"/>
            <w:tcBorders>
              <w:top w:val="single" w:color="auto" w:sz="6" w:space="0"/>
              <w:left w:val="single" w:color="auto" w:sz="6" w:space="0"/>
              <w:bottom w:val="single" w:color="auto" w:sz="6" w:space="0"/>
              <w:right w:val="double" w:color="auto" w:sz="2" w:space="0"/>
            </w:tcBorders>
            <w:noWrap w:val="0"/>
            <w:tcMar>
              <w:left w:w="0" w:type="dxa"/>
              <w:right w:w="0" w:type="dxa"/>
            </w:tcMar>
            <w:vAlign w:val="center"/>
          </w:tcPr>
          <w:p w14:paraId="7D38E25D">
            <w:pPr>
              <w:keepNext w:val="0"/>
              <w:keepLines w:val="0"/>
              <w:pageBreakBefore w:val="0"/>
              <w:widowControl w:val="0"/>
              <w:kinsoku/>
              <w:wordWrap/>
              <w:overflowPunct/>
              <w:topLinePunct w:val="0"/>
              <w:bidi w:val="0"/>
              <w:adjustRightInd/>
              <w:spacing w:line="360" w:lineRule="auto"/>
              <w:jc w:val="left"/>
              <w:textAlignment w:val="auto"/>
              <w:rPr>
                <w:rFonts w:hint="eastAsia" w:ascii="宋体" w:cs="宋体"/>
                <w:color w:val="000000"/>
                <w:highlight w:val="none"/>
              </w:rPr>
            </w:pPr>
            <w:r>
              <w:rPr>
                <w:rFonts w:hint="eastAsia" w:ascii="宋体" w:cs="宋体"/>
                <w:color w:val="000000"/>
                <w:highlight w:val="none"/>
                <w:lang w:val="zh-CN"/>
              </w:rPr>
              <w:t>不召开答疑会</w:t>
            </w:r>
          </w:p>
        </w:tc>
      </w:tr>
      <w:tr w14:paraId="526351FE">
        <w:tblPrEx>
          <w:tblCellMar>
            <w:top w:w="0" w:type="dxa"/>
            <w:left w:w="108" w:type="dxa"/>
            <w:bottom w:w="0" w:type="dxa"/>
            <w:right w:w="108" w:type="dxa"/>
          </w:tblCellMar>
        </w:tblPrEx>
        <w:trPr>
          <w:trHeight w:val="197" w:hRule="atLeast"/>
          <w:jc w:val="center"/>
        </w:trPr>
        <w:tc>
          <w:tcPr>
            <w:tcW w:w="438" w:type="pct"/>
            <w:tcBorders>
              <w:top w:val="single" w:color="auto" w:sz="6" w:space="0"/>
              <w:left w:val="double" w:color="auto" w:sz="2" w:space="0"/>
              <w:bottom w:val="single" w:color="auto" w:sz="6" w:space="0"/>
              <w:right w:val="single" w:color="auto" w:sz="6" w:space="0"/>
            </w:tcBorders>
            <w:noWrap w:val="0"/>
            <w:tcMar>
              <w:left w:w="0" w:type="dxa"/>
              <w:right w:w="0" w:type="dxa"/>
            </w:tcMar>
            <w:vAlign w:val="center"/>
          </w:tcPr>
          <w:p w14:paraId="5483C60F">
            <w:pPr>
              <w:keepNext w:val="0"/>
              <w:keepLines w:val="0"/>
              <w:pageBreakBefore w:val="0"/>
              <w:widowControl w:val="0"/>
              <w:kinsoku/>
              <w:wordWrap/>
              <w:overflowPunct/>
              <w:topLinePunct w:val="0"/>
              <w:bidi w:val="0"/>
              <w:adjustRightInd/>
              <w:snapToGrid w:val="0"/>
              <w:spacing w:line="360" w:lineRule="auto"/>
              <w:jc w:val="center"/>
              <w:textAlignment w:val="auto"/>
              <w:rPr>
                <w:rFonts w:hint="eastAsia" w:ascii="宋体" w:cs="宋体"/>
                <w:color w:val="000000"/>
                <w:highlight w:val="none"/>
              </w:rPr>
            </w:pPr>
            <w:r>
              <w:rPr>
                <w:rFonts w:hint="eastAsia" w:ascii="宋体" w:cs="宋体"/>
                <w:color w:val="000000"/>
                <w:highlight w:val="none"/>
              </w:rPr>
              <w:t>15</w:t>
            </w:r>
          </w:p>
        </w:tc>
        <w:tc>
          <w:tcPr>
            <w:tcW w:w="1426" w:type="pct"/>
            <w:tcBorders>
              <w:top w:val="single" w:color="auto" w:sz="6" w:space="0"/>
              <w:left w:val="single" w:color="auto" w:sz="6" w:space="0"/>
              <w:bottom w:val="single" w:color="auto" w:sz="6" w:space="0"/>
              <w:right w:val="single" w:color="auto" w:sz="6" w:space="0"/>
            </w:tcBorders>
            <w:noWrap w:val="0"/>
            <w:tcMar>
              <w:left w:w="0" w:type="dxa"/>
              <w:right w:w="0" w:type="dxa"/>
            </w:tcMar>
            <w:vAlign w:val="center"/>
          </w:tcPr>
          <w:p w14:paraId="0062983C">
            <w:pPr>
              <w:keepNext w:val="0"/>
              <w:keepLines w:val="0"/>
              <w:pageBreakBefore w:val="0"/>
              <w:widowControl w:val="0"/>
              <w:kinsoku/>
              <w:wordWrap/>
              <w:overflowPunct/>
              <w:topLinePunct w:val="0"/>
              <w:bidi w:val="0"/>
              <w:adjustRightInd/>
              <w:spacing w:line="360" w:lineRule="auto"/>
              <w:jc w:val="center"/>
              <w:textAlignment w:val="auto"/>
              <w:rPr>
                <w:rFonts w:hint="eastAsia" w:ascii="宋体" w:cs="宋体"/>
                <w:color w:val="000000"/>
                <w:highlight w:val="none"/>
              </w:rPr>
            </w:pPr>
            <w:r>
              <w:rPr>
                <w:rFonts w:hint="eastAsia" w:ascii="宋体" w:cs="宋体"/>
                <w:color w:val="000000"/>
                <w:highlight w:val="none"/>
              </w:rPr>
              <w:t>投标人提出问题的方式</w:t>
            </w:r>
          </w:p>
        </w:tc>
        <w:tc>
          <w:tcPr>
            <w:tcW w:w="3135" w:type="pct"/>
            <w:tcBorders>
              <w:top w:val="single" w:color="auto" w:sz="6" w:space="0"/>
              <w:left w:val="single" w:color="auto" w:sz="6" w:space="0"/>
              <w:bottom w:val="single" w:color="auto" w:sz="6" w:space="0"/>
              <w:right w:val="double" w:color="auto" w:sz="2" w:space="0"/>
            </w:tcBorders>
            <w:noWrap w:val="0"/>
            <w:tcMar>
              <w:left w:w="0" w:type="dxa"/>
              <w:right w:w="0" w:type="dxa"/>
            </w:tcMar>
            <w:vAlign w:val="center"/>
          </w:tcPr>
          <w:p w14:paraId="7AF6C004">
            <w:pPr>
              <w:keepNext w:val="0"/>
              <w:keepLines w:val="0"/>
              <w:pageBreakBefore w:val="0"/>
              <w:widowControl w:val="0"/>
              <w:kinsoku/>
              <w:wordWrap/>
              <w:overflowPunct/>
              <w:topLinePunct w:val="0"/>
              <w:autoSpaceDE w:val="0"/>
              <w:autoSpaceDN w:val="0"/>
              <w:bidi w:val="0"/>
              <w:adjustRightInd/>
              <w:spacing w:line="360" w:lineRule="auto"/>
              <w:textAlignment w:val="auto"/>
              <w:rPr>
                <w:rFonts w:ascii="宋体" w:hAnsi="宋体"/>
                <w:bCs/>
                <w:kern w:val="15"/>
                <w:highlight w:val="none"/>
              </w:rPr>
            </w:pPr>
            <w:r>
              <w:rPr>
                <w:rFonts w:hint="eastAsia" w:ascii="宋体" w:hAnsi="宋体"/>
                <w:bCs/>
                <w:highlight w:val="none"/>
              </w:rPr>
              <w:t>投标截止时间前</w:t>
            </w:r>
            <w:r>
              <w:rPr>
                <w:rFonts w:hint="eastAsia" w:ascii="宋体" w:hAnsi="宋体"/>
                <w:bCs/>
                <w:highlight w:val="none"/>
                <w:u w:val="single"/>
              </w:rPr>
              <w:t>10</w:t>
            </w:r>
            <w:r>
              <w:rPr>
                <w:rFonts w:hint="eastAsia" w:ascii="宋体" w:hAnsi="宋体"/>
                <w:bCs/>
                <w:highlight w:val="none"/>
              </w:rPr>
              <w:t>天</w:t>
            </w:r>
            <w:r>
              <w:rPr>
                <w:rFonts w:hint="eastAsia" w:ascii="宋体" w:hAnsi="宋体"/>
                <w:bCs/>
                <w:kern w:val="15"/>
                <w:highlight w:val="none"/>
              </w:rPr>
              <w:t>投标人将对招标文件不清楚的问题提交给</w:t>
            </w:r>
            <w:r>
              <w:rPr>
                <w:rFonts w:hint="eastAsia" w:ascii="宋体" w:hAnsi="宋体"/>
                <w:bCs/>
                <w:kern w:val="15"/>
                <w:highlight w:val="none"/>
                <w:lang w:eastAsia="zh-CN"/>
              </w:rPr>
              <w:t>采购代理机构</w:t>
            </w:r>
            <w:r>
              <w:rPr>
                <w:rFonts w:hint="eastAsia" w:ascii="宋体" w:hAnsi="宋体"/>
                <w:bCs/>
                <w:kern w:val="15"/>
                <w:highlight w:val="none"/>
              </w:rPr>
              <w:t>。</w:t>
            </w:r>
          </w:p>
          <w:p w14:paraId="559B17B2">
            <w:pPr>
              <w:keepNext w:val="0"/>
              <w:keepLines w:val="0"/>
              <w:pageBreakBefore w:val="0"/>
              <w:widowControl w:val="0"/>
              <w:kinsoku/>
              <w:wordWrap/>
              <w:overflowPunct/>
              <w:topLinePunct w:val="0"/>
              <w:bidi w:val="0"/>
              <w:adjustRightInd/>
              <w:spacing w:line="360" w:lineRule="auto"/>
              <w:contextualSpacing/>
              <w:textAlignment w:val="auto"/>
              <w:rPr>
                <w:rFonts w:hint="eastAsia" w:ascii="宋体" w:hAnsi="宋体" w:cs="宋体"/>
                <w:highlight w:val="none"/>
              </w:rPr>
            </w:pPr>
            <w:r>
              <w:rPr>
                <w:rFonts w:hint="eastAsia" w:ascii="宋体" w:hAnsi="宋体" w:cs="宋体"/>
                <w:highlight w:val="none"/>
              </w:rPr>
              <w:t>提交地址：</w:t>
            </w:r>
            <w:r>
              <w:rPr>
                <w:rFonts w:hint="eastAsia" w:ascii="宋体" w:hAnsi="宋体" w:cs="宋体"/>
                <w:highlight w:val="none"/>
                <w:lang w:eastAsia="zh-CN"/>
              </w:rPr>
              <w:t>吉林省捷冠工程管理有限公司</w:t>
            </w:r>
            <w:r>
              <w:rPr>
                <w:rFonts w:hint="eastAsia" w:ascii="宋体" w:hAnsi="宋体" w:cs="宋体"/>
                <w:highlight w:val="none"/>
              </w:rPr>
              <w:t>，同时将电子版word版发送到采购代理公司邮箱（</w:t>
            </w:r>
            <w:r>
              <w:rPr>
                <w:rFonts w:hint="eastAsia" w:ascii="宋体" w:hAnsi="宋体" w:cs="宋体"/>
                <w:highlight w:val="none"/>
                <w:lang w:val="en-US" w:eastAsia="zh-CN"/>
              </w:rPr>
              <w:t>15643022390@163.com</w:t>
            </w:r>
            <w:r>
              <w:rPr>
                <w:rFonts w:hint="eastAsia" w:ascii="宋体" w:hAnsi="宋体" w:cs="宋体"/>
                <w:highlight w:val="none"/>
              </w:rPr>
              <w:t xml:space="preserve">）  </w:t>
            </w:r>
          </w:p>
          <w:p w14:paraId="360F9C5C">
            <w:pPr>
              <w:keepNext w:val="0"/>
              <w:keepLines w:val="0"/>
              <w:pageBreakBefore w:val="0"/>
              <w:widowControl w:val="0"/>
              <w:kinsoku/>
              <w:wordWrap/>
              <w:overflowPunct/>
              <w:topLinePunct w:val="0"/>
              <w:bidi w:val="0"/>
              <w:adjustRightInd/>
              <w:spacing w:line="360" w:lineRule="auto"/>
              <w:contextualSpacing/>
              <w:textAlignment w:val="auto"/>
              <w:rPr>
                <w:rFonts w:hint="eastAsia" w:ascii="宋体" w:hAnsi="宋体" w:cs="宋体" w:eastAsiaTheme="minorEastAsia"/>
                <w:highlight w:val="none"/>
                <w:lang w:val="en-US" w:eastAsia="zh-CN"/>
              </w:rPr>
            </w:pPr>
            <w:r>
              <w:rPr>
                <w:rFonts w:hint="eastAsia" w:ascii="宋体" w:hAnsi="宋体" w:cs="宋体"/>
                <w:highlight w:val="none"/>
              </w:rPr>
              <w:t>项目联系人：</w:t>
            </w:r>
            <w:r>
              <w:rPr>
                <w:rFonts w:hint="eastAsia" w:ascii="宋体" w:hAnsi="宋体" w:cs="宋体"/>
                <w:highlight w:val="none"/>
                <w:lang w:eastAsia="zh-CN"/>
              </w:rPr>
              <w:t>恬露</w:t>
            </w:r>
          </w:p>
          <w:p w14:paraId="588136FD">
            <w:pPr>
              <w:keepNext w:val="0"/>
              <w:keepLines w:val="0"/>
              <w:pageBreakBefore w:val="0"/>
              <w:widowControl w:val="0"/>
              <w:kinsoku/>
              <w:wordWrap/>
              <w:overflowPunct/>
              <w:topLinePunct w:val="0"/>
              <w:bidi w:val="0"/>
              <w:adjustRightInd/>
              <w:spacing w:line="360" w:lineRule="auto"/>
              <w:contextualSpacing/>
              <w:textAlignment w:val="auto"/>
              <w:rPr>
                <w:rFonts w:hint="eastAsia" w:ascii="宋体" w:hAnsi="宋体" w:cs="宋体" w:eastAsiaTheme="minorEastAsia"/>
                <w:highlight w:val="none"/>
                <w:lang w:val="en-US" w:eastAsia="zh-CN"/>
              </w:rPr>
            </w:pPr>
            <w:r>
              <w:rPr>
                <w:rFonts w:hint="eastAsia" w:ascii="宋体" w:hAnsi="宋体" w:cs="宋体"/>
                <w:highlight w:val="none"/>
              </w:rPr>
              <w:t>电话：</w:t>
            </w:r>
            <w:r>
              <w:rPr>
                <w:rFonts w:hint="eastAsia" w:ascii="宋体" w:hAnsi="宋体" w:cs="宋体"/>
                <w:highlight w:val="none"/>
                <w:lang w:eastAsia="zh-CN"/>
              </w:rPr>
              <w:t>15643022390</w:t>
            </w:r>
          </w:p>
          <w:p w14:paraId="0FC16F07">
            <w:pPr>
              <w:keepNext w:val="0"/>
              <w:keepLines w:val="0"/>
              <w:pageBreakBefore w:val="0"/>
              <w:widowControl w:val="0"/>
              <w:kinsoku/>
              <w:wordWrap/>
              <w:overflowPunct/>
              <w:topLinePunct w:val="0"/>
              <w:bidi w:val="0"/>
              <w:adjustRightInd/>
              <w:spacing w:line="360" w:lineRule="auto"/>
              <w:contextualSpacing/>
              <w:textAlignment w:val="auto"/>
              <w:rPr>
                <w:rFonts w:hint="eastAsia" w:ascii="宋体" w:hAnsi="宋体" w:cs="宋体"/>
                <w:highlight w:val="none"/>
              </w:rPr>
            </w:pPr>
            <w:r>
              <w:rPr>
                <w:rFonts w:hint="eastAsia" w:ascii="宋体" w:hAnsi="宋体" w:cs="宋体"/>
                <w:highlight w:val="none"/>
              </w:rPr>
              <w:t>用A4纸打印，一式三份，并加盖公章，格式见附页。</w:t>
            </w:r>
          </w:p>
          <w:p w14:paraId="12DDE177">
            <w:pPr>
              <w:keepNext w:val="0"/>
              <w:keepLines w:val="0"/>
              <w:pageBreakBefore w:val="0"/>
              <w:widowControl w:val="0"/>
              <w:kinsoku/>
              <w:wordWrap/>
              <w:overflowPunct/>
              <w:topLinePunct w:val="0"/>
              <w:bidi w:val="0"/>
              <w:adjustRightInd/>
              <w:spacing w:line="360" w:lineRule="auto"/>
              <w:jc w:val="left"/>
              <w:textAlignment w:val="auto"/>
              <w:rPr>
                <w:rFonts w:hint="eastAsia" w:ascii="宋体" w:cs="宋体"/>
                <w:color w:val="000000"/>
                <w:highlight w:val="none"/>
                <w:lang w:val="zh-CN"/>
              </w:rPr>
            </w:pPr>
            <w:r>
              <w:rPr>
                <w:rFonts w:hint="eastAsia" w:ascii="宋体" w:hAnsi="宋体" w:cs="宋体"/>
                <w:highlight w:val="none"/>
              </w:rPr>
              <w:t>若投标人未按规定提交，则视为其无疑问。</w:t>
            </w:r>
          </w:p>
        </w:tc>
      </w:tr>
      <w:tr w14:paraId="320AF2C7">
        <w:tblPrEx>
          <w:tblCellMar>
            <w:top w:w="0" w:type="dxa"/>
            <w:left w:w="108" w:type="dxa"/>
            <w:bottom w:w="0" w:type="dxa"/>
            <w:right w:w="108" w:type="dxa"/>
          </w:tblCellMar>
        </w:tblPrEx>
        <w:trPr>
          <w:trHeight w:val="489" w:hRule="atLeast"/>
          <w:jc w:val="center"/>
        </w:trPr>
        <w:tc>
          <w:tcPr>
            <w:tcW w:w="438" w:type="pct"/>
            <w:tcBorders>
              <w:top w:val="single" w:color="auto" w:sz="6" w:space="0"/>
              <w:left w:val="double" w:color="auto" w:sz="2" w:space="0"/>
              <w:bottom w:val="single" w:color="auto" w:sz="6" w:space="0"/>
              <w:right w:val="single" w:color="auto" w:sz="6" w:space="0"/>
            </w:tcBorders>
            <w:noWrap w:val="0"/>
            <w:tcMar>
              <w:left w:w="0" w:type="dxa"/>
              <w:right w:w="0" w:type="dxa"/>
            </w:tcMar>
            <w:vAlign w:val="center"/>
          </w:tcPr>
          <w:p w14:paraId="0E80D648">
            <w:pPr>
              <w:keepNext w:val="0"/>
              <w:keepLines w:val="0"/>
              <w:pageBreakBefore w:val="0"/>
              <w:widowControl w:val="0"/>
              <w:kinsoku/>
              <w:wordWrap/>
              <w:overflowPunct/>
              <w:topLinePunct w:val="0"/>
              <w:bidi w:val="0"/>
              <w:adjustRightInd/>
              <w:snapToGrid w:val="0"/>
              <w:spacing w:line="360" w:lineRule="auto"/>
              <w:jc w:val="center"/>
              <w:textAlignment w:val="auto"/>
              <w:rPr>
                <w:rFonts w:hint="eastAsia" w:ascii="宋体" w:cs="宋体"/>
                <w:color w:val="000000"/>
                <w:highlight w:val="none"/>
              </w:rPr>
            </w:pPr>
            <w:r>
              <w:rPr>
                <w:rFonts w:hint="eastAsia" w:ascii="宋体" w:cs="宋体"/>
                <w:color w:val="000000"/>
                <w:highlight w:val="none"/>
              </w:rPr>
              <w:t>16</w:t>
            </w:r>
          </w:p>
        </w:tc>
        <w:tc>
          <w:tcPr>
            <w:tcW w:w="1426" w:type="pct"/>
            <w:tcBorders>
              <w:top w:val="single" w:color="auto" w:sz="6" w:space="0"/>
              <w:left w:val="single" w:color="auto" w:sz="6" w:space="0"/>
              <w:bottom w:val="single" w:color="auto" w:sz="6" w:space="0"/>
              <w:right w:val="single" w:color="auto" w:sz="6" w:space="0"/>
            </w:tcBorders>
            <w:noWrap w:val="0"/>
            <w:tcMar>
              <w:left w:w="0" w:type="dxa"/>
              <w:right w:w="0" w:type="dxa"/>
            </w:tcMar>
            <w:vAlign w:val="center"/>
          </w:tcPr>
          <w:p w14:paraId="759A1C3C">
            <w:pPr>
              <w:keepNext w:val="0"/>
              <w:keepLines w:val="0"/>
              <w:pageBreakBefore w:val="0"/>
              <w:widowControl w:val="0"/>
              <w:kinsoku/>
              <w:wordWrap/>
              <w:overflowPunct/>
              <w:topLinePunct w:val="0"/>
              <w:bidi w:val="0"/>
              <w:adjustRightInd/>
              <w:spacing w:line="360" w:lineRule="auto"/>
              <w:jc w:val="center"/>
              <w:textAlignment w:val="auto"/>
              <w:rPr>
                <w:rFonts w:hint="eastAsia" w:ascii="宋体" w:cs="宋体"/>
                <w:color w:val="000000"/>
                <w:highlight w:val="none"/>
              </w:rPr>
            </w:pPr>
            <w:r>
              <w:rPr>
                <w:rFonts w:hint="eastAsia" w:ascii="宋体" w:cs="宋体"/>
                <w:color w:val="000000"/>
                <w:highlight w:val="none"/>
                <w:lang w:eastAsia="zh-CN"/>
              </w:rPr>
              <w:t>采购人</w:t>
            </w:r>
            <w:r>
              <w:rPr>
                <w:rFonts w:hint="eastAsia" w:ascii="宋体" w:cs="宋体"/>
                <w:color w:val="000000"/>
                <w:highlight w:val="none"/>
              </w:rPr>
              <w:t>书面澄清</w:t>
            </w:r>
          </w:p>
          <w:p w14:paraId="3F8E63DE">
            <w:pPr>
              <w:keepNext w:val="0"/>
              <w:keepLines w:val="0"/>
              <w:pageBreakBefore w:val="0"/>
              <w:widowControl w:val="0"/>
              <w:kinsoku/>
              <w:wordWrap/>
              <w:overflowPunct/>
              <w:topLinePunct w:val="0"/>
              <w:bidi w:val="0"/>
              <w:adjustRightInd/>
              <w:spacing w:line="360" w:lineRule="auto"/>
              <w:jc w:val="center"/>
              <w:textAlignment w:val="auto"/>
              <w:rPr>
                <w:rFonts w:hint="eastAsia" w:ascii="宋体" w:cs="宋体"/>
                <w:color w:val="000000"/>
                <w:highlight w:val="none"/>
              </w:rPr>
            </w:pPr>
            <w:r>
              <w:rPr>
                <w:rFonts w:hint="eastAsia" w:ascii="宋体" w:cs="宋体"/>
                <w:color w:val="000000"/>
                <w:highlight w:val="none"/>
              </w:rPr>
              <w:t>的时间</w:t>
            </w:r>
          </w:p>
        </w:tc>
        <w:tc>
          <w:tcPr>
            <w:tcW w:w="3135" w:type="pct"/>
            <w:tcBorders>
              <w:top w:val="single" w:color="auto" w:sz="6" w:space="0"/>
              <w:left w:val="single" w:color="auto" w:sz="6" w:space="0"/>
              <w:bottom w:val="single" w:color="auto" w:sz="6" w:space="0"/>
              <w:right w:val="double" w:color="auto" w:sz="2" w:space="0"/>
            </w:tcBorders>
            <w:noWrap w:val="0"/>
            <w:tcMar>
              <w:left w:w="0" w:type="dxa"/>
              <w:right w:w="0" w:type="dxa"/>
            </w:tcMar>
            <w:vAlign w:val="center"/>
          </w:tcPr>
          <w:p w14:paraId="07001F5E">
            <w:pPr>
              <w:keepNext w:val="0"/>
              <w:keepLines w:val="0"/>
              <w:pageBreakBefore w:val="0"/>
              <w:widowControl w:val="0"/>
              <w:kinsoku/>
              <w:wordWrap/>
              <w:overflowPunct/>
              <w:topLinePunct w:val="0"/>
              <w:bidi w:val="0"/>
              <w:adjustRightInd/>
              <w:spacing w:line="360" w:lineRule="auto"/>
              <w:jc w:val="left"/>
              <w:textAlignment w:val="auto"/>
              <w:rPr>
                <w:rFonts w:hint="eastAsia" w:ascii="宋体" w:cs="宋体"/>
                <w:color w:val="000000"/>
                <w:highlight w:val="none"/>
              </w:rPr>
            </w:pPr>
            <w:r>
              <w:rPr>
                <w:rFonts w:hint="eastAsia" w:ascii="宋体" w:cs="宋体"/>
                <w:color w:val="000000"/>
                <w:highlight w:val="none"/>
              </w:rPr>
              <w:t>投标截止时间15日前</w:t>
            </w:r>
          </w:p>
        </w:tc>
      </w:tr>
      <w:tr w14:paraId="335384BB">
        <w:tblPrEx>
          <w:tblCellMar>
            <w:top w:w="0" w:type="dxa"/>
            <w:left w:w="108" w:type="dxa"/>
            <w:bottom w:w="0" w:type="dxa"/>
            <w:right w:w="108" w:type="dxa"/>
          </w:tblCellMar>
        </w:tblPrEx>
        <w:trPr>
          <w:trHeight w:val="420" w:hRule="atLeast"/>
          <w:jc w:val="center"/>
        </w:trPr>
        <w:tc>
          <w:tcPr>
            <w:tcW w:w="438" w:type="pct"/>
            <w:tcBorders>
              <w:top w:val="single" w:color="auto" w:sz="6" w:space="0"/>
              <w:left w:val="double" w:color="auto" w:sz="2" w:space="0"/>
              <w:bottom w:val="single" w:color="auto" w:sz="6" w:space="0"/>
              <w:right w:val="single" w:color="auto" w:sz="6" w:space="0"/>
            </w:tcBorders>
            <w:noWrap w:val="0"/>
            <w:tcMar>
              <w:left w:w="0" w:type="dxa"/>
              <w:right w:w="0" w:type="dxa"/>
            </w:tcMar>
            <w:vAlign w:val="center"/>
          </w:tcPr>
          <w:p w14:paraId="5F365350">
            <w:pPr>
              <w:keepNext w:val="0"/>
              <w:keepLines w:val="0"/>
              <w:pageBreakBefore w:val="0"/>
              <w:widowControl w:val="0"/>
              <w:kinsoku/>
              <w:wordWrap/>
              <w:overflowPunct/>
              <w:topLinePunct w:val="0"/>
              <w:bidi w:val="0"/>
              <w:adjustRightInd/>
              <w:snapToGrid w:val="0"/>
              <w:spacing w:line="360" w:lineRule="auto"/>
              <w:jc w:val="center"/>
              <w:textAlignment w:val="auto"/>
              <w:rPr>
                <w:rFonts w:hint="eastAsia" w:ascii="宋体" w:cs="宋体"/>
                <w:color w:val="000000"/>
                <w:highlight w:val="none"/>
              </w:rPr>
            </w:pPr>
            <w:r>
              <w:rPr>
                <w:rFonts w:hint="eastAsia" w:ascii="宋体" w:cs="宋体"/>
                <w:color w:val="000000"/>
                <w:highlight w:val="none"/>
              </w:rPr>
              <w:t>17</w:t>
            </w:r>
          </w:p>
        </w:tc>
        <w:tc>
          <w:tcPr>
            <w:tcW w:w="1426" w:type="pct"/>
            <w:tcBorders>
              <w:top w:val="single" w:color="auto" w:sz="6" w:space="0"/>
              <w:left w:val="single" w:color="auto" w:sz="6" w:space="0"/>
              <w:bottom w:val="single" w:color="auto" w:sz="6" w:space="0"/>
              <w:right w:val="single" w:color="auto" w:sz="6" w:space="0"/>
            </w:tcBorders>
            <w:noWrap w:val="0"/>
            <w:tcMar>
              <w:left w:w="0" w:type="dxa"/>
              <w:right w:w="0" w:type="dxa"/>
            </w:tcMar>
            <w:vAlign w:val="center"/>
          </w:tcPr>
          <w:p w14:paraId="1BBA3D52">
            <w:pPr>
              <w:keepNext w:val="0"/>
              <w:keepLines w:val="0"/>
              <w:pageBreakBefore w:val="0"/>
              <w:widowControl w:val="0"/>
              <w:kinsoku/>
              <w:wordWrap/>
              <w:overflowPunct/>
              <w:topLinePunct w:val="0"/>
              <w:bidi w:val="0"/>
              <w:adjustRightInd/>
              <w:spacing w:line="360" w:lineRule="auto"/>
              <w:jc w:val="center"/>
              <w:textAlignment w:val="auto"/>
              <w:rPr>
                <w:rFonts w:hint="eastAsia" w:ascii="宋体" w:cs="宋体"/>
                <w:color w:val="000000"/>
                <w:highlight w:val="none"/>
              </w:rPr>
            </w:pPr>
            <w:r>
              <w:rPr>
                <w:rFonts w:hint="eastAsia" w:ascii="宋体" w:cs="宋体"/>
                <w:color w:val="000000"/>
                <w:highlight w:val="none"/>
              </w:rPr>
              <w:t>分包</w:t>
            </w:r>
          </w:p>
        </w:tc>
        <w:tc>
          <w:tcPr>
            <w:tcW w:w="3135" w:type="pct"/>
            <w:tcBorders>
              <w:top w:val="single" w:color="auto" w:sz="6" w:space="0"/>
              <w:left w:val="single" w:color="auto" w:sz="6" w:space="0"/>
              <w:bottom w:val="single" w:color="auto" w:sz="6" w:space="0"/>
              <w:right w:val="double" w:color="auto" w:sz="2" w:space="0"/>
            </w:tcBorders>
            <w:noWrap w:val="0"/>
            <w:tcMar>
              <w:left w:w="0" w:type="dxa"/>
              <w:right w:w="0" w:type="dxa"/>
            </w:tcMar>
            <w:vAlign w:val="center"/>
          </w:tcPr>
          <w:p w14:paraId="03B666EA">
            <w:pPr>
              <w:keepNext w:val="0"/>
              <w:keepLines w:val="0"/>
              <w:pageBreakBefore w:val="0"/>
              <w:widowControl w:val="0"/>
              <w:kinsoku/>
              <w:wordWrap/>
              <w:overflowPunct/>
              <w:topLinePunct w:val="0"/>
              <w:bidi w:val="0"/>
              <w:adjustRightInd/>
              <w:spacing w:line="360" w:lineRule="auto"/>
              <w:jc w:val="left"/>
              <w:textAlignment w:val="auto"/>
              <w:rPr>
                <w:rFonts w:hint="eastAsia" w:ascii="宋体" w:cs="宋体" w:eastAsiaTheme="minorEastAsia"/>
                <w:color w:val="000000"/>
                <w:highlight w:val="none"/>
                <w:lang w:eastAsia="zh-CN"/>
              </w:rPr>
            </w:pPr>
            <w:r>
              <w:rPr>
                <w:rFonts w:hint="eastAsia" w:ascii="宋体" w:cs="宋体"/>
                <w:color w:val="000000"/>
                <w:highlight w:val="none"/>
                <w:lang w:eastAsia="zh-CN"/>
              </w:rPr>
              <w:t>小微企业不得将合同分包给大中型企业，中型企业不得将合同分包给大型企业，大型供应商须将本采购项目中 30%份额分包给一家或多家中小企业</w:t>
            </w:r>
          </w:p>
        </w:tc>
      </w:tr>
      <w:tr w14:paraId="71D5C47E">
        <w:tblPrEx>
          <w:tblCellMar>
            <w:top w:w="0" w:type="dxa"/>
            <w:left w:w="108" w:type="dxa"/>
            <w:bottom w:w="0" w:type="dxa"/>
            <w:right w:w="108" w:type="dxa"/>
          </w:tblCellMar>
        </w:tblPrEx>
        <w:trPr>
          <w:trHeight w:val="567" w:hRule="atLeast"/>
          <w:jc w:val="center"/>
        </w:trPr>
        <w:tc>
          <w:tcPr>
            <w:tcW w:w="438" w:type="pct"/>
            <w:tcBorders>
              <w:top w:val="single" w:color="auto" w:sz="6" w:space="0"/>
              <w:left w:val="double" w:color="auto" w:sz="2" w:space="0"/>
              <w:bottom w:val="single" w:color="auto" w:sz="6" w:space="0"/>
              <w:right w:val="single" w:color="auto" w:sz="6" w:space="0"/>
            </w:tcBorders>
            <w:noWrap w:val="0"/>
            <w:tcMar>
              <w:left w:w="0" w:type="dxa"/>
              <w:right w:w="0" w:type="dxa"/>
            </w:tcMar>
            <w:vAlign w:val="center"/>
          </w:tcPr>
          <w:p w14:paraId="402A94D6">
            <w:pPr>
              <w:keepNext w:val="0"/>
              <w:keepLines w:val="0"/>
              <w:pageBreakBefore w:val="0"/>
              <w:widowControl w:val="0"/>
              <w:kinsoku/>
              <w:wordWrap/>
              <w:overflowPunct/>
              <w:topLinePunct w:val="0"/>
              <w:bidi w:val="0"/>
              <w:adjustRightInd/>
              <w:snapToGrid w:val="0"/>
              <w:spacing w:line="360" w:lineRule="auto"/>
              <w:jc w:val="center"/>
              <w:textAlignment w:val="auto"/>
              <w:rPr>
                <w:rFonts w:hint="eastAsia" w:ascii="宋体" w:cs="宋体"/>
                <w:color w:val="000000"/>
                <w:highlight w:val="none"/>
              </w:rPr>
            </w:pPr>
            <w:r>
              <w:rPr>
                <w:rFonts w:hint="eastAsia" w:ascii="宋体" w:cs="宋体"/>
                <w:color w:val="000000"/>
                <w:highlight w:val="none"/>
              </w:rPr>
              <w:t>18</w:t>
            </w:r>
          </w:p>
        </w:tc>
        <w:tc>
          <w:tcPr>
            <w:tcW w:w="1426" w:type="pct"/>
            <w:tcBorders>
              <w:top w:val="single" w:color="auto" w:sz="6" w:space="0"/>
              <w:left w:val="single" w:color="auto" w:sz="6" w:space="0"/>
              <w:bottom w:val="single" w:color="auto" w:sz="6" w:space="0"/>
              <w:right w:val="single" w:color="auto" w:sz="6" w:space="0"/>
            </w:tcBorders>
            <w:noWrap w:val="0"/>
            <w:tcMar>
              <w:left w:w="0" w:type="dxa"/>
              <w:right w:w="0" w:type="dxa"/>
            </w:tcMar>
            <w:vAlign w:val="center"/>
          </w:tcPr>
          <w:p w14:paraId="30EB60AD">
            <w:pPr>
              <w:keepNext w:val="0"/>
              <w:keepLines w:val="0"/>
              <w:pageBreakBefore w:val="0"/>
              <w:widowControl w:val="0"/>
              <w:kinsoku/>
              <w:wordWrap/>
              <w:overflowPunct/>
              <w:topLinePunct w:val="0"/>
              <w:bidi w:val="0"/>
              <w:adjustRightInd/>
              <w:spacing w:line="360" w:lineRule="auto"/>
              <w:jc w:val="center"/>
              <w:textAlignment w:val="auto"/>
              <w:rPr>
                <w:rFonts w:hint="eastAsia" w:ascii="宋体" w:cs="宋体"/>
                <w:color w:val="auto"/>
                <w:highlight w:val="none"/>
              </w:rPr>
            </w:pPr>
            <w:r>
              <w:rPr>
                <w:rFonts w:hint="eastAsia" w:ascii="宋体" w:cs="宋体"/>
                <w:color w:val="auto"/>
                <w:highlight w:val="none"/>
              </w:rPr>
              <w:t>偏离</w:t>
            </w:r>
          </w:p>
        </w:tc>
        <w:tc>
          <w:tcPr>
            <w:tcW w:w="3135" w:type="pct"/>
            <w:tcBorders>
              <w:top w:val="single" w:color="auto" w:sz="6" w:space="0"/>
              <w:left w:val="single" w:color="auto" w:sz="6" w:space="0"/>
              <w:bottom w:val="single" w:color="auto" w:sz="6" w:space="0"/>
              <w:right w:val="double" w:color="auto" w:sz="2" w:space="0"/>
            </w:tcBorders>
            <w:noWrap w:val="0"/>
            <w:tcMar>
              <w:left w:w="0" w:type="dxa"/>
              <w:right w:w="0" w:type="dxa"/>
            </w:tcMar>
            <w:vAlign w:val="center"/>
          </w:tcPr>
          <w:p w14:paraId="5FFBC8C8">
            <w:pPr>
              <w:keepNext w:val="0"/>
              <w:keepLines w:val="0"/>
              <w:pageBreakBefore w:val="0"/>
              <w:widowControl w:val="0"/>
              <w:kinsoku/>
              <w:wordWrap/>
              <w:overflowPunct/>
              <w:topLinePunct w:val="0"/>
              <w:bidi w:val="0"/>
              <w:adjustRightInd/>
              <w:spacing w:line="360" w:lineRule="auto"/>
              <w:jc w:val="left"/>
              <w:textAlignment w:val="auto"/>
              <w:rPr>
                <w:rFonts w:hint="default" w:ascii="宋体" w:hAnsi="宋体" w:eastAsia="宋体" w:cs="Times New Roman"/>
                <w:b w:val="0"/>
                <w:bCs w:val="0"/>
                <w:caps w:val="0"/>
                <w:color w:val="auto"/>
                <w:kern w:val="2"/>
                <w:sz w:val="21"/>
                <w:szCs w:val="21"/>
                <w:highlight w:val="none"/>
                <w:vertAlign w:val="baseline"/>
                <w:lang w:val="en-US" w:eastAsia="zh-CN" w:bidi="ar"/>
              </w:rPr>
            </w:pPr>
            <w:r>
              <w:rPr>
                <w:rFonts w:hint="eastAsia" w:ascii="宋体" w:cs="宋体"/>
                <w:color w:val="auto"/>
                <w:highlight w:val="none"/>
                <w:lang w:val="en-US" w:eastAsia="zh-CN"/>
              </w:rPr>
              <w:t>采购需求中所有核心产品</w:t>
            </w:r>
            <w:r>
              <w:rPr>
                <w:rFonts w:hint="eastAsia" w:ascii="宋体" w:hAnsi="宋体" w:eastAsia="宋体" w:cs="Times New Roman"/>
                <w:b w:val="0"/>
                <w:bCs w:val="0"/>
                <w:caps w:val="0"/>
                <w:color w:val="auto"/>
                <w:kern w:val="2"/>
                <w:sz w:val="21"/>
                <w:szCs w:val="21"/>
                <w:highlight w:val="none"/>
                <w:vertAlign w:val="baseline"/>
                <w:lang w:val="en-US" w:eastAsia="zh-CN" w:bidi="ar"/>
              </w:rPr>
              <w:t>不得负偏离，否则废标。</w:t>
            </w:r>
          </w:p>
        </w:tc>
      </w:tr>
      <w:tr w14:paraId="29DBE71A">
        <w:tblPrEx>
          <w:tblCellMar>
            <w:top w:w="0" w:type="dxa"/>
            <w:left w:w="108" w:type="dxa"/>
            <w:bottom w:w="0" w:type="dxa"/>
            <w:right w:w="108" w:type="dxa"/>
          </w:tblCellMar>
        </w:tblPrEx>
        <w:trPr>
          <w:trHeight w:val="492" w:hRule="atLeast"/>
          <w:jc w:val="center"/>
        </w:trPr>
        <w:tc>
          <w:tcPr>
            <w:tcW w:w="438" w:type="pct"/>
            <w:tcBorders>
              <w:top w:val="single" w:color="auto" w:sz="6" w:space="0"/>
              <w:left w:val="double" w:color="auto" w:sz="2" w:space="0"/>
              <w:bottom w:val="single" w:color="auto" w:sz="6" w:space="0"/>
              <w:right w:val="single" w:color="auto" w:sz="6" w:space="0"/>
            </w:tcBorders>
            <w:noWrap w:val="0"/>
            <w:tcMar>
              <w:left w:w="0" w:type="dxa"/>
              <w:right w:w="0" w:type="dxa"/>
            </w:tcMar>
            <w:vAlign w:val="center"/>
          </w:tcPr>
          <w:p w14:paraId="5CDE3136">
            <w:pPr>
              <w:keepNext w:val="0"/>
              <w:keepLines w:val="0"/>
              <w:pageBreakBefore w:val="0"/>
              <w:widowControl w:val="0"/>
              <w:kinsoku/>
              <w:wordWrap/>
              <w:overflowPunct/>
              <w:topLinePunct w:val="0"/>
              <w:bidi w:val="0"/>
              <w:adjustRightInd/>
              <w:snapToGrid w:val="0"/>
              <w:spacing w:line="360" w:lineRule="auto"/>
              <w:jc w:val="center"/>
              <w:textAlignment w:val="auto"/>
              <w:rPr>
                <w:rFonts w:hint="eastAsia" w:ascii="宋体" w:cs="宋体"/>
                <w:color w:val="000000"/>
                <w:highlight w:val="none"/>
              </w:rPr>
            </w:pPr>
            <w:r>
              <w:rPr>
                <w:rFonts w:hint="eastAsia" w:ascii="宋体" w:cs="宋体"/>
                <w:color w:val="000000"/>
                <w:highlight w:val="none"/>
              </w:rPr>
              <w:t>19</w:t>
            </w:r>
          </w:p>
        </w:tc>
        <w:tc>
          <w:tcPr>
            <w:tcW w:w="1426" w:type="pct"/>
            <w:tcBorders>
              <w:top w:val="single" w:color="auto" w:sz="6" w:space="0"/>
              <w:left w:val="single" w:color="auto" w:sz="6" w:space="0"/>
              <w:bottom w:val="single" w:color="auto" w:sz="6" w:space="0"/>
              <w:right w:val="single" w:color="auto" w:sz="6" w:space="0"/>
            </w:tcBorders>
            <w:noWrap w:val="0"/>
            <w:tcMar>
              <w:left w:w="0" w:type="dxa"/>
              <w:right w:w="0" w:type="dxa"/>
            </w:tcMar>
            <w:vAlign w:val="center"/>
          </w:tcPr>
          <w:p w14:paraId="30EE486A">
            <w:pPr>
              <w:keepNext w:val="0"/>
              <w:keepLines w:val="0"/>
              <w:pageBreakBefore w:val="0"/>
              <w:widowControl w:val="0"/>
              <w:kinsoku/>
              <w:wordWrap/>
              <w:overflowPunct/>
              <w:topLinePunct w:val="0"/>
              <w:bidi w:val="0"/>
              <w:adjustRightInd/>
              <w:spacing w:line="360" w:lineRule="auto"/>
              <w:jc w:val="center"/>
              <w:textAlignment w:val="auto"/>
              <w:rPr>
                <w:rFonts w:hint="eastAsia" w:ascii="宋体" w:cs="宋体"/>
                <w:color w:val="auto"/>
                <w:highlight w:val="none"/>
              </w:rPr>
            </w:pPr>
            <w:r>
              <w:rPr>
                <w:rFonts w:hint="eastAsia" w:ascii="宋体" w:cs="宋体"/>
                <w:color w:val="auto"/>
                <w:highlight w:val="none"/>
              </w:rPr>
              <w:t>构成招标文件</w:t>
            </w:r>
          </w:p>
          <w:p w14:paraId="4CDB84C5">
            <w:pPr>
              <w:keepNext w:val="0"/>
              <w:keepLines w:val="0"/>
              <w:pageBreakBefore w:val="0"/>
              <w:widowControl w:val="0"/>
              <w:kinsoku/>
              <w:wordWrap/>
              <w:overflowPunct/>
              <w:topLinePunct w:val="0"/>
              <w:bidi w:val="0"/>
              <w:adjustRightInd/>
              <w:spacing w:line="360" w:lineRule="auto"/>
              <w:jc w:val="center"/>
              <w:textAlignment w:val="auto"/>
              <w:rPr>
                <w:rFonts w:hint="eastAsia" w:ascii="宋体" w:cs="宋体"/>
                <w:color w:val="auto"/>
                <w:highlight w:val="none"/>
              </w:rPr>
            </w:pPr>
            <w:r>
              <w:rPr>
                <w:rFonts w:hint="eastAsia" w:ascii="宋体" w:cs="宋体"/>
                <w:color w:val="auto"/>
                <w:highlight w:val="none"/>
              </w:rPr>
              <w:t>的其他材料</w:t>
            </w:r>
          </w:p>
        </w:tc>
        <w:tc>
          <w:tcPr>
            <w:tcW w:w="3135" w:type="pct"/>
            <w:tcBorders>
              <w:top w:val="single" w:color="auto" w:sz="6" w:space="0"/>
              <w:left w:val="single" w:color="auto" w:sz="6" w:space="0"/>
              <w:bottom w:val="single" w:color="auto" w:sz="6" w:space="0"/>
              <w:right w:val="double" w:color="auto" w:sz="2" w:space="0"/>
            </w:tcBorders>
            <w:noWrap w:val="0"/>
            <w:tcMar>
              <w:left w:w="0" w:type="dxa"/>
              <w:right w:w="0" w:type="dxa"/>
            </w:tcMar>
            <w:vAlign w:val="center"/>
          </w:tcPr>
          <w:p w14:paraId="0E6AF575">
            <w:pPr>
              <w:keepNext w:val="0"/>
              <w:keepLines w:val="0"/>
              <w:pageBreakBefore w:val="0"/>
              <w:widowControl w:val="0"/>
              <w:kinsoku/>
              <w:wordWrap/>
              <w:overflowPunct/>
              <w:topLinePunct w:val="0"/>
              <w:bidi w:val="0"/>
              <w:adjustRightInd/>
              <w:spacing w:line="360" w:lineRule="auto"/>
              <w:jc w:val="left"/>
              <w:textAlignment w:val="auto"/>
              <w:rPr>
                <w:rFonts w:hint="eastAsia" w:ascii="宋体" w:cs="宋体"/>
                <w:color w:val="auto"/>
                <w:highlight w:val="none"/>
              </w:rPr>
            </w:pPr>
            <w:r>
              <w:rPr>
                <w:rFonts w:hint="eastAsia" w:ascii="宋体" w:cs="宋体"/>
                <w:color w:val="auto"/>
                <w:highlight w:val="none"/>
                <w:lang w:val="zh-CN"/>
              </w:rPr>
              <w:t>招标文件的澄清</w:t>
            </w:r>
            <w:r>
              <w:rPr>
                <w:rFonts w:hint="eastAsia" w:ascii="宋体" w:cs="宋体"/>
                <w:color w:val="auto"/>
                <w:highlight w:val="none"/>
              </w:rPr>
              <w:t>、修改书及有关补充通知为招标文件的有效组成部分</w:t>
            </w:r>
          </w:p>
        </w:tc>
      </w:tr>
      <w:tr w14:paraId="0FE7852E">
        <w:tblPrEx>
          <w:tblCellMar>
            <w:top w:w="0" w:type="dxa"/>
            <w:left w:w="108" w:type="dxa"/>
            <w:bottom w:w="0" w:type="dxa"/>
            <w:right w:w="108" w:type="dxa"/>
          </w:tblCellMar>
        </w:tblPrEx>
        <w:trPr>
          <w:trHeight w:val="416" w:hRule="atLeast"/>
          <w:jc w:val="center"/>
        </w:trPr>
        <w:tc>
          <w:tcPr>
            <w:tcW w:w="438" w:type="pct"/>
            <w:tcBorders>
              <w:top w:val="single" w:color="auto" w:sz="6" w:space="0"/>
              <w:left w:val="double" w:color="auto" w:sz="2" w:space="0"/>
              <w:bottom w:val="single" w:color="auto" w:sz="6" w:space="0"/>
              <w:right w:val="single" w:color="auto" w:sz="6" w:space="0"/>
            </w:tcBorders>
            <w:noWrap w:val="0"/>
            <w:tcMar>
              <w:left w:w="0" w:type="dxa"/>
              <w:right w:w="0" w:type="dxa"/>
            </w:tcMar>
            <w:vAlign w:val="center"/>
          </w:tcPr>
          <w:p w14:paraId="1271E506">
            <w:pPr>
              <w:keepNext w:val="0"/>
              <w:keepLines w:val="0"/>
              <w:pageBreakBefore w:val="0"/>
              <w:widowControl w:val="0"/>
              <w:kinsoku/>
              <w:wordWrap/>
              <w:overflowPunct/>
              <w:topLinePunct w:val="0"/>
              <w:bidi w:val="0"/>
              <w:adjustRightInd/>
              <w:snapToGrid w:val="0"/>
              <w:spacing w:line="360" w:lineRule="auto"/>
              <w:jc w:val="center"/>
              <w:textAlignment w:val="auto"/>
              <w:rPr>
                <w:rFonts w:hint="eastAsia" w:ascii="宋体" w:cs="宋体"/>
                <w:color w:val="000000"/>
                <w:highlight w:val="none"/>
              </w:rPr>
            </w:pPr>
            <w:r>
              <w:rPr>
                <w:rFonts w:hint="eastAsia" w:ascii="宋体" w:cs="宋体"/>
                <w:color w:val="000000"/>
                <w:highlight w:val="none"/>
              </w:rPr>
              <w:t>20</w:t>
            </w:r>
          </w:p>
        </w:tc>
        <w:tc>
          <w:tcPr>
            <w:tcW w:w="1426" w:type="pct"/>
            <w:tcBorders>
              <w:top w:val="single" w:color="auto" w:sz="6" w:space="0"/>
              <w:left w:val="single" w:color="auto" w:sz="6" w:space="0"/>
              <w:bottom w:val="single" w:color="auto" w:sz="6" w:space="0"/>
              <w:right w:val="single" w:color="auto" w:sz="6" w:space="0"/>
            </w:tcBorders>
            <w:noWrap w:val="0"/>
            <w:tcMar>
              <w:left w:w="0" w:type="dxa"/>
              <w:right w:w="0" w:type="dxa"/>
            </w:tcMar>
            <w:vAlign w:val="center"/>
          </w:tcPr>
          <w:p w14:paraId="5BDFF39E">
            <w:pPr>
              <w:keepNext w:val="0"/>
              <w:keepLines w:val="0"/>
              <w:pageBreakBefore w:val="0"/>
              <w:widowControl w:val="0"/>
              <w:kinsoku/>
              <w:wordWrap/>
              <w:overflowPunct/>
              <w:topLinePunct w:val="0"/>
              <w:bidi w:val="0"/>
              <w:adjustRightInd/>
              <w:spacing w:line="360" w:lineRule="auto"/>
              <w:jc w:val="center"/>
              <w:textAlignment w:val="auto"/>
              <w:rPr>
                <w:rFonts w:hint="eastAsia" w:ascii="宋体" w:cs="宋体"/>
                <w:color w:val="auto"/>
                <w:highlight w:val="none"/>
              </w:rPr>
            </w:pPr>
            <w:r>
              <w:rPr>
                <w:rFonts w:hint="eastAsia" w:ascii="宋体" w:cs="宋体"/>
                <w:color w:val="auto"/>
                <w:highlight w:val="none"/>
              </w:rPr>
              <w:t>投标截止时间</w:t>
            </w:r>
          </w:p>
        </w:tc>
        <w:tc>
          <w:tcPr>
            <w:tcW w:w="3135" w:type="pct"/>
            <w:tcBorders>
              <w:top w:val="single" w:color="auto" w:sz="6" w:space="0"/>
              <w:left w:val="single" w:color="auto" w:sz="6" w:space="0"/>
              <w:bottom w:val="single" w:color="auto" w:sz="6" w:space="0"/>
              <w:right w:val="double" w:color="auto" w:sz="2" w:space="0"/>
            </w:tcBorders>
            <w:noWrap w:val="0"/>
            <w:tcMar>
              <w:left w:w="0" w:type="dxa"/>
              <w:right w:w="0" w:type="dxa"/>
            </w:tcMar>
            <w:vAlign w:val="center"/>
          </w:tcPr>
          <w:p w14:paraId="31240CBF">
            <w:pPr>
              <w:keepNext w:val="0"/>
              <w:keepLines w:val="0"/>
              <w:pageBreakBefore w:val="0"/>
              <w:widowControl w:val="0"/>
              <w:kinsoku/>
              <w:wordWrap/>
              <w:overflowPunct/>
              <w:topLinePunct w:val="0"/>
              <w:bidi w:val="0"/>
              <w:adjustRightInd/>
              <w:spacing w:line="360" w:lineRule="auto"/>
              <w:jc w:val="left"/>
              <w:textAlignment w:val="auto"/>
              <w:rPr>
                <w:rFonts w:hint="eastAsia" w:ascii="宋体" w:cs="宋体"/>
                <w:color w:val="auto"/>
                <w:highlight w:val="none"/>
                <w:lang w:val="zh-CN"/>
              </w:rPr>
            </w:pPr>
            <w:r>
              <w:rPr>
                <w:rFonts w:hint="eastAsia" w:ascii="宋体" w:cs="宋体"/>
                <w:color w:val="auto"/>
                <w:highlight w:val="none"/>
                <w:lang w:eastAsia="zh-CN"/>
              </w:rPr>
              <w:t>202</w:t>
            </w:r>
            <w:r>
              <w:rPr>
                <w:rFonts w:hint="eastAsia" w:ascii="宋体" w:cs="宋体"/>
                <w:color w:val="auto"/>
                <w:highlight w:val="none"/>
                <w:lang w:val="en-US" w:eastAsia="zh-CN"/>
              </w:rPr>
              <w:t>5</w:t>
            </w:r>
            <w:r>
              <w:rPr>
                <w:rFonts w:hint="eastAsia" w:ascii="宋体" w:cs="宋体"/>
                <w:color w:val="auto"/>
                <w:highlight w:val="none"/>
              </w:rPr>
              <w:t>年</w:t>
            </w:r>
            <w:r>
              <w:rPr>
                <w:rFonts w:hint="eastAsia" w:ascii="宋体" w:cs="宋体"/>
                <w:color w:val="auto"/>
                <w:highlight w:val="none"/>
                <w:lang w:val="en-US" w:eastAsia="zh-CN"/>
              </w:rPr>
              <w:t>7</w:t>
            </w:r>
            <w:r>
              <w:rPr>
                <w:rFonts w:hint="eastAsia" w:ascii="宋体" w:cs="宋体"/>
                <w:color w:val="auto"/>
                <w:highlight w:val="none"/>
                <w:lang w:eastAsia="zh-CN"/>
              </w:rPr>
              <w:t>月</w:t>
            </w:r>
            <w:r>
              <w:rPr>
                <w:rFonts w:hint="eastAsia" w:ascii="宋体" w:cs="宋体"/>
                <w:color w:val="auto"/>
                <w:highlight w:val="none"/>
                <w:lang w:val="en-US" w:eastAsia="zh-CN"/>
              </w:rPr>
              <w:t>3</w:t>
            </w:r>
            <w:r>
              <w:rPr>
                <w:rFonts w:hint="eastAsia" w:ascii="宋体" w:cs="宋体"/>
                <w:color w:val="auto"/>
                <w:highlight w:val="none"/>
                <w:lang w:eastAsia="zh-CN"/>
              </w:rPr>
              <w:t>日</w:t>
            </w:r>
            <w:r>
              <w:rPr>
                <w:rFonts w:hint="eastAsia" w:ascii="宋体" w:cs="宋体"/>
                <w:color w:val="auto"/>
                <w:highlight w:val="none"/>
                <w:lang w:val="en-US" w:eastAsia="zh-CN"/>
              </w:rPr>
              <w:t>9</w:t>
            </w:r>
            <w:r>
              <w:rPr>
                <w:rFonts w:hint="eastAsia" w:ascii="宋体" w:cs="宋体"/>
                <w:color w:val="auto"/>
                <w:highlight w:val="none"/>
              </w:rPr>
              <w:t>时</w:t>
            </w:r>
            <w:r>
              <w:rPr>
                <w:rFonts w:hint="eastAsia" w:ascii="宋体" w:cs="宋体"/>
                <w:color w:val="auto"/>
                <w:highlight w:val="none"/>
                <w:lang w:val="en-US" w:eastAsia="zh-CN"/>
              </w:rPr>
              <w:t>30</w:t>
            </w:r>
            <w:r>
              <w:rPr>
                <w:rFonts w:hint="eastAsia" w:ascii="宋体" w:cs="宋体"/>
                <w:color w:val="auto"/>
                <w:highlight w:val="none"/>
              </w:rPr>
              <w:t>分（北京时间）</w:t>
            </w:r>
          </w:p>
        </w:tc>
      </w:tr>
      <w:tr w14:paraId="491DF46B">
        <w:tblPrEx>
          <w:tblCellMar>
            <w:top w:w="0" w:type="dxa"/>
            <w:left w:w="108" w:type="dxa"/>
            <w:bottom w:w="0" w:type="dxa"/>
            <w:right w:w="108" w:type="dxa"/>
          </w:tblCellMar>
        </w:tblPrEx>
        <w:trPr>
          <w:trHeight w:val="669" w:hRule="atLeast"/>
          <w:jc w:val="center"/>
        </w:trPr>
        <w:tc>
          <w:tcPr>
            <w:tcW w:w="438" w:type="pct"/>
            <w:tcBorders>
              <w:top w:val="single" w:color="auto" w:sz="6" w:space="0"/>
              <w:left w:val="double" w:color="auto" w:sz="2" w:space="0"/>
              <w:bottom w:val="single" w:color="auto" w:sz="6" w:space="0"/>
              <w:right w:val="single" w:color="auto" w:sz="6" w:space="0"/>
            </w:tcBorders>
            <w:noWrap w:val="0"/>
            <w:tcMar>
              <w:left w:w="0" w:type="dxa"/>
              <w:right w:w="0" w:type="dxa"/>
            </w:tcMar>
            <w:vAlign w:val="center"/>
          </w:tcPr>
          <w:p w14:paraId="4D83FD6C">
            <w:pPr>
              <w:keepNext w:val="0"/>
              <w:keepLines w:val="0"/>
              <w:pageBreakBefore w:val="0"/>
              <w:widowControl w:val="0"/>
              <w:kinsoku/>
              <w:wordWrap/>
              <w:overflowPunct/>
              <w:topLinePunct w:val="0"/>
              <w:bidi w:val="0"/>
              <w:adjustRightInd/>
              <w:spacing w:line="360" w:lineRule="auto"/>
              <w:jc w:val="center"/>
              <w:textAlignment w:val="auto"/>
              <w:rPr>
                <w:rFonts w:hint="eastAsia" w:ascii="宋体" w:cs="宋体"/>
                <w:color w:val="000000"/>
                <w:highlight w:val="none"/>
              </w:rPr>
            </w:pPr>
            <w:r>
              <w:rPr>
                <w:rFonts w:hint="eastAsia" w:ascii="宋体" w:cs="宋体"/>
                <w:color w:val="000000"/>
                <w:highlight w:val="none"/>
              </w:rPr>
              <w:t>21</w:t>
            </w:r>
          </w:p>
        </w:tc>
        <w:tc>
          <w:tcPr>
            <w:tcW w:w="1426" w:type="pct"/>
            <w:tcBorders>
              <w:top w:val="single" w:color="auto" w:sz="6" w:space="0"/>
              <w:left w:val="single" w:color="auto" w:sz="6" w:space="0"/>
              <w:bottom w:val="single" w:color="auto" w:sz="6" w:space="0"/>
              <w:right w:val="single" w:color="auto" w:sz="6" w:space="0"/>
            </w:tcBorders>
            <w:noWrap w:val="0"/>
            <w:tcMar>
              <w:left w:w="0" w:type="dxa"/>
              <w:right w:w="0" w:type="dxa"/>
            </w:tcMar>
            <w:vAlign w:val="center"/>
          </w:tcPr>
          <w:p w14:paraId="6E56A3C1">
            <w:pPr>
              <w:keepNext w:val="0"/>
              <w:keepLines w:val="0"/>
              <w:pageBreakBefore w:val="0"/>
              <w:widowControl w:val="0"/>
              <w:kinsoku/>
              <w:wordWrap/>
              <w:overflowPunct/>
              <w:topLinePunct w:val="0"/>
              <w:bidi w:val="0"/>
              <w:adjustRightInd/>
              <w:spacing w:line="360" w:lineRule="auto"/>
              <w:jc w:val="center"/>
              <w:textAlignment w:val="auto"/>
              <w:rPr>
                <w:rFonts w:hint="eastAsia" w:ascii="宋体" w:cs="宋体"/>
                <w:color w:val="auto"/>
                <w:highlight w:val="none"/>
              </w:rPr>
            </w:pPr>
            <w:r>
              <w:rPr>
                <w:rFonts w:hint="eastAsia" w:ascii="宋体" w:cs="宋体"/>
                <w:color w:val="auto"/>
                <w:highlight w:val="none"/>
              </w:rPr>
              <w:t>开标地点</w:t>
            </w:r>
          </w:p>
        </w:tc>
        <w:tc>
          <w:tcPr>
            <w:tcW w:w="3135" w:type="pct"/>
            <w:tcBorders>
              <w:top w:val="single" w:color="auto" w:sz="6" w:space="0"/>
              <w:left w:val="single" w:color="auto" w:sz="6" w:space="0"/>
              <w:bottom w:val="single" w:color="auto" w:sz="6" w:space="0"/>
              <w:right w:val="double" w:color="auto" w:sz="2" w:space="0"/>
            </w:tcBorders>
            <w:noWrap w:val="0"/>
            <w:tcMar>
              <w:left w:w="0" w:type="dxa"/>
              <w:right w:w="0" w:type="dxa"/>
            </w:tcMar>
            <w:vAlign w:val="center"/>
          </w:tcPr>
          <w:p w14:paraId="5A565BEF">
            <w:pPr>
              <w:keepNext w:val="0"/>
              <w:keepLines w:val="0"/>
              <w:pageBreakBefore w:val="0"/>
              <w:widowControl w:val="0"/>
              <w:kinsoku/>
              <w:wordWrap/>
              <w:overflowPunct/>
              <w:topLinePunct w:val="0"/>
              <w:bidi w:val="0"/>
              <w:adjustRightInd/>
              <w:spacing w:line="360" w:lineRule="auto"/>
              <w:jc w:val="left"/>
              <w:textAlignment w:val="auto"/>
              <w:rPr>
                <w:rFonts w:hint="eastAsia" w:ascii="宋体" w:cs="宋体"/>
                <w:color w:val="auto"/>
                <w:highlight w:val="none"/>
                <w:lang w:val="zh-CN"/>
              </w:rPr>
            </w:pPr>
            <w:r>
              <w:rPr>
                <w:rFonts w:hint="eastAsia" w:ascii="宋体" w:hAnsi="宋体" w:cs="宋体"/>
                <w:bCs/>
                <w:color w:val="auto"/>
                <w:szCs w:val="21"/>
                <w:highlight w:val="none"/>
                <w:lang w:val="zh-CN"/>
              </w:rPr>
              <w:t>长春市高新区鸿达街吉林日报副楼4楼吉利招第三开标室</w:t>
            </w:r>
          </w:p>
        </w:tc>
      </w:tr>
      <w:tr w14:paraId="61F3BE0A">
        <w:tblPrEx>
          <w:tblCellMar>
            <w:top w:w="0" w:type="dxa"/>
            <w:left w:w="108" w:type="dxa"/>
            <w:bottom w:w="0" w:type="dxa"/>
            <w:right w:w="108" w:type="dxa"/>
          </w:tblCellMar>
        </w:tblPrEx>
        <w:trPr>
          <w:trHeight w:val="510" w:hRule="atLeast"/>
          <w:jc w:val="center"/>
        </w:trPr>
        <w:tc>
          <w:tcPr>
            <w:tcW w:w="438" w:type="pct"/>
            <w:tcBorders>
              <w:top w:val="single" w:color="auto" w:sz="6" w:space="0"/>
              <w:left w:val="double" w:color="auto" w:sz="2" w:space="0"/>
              <w:bottom w:val="single" w:color="auto" w:sz="6" w:space="0"/>
              <w:right w:val="single" w:color="auto" w:sz="6" w:space="0"/>
            </w:tcBorders>
            <w:noWrap w:val="0"/>
            <w:tcMar>
              <w:left w:w="0" w:type="dxa"/>
              <w:right w:w="0" w:type="dxa"/>
            </w:tcMar>
            <w:vAlign w:val="center"/>
          </w:tcPr>
          <w:p w14:paraId="29772E39">
            <w:pPr>
              <w:keepNext w:val="0"/>
              <w:keepLines w:val="0"/>
              <w:pageBreakBefore w:val="0"/>
              <w:widowControl w:val="0"/>
              <w:kinsoku/>
              <w:wordWrap/>
              <w:overflowPunct/>
              <w:topLinePunct w:val="0"/>
              <w:bidi w:val="0"/>
              <w:adjustRightInd/>
              <w:snapToGrid w:val="0"/>
              <w:spacing w:line="360" w:lineRule="auto"/>
              <w:jc w:val="center"/>
              <w:textAlignment w:val="auto"/>
              <w:rPr>
                <w:rFonts w:hint="eastAsia" w:ascii="宋体" w:cs="宋体"/>
                <w:color w:val="000000"/>
                <w:highlight w:val="none"/>
              </w:rPr>
            </w:pPr>
            <w:r>
              <w:rPr>
                <w:rFonts w:hint="eastAsia" w:ascii="宋体" w:cs="宋体"/>
                <w:color w:val="000000"/>
                <w:highlight w:val="none"/>
              </w:rPr>
              <w:t>22</w:t>
            </w:r>
          </w:p>
        </w:tc>
        <w:tc>
          <w:tcPr>
            <w:tcW w:w="1426" w:type="pct"/>
            <w:tcBorders>
              <w:top w:val="single" w:color="auto" w:sz="6" w:space="0"/>
              <w:left w:val="single" w:color="auto" w:sz="6" w:space="0"/>
              <w:bottom w:val="single" w:color="auto" w:sz="6" w:space="0"/>
              <w:right w:val="single" w:color="auto" w:sz="6" w:space="0"/>
            </w:tcBorders>
            <w:noWrap w:val="0"/>
            <w:tcMar>
              <w:left w:w="0" w:type="dxa"/>
              <w:right w:w="0" w:type="dxa"/>
            </w:tcMar>
            <w:vAlign w:val="center"/>
          </w:tcPr>
          <w:p w14:paraId="36D0E222">
            <w:pPr>
              <w:keepNext w:val="0"/>
              <w:keepLines w:val="0"/>
              <w:pageBreakBefore w:val="0"/>
              <w:widowControl w:val="0"/>
              <w:kinsoku/>
              <w:wordWrap/>
              <w:overflowPunct/>
              <w:topLinePunct w:val="0"/>
              <w:bidi w:val="0"/>
              <w:adjustRightInd/>
              <w:spacing w:line="360" w:lineRule="auto"/>
              <w:jc w:val="center"/>
              <w:textAlignment w:val="auto"/>
              <w:rPr>
                <w:rFonts w:hint="eastAsia" w:ascii="宋体" w:cs="宋体"/>
                <w:color w:val="000000"/>
                <w:highlight w:val="none"/>
              </w:rPr>
            </w:pPr>
            <w:r>
              <w:rPr>
                <w:rFonts w:hint="eastAsia" w:ascii="宋体" w:cs="宋体"/>
                <w:color w:val="000000"/>
                <w:highlight w:val="none"/>
              </w:rPr>
              <w:t>投标人确认收到招标文件澄清的时间</w:t>
            </w:r>
          </w:p>
        </w:tc>
        <w:tc>
          <w:tcPr>
            <w:tcW w:w="3135" w:type="pct"/>
            <w:tcBorders>
              <w:top w:val="single" w:color="auto" w:sz="6" w:space="0"/>
              <w:left w:val="single" w:color="auto" w:sz="6" w:space="0"/>
              <w:bottom w:val="single" w:color="auto" w:sz="6" w:space="0"/>
              <w:right w:val="double" w:color="auto" w:sz="2" w:space="0"/>
            </w:tcBorders>
            <w:noWrap w:val="0"/>
            <w:tcMar>
              <w:left w:w="0" w:type="dxa"/>
              <w:right w:w="0" w:type="dxa"/>
            </w:tcMar>
            <w:vAlign w:val="center"/>
          </w:tcPr>
          <w:p w14:paraId="4927C1AE">
            <w:pPr>
              <w:keepNext w:val="0"/>
              <w:keepLines w:val="0"/>
              <w:pageBreakBefore w:val="0"/>
              <w:widowControl w:val="0"/>
              <w:kinsoku/>
              <w:wordWrap/>
              <w:overflowPunct/>
              <w:topLinePunct w:val="0"/>
              <w:bidi w:val="0"/>
              <w:adjustRightInd/>
              <w:spacing w:line="360" w:lineRule="auto"/>
              <w:jc w:val="left"/>
              <w:textAlignment w:val="auto"/>
              <w:rPr>
                <w:rFonts w:hint="eastAsia" w:ascii="宋体" w:cs="宋体"/>
                <w:color w:val="000000"/>
                <w:highlight w:val="none"/>
              </w:rPr>
            </w:pPr>
            <w:r>
              <w:rPr>
                <w:rFonts w:hint="eastAsia" w:ascii="宋体" w:cs="宋体"/>
                <w:color w:val="000000"/>
                <w:highlight w:val="none"/>
              </w:rPr>
              <w:t>收到澄清文件24小时</w:t>
            </w:r>
          </w:p>
        </w:tc>
      </w:tr>
      <w:tr w14:paraId="5F2799C0">
        <w:tblPrEx>
          <w:tblCellMar>
            <w:top w:w="0" w:type="dxa"/>
            <w:left w:w="108" w:type="dxa"/>
            <w:bottom w:w="0" w:type="dxa"/>
            <w:right w:w="108" w:type="dxa"/>
          </w:tblCellMar>
        </w:tblPrEx>
        <w:trPr>
          <w:trHeight w:val="664" w:hRule="atLeast"/>
          <w:jc w:val="center"/>
        </w:trPr>
        <w:tc>
          <w:tcPr>
            <w:tcW w:w="438" w:type="pct"/>
            <w:tcBorders>
              <w:top w:val="single" w:color="auto" w:sz="6" w:space="0"/>
              <w:left w:val="double" w:color="auto" w:sz="2" w:space="0"/>
              <w:bottom w:val="single" w:color="auto" w:sz="6" w:space="0"/>
              <w:right w:val="single" w:color="auto" w:sz="6" w:space="0"/>
            </w:tcBorders>
            <w:noWrap w:val="0"/>
            <w:tcMar>
              <w:left w:w="0" w:type="dxa"/>
              <w:right w:w="0" w:type="dxa"/>
            </w:tcMar>
            <w:vAlign w:val="center"/>
          </w:tcPr>
          <w:p w14:paraId="51CF416E">
            <w:pPr>
              <w:keepNext w:val="0"/>
              <w:keepLines w:val="0"/>
              <w:pageBreakBefore w:val="0"/>
              <w:widowControl w:val="0"/>
              <w:kinsoku/>
              <w:wordWrap/>
              <w:overflowPunct/>
              <w:topLinePunct w:val="0"/>
              <w:bidi w:val="0"/>
              <w:adjustRightInd/>
              <w:snapToGrid w:val="0"/>
              <w:spacing w:line="360" w:lineRule="auto"/>
              <w:jc w:val="center"/>
              <w:textAlignment w:val="auto"/>
              <w:rPr>
                <w:rFonts w:hint="eastAsia" w:ascii="宋体" w:cs="宋体"/>
                <w:color w:val="000000"/>
                <w:highlight w:val="none"/>
              </w:rPr>
            </w:pPr>
            <w:r>
              <w:rPr>
                <w:rFonts w:hint="eastAsia" w:ascii="宋体" w:cs="宋体"/>
                <w:color w:val="000000"/>
                <w:highlight w:val="none"/>
              </w:rPr>
              <w:t>23</w:t>
            </w:r>
          </w:p>
        </w:tc>
        <w:tc>
          <w:tcPr>
            <w:tcW w:w="1426" w:type="pct"/>
            <w:tcBorders>
              <w:top w:val="single" w:color="auto" w:sz="6" w:space="0"/>
              <w:left w:val="single" w:color="auto" w:sz="6" w:space="0"/>
              <w:bottom w:val="single" w:color="auto" w:sz="6" w:space="0"/>
              <w:right w:val="single" w:color="auto" w:sz="6" w:space="0"/>
            </w:tcBorders>
            <w:noWrap w:val="0"/>
            <w:tcMar>
              <w:left w:w="0" w:type="dxa"/>
              <w:right w:w="0" w:type="dxa"/>
            </w:tcMar>
            <w:vAlign w:val="center"/>
          </w:tcPr>
          <w:p w14:paraId="5A097E78">
            <w:pPr>
              <w:keepNext w:val="0"/>
              <w:keepLines w:val="0"/>
              <w:pageBreakBefore w:val="0"/>
              <w:widowControl w:val="0"/>
              <w:kinsoku/>
              <w:wordWrap/>
              <w:overflowPunct/>
              <w:topLinePunct w:val="0"/>
              <w:bidi w:val="0"/>
              <w:adjustRightInd/>
              <w:spacing w:line="360" w:lineRule="auto"/>
              <w:jc w:val="center"/>
              <w:textAlignment w:val="auto"/>
              <w:rPr>
                <w:rFonts w:hint="eastAsia" w:ascii="宋体" w:cs="宋体"/>
                <w:color w:val="000000"/>
                <w:highlight w:val="none"/>
              </w:rPr>
            </w:pPr>
            <w:r>
              <w:rPr>
                <w:rFonts w:hint="eastAsia" w:ascii="宋体" w:cs="宋体"/>
                <w:color w:val="000000"/>
                <w:highlight w:val="none"/>
              </w:rPr>
              <w:t>投标人确认收到招标文件修改内容的时间</w:t>
            </w:r>
          </w:p>
        </w:tc>
        <w:tc>
          <w:tcPr>
            <w:tcW w:w="3135" w:type="pct"/>
            <w:tcBorders>
              <w:top w:val="single" w:color="auto" w:sz="6" w:space="0"/>
              <w:left w:val="single" w:color="auto" w:sz="6" w:space="0"/>
              <w:bottom w:val="single" w:color="auto" w:sz="6" w:space="0"/>
              <w:right w:val="double" w:color="auto" w:sz="2" w:space="0"/>
            </w:tcBorders>
            <w:noWrap w:val="0"/>
            <w:tcMar>
              <w:left w:w="0" w:type="dxa"/>
              <w:right w:w="0" w:type="dxa"/>
            </w:tcMar>
            <w:vAlign w:val="center"/>
          </w:tcPr>
          <w:p w14:paraId="1BBD6EB0">
            <w:pPr>
              <w:keepNext w:val="0"/>
              <w:keepLines w:val="0"/>
              <w:pageBreakBefore w:val="0"/>
              <w:widowControl w:val="0"/>
              <w:kinsoku/>
              <w:wordWrap/>
              <w:overflowPunct/>
              <w:topLinePunct w:val="0"/>
              <w:bidi w:val="0"/>
              <w:adjustRightInd/>
              <w:spacing w:line="360" w:lineRule="auto"/>
              <w:jc w:val="left"/>
              <w:textAlignment w:val="auto"/>
              <w:rPr>
                <w:rFonts w:hint="eastAsia" w:ascii="宋体" w:cs="宋体"/>
                <w:color w:val="000000"/>
                <w:highlight w:val="none"/>
              </w:rPr>
            </w:pPr>
            <w:r>
              <w:rPr>
                <w:rFonts w:hint="eastAsia" w:ascii="宋体" w:cs="宋体"/>
                <w:color w:val="000000"/>
                <w:highlight w:val="none"/>
              </w:rPr>
              <w:t>收到修改文件24小时内</w:t>
            </w:r>
          </w:p>
        </w:tc>
      </w:tr>
      <w:tr w14:paraId="27A2974F">
        <w:tblPrEx>
          <w:tblCellMar>
            <w:top w:w="0" w:type="dxa"/>
            <w:left w:w="108" w:type="dxa"/>
            <w:bottom w:w="0" w:type="dxa"/>
            <w:right w:w="108" w:type="dxa"/>
          </w:tblCellMar>
        </w:tblPrEx>
        <w:trPr>
          <w:trHeight w:val="406" w:hRule="atLeast"/>
          <w:jc w:val="center"/>
        </w:trPr>
        <w:tc>
          <w:tcPr>
            <w:tcW w:w="438" w:type="pct"/>
            <w:tcBorders>
              <w:top w:val="single" w:color="auto" w:sz="6" w:space="0"/>
              <w:left w:val="double" w:color="auto" w:sz="2" w:space="0"/>
              <w:bottom w:val="single" w:color="auto" w:sz="6" w:space="0"/>
              <w:right w:val="single" w:color="auto" w:sz="6" w:space="0"/>
            </w:tcBorders>
            <w:noWrap w:val="0"/>
            <w:tcMar>
              <w:left w:w="0" w:type="dxa"/>
              <w:right w:w="0" w:type="dxa"/>
            </w:tcMar>
            <w:vAlign w:val="center"/>
          </w:tcPr>
          <w:p w14:paraId="3F0ECEDF">
            <w:pPr>
              <w:keepNext w:val="0"/>
              <w:keepLines w:val="0"/>
              <w:pageBreakBefore w:val="0"/>
              <w:widowControl w:val="0"/>
              <w:kinsoku/>
              <w:wordWrap/>
              <w:overflowPunct/>
              <w:topLinePunct w:val="0"/>
              <w:bidi w:val="0"/>
              <w:adjustRightInd/>
              <w:snapToGrid w:val="0"/>
              <w:spacing w:line="360" w:lineRule="auto"/>
              <w:jc w:val="center"/>
              <w:textAlignment w:val="auto"/>
              <w:rPr>
                <w:rFonts w:hint="eastAsia" w:ascii="宋体" w:cs="宋体"/>
                <w:color w:val="000000"/>
                <w:highlight w:val="none"/>
              </w:rPr>
            </w:pPr>
            <w:r>
              <w:rPr>
                <w:rFonts w:hint="eastAsia" w:ascii="宋体" w:cs="宋体"/>
                <w:color w:val="000000"/>
                <w:highlight w:val="none"/>
              </w:rPr>
              <w:t>24</w:t>
            </w:r>
          </w:p>
        </w:tc>
        <w:tc>
          <w:tcPr>
            <w:tcW w:w="1426" w:type="pct"/>
            <w:tcBorders>
              <w:top w:val="single" w:color="auto" w:sz="6" w:space="0"/>
              <w:left w:val="single" w:color="auto" w:sz="6" w:space="0"/>
              <w:bottom w:val="single" w:color="auto" w:sz="6" w:space="0"/>
              <w:right w:val="single" w:color="auto" w:sz="6" w:space="0"/>
            </w:tcBorders>
            <w:noWrap w:val="0"/>
            <w:tcMar>
              <w:left w:w="0" w:type="dxa"/>
              <w:right w:w="0" w:type="dxa"/>
            </w:tcMar>
            <w:vAlign w:val="center"/>
          </w:tcPr>
          <w:p w14:paraId="0483C680">
            <w:pPr>
              <w:keepNext w:val="0"/>
              <w:keepLines w:val="0"/>
              <w:pageBreakBefore w:val="0"/>
              <w:widowControl w:val="0"/>
              <w:kinsoku/>
              <w:wordWrap/>
              <w:overflowPunct/>
              <w:topLinePunct w:val="0"/>
              <w:bidi w:val="0"/>
              <w:adjustRightInd/>
              <w:spacing w:line="360" w:lineRule="auto"/>
              <w:jc w:val="center"/>
              <w:textAlignment w:val="auto"/>
              <w:rPr>
                <w:rFonts w:hint="eastAsia" w:ascii="宋体" w:cs="宋体"/>
                <w:color w:val="000000"/>
                <w:highlight w:val="none"/>
              </w:rPr>
            </w:pPr>
            <w:r>
              <w:rPr>
                <w:rFonts w:hint="eastAsia" w:ascii="宋体" w:cs="宋体"/>
                <w:color w:val="000000"/>
                <w:highlight w:val="none"/>
              </w:rPr>
              <w:t>构成投标文件</w:t>
            </w:r>
          </w:p>
          <w:p w14:paraId="5F3E00C7">
            <w:pPr>
              <w:keepNext w:val="0"/>
              <w:keepLines w:val="0"/>
              <w:pageBreakBefore w:val="0"/>
              <w:widowControl w:val="0"/>
              <w:kinsoku/>
              <w:wordWrap/>
              <w:overflowPunct/>
              <w:topLinePunct w:val="0"/>
              <w:bidi w:val="0"/>
              <w:adjustRightInd/>
              <w:spacing w:line="360" w:lineRule="auto"/>
              <w:jc w:val="center"/>
              <w:textAlignment w:val="auto"/>
              <w:rPr>
                <w:rFonts w:hint="eastAsia" w:ascii="宋体" w:cs="宋体"/>
                <w:color w:val="000000"/>
                <w:highlight w:val="none"/>
              </w:rPr>
            </w:pPr>
            <w:r>
              <w:rPr>
                <w:rFonts w:hint="eastAsia" w:ascii="宋体" w:cs="宋体"/>
                <w:color w:val="000000"/>
                <w:highlight w:val="none"/>
              </w:rPr>
              <w:t>的其他材料</w:t>
            </w:r>
          </w:p>
        </w:tc>
        <w:tc>
          <w:tcPr>
            <w:tcW w:w="3135" w:type="pct"/>
            <w:tcBorders>
              <w:top w:val="single" w:color="auto" w:sz="6" w:space="0"/>
              <w:left w:val="single" w:color="auto" w:sz="6" w:space="0"/>
              <w:bottom w:val="single" w:color="auto" w:sz="6" w:space="0"/>
              <w:right w:val="double" w:color="auto" w:sz="2" w:space="0"/>
            </w:tcBorders>
            <w:noWrap w:val="0"/>
            <w:tcMar>
              <w:left w:w="0" w:type="dxa"/>
              <w:right w:w="0" w:type="dxa"/>
            </w:tcMar>
            <w:vAlign w:val="center"/>
          </w:tcPr>
          <w:p w14:paraId="61E9B7F0">
            <w:pPr>
              <w:keepNext w:val="0"/>
              <w:keepLines w:val="0"/>
              <w:pageBreakBefore w:val="0"/>
              <w:widowControl w:val="0"/>
              <w:kinsoku/>
              <w:wordWrap/>
              <w:overflowPunct/>
              <w:topLinePunct w:val="0"/>
              <w:autoSpaceDE w:val="0"/>
              <w:autoSpaceDN w:val="0"/>
              <w:bidi w:val="0"/>
              <w:adjustRightInd/>
              <w:snapToGrid w:val="0"/>
              <w:spacing w:line="360" w:lineRule="auto"/>
              <w:contextualSpacing/>
              <w:textAlignment w:val="auto"/>
              <w:rPr>
                <w:rFonts w:hint="eastAsia" w:ascii="宋体" w:cs="宋体"/>
                <w:color w:val="000000"/>
                <w:highlight w:val="none"/>
              </w:rPr>
            </w:pPr>
            <w:r>
              <w:rPr>
                <w:rFonts w:hint="eastAsia" w:ascii="宋体" w:cs="宋体"/>
                <w:highlight w:val="none"/>
              </w:rPr>
              <w:t>/</w:t>
            </w:r>
          </w:p>
        </w:tc>
      </w:tr>
      <w:tr w14:paraId="0BDE38E4">
        <w:tblPrEx>
          <w:tblCellMar>
            <w:top w:w="0" w:type="dxa"/>
            <w:left w:w="108" w:type="dxa"/>
            <w:bottom w:w="0" w:type="dxa"/>
            <w:right w:w="108" w:type="dxa"/>
          </w:tblCellMar>
        </w:tblPrEx>
        <w:trPr>
          <w:trHeight w:val="48" w:hRule="atLeast"/>
          <w:jc w:val="center"/>
        </w:trPr>
        <w:tc>
          <w:tcPr>
            <w:tcW w:w="438" w:type="pct"/>
            <w:tcBorders>
              <w:top w:val="single" w:color="auto" w:sz="6" w:space="0"/>
              <w:left w:val="double" w:color="auto" w:sz="2" w:space="0"/>
              <w:bottom w:val="single" w:color="auto" w:sz="6" w:space="0"/>
              <w:right w:val="single" w:color="auto" w:sz="6" w:space="0"/>
            </w:tcBorders>
            <w:noWrap w:val="0"/>
            <w:tcMar>
              <w:left w:w="0" w:type="dxa"/>
              <w:right w:w="0" w:type="dxa"/>
            </w:tcMar>
            <w:vAlign w:val="center"/>
          </w:tcPr>
          <w:p w14:paraId="1E0085C4">
            <w:pPr>
              <w:keepNext w:val="0"/>
              <w:keepLines w:val="0"/>
              <w:pageBreakBefore w:val="0"/>
              <w:widowControl w:val="0"/>
              <w:kinsoku/>
              <w:wordWrap/>
              <w:overflowPunct/>
              <w:topLinePunct w:val="0"/>
              <w:bidi w:val="0"/>
              <w:adjustRightInd/>
              <w:snapToGrid w:val="0"/>
              <w:spacing w:line="360" w:lineRule="auto"/>
              <w:jc w:val="center"/>
              <w:textAlignment w:val="auto"/>
              <w:rPr>
                <w:rFonts w:hint="eastAsia" w:ascii="宋体" w:cs="宋体"/>
                <w:color w:val="000000"/>
                <w:highlight w:val="none"/>
              </w:rPr>
            </w:pPr>
            <w:r>
              <w:rPr>
                <w:rFonts w:hint="eastAsia" w:ascii="宋体" w:cs="宋体"/>
                <w:color w:val="000000"/>
                <w:highlight w:val="none"/>
              </w:rPr>
              <w:t>25</w:t>
            </w:r>
          </w:p>
        </w:tc>
        <w:tc>
          <w:tcPr>
            <w:tcW w:w="1426" w:type="pct"/>
            <w:tcBorders>
              <w:top w:val="single" w:color="auto" w:sz="6" w:space="0"/>
              <w:left w:val="single" w:color="auto" w:sz="6" w:space="0"/>
              <w:bottom w:val="single" w:color="auto" w:sz="6" w:space="0"/>
              <w:right w:val="single" w:color="auto" w:sz="6" w:space="0"/>
            </w:tcBorders>
            <w:noWrap w:val="0"/>
            <w:tcMar>
              <w:left w:w="0" w:type="dxa"/>
              <w:right w:w="0" w:type="dxa"/>
            </w:tcMar>
            <w:vAlign w:val="center"/>
          </w:tcPr>
          <w:p w14:paraId="7AF3DD42">
            <w:pPr>
              <w:keepNext w:val="0"/>
              <w:keepLines w:val="0"/>
              <w:pageBreakBefore w:val="0"/>
              <w:widowControl w:val="0"/>
              <w:kinsoku/>
              <w:wordWrap/>
              <w:overflowPunct/>
              <w:topLinePunct w:val="0"/>
              <w:bidi w:val="0"/>
              <w:adjustRightInd/>
              <w:spacing w:line="360" w:lineRule="auto"/>
              <w:jc w:val="center"/>
              <w:textAlignment w:val="auto"/>
              <w:rPr>
                <w:rFonts w:hint="eastAsia" w:ascii="宋体" w:cs="宋体"/>
                <w:color w:val="000000"/>
                <w:highlight w:val="none"/>
              </w:rPr>
            </w:pPr>
            <w:r>
              <w:rPr>
                <w:rFonts w:hint="eastAsia" w:ascii="宋体" w:cs="宋体"/>
                <w:color w:val="000000"/>
                <w:highlight w:val="none"/>
              </w:rPr>
              <w:t>投标有效期</w:t>
            </w:r>
          </w:p>
        </w:tc>
        <w:tc>
          <w:tcPr>
            <w:tcW w:w="3135" w:type="pct"/>
            <w:tcBorders>
              <w:top w:val="single" w:color="auto" w:sz="6" w:space="0"/>
              <w:left w:val="single" w:color="auto" w:sz="6" w:space="0"/>
              <w:bottom w:val="single" w:color="auto" w:sz="6" w:space="0"/>
              <w:right w:val="double" w:color="auto" w:sz="2" w:space="0"/>
            </w:tcBorders>
            <w:noWrap w:val="0"/>
            <w:tcMar>
              <w:left w:w="0" w:type="dxa"/>
              <w:right w:w="0" w:type="dxa"/>
            </w:tcMar>
            <w:vAlign w:val="center"/>
          </w:tcPr>
          <w:p w14:paraId="71DC8BE0">
            <w:pPr>
              <w:keepNext w:val="0"/>
              <w:keepLines w:val="0"/>
              <w:pageBreakBefore w:val="0"/>
              <w:widowControl w:val="0"/>
              <w:kinsoku/>
              <w:wordWrap/>
              <w:overflowPunct/>
              <w:topLinePunct w:val="0"/>
              <w:bidi w:val="0"/>
              <w:adjustRightInd/>
              <w:spacing w:line="360" w:lineRule="auto"/>
              <w:jc w:val="left"/>
              <w:textAlignment w:val="auto"/>
              <w:rPr>
                <w:rFonts w:hint="eastAsia" w:ascii="宋体" w:cs="宋体"/>
                <w:color w:val="000000"/>
                <w:highlight w:val="none"/>
              </w:rPr>
            </w:pPr>
            <w:r>
              <w:rPr>
                <w:rFonts w:hint="eastAsia" w:ascii="宋体" w:cs="宋体"/>
                <w:color w:val="000000"/>
                <w:highlight w:val="none"/>
              </w:rPr>
              <w:t>90日</w:t>
            </w:r>
          </w:p>
        </w:tc>
      </w:tr>
      <w:tr w14:paraId="414FE24F">
        <w:tblPrEx>
          <w:tblCellMar>
            <w:top w:w="0" w:type="dxa"/>
            <w:left w:w="108" w:type="dxa"/>
            <w:bottom w:w="0" w:type="dxa"/>
            <w:right w:w="108" w:type="dxa"/>
          </w:tblCellMar>
        </w:tblPrEx>
        <w:trPr>
          <w:trHeight w:val="197" w:hRule="atLeast"/>
          <w:jc w:val="center"/>
        </w:trPr>
        <w:tc>
          <w:tcPr>
            <w:tcW w:w="438" w:type="pct"/>
            <w:tcBorders>
              <w:top w:val="single" w:color="auto" w:sz="6" w:space="0"/>
              <w:left w:val="double" w:color="auto" w:sz="2" w:space="0"/>
              <w:bottom w:val="single" w:color="auto" w:sz="6" w:space="0"/>
              <w:right w:val="single" w:color="auto" w:sz="6" w:space="0"/>
            </w:tcBorders>
            <w:noWrap w:val="0"/>
            <w:tcMar>
              <w:left w:w="0" w:type="dxa"/>
              <w:right w:w="0" w:type="dxa"/>
            </w:tcMar>
            <w:vAlign w:val="center"/>
          </w:tcPr>
          <w:p w14:paraId="7AC02B5C">
            <w:pPr>
              <w:keepNext w:val="0"/>
              <w:keepLines w:val="0"/>
              <w:pageBreakBefore w:val="0"/>
              <w:widowControl w:val="0"/>
              <w:kinsoku/>
              <w:wordWrap/>
              <w:overflowPunct/>
              <w:topLinePunct w:val="0"/>
              <w:bidi w:val="0"/>
              <w:adjustRightInd/>
              <w:snapToGrid w:val="0"/>
              <w:spacing w:line="360" w:lineRule="auto"/>
              <w:jc w:val="center"/>
              <w:textAlignment w:val="auto"/>
              <w:rPr>
                <w:rFonts w:hint="eastAsia" w:ascii="宋体" w:cs="宋体"/>
                <w:color w:val="000000"/>
                <w:highlight w:val="none"/>
              </w:rPr>
            </w:pPr>
            <w:r>
              <w:rPr>
                <w:rFonts w:hint="eastAsia" w:ascii="宋体" w:cs="宋体"/>
                <w:color w:val="000000"/>
                <w:highlight w:val="none"/>
              </w:rPr>
              <w:t>26</w:t>
            </w:r>
          </w:p>
        </w:tc>
        <w:tc>
          <w:tcPr>
            <w:tcW w:w="1426" w:type="pct"/>
            <w:tcBorders>
              <w:top w:val="single" w:color="auto" w:sz="6" w:space="0"/>
              <w:left w:val="single" w:color="auto" w:sz="6" w:space="0"/>
              <w:bottom w:val="single" w:color="auto" w:sz="6" w:space="0"/>
              <w:right w:val="single" w:color="auto" w:sz="6" w:space="0"/>
            </w:tcBorders>
            <w:noWrap w:val="0"/>
            <w:tcMar>
              <w:left w:w="0" w:type="dxa"/>
              <w:right w:w="0" w:type="dxa"/>
            </w:tcMar>
            <w:vAlign w:val="center"/>
          </w:tcPr>
          <w:p w14:paraId="1A9F40F4">
            <w:pPr>
              <w:keepNext w:val="0"/>
              <w:keepLines w:val="0"/>
              <w:pageBreakBefore w:val="0"/>
              <w:widowControl w:val="0"/>
              <w:kinsoku/>
              <w:wordWrap/>
              <w:overflowPunct/>
              <w:topLinePunct w:val="0"/>
              <w:bidi w:val="0"/>
              <w:adjustRightInd/>
              <w:spacing w:line="360" w:lineRule="auto"/>
              <w:jc w:val="center"/>
              <w:textAlignment w:val="auto"/>
              <w:rPr>
                <w:rFonts w:hint="eastAsia" w:ascii="宋体" w:cs="宋体"/>
                <w:color w:val="000000"/>
                <w:highlight w:val="none"/>
              </w:rPr>
            </w:pPr>
            <w:r>
              <w:rPr>
                <w:rFonts w:hint="eastAsia" w:ascii="宋体" w:cs="宋体"/>
                <w:color w:val="000000"/>
                <w:highlight w:val="none"/>
              </w:rPr>
              <w:t>投标保证金</w:t>
            </w:r>
          </w:p>
        </w:tc>
        <w:tc>
          <w:tcPr>
            <w:tcW w:w="3135" w:type="pct"/>
            <w:tcBorders>
              <w:top w:val="single" w:color="auto" w:sz="6" w:space="0"/>
              <w:left w:val="single" w:color="auto" w:sz="6" w:space="0"/>
              <w:bottom w:val="single" w:color="auto" w:sz="6" w:space="0"/>
              <w:right w:val="double" w:color="auto" w:sz="2" w:space="0"/>
            </w:tcBorders>
            <w:noWrap w:val="0"/>
            <w:tcMar>
              <w:left w:w="0" w:type="dxa"/>
              <w:right w:w="0" w:type="dxa"/>
            </w:tcMar>
            <w:vAlign w:val="center"/>
          </w:tcPr>
          <w:p w14:paraId="358BED58">
            <w:pPr>
              <w:keepNext w:val="0"/>
              <w:keepLines w:val="0"/>
              <w:pageBreakBefore w:val="0"/>
              <w:widowControl w:val="0"/>
              <w:kinsoku/>
              <w:wordWrap/>
              <w:overflowPunct/>
              <w:topLinePunct w:val="0"/>
              <w:bidi w:val="0"/>
              <w:adjustRightInd/>
              <w:spacing w:line="360" w:lineRule="auto"/>
              <w:textAlignment w:val="auto"/>
              <w:rPr>
                <w:rFonts w:hint="eastAsia" w:ascii="宋体" w:eastAsia="宋体" w:cs="宋体"/>
                <w:color w:val="000000"/>
                <w:highlight w:val="none"/>
                <w:lang w:eastAsia="zh-CN"/>
              </w:rPr>
            </w:pPr>
            <w:r>
              <w:rPr>
                <w:rFonts w:hint="eastAsia" w:eastAsia="宋体"/>
                <w:bCs/>
                <w:color w:val="auto"/>
                <w:szCs w:val="21"/>
                <w:highlight w:val="none"/>
                <w:lang w:val="en-US" w:eastAsia="zh-CN"/>
              </w:rPr>
              <w:t>不收取</w:t>
            </w:r>
          </w:p>
        </w:tc>
      </w:tr>
      <w:tr w14:paraId="07BD2F02">
        <w:tblPrEx>
          <w:tblCellMar>
            <w:top w:w="0" w:type="dxa"/>
            <w:left w:w="108" w:type="dxa"/>
            <w:bottom w:w="0" w:type="dxa"/>
            <w:right w:w="108" w:type="dxa"/>
          </w:tblCellMar>
        </w:tblPrEx>
        <w:trPr>
          <w:trHeight w:val="197" w:hRule="atLeast"/>
          <w:jc w:val="center"/>
        </w:trPr>
        <w:tc>
          <w:tcPr>
            <w:tcW w:w="438" w:type="pct"/>
            <w:tcBorders>
              <w:top w:val="single" w:color="auto" w:sz="6" w:space="0"/>
              <w:left w:val="double" w:color="auto" w:sz="2" w:space="0"/>
              <w:bottom w:val="single" w:color="auto" w:sz="6" w:space="0"/>
              <w:right w:val="single" w:color="auto" w:sz="6" w:space="0"/>
            </w:tcBorders>
            <w:noWrap w:val="0"/>
            <w:tcMar>
              <w:left w:w="0" w:type="dxa"/>
              <w:right w:w="0" w:type="dxa"/>
            </w:tcMar>
            <w:vAlign w:val="center"/>
          </w:tcPr>
          <w:p w14:paraId="13B23687">
            <w:pPr>
              <w:keepNext w:val="0"/>
              <w:keepLines w:val="0"/>
              <w:pageBreakBefore w:val="0"/>
              <w:widowControl w:val="0"/>
              <w:kinsoku/>
              <w:wordWrap/>
              <w:overflowPunct/>
              <w:topLinePunct w:val="0"/>
              <w:bidi w:val="0"/>
              <w:adjustRightInd/>
              <w:snapToGrid w:val="0"/>
              <w:spacing w:line="360" w:lineRule="auto"/>
              <w:jc w:val="center"/>
              <w:textAlignment w:val="auto"/>
              <w:rPr>
                <w:rFonts w:hint="eastAsia" w:ascii="宋体" w:cs="宋体"/>
                <w:color w:val="000000"/>
                <w:highlight w:val="none"/>
              </w:rPr>
            </w:pPr>
            <w:r>
              <w:rPr>
                <w:rFonts w:hint="eastAsia" w:ascii="宋体" w:cs="宋体"/>
                <w:color w:val="000000"/>
                <w:highlight w:val="none"/>
              </w:rPr>
              <w:t>27</w:t>
            </w:r>
          </w:p>
        </w:tc>
        <w:tc>
          <w:tcPr>
            <w:tcW w:w="1426" w:type="pct"/>
            <w:tcBorders>
              <w:top w:val="single" w:color="auto" w:sz="6" w:space="0"/>
              <w:left w:val="single" w:color="auto" w:sz="6" w:space="0"/>
              <w:bottom w:val="single" w:color="auto" w:sz="6" w:space="0"/>
              <w:right w:val="single" w:color="auto" w:sz="6" w:space="0"/>
            </w:tcBorders>
            <w:noWrap w:val="0"/>
            <w:tcMar>
              <w:left w:w="0" w:type="dxa"/>
              <w:right w:w="0" w:type="dxa"/>
            </w:tcMar>
            <w:vAlign w:val="center"/>
          </w:tcPr>
          <w:p w14:paraId="283A9910">
            <w:pPr>
              <w:keepNext w:val="0"/>
              <w:keepLines w:val="0"/>
              <w:pageBreakBefore w:val="0"/>
              <w:widowControl w:val="0"/>
              <w:kinsoku/>
              <w:wordWrap/>
              <w:overflowPunct/>
              <w:topLinePunct w:val="0"/>
              <w:bidi w:val="0"/>
              <w:adjustRightInd/>
              <w:spacing w:line="360" w:lineRule="auto"/>
              <w:jc w:val="center"/>
              <w:textAlignment w:val="auto"/>
              <w:rPr>
                <w:rFonts w:hint="eastAsia" w:ascii="宋体" w:cs="宋体"/>
                <w:color w:val="auto"/>
                <w:highlight w:val="none"/>
                <w:lang w:val="zh-CN"/>
              </w:rPr>
            </w:pPr>
            <w:r>
              <w:rPr>
                <w:rFonts w:hint="eastAsia" w:ascii="宋体" w:cs="宋体"/>
                <w:color w:val="auto"/>
                <w:highlight w:val="none"/>
                <w:lang w:val="zh-CN"/>
              </w:rPr>
              <w:t>近年财务状况</w:t>
            </w:r>
          </w:p>
          <w:p w14:paraId="28798717">
            <w:pPr>
              <w:keepNext w:val="0"/>
              <w:keepLines w:val="0"/>
              <w:pageBreakBefore w:val="0"/>
              <w:widowControl w:val="0"/>
              <w:kinsoku/>
              <w:wordWrap/>
              <w:overflowPunct/>
              <w:topLinePunct w:val="0"/>
              <w:bidi w:val="0"/>
              <w:adjustRightInd/>
              <w:spacing w:line="360" w:lineRule="auto"/>
              <w:jc w:val="center"/>
              <w:textAlignment w:val="auto"/>
              <w:rPr>
                <w:rFonts w:hint="eastAsia" w:ascii="宋体" w:cs="宋体"/>
                <w:color w:val="auto"/>
                <w:highlight w:val="none"/>
                <w:lang w:val="zh-CN"/>
              </w:rPr>
            </w:pPr>
            <w:r>
              <w:rPr>
                <w:rFonts w:hint="eastAsia" w:ascii="宋体" w:cs="宋体"/>
                <w:color w:val="auto"/>
                <w:highlight w:val="none"/>
                <w:lang w:val="zh-CN"/>
              </w:rPr>
              <w:t>的年份要求</w:t>
            </w:r>
          </w:p>
        </w:tc>
        <w:tc>
          <w:tcPr>
            <w:tcW w:w="3135" w:type="pct"/>
            <w:tcBorders>
              <w:top w:val="single" w:color="auto" w:sz="6" w:space="0"/>
              <w:left w:val="single" w:color="auto" w:sz="6" w:space="0"/>
              <w:bottom w:val="single" w:color="auto" w:sz="6" w:space="0"/>
              <w:right w:val="double" w:color="auto" w:sz="2" w:space="0"/>
            </w:tcBorders>
            <w:noWrap w:val="0"/>
            <w:tcMar>
              <w:left w:w="0" w:type="dxa"/>
              <w:right w:w="0" w:type="dxa"/>
            </w:tcMar>
            <w:vAlign w:val="center"/>
          </w:tcPr>
          <w:p w14:paraId="7BA88094">
            <w:pPr>
              <w:keepNext w:val="0"/>
              <w:keepLines w:val="0"/>
              <w:pageBreakBefore w:val="0"/>
              <w:widowControl w:val="0"/>
              <w:kinsoku/>
              <w:wordWrap/>
              <w:overflowPunct/>
              <w:topLinePunct w:val="0"/>
              <w:bidi w:val="0"/>
              <w:adjustRightInd/>
              <w:spacing w:line="360" w:lineRule="auto"/>
              <w:textAlignment w:val="auto"/>
              <w:rPr>
                <w:rFonts w:hint="eastAsia" w:ascii="宋体" w:cs="宋体"/>
                <w:color w:val="auto"/>
                <w:highlight w:val="none"/>
                <w:lang w:val="zh-CN"/>
              </w:rPr>
            </w:pPr>
            <w:r>
              <w:rPr>
                <w:rFonts w:hint="eastAsia" w:ascii="宋体" w:cs="宋体"/>
                <w:color w:val="auto"/>
                <w:highlight w:val="none"/>
                <w:lang w:val="zh-CN"/>
              </w:rPr>
              <w:t>根据[长财采购[2022]2066号文件]关于加强政府采购信用体系建设简化投标人资格条件有关事项的通知提供资格条件承诺函。</w:t>
            </w:r>
          </w:p>
        </w:tc>
      </w:tr>
      <w:tr w14:paraId="4048139F">
        <w:tblPrEx>
          <w:tblCellMar>
            <w:top w:w="0" w:type="dxa"/>
            <w:left w:w="108" w:type="dxa"/>
            <w:bottom w:w="0" w:type="dxa"/>
            <w:right w:w="108" w:type="dxa"/>
          </w:tblCellMar>
        </w:tblPrEx>
        <w:trPr>
          <w:trHeight w:val="197" w:hRule="atLeast"/>
          <w:jc w:val="center"/>
        </w:trPr>
        <w:tc>
          <w:tcPr>
            <w:tcW w:w="438" w:type="pct"/>
            <w:tcBorders>
              <w:top w:val="single" w:color="auto" w:sz="6" w:space="0"/>
              <w:left w:val="double" w:color="auto" w:sz="2" w:space="0"/>
              <w:bottom w:val="single" w:color="auto" w:sz="6" w:space="0"/>
              <w:right w:val="single" w:color="auto" w:sz="6" w:space="0"/>
            </w:tcBorders>
            <w:noWrap w:val="0"/>
            <w:tcMar>
              <w:left w:w="0" w:type="dxa"/>
              <w:right w:w="0" w:type="dxa"/>
            </w:tcMar>
            <w:vAlign w:val="center"/>
          </w:tcPr>
          <w:p w14:paraId="22E8DC4E">
            <w:pPr>
              <w:keepNext w:val="0"/>
              <w:keepLines w:val="0"/>
              <w:pageBreakBefore w:val="0"/>
              <w:widowControl w:val="0"/>
              <w:kinsoku/>
              <w:wordWrap/>
              <w:overflowPunct/>
              <w:topLinePunct w:val="0"/>
              <w:bidi w:val="0"/>
              <w:adjustRightInd/>
              <w:snapToGrid w:val="0"/>
              <w:spacing w:line="360" w:lineRule="auto"/>
              <w:jc w:val="center"/>
              <w:textAlignment w:val="auto"/>
              <w:rPr>
                <w:rFonts w:hint="eastAsia" w:ascii="宋体" w:cs="宋体"/>
                <w:color w:val="000000"/>
                <w:highlight w:val="none"/>
              </w:rPr>
            </w:pPr>
            <w:r>
              <w:rPr>
                <w:rFonts w:hint="eastAsia" w:ascii="宋体" w:cs="宋体"/>
                <w:color w:val="000000"/>
                <w:highlight w:val="none"/>
              </w:rPr>
              <w:t>28</w:t>
            </w:r>
          </w:p>
        </w:tc>
        <w:tc>
          <w:tcPr>
            <w:tcW w:w="1426" w:type="pct"/>
            <w:tcBorders>
              <w:top w:val="single" w:color="auto" w:sz="6" w:space="0"/>
              <w:left w:val="single" w:color="auto" w:sz="6" w:space="0"/>
              <w:bottom w:val="single" w:color="auto" w:sz="6" w:space="0"/>
              <w:right w:val="single" w:color="auto" w:sz="6" w:space="0"/>
            </w:tcBorders>
            <w:noWrap w:val="0"/>
            <w:tcMar>
              <w:left w:w="0" w:type="dxa"/>
              <w:right w:w="0" w:type="dxa"/>
            </w:tcMar>
            <w:vAlign w:val="center"/>
          </w:tcPr>
          <w:p w14:paraId="6BE666AC">
            <w:pPr>
              <w:keepNext w:val="0"/>
              <w:keepLines w:val="0"/>
              <w:pageBreakBefore w:val="0"/>
              <w:widowControl w:val="0"/>
              <w:kinsoku/>
              <w:wordWrap/>
              <w:overflowPunct/>
              <w:topLinePunct w:val="0"/>
              <w:bidi w:val="0"/>
              <w:adjustRightInd/>
              <w:spacing w:line="360" w:lineRule="auto"/>
              <w:jc w:val="center"/>
              <w:textAlignment w:val="auto"/>
              <w:rPr>
                <w:rFonts w:hint="eastAsia" w:ascii="宋体" w:cs="宋体"/>
                <w:color w:val="000000"/>
                <w:highlight w:val="none"/>
                <w:lang w:val="zh-CN"/>
              </w:rPr>
            </w:pPr>
            <w:r>
              <w:rPr>
                <w:rFonts w:hint="eastAsia" w:ascii="宋体" w:cs="宋体"/>
                <w:color w:val="000000"/>
                <w:highlight w:val="none"/>
                <w:lang w:val="zh-CN"/>
              </w:rPr>
              <w:t>近年发生的诉讼及仲裁情况的年份要求</w:t>
            </w:r>
          </w:p>
        </w:tc>
        <w:tc>
          <w:tcPr>
            <w:tcW w:w="3135" w:type="pct"/>
            <w:tcBorders>
              <w:top w:val="single" w:color="auto" w:sz="6" w:space="0"/>
              <w:left w:val="single" w:color="auto" w:sz="6" w:space="0"/>
              <w:bottom w:val="single" w:color="auto" w:sz="6" w:space="0"/>
              <w:right w:val="double" w:color="auto" w:sz="2" w:space="0"/>
            </w:tcBorders>
            <w:noWrap w:val="0"/>
            <w:tcMar>
              <w:left w:w="0" w:type="dxa"/>
              <w:right w:w="0" w:type="dxa"/>
            </w:tcMar>
            <w:vAlign w:val="center"/>
          </w:tcPr>
          <w:p w14:paraId="089EBA1F">
            <w:pPr>
              <w:keepNext w:val="0"/>
              <w:keepLines w:val="0"/>
              <w:pageBreakBefore w:val="0"/>
              <w:widowControl w:val="0"/>
              <w:kinsoku/>
              <w:wordWrap/>
              <w:overflowPunct/>
              <w:topLinePunct w:val="0"/>
              <w:bidi w:val="0"/>
              <w:adjustRightInd/>
              <w:spacing w:line="360" w:lineRule="auto"/>
              <w:textAlignment w:val="auto"/>
              <w:rPr>
                <w:rFonts w:hint="eastAsia" w:ascii="宋体" w:cs="宋体"/>
                <w:color w:val="000000"/>
                <w:highlight w:val="none"/>
                <w:lang w:val="zh-CN"/>
              </w:rPr>
            </w:pPr>
            <w:r>
              <w:rPr>
                <w:rFonts w:hint="eastAsia" w:ascii="宋体" w:cs="宋体"/>
                <w:color w:val="000000"/>
                <w:highlight w:val="none"/>
                <w:lang w:val="zh-CN"/>
              </w:rPr>
              <w:t>近三年(20</w:t>
            </w:r>
            <w:r>
              <w:rPr>
                <w:rFonts w:hint="eastAsia" w:ascii="宋体" w:cs="宋体"/>
                <w:color w:val="000000"/>
                <w:highlight w:val="none"/>
              </w:rPr>
              <w:t>2</w:t>
            </w:r>
            <w:r>
              <w:rPr>
                <w:rFonts w:hint="eastAsia" w:ascii="宋体" w:cs="宋体"/>
                <w:color w:val="000000"/>
                <w:highlight w:val="none"/>
                <w:lang w:val="en-US" w:eastAsia="zh-CN"/>
              </w:rPr>
              <w:t>2</w:t>
            </w:r>
            <w:r>
              <w:rPr>
                <w:rFonts w:hint="eastAsia" w:ascii="宋体" w:cs="宋体"/>
                <w:color w:val="000000"/>
                <w:highlight w:val="none"/>
                <w:lang w:val="zh-CN"/>
              </w:rPr>
              <w:t>年-</w:t>
            </w:r>
            <w:r>
              <w:rPr>
                <w:rFonts w:hint="eastAsia" w:ascii="宋体" w:cs="宋体"/>
                <w:color w:val="000000"/>
                <w:highlight w:val="none"/>
                <w:lang w:val="en-US" w:eastAsia="zh-CN"/>
              </w:rPr>
              <w:t>至投标截止日</w:t>
            </w:r>
            <w:r>
              <w:rPr>
                <w:rFonts w:hint="eastAsia" w:ascii="宋体" w:cs="宋体"/>
                <w:color w:val="000000"/>
                <w:highlight w:val="none"/>
                <w:lang w:val="zh-CN"/>
              </w:rPr>
              <w:t>）</w:t>
            </w:r>
          </w:p>
        </w:tc>
      </w:tr>
      <w:tr w14:paraId="0CD39E8E">
        <w:tblPrEx>
          <w:tblCellMar>
            <w:top w:w="0" w:type="dxa"/>
            <w:left w:w="108" w:type="dxa"/>
            <w:bottom w:w="0" w:type="dxa"/>
            <w:right w:w="108" w:type="dxa"/>
          </w:tblCellMar>
        </w:tblPrEx>
        <w:trPr>
          <w:trHeight w:val="61" w:hRule="atLeast"/>
          <w:jc w:val="center"/>
        </w:trPr>
        <w:tc>
          <w:tcPr>
            <w:tcW w:w="438" w:type="pct"/>
            <w:tcBorders>
              <w:top w:val="single" w:color="auto" w:sz="6" w:space="0"/>
              <w:left w:val="double" w:color="auto" w:sz="2" w:space="0"/>
              <w:bottom w:val="single" w:color="auto" w:sz="6" w:space="0"/>
              <w:right w:val="single" w:color="auto" w:sz="6" w:space="0"/>
            </w:tcBorders>
            <w:noWrap w:val="0"/>
            <w:tcMar>
              <w:left w:w="0" w:type="dxa"/>
              <w:right w:w="0" w:type="dxa"/>
            </w:tcMar>
            <w:vAlign w:val="center"/>
          </w:tcPr>
          <w:p w14:paraId="218478B0">
            <w:pPr>
              <w:keepNext w:val="0"/>
              <w:keepLines w:val="0"/>
              <w:pageBreakBefore w:val="0"/>
              <w:widowControl w:val="0"/>
              <w:kinsoku/>
              <w:wordWrap/>
              <w:overflowPunct/>
              <w:topLinePunct w:val="0"/>
              <w:bidi w:val="0"/>
              <w:adjustRightInd/>
              <w:snapToGrid w:val="0"/>
              <w:spacing w:line="360" w:lineRule="auto"/>
              <w:jc w:val="center"/>
              <w:textAlignment w:val="auto"/>
              <w:rPr>
                <w:rFonts w:hint="eastAsia" w:ascii="宋体" w:cs="宋体"/>
                <w:color w:val="000000"/>
                <w:highlight w:val="none"/>
              </w:rPr>
            </w:pPr>
            <w:r>
              <w:rPr>
                <w:rFonts w:hint="eastAsia" w:ascii="宋体" w:cs="宋体"/>
                <w:color w:val="000000"/>
                <w:highlight w:val="none"/>
              </w:rPr>
              <w:t>29</w:t>
            </w:r>
          </w:p>
        </w:tc>
        <w:tc>
          <w:tcPr>
            <w:tcW w:w="1426" w:type="pct"/>
            <w:tcBorders>
              <w:top w:val="single" w:color="auto" w:sz="6" w:space="0"/>
              <w:left w:val="single" w:color="auto" w:sz="6" w:space="0"/>
              <w:bottom w:val="single" w:color="auto" w:sz="6" w:space="0"/>
              <w:right w:val="single" w:color="auto" w:sz="6" w:space="0"/>
            </w:tcBorders>
            <w:noWrap w:val="0"/>
            <w:tcMar>
              <w:left w:w="0" w:type="dxa"/>
              <w:right w:w="0" w:type="dxa"/>
            </w:tcMar>
            <w:vAlign w:val="center"/>
          </w:tcPr>
          <w:p w14:paraId="2AD2119F">
            <w:pPr>
              <w:keepNext w:val="0"/>
              <w:keepLines w:val="0"/>
              <w:pageBreakBefore w:val="0"/>
              <w:widowControl w:val="0"/>
              <w:kinsoku/>
              <w:wordWrap/>
              <w:overflowPunct/>
              <w:topLinePunct w:val="0"/>
              <w:bidi w:val="0"/>
              <w:adjustRightInd/>
              <w:spacing w:line="360" w:lineRule="auto"/>
              <w:jc w:val="center"/>
              <w:textAlignment w:val="auto"/>
              <w:rPr>
                <w:rFonts w:hint="eastAsia" w:ascii="宋体" w:cs="宋体"/>
                <w:color w:val="000000"/>
                <w:highlight w:val="none"/>
                <w:lang w:val="zh-CN"/>
              </w:rPr>
            </w:pPr>
            <w:r>
              <w:rPr>
                <w:rFonts w:hint="eastAsia" w:ascii="宋体" w:cs="宋体"/>
                <w:color w:val="000000"/>
                <w:highlight w:val="none"/>
                <w:lang w:val="zh-CN"/>
              </w:rPr>
              <w:t>是否允许递交备选</w:t>
            </w:r>
          </w:p>
          <w:p w14:paraId="20C335B0">
            <w:pPr>
              <w:keepNext w:val="0"/>
              <w:keepLines w:val="0"/>
              <w:pageBreakBefore w:val="0"/>
              <w:widowControl w:val="0"/>
              <w:kinsoku/>
              <w:wordWrap/>
              <w:overflowPunct/>
              <w:topLinePunct w:val="0"/>
              <w:bidi w:val="0"/>
              <w:adjustRightInd/>
              <w:spacing w:line="360" w:lineRule="auto"/>
              <w:jc w:val="center"/>
              <w:textAlignment w:val="auto"/>
              <w:rPr>
                <w:rFonts w:hint="eastAsia" w:ascii="宋体" w:cs="宋体"/>
                <w:color w:val="000000"/>
                <w:highlight w:val="none"/>
                <w:lang w:val="zh-CN"/>
              </w:rPr>
            </w:pPr>
            <w:r>
              <w:rPr>
                <w:rFonts w:hint="eastAsia" w:ascii="宋体" w:cs="宋体"/>
                <w:color w:val="000000"/>
                <w:highlight w:val="none"/>
                <w:lang w:val="zh-CN"/>
              </w:rPr>
              <w:t>投标方案</w:t>
            </w:r>
          </w:p>
        </w:tc>
        <w:tc>
          <w:tcPr>
            <w:tcW w:w="3135" w:type="pct"/>
            <w:tcBorders>
              <w:top w:val="single" w:color="auto" w:sz="6" w:space="0"/>
              <w:left w:val="single" w:color="auto" w:sz="6" w:space="0"/>
              <w:bottom w:val="single" w:color="auto" w:sz="6" w:space="0"/>
              <w:right w:val="double" w:color="auto" w:sz="2" w:space="0"/>
            </w:tcBorders>
            <w:noWrap w:val="0"/>
            <w:tcMar>
              <w:left w:w="0" w:type="dxa"/>
              <w:right w:w="0" w:type="dxa"/>
            </w:tcMar>
            <w:vAlign w:val="center"/>
          </w:tcPr>
          <w:p w14:paraId="6E08844C">
            <w:pPr>
              <w:keepNext w:val="0"/>
              <w:keepLines w:val="0"/>
              <w:pageBreakBefore w:val="0"/>
              <w:widowControl w:val="0"/>
              <w:kinsoku/>
              <w:wordWrap/>
              <w:overflowPunct/>
              <w:topLinePunct w:val="0"/>
              <w:bidi w:val="0"/>
              <w:adjustRightInd/>
              <w:spacing w:line="360" w:lineRule="auto"/>
              <w:textAlignment w:val="auto"/>
              <w:rPr>
                <w:rFonts w:hint="eastAsia" w:ascii="宋体" w:cs="宋体"/>
                <w:color w:val="000000"/>
                <w:highlight w:val="none"/>
                <w:lang w:val="zh-CN"/>
              </w:rPr>
            </w:pPr>
            <w:r>
              <w:rPr>
                <w:rFonts w:hint="eastAsia" w:ascii="宋体" w:cs="宋体"/>
                <w:color w:val="000000"/>
                <w:highlight w:val="none"/>
                <w:lang w:val="zh-CN"/>
              </w:rPr>
              <w:t>不允许</w:t>
            </w:r>
          </w:p>
        </w:tc>
      </w:tr>
      <w:tr w14:paraId="32DE0106">
        <w:tblPrEx>
          <w:tblCellMar>
            <w:top w:w="0" w:type="dxa"/>
            <w:left w:w="108" w:type="dxa"/>
            <w:bottom w:w="0" w:type="dxa"/>
            <w:right w:w="108" w:type="dxa"/>
          </w:tblCellMar>
        </w:tblPrEx>
        <w:trPr>
          <w:trHeight w:val="91" w:hRule="atLeast"/>
          <w:jc w:val="center"/>
        </w:trPr>
        <w:tc>
          <w:tcPr>
            <w:tcW w:w="438" w:type="pct"/>
            <w:tcBorders>
              <w:top w:val="single" w:color="auto" w:sz="6" w:space="0"/>
              <w:left w:val="double" w:color="auto" w:sz="2" w:space="0"/>
              <w:bottom w:val="single" w:color="auto" w:sz="6" w:space="0"/>
              <w:right w:val="single" w:color="auto" w:sz="6" w:space="0"/>
            </w:tcBorders>
            <w:noWrap w:val="0"/>
            <w:tcMar>
              <w:left w:w="0" w:type="dxa"/>
              <w:right w:w="0" w:type="dxa"/>
            </w:tcMar>
            <w:vAlign w:val="center"/>
          </w:tcPr>
          <w:p w14:paraId="574899E1">
            <w:pPr>
              <w:keepNext w:val="0"/>
              <w:keepLines w:val="0"/>
              <w:pageBreakBefore w:val="0"/>
              <w:widowControl w:val="0"/>
              <w:kinsoku/>
              <w:wordWrap/>
              <w:overflowPunct/>
              <w:topLinePunct w:val="0"/>
              <w:bidi w:val="0"/>
              <w:adjustRightInd/>
              <w:snapToGrid w:val="0"/>
              <w:spacing w:line="360" w:lineRule="auto"/>
              <w:jc w:val="center"/>
              <w:textAlignment w:val="auto"/>
              <w:rPr>
                <w:rFonts w:hint="eastAsia" w:ascii="宋体" w:cs="宋体"/>
                <w:color w:val="000000"/>
                <w:highlight w:val="none"/>
              </w:rPr>
            </w:pPr>
            <w:r>
              <w:rPr>
                <w:rFonts w:hint="eastAsia" w:ascii="宋体" w:cs="宋体"/>
                <w:color w:val="000000"/>
                <w:highlight w:val="none"/>
              </w:rPr>
              <w:t>30</w:t>
            </w:r>
          </w:p>
        </w:tc>
        <w:tc>
          <w:tcPr>
            <w:tcW w:w="1426" w:type="pct"/>
            <w:tcBorders>
              <w:top w:val="single" w:color="auto" w:sz="6" w:space="0"/>
              <w:left w:val="single" w:color="auto" w:sz="6" w:space="0"/>
              <w:bottom w:val="single" w:color="auto" w:sz="6" w:space="0"/>
              <w:right w:val="single" w:color="auto" w:sz="6" w:space="0"/>
            </w:tcBorders>
            <w:noWrap w:val="0"/>
            <w:tcMar>
              <w:left w:w="0" w:type="dxa"/>
              <w:right w:w="0" w:type="dxa"/>
            </w:tcMar>
            <w:vAlign w:val="center"/>
          </w:tcPr>
          <w:p w14:paraId="4095CDC0">
            <w:pPr>
              <w:keepNext w:val="0"/>
              <w:keepLines w:val="0"/>
              <w:pageBreakBefore w:val="0"/>
              <w:widowControl w:val="0"/>
              <w:kinsoku/>
              <w:wordWrap/>
              <w:overflowPunct/>
              <w:topLinePunct w:val="0"/>
              <w:bidi w:val="0"/>
              <w:adjustRightInd/>
              <w:spacing w:line="360" w:lineRule="auto"/>
              <w:jc w:val="center"/>
              <w:textAlignment w:val="auto"/>
              <w:rPr>
                <w:rFonts w:hint="eastAsia" w:ascii="宋体" w:cs="宋体"/>
                <w:color w:val="000000"/>
                <w:highlight w:val="none"/>
                <w:lang w:val="zh-CN"/>
              </w:rPr>
            </w:pPr>
            <w:r>
              <w:rPr>
                <w:rFonts w:hint="eastAsia" w:ascii="宋体" w:cs="宋体"/>
                <w:color w:val="000000"/>
                <w:highlight w:val="none"/>
                <w:lang w:val="zh-CN"/>
              </w:rPr>
              <w:t>签字或盖章要求</w:t>
            </w:r>
          </w:p>
        </w:tc>
        <w:tc>
          <w:tcPr>
            <w:tcW w:w="3135" w:type="pct"/>
            <w:tcBorders>
              <w:top w:val="single" w:color="auto" w:sz="6" w:space="0"/>
              <w:left w:val="single" w:color="auto" w:sz="6" w:space="0"/>
              <w:bottom w:val="single" w:color="auto" w:sz="6" w:space="0"/>
              <w:right w:val="double" w:color="auto" w:sz="2" w:space="0"/>
            </w:tcBorders>
            <w:noWrap w:val="0"/>
            <w:tcMar>
              <w:left w:w="0" w:type="dxa"/>
              <w:right w:w="0" w:type="dxa"/>
            </w:tcMar>
            <w:vAlign w:val="center"/>
          </w:tcPr>
          <w:p w14:paraId="640236ED">
            <w:pPr>
              <w:keepNext w:val="0"/>
              <w:keepLines w:val="0"/>
              <w:pageBreakBefore w:val="0"/>
              <w:widowControl w:val="0"/>
              <w:kinsoku/>
              <w:wordWrap/>
              <w:overflowPunct/>
              <w:topLinePunct w:val="0"/>
              <w:bidi w:val="0"/>
              <w:adjustRightInd/>
              <w:spacing w:line="360" w:lineRule="auto"/>
              <w:textAlignment w:val="auto"/>
              <w:rPr>
                <w:rFonts w:hint="eastAsia" w:ascii="宋体" w:cs="宋体"/>
                <w:color w:val="000000"/>
                <w:highlight w:val="none"/>
                <w:lang w:val="zh-CN"/>
              </w:rPr>
            </w:pPr>
            <w:r>
              <w:rPr>
                <w:rFonts w:hint="eastAsia" w:ascii="宋体" w:cs="宋体"/>
                <w:color w:val="000000"/>
                <w:highlight w:val="none"/>
                <w:lang w:val="zh-CN"/>
              </w:rPr>
              <w:t>签字或盖章应清晰，易于识别，按招标文件所提供的投标文件格式标准，要求签字盖章处必须签字盖章，严禁代签和仿造行为。</w:t>
            </w:r>
          </w:p>
        </w:tc>
      </w:tr>
      <w:tr w14:paraId="743998E2">
        <w:tblPrEx>
          <w:tblCellMar>
            <w:top w:w="0" w:type="dxa"/>
            <w:left w:w="108" w:type="dxa"/>
            <w:bottom w:w="0" w:type="dxa"/>
            <w:right w:w="108" w:type="dxa"/>
          </w:tblCellMar>
        </w:tblPrEx>
        <w:trPr>
          <w:trHeight w:val="393" w:hRule="atLeast"/>
          <w:jc w:val="center"/>
        </w:trPr>
        <w:tc>
          <w:tcPr>
            <w:tcW w:w="438" w:type="pct"/>
            <w:tcBorders>
              <w:top w:val="single" w:color="auto" w:sz="6" w:space="0"/>
              <w:left w:val="double" w:color="auto" w:sz="2" w:space="0"/>
              <w:bottom w:val="single" w:color="auto" w:sz="6" w:space="0"/>
              <w:right w:val="single" w:color="auto" w:sz="6" w:space="0"/>
            </w:tcBorders>
            <w:noWrap w:val="0"/>
            <w:tcMar>
              <w:left w:w="0" w:type="dxa"/>
              <w:right w:w="0" w:type="dxa"/>
            </w:tcMar>
            <w:vAlign w:val="center"/>
          </w:tcPr>
          <w:p w14:paraId="756FCDE8">
            <w:pPr>
              <w:keepNext w:val="0"/>
              <w:keepLines w:val="0"/>
              <w:pageBreakBefore w:val="0"/>
              <w:widowControl w:val="0"/>
              <w:kinsoku/>
              <w:wordWrap/>
              <w:overflowPunct/>
              <w:topLinePunct w:val="0"/>
              <w:bidi w:val="0"/>
              <w:adjustRightInd/>
              <w:snapToGrid w:val="0"/>
              <w:spacing w:line="360" w:lineRule="auto"/>
              <w:jc w:val="center"/>
              <w:textAlignment w:val="auto"/>
              <w:rPr>
                <w:rFonts w:hint="eastAsia" w:ascii="宋体" w:cs="宋体"/>
                <w:color w:val="000000"/>
                <w:highlight w:val="none"/>
              </w:rPr>
            </w:pPr>
            <w:r>
              <w:rPr>
                <w:rFonts w:hint="eastAsia" w:ascii="宋体" w:cs="宋体"/>
                <w:color w:val="000000"/>
                <w:highlight w:val="none"/>
              </w:rPr>
              <w:t>31</w:t>
            </w:r>
          </w:p>
        </w:tc>
        <w:tc>
          <w:tcPr>
            <w:tcW w:w="1426" w:type="pct"/>
            <w:tcBorders>
              <w:top w:val="single" w:color="auto" w:sz="6" w:space="0"/>
              <w:left w:val="single" w:color="auto" w:sz="6" w:space="0"/>
              <w:bottom w:val="single" w:color="auto" w:sz="6" w:space="0"/>
              <w:right w:val="single" w:color="auto" w:sz="6" w:space="0"/>
            </w:tcBorders>
            <w:noWrap w:val="0"/>
            <w:tcMar>
              <w:left w:w="0" w:type="dxa"/>
              <w:right w:w="0" w:type="dxa"/>
            </w:tcMar>
            <w:vAlign w:val="center"/>
          </w:tcPr>
          <w:p w14:paraId="014098FA">
            <w:pPr>
              <w:keepNext w:val="0"/>
              <w:keepLines w:val="0"/>
              <w:pageBreakBefore w:val="0"/>
              <w:widowControl w:val="0"/>
              <w:kinsoku/>
              <w:wordWrap/>
              <w:overflowPunct/>
              <w:topLinePunct w:val="0"/>
              <w:bidi w:val="0"/>
              <w:adjustRightInd/>
              <w:spacing w:line="360" w:lineRule="auto"/>
              <w:jc w:val="center"/>
              <w:textAlignment w:val="auto"/>
              <w:rPr>
                <w:rFonts w:hint="eastAsia" w:ascii="宋体" w:cs="宋体"/>
                <w:color w:val="000000"/>
                <w:highlight w:val="none"/>
                <w:lang w:val="zh-CN"/>
              </w:rPr>
            </w:pPr>
            <w:r>
              <w:rPr>
                <w:rFonts w:hint="eastAsia" w:ascii="宋体" w:cs="宋体"/>
                <w:color w:val="000000"/>
                <w:highlight w:val="none"/>
                <w:lang w:val="zh-CN"/>
              </w:rPr>
              <w:t>投标文件份数</w:t>
            </w:r>
          </w:p>
        </w:tc>
        <w:tc>
          <w:tcPr>
            <w:tcW w:w="3135" w:type="pct"/>
            <w:tcBorders>
              <w:top w:val="single" w:color="auto" w:sz="6" w:space="0"/>
              <w:left w:val="single" w:color="auto" w:sz="6" w:space="0"/>
              <w:bottom w:val="single" w:color="auto" w:sz="6" w:space="0"/>
              <w:right w:val="double" w:color="auto" w:sz="2" w:space="0"/>
            </w:tcBorders>
            <w:noWrap w:val="0"/>
            <w:tcMar>
              <w:left w:w="0" w:type="dxa"/>
              <w:right w:w="0" w:type="dxa"/>
            </w:tcMar>
            <w:vAlign w:val="center"/>
          </w:tcPr>
          <w:p w14:paraId="59010CD1">
            <w:pPr>
              <w:keepNext w:val="0"/>
              <w:keepLines w:val="0"/>
              <w:pageBreakBefore w:val="0"/>
              <w:widowControl w:val="0"/>
              <w:kinsoku/>
              <w:wordWrap/>
              <w:overflowPunct/>
              <w:topLinePunct w:val="0"/>
              <w:bidi w:val="0"/>
              <w:adjustRightInd/>
              <w:spacing w:line="360" w:lineRule="auto"/>
              <w:textAlignment w:val="auto"/>
              <w:rPr>
                <w:rFonts w:hint="eastAsia" w:ascii="宋体" w:hAnsi="宋体" w:eastAsia="宋体" w:cs="宋体"/>
                <w:highlight w:val="none"/>
                <w:lang w:val="zh-CN"/>
              </w:rPr>
            </w:pPr>
            <w:r>
              <w:rPr>
                <w:rFonts w:hint="eastAsia" w:ascii="宋体" w:hAnsi="宋体" w:eastAsia="宋体" w:cs="宋体"/>
                <w:highlight w:val="none"/>
                <w:lang w:val="zh-CN"/>
              </w:rPr>
              <w:t>1份正本，</w:t>
            </w:r>
            <w:r>
              <w:rPr>
                <w:rFonts w:hint="eastAsia" w:ascii="宋体" w:hAnsi="宋体" w:eastAsia="宋体" w:cs="宋体"/>
                <w:highlight w:val="none"/>
                <w:lang w:val="en-US" w:eastAsia="zh-CN"/>
              </w:rPr>
              <w:t>4</w:t>
            </w:r>
            <w:r>
              <w:rPr>
                <w:rFonts w:hint="eastAsia" w:ascii="宋体" w:hAnsi="宋体" w:eastAsia="宋体" w:cs="宋体"/>
                <w:highlight w:val="none"/>
                <w:lang w:val="zh-CN"/>
              </w:rPr>
              <w:t>份副本</w:t>
            </w:r>
            <w:r>
              <w:rPr>
                <w:rFonts w:hint="eastAsia" w:ascii="宋体" w:hAnsi="宋体" w:eastAsia="宋体" w:cs="宋体"/>
                <w:highlight w:val="none"/>
                <w:lang w:val="zh-CN" w:eastAsia="zh-CN"/>
              </w:rPr>
              <w:t>，</w:t>
            </w:r>
            <w:r>
              <w:rPr>
                <w:rFonts w:hint="eastAsia" w:ascii="宋体" w:hAnsi="宋体" w:eastAsia="宋体" w:cs="宋体"/>
                <w:highlight w:val="none"/>
                <w:lang w:val="zh-CN"/>
              </w:rPr>
              <w:t>电子版</w:t>
            </w:r>
            <w:r>
              <w:rPr>
                <w:rFonts w:hint="eastAsia" w:ascii="宋体" w:hAnsi="宋体" w:eastAsia="宋体" w:cs="宋体"/>
                <w:highlight w:val="none"/>
                <w:lang w:val="zh-CN" w:eastAsia="zh-CN"/>
              </w:rPr>
              <w:t>1</w:t>
            </w:r>
            <w:r>
              <w:rPr>
                <w:rFonts w:hint="eastAsia" w:ascii="宋体" w:hAnsi="宋体" w:eastAsia="宋体" w:cs="宋体"/>
                <w:highlight w:val="none"/>
                <w:lang w:val="zh-CN"/>
              </w:rPr>
              <w:t>份</w:t>
            </w:r>
            <w:r>
              <w:rPr>
                <w:rFonts w:hint="eastAsia" w:ascii="宋体" w:hAnsi="宋体" w:eastAsia="宋体" w:cs="宋体"/>
                <w:highlight w:val="none"/>
                <w:lang w:val="zh-CN" w:eastAsia="zh-CN"/>
              </w:rPr>
              <w:t>。</w:t>
            </w:r>
            <w:r>
              <w:rPr>
                <w:rFonts w:hint="eastAsia" w:ascii="宋体" w:hAnsi="宋体" w:eastAsia="宋体" w:cs="宋体"/>
                <w:highlight w:val="none"/>
                <w:lang w:val="zh-CN"/>
              </w:rPr>
              <w:t>电子版形式：U盘</w:t>
            </w:r>
            <w:r>
              <w:rPr>
                <w:rFonts w:hint="eastAsia" w:ascii="宋体" w:hAnsi="宋体" w:eastAsia="宋体" w:cs="宋体"/>
                <w:highlight w:val="none"/>
                <w:lang w:val="zh-CN" w:eastAsia="zh-CN"/>
              </w:rPr>
              <w:t>，Word版一份，PDF版一份，均为可读U盘。</w:t>
            </w:r>
            <w:r>
              <w:rPr>
                <w:rFonts w:hint="eastAsia" w:ascii="宋体" w:hAnsi="宋体" w:eastAsia="宋体" w:cs="宋体"/>
                <w:highlight w:val="none"/>
                <w:lang w:val="zh-CN"/>
              </w:rPr>
              <w:t>所</w:t>
            </w:r>
            <w:r>
              <w:rPr>
                <w:rFonts w:hint="eastAsia" w:ascii="宋体" w:hAnsi="宋体" w:eastAsia="宋体" w:cs="宋体"/>
                <w:highlight w:val="none"/>
                <w:lang w:val="zh-CN" w:eastAsia="zh-CN"/>
              </w:rPr>
              <w:t>提供响应文件中全部</w:t>
            </w:r>
            <w:r>
              <w:rPr>
                <w:rFonts w:hint="eastAsia" w:ascii="宋体" w:hAnsi="宋体" w:eastAsia="宋体" w:cs="宋体"/>
                <w:highlight w:val="none"/>
                <w:lang w:val="zh-CN"/>
              </w:rPr>
              <w:t>内容</w:t>
            </w:r>
            <w:r>
              <w:rPr>
                <w:rFonts w:hint="eastAsia" w:ascii="宋体" w:hAnsi="宋体" w:eastAsia="宋体" w:cs="宋体"/>
                <w:highlight w:val="none"/>
                <w:lang w:val="zh-CN" w:eastAsia="zh-CN"/>
              </w:rPr>
              <w:t>与政府采购云平台（https://www.zcygov.cn/）递交电子响应文件</w:t>
            </w:r>
            <w:r>
              <w:rPr>
                <w:rFonts w:hint="eastAsia" w:ascii="宋体" w:hAnsi="宋体" w:eastAsia="宋体" w:cs="宋体"/>
                <w:highlight w:val="none"/>
                <w:lang w:val="zh-CN"/>
              </w:rPr>
              <w:t>一致。</w:t>
            </w:r>
          </w:p>
          <w:p w14:paraId="45ED6D89">
            <w:pPr>
              <w:keepNext w:val="0"/>
              <w:keepLines w:val="0"/>
              <w:pageBreakBefore w:val="0"/>
              <w:widowControl w:val="0"/>
              <w:kinsoku/>
              <w:wordWrap/>
              <w:overflowPunct/>
              <w:topLinePunct w:val="0"/>
              <w:bidi w:val="0"/>
              <w:adjustRightInd/>
              <w:spacing w:line="360" w:lineRule="auto"/>
              <w:textAlignment w:val="auto"/>
              <w:rPr>
                <w:rFonts w:hint="eastAsia"/>
                <w:highlight w:val="none"/>
                <w:lang w:val="zh-CN"/>
              </w:rPr>
            </w:pPr>
            <w:r>
              <w:rPr>
                <w:rFonts w:hint="eastAsia"/>
                <w:highlight w:val="none"/>
                <w:lang w:val="zh-CN" w:eastAsia="zh-CN"/>
              </w:rPr>
              <w:t>注：</w:t>
            </w:r>
            <w:r>
              <w:rPr>
                <w:rFonts w:hint="eastAsia"/>
                <w:highlight w:val="none"/>
                <w:lang w:val="zh-CN"/>
              </w:rPr>
              <w:t>开标后由代理机构人员通知中标人提供即可</w:t>
            </w:r>
            <w:r>
              <w:rPr>
                <w:rFonts w:hint="eastAsia"/>
                <w:highlight w:val="none"/>
                <w:lang w:val="zh-CN" w:eastAsia="zh-CN"/>
              </w:rPr>
              <w:t>。</w:t>
            </w:r>
          </w:p>
        </w:tc>
      </w:tr>
      <w:tr w14:paraId="5B8B08AB">
        <w:tblPrEx>
          <w:tblCellMar>
            <w:top w:w="0" w:type="dxa"/>
            <w:left w:w="108" w:type="dxa"/>
            <w:bottom w:w="0" w:type="dxa"/>
            <w:right w:w="108" w:type="dxa"/>
          </w:tblCellMar>
        </w:tblPrEx>
        <w:trPr>
          <w:trHeight w:val="877" w:hRule="atLeast"/>
          <w:jc w:val="center"/>
        </w:trPr>
        <w:tc>
          <w:tcPr>
            <w:tcW w:w="438" w:type="pct"/>
            <w:tcBorders>
              <w:top w:val="single" w:color="auto" w:sz="6" w:space="0"/>
              <w:left w:val="double" w:color="auto" w:sz="2" w:space="0"/>
              <w:bottom w:val="single" w:color="auto" w:sz="6" w:space="0"/>
              <w:right w:val="single" w:color="auto" w:sz="6" w:space="0"/>
            </w:tcBorders>
            <w:noWrap w:val="0"/>
            <w:tcMar>
              <w:left w:w="0" w:type="dxa"/>
              <w:right w:w="0" w:type="dxa"/>
            </w:tcMar>
            <w:vAlign w:val="center"/>
          </w:tcPr>
          <w:p w14:paraId="30B85C50">
            <w:pPr>
              <w:keepNext w:val="0"/>
              <w:keepLines w:val="0"/>
              <w:pageBreakBefore w:val="0"/>
              <w:widowControl w:val="0"/>
              <w:kinsoku/>
              <w:wordWrap/>
              <w:overflowPunct/>
              <w:topLinePunct w:val="0"/>
              <w:bidi w:val="0"/>
              <w:adjustRightInd/>
              <w:snapToGrid w:val="0"/>
              <w:spacing w:line="360" w:lineRule="auto"/>
              <w:jc w:val="center"/>
              <w:textAlignment w:val="auto"/>
              <w:rPr>
                <w:rFonts w:hint="eastAsia" w:ascii="宋体" w:cs="宋体"/>
                <w:color w:val="000000"/>
                <w:highlight w:val="none"/>
              </w:rPr>
            </w:pPr>
            <w:r>
              <w:rPr>
                <w:rFonts w:hint="eastAsia" w:ascii="宋体" w:cs="宋体"/>
                <w:color w:val="000000"/>
                <w:highlight w:val="none"/>
              </w:rPr>
              <w:t>32</w:t>
            </w:r>
          </w:p>
        </w:tc>
        <w:tc>
          <w:tcPr>
            <w:tcW w:w="1426" w:type="pct"/>
            <w:tcBorders>
              <w:top w:val="single" w:color="auto" w:sz="6" w:space="0"/>
              <w:left w:val="single" w:color="auto" w:sz="6" w:space="0"/>
              <w:bottom w:val="single" w:color="auto" w:sz="6" w:space="0"/>
              <w:right w:val="single" w:color="auto" w:sz="6" w:space="0"/>
            </w:tcBorders>
            <w:noWrap w:val="0"/>
            <w:tcMar>
              <w:left w:w="0" w:type="dxa"/>
              <w:right w:w="0" w:type="dxa"/>
            </w:tcMar>
            <w:vAlign w:val="center"/>
          </w:tcPr>
          <w:p w14:paraId="5E358E31">
            <w:pPr>
              <w:keepNext w:val="0"/>
              <w:keepLines w:val="0"/>
              <w:pageBreakBefore w:val="0"/>
              <w:widowControl w:val="0"/>
              <w:kinsoku/>
              <w:wordWrap/>
              <w:overflowPunct/>
              <w:topLinePunct w:val="0"/>
              <w:bidi w:val="0"/>
              <w:adjustRightInd/>
              <w:spacing w:line="360" w:lineRule="auto"/>
              <w:jc w:val="center"/>
              <w:textAlignment w:val="auto"/>
              <w:rPr>
                <w:rFonts w:hint="eastAsia" w:ascii="宋体" w:cs="宋体"/>
                <w:color w:val="000000"/>
                <w:highlight w:val="none"/>
                <w:lang w:val="zh-CN"/>
              </w:rPr>
            </w:pPr>
            <w:r>
              <w:rPr>
                <w:rFonts w:hint="eastAsia" w:ascii="宋体" w:cs="宋体"/>
                <w:color w:val="000000"/>
                <w:highlight w:val="none"/>
                <w:lang w:val="zh-CN"/>
              </w:rPr>
              <w:t>装订要求</w:t>
            </w:r>
          </w:p>
        </w:tc>
        <w:tc>
          <w:tcPr>
            <w:tcW w:w="3135" w:type="pct"/>
            <w:tcBorders>
              <w:top w:val="single" w:color="auto" w:sz="6" w:space="0"/>
              <w:left w:val="single" w:color="auto" w:sz="6" w:space="0"/>
              <w:bottom w:val="single" w:color="auto" w:sz="6" w:space="0"/>
              <w:right w:val="double" w:color="auto" w:sz="2" w:space="0"/>
            </w:tcBorders>
            <w:noWrap w:val="0"/>
            <w:tcMar>
              <w:left w:w="0" w:type="dxa"/>
              <w:right w:w="0" w:type="dxa"/>
            </w:tcMar>
            <w:vAlign w:val="center"/>
          </w:tcPr>
          <w:p w14:paraId="19A9854B">
            <w:pPr>
              <w:keepNext w:val="0"/>
              <w:keepLines w:val="0"/>
              <w:pageBreakBefore w:val="0"/>
              <w:widowControl w:val="0"/>
              <w:kinsoku/>
              <w:wordWrap/>
              <w:overflowPunct/>
              <w:topLinePunct w:val="0"/>
              <w:bidi w:val="0"/>
              <w:adjustRightInd/>
              <w:spacing w:line="360" w:lineRule="auto"/>
              <w:textAlignment w:val="auto"/>
              <w:rPr>
                <w:rFonts w:hint="eastAsia" w:ascii="宋体" w:cs="宋体"/>
                <w:color w:val="000000"/>
                <w:highlight w:val="none"/>
                <w:lang w:val="zh-CN"/>
              </w:rPr>
            </w:pPr>
            <w:r>
              <w:rPr>
                <w:rFonts w:hint="eastAsia" w:ascii="宋体" w:cs="宋体"/>
                <w:color w:val="000000"/>
                <w:highlight w:val="none"/>
                <w:lang w:val="zh-CN"/>
              </w:rPr>
              <w:t>投标文件的装订要整齐、牢固、不易拆散和换页，便于保管和利用；</w:t>
            </w:r>
          </w:p>
          <w:p w14:paraId="04B76081">
            <w:pPr>
              <w:keepNext w:val="0"/>
              <w:keepLines w:val="0"/>
              <w:pageBreakBefore w:val="0"/>
              <w:widowControl w:val="0"/>
              <w:kinsoku/>
              <w:wordWrap/>
              <w:overflowPunct/>
              <w:topLinePunct w:val="0"/>
              <w:bidi w:val="0"/>
              <w:adjustRightInd/>
              <w:spacing w:line="360" w:lineRule="auto"/>
              <w:textAlignment w:val="auto"/>
              <w:rPr>
                <w:rFonts w:hint="eastAsia" w:ascii="宋体" w:cs="宋体"/>
                <w:color w:val="000000"/>
                <w:highlight w:val="none"/>
                <w:lang w:val="zh-CN"/>
              </w:rPr>
            </w:pPr>
            <w:r>
              <w:rPr>
                <w:rFonts w:hint="eastAsia" w:ascii="宋体" w:cs="宋体"/>
                <w:color w:val="000000"/>
                <w:highlight w:val="none"/>
                <w:lang w:val="zh-CN"/>
              </w:rPr>
              <w:t>投标文件采用左侧胶装装订方式，投标人可以自行决定投标文件是否分册装订，但需要符合装订要求。</w:t>
            </w:r>
          </w:p>
        </w:tc>
      </w:tr>
      <w:tr w14:paraId="4DEF2F42">
        <w:tblPrEx>
          <w:tblCellMar>
            <w:top w:w="0" w:type="dxa"/>
            <w:left w:w="108" w:type="dxa"/>
            <w:bottom w:w="0" w:type="dxa"/>
            <w:right w:w="108" w:type="dxa"/>
          </w:tblCellMar>
        </w:tblPrEx>
        <w:trPr>
          <w:trHeight w:val="460" w:hRule="atLeast"/>
          <w:jc w:val="center"/>
        </w:trPr>
        <w:tc>
          <w:tcPr>
            <w:tcW w:w="438" w:type="pct"/>
            <w:tcBorders>
              <w:top w:val="single" w:color="auto" w:sz="6" w:space="0"/>
              <w:left w:val="double" w:color="auto" w:sz="2" w:space="0"/>
              <w:bottom w:val="single" w:color="auto" w:sz="6" w:space="0"/>
              <w:right w:val="single" w:color="auto" w:sz="6" w:space="0"/>
            </w:tcBorders>
            <w:noWrap w:val="0"/>
            <w:tcMar>
              <w:left w:w="0" w:type="dxa"/>
              <w:right w:w="0" w:type="dxa"/>
            </w:tcMar>
            <w:vAlign w:val="center"/>
          </w:tcPr>
          <w:p w14:paraId="192D07E9">
            <w:pPr>
              <w:keepNext w:val="0"/>
              <w:keepLines w:val="0"/>
              <w:pageBreakBefore w:val="0"/>
              <w:widowControl w:val="0"/>
              <w:kinsoku/>
              <w:wordWrap/>
              <w:overflowPunct/>
              <w:topLinePunct w:val="0"/>
              <w:bidi w:val="0"/>
              <w:adjustRightInd/>
              <w:snapToGrid w:val="0"/>
              <w:spacing w:line="360" w:lineRule="auto"/>
              <w:jc w:val="center"/>
              <w:textAlignment w:val="auto"/>
              <w:rPr>
                <w:rFonts w:hint="eastAsia" w:ascii="宋体" w:cs="宋体"/>
                <w:color w:val="000000"/>
                <w:highlight w:val="none"/>
              </w:rPr>
            </w:pPr>
            <w:r>
              <w:rPr>
                <w:rFonts w:hint="eastAsia" w:ascii="宋体" w:cs="宋体"/>
                <w:color w:val="000000"/>
                <w:highlight w:val="none"/>
              </w:rPr>
              <w:t>33</w:t>
            </w:r>
          </w:p>
        </w:tc>
        <w:tc>
          <w:tcPr>
            <w:tcW w:w="1426" w:type="pct"/>
            <w:tcBorders>
              <w:top w:val="single" w:color="auto" w:sz="6" w:space="0"/>
              <w:left w:val="single" w:color="auto" w:sz="6" w:space="0"/>
              <w:bottom w:val="single" w:color="auto" w:sz="6" w:space="0"/>
              <w:right w:val="single" w:color="auto" w:sz="6" w:space="0"/>
            </w:tcBorders>
            <w:noWrap w:val="0"/>
            <w:tcMar>
              <w:left w:w="0" w:type="dxa"/>
              <w:right w:w="0" w:type="dxa"/>
            </w:tcMar>
            <w:vAlign w:val="center"/>
          </w:tcPr>
          <w:p w14:paraId="2D2C9EB3">
            <w:pPr>
              <w:keepNext w:val="0"/>
              <w:keepLines w:val="0"/>
              <w:pageBreakBefore w:val="0"/>
              <w:widowControl w:val="0"/>
              <w:kinsoku/>
              <w:wordWrap/>
              <w:overflowPunct/>
              <w:topLinePunct w:val="0"/>
              <w:bidi w:val="0"/>
              <w:adjustRightInd/>
              <w:spacing w:line="360" w:lineRule="auto"/>
              <w:jc w:val="center"/>
              <w:textAlignment w:val="auto"/>
              <w:rPr>
                <w:rFonts w:hint="eastAsia" w:ascii="宋体" w:cs="宋体"/>
                <w:color w:val="000000"/>
                <w:highlight w:val="none"/>
                <w:lang w:val="zh-CN"/>
              </w:rPr>
            </w:pPr>
            <w:r>
              <w:rPr>
                <w:rFonts w:hint="eastAsia" w:ascii="宋体" w:cs="宋体"/>
                <w:color w:val="000000"/>
                <w:highlight w:val="none"/>
                <w:lang w:val="zh-CN"/>
              </w:rPr>
              <w:t>是否退还投标文件</w:t>
            </w:r>
          </w:p>
        </w:tc>
        <w:tc>
          <w:tcPr>
            <w:tcW w:w="3135" w:type="pct"/>
            <w:tcBorders>
              <w:top w:val="single" w:color="auto" w:sz="6" w:space="0"/>
              <w:left w:val="single" w:color="auto" w:sz="6" w:space="0"/>
              <w:bottom w:val="single" w:color="auto" w:sz="6" w:space="0"/>
              <w:right w:val="double" w:color="auto" w:sz="2" w:space="0"/>
            </w:tcBorders>
            <w:noWrap w:val="0"/>
            <w:tcMar>
              <w:left w:w="0" w:type="dxa"/>
              <w:right w:w="0" w:type="dxa"/>
            </w:tcMar>
            <w:vAlign w:val="center"/>
          </w:tcPr>
          <w:p w14:paraId="5980492A">
            <w:pPr>
              <w:keepNext w:val="0"/>
              <w:keepLines w:val="0"/>
              <w:pageBreakBefore w:val="0"/>
              <w:widowControl w:val="0"/>
              <w:kinsoku/>
              <w:wordWrap/>
              <w:overflowPunct/>
              <w:topLinePunct w:val="0"/>
              <w:bidi w:val="0"/>
              <w:adjustRightInd/>
              <w:spacing w:line="360" w:lineRule="auto"/>
              <w:textAlignment w:val="auto"/>
              <w:rPr>
                <w:rFonts w:hint="eastAsia" w:ascii="宋体" w:cs="宋体"/>
                <w:color w:val="000000"/>
                <w:highlight w:val="none"/>
                <w:lang w:val="zh-CN"/>
              </w:rPr>
            </w:pPr>
            <w:r>
              <w:rPr>
                <w:rFonts w:hint="eastAsia" w:ascii="宋体" w:cs="宋体"/>
                <w:color w:val="000000"/>
                <w:highlight w:val="none"/>
                <w:lang w:val="zh-CN"/>
              </w:rPr>
              <w:t>否</w:t>
            </w:r>
          </w:p>
        </w:tc>
      </w:tr>
      <w:tr w14:paraId="76438703">
        <w:tblPrEx>
          <w:tblCellMar>
            <w:top w:w="0" w:type="dxa"/>
            <w:left w:w="108" w:type="dxa"/>
            <w:bottom w:w="0" w:type="dxa"/>
            <w:right w:w="108" w:type="dxa"/>
          </w:tblCellMar>
        </w:tblPrEx>
        <w:trPr>
          <w:trHeight w:val="662" w:hRule="atLeast"/>
          <w:jc w:val="center"/>
        </w:trPr>
        <w:tc>
          <w:tcPr>
            <w:tcW w:w="438" w:type="pct"/>
            <w:tcBorders>
              <w:top w:val="single" w:color="auto" w:sz="6" w:space="0"/>
              <w:left w:val="double" w:color="auto" w:sz="2" w:space="0"/>
              <w:bottom w:val="single" w:color="auto" w:sz="6" w:space="0"/>
              <w:right w:val="single" w:color="auto" w:sz="6" w:space="0"/>
            </w:tcBorders>
            <w:noWrap w:val="0"/>
            <w:tcMar>
              <w:left w:w="0" w:type="dxa"/>
              <w:right w:w="0" w:type="dxa"/>
            </w:tcMar>
            <w:vAlign w:val="center"/>
          </w:tcPr>
          <w:p w14:paraId="158B2BB4">
            <w:pPr>
              <w:keepNext w:val="0"/>
              <w:keepLines w:val="0"/>
              <w:pageBreakBefore w:val="0"/>
              <w:widowControl w:val="0"/>
              <w:kinsoku/>
              <w:wordWrap/>
              <w:overflowPunct/>
              <w:topLinePunct w:val="0"/>
              <w:bidi w:val="0"/>
              <w:adjustRightInd/>
              <w:snapToGrid w:val="0"/>
              <w:spacing w:line="360" w:lineRule="auto"/>
              <w:jc w:val="center"/>
              <w:textAlignment w:val="auto"/>
              <w:rPr>
                <w:rFonts w:hint="eastAsia" w:ascii="宋体" w:cs="宋体"/>
                <w:color w:val="000000"/>
                <w:highlight w:val="none"/>
              </w:rPr>
            </w:pPr>
            <w:r>
              <w:rPr>
                <w:rFonts w:hint="eastAsia" w:ascii="宋体" w:cs="宋体"/>
                <w:color w:val="000000"/>
                <w:highlight w:val="none"/>
              </w:rPr>
              <w:t>34</w:t>
            </w:r>
          </w:p>
        </w:tc>
        <w:tc>
          <w:tcPr>
            <w:tcW w:w="1426" w:type="pct"/>
            <w:tcBorders>
              <w:top w:val="single" w:color="auto" w:sz="6" w:space="0"/>
              <w:left w:val="single" w:color="auto" w:sz="6" w:space="0"/>
              <w:bottom w:val="single" w:color="auto" w:sz="6" w:space="0"/>
              <w:right w:val="single" w:color="auto" w:sz="6" w:space="0"/>
            </w:tcBorders>
            <w:noWrap w:val="0"/>
            <w:tcMar>
              <w:left w:w="0" w:type="dxa"/>
              <w:right w:w="0" w:type="dxa"/>
            </w:tcMar>
            <w:vAlign w:val="center"/>
          </w:tcPr>
          <w:p w14:paraId="6069C9ED">
            <w:pPr>
              <w:keepNext w:val="0"/>
              <w:keepLines w:val="0"/>
              <w:pageBreakBefore w:val="0"/>
              <w:widowControl w:val="0"/>
              <w:kinsoku/>
              <w:wordWrap/>
              <w:overflowPunct/>
              <w:topLinePunct w:val="0"/>
              <w:bidi w:val="0"/>
              <w:adjustRightInd/>
              <w:spacing w:line="360" w:lineRule="auto"/>
              <w:jc w:val="center"/>
              <w:textAlignment w:val="auto"/>
              <w:rPr>
                <w:rFonts w:hint="eastAsia" w:ascii="宋体" w:cs="宋体"/>
                <w:color w:val="000000"/>
                <w:highlight w:val="none"/>
                <w:lang w:val="zh-CN"/>
              </w:rPr>
            </w:pPr>
            <w:r>
              <w:rPr>
                <w:rFonts w:hint="eastAsia" w:ascii="宋体" w:cs="宋体"/>
                <w:color w:val="000000"/>
                <w:highlight w:val="none"/>
                <w:lang w:val="zh-CN"/>
              </w:rPr>
              <w:t>开标时间和地点</w:t>
            </w:r>
          </w:p>
        </w:tc>
        <w:tc>
          <w:tcPr>
            <w:tcW w:w="3135" w:type="pct"/>
            <w:tcBorders>
              <w:top w:val="single" w:color="auto" w:sz="6" w:space="0"/>
              <w:left w:val="single" w:color="auto" w:sz="6" w:space="0"/>
              <w:bottom w:val="single" w:color="auto" w:sz="6" w:space="0"/>
              <w:right w:val="double" w:color="auto" w:sz="2" w:space="0"/>
            </w:tcBorders>
            <w:noWrap w:val="0"/>
            <w:tcMar>
              <w:left w:w="0" w:type="dxa"/>
              <w:right w:w="0" w:type="dxa"/>
            </w:tcMar>
            <w:vAlign w:val="center"/>
          </w:tcPr>
          <w:p w14:paraId="1E959474">
            <w:pPr>
              <w:keepNext w:val="0"/>
              <w:keepLines w:val="0"/>
              <w:pageBreakBefore w:val="0"/>
              <w:widowControl w:val="0"/>
              <w:kinsoku/>
              <w:wordWrap/>
              <w:overflowPunct/>
              <w:topLinePunct w:val="0"/>
              <w:bidi w:val="0"/>
              <w:adjustRightInd/>
              <w:spacing w:line="360" w:lineRule="auto"/>
              <w:textAlignment w:val="auto"/>
              <w:rPr>
                <w:rFonts w:hint="eastAsia" w:ascii="宋体" w:cs="宋体"/>
                <w:color w:val="auto"/>
                <w:highlight w:val="none"/>
                <w:lang w:val="zh-CN"/>
              </w:rPr>
            </w:pPr>
            <w:r>
              <w:rPr>
                <w:rFonts w:hint="eastAsia" w:ascii="宋体" w:cs="宋体"/>
                <w:color w:val="auto"/>
                <w:highlight w:val="none"/>
                <w:lang w:val="zh-CN"/>
              </w:rPr>
              <w:t>开标时间：</w:t>
            </w:r>
            <w:r>
              <w:rPr>
                <w:rFonts w:hint="eastAsia" w:ascii="宋体" w:cs="宋体"/>
                <w:color w:val="auto"/>
                <w:highlight w:val="none"/>
                <w:lang w:eastAsia="zh-CN"/>
              </w:rPr>
              <w:t>202</w:t>
            </w:r>
            <w:r>
              <w:rPr>
                <w:rFonts w:hint="eastAsia" w:ascii="宋体" w:cs="宋体"/>
                <w:color w:val="auto"/>
                <w:highlight w:val="none"/>
                <w:lang w:val="en-US" w:eastAsia="zh-CN"/>
              </w:rPr>
              <w:t>5</w:t>
            </w:r>
            <w:r>
              <w:rPr>
                <w:rFonts w:hint="eastAsia" w:ascii="宋体" w:cs="宋体"/>
                <w:color w:val="auto"/>
                <w:highlight w:val="none"/>
              </w:rPr>
              <w:t>年</w:t>
            </w:r>
            <w:r>
              <w:rPr>
                <w:rFonts w:hint="eastAsia" w:ascii="宋体" w:cs="宋体"/>
                <w:color w:val="auto"/>
                <w:highlight w:val="none"/>
                <w:lang w:val="en-US" w:eastAsia="zh-CN"/>
              </w:rPr>
              <w:t>7</w:t>
            </w:r>
            <w:r>
              <w:rPr>
                <w:rFonts w:hint="eastAsia" w:ascii="宋体" w:cs="宋体"/>
                <w:color w:val="auto"/>
                <w:highlight w:val="none"/>
                <w:lang w:eastAsia="zh-CN"/>
              </w:rPr>
              <w:t>月</w:t>
            </w:r>
            <w:r>
              <w:rPr>
                <w:rFonts w:hint="eastAsia" w:ascii="宋体" w:cs="宋体"/>
                <w:color w:val="auto"/>
                <w:highlight w:val="none"/>
                <w:lang w:val="en-US" w:eastAsia="zh-CN"/>
              </w:rPr>
              <w:t>3</w:t>
            </w:r>
            <w:r>
              <w:rPr>
                <w:rFonts w:hint="eastAsia" w:ascii="宋体" w:cs="宋体"/>
                <w:color w:val="auto"/>
                <w:highlight w:val="none"/>
                <w:lang w:eastAsia="zh-CN"/>
              </w:rPr>
              <w:t>日</w:t>
            </w:r>
            <w:r>
              <w:rPr>
                <w:rFonts w:hint="eastAsia" w:ascii="宋体" w:cs="宋体"/>
                <w:color w:val="auto"/>
                <w:highlight w:val="none"/>
                <w:lang w:val="en-US" w:eastAsia="zh-CN"/>
              </w:rPr>
              <w:t>9</w:t>
            </w:r>
            <w:r>
              <w:rPr>
                <w:rFonts w:hint="eastAsia" w:ascii="宋体" w:cs="宋体"/>
                <w:color w:val="auto"/>
                <w:highlight w:val="none"/>
              </w:rPr>
              <w:t>时</w:t>
            </w:r>
            <w:r>
              <w:rPr>
                <w:rFonts w:hint="eastAsia" w:ascii="宋体" w:cs="宋体"/>
                <w:color w:val="auto"/>
                <w:highlight w:val="none"/>
                <w:lang w:val="en-US" w:eastAsia="zh-CN"/>
              </w:rPr>
              <w:t>30</w:t>
            </w:r>
            <w:r>
              <w:rPr>
                <w:rFonts w:hint="eastAsia" w:ascii="宋体" w:cs="宋体"/>
                <w:color w:val="auto"/>
                <w:highlight w:val="none"/>
              </w:rPr>
              <w:t>分（北京时间）</w:t>
            </w:r>
          </w:p>
          <w:p w14:paraId="19BBA63D">
            <w:pPr>
              <w:keepNext w:val="0"/>
              <w:keepLines w:val="0"/>
              <w:pageBreakBefore w:val="0"/>
              <w:widowControl w:val="0"/>
              <w:kinsoku/>
              <w:wordWrap/>
              <w:overflowPunct/>
              <w:topLinePunct w:val="0"/>
              <w:bidi w:val="0"/>
              <w:adjustRightInd/>
              <w:spacing w:line="360" w:lineRule="auto"/>
              <w:textAlignment w:val="auto"/>
              <w:rPr>
                <w:rFonts w:hint="eastAsia" w:ascii="宋体" w:hAnsi="宋体" w:cs="宋体"/>
                <w:bCs/>
                <w:color w:val="auto"/>
                <w:kern w:val="0"/>
                <w:highlight w:val="none"/>
              </w:rPr>
            </w:pPr>
            <w:r>
              <w:rPr>
                <w:rFonts w:hint="eastAsia" w:ascii="宋体" w:cs="宋体"/>
                <w:color w:val="auto"/>
                <w:highlight w:val="none"/>
                <w:lang w:val="zh-CN"/>
              </w:rPr>
              <w:t>开标地点：</w:t>
            </w:r>
            <w:r>
              <w:rPr>
                <w:rFonts w:hint="eastAsia" w:ascii="宋体" w:hAnsi="宋体" w:cs="宋体"/>
                <w:bCs/>
                <w:color w:val="auto"/>
                <w:szCs w:val="21"/>
                <w:highlight w:val="none"/>
                <w:lang w:val="zh-CN"/>
              </w:rPr>
              <w:t>长春市高新区鸿达街吉林日报副楼4楼吉利招第三开标室</w:t>
            </w:r>
          </w:p>
          <w:p w14:paraId="23462BFD">
            <w:pPr>
              <w:pStyle w:val="19"/>
              <w:keepNext w:val="0"/>
              <w:keepLines w:val="0"/>
              <w:pageBreakBefore w:val="0"/>
              <w:widowControl w:val="0"/>
              <w:kinsoku/>
              <w:wordWrap/>
              <w:overflowPunct/>
              <w:topLinePunct w:val="0"/>
              <w:bidi w:val="0"/>
              <w:adjustRightInd/>
              <w:spacing w:before="0" w:beforeAutospacing="0" w:line="360" w:lineRule="auto"/>
              <w:ind w:firstLine="0" w:firstLineChars="0"/>
              <w:textAlignment w:val="auto"/>
              <w:rPr>
                <w:rFonts w:hint="eastAsia" w:ascii="宋体" w:hAnsi="宋体" w:cs="宋体"/>
                <w:bCs/>
                <w:sz w:val="21"/>
                <w:szCs w:val="21"/>
                <w:highlight w:val="none"/>
              </w:rPr>
            </w:pPr>
            <w:r>
              <w:rPr>
                <w:rFonts w:hint="eastAsia" w:ascii="宋体" w:hAnsi="宋体" w:cs="宋体"/>
                <w:bCs/>
                <w:sz w:val="21"/>
                <w:szCs w:val="21"/>
                <w:highlight w:val="none"/>
                <w:lang w:val="zh-CN"/>
              </w:rPr>
              <w:t>本项目执行电子化招投标</w:t>
            </w:r>
            <w:r>
              <w:rPr>
                <w:rFonts w:hint="eastAsia" w:ascii="宋体" w:hAnsi="宋体" w:cs="宋体"/>
                <w:bCs/>
                <w:sz w:val="21"/>
                <w:szCs w:val="21"/>
                <w:highlight w:val="none"/>
              </w:rPr>
              <w:t>，</w:t>
            </w:r>
            <w:r>
              <w:rPr>
                <w:rFonts w:hint="eastAsia" w:ascii="宋体" w:hAnsi="宋体" w:cs="宋体"/>
                <w:bCs/>
                <w:sz w:val="21"/>
                <w:szCs w:val="21"/>
                <w:highlight w:val="none"/>
                <w:lang w:val="zh-CN"/>
              </w:rPr>
              <w:t>投标人须通过政府采购云平台</w:t>
            </w:r>
            <w:r>
              <w:rPr>
                <w:rFonts w:hint="eastAsia" w:ascii="宋体" w:hAnsi="宋体" w:cs="宋体"/>
                <w:bCs/>
                <w:sz w:val="21"/>
                <w:szCs w:val="21"/>
                <w:highlight w:val="none"/>
              </w:rPr>
              <w:t>（</w:t>
            </w:r>
            <w:r>
              <w:rPr>
                <w:rFonts w:hint="eastAsia" w:ascii="宋体" w:hAnsi="宋体" w:cs="宋体"/>
                <w:bCs/>
                <w:sz w:val="21"/>
                <w:szCs w:val="21"/>
                <w:highlight w:val="none"/>
                <w:lang w:val="zh-CN"/>
              </w:rPr>
              <w:t>网址</w:t>
            </w:r>
            <w:r>
              <w:rPr>
                <w:rFonts w:hint="eastAsia" w:ascii="宋体" w:hAnsi="宋体" w:cs="宋体"/>
                <w:bCs/>
                <w:sz w:val="21"/>
                <w:szCs w:val="21"/>
                <w:highlight w:val="none"/>
              </w:rPr>
              <w:t>：http:// www.zcygov.cn）</w:t>
            </w:r>
            <w:r>
              <w:rPr>
                <w:rFonts w:hint="eastAsia" w:ascii="宋体" w:hAnsi="宋体" w:cs="宋体"/>
                <w:bCs/>
                <w:sz w:val="21"/>
                <w:szCs w:val="21"/>
                <w:highlight w:val="none"/>
                <w:lang w:val="zh-CN"/>
              </w:rPr>
              <w:t>递交电子版投标文件。</w:t>
            </w:r>
          </w:p>
          <w:p w14:paraId="7641EEB7">
            <w:pPr>
              <w:pStyle w:val="19"/>
              <w:keepNext w:val="0"/>
              <w:keepLines w:val="0"/>
              <w:pageBreakBefore w:val="0"/>
              <w:widowControl w:val="0"/>
              <w:kinsoku/>
              <w:wordWrap/>
              <w:overflowPunct/>
              <w:topLinePunct w:val="0"/>
              <w:bidi w:val="0"/>
              <w:adjustRightInd/>
              <w:spacing w:before="0" w:beforeAutospacing="0" w:line="360" w:lineRule="auto"/>
              <w:ind w:firstLine="0" w:firstLineChars="0"/>
              <w:textAlignment w:val="auto"/>
              <w:rPr>
                <w:rFonts w:hint="eastAsia" w:ascii="宋体" w:hAnsi="宋体" w:cs="宋体"/>
                <w:bCs/>
                <w:sz w:val="21"/>
                <w:szCs w:val="21"/>
                <w:highlight w:val="none"/>
                <w:lang w:val="zh-CN"/>
              </w:rPr>
            </w:pPr>
            <w:r>
              <w:rPr>
                <w:rFonts w:hint="eastAsia" w:ascii="宋体" w:hAnsi="宋体" w:cs="宋体"/>
                <w:bCs/>
                <w:sz w:val="21"/>
                <w:szCs w:val="21"/>
                <w:highlight w:val="none"/>
                <w:lang w:val="zh-CN"/>
              </w:rPr>
              <w:t>投标操作流程：投标人在政府采购云平台网注册入库成为正式投标人后，在平台上按《政府采购项目电子交易管理操作指南-投标人》进行投标操作。</w:t>
            </w:r>
          </w:p>
          <w:p w14:paraId="62A4E035">
            <w:pPr>
              <w:pStyle w:val="19"/>
              <w:keepNext w:val="0"/>
              <w:keepLines w:val="0"/>
              <w:pageBreakBefore w:val="0"/>
              <w:widowControl w:val="0"/>
              <w:kinsoku/>
              <w:wordWrap/>
              <w:overflowPunct/>
              <w:topLinePunct w:val="0"/>
              <w:bidi w:val="0"/>
              <w:adjustRightInd/>
              <w:spacing w:before="0" w:beforeAutospacing="0" w:line="360" w:lineRule="auto"/>
              <w:ind w:firstLine="0" w:firstLineChars="0"/>
              <w:textAlignment w:val="auto"/>
              <w:rPr>
                <w:rFonts w:hint="eastAsia" w:ascii="宋体" w:hAnsi="宋体" w:cs="宋体"/>
                <w:bCs/>
                <w:sz w:val="21"/>
                <w:szCs w:val="21"/>
                <w:highlight w:val="none"/>
                <w:lang w:val="zh-CN"/>
              </w:rPr>
            </w:pPr>
            <w:r>
              <w:rPr>
                <w:rFonts w:hint="eastAsia" w:ascii="宋体" w:hAnsi="宋体" w:cs="宋体"/>
                <w:bCs/>
                <w:sz w:val="21"/>
                <w:szCs w:val="21"/>
                <w:highlight w:val="none"/>
                <w:lang w:val="zh-CN"/>
              </w:rPr>
              <w:t>数字证书办理及投标技术咨询：投标人须办理数字证书方可参加投标。</w:t>
            </w:r>
          </w:p>
          <w:p w14:paraId="5E9030E1">
            <w:pPr>
              <w:pStyle w:val="19"/>
              <w:keepNext w:val="0"/>
              <w:keepLines w:val="0"/>
              <w:pageBreakBefore w:val="0"/>
              <w:widowControl w:val="0"/>
              <w:kinsoku/>
              <w:wordWrap/>
              <w:overflowPunct/>
              <w:topLinePunct w:val="0"/>
              <w:bidi w:val="0"/>
              <w:adjustRightInd/>
              <w:spacing w:before="0" w:beforeAutospacing="0" w:line="360" w:lineRule="auto"/>
              <w:ind w:firstLine="0" w:firstLineChars="0"/>
              <w:textAlignment w:val="auto"/>
              <w:rPr>
                <w:rFonts w:hint="eastAsia" w:ascii="宋体" w:hAnsi="宋体" w:cs="宋体"/>
                <w:bCs/>
                <w:sz w:val="21"/>
                <w:szCs w:val="21"/>
                <w:highlight w:val="none"/>
              </w:rPr>
            </w:pPr>
            <w:r>
              <w:rPr>
                <w:rFonts w:hint="eastAsia" w:ascii="宋体" w:hAnsi="宋体" w:cs="宋体"/>
                <w:bCs/>
                <w:sz w:val="21"/>
                <w:szCs w:val="21"/>
                <w:highlight w:val="none"/>
                <w:lang w:val="zh-CN"/>
              </w:rPr>
              <w:t>办理联系方式：</w:t>
            </w:r>
            <w:r>
              <w:rPr>
                <w:rFonts w:hint="eastAsia" w:ascii="宋体" w:hAnsi="宋体" w:cs="宋体"/>
                <w:bCs/>
                <w:sz w:val="21"/>
                <w:szCs w:val="21"/>
                <w:highlight w:val="none"/>
              </w:rPr>
              <w:t xml:space="preserve"> </w:t>
            </w:r>
            <w:r>
              <w:rPr>
                <w:rFonts w:hint="eastAsia" w:ascii="宋体" w:hAnsi="宋体" w:cs="宋体"/>
                <w:color w:val="000000"/>
                <w:kern w:val="0"/>
                <w:sz w:val="21"/>
                <w:szCs w:val="21"/>
                <w:highlight w:val="none"/>
              </w:rPr>
              <w:t>0431-80545000</w:t>
            </w:r>
          </w:p>
          <w:p w14:paraId="0D6941CE">
            <w:pPr>
              <w:pStyle w:val="7"/>
              <w:keepNext w:val="0"/>
              <w:keepLines w:val="0"/>
              <w:pageBreakBefore w:val="0"/>
              <w:widowControl w:val="0"/>
              <w:kinsoku/>
              <w:wordWrap/>
              <w:overflowPunct/>
              <w:topLinePunct w:val="0"/>
              <w:bidi w:val="0"/>
              <w:adjustRightInd/>
              <w:spacing w:line="360" w:lineRule="auto"/>
              <w:textAlignment w:val="auto"/>
              <w:rPr>
                <w:rFonts w:hint="eastAsia"/>
                <w:highlight w:val="none"/>
                <w:lang w:val="zh-CN"/>
              </w:rPr>
            </w:pPr>
            <w:r>
              <w:rPr>
                <w:rFonts w:hint="eastAsia" w:ascii="宋体" w:hAnsi="宋体" w:cs="宋体"/>
                <w:bCs/>
                <w:highlight w:val="none"/>
                <w:lang w:val="zh-CN"/>
              </w:rPr>
              <w:t>（数字证书办理时限为1-3个工作日，投标人须自行考虑办理时间，由于投标人自身原因在开标前无法完成办理，后果自负。）</w:t>
            </w:r>
          </w:p>
        </w:tc>
      </w:tr>
      <w:tr w14:paraId="360BA7F6">
        <w:tblPrEx>
          <w:tblCellMar>
            <w:top w:w="0" w:type="dxa"/>
            <w:left w:w="108" w:type="dxa"/>
            <w:bottom w:w="0" w:type="dxa"/>
            <w:right w:w="108" w:type="dxa"/>
          </w:tblCellMar>
        </w:tblPrEx>
        <w:trPr>
          <w:trHeight w:val="528" w:hRule="atLeast"/>
          <w:jc w:val="center"/>
        </w:trPr>
        <w:tc>
          <w:tcPr>
            <w:tcW w:w="438" w:type="pct"/>
            <w:tcBorders>
              <w:top w:val="single" w:color="auto" w:sz="6" w:space="0"/>
              <w:left w:val="double" w:color="auto" w:sz="2" w:space="0"/>
              <w:bottom w:val="single" w:color="auto" w:sz="6" w:space="0"/>
              <w:right w:val="single" w:color="auto" w:sz="6" w:space="0"/>
            </w:tcBorders>
            <w:noWrap w:val="0"/>
            <w:tcMar>
              <w:left w:w="0" w:type="dxa"/>
              <w:right w:w="0" w:type="dxa"/>
            </w:tcMar>
            <w:vAlign w:val="center"/>
          </w:tcPr>
          <w:p w14:paraId="109F03D5">
            <w:pPr>
              <w:keepNext w:val="0"/>
              <w:keepLines w:val="0"/>
              <w:pageBreakBefore w:val="0"/>
              <w:widowControl w:val="0"/>
              <w:kinsoku/>
              <w:wordWrap/>
              <w:overflowPunct/>
              <w:topLinePunct w:val="0"/>
              <w:bidi w:val="0"/>
              <w:adjustRightInd/>
              <w:snapToGrid w:val="0"/>
              <w:spacing w:line="360" w:lineRule="auto"/>
              <w:jc w:val="center"/>
              <w:textAlignment w:val="auto"/>
              <w:rPr>
                <w:rFonts w:hint="eastAsia" w:ascii="宋体" w:cs="宋体"/>
                <w:color w:val="000000"/>
                <w:highlight w:val="none"/>
              </w:rPr>
            </w:pPr>
            <w:r>
              <w:rPr>
                <w:rFonts w:hint="eastAsia" w:ascii="宋体" w:cs="宋体"/>
                <w:color w:val="000000"/>
                <w:highlight w:val="none"/>
              </w:rPr>
              <w:t>35</w:t>
            </w:r>
          </w:p>
        </w:tc>
        <w:tc>
          <w:tcPr>
            <w:tcW w:w="1426" w:type="pct"/>
            <w:tcBorders>
              <w:top w:val="single" w:color="auto" w:sz="6" w:space="0"/>
              <w:left w:val="single" w:color="auto" w:sz="6" w:space="0"/>
              <w:bottom w:val="single" w:color="auto" w:sz="6" w:space="0"/>
              <w:right w:val="single" w:color="auto" w:sz="6" w:space="0"/>
            </w:tcBorders>
            <w:noWrap w:val="0"/>
            <w:tcMar>
              <w:left w:w="0" w:type="dxa"/>
              <w:right w:w="0" w:type="dxa"/>
            </w:tcMar>
            <w:vAlign w:val="center"/>
          </w:tcPr>
          <w:p w14:paraId="5A937BFC">
            <w:pPr>
              <w:keepNext w:val="0"/>
              <w:keepLines w:val="0"/>
              <w:pageBreakBefore w:val="0"/>
              <w:widowControl w:val="0"/>
              <w:kinsoku/>
              <w:wordWrap/>
              <w:overflowPunct/>
              <w:topLinePunct w:val="0"/>
              <w:bidi w:val="0"/>
              <w:adjustRightInd/>
              <w:spacing w:line="360" w:lineRule="auto"/>
              <w:jc w:val="center"/>
              <w:textAlignment w:val="auto"/>
              <w:rPr>
                <w:rFonts w:hint="eastAsia" w:ascii="宋体" w:cs="宋体"/>
                <w:color w:val="000000"/>
                <w:highlight w:val="none"/>
                <w:lang w:val="zh-CN"/>
              </w:rPr>
            </w:pPr>
            <w:r>
              <w:rPr>
                <w:rFonts w:hint="eastAsia" w:ascii="宋体" w:cs="宋体"/>
                <w:color w:val="000000"/>
                <w:highlight w:val="none"/>
                <w:lang w:val="zh-CN"/>
              </w:rPr>
              <w:t>评标委员会的组建</w:t>
            </w:r>
          </w:p>
        </w:tc>
        <w:tc>
          <w:tcPr>
            <w:tcW w:w="3135" w:type="pct"/>
            <w:tcBorders>
              <w:top w:val="single" w:color="auto" w:sz="6" w:space="0"/>
              <w:left w:val="single" w:color="auto" w:sz="6" w:space="0"/>
              <w:bottom w:val="single" w:color="auto" w:sz="6" w:space="0"/>
              <w:right w:val="double" w:color="auto" w:sz="2" w:space="0"/>
            </w:tcBorders>
            <w:noWrap w:val="0"/>
            <w:tcMar>
              <w:left w:w="0" w:type="dxa"/>
              <w:right w:w="0" w:type="dxa"/>
            </w:tcMar>
            <w:vAlign w:val="center"/>
          </w:tcPr>
          <w:p w14:paraId="38FFF0E9">
            <w:pPr>
              <w:keepNext w:val="0"/>
              <w:keepLines w:val="0"/>
              <w:pageBreakBefore w:val="0"/>
              <w:widowControl w:val="0"/>
              <w:kinsoku/>
              <w:wordWrap/>
              <w:overflowPunct/>
              <w:topLinePunct w:val="0"/>
              <w:bidi w:val="0"/>
              <w:adjustRightInd/>
              <w:spacing w:line="360" w:lineRule="auto"/>
              <w:textAlignment w:val="auto"/>
              <w:rPr>
                <w:rFonts w:hint="eastAsia" w:ascii="宋体" w:cs="宋体"/>
                <w:highlight w:val="none"/>
              </w:rPr>
            </w:pPr>
            <w:r>
              <w:rPr>
                <w:rFonts w:hint="eastAsia" w:ascii="宋体" w:cs="宋体"/>
                <w:highlight w:val="none"/>
              </w:rPr>
              <w:t>评标委员会构成：评标专家</w:t>
            </w:r>
            <w:r>
              <w:rPr>
                <w:rFonts w:hint="eastAsia" w:ascii="宋体" w:cs="宋体"/>
                <w:highlight w:val="none"/>
                <w:lang w:val="en-US" w:eastAsia="zh-CN"/>
              </w:rPr>
              <w:t>5</w:t>
            </w:r>
            <w:r>
              <w:rPr>
                <w:rFonts w:hint="eastAsia" w:ascii="宋体" w:cs="宋体"/>
                <w:highlight w:val="none"/>
              </w:rPr>
              <w:t>人。</w:t>
            </w:r>
          </w:p>
          <w:p w14:paraId="2C59F92B">
            <w:pPr>
              <w:keepNext w:val="0"/>
              <w:keepLines w:val="0"/>
              <w:pageBreakBefore w:val="0"/>
              <w:widowControl w:val="0"/>
              <w:kinsoku/>
              <w:wordWrap/>
              <w:overflowPunct/>
              <w:topLinePunct w:val="0"/>
              <w:bidi w:val="0"/>
              <w:adjustRightInd/>
              <w:spacing w:line="360" w:lineRule="auto"/>
              <w:textAlignment w:val="auto"/>
              <w:rPr>
                <w:rFonts w:hint="eastAsia" w:ascii="宋体" w:cs="宋体"/>
                <w:color w:val="000000"/>
                <w:highlight w:val="none"/>
                <w:lang w:val="zh-CN"/>
              </w:rPr>
            </w:pPr>
            <w:r>
              <w:rPr>
                <w:rFonts w:hint="eastAsia" w:ascii="宋体" w:cs="宋体"/>
                <w:highlight w:val="none"/>
              </w:rPr>
              <w:t>评标专家确定方式：</w:t>
            </w:r>
            <w:r>
              <w:rPr>
                <w:rFonts w:hint="eastAsia" w:ascii="宋体" w:hAnsi="宋体" w:cs="宋体"/>
                <w:highlight w:val="none"/>
              </w:rPr>
              <w:t>从</w:t>
            </w:r>
            <w:r>
              <w:rPr>
                <w:rFonts w:hint="eastAsia" w:ascii="宋体" w:hAnsi="宋体" w:cs="宋体"/>
                <w:highlight w:val="none"/>
                <w:lang w:val="en-US" w:eastAsia="zh-CN"/>
              </w:rPr>
              <w:t>政采云</w:t>
            </w:r>
            <w:r>
              <w:rPr>
                <w:rFonts w:hint="eastAsia" w:ascii="宋体" w:hAnsi="宋体" w:cs="宋体"/>
                <w:highlight w:val="none"/>
              </w:rPr>
              <w:t>的综合评标专家库中随机抽取</w:t>
            </w:r>
            <w:r>
              <w:rPr>
                <w:rFonts w:hint="eastAsia" w:ascii="宋体" w:cs="宋体"/>
                <w:highlight w:val="none"/>
              </w:rPr>
              <w:t>。</w:t>
            </w:r>
          </w:p>
        </w:tc>
      </w:tr>
      <w:tr w14:paraId="10F9AE3E">
        <w:tblPrEx>
          <w:tblCellMar>
            <w:top w:w="0" w:type="dxa"/>
            <w:left w:w="108" w:type="dxa"/>
            <w:bottom w:w="0" w:type="dxa"/>
            <w:right w:w="108" w:type="dxa"/>
          </w:tblCellMar>
        </w:tblPrEx>
        <w:trPr>
          <w:trHeight w:val="90" w:hRule="atLeast"/>
          <w:jc w:val="center"/>
        </w:trPr>
        <w:tc>
          <w:tcPr>
            <w:tcW w:w="438" w:type="pct"/>
            <w:tcBorders>
              <w:top w:val="single" w:color="auto" w:sz="6" w:space="0"/>
              <w:left w:val="double" w:color="auto" w:sz="2" w:space="0"/>
              <w:bottom w:val="single" w:color="auto" w:sz="6" w:space="0"/>
              <w:right w:val="single" w:color="auto" w:sz="6" w:space="0"/>
            </w:tcBorders>
            <w:noWrap w:val="0"/>
            <w:tcMar>
              <w:left w:w="0" w:type="dxa"/>
              <w:right w:w="0" w:type="dxa"/>
            </w:tcMar>
            <w:vAlign w:val="center"/>
          </w:tcPr>
          <w:p w14:paraId="2A69E81C">
            <w:pPr>
              <w:keepNext w:val="0"/>
              <w:keepLines w:val="0"/>
              <w:pageBreakBefore w:val="0"/>
              <w:widowControl w:val="0"/>
              <w:kinsoku/>
              <w:wordWrap/>
              <w:overflowPunct/>
              <w:topLinePunct w:val="0"/>
              <w:bidi w:val="0"/>
              <w:adjustRightInd/>
              <w:snapToGrid w:val="0"/>
              <w:spacing w:line="360" w:lineRule="auto"/>
              <w:jc w:val="center"/>
              <w:textAlignment w:val="auto"/>
              <w:rPr>
                <w:rFonts w:hint="eastAsia" w:ascii="宋体" w:cs="宋体"/>
                <w:color w:val="000000"/>
                <w:highlight w:val="none"/>
              </w:rPr>
            </w:pPr>
            <w:r>
              <w:rPr>
                <w:rFonts w:hint="eastAsia" w:ascii="宋体" w:cs="宋体"/>
                <w:color w:val="000000"/>
                <w:highlight w:val="none"/>
              </w:rPr>
              <w:t>36</w:t>
            </w:r>
          </w:p>
        </w:tc>
        <w:tc>
          <w:tcPr>
            <w:tcW w:w="1426" w:type="pct"/>
            <w:tcBorders>
              <w:top w:val="single" w:color="auto" w:sz="6" w:space="0"/>
              <w:left w:val="single" w:color="auto" w:sz="6" w:space="0"/>
              <w:bottom w:val="single" w:color="auto" w:sz="6" w:space="0"/>
              <w:right w:val="single" w:color="auto" w:sz="6" w:space="0"/>
            </w:tcBorders>
            <w:noWrap w:val="0"/>
            <w:tcMar>
              <w:left w:w="0" w:type="dxa"/>
              <w:right w:w="0" w:type="dxa"/>
            </w:tcMar>
            <w:vAlign w:val="center"/>
          </w:tcPr>
          <w:p w14:paraId="2D9F55BB">
            <w:pPr>
              <w:keepNext w:val="0"/>
              <w:keepLines w:val="0"/>
              <w:pageBreakBefore w:val="0"/>
              <w:widowControl w:val="0"/>
              <w:kinsoku/>
              <w:wordWrap/>
              <w:overflowPunct/>
              <w:topLinePunct w:val="0"/>
              <w:bidi w:val="0"/>
              <w:adjustRightInd/>
              <w:spacing w:line="360" w:lineRule="auto"/>
              <w:jc w:val="center"/>
              <w:textAlignment w:val="auto"/>
              <w:rPr>
                <w:rFonts w:hint="eastAsia" w:ascii="宋体" w:cs="宋体"/>
                <w:color w:val="000000"/>
                <w:highlight w:val="none"/>
                <w:lang w:val="zh-CN"/>
              </w:rPr>
            </w:pPr>
            <w:r>
              <w:rPr>
                <w:rFonts w:hint="eastAsia" w:ascii="宋体" w:cs="宋体"/>
                <w:color w:val="000000"/>
                <w:highlight w:val="none"/>
                <w:lang w:val="zh-CN"/>
              </w:rPr>
              <w:t>是否授权评标委员会</w:t>
            </w:r>
          </w:p>
          <w:p w14:paraId="6F63862D">
            <w:pPr>
              <w:keepNext w:val="0"/>
              <w:keepLines w:val="0"/>
              <w:pageBreakBefore w:val="0"/>
              <w:widowControl w:val="0"/>
              <w:kinsoku/>
              <w:wordWrap/>
              <w:overflowPunct/>
              <w:topLinePunct w:val="0"/>
              <w:bidi w:val="0"/>
              <w:adjustRightInd/>
              <w:spacing w:line="360" w:lineRule="auto"/>
              <w:jc w:val="center"/>
              <w:textAlignment w:val="auto"/>
              <w:rPr>
                <w:rFonts w:hint="eastAsia" w:ascii="宋体" w:cs="宋体"/>
                <w:color w:val="000000"/>
                <w:highlight w:val="none"/>
                <w:lang w:val="zh-CN"/>
              </w:rPr>
            </w:pPr>
            <w:r>
              <w:rPr>
                <w:rFonts w:hint="eastAsia" w:ascii="宋体" w:cs="宋体"/>
                <w:color w:val="000000"/>
                <w:highlight w:val="none"/>
                <w:lang w:val="zh-CN"/>
              </w:rPr>
              <w:t>确定中标人</w:t>
            </w:r>
          </w:p>
        </w:tc>
        <w:tc>
          <w:tcPr>
            <w:tcW w:w="3135" w:type="pct"/>
            <w:tcBorders>
              <w:top w:val="single" w:color="auto" w:sz="6" w:space="0"/>
              <w:left w:val="single" w:color="auto" w:sz="6" w:space="0"/>
              <w:bottom w:val="single" w:color="auto" w:sz="6" w:space="0"/>
              <w:right w:val="double" w:color="auto" w:sz="2" w:space="0"/>
            </w:tcBorders>
            <w:noWrap w:val="0"/>
            <w:tcMar>
              <w:left w:w="0" w:type="dxa"/>
              <w:right w:w="0" w:type="dxa"/>
            </w:tcMar>
            <w:vAlign w:val="center"/>
          </w:tcPr>
          <w:p w14:paraId="17B922C5">
            <w:pPr>
              <w:keepNext w:val="0"/>
              <w:keepLines w:val="0"/>
              <w:pageBreakBefore w:val="0"/>
              <w:widowControl w:val="0"/>
              <w:kinsoku/>
              <w:wordWrap/>
              <w:overflowPunct/>
              <w:topLinePunct w:val="0"/>
              <w:bidi w:val="0"/>
              <w:adjustRightInd/>
              <w:spacing w:line="360" w:lineRule="auto"/>
              <w:textAlignment w:val="auto"/>
              <w:rPr>
                <w:rFonts w:ascii="宋体" w:cs="宋体"/>
                <w:color w:val="000000"/>
                <w:highlight w:val="none"/>
              </w:rPr>
            </w:pPr>
            <w:r>
              <w:rPr>
                <w:rFonts w:hint="eastAsia" w:ascii="宋体" w:cs="宋体"/>
                <w:color w:val="000000"/>
                <w:highlight w:val="none"/>
                <w:lang w:val="zh-CN"/>
              </w:rPr>
              <w:t>推荐3名中标候选人。</w:t>
            </w:r>
          </w:p>
          <w:p w14:paraId="1D71ED66">
            <w:pPr>
              <w:keepNext w:val="0"/>
              <w:keepLines w:val="0"/>
              <w:pageBreakBefore w:val="0"/>
              <w:widowControl w:val="0"/>
              <w:kinsoku/>
              <w:wordWrap/>
              <w:overflowPunct/>
              <w:topLinePunct w:val="0"/>
              <w:bidi w:val="0"/>
              <w:adjustRightInd/>
              <w:spacing w:line="360" w:lineRule="auto"/>
              <w:textAlignment w:val="auto"/>
              <w:rPr>
                <w:rFonts w:hint="eastAsia" w:ascii="宋体" w:cs="宋体"/>
                <w:color w:val="000000"/>
                <w:highlight w:val="none"/>
                <w:lang w:val="zh-CN"/>
              </w:rPr>
            </w:pPr>
            <w:r>
              <w:rPr>
                <w:rFonts w:hint="eastAsia" w:ascii="宋体" w:cs="宋体"/>
                <w:color w:val="000000"/>
                <w:highlight w:val="none"/>
                <w:lang w:val="zh-CN"/>
              </w:rPr>
              <w:t>确定中标人的原则：排名第一的中标候选人放弃中标、因不可抗力不能履行合同，投标文件提供虚假信息，拒绝接受最终审查或不配合采购人最终审查，或者被查实存在影响中标结果的违法行为等情形，不符合中标条件的，采购人可以按照评标委员会提出的中标候选人名单排序依次确定其他中标候选人为中标人，也可以重新招标。</w:t>
            </w:r>
          </w:p>
        </w:tc>
      </w:tr>
      <w:tr w14:paraId="1137D682">
        <w:tblPrEx>
          <w:tblCellMar>
            <w:top w:w="0" w:type="dxa"/>
            <w:left w:w="108" w:type="dxa"/>
            <w:bottom w:w="0" w:type="dxa"/>
            <w:right w:w="108" w:type="dxa"/>
          </w:tblCellMar>
        </w:tblPrEx>
        <w:trPr>
          <w:trHeight w:val="457" w:hRule="atLeast"/>
          <w:jc w:val="center"/>
        </w:trPr>
        <w:tc>
          <w:tcPr>
            <w:tcW w:w="5000" w:type="pct"/>
            <w:gridSpan w:val="3"/>
            <w:tcBorders>
              <w:top w:val="single" w:color="auto" w:sz="6" w:space="0"/>
              <w:left w:val="double" w:color="auto" w:sz="2" w:space="0"/>
              <w:bottom w:val="single" w:color="auto" w:sz="6" w:space="0"/>
              <w:right w:val="double" w:color="auto" w:sz="2" w:space="0"/>
            </w:tcBorders>
            <w:noWrap w:val="0"/>
            <w:tcMar>
              <w:left w:w="0" w:type="dxa"/>
              <w:right w:w="0" w:type="dxa"/>
            </w:tcMar>
            <w:vAlign w:val="center"/>
          </w:tcPr>
          <w:p w14:paraId="51185EF0">
            <w:pPr>
              <w:keepNext w:val="0"/>
              <w:keepLines w:val="0"/>
              <w:pageBreakBefore w:val="0"/>
              <w:widowControl w:val="0"/>
              <w:kinsoku/>
              <w:wordWrap/>
              <w:overflowPunct/>
              <w:topLinePunct w:val="0"/>
              <w:bidi w:val="0"/>
              <w:adjustRightInd/>
              <w:spacing w:line="360" w:lineRule="auto"/>
              <w:textAlignment w:val="auto"/>
              <w:rPr>
                <w:rFonts w:hint="eastAsia" w:ascii="宋体" w:cs="宋体"/>
                <w:color w:val="000000"/>
                <w:highlight w:val="none"/>
                <w:lang w:val="zh-CN"/>
              </w:rPr>
            </w:pPr>
            <w:r>
              <w:rPr>
                <w:rFonts w:hint="eastAsia" w:ascii="宋体" w:cs="宋体"/>
                <w:color w:val="000000"/>
                <w:highlight w:val="none"/>
                <w:lang w:val="zh-CN"/>
              </w:rPr>
              <w:t>　3</w:t>
            </w:r>
            <w:r>
              <w:rPr>
                <w:rFonts w:hint="eastAsia" w:ascii="宋体" w:cs="宋体"/>
                <w:color w:val="000000"/>
                <w:highlight w:val="none"/>
              </w:rPr>
              <w:t>7</w:t>
            </w:r>
            <w:r>
              <w:rPr>
                <w:rFonts w:hint="eastAsia" w:ascii="宋体" w:cs="宋体"/>
                <w:color w:val="000000"/>
                <w:highlight w:val="none"/>
                <w:lang w:val="zh-CN"/>
              </w:rPr>
              <w:t>.需要补充的其他内容</w:t>
            </w:r>
          </w:p>
        </w:tc>
      </w:tr>
      <w:tr w14:paraId="61C22232">
        <w:tblPrEx>
          <w:tblCellMar>
            <w:top w:w="0" w:type="dxa"/>
            <w:left w:w="108" w:type="dxa"/>
            <w:bottom w:w="0" w:type="dxa"/>
            <w:right w:w="108" w:type="dxa"/>
          </w:tblCellMar>
        </w:tblPrEx>
        <w:trPr>
          <w:trHeight w:val="90" w:hRule="atLeast"/>
          <w:jc w:val="center"/>
        </w:trPr>
        <w:tc>
          <w:tcPr>
            <w:tcW w:w="438" w:type="pct"/>
            <w:tcBorders>
              <w:top w:val="single" w:color="auto" w:sz="6" w:space="0"/>
              <w:left w:val="double" w:color="auto" w:sz="2" w:space="0"/>
              <w:bottom w:val="single" w:color="auto" w:sz="6" w:space="0"/>
              <w:right w:val="single" w:color="auto" w:sz="4" w:space="0"/>
            </w:tcBorders>
            <w:shd w:val="clear" w:color="auto" w:fill="auto"/>
            <w:noWrap w:val="0"/>
            <w:tcMar>
              <w:left w:w="0" w:type="dxa"/>
              <w:right w:w="0" w:type="dxa"/>
            </w:tcMar>
            <w:vAlign w:val="center"/>
          </w:tcPr>
          <w:p w14:paraId="365377E5">
            <w:pPr>
              <w:keepNext w:val="0"/>
              <w:keepLines w:val="0"/>
              <w:pageBreakBefore w:val="0"/>
              <w:widowControl w:val="0"/>
              <w:kinsoku/>
              <w:wordWrap/>
              <w:overflowPunct/>
              <w:topLinePunct w:val="0"/>
              <w:bidi w:val="0"/>
              <w:adjustRightInd/>
              <w:spacing w:line="360" w:lineRule="auto"/>
              <w:jc w:val="center"/>
              <w:textAlignment w:val="auto"/>
              <w:rPr>
                <w:rFonts w:hint="eastAsia" w:ascii="宋体" w:cs="宋体"/>
                <w:color w:val="000000"/>
                <w:highlight w:val="none"/>
                <w:lang w:val="zh-CN"/>
              </w:rPr>
            </w:pPr>
            <w:r>
              <w:rPr>
                <w:rFonts w:hint="eastAsia" w:ascii="宋体" w:cs="宋体"/>
                <w:color w:val="000000"/>
                <w:highlight w:val="none"/>
                <w:lang w:val="zh-CN"/>
              </w:rPr>
              <w:t>3</w:t>
            </w:r>
            <w:r>
              <w:rPr>
                <w:rFonts w:hint="eastAsia" w:ascii="宋体" w:cs="宋体"/>
                <w:color w:val="000000"/>
                <w:highlight w:val="none"/>
              </w:rPr>
              <w:t>7</w:t>
            </w:r>
            <w:r>
              <w:rPr>
                <w:rFonts w:hint="eastAsia" w:ascii="宋体" w:cs="宋体"/>
                <w:color w:val="000000"/>
                <w:highlight w:val="none"/>
                <w:lang w:val="zh-CN"/>
              </w:rPr>
              <w:t>.1</w:t>
            </w:r>
          </w:p>
        </w:tc>
        <w:tc>
          <w:tcPr>
            <w:tcW w:w="1426" w:type="pct"/>
            <w:tcBorders>
              <w:top w:val="single" w:color="auto" w:sz="6" w:space="0"/>
              <w:left w:val="nil"/>
              <w:bottom w:val="single" w:color="auto" w:sz="6" w:space="0"/>
              <w:right w:val="single" w:color="auto" w:sz="4" w:space="0"/>
            </w:tcBorders>
            <w:shd w:val="clear" w:color="auto" w:fill="auto"/>
            <w:noWrap w:val="0"/>
            <w:tcMar>
              <w:left w:w="0" w:type="dxa"/>
              <w:right w:w="0" w:type="dxa"/>
            </w:tcMar>
            <w:vAlign w:val="center"/>
          </w:tcPr>
          <w:p w14:paraId="16C10E0E">
            <w:pPr>
              <w:keepNext w:val="0"/>
              <w:keepLines w:val="0"/>
              <w:pageBreakBefore w:val="0"/>
              <w:widowControl w:val="0"/>
              <w:kinsoku/>
              <w:wordWrap/>
              <w:overflowPunct/>
              <w:topLinePunct w:val="0"/>
              <w:bidi w:val="0"/>
              <w:adjustRightInd/>
              <w:spacing w:line="360" w:lineRule="auto"/>
              <w:jc w:val="center"/>
              <w:textAlignment w:val="auto"/>
              <w:rPr>
                <w:rFonts w:hint="eastAsia" w:ascii="宋体" w:cs="宋体"/>
                <w:color w:val="000000"/>
                <w:highlight w:val="none"/>
                <w:lang w:val="zh-CN"/>
              </w:rPr>
            </w:pPr>
            <w:r>
              <w:rPr>
                <w:rFonts w:hint="eastAsia" w:ascii="宋体" w:cs="宋体"/>
                <w:color w:val="000000"/>
                <w:highlight w:val="none"/>
                <w:lang w:val="zh-CN"/>
              </w:rPr>
              <w:t>不良行为记录</w:t>
            </w:r>
          </w:p>
        </w:tc>
        <w:tc>
          <w:tcPr>
            <w:tcW w:w="3135" w:type="pct"/>
            <w:tcBorders>
              <w:top w:val="single" w:color="auto" w:sz="6" w:space="0"/>
              <w:left w:val="nil"/>
              <w:bottom w:val="single" w:color="auto" w:sz="6" w:space="0"/>
              <w:right w:val="double" w:color="auto" w:sz="2" w:space="0"/>
            </w:tcBorders>
            <w:noWrap w:val="0"/>
            <w:tcMar>
              <w:left w:w="0" w:type="dxa"/>
              <w:right w:w="0" w:type="dxa"/>
            </w:tcMar>
            <w:vAlign w:val="center"/>
          </w:tcPr>
          <w:p w14:paraId="73957E39">
            <w:pPr>
              <w:keepNext w:val="0"/>
              <w:keepLines w:val="0"/>
              <w:pageBreakBefore w:val="0"/>
              <w:widowControl w:val="0"/>
              <w:kinsoku/>
              <w:wordWrap/>
              <w:overflowPunct/>
              <w:topLinePunct w:val="0"/>
              <w:bidi w:val="0"/>
              <w:adjustRightInd/>
              <w:spacing w:line="360" w:lineRule="auto"/>
              <w:textAlignment w:val="auto"/>
              <w:rPr>
                <w:rFonts w:hint="eastAsia" w:ascii="宋体" w:cs="宋体"/>
                <w:color w:val="000000"/>
                <w:highlight w:val="none"/>
                <w:lang w:val="zh-CN"/>
              </w:rPr>
            </w:pPr>
            <w:r>
              <w:rPr>
                <w:rFonts w:hint="eastAsia" w:ascii="宋体" w:cs="宋体"/>
                <w:color w:val="000000"/>
                <w:highlight w:val="none"/>
                <w:lang w:val="zh-CN"/>
              </w:rPr>
              <w:t>不良行为记录是指：地方政府、政府部门颁发的规章或规范性文件所提到的不良行为记录。其“不良行为”，是指行业各方主体和从业人员的不良市场行为，即在从事该行业活动中，违反国家和省有关法律、法规、规章、强制性标准条文、规范、规程及规范性文件等行为。对这些不良行为的记录，存放在有关行政管理部门。</w:t>
            </w:r>
          </w:p>
        </w:tc>
      </w:tr>
      <w:tr w14:paraId="11238853">
        <w:tblPrEx>
          <w:tblCellMar>
            <w:top w:w="0" w:type="dxa"/>
            <w:left w:w="108" w:type="dxa"/>
            <w:bottom w:w="0" w:type="dxa"/>
            <w:right w:w="108" w:type="dxa"/>
          </w:tblCellMar>
        </w:tblPrEx>
        <w:trPr>
          <w:trHeight w:val="1251" w:hRule="exact"/>
          <w:jc w:val="center"/>
        </w:trPr>
        <w:tc>
          <w:tcPr>
            <w:tcW w:w="438" w:type="pct"/>
            <w:tcBorders>
              <w:top w:val="single" w:color="auto" w:sz="6" w:space="0"/>
              <w:left w:val="double" w:color="auto" w:sz="2" w:space="0"/>
              <w:bottom w:val="single" w:color="auto" w:sz="6" w:space="0"/>
              <w:right w:val="single" w:color="auto" w:sz="4" w:space="0"/>
            </w:tcBorders>
            <w:noWrap w:val="0"/>
            <w:tcMar>
              <w:left w:w="0" w:type="dxa"/>
              <w:right w:w="0" w:type="dxa"/>
            </w:tcMar>
            <w:vAlign w:val="center"/>
          </w:tcPr>
          <w:p w14:paraId="134FF0BB">
            <w:pPr>
              <w:keepNext w:val="0"/>
              <w:keepLines w:val="0"/>
              <w:pageBreakBefore w:val="0"/>
              <w:widowControl w:val="0"/>
              <w:kinsoku/>
              <w:wordWrap/>
              <w:overflowPunct/>
              <w:topLinePunct w:val="0"/>
              <w:bidi w:val="0"/>
              <w:adjustRightInd/>
              <w:spacing w:line="360" w:lineRule="auto"/>
              <w:jc w:val="center"/>
              <w:textAlignment w:val="auto"/>
              <w:rPr>
                <w:rFonts w:hint="eastAsia" w:ascii="宋体" w:cs="宋体"/>
                <w:color w:val="000000"/>
                <w:highlight w:val="none"/>
                <w:lang w:val="zh-CN"/>
              </w:rPr>
            </w:pPr>
            <w:r>
              <w:rPr>
                <w:rFonts w:hint="eastAsia" w:ascii="宋体" w:cs="宋体"/>
                <w:color w:val="000000"/>
                <w:highlight w:val="none"/>
                <w:lang w:val="zh-CN"/>
              </w:rPr>
              <w:t>3</w:t>
            </w:r>
            <w:r>
              <w:rPr>
                <w:rFonts w:hint="eastAsia" w:ascii="宋体" w:cs="宋体"/>
                <w:color w:val="000000"/>
                <w:highlight w:val="none"/>
              </w:rPr>
              <w:t>7</w:t>
            </w:r>
            <w:r>
              <w:rPr>
                <w:rFonts w:hint="eastAsia" w:ascii="宋体" w:cs="宋体"/>
                <w:color w:val="000000"/>
                <w:highlight w:val="none"/>
                <w:lang w:val="zh-CN"/>
              </w:rPr>
              <w:t>.</w:t>
            </w:r>
            <w:r>
              <w:rPr>
                <w:rFonts w:hint="eastAsia" w:ascii="宋体" w:cs="宋体"/>
                <w:color w:val="000000"/>
                <w:highlight w:val="none"/>
              </w:rPr>
              <w:t>2</w:t>
            </w:r>
          </w:p>
        </w:tc>
        <w:tc>
          <w:tcPr>
            <w:tcW w:w="1426" w:type="pct"/>
            <w:tcBorders>
              <w:top w:val="single" w:color="auto" w:sz="6" w:space="0"/>
              <w:left w:val="nil"/>
              <w:bottom w:val="single" w:color="auto" w:sz="6" w:space="0"/>
              <w:right w:val="single" w:color="auto" w:sz="4" w:space="0"/>
            </w:tcBorders>
            <w:noWrap w:val="0"/>
            <w:tcMar>
              <w:left w:w="0" w:type="dxa"/>
              <w:right w:w="0" w:type="dxa"/>
            </w:tcMar>
            <w:vAlign w:val="center"/>
          </w:tcPr>
          <w:p w14:paraId="37F1B52F">
            <w:pPr>
              <w:keepNext w:val="0"/>
              <w:keepLines w:val="0"/>
              <w:pageBreakBefore w:val="0"/>
              <w:widowControl w:val="0"/>
              <w:kinsoku/>
              <w:wordWrap/>
              <w:overflowPunct/>
              <w:topLinePunct w:val="0"/>
              <w:bidi w:val="0"/>
              <w:adjustRightInd/>
              <w:spacing w:line="360" w:lineRule="auto"/>
              <w:jc w:val="center"/>
              <w:textAlignment w:val="auto"/>
              <w:rPr>
                <w:rFonts w:hint="eastAsia" w:ascii="宋体" w:cs="宋体"/>
                <w:color w:val="000000"/>
                <w:highlight w:val="none"/>
                <w:lang w:val="zh-CN"/>
              </w:rPr>
            </w:pPr>
            <w:r>
              <w:rPr>
                <w:rFonts w:hint="eastAsia" w:ascii="宋体" w:cs="宋体"/>
                <w:color w:val="000000"/>
                <w:highlight w:val="none"/>
                <w:lang w:val="zh-CN"/>
              </w:rPr>
              <w:t>最高投标限价</w:t>
            </w:r>
          </w:p>
        </w:tc>
        <w:tc>
          <w:tcPr>
            <w:tcW w:w="3135" w:type="pct"/>
            <w:tcBorders>
              <w:top w:val="single" w:color="auto" w:sz="6" w:space="0"/>
              <w:left w:val="nil"/>
              <w:bottom w:val="single" w:color="auto" w:sz="6" w:space="0"/>
              <w:right w:val="double" w:color="auto" w:sz="2" w:space="0"/>
            </w:tcBorders>
            <w:noWrap w:val="0"/>
            <w:tcMar>
              <w:left w:w="0" w:type="dxa"/>
              <w:right w:w="0" w:type="dxa"/>
            </w:tcMar>
            <w:vAlign w:val="center"/>
          </w:tcPr>
          <w:p w14:paraId="44B16B1F">
            <w:pPr>
              <w:keepNext w:val="0"/>
              <w:keepLines w:val="0"/>
              <w:pageBreakBefore w:val="0"/>
              <w:widowControl w:val="0"/>
              <w:kinsoku/>
              <w:wordWrap/>
              <w:overflowPunct/>
              <w:topLinePunct w:val="0"/>
              <w:bidi w:val="0"/>
              <w:adjustRightInd/>
              <w:spacing w:line="360" w:lineRule="auto"/>
              <w:textAlignment w:val="auto"/>
              <w:rPr>
                <w:rFonts w:hint="default" w:ascii="宋体" w:cs="宋体"/>
                <w:color w:val="000000"/>
                <w:highlight w:val="none"/>
                <w:lang w:val="en-US" w:eastAsia="zh-CN"/>
              </w:rPr>
            </w:pPr>
            <w:r>
              <w:rPr>
                <w:rFonts w:hint="eastAsia" w:ascii="宋体" w:hAnsi="宋体" w:eastAsia="宋体" w:cs="宋体"/>
                <w:color w:val="auto"/>
                <w:spacing w:val="-1"/>
                <w:sz w:val="21"/>
                <w:szCs w:val="21"/>
                <w:highlight w:val="none"/>
                <w:lang w:val="en-US" w:eastAsia="zh-CN"/>
              </w:rPr>
              <w:t>4,305,963元</w:t>
            </w:r>
            <w:r>
              <w:rPr>
                <w:rFonts w:hint="eastAsia" w:ascii="宋体" w:cs="宋体"/>
                <w:color w:val="000000"/>
                <w:highlight w:val="none"/>
                <w:lang w:eastAsia="zh-CN"/>
              </w:rPr>
              <w:t>（含税）</w:t>
            </w:r>
          </w:p>
          <w:p w14:paraId="693F87B8">
            <w:pPr>
              <w:keepNext w:val="0"/>
              <w:keepLines w:val="0"/>
              <w:pageBreakBefore w:val="0"/>
              <w:widowControl w:val="0"/>
              <w:kinsoku/>
              <w:wordWrap/>
              <w:overflowPunct/>
              <w:topLinePunct w:val="0"/>
              <w:bidi w:val="0"/>
              <w:adjustRightInd/>
              <w:spacing w:line="360" w:lineRule="auto"/>
              <w:textAlignment w:val="auto"/>
              <w:rPr>
                <w:rFonts w:hint="default" w:ascii="宋体" w:cs="宋体"/>
                <w:color w:val="000000"/>
                <w:highlight w:val="none"/>
                <w:lang w:val="en-US"/>
              </w:rPr>
            </w:pPr>
            <w:r>
              <w:rPr>
                <w:rFonts w:hint="eastAsia" w:ascii="宋体" w:cs="宋体"/>
                <w:b/>
                <w:bCs/>
                <w:color w:val="auto"/>
                <w:highlight w:val="none"/>
                <w:lang w:val="en-US" w:eastAsia="zh-CN"/>
              </w:rPr>
              <w:t>注：</w:t>
            </w:r>
            <w:r>
              <w:rPr>
                <w:rFonts w:hint="eastAsia" w:ascii="宋体" w:hAnsi="宋体" w:cs="宋体"/>
                <w:b/>
                <w:bCs/>
                <w:color w:val="auto"/>
                <w:highlight w:val="none"/>
                <w:lang w:val="en-US" w:eastAsia="zh-CN"/>
              </w:rPr>
              <w:t>总价不得超过采购预算</w:t>
            </w:r>
            <w:r>
              <w:rPr>
                <w:rFonts w:hint="eastAsia" w:hAnsi="宋体" w:cs="宋体"/>
                <w:b/>
                <w:bCs/>
                <w:color w:val="auto"/>
                <w:highlight w:val="none"/>
                <w:lang w:val="en-US" w:eastAsia="zh-CN"/>
              </w:rPr>
              <w:t>最高投标限价，各分项报价不得超过采购人提供各分项报价最高投标限价。</w:t>
            </w:r>
          </w:p>
        </w:tc>
      </w:tr>
      <w:tr w14:paraId="3F877C72">
        <w:tblPrEx>
          <w:tblCellMar>
            <w:top w:w="0" w:type="dxa"/>
            <w:left w:w="108" w:type="dxa"/>
            <w:bottom w:w="0" w:type="dxa"/>
            <w:right w:w="108" w:type="dxa"/>
          </w:tblCellMar>
        </w:tblPrEx>
        <w:trPr>
          <w:trHeight w:val="2029" w:hRule="exact"/>
          <w:jc w:val="center"/>
        </w:trPr>
        <w:tc>
          <w:tcPr>
            <w:tcW w:w="438" w:type="pct"/>
            <w:tcBorders>
              <w:top w:val="single" w:color="auto" w:sz="6" w:space="0"/>
              <w:left w:val="double" w:color="auto" w:sz="2" w:space="0"/>
              <w:bottom w:val="single" w:color="auto" w:sz="6" w:space="0"/>
              <w:right w:val="single" w:color="auto" w:sz="4" w:space="0"/>
            </w:tcBorders>
            <w:noWrap w:val="0"/>
            <w:tcMar>
              <w:left w:w="0" w:type="dxa"/>
              <w:right w:w="0" w:type="dxa"/>
            </w:tcMar>
            <w:vAlign w:val="center"/>
          </w:tcPr>
          <w:p w14:paraId="33112F14">
            <w:pPr>
              <w:keepNext w:val="0"/>
              <w:keepLines w:val="0"/>
              <w:pageBreakBefore w:val="0"/>
              <w:widowControl w:val="0"/>
              <w:kinsoku/>
              <w:wordWrap/>
              <w:overflowPunct/>
              <w:topLinePunct w:val="0"/>
              <w:bidi w:val="0"/>
              <w:adjustRightInd/>
              <w:spacing w:line="360" w:lineRule="auto"/>
              <w:jc w:val="center"/>
              <w:textAlignment w:val="auto"/>
              <w:rPr>
                <w:rFonts w:hint="eastAsia" w:ascii="宋体" w:cs="宋体"/>
                <w:color w:val="000000"/>
                <w:highlight w:val="none"/>
                <w:lang w:val="zh-CN"/>
              </w:rPr>
            </w:pPr>
            <w:r>
              <w:rPr>
                <w:rFonts w:hint="eastAsia" w:ascii="宋体" w:cs="宋体"/>
                <w:color w:val="000000"/>
                <w:highlight w:val="none"/>
                <w:lang w:val="zh-CN"/>
              </w:rPr>
              <w:t>3</w:t>
            </w:r>
            <w:r>
              <w:rPr>
                <w:rFonts w:hint="eastAsia" w:ascii="宋体" w:cs="宋体"/>
                <w:color w:val="000000"/>
                <w:highlight w:val="none"/>
              </w:rPr>
              <w:t>7</w:t>
            </w:r>
            <w:r>
              <w:rPr>
                <w:rFonts w:hint="eastAsia" w:ascii="宋体" w:cs="宋体"/>
                <w:color w:val="000000"/>
                <w:highlight w:val="none"/>
                <w:lang w:val="zh-CN"/>
              </w:rPr>
              <w:t>.</w:t>
            </w:r>
            <w:r>
              <w:rPr>
                <w:rFonts w:hint="eastAsia" w:ascii="宋体" w:cs="宋体"/>
                <w:color w:val="000000"/>
                <w:highlight w:val="none"/>
              </w:rPr>
              <w:t>3</w:t>
            </w:r>
          </w:p>
        </w:tc>
        <w:tc>
          <w:tcPr>
            <w:tcW w:w="1426" w:type="pct"/>
            <w:tcBorders>
              <w:top w:val="single" w:color="auto" w:sz="6" w:space="0"/>
              <w:left w:val="nil"/>
              <w:bottom w:val="single" w:color="auto" w:sz="6" w:space="0"/>
              <w:right w:val="single" w:color="auto" w:sz="4" w:space="0"/>
            </w:tcBorders>
            <w:noWrap w:val="0"/>
            <w:tcMar>
              <w:left w:w="0" w:type="dxa"/>
              <w:right w:w="0" w:type="dxa"/>
            </w:tcMar>
            <w:vAlign w:val="center"/>
          </w:tcPr>
          <w:p w14:paraId="2734FC2F">
            <w:pPr>
              <w:keepNext w:val="0"/>
              <w:keepLines w:val="0"/>
              <w:pageBreakBefore w:val="0"/>
              <w:widowControl w:val="0"/>
              <w:kinsoku/>
              <w:wordWrap/>
              <w:overflowPunct/>
              <w:topLinePunct w:val="0"/>
              <w:bidi w:val="0"/>
              <w:adjustRightInd/>
              <w:spacing w:line="360" w:lineRule="auto"/>
              <w:jc w:val="center"/>
              <w:textAlignment w:val="auto"/>
              <w:rPr>
                <w:rFonts w:hint="eastAsia" w:ascii="宋体" w:cs="宋体"/>
                <w:color w:val="000000"/>
                <w:highlight w:val="none"/>
                <w:lang w:val="zh-CN"/>
              </w:rPr>
            </w:pPr>
            <w:r>
              <w:rPr>
                <w:rFonts w:hint="eastAsia" w:ascii="宋体" w:cs="宋体"/>
                <w:color w:val="000000"/>
                <w:highlight w:val="none"/>
                <w:lang w:val="zh-CN"/>
              </w:rPr>
              <w:t>招标代理服务费</w:t>
            </w:r>
          </w:p>
        </w:tc>
        <w:tc>
          <w:tcPr>
            <w:tcW w:w="3135" w:type="pct"/>
            <w:tcBorders>
              <w:top w:val="single" w:color="auto" w:sz="6" w:space="0"/>
              <w:left w:val="nil"/>
              <w:bottom w:val="single" w:color="auto" w:sz="6" w:space="0"/>
              <w:right w:val="double" w:color="auto" w:sz="2" w:space="0"/>
            </w:tcBorders>
            <w:noWrap w:val="0"/>
            <w:vAlign w:val="center"/>
          </w:tcPr>
          <w:p w14:paraId="41AF78D4">
            <w:pPr>
              <w:keepNext w:val="0"/>
              <w:keepLines w:val="0"/>
              <w:pageBreakBefore w:val="0"/>
              <w:widowControl w:val="0"/>
              <w:kinsoku/>
              <w:wordWrap/>
              <w:overflowPunct/>
              <w:topLinePunct w:val="0"/>
              <w:bidi w:val="0"/>
              <w:adjustRightInd/>
              <w:spacing w:line="360" w:lineRule="auto"/>
              <w:textAlignment w:val="auto"/>
              <w:rPr>
                <w:rFonts w:hint="eastAsia" w:ascii="宋体" w:cs="宋体"/>
                <w:color w:val="000000"/>
                <w:highlight w:val="none"/>
                <w:lang w:val="zh-CN"/>
              </w:rPr>
            </w:pPr>
            <w:r>
              <w:rPr>
                <w:rFonts w:hint="eastAsia" w:ascii="宋体" w:cs="宋体"/>
                <w:color w:val="000000"/>
                <w:highlight w:val="none"/>
                <w:lang w:val="zh-CN"/>
              </w:rPr>
              <w:t>收取依据：执行发改办价格[2015]299号文件收费标准向中标人收取</w:t>
            </w:r>
            <w:r>
              <w:rPr>
                <w:rFonts w:hint="eastAsia" w:ascii="宋体" w:cs="宋体"/>
                <w:color w:val="000000"/>
                <w:highlight w:val="none"/>
                <w:lang w:val="en-US" w:eastAsia="zh-CN"/>
              </w:rPr>
              <w:t>8.6万元</w:t>
            </w:r>
            <w:r>
              <w:rPr>
                <w:rFonts w:hint="eastAsia" w:ascii="宋体" w:cs="宋体"/>
                <w:color w:val="000000"/>
                <w:highlight w:val="none"/>
                <w:lang w:val="zh-CN"/>
              </w:rPr>
              <w:t>。</w:t>
            </w:r>
          </w:p>
          <w:p w14:paraId="6EFC2708">
            <w:pPr>
              <w:keepNext w:val="0"/>
              <w:keepLines w:val="0"/>
              <w:pageBreakBefore w:val="0"/>
              <w:widowControl w:val="0"/>
              <w:kinsoku/>
              <w:wordWrap/>
              <w:overflowPunct/>
              <w:topLinePunct w:val="0"/>
              <w:bidi w:val="0"/>
              <w:adjustRightInd/>
              <w:spacing w:line="360" w:lineRule="auto"/>
              <w:textAlignment w:val="auto"/>
              <w:rPr>
                <w:rFonts w:hint="eastAsia" w:ascii="宋体" w:cs="宋体" w:eastAsiaTheme="minorEastAsia"/>
                <w:color w:val="000000"/>
                <w:highlight w:val="none"/>
                <w:lang w:val="en-US" w:eastAsia="zh-CN"/>
              </w:rPr>
            </w:pPr>
            <w:r>
              <w:rPr>
                <w:rFonts w:hint="eastAsia" w:ascii="宋体" w:cs="宋体"/>
                <w:color w:val="000000"/>
                <w:highlight w:val="none"/>
                <w:lang w:val="en-US" w:eastAsia="zh-CN"/>
              </w:rPr>
              <w:t>收款账户：吉林省捷冠工程管理有限公司</w:t>
            </w:r>
          </w:p>
          <w:p w14:paraId="386536F3">
            <w:pPr>
              <w:keepNext w:val="0"/>
              <w:keepLines w:val="0"/>
              <w:pageBreakBefore w:val="0"/>
              <w:widowControl w:val="0"/>
              <w:kinsoku/>
              <w:wordWrap/>
              <w:overflowPunct/>
              <w:topLinePunct w:val="0"/>
              <w:bidi w:val="0"/>
              <w:adjustRightInd/>
              <w:spacing w:line="360" w:lineRule="auto"/>
              <w:textAlignment w:val="auto"/>
              <w:rPr>
                <w:rFonts w:hint="default" w:ascii="宋体" w:cs="宋体" w:eastAsiaTheme="minorEastAsia"/>
                <w:color w:val="000000"/>
                <w:highlight w:val="none"/>
                <w:lang w:val="en-US" w:eastAsia="zh-CN"/>
              </w:rPr>
            </w:pPr>
            <w:r>
              <w:rPr>
                <w:rFonts w:hint="default" w:ascii="宋体" w:cs="宋体" w:eastAsiaTheme="minorEastAsia"/>
                <w:color w:val="000000"/>
                <w:highlight w:val="none"/>
                <w:lang w:val="en-US" w:eastAsia="zh-CN"/>
              </w:rPr>
              <w:t>账户号码:160466486334</w:t>
            </w:r>
          </w:p>
          <w:p w14:paraId="58A02F79">
            <w:pPr>
              <w:keepNext w:val="0"/>
              <w:keepLines w:val="0"/>
              <w:pageBreakBefore w:val="0"/>
              <w:widowControl w:val="0"/>
              <w:kinsoku/>
              <w:wordWrap/>
              <w:overflowPunct/>
              <w:topLinePunct w:val="0"/>
              <w:bidi w:val="0"/>
              <w:adjustRightInd/>
              <w:spacing w:line="360" w:lineRule="auto"/>
              <w:textAlignment w:val="auto"/>
              <w:rPr>
                <w:rFonts w:hint="default" w:ascii="宋体" w:cs="宋体" w:eastAsiaTheme="minorEastAsia"/>
                <w:color w:val="000000"/>
                <w:highlight w:val="none"/>
                <w:lang w:val="en-US" w:eastAsia="zh-CN"/>
              </w:rPr>
            </w:pPr>
            <w:r>
              <w:rPr>
                <w:rFonts w:hint="eastAsia" w:ascii="宋体" w:cs="宋体"/>
                <w:color w:val="000000"/>
                <w:highlight w:val="none"/>
                <w:lang w:val="en-US" w:eastAsia="zh-CN"/>
              </w:rPr>
              <w:t>开户行：</w:t>
            </w:r>
            <w:r>
              <w:rPr>
                <w:rFonts w:hint="default" w:ascii="宋体" w:cs="宋体" w:eastAsiaTheme="minorEastAsia"/>
                <w:color w:val="000000"/>
                <w:highlight w:val="none"/>
                <w:lang w:val="en-US" w:eastAsia="zh-CN"/>
              </w:rPr>
              <w:t>中国银行股份有限公司长春朝阳支行</w:t>
            </w:r>
          </w:p>
        </w:tc>
      </w:tr>
      <w:tr w14:paraId="120A5F25">
        <w:tblPrEx>
          <w:tblCellMar>
            <w:top w:w="0" w:type="dxa"/>
            <w:left w:w="108" w:type="dxa"/>
            <w:bottom w:w="0" w:type="dxa"/>
            <w:right w:w="108" w:type="dxa"/>
          </w:tblCellMar>
        </w:tblPrEx>
        <w:trPr>
          <w:trHeight w:val="520" w:hRule="exact"/>
          <w:jc w:val="center"/>
        </w:trPr>
        <w:tc>
          <w:tcPr>
            <w:tcW w:w="438" w:type="pct"/>
            <w:tcBorders>
              <w:top w:val="single" w:color="auto" w:sz="6" w:space="0"/>
              <w:left w:val="double" w:color="auto" w:sz="2" w:space="0"/>
              <w:bottom w:val="single" w:color="auto" w:sz="6" w:space="0"/>
              <w:right w:val="single" w:color="auto" w:sz="4" w:space="0"/>
            </w:tcBorders>
            <w:noWrap w:val="0"/>
            <w:tcMar>
              <w:left w:w="0" w:type="dxa"/>
              <w:right w:w="0" w:type="dxa"/>
            </w:tcMar>
            <w:vAlign w:val="center"/>
          </w:tcPr>
          <w:p w14:paraId="02200B4B">
            <w:pPr>
              <w:keepNext w:val="0"/>
              <w:keepLines w:val="0"/>
              <w:pageBreakBefore w:val="0"/>
              <w:widowControl w:val="0"/>
              <w:kinsoku/>
              <w:wordWrap/>
              <w:overflowPunct/>
              <w:topLinePunct w:val="0"/>
              <w:bidi w:val="0"/>
              <w:adjustRightInd/>
              <w:spacing w:line="360" w:lineRule="auto"/>
              <w:jc w:val="center"/>
              <w:textAlignment w:val="auto"/>
              <w:rPr>
                <w:rFonts w:hint="eastAsia" w:ascii="宋体" w:cs="宋体"/>
                <w:color w:val="000000"/>
                <w:highlight w:val="none"/>
                <w:lang w:val="zh-CN"/>
              </w:rPr>
            </w:pPr>
            <w:r>
              <w:rPr>
                <w:rFonts w:hint="eastAsia" w:ascii="宋体" w:cs="宋体"/>
                <w:color w:val="000000"/>
                <w:highlight w:val="none"/>
                <w:lang w:val="zh-CN"/>
              </w:rPr>
              <w:t>3</w:t>
            </w:r>
            <w:r>
              <w:rPr>
                <w:rFonts w:hint="eastAsia" w:ascii="宋体" w:cs="宋体"/>
                <w:color w:val="000000"/>
                <w:highlight w:val="none"/>
              </w:rPr>
              <w:t>7</w:t>
            </w:r>
            <w:r>
              <w:rPr>
                <w:rFonts w:hint="eastAsia" w:ascii="宋体" w:cs="宋体"/>
                <w:color w:val="000000"/>
                <w:highlight w:val="none"/>
                <w:lang w:val="zh-CN"/>
              </w:rPr>
              <w:t>.</w:t>
            </w:r>
            <w:r>
              <w:rPr>
                <w:rFonts w:hint="eastAsia" w:ascii="宋体" w:cs="宋体"/>
                <w:color w:val="000000"/>
                <w:highlight w:val="none"/>
              </w:rPr>
              <w:t>4</w:t>
            </w:r>
          </w:p>
        </w:tc>
        <w:tc>
          <w:tcPr>
            <w:tcW w:w="1426" w:type="pct"/>
            <w:tcBorders>
              <w:top w:val="single" w:color="auto" w:sz="6" w:space="0"/>
              <w:left w:val="nil"/>
              <w:bottom w:val="single" w:color="auto" w:sz="6" w:space="0"/>
              <w:right w:val="single" w:color="auto" w:sz="4" w:space="0"/>
            </w:tcBorders>
            <w:noWrap w:val="0"/>
            <w:tcMar>
              <w:left w:w="0" w:type="dxa"/>
              <w:right w:w="0" w:type="dxa"/>
            </w:tcMar>
            <w:vAlign w:val="center"/>
          </w:tcPr>
          <w:p w14:paraId="345AECF9">
            <w:pPr>
              <w:keepNext w:val="0"/>
              <w:keepLines w:val="0"/>
              <w:pageBreakBefore w:val="0"/>
              <w:widowControl w:val="0"/>
              <w:kinsoku/>
              <w:wordWrap/>
              <w:overflowPunct/>
              <w:topLinePunct w:val="0"/>
              <w:bidi w:val="0"/>
              <w:adjustRightInd/>
              <w:spacing w:line="360" w:lineRule="auto"/>
              <w:jc w:val="center"/>
              <w:textAlignment w:val="auto"/>
              <w:rPr>
                <w:rFonts w:hint="eastAsia" w:ascii="宋体" w:cs="宋体"/>
                <w:color w:val="000000"/>
                <w:highlight w:val="none"/>
                <w:lang w:val="zh-CN"/>
              </w:rPr>
            </w:pPr>
            <w:r>
              <w:rPr>
                <w:rFonts w:hint="eastAsia" w:ascii="宋体" w:cs="宋体"/>
                <w:color w:val="000000"/>
                <w:highlight w:val="none"/>
                <w:lang w:val="zh-CN"/>
              </w:rPr>
              <w:t>付款方式</w:t>
            </w:r>
          </w:p>
        </w:tc>
        <w:tc>
          <w:tcPr>
            <w:tcW w:w="3135" w:type="pct"/>
            <w:tcBorders>
              <w:top w:val="single" w:color="auto" w:sz="6" w:space="0"/>
              <w:left w:val="nil"/>
              <w:bottom w:val="single" w:color="auto" w:sz="6" w:space="0"/>
              <w:right w:val="double" w:color="auto" w:sz="2" w:space="0"/>
            </w:tcBorders>
            <w:noWrap w:val="0"/>
            <w:vAlign w:val="center"/>
          </w:tcPr>
          <w:p w14:paraId="2F94BEA0">
            <w:pPr>
              <w:keepNext w:val="0"/>
              <w:keepLines w:val="0"/>
              <w:pageBreakBefore w:val="0"/>
              <w:widowControl w:val="0"/>
              <w:kinsoku/>
              <w:wordWrap/>
              <w:overflowPunct/>
              <w:topLinePunct w:val="0"/>
              <w:bidi w:val="0"/>
              <w:adjustRightInd/>
              <w:spacing w:line="360" w:lineRule="auto"/>
              <w:textAlignment w:val="auto"/>
              <w:rPr>
                <w:rFonts w:hint="default" w:ascii="宋体" w:cs="宋体"/>
                <w:color w:val="000000"/>
                <w:highlight w:val="none"/>
                <w:lang w:val="en-US"/>
              </w:rPr>
            </w:pPr>
            <w:r>
              <w:rPr>
                <w:rFonts w:hint="default" w:ascii="宋体" w:cs="宋体"/>
                <w:color w:val="000000"/>
                <w:highlight w:val="none"/>
                <w:lang w:val="en-US"/>
              </w:rPr>
              <w:t>甲乙双方合同中另行约定</w:t>
            </w:r>
          </w:p>
        </w:tc>
      </w:tr>
      <w:tr w14:paraId="53E19970">
        <w:tblPrEx>
          <w:tblCellMar>
            <w:top w:w="0" w:type="dxa"/>
            <w:left w:w="108" w:type="dxa"/>
            <w:bottom w:w="0" w:type="dxa"/>
            <w:right w:w="108" w:type="dxa"/>
          </w:tblCellMar>
        </w:tblPrEx>
        <w:trPr>
          <w:trHeight w:val="1175" w:hRule="exact"/>
          <w:jc w:val="center"/>
        </w:trPr>
        <w:tc>
          <w:tcPr>
            <w:tcW w:w="438" w:type="pct"/>
            <w:tcBorders>
              <w:top w:val="single" w:color="auto" w:sz="6" w:space="0"/>
              <w:left w:val="double" w:color="auto" w:sz="2" w:space="0"/>
              <w:bottom w:val="single" w:color="auto" w:sz="6" w:space="0"/>
              <w:right w:val="single" w:color="auto" w:sz="4" w:space="0"/>
            </w:tcBorders>
            <w:noWrap w:val="0"/>
            <w:tcMar>
              <w:left w:w="0" w:type="dxa"/>
              <w:right w:w="0" w:type="dxa"/>
            </w:tcMar>
            <w:vAlign w:val="center"/>
          </w:tcPr>
          <w:p w14:paraId="0F8D34BC">
            <w:pPr>
              <w:keepNext w:val="0"/>
              <w:keepLines w:val="0"/>
              <w:pageBreakBefore w:val="0"/>
              <w:widowControl w:val="0"/>
              <w:kinsoku/>
              <w:wordWrap/>
              <w:overflowPunct/>
              <w:topLinePunct w:val="0"/>
              <w:bidi w:val="0"/>
              <w:adjustRightInd/>
              <w:spacing w:line="360" w:lineRule="auto"/>
              <w:jc w:val="center"/>
              <w:textAlignment w:val="auto"/>
              <w:rPr>
                <w:rFonts w:hint="eastAsia" w:ascii="宋体" w:cs="宋体"/>
                <w:color w:val="000000"/>
                <w:highlight w:val="none"/>
                <w:lang w:val="zh-CN"/>
              </w:rPr>
            </w:pPr>
            <w:r>
              <w:rPr>
                <w:rFonts w:hint="eastAsia" w:ascii="宋体" w:cs="宋体"/>
                <w:color w:val="000000"/>
                <w:highlight w:val="none"/>
                <w:lang w:val="zh-CN"/>
              </w:rPr>
              <w:t>3</w:t>
            </w:r>
            <w:r>
              <w:rPr>
                <w:rFonts w:hint="eastAsia" w:ascii="宋体" w:cs="宋体"/>
                <w:color w:val="000000"/>
                <w:highlight w:val="none"/>
              </w:rPr>
              <w:t>7</w:t>
            </w:r>
            <w:r>
              <w:rPr>
                <w:rFonts w:hint="eastAsia" w:ascii="宋体" w:cs="宋体"/>
                <w:color w:val="000000"/>
                <w:highlight w:val="none"/>
                <w:lang w:val="zh-CN"/>
              </w:rPr>
              <w:t>.</w:t>
            </w:r>
            <w:r>
              <w:rPr>
                <w:rFonts w:hint="eastAsia" w:ascii="宋体" w:cs="宋体"/>
                <w:color w:val="000000"/>
                <w:highlight w:val="none"/>
              </w:rPr>
              <w:t>5</w:t>
            </w:r>
          </w:p>
        </w:tc>
        <w:tc>
          <w:tcPr>
            <w:tcW w:w="1426" w:type="pct"/>
            <w:tcBorders>
              <w:top w:val="single" w:color="auto" w:sz="6" w:space="0"/>
              <w:left w:val="nil"/>
              <w:bottom w:val="single" w:color="auto" w:sz="6" w:space="0"/>
              <w:right w:val="single" w:color="auto" w:sz="4" w:space="0"/>
            </w:tcBorders>
            <w:noWrap w:val="0"/>
            <w:tcMar>
              <w:left w:w="0" w:type="dxa"/>
              <w:right w:w="0" w:type="dxa"/>
            </w:tcMar>
            <w:vAlign w:val="center"/>
          </w:tcPr>
          <w:p w14:paraId="47A5B89E">
            <w:pPr>
              <w:keepNext w:val="0"/>
              <w:keepLines w:val="0"/>
              <w:pageBreakBefore w:val="0"/>
              <w:widowControl w:val="0"/>
              <w:kinsoku/>
              <w:wordWrap/>
              <w:overflowPunct/>
              <w:topLinePunct w:val="0"/>
              <w:bidi w:val="0"/>
              <w:adjustRightInd/>
              <w:spacing w:line="360" w:lineRule="auto"/>
              <w:jc w:val="center"/>
              <w:textAlignment w:val="auto"/>
              <w:rPr>
                <w:rFonts w:hint="eastAsia" w:ascii="宋体" w:cs="宋体"/>
                <w:color w:val="000000"/>
                <w:highlight w:val="none"/>
                <w:lang w:val="zh-CN"/>
              </w:rPr>
            </w:pPr>
            <w:r>
              <w:rPr>
                <w:rFonts w:hint="eastAsia" w:ascii="宋体" w:cs="宋体"/>
                <w:color w:val="000000"/>
                <w:highlight w:val="none"/>
                <w:lang w:val="zh-CN"/>
              </w:rPr>
              <w:t>中标公示</w:t>
            </w:r>
          </w:p>
        </w:tc>
        <w:tc>
          <w:tcPr>
            <w:tcW w:w="3135" w:type="pct"/>
            <w:tcBorders>
              <w:top w:val="single" w:color="auto" w:sz="6" w:space="0"/>
              <w:left w:val="nil"/>
              <w:bottom w:val="single" w:color="auto" w:sz="6" w:space="0"/>
              <w:right w:val="double" w:color="auto" w:sz="2" w:space="0"/>
            </w:tcBorders>
            <w:noWrap w:val="0"/>
            <w:vAlign w:val="center"/>
          </w:tcPr>
          <w:p w14:paraId="011CB7AF">
            <w:pPr>
              <w:keepNext w:val="0"/>
              <w:keepLines w:val="0"/>
              <w:pageBreakBefore w:val="0"/>
              <w:widowControl w:val="0"/>
              <w:kinsoku/>
              <w:wordWrap/>
              <w:overflowPunct/>
              <w:topLinePunct w:val="0"/>
              <w:bidi w:val="0"/>
              <w:adjustRightInd/>
              <w:spacing w:line="360" w:lineRule="auto"/>
              <w:textAlignment w:val="auto"/>
              <w:rPr>
                <w:rFonts w:hint="eastAsia" w:ascii="宋体" w:cs="宋体"/>
                <w:color w:val="000000"/>
                <w:highlight w:val="none"/>
                <w:lang w:val="zh-CN"/>
              </w:rPr>
            </w:pPr>
            <w:r>
              <w:rPr>
                <w:rFonts w:hint="eastAsia" w:ascii="宋体" w:cs="宋体"/>
                <w:color w:val="000000"/>
                <w:highlight w:val="none"/>
                <w:lang w:val="zh-CN"/>
              </w:rPr>
              <w:t>在中标通知书发出的同时，采购人将中标结果情况在招标公告发布同一媒介予以公示，公示期不少于1个工作日。</w:t>
            </w:r>
          </w:p>
        </w:tc>
      </w:tr>
      <w:tr w14:paraId="049B650D">
        <w:tblPrEx>
          <w:tblCellMar>
            <w:top w:w="0" w:type="dxa"/>
            <w:left w:w="108" w:type="dxa"/>
            <w:bottom w:w="0" w:type="dxa"/>
            <w:right w:w="108" w:type="dxa"/>
          </w:tblCellMar>
        </w:tblPrEx>
        <w:trPr>
          <w:trHeight w:val="702" w:hRule="exact"/>
          <w:jc w:val="center"/>
        </w:trPr>
        <w:tc>
          <w:tcPr>
            <w:tcW w:w="438" w:type="pct"/>
            <w:tcBorders>
              <w:top w:val="single" w:color="auto" w:sz="6" w:space="0"/>
              <w:left w:val="double" w:color="auto" w:sz="2" w:space="0"/>
              <w:bottom w:val="single" w:color="auto" w:sz="6" w:space="0"/>
              <w:right w:val="single" w:color="auto" w:sz="4" w:space="0"/>
            </w:tcBorders>
            <w:noWrap w:val="0"/>
            <w:tcMar>
              <w:left w:w="0" w:type="dxa"/>
              <w:right w:w="0" w:type="dxa"/>
            </w:tcMar>
            <w:vAlign w:val="center"/>
          </w:tcPr>
          <w:p w14:paraId="2B0BACC5">
            <w:pPr>
              <w:keepNext w:val="0"/>
              <w:keepLines w:val="0"/>
              <w:pageBreakBefore w:val="0"/>
              <w:widowControl w:val="0"/>
              <w:kinsoku/>
              <w:wordWrap/>
              <w:overflowPunct/>
              <w:topLinePunct w:val="0"/>
              <w:bidi w:val="0"/>
              <w:adjustRightInd/>
              <w:spacing w:line="360" w:lineRule="auto"/>
              <w:jc w:val="center"/>
              <w:textAlignment w:val="auto"/>
              <w:rPr>
                <w:rFonts w:hint="eastAsia" w:ascii="宋体" w:cs="宋体"/>
                <w:color w:val="000000"/>
                <w:highlight w:val="none"/>
              </w:rPr>
            </w:pPr>
            <w:r>
              <w:rPr>
                <w:rFonts w:hint="eastAsia" w:ascii="宋体" w:cs="宋体"/>
                <w:color w:val="000000"/>
                <w:highlight w:val="none"/>
              </w:rPr>
              <w:t>37.6</w:t>
            </w:r>
          </w:p>
        </w:tc>
        <w:tc>
          <w:tcPr>
            <w:tcW w:w="1426" w:type="pct"/>
            <w:tcBorders>
              <w:top w:val="single" w:color="auto" w:sz="6" w:space="0"/>
              <w:left w:val="nil"/>
              <w:bottom w:val="single" w:color="auto" w:sz="6" w:space="0"/>
              <w:right w:val="single" w:color="auto" w:sz="4" w:space="0"/>
            </w:tcBorders>
            <w:noWrap w:val="0"/>
            <w:tcMar>
              <w:left w:w="0" w:type="dxa"/>
              <w:right w:w="0" w:type="dxa"/>
            </w:tcMar>
            <w:vAlign w:val="center"/>
          </w:tcPr>
          <w:p w14:paraId="32400C16">
            <w:pPr>
              <w:keepNext w:val="0"/>
              <w:keepLines w:val="0"/>
              <w:pageBreakBefore w:val="0"/>
              <w:widowControl w:val="0"/>
              <w:kinsoku/>
              <w:wordWrap/>
              <w:overflowPunct/>
              <w:topLinePunct w:val="0"/>
              <w:bidi w:val="0"/>
              <w:adjustRightInd/>
              <w:spacing w:line="360" w:lineRule="auto"/>
              <w:jc w:val="center"/>
              <w:textAlignment w:val="auto"/>
              <w:rPr>
                <w:rFonts w:hint="eastAsia" w:ascii="宋体" w:cs="宋体"/>
                <w:color w:val="000000"/>
                <w:highlight w:val="none"/>
                <w:lang w:val="zh-CN"/>
              </w:rPr>
            </w:pPr>
            <w:r>
              <w:rPr>
                <w:rFonts w:hint="eastAsia" w:ascii="宋体" w:cs="宋体"/>
                <w:color w:val="000000"/>
                <w:highlight w:val="none"/>
                <w:lang w:val="zh-CN"/>
              </w:rPr>
              <w:t>监督</w:t>
            </w:r>
          </w:p>
        </w:tc>
        <w:tc>
          <w:tcPr>
            <w:tcW w:w="3135" w:type="pct"/>
            <w:tcBorders>
              <w:top w:val="single" w:color="auto" w:sz="6" w:space="0"/>
              <w:left w:val="nil"/>
              <w:bottom w:val="single" w:color="auto" w:sz="6" w:space="0"/>
              <w:right w:val="double" w:color="auto" w:sz="2" w:space="0"/>
            </w:tcBorders>
            <w:noWrap w:val="0"/>
            <w:vAlign w:val="center"/>
          </w:tcPr>
          <w:p w14:paraId="0338A97C">
            <w:pPr>
              <w:keepNext w:val="0"/>
              <w:keepLines w:val="0"/>
              <w:pageBreakBefore w:val="0"/>
              <w:widowControl w:val="0"/>
              <w:kinsoku/>
              <w:wordWrap/>
              <w:overflowPunct/>
              <w:topLinePunct w:val="0"/>
              <w:bidi w:val="0"/>
              <w:adjustRightInd/>
              <w:spacing w:line="360" w:lineRule="auto"/>
              <w:textAlignment w:val="auto"/>
              <w:rPr>
                <w:rFonts w:hint="eastAsia" w:ascii="宋体" w:cs="宋体"/>
                <w:color w:val="000000"/>
                <w:highlight w:val="none"/>
                <w:lang w:val="zh-CN"/>
              </w:rPr>
            </w:pPr>
            <w:r>
              <w:rPr>
                <w:rFonts w:hint="eastAsia" w:ascii="宋体" w:cs="宋体"/>
                <w:color w:val="000000"/>
                <w:highlight w:val="none"/>
                <w:lang w:val="zh-CN"/>
              </w:rPr>
              <w:t>本项目的招标投标活动及其相关当事人应当接受有管辖权的招标投标行政监督部门依法实施的监督。</w:t>
            </w:r>
          </w:p>
        </w:tc>
      </w:tr>
      <w:tr w14:paraId="7B978D86">
        <w:tblPrEx>
          <w:tblCellMar>
            <w:top w:w="0" w:type="dxa"/>
            <w:left w:w="108" w:type="dxa"/>
            <w:bottom w:w="0" w:type="dxa"/>
            <w:right w:w="108" w:type="dxa"/>
          </w:tblCellMar>
        </w:tblPrEx>
        <w:trPr>
          <w:trHeight w:val="2338" w:hRule="atLeast"/>
          <w:jc w:val="center"/>
        </w:trPr>
        <w:tc>
          <w:tcPr>
            <w:tcW w:w="438" w:type="pct"/>
            <w:tcBorders>
              <w:top w:val="single" w:color="auto" w:sz="6" w:space="0"/>
              <w:left w:val="double" w:color="auto" w:sz="2" w:space="0"/>
              <w:bottom w:val="single" w:color="auto" w:sz="6" w:space="0"/>
              <w:right w:val="single" w:color="auto" w:sz="4" w:space="0"/>
            </w:tcBorders>
            <w:noWrap w:val="0"/>
            <w:tcMar>
              <w:left w:w="0" w:type="dxa"/>
              <w:right w:w="0" w:type="dxa"/>
            </w:tcMar>
            <w:vAlign w:val="center"/>
          </w:tcPr>
          <w:p w14:paraId="515EFDFC">
            <w:pPr>
              <w:keepNext w:val="0"/>
              <w:keepLines w:val="0"/>
              <w:pageBreakBefore w:val="0"/>
              <w:widowControl w:val="0"/>
              <w:kinsoku/>
              <w:wordWrap/>
              <w:overflowPunct/>
              <w:topLinePunct w:val="0"/>
              <w:bidi w:val="0"/>
              <w:adjustRightInd/>
              <w:spacing w:line="360" w:lineRule="auto"/>
              <w:jc w:val="center"/>
              <w:textAlignment w:val="auto"/>
              <w:rPr>
                <w:rFonts w:ascii="宋体" w:cs="宋体"/>
                <w:color w:val="000000"/>
                <w:highlight w:val="none"/>
              </w:rPr>
            </w:pPr>
            <w:r>
              <w:rPr>
                <w:rFonts w:hint="eastAsia" w:ascii="宋体" w:cs="宋体"/>
                <w:color w:val="000000"/>
                <w:highlight w:val="none"/>
              </w:rPr>
              <w:t>37.7</w:t>
            </w:r>
          </w:p>
        </w:tc>
        <w:tc>
          <w:tcPr>
            <w:tcW w:w="1426" w:type="pct"/>
            <w:tcBorders>
              <w:top w:val="single" w:color="auto" w:sz="6" w:space="0"/>
              <w:left w:val="nil"/>
              <w:bottom w:val="single" w:color="auto" w:sz="6" w:space="0"/>
              <w:right w:val="single" w:color="auto" w:sz="4" w:space="0"/>
            </w:tcBorders>
            <w:noWrap w:val="0"/>
            <w:tcMar>
              <w:left w:w="0" w:type="dxa"/>
              <w:right w:w="0" w:type="dxa"/>
            </w:tcMar>
            <w:vAlign w:val="center"/>
          </w:tcPr>
          <w:p w14:paraId="37B5B808">
            <w:pPr>
              <w:keepNext w:val="0"/>
              <w:keepLines w:val="0"/>
              <w:pageBreakBefore w:val="0"/>
              <w:widowControl w:val="0"/>
              <w:kinsoku/>
              <w:wordWrap/>
              <w:overflowPunct/>
              <w:topLinePunct w:val="0"/>
              <w:bidi w:val="0"/>
              <w:adjustRightInd/>
              <w:spacing w:line="360" w:lineRule="auto"/>
              <w:jc w:val="center"/>
              <w:textAlignment w:val="auto"/>
              <w:rPr>
                <w:rFonts w:hint="eastAsia" w:ascii="宋体" w:cs="宋体"/>
                <w:color w:val="000000"/>
                <w:highlight w:val="none"/>
                <w:lang w:val="zh-CN"/>
              </w:rPr>
            </w:pPr>
            <w:r>
              <w:rPr>
                <w:rFonts w:hint="eastAsia" w:ascii="宋体" w:cs="宋体"/>
                <w:color w:val="000000"/>
                <w:highlight w:val="none"/>
                <w:lang w:val="zh-CN"/>
              </w:rPr>
              <w:t>解释权</w:t>
            </w:r>
          </w:p>
        </w:tc>
        <w:tc>
          <w:tcPr>
            <w:tcW w:w="3135" w:type="pct"/>
            <w:tcBorders>
              <w:top w:val="single" w:color="auto" w:sz="6" w:space="0"/>
              <w:left w:val="nil"/>
              <w:bottom w:val="single" w:color="auto" w:sz="6" w:space="0"/>
              <w:right w:val="double" w:color="auto" w:sz="2" w:space="0"/>
            </w:tcBorders>
            <w:noWrap w:val="0"/>
            <w:vAlign w:val="center"/>
          </w:tcPr>
          <w:p w14:paraId="2D88BCE3">
            <w:pPr>
              <w:keepNext w:val="0"/>
              <w:keepLines w:val="0"/>
              <w:pageBreakBefore w:val="0"/>
              <w:widowControl w:val="0"/>
              <w:kinsoku/>
              <w:wordWrap/>
              <w:overflowPunct/>
              <w:topLinePunct w:val="0"/>
              <w:bidi w:val="0"/>
              <w:adjustRightInd/>
              <w:spacing w:line="360" w:lineRule="auto"/>
              <w:textAlignment w:val="auto"/>
              <w:rPr>
                <w:rFonts w:hint="eastAsia" w:ascii="宋体" w:cs="宋体"/>
                <w:color w:val="000000"/>
                <w:highlight w:val="none"/>
                <w:lang w:val="zh-CN"/>
              </w:rPr>
            </w:pPr>
            <w:r>
              <w:rPr>
                <w:rFonts w:hint="eastAsia" w:ascii="宋体" w:cs="宋体"/>
                <w:color w:val="000000"/>
                <w:highlight w:val="none"/>
                <w:lang w:val="zh-CN"/>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人须知、评标办法、投标文件格式，以编排顺序在后者为准；同一组成文件中就同一事项的规定或约定不一致的，以编排顺序在后者为准；同一组成文件不同版本之间有不一致的，以形成时间在后者为准。按本款前述规定仍不能形成结论的，由采购人负责解释。</w:t>
            </w:r>
          </w:p>
        </w:tc>
      </w:tr>
      <w:tr w14:paraId="742BB65C">
        <w:tblPrEx>
          <w:tblCellMar>
            <w:top w:w="0" w:type="dxa"/>
            <w:left w:w="108" w:type="dxa"/>
            <w:bottom w:w="0" w:type="dxa"/>
            <w:right w:w="108" w:type="dxa"/>
          </w:tblCellMar>
        </w:tblPrEx>
        <w:trPr>
          <w:trHeight w:val="431" w:hRule="atLeast"/>
          <w:jc w:val="center"/>
        </w:trPr>
        <w:tc>
          <w:tcPr>
            <w:tcW w:w="438" w:type="pct"/>
            <w:tcBorders>
              <w:top w:val="single" w:color="auto" w:sz="6" w:space="0"/>
              <w:left w:val="double" w:color="auto" w:sz="2" w:space="0"/>
              <w:bottom w:val="single" w:color="auto" w:sz="6" w:space="0"/>
              <w:right w:val="single" w:color="auto" w:sz="4" w:space="0"/>
            </w:tcBorders>
            <w:noWrap w:val="0"/>
            <w:tcMar>
              <w:left w:w="0" w:type="dxa"/>
              <w:right w:w="0" w:type="dxa"/>
            </w:tcMar>
            <w:vAlign w:val="center"/>
          </w:tcPr>
          <w:p w14:paraId="6A9A70B4">
            <w:pPr>
              <w:keepNext w:val="0"/>
              <w:keepLines w:val="0"/>
              <w:pageBreakBefore w:val="0"/>
              <w:widowControl w:val="0"/>
              <w:kinsoku/>
              <w:wordWrap/>
              <w:overflowPunct/>
              <w:topLinePunct w:val="0"/>
              <w:bidi w:val="0"/>
              <w:adjustRightInd/>
              <w:spacing w:line="360" w:lineRule="auto"/>
              <w:jc w:val="center"/>
              <w:textAlignment w:val="auto"/>
              <w:rPr>
                <w:rFonts w:hint="eastAsia" w:ascii="宋体" w:cs="宋体"/>
                <w:color w:val="000000"/>
                <w:highlight w:val="none"/>
              </w:rPr>
            </w:pPr>
            <w:r>
              <w:rPr>
                <w:rFonts w:hint="eastAsia" w:ascii="宋体" w:cs="宋体"/>
                <w:color w:val="000000"/>
                <w:highlight w:val="none"/>
              </w:rPr>
              <w:t>37.8</w:t>
            </w:r>
          </w:p>
        </w:tc>
        <w:tc>
          <w:tcPr>
            <w:tcW w:w="1426" w:type="pct"/>
            <w:tcBorders>
              <w:top w:val="single" w:color="auto" w:sz="6" w:space="0"/>
              <w:left w:val="nil"/>
              <w:bottom w:val="single" w:color="auto" w:sz="6" w:space="0"/>
              <w:right w:val="single" w:color="auto" w:sz="4" w:space="0"/>
            </w:tcBorders>
            <w:noWrap w:val="0"/>
            <w:tcMar>
              <w:left w:w="0" w:type="dxa"/>
              <w:right w:w="0" w:type="dxa"/>
            </w:tcMar>
            <w:vAlign w:val="center"/>
          </w:tcPr>
          <w:p w14:paraId="5D6DF883">
            <w:pPr>
              <w:keepNext w:val="0"/>
              <w:keepLines w:val="0"/>
              <w:pageBreakBefore w:val="0"/>
              <w:widowControl w:val="0"/>
              <w:kinsoku/>
              <w:wordWrap/>
              <w:overflowPunct/>
              <w:topLinePunct w:val="0"/>
              <w:bidi w:val="0"/>
              <w:adjustRightInd/>
              <w:spacing w:line="360" w:lineRule="auto"/>
              <w:jc w:val="center"/>
              <w:textAlignment w:val="auto"/>
              <w:rPr>
                <w:rFonts w:hint="eastAsia" w:ascii="宋体" w:cs="宋体"/>
                <w:color w:val="000000"/>
                <w:highlight w:val="none"/>
                <w:lang w:val="zh-CN"/>
              </w:rPr>
            </w:pPr>
            <w:r>
              <w:rPr>
                <w:rFonts w:hint="eastAsia" w:ascii="宋体" w:cs="宋体"/>
                <w:color w:val="000000"/>
                <w:highlight w:val="none"/>
                <w:lang w:val="zh-CN"/>
              </w:rPr>
              <w:t>履约保证金</w:t>
            </w:r>
          </w:p>
        </w:tc>
        <w:tc>
          <w:tcPr>
            <w:tcW w:w="3135" w:type="pct"/>
            <w:tcBorders>
              <w:top w:val="single" w:color="auto" w:sz="6" w:space="0"/>
              <w:left w:val="nil"/>
              <w:bottom w:val="single" w:color="auto" w:sz="6" w:space="0"/>
              <w:right w:val="double" w:color="auto" w:sz="2" w:space="0"/>
            </w:tcBorders>
            <w:noWrap w:val="0"/>
            <w:vAlign w:val="center"/>
          </w:tcPr>
          <w:p w14:paraId="5C0B6F2B">
            <w:pPr>
              <w:keepNext w:val="0"/>
              <w:keepLines w:val="0"/>
              <w:pageBreakBefore w:val="0"/>
              <w:widowControl w:val="0"/>
              <w:kinsoku/>
              <w:wordWrap/>
              <w:overflowPunct/>
              <w:topLinePunct w:val="0"/>
              <w:bidi w:val="0"/>
              <w:adjustRightInd/>
              <w:spacing w:line="360" w:lineRule="auto"/>
              <w:jc w:val="both"/>
              <w:textAlignment w:val="auto"/>
              <w:rPr>
                <w:rFonts w:hint="eastAsia" w:ascii="宋体" w:cs="宋体"/>
                <w:color w:val="000000"/>
                <w:highlight w:val="none"/>
                <w:lang w:val="zh-CN" w:eastAsia="zh-CN"/>
              </w:rPr>
            </w:pPr>
            <w:r>
              <w:rPr>
                <w:rFonts w:hint="eastAsia" w:ascii="宋体" w:cs="宋体"/>
                <w:color w:val="000000"/>
                <w:highlight w:val="none"/>
                <w:lang w:val="en-US" w:eastAsia="zh-CN"/>
              </w:rPr>
              <w:t>无</w:t>
            </w:r>
          </w:p>
        </w:tc>
      </w:tr>
      <w:tr w14:paraId="181BBF1F">
        <w:tblPrEx>
          <w:tblCellMar>
            <w:top w:w="0" w:type="dxa"/>
            <w:left w:w="108" w:type="dxa"/>
            <w:bottom w:w="0" w:type="dxa"/>
            <w:right w:w="108" w:type="dxa"/>
          </w:tblCellMar>
        </w:tblPrEx>
        <w:trPr>
          <w:trHeight w:val="481" w:hRule="atLeast"/>
          <w:jc w:val="center"/>
        </w:trPr>
        <w:tc>
          <w:tcPr>
            <w:tcW w:w="438" w:type="pct"/>
            <w:tcBorders>
              <w:top w:val="single" w:color="auto" w:sz="6" w:space="0"/>
              <w:left w:val="double" w:color="auto" w:sz="2" w:space="0"/>
              <w:bottom w:val="single" w:color="auto" w:sz="6" w:space="0"/>
              <w:right w:val="single" w:color="auto" w:sz="4" w:space="0"/>
            </w:tcBorders>
            <w:noWrap w:val="0"/>
            <w:tcMar>
              <w:left w:w="0" w:type="dxa"/>
              <w:right w:w="0" w:type="dxa"/>
            </w:tcMar>
            <w:vAlign w:val="center"/>
          </w:tcPr>
          <w:p w14:paraId="24092E01">
            <w:pPr>
              <w:keepNext w:val="0"/>
              <w:keepLines w:val="0"/>
              <w:pageBreakBefore w:val="0"/>
              <w:widowControl w:val="0"/>
              <w:kinsoku/>
              <w:wordWrap/>
              <w:overflowPunct/>
              <w:topLinePunct w:val="0"/>
              <w:bidi w:val="0"/>
              <w:adjustRightInd/>
              <w:spacing w:line="360" w:lineRule="auto"/>
              <w:jc w:val="center"/>
              <w:textAlignment w:val="auto"/>
              <w:rPr>
                <w:rFonts w:hint="eastAsia" w:ascii="宋体" w:cs="宋体"/>
                <w:color w:val="000000"/>
                <w:highlight w:val="none"/>
              </w:rPr>
            </w:pPr>
            <w:r>
              <w:rPr>
                <w:rFonts w:hint="eastAsia" w:ascii="宋体" w:cs="宋体"/>
                <w:color w:val="000000"/>
                <w:highlight w:val="none"/>
              </w:rPr>
              <w:t>37.9</w:t>
            </w:r>
          </w:p>
        </w:tc>
        <w:tc>
          <w:tcPr>
            <w:tcW w:w="1426" w:type="pct"/>
            <w:tcBorders>
              <w:top w:val="single" w:color="auto" w:sz="6" w:space="0"/>
              <w:left w:val="nil"/>
              <w:bottom w:val="single" w:color="auto" w:sz="6" w:space="0"/>
              <w:right w:val="single" w:color="auto" w:sz="4" w:space="0"/>
            </w:tcBorders>
            <w:noWrap w:val="0"/>
            <w:tcMar>
              <w:left w:w="0" w:type="dxa"/>
              <w:right w:w="0" w:type="dxa"/>
            </w:tcMar>
            <w:vAlign w:val="center"/>
          </w:tcPr>
          <w:p w14:paraId="30E24C99">
            <w:pPr>
              <w:keepNext w:val="0"/>
              <w:keepLines w:val="0"/>
              <w:pageBreakBefore w:val="0"/>
              <w:widowControl w:val="0"/>
              <w:kinsoku/>
              <w:wordWrap/>
              <w:overflowPunct/>
              <w:topLinePunct w:val="0"/>
              <w:bidi w:val="0"/>
              <w:adjustRightInd/>
              <w:spacing w:line="360" w:lineRule="auto"/>
              <w:jc w:val="center"/>
              <w:textAlignment w:val="auto"/>
              <w:rPr>
                <w:rFonts w:hint="eastAsia" w:ascii="宋体" w:cs="宋体"/>
                <w:color w:val="000000"/>
                <w:highlight w:val="none"/>
                <w:lang w:val="zh-CN"/>
              </w:rPr>
            </w:pPr>
            <w:r>
              <w:rPr>
                <w:rFonts w:hint="eastAsia" w:ascii="宋体" w:cs="宋体"/>
                <w:color w:val="000000"/>
                <w:highlight w:val="none"/>
                <w:lang w:val="zh-CN"/>
              </w:rPr>
              <w:t>类似项目</w:t>
            </w:r>
          </w:p>
        </w:tc>
        <w:tc>
          <w:tcPr>
            <w:tcW w:w="3135" w:type="pct"/>
            <w:tcBorders>
              <w:top w:val="single" w:color="auto" w:sz="6" w:space="0"/>
              <w:left w:val="nil"/>
              <w:bottom w:val="single" w:color="auto" w:sz="6" w:space="0"/>
              <w:right w:val="double" w:color="auto" w:sz="2" w:space="0"/>
            </w:tcBorders>
            <w:noWrap w:val="0"/>
            <w:vAlign w:val="center"/>
          </w:tcPr>
          <w:p w14:paraId="0507ECA2">
            <w:pPr>
              <w:keepNext w:val="0"/>
              <w:keepLines w:val="0"/>
              <w:pageBreakBefore w:val="0"/>
              <w:widowControl w:val="0"/>
              <w:kinsoku/>
              <w:wordWrap/>
              <w:overflowPunct/>
              <w:topLinePunct w:val="0"/>
              <w:bidi w:val="0"/>
              <w:adjustRightInd/>
              <w:spacing w:line="360" w:lineRule="auto"/>
              <w:jc w:val="left"/>
              <w:textAlignment w:val="auto"/>
              <w:rPr>
                <w:rFonts w:hint="eastAsia" w:ascii="宋体" w:cs="宋体" w:eastAsiaTheme="minorEastAsia"/>
                <w:color w:val="000000"/>
                <w:highlight w:val="none"/>
                <w:lang w:val="zh-CN" w:eastAsia="zh-CN"/>
              </w:rPr>
            </w:pPr>
            <w:r>
              <w:rPr>
                <w:rFonts w:hint="eastAsia" w:ascii="宋体" w:cs="宋体"/>
                <w:color w:val="000000"/>
                <w:highlight w:val="none"/>
                <w:lang w:val="zh-CN"/>
              </w:rPr>
              <w:t>近三年（202</w:t>
            </w:r>
            <w:r>
              <w:rPr>
                <w:rFonts w:hint="eastAsia" w:ascii="宋体" w:cs="宋体"/>
                <w:color w:val="000000"/>
                <w:highlight w:val="none"/>
                <w:lang w:val="en-US" w:eastAsia="zh-CN"/>
              </w:rPr>
              <w:t>2</w:t>
            </w:r>
            <w:r>
              <w:rPr>
                <w:rFonts w:hint="eastAsia" w:ascii="宋体" w:cs="宋体"/>
                <w:color w:val="000000"/>
                <w:highlight w:val="none"/>
                <w:lang w:val="zh-CN"/>
              </w:rPr>
              <w:t>年</w:t>
            </w:r>
            <w:r>
              <w:rPr>
                <w:rFonts w:hint="eastAsia" w:ascii="宋体" w:cs="宋体"/>
                <w:color w:val="000000"/>
                <w:highlight w:val="none"/>
                <w:lang w:val="en-US" w:eastAsia="zh-CN"/>
              </w:rPr>
              <w:t>1月1日-</w:t>
            </w:r>
            <w:r>
              <w:rPr>
                <w:rFonts w:hint="eastAsia" w:ascii="宋体" w:cs="宋体"/>
                <w:color w:val="000000"/>
                <w:highlight w:val="none"/>
                <w:lang w:val="zh-CN"/>
              </w:rPr>
              <w:t>至今）</w:t>
            </w:r>
          </w:p>
        </w:tc>
      </w:tr>
      <w:tr w14:paraId="0EB68879">
        <w:tblPrEx>
          <w:tblCellMar>
            <w:top w:w="0" w:type="dxa"/>
            <w:left w:w="108" w:type="dxa"/>
            <w:bottom w:w="0" w:type="dxa"/>
            <w:right w:w="108" w:type="dxa"/>
          </w:tblCellMar>
        </w:tblPrEx>
        <w:trPr>
          <w:trHeight w:val="481" w:hRule="atLeast"/>
          <w:jc w:val="center"/>
        </w:trPr>
        <w:tc>
          <w:tcPr>
            <w:tcW w:w="438" w:type="pct"/>
            <w:tcBorders>
              <w:top w:val="single" w:color="auto" w:sz="6" w:space="0"/>
              <w:left w:val="double" w:color="auto" w:sz="2" w:space="0"/>
              <w:bottom w:val="single" w:color="auto" w:sz="6" w:space="0"/>
              <w:right w:val="single" w:color="auto" w:sz="4" w:space="0"/>
            </w:tcBorders>
            <w:noWrap w:val="0"/>
            <w:tcMar>
              <w:left w:w="0" w:type="dxa"/>
              <w:right w:w="0" w:type="dxa"/>
            </w:tcMar>
            <w:vAlign w:val="center"/>
          </w:tcPr>
          <w:p w14:paraId="650D37D7">
            <w:pPr>
              <w:keepNext w:val="0"/>
              <w:keepLines w:val="0"/>
              <w:pageBreakBefore w:val="0"/>
              <w:widowControl w:val="0"/>
              <w:kinsoku/>
              <w:wordWrap/>
              <w:overflowPunct/>
              <w:topLinePunct w:val="0"/>
              <w:bidi w:val="0"/>
              <w:adjustRightInd/>
              <w:spacing w:line="360" w:lineRule="auto"/>
              <w:jc w:val="center"/>
              <w:textAlignment w:val="auto"/>
              <w:rPr>
                <w:rFonts w:hint="default" w:ascii="宋体" w:eastAsia="宋体" w:cs="宋体"/>
                <w:color w:val="000000"/>
                <w:highlight w:val="none"/>
                <w:lang w:val="en-US" w:eastAsia="zh-CN"/>
              </w:rPr>
            </w:pPr>
            <w:r>
              <w:rPr>
                <w:rFonts w:hint="eastAsia" w:ascii="宋体" w:cs="宋体"/>
                <w:color w:val="000000"/>
                <w:highlight w:val="none"/>
                <w:lang w:val="en-US" w:eastAsia="zh-CN"/>
              </w:rPr>
              <w:t>37.10</w:t>
            </w:r>
          </w:p>
        </w:tc>
        <w:tc>
          <w:tcPr>
            <w:tcW w:w="1426" w:type="pct"/>
            <w:tcBorders>
              <w:top w:val="single" w:color="auto" w:sz="6" w:space="0"/>
              <w:left w:val="nil"/>
              <w:bottom w:val="single" w:color="auto" w:sz="6" w:space="0"/>
              <w:right w:val="single" w:color="auto" w:sz="4" w:space="0"/>
            </w:tcBorders>
            <w:noWrap w:val="0"/>
            <w:tcMar>
              <w:left w:w="0" w:type="dxa"/>
              <w:right w:w="0" w:type="dxa"/>
            </w:tcMar>
            <w:vAlign w:val="center"/>
          </w:tcPr>
          <w:p w14:paraId="485B897B">
            <w:pPr>
              <w:keepNext w:val="0"/>
              <w:keepLines w:val="0"/>
              <w:pageBreakBefore w:val="0"/>
              <w:widowControl w:val="0"/>
              <w:kinsoku/>
              <w:wordWrap/>
              <w:overflowPunct/>
              <w:topLinePunct w:val="0"/>
              <w:bidi w:val="0"/>
              <w:adjustRightInd/>
              <w:spacing w:line="360" w:lineRule="auto"/>
              <w:jc w:val="center"/>
              <w:textAlignment w:val="auto"/>
              <w:rPr>
                <w:rFonts w:hint="eastAsia" w:ascii="宋体" w:cs="宋体"/>
                <w:color w:val="000000"/>
                <w:highlight w:val="none"/>
                <w:lang w:val="zh-CN"/>
              </w:rPr>
            </w:pPr>
            <w:r>
              <w:rPr>
                <w:rFonts w:hint="eastAsia" w:ascii="宋体" w:cs="宋体"/>
                <w:color w:val="000000"/>
                <w:highlight w:val="none"/>
                <w:lang w:val="zh-CN"/>
              </w:rPr>
              <w:t>质保期</w:t>
            </w:r>
          </w:p>
        </w:tc>
        <w:tc>
          <w:tcPr>
            <w:tcW w:w="3135" w:type="pct"/>
            <w:tcBorders>
              <w:top w:val="single" w:color="auto" w:sz="6" w:space="0"/>
              <w:left w:val="nil"/>
              <w:bottom w:val="single" w:color="auto" w:sz="6" w:space="0"/>
              <w:right w:val="double" w:color="auto" w:sz="2" w:space="0"/>
            </w:tcBorders>
            <w:noWrap w:val="0"/>
            <w:vAlign w:val="center"/>
          </w:tcPr>
          <w:p w14:paraId="27798EEC">
            <w:pPr>
              <w:keepNext w:val="0"/>
              <w:keepLines w:val="0"/>
              <w:pageBreakBefore w:val="0"/>
              <w:widowControl w:val="0"/>
              <w:kinsoku/>
              <w:wordWrap/>
              <w:overflowPunct/>
              <w:topLinePunct w:val="0"/>
              <w:bidi w:val="0"/>
              <w:adjustRightInd/>
              <w:spacing w:line="360" w:lineRule="auto"/>
              <w:jc w:val="left"/>
              <w:textAlignment w:val="auto"/>
              <w:rPr>
                <w:rFonts w:hint="eastAsia" w:ascii="宋体" w:cs="宋体"/>
                <w:color w:val="000000"/>
                <w:highlight w:val="none"/>
                <w:lang w:val="zh-CN"/>
              </w:rPr>
            </w:pPr>
            <w:r>
              <w:rPr>
                <w:rFonts w:hint="eastAsia" w:ascii="宋体" w:cs="宋体"/>
                <w:color w:val="000000"/>
                <w:highlight w:val="none"/>
                <w:lang w:val="zh-CN"/>
              </w:rPr>
              <w:t>甲乙双方合同中另行约定</w:t>
            </w:r>
          </w:p>
        </w:tc>
      </w:tr>
      <w:tr w14:paraId="312265C8">
        <w:tblPrEx>
          <w:tblCellMar>
            <w:top w:w="0" w:type="dxa"/>
            <w:left w:w="108" w:type="dxa"/>
            <w:bottom w:w="0" w:type="dxa"/>
            <w:right w:w="108" w:type="dxa"/>
          </w:tblCellMar>
        </w:tblPrEx>
        <w:trPr>
          <w:trHeight w:val="481" w:hRule="atLeast"/>
          <w:jc w:val="center"/>
        </w:trPr>
        <w:tc>
          <w:tcPr>
            <w:tcW w:w="438" w:type="pct"/>
            <w:tcBorders>
              <w:top w:val="single" w:color="auto" w:sz="6" w:space="0"/>
              <w:left w:val="double" w:color="auto" w:sz="2" w:space="0"/>
              <w:bottom w:val="single" w:color="auto" w:sz="6" w:space="0"/>
              <w:right w:val="single" w:color="auto" w:sz="4" w:space="0"/>
            </w:tcBorders>
            <w:noWrap w:val="0"/>
            <w:tcMar>
              <w:left w:w="0" w:type="dxa"/>
              <w:right w:w="0" w:type="dxa"/>
            </w:tcMar>
            <w:vAlign w:val="center"/>
          </w:tcPr>
          <w:p w14:paraId="4618566A">
            <w:pPr>
              <w:keepNext w:val="0"/>
              <w:keepLines w:val="0"/>
              <w:pageBreakBefore w:val="0"/>
              <w:widowControl w:val="0"/>
              <w:kinsoku/>
              <w:wordWrap/>
              <w:overflowPunct/>
              <w:topLinePunct w:val="0"/>
              <w:bidi w:val="0"/>
              <w:adjustRightInd/>
              <w:spacing w:line="360" w:lineRule="auto"/>
              <w:jc w:val="center"/>
              <w:textAlignment w:val="auto"/>
              <w:rPr>
                <w:rFonts w:hint="default" w:ascii="宋体" w:cs="宋体"/>
                <w:color w:val="000000"/>
                <w:highlight w:val="none"/>
                <w:lang w:val="en-US" w:eastAsia="zh-CN"/>
              </w:rPr>
            </w:pPr>
            <w:r>
              <w:rPr>
                <w:rFonts w:hint="eastAsia" w:ascii="宋体" w:cs="宋体"/>
                <w:color w:val="000000"/>
                <w:highlight w:val="none"/>
                <w:lang w:val="en-US" w:eastAsia="zh-CN"/>
              </w:rPr>
              <w:t>37.11</w:t>
            </w:r>
          </w:p>
        </w:tc>
        <w:tc>
          <w:tcPr>
            <w:tcW w:w="1426" w:type="pct"/>
            <w:tcBorders>
              <w:top w:val="single" w:color="auto" w:sz="6" w:space="0"/>
              <w:left w:val="nil"/>
              <w:bottom w:val="single" w:color="auto" w:sz="6" w:space="0"/>
              <w:right w:val="single" w:color="auto" w:sz="4" w:space="0"/>
            </w:tcBorders>
            <w:noWrap w:val="0"/>
            <w:tcMar>
              <w:left w:w="0" w:type="dxa"/>
              <w:right w:w="0" w:type="dxa"/>
            </w:tcMar>
            <w:vAlign w:val="center"/>
          </w:tcPr>
          <w:p w14:paraId="686A7914">
            <w:pPr>
              <w:keepNext w:val="0"/>
              <w:keepLines w:val="0"/>
              <w:pageBreakBefore w:val="0"/>
              <w:widowControl w:val="0"/>
              <w:kinsoku/>
              <w:wordWrap/>
              <w:overflowPunct/>
              <w:topLinePunct w:val="0"/>
              <w:bidi w:val="0"/>
              <w:adjustRightInd/>
              <w:spacing w:line="360" w:lineRule="auto"/>
              <w:jc w:val="center"/>
              <w:textAlignment w:val="auto"/>
              <w:rPr>
                <w:rFonts w:hint="eastAsia" w:ascii="宋体" w:cs="宋体"/>
                <w:color w:val="000000"/>
                <w:highlight w:val="none"/>
                <w:lang w:val="en-US" w:eastAsia="zh-CN"/>
              </w:rPr>
            </w:pPr>
            <w:r>
              <w:rPr>
                <w:rFonts w:hint="eastAsia" w:ascii="宋体" w:cs="宋体"/>
                <w:color w:val="000000"/>
                <w:highlight w:val="none"/>
                <w:lang w:val="en-US" w:eastAsia="zh-CN"/>
              </w:rPr>
              <w:t>样品</w:t>
            </w:r>
          </w:p>
        </w:tc>
        <w:tc>
          <w:tcPr>
            <w:tcW w:w="3135" w:type="pct"/>
            <w:tcBorders>
              <w:top w:val="single" w:color="auto" w:sz="6" w:space="0"/>
              <w:left w:val="nil"/>
              <w:bottom w:val="single" w:color="auto" w:sz="6" w:space="0"/>
              <w:right w:val="double" w:color="auto" w:sz="2" w:space="0"/>
            </w:tcBorders>
            <w:noWrap w:val="0"/>
            <w:vAlign w:val="center"/>
          </w:tcPr>
          <w:p w14:paraId="38D64BF9">
            <w:pPr>
              <w:keepNext w:val="0"/>
              <w:keepLines w:val="0"/>
              <w:pageBreakBefore w:val="0"/>
              <w:widowControl w:val="0"/>
              <w:kinsoku/>
              <w:wordWrap/>
              <w:overflowPunct/>
              <w:topLinePunct w:val="0"/>
              <w:bidi w:val="0"/>
              <w:adjustRightInd/>
              <w:spacing w:line="360" w:lineRule="auto"/>
              <w:jc w:val="left"/>
              <w:textAlignment w:val="auto"/>
              <w:rPr>
                <w:rFonts w:hint="eastAsia" w:ascii="宋体" w:cs="宋体"/>
                <w:color w:val="000000"/>
                <w:highlight w:val="none"/>
                <w:lang w:val="zh-CN"/>
              </w:rPr>
            </w:pPr>
            <w:r>
              <w:rPr>
                <w:rFonts w:hint="eastAsia" w:ascii="宋体" w:cs="宋体"/>
                <w:color w:val="000000"/>
                <w:highlight w:val="none"/>
                <w:lang w:val="en-US" w:eastAsia="zh-CN"/>
              </w:rPr>
              <w:t>无</w:t>
            </w:r>
          </w:p>
        </w:tc>
      </w:tr>
      <w:tr w14:paraId="58F79EC8">
        <w:tblPrEx>
          <w:tblCellMar>
            <w:top w:w="0" w:type="dxa"/>
            <w:left w:w="108" w:type="dxa"/>
            <w:bottom w:w="0" w:type="dxa"/>
            <w:right w:w="108" w:type="dxa"/>
          </w:tblCellMar>
        </w:tblPrEx>
        <w:trPr>
          <w:trHeight w:val="481" w:hRule="atLeast"/>
          <w:jc w:val="center"/>
        </w:trPr>
        <w:tc>
          <w:tcPr>
            <w:tcW w:w="438" w:type="pct"/>
            <w:tcBorders>
              <w:top w:val="single" w:color="auto" w:sz="6" w:space="0"/>
              <w:left w:val="double" w:color="auto" w:sz="2" w:space="0"/>
              <w:bottom w:val="single" w:color="auto" w:sz="6" w:space="0"/>
              <w:right w:val="single" w:color="auto" w:sz="4" w:space="0"/>
            </w:tcBorders>
            <w:noWrap w:val="0"/>
            <w:tcMar>
              <w:left w:w="0" w:type="dxa"/>
              <w:right w:w="0" w:type="dxa"/>
            </w:tcMar>
            <w:vAlign w:val="center"/>
          </w:tcPr>
          <w:p w14:paraId="72085C0D">
            <w:pPr>
              <w:keepNext w:val="0"/>
              <w:keepLines w:val="0"/>
              <w:pageBreakBefore w:val="0"/>
              <w:widowControl w:val="0"/>
              <w:kinsoku/>
              <w:wordWrap/>
              <w:overflowPunct/>
              <w:topLinePunct w:val="0"/>
              <w:bidi w:val="0"/>
              <w:adjustRightInd/>
              <w:spacing w:line="360" w:lineRule="auto"/>
              <w:jc w:val="center"/>
              <w:textAlignment w:val="auto"/>
              <w:rPr>
                <w:rFonts w:hint="default" w:ascii="宋体" w:cs="宋体"/>
                <w:color w:val="000000"/>
                <w:highlight w:val="none"/>
                <w:lang w:val="en-US" w:eastAsia="zh-CN"/>
              </w:rPr>
            </w:pPr>
            <w:r>
              <w:rPr>
                <w:rFonts w:hint="eastAsia" w:ascii="宋体" w:cs="宋体"/>
                <w:color w:val="000000"/>
                <w:highlight w:val="none"/>
                <w:lang w:val="en-US" w:eastAsia="zh-CN"/>
              </w:rPr>
              <w:t>37.12</w:t>
            </w:r>
          </w:p>
        </w:tc>
        <w:tc>
          <w:tcPr>
            <w:tcW w:w="1426" w:type="pct"/>
            <w:tcBorders>
              <w:top w:val="single" w:color="auto" w:sz="6" w:space="0"/>
              <w:left w:val="nil"/>
              <w:bottom w:val="single" w:color="auto" w:sz="6" w:space="0"/>
              <w:right w:val="single" w:color="auto" w:sz="4" w:space="0"/>
            </w:tcBorders>
            <w:shd w:val="clear" w:color="auto" w:fill="auto"/>
            <w:noWrap w:val="0"/>
            <w:tcMar>
              <w:left w:w="0" w:type="dxa"/>
              <w:right w:w="0" w:type="dxa"/>
            </w:tcMar>
            <w:vAlign w:val="center"/>
          </w:tcPr>
          <w:p w14:paraId="415B062A">
            <w:pPr>
              <w:keepNext w:val="0"/>
              <w:keepLines w:val="0"/>
              <w:pageBreakBefore w:val="0"/>
              <w:widowControl w:val="0"/>
              <w:kinsoku/>
              <w:wordWrap/>
              <w:overflowPunct/>
              <w:topLinePunct w:val="0"/>
              <w:bidi w:val="0"/>
              <w:adjustRightInd/>
              <w:spacing w:line="360" w:lineRule="auto"/>
              <w:jc w:val="center"/>
              <w:textAlignment w:val="auto"/>
              <w:rPr>
                <w:rFonts w:hint="default" w:ascii="宋体" w:cs="宋体" w:hAnsiTheme="minorHAnsi" w:eastAsiaTheme="minorEastAsia"/>
                <w:color w:val="000000"/>
                <w:kern w:val="2"/>
                <w:sz w:val="21"/>
                <w:szCs w:val="24"/>
                <w:highlight w:val="none"/>
                <w:lang w:val="en-US" w:eastAsia="zh-CN" w:bidi="ar-SA"/>
              </w:rPr>
            </w:pPr>
            <w:r>
              <w:rPr>
                <w:rFonts w:hint="eastAsia" w:ascii="宋体" w:cs="宋体"/>
                <w:color w:val="000000"/>
                <w:highlight w:val="none"/>
                <w:lang w:val="zh-CN"/>
              </w:rPr>
              <w:t>其他要求</w:t>
            </w:r>
          </w:p>
        </w:tc>
        <w:tc>
          <w:tcPr>
            <w:tcW w:w="3135" w:type="pct"/>
            <w:tcBorders>
              <w:top w:val="single" w:color="auto" w:sz="6" w:space="0"/>
              <w:left w:val="nil"/>
              <w:bottom w:val="single" w:color="auto" w:sz="6" w:space="0"/>
              <w:right w:val="double" w:color="auto" w:sz="2" w:space="0"/>
            </w:tcBorders>
            <w:shd w:val="clear" w:color="auto" w:fill="auto"/>
            <w:noWrap w:val="0"/>
            <w:vAlign w:val="center"/>
          </w:tcPr>
          <w:p w14:paraId="4A34100D">
            <w:pPr>
              <w:keepNext w:val="0"/>
              <w:keepLines w:val="0"/>
              <w:pageBreakBefore w:val="0"/>
              <w:widowControl w:val="0"/>
              <w:kinsoku/>
              <w:wordWrap/>
              <w:overflowPunct/>
              <w:topLinePunct w:val="0"/>
              <w:bidi w:val="0"/>
              <w:adjustRightInd/>
              <w:spacing w:line="360" w:lineRule="auto"/>
              <w:jc w:val="left"/>
              <w:textAlignment w:val="auto"/>
              <w:rPr>
                <w:rFonts w:hint="eastAsia" w:ascii="宋体" w:cs="宋体"/>
                <w:color w:val="000000"/>
                <w:highlight w:val="none"/>
                <w:lang w:val="zh-CN"/>
              </w:rPr>
            </w:pPr>
            <w:r>
              <w:rPr>
                <w:rFonts w:hint="eastAsia" w:ascii="宋体" w:cs="宋体"/>
                <w:color w:val="000000"/>
                <w:highlight w:val="none"/>
                <w:lang w:val="zh-CN"/>
              </w:rPr>
              <w:t>企业名称不同但法定代表人为同一个自然人的两个或者两个以上的投标人不得参加同一采购项目的报价。如果出现上述情况，相关投标人的报价均将被拒绝</w:t>
            </w:r>
          </w:p>
          <w:p w14:paraId="057263FA">
            <w:pPr>
              <w:keepNext w:val="0"/>
              <w:keepLines w:val="0"/>
              <w:pageBreakBefore w:val="0"/>
              <w:widowControl w:val="0"/>
              <w:kinsoku/>
              <w:wordWrap/>
              <w:overflowPunct/>
              <w:topLinePunct w:val="0"/>
              <w:bidi w:val="0"/>
              <w:adjustRightInd/>
              <w:spacing w:line="360" w:lineRule="auto"/>
              <w:jc w:val="left"/>
              <w:textAlignment w:val="auto"/>
              <w:rPr>
                <w:rFonts w:hint="eastAsia" w:ascii="宋体" w:cs="宋体"/>
                <w:color w:val="000000"/>
                <w:highlight w:val="none"/>
                <w:lang w:val="zh-CN"/>
              </w:rPr>
            </w:pPr>
            <w:r>
              <w:rPr>
                <w:rFonts w:hint="eastAsia" w:ascii="宋体" w:cs="宋体"/>
                <w:color w:val="000000"/>
                <w:highlight w:val="none"/>
                <w:lang w:val="zh-CN"/>
              </w:rPr>
              <w:t>电子标说明：</w:t>
            </w:r>
          </w:p>
          <w:p w14:paraId="078C0AB9">
            <w:pPr>
              <w:keepNext w:val="0"/>
              <w:keepLines w:val="0"/>
              <w:pageBreakBefore w:val="0"/>
              <w:widowControl w:val="0"/>
              <w:kinsoku/>
              <w:wordWrap/>
              <w:overflowPunct/>
              <w:topLinePunct w:val="0"/>
              <w:bidi w:val="0"/>
              <w:adjustRightInd/>
              <w:spacing w:line="360" w:lineRule="auto"/>
              <w:jc w:val="left"/>
              <w:textAlignment w:val="auto"/>
              <w:rPr>
                <w:rFonts w:hint="eastAsia" w:ascii="宋体" w:cs="宋体"/>
                <w:color w:val="000000"/>
                <w:highlight w:val="none"/>
                <w:lang w:val="zh-CN"/>
              </w:rPr>
            </w:pPr>
            <w:r>
              <w:rPr>
                <w:rFonts w:hint="eastAsia" w:ascii="宋体" w:cs="宋体"/>
                <w:color w:val="000000"/>
                <w:highlight w:val="none"/>
                <w:lang w:val="zh-CN"/>
              </w:rPr>
              <w:t>一、上传的电子证件及资料均需按要求签字盖章上传，否则按未签章处理。</w:t>
            </w:r>
          </w:p>
          <w:p w14:paraId="34996B0F">
            <w:pPr>
              <w:keepNext w:val="0"/>
              <w:keepLines w:val="0"/>
              <w:pageBreakBefore w:val="0"/>
              <w:widowControl w:val="0"/>
              <w:kinsoku/>
              <w:wordWrap/>
              <w:overflowPunct/>
              <w:topLinePunct w:val="0"/>
              <w:bidi w:val="0"/>
              <w:adjustRightInd/>
              <w:spacing w:line="360" w:lineRule="auto"/>
              <w:jc w:val="left"/>
              <w:textAlignment w:val="auto"/>
              <w:rPr>
                <w:rFonts w:hint="eastAsia" w:ascii="宋体" w:cs="宋体"/>
                <w:color w:val="000000"/>
                <w:highlight w:val="none"/>
                <w:lang w:val="zh-CN"/>
              </w:rPr>
            </w:pPr>
            <w:r>
              <w:rPr>
                <w:rFonts w:hint="eastAsia" w:ascii="宋体" w:cs="宋体"/>
                <w:color w:val="000000"/>
                <w:highlight w:val="none"/>
                <w:lang w:val="zh-CN"/>
              </w:rPr>
              <w:t>投标文件电子版方面技术支持：400-8817190</w:t>
            </w:r>
          </w:p>
          <w:p w14:paraId="027048A5">
            <w:pPr>
              <w:keepNext w:val="0"/>
              <w:keepLines w:val="0"/>
              <w:pageBreakBefore w:val="0"/>
              <w:widowControl w:val="0"/>
              <w:kinsoku/>
              <w:wordWrap/>
              <w:overflowPunct/>
              <w:topLinePunct w:val="0"/>
              <w:bidi w:val="0"/>
              <w:adjustRightInd/>
              <w:spacing w:line="360" w:lineRule="auto"/>
              <w:jc w:val="left"/>
              <w:textAlignment w:val="auto"/>
              <w:rPr>
                <w:rFonts w:hint="default" w:ascii="宋体" w:cs="宋体"/>
                <w:color w:val="000000"/>
                <w:highlight w:val="none"/>
                <w:lang w:val="en-US" w:eastAsia="zh-CN"/>
              </w:rPr>
            </w:pPr>
            <w:r>
              <w:rPr>
                <w:rFonts w:hint="eastAsia" w:ascii="宋体" w:cs="宋体"/>
                <w:color w:val="000000"/>
                <w:highlight w:val="none"/>
                <w:lang w:val="zh-CN"/>
              </w:rPr>
              <w:t xml:space="preserve">投标人在政府采购云平台（网址：http:// </w:t>
            </w:r>
            <w:r>
              <w:rPr>
                <w:rFonts w:hint="eastAsia" w:ascii="宋体" w:cs="宋体"/>
                <w:color w:val="000000"/>
                <w:highlight w:val="none"/>
                <w:lang w:val="zh-CN"/>
              </w:rPr>
              <w:fldChar w:fldCharType="begin"/>
            </w:r>
            <w:r>
              <w:rPr>
                <w:rFonts w:hint="eastAsia" w:ascii="宋体" w:cs="宋体"/>
                <w:color w:val="000000"/>
                <w:highlight w:val="none"/>
                <w:lang w:val="zh-CN"/>
              </w:rPr>
              <w:instrText xml:space="preserve"> HYPERLINK "http://www.zcygov.cn）通过数字证书制作投标文件1份（此投标文件需上传至政府采购云平台，" </w:instrText>
            </w:r>
            <w:r>
              <w:rPr>
                <w:rFonts w:hint="eastAsia" w:ascii="宋体" w:cs="宋体"/>
                <w:color w:val="000000"/>
                <w:highlight w:val="none"/>
                <w:lang w:val="zh-CN"/>
              </w:rPr>
              <w:fldChar w:fldCharType="separate"/>
            </w:r>
            <w:r>
              <w:rPr>
                <w:rFonts w:hint="eastAsia" w:ascii="宋体" w:cs="宋体"/>
                <w:color w:val="000000"/>
                <w:highlight w:val="none"/>
                <w:lang w:val="zh-CN"/>
              </w:rPr>
              <w:t>www.zcygov.cn）通过数字证书制作投标文件1份（此投标文件需上传至政府采购云平台</w:t>
            </w:r>
            <w:r>
              <w:rPr>
                <w:rFonts w:hint="eastAsia" w:ascii="宋体" w:cs="宋体"/>
                <w:color w:val="000000"/>
                <w:highlight w:val="none"/>
                <w:lang w:val="zh-CN"/>
              </w:rPr>
              <w:fldChar w:fldCharType="end"/>
            </w:r>
            <w:r>
              <w:rPr>
                <w:rFonts w:hint="eastAsia" w:ascii="宋体" w:cs="宋体"/>
                <w:color w:val="000000"/>
                <w:highlight w:val="none"/>
                <w:lang w:val="zh-CN"/>
              </w:rPr>
              <w:t>）。</w:t>
            </w:r>
          </w:p>
          <w:p w14:paraId="230329A5">
            <w:pPr>
              <w:keepNext w:val="0"/>
              <w:keepLines w:val="0"/>
              <w:pageBreakBefore w:val="0"/>
              <w:widowControl w:val="0"/>
              <w:kinsoku/>
              <w:wordWrap/>
              <w:overflowPunct/>
              <w:topLinePunct w:val="0"/>
              <w:bidi w:val="0"/>
              <w:adjustRightInd/>
              <w:spacing w:line="360" w:lineRule="auto"/>
              <w:jc w:val="left"/>
              <w:textAlignment w:val="auto"/>
              <w:rPr>
                <w:rFonts w:hint="eastAsia" w:ascii="宋体" w:cs="宋体"/>
                <w:color w:val="000000"/>
                <w:highlight w:val="none"/>
                <w:lang w:val="zh-CN"/>
              </w:rPr>
            </w:pPr>
            <w:r>
              <w:rPr>
                <w:rFonts w:hint="eastAsia" w:ascii="宋体" w:cs="宋体"/>
                <w:color w:val="000000"/>
                <w:highlight w:val="none"/>
                <w:lang w:val="zh-CN"/>
              </w:rPr>
              <w:t>二、电子投标文件中反应投标人资格审查的图片、扫描件、文字描述等，必须清晰可见。其中所有证书和执照必须为原件扫描。</w:t>
            </w:r>
          </w:p>
          <w:p w14:paraId="0AAFEFCD">
            <w:pPr>
              <w:keepNext w:val="0"/>
              <w:keepLines w:val="0"/>
              <w:pageBreakBefore w:val="0"/>
              <w:widowControl w:val="0"/>
              <w:kinsoku/>
              <w:wordWrap/>
              <w:overflowPunct/>
              <w:topLinePunct w:val="0"/>
              <w:bidi w:val="0"/>
              <w:adjustRightInd/>
              <w:spacing w:line="360" w:lineRule="auto"/>
              <w:jc w:val="left"/>
              <w:textAlignment w:val="auto"/>
              <w:rPr>
                <w:rFonts w:hint="eastAsia" w:ascii="宋体" w:cs="宋体"/>
                <w:color w:val="000000"/>
                <w:highlight w:val="none"/>
                <w:lang w:val="zh-CN"/>
              </w:rPr>
            </w:pPr>
            <w:r>
              <w:rPr>
                <w:rFonts w:hint="eastAsia" w:ascii="宋体" w:cs="宋体"/>
                <w:color w:val="000000"/>
                <w:highlight w:val="none"/>
                <w:lang w:val="zh-CN"/>
              </w:rPr>
              <w:t>三、若投标人上传的电子投标文件因无法解密而对投标文件无法进行评价的，采购人可以拒绝该投标人投标。</w:t>
            </w:r>
          </w:p>
          <w:p w14:paraId="4DFE8906">
            <w:pPr>
              <w:keepNext w:val="0"/>
              <w:keepLines w:val="0"/>
              <w:pageBreakBefore w:val="0"/>
              <w:widowControl w:val="0"/>
              <w:kinsoku/>
              <w:wordWrap/>
              <w:overflowPunct/>
              <w:topLinePunct w:val="0"/>
              <w:bidi w:val="0"/>
              <w:adjustRightInd/>
              <w:spacing w:line="360" w:lineRule="auto"/>
              <w:jc w:val="left"/>
              <w:textAlignment w:val="auto"/>
              <w:rPr>
                <w:rFonts w:hint="default" w:ascii="宋体" w:cs="宋体" w:hAnsiTheme="minorHAnsi" w:eastAsiaTheme="minorEastAsia"/>
                <w:color w:val="000000"/>
                <w:kern w:val="2"/>
                <w:sz w:val="21"/>
                <w:szCs w:val="24"/>
                <w:highlight w:val="none"/>
                <w:lang w:val="en-US" w:eastAsia="zh-CN" w:bidi="ar-SA"/>
              </w:rPr>
            </w:pPr>
            <w:r>
              <w:rPr>
                <w:rFonts w:hint="eastAsia" w:ascii="宋体" w:cs="宋体"/>
                <w:color w:val="000000"/>
                <w:highlight w:val="none"/>
                <w:lang w:val="zh-CN"/>
              </w:rPr>
              <w:t>备注：用数字证书编制的电子版按《政府采购项目电子交易管理操作指南-投标人》进行投标操作。</w:t>
            </w:r>
          </w:p>
        </w:tc>
      </w:tr>
      <w:tr w14:paraId="023F8A19">
        <w:tblPrEx>
          <w:tblCellMar>
            <w:top w:w="0" w:type="dxa"/>
            <w:left w:w="108" w:type="dxa"/>
            <w:bottom w:w="0" w:type="dxa"/>
            <w:right w:w="108" w:type="dxa"/>
          </w:tblCellMar>
        </w:tblPrEx>
        <w:trPr>
          <w:trHeight w:val="419" w:hRule="atLeast"/>
          <w:jc w:val="center"/>
        </w:trPr>
        <w:tc>
          <w:tcPr>
            <w:tcW w:w="5000" w:type="pct"/>
            <w:gridSpan w:val="3"/>
            <w:tcBorders>
              <w:top w:val="single" w:color="auto" w:sz="6" w:space="0"/>
              <w:left w:val="double" w:color="auto" w:sz="2" w:space="0"/>
              <w:bottom w:val="single" w:color="auto" w:sz="6" w:space="0"/>
              <w:right w:val="double" w:color="auto" w:sz="2" w:space="0"/>
            </w:tcBorders>
            <w:noWrap w:val="0"/>
            <w:tcMar>
              <w:left w:w="0" w:type="dxa"/>
              <w:right w:w="0" w:type="dxa"/>
            </w:tcMar>
            <w:vAlign w:val="center"/>
          </w:tcPr>
          <w:p w14:paraId="58AC7DE8">
            <w:pPr>
              <w:keepNext w:val="0"/>
              <w:keepLines w:val="0"/>
              <w:pageBreakBefore w:val="0"/>
              <w:widowControl w:val="0"/>
              <w:kinsoku/>
              <w:wordWrap/>
              <w:overflowPunct/>
              <w:topLinePunct w:val="0"/>
              <w:bidi w:val="0"/>
              <w:adjustRightInd/>
              <w:spacing w:line="360" w:lineRule="auto"/>
              <w:textAlignment w:val="auto"/>
              <w:rPr>
                <w:rFonts w:hint="eastAsia" w:ascii="宋体" w:cs="宋体"/>
                <w:color w:val="000000"/>
                <w:highlight w:val="none"/>
                <w:lang w:val="zh-CN"/>
              </w:rPr>
            </w:pPr>
            <w:r>
              <w:rPr>
                <w:rFonts w:hint="eastAsia" w:ascii="宋体" w:cs="宋体"/>
                <w:highlight w:val="none"/>
              </w:rPr>
              <w:t>中小企业声明函中项目采购标的对应的企业划分标准所属行业为</w:t>
            </w:r>
            <w:r>
              <w:rPr>
                <w:rFonts w:hint="eastAsia" w:ascii="宋体" w:cs="宋体"/>
                <w:b/>
                <w:bCs/>
                <w:highlight w:val="none"/>
                <w:lang w:val="en-US" w:eastAsia="zh-CN"/>
              </w:rPr>
              <w:t>工</w:t>
            </w:r>
            <w:r>
              <w:rPr>
                <w:rFonts w:hint="eastAsia" w:ascii="宋体" w:cs="宋体"/>
                <w:b/>
                <w:bCs/>
                <w:highlight w:val="none"/>
                <w:lang w:val="zh-CN" w:eastAsia="zh-CN"/>
              </w:rPr>
              <w:t>业</w:t>
            </w:r>
            <w:r>
              <w:rPr>
                <w:rFonts w:hint="eastAsia" w:ascii="宋体" w:cs="宋体"/>
                <w:highlight w:val="none"/>
              </w:rPr>
              <w:t>。</w:t>
            </w:r>
          </w:p>
        </w:tc>
      </w:tr>
      <w:tr w14:paraId="0A24404F">
        <w:tblPrEx>
          <w:tblCellMar>
            <w:top w:w="0" w:type="dxa"/>
            <w:left w:w="108" w:type="dxa"/>
            <w:bottom w:w="0" w:type="dxa"/>
            <w:right w:w="108" w:type="dxa"/>
          </w:tblCellMar>
        </w:tblPrEx>
        <w:trPr>
          <w:trHeight w:val="90" w:hRule="atLeast"/>
          <w:jc w:val="center"/>
        </w:trPr>
        <w:tc>
          <w:tcPr>
            <w:tcW w:w="5000" w:type="pct"/>
            <w:gridSpan w:val="3"/>
            <w:tcBorders>
              <w:top w:val="single" w:color="auto" w:sz="6" w:space="0"/>
              <w:left w:val="double" w:color="auto" w:sz="2" w:space="0"/>
              <w:bottom w:val="single" w:color="auto" w:sz="6" w:space="0"/>
              <w:right w:val="double" w:color="auto" w:sz="2" w:space="0"/>
            </w:tcBorders>
            <w:noWrap w:val="0"/>
            <w:tcMar>
              <w:left w:w="0" w:type="dxa"/>
              <w:right w:w="0" w:type="dxa"/>
            </w:tcMar>
            <w:vAlign w:val="center"/>
          </w:tcPr>
          <w:p w14:paraId="51CF9A28">
            <w:pPr>
              <w:keepNext w:val="0"/>
              <w:keepLines w:val="0"/>
              <w:pageBreakBefore w:val="0"/>
              <w:widowControl w:val="0"/>
              <w:tabs>
                <w:tab w:val="left" w:pos="0"/>
              </w:tabs>
              <w:kinsoku/>
              <w:wordWrap/>
              <w:overflowPunct/>
              <w:topLinePunct w:val="0"/>
              <w:bidi w:val="0"/>
              <w:adjustRightInd/>
              <w:spacing w:line="360" w:lineRule="auto"/>
              <w:textAlignment w:val="auto"/>
              <w:rPr>
                <w:rFonts w:hint="eastAsia" w:ascii="宋体" w:cs="宋体"/>
                <w:highlight w:val="none"/>
              </w:rPr>
            </w:pPr>
            <w:r>
              <w:rPr>
                <w:rFonts w:hint="eastAsia" w:ascii="宋体" w:hAnsi="宋体" w:eastAsia="宋体" w:cs="宋体"/>
                <w:highlight w:val="none"/>
              </w:rPr>
              <w:t>依据《政府采购促进中小企业发展管理办法》规定享受扶持政策获得政府采购合同的，小微企业不得将合同分包给大中型企业，中型企业不得将合同分包给大型企业。</w:t>
            </w:r>
          </w:p>
        </w:tc>
      </w:tr>
      <w:tr w14:paraId="660B05F5">
        <w:tblPrEx>
          <w:tblCellMar>
            <w:top w:w="0" w:type="dxa"/>
            <w:left w:w="108" w:type="dxa"/>
            <w:bottom w:w="0" w:type="dxa"/>
            <w:right w:w="108" w:type="dxa"/>
          </w:tblCellMar>
        </w:tblPrEx>
        <w:trPr>
          <w:trHeight w:val="795" w:hRule="atLeast"/>
          <w:jc w:val="center"/>
        </w:trPr>
        <w:tc>
          <w:tcPr>
            <w:tcW w:w="5000" w:type="pct"/>
            <w:gridSpan w:val="3"/>
            <w:tcBorders>
              <w:top w:val="single" w:color="auto" w:sz="6" w:space="0"/>
              <w:left w:val="double" w:color="auto" w:sz="2" w:space="0"/>
              <w:bottom w:val="single" w:color="auto" w:sz="6" w:space="0"/>
              <w:right w:val="double" w:color="auto" w:sz="2" w:space="0"/>
            </w:tcBorders>
            <w:noWrap w:val="0"/>
            <w:tcMar>
              <w:left w:w="0" w:type="dxa"/>
              <w:right w:w="0" w:type="dxa"/>
            </w:tcMar>
            <w:vAlign w:val="center"/>
          </w:tcPr>
          <w:p w14:paraId="769CBE51">
            <w:pPr>
              <w:keepNext w:val="0"/>
              <w:keepLines w:val="0"/>
              <w:pageBreakBefore w:val="0"/>
              <w:widowControl w:val="0"/>
              <w:kinsoku/>
              <w:wordWrap/>
              <w:overflowPunct/>
              <w:topLinePunct w:val="0"/>
              <w:bidi w:val="0"/>
              <w:adjustRightInd/>
              <w:spacing w:line="360" w:lineRule="auto"/>
              <w:textAlignment w:val="auto"/>
              <w:rPr>
                <w:rFonts w:hint="eastAsia"/>
                <w:b/>
                <w:bCs/>
                <w:color w:val="auto"/>
              </w:rPr>
            </w:pPr>
            <w:r>
              <w:rPr>
                <w:rFonts w:hint="eastAsia"/>
                <w:b/>
                <w:bCs/>
                <w:color w:val="auto"/>
              </w:rPr>
              <w:t>政府采购支持中小企业（含监狱企业）发展：</w:t>
            </w:r>
          </w:p>
          <w:p w14:paraId="603F5FC7">
            <w:pPr>
              <w:keepNext w:val="0"/>
              <w:keepLines w:val="0"/>
              <w:pageBreakBefore w:val="0"/>
              <w:widowControl w:val="0"/>
              <w:kinsoku/>
              <w:wordWrap/>
              <w:overflowPunct/>
              <w:topLinePunct w:val="0"/>
              <w:bidi w:val="0"/>
              <w:adjustRightInd/>
              <w:spacing w:line="360" w:lineRule="auto"/>
              <w:textAlignment w:val="auto"/>
              <w:rPr>
                <w:rFonts w:hint="eastAsia"/>
                <w:color w:val="auto"/>
                <w:highlight w:val="none"/>
              </w:rPr>
            </w:pPr>
            <w:r>
              <w:rPr>
                <w:rFonts w:hint="eastAsia"/>
                <w:color w:val="auto"/>
                <w:highlight w:val="none"/>
                <w:lang w:eastAsia="zh-CN"/>
              </w:rPr>
              <w:t>□</w:t>
            </w:r>
            <w:r>
              <w:rPr>
                <w:rFonts w:hint="eastAsia"/>
                <w:color w:val="auto"/>
                <w:highlight w:val="none"/>
              </w:rPr>
              <w:t>专门面向中小企业采购（应同时在招标公告中注明）。</w:t>
            </w:r>
          </w:p>
          <w:p w14:paraId="6DC5CF87">
            <w:pPr>
              <w:keepNext w:val="0"/>
              <w:keepLines w:val="0"/>
              <w:pageBreakBefore w:val="0"/>
              <w:widowControl w:val="0"/>
              <w:kinsoku/>
              <w:wordWrap/>
              <w:overflowPunct/>
              <w:topLinePunct w:val="0"/>
              <w:bidi w:val="0"/>
              <w:adjustRightInd/>
              <w:spacing w:line="360" w:lineRule="auto"/>
              <w:textAlignment w:val="auto"/>
              <w:rPr>
                <w:rFonts w:hint="eastAsia"/>
                <w:color w:val="auto"/>
                <w:highlight w:val="none"/>
              </w:rPr>
            </w:pPr>
            <w:r>
              <w:rPr>
                <w:rFonts w:hint="eastAsia"/>
                <w:color w:val="auto"/>
                <w:highlight w:val="none"/>
              </w:rPr>
              <w:sym w:font="Wingdings" w:char="00FE"/>
            </w:r>
            <w:r>
              <w:rPr>
                <w:rFonts w:hint="eastAsia"/>
                <w:color w:val="auto"/>
                <w:highlight w:val="none"/>
              </w:rPr>
              <w:t xml:space="preserve"> 非专门面向中小企业采购：对于小型或微型企业（含监狱企业）参与本项目投标的，给予</w:t>
            </w:r>
            <w:r>
              <w:rPr>
                <w:rFonts w:hint="eastAsia"/>
                <w:color w:val="auto"/>
                <w:highlight w:val="none"/>
                <w:lang w:val="en-US" w:eastAsia="zh-CN"/>
              </w:rPr>
              <w:t>10</w:t>
            </w:r>
            <w:r>
              <w:rPr>
                <w:rFonts w:hint="eastAsia"/>
                <w:color w:val="auto"/>
                <w:highlight w:val="none"/>
              </w:rPr>
              <w:t>%的价格扣除。</w:t>
            </w:r>
          </w:p>
          <w:p w14:paraId="229FE629">
            <w:pPr>
              <w:keepNext w:val="0"/>
              <w:keepLines w:val="0"/>
              <w:pageBreakBefore w:val="0"/>
              <w:widowControl w:val="0"/>
              <w:kinsoku/>
              <w:wordWrap/>
              <w:overflowPunct/>
              <w:topLinePunct w:val="0"/>
              <w:bidi w:val="0"/>
              <w:adjustRightInd/>
              <w:spacing w:line="360" w:lineRule="auto"/>
              <w:textAlignment w:val="auto"/>
              <w:rPr>
                <w:rFonts w:hint="eastAsia"/>
                <w:color w:val="auto"/>
              </w:rPr>
            </w:pPr>
            <w:r>
              <w:rPr>
                <w:rFonts w:hint="eastAsia"/>
                <w:color w:val="auto"/>
              </w:rPr>
              <w:t>注：</w:t>
            </w:r>
            <w:r>
              <w:rPr>
                <w:rFonts w:hint="eastAsia"/>
                <w:b w:val="0"/>
                <w:bCs w:val="0"/>
                <w:color w:val="auto"/>
              </w:rPr>
              <w:t>1）</w:t>
            </w:r>
            <w:r>
              <w:rPr>
                <w:rFonts w:hint="eastAsia"/>
                <w:color w:val="auto"/>
                <w:lang w:val="en-US" w:eastAsia="zh-CN"/>
              </w:rPr>
              <w:t>投标人</w:t>
            </w:r>
            <w:r>
              <w:rPr>
                <w:rFonts w:hint="eastAsia"/>
                <w:color w:val="auto"/>
              </w:rPr>
              <w:t>应当提供《中小企业声明函》</w:t>
            </w:r>
            <w:r>
              <w:rPr>
                <w:rFonts w:hint="eastAsia"/>
                <w:color w:val="auto"/>
                <w:lang w:eastAsia="zh-CN"/>
              </w:rPr>
              <w:t>。</w:t>
            </w:r>
          </w:p>
          <w:p w14:paraId="7ACA483C">
            <w:pPr>
              <w:keepNext w:val="0"/>
              <w:keepLines w:val="0"/>
              <w:pageBreakBefore w:val="0"/>
              <w:widowControl w:val="0"/>
              <w:numPr>
                <w:ilvl w:val="0"/>
                <w:numId w:val="2"/>
              </w:numPr>
              <w:kinsoku/>
              <w:wordWrap/>
              <w:overflowPunct/>
              <w:topLinePunct w:val="0"/>
              <w:bidi w:val="0"/>
              <w:adjustRightInd/>
              <w:spacing w:line="360" w:lineRule="auto"/>
              <w:jc w:val="left"/>
              <w:textAlignment w:val="auto"/>
              <w:rPr>
                <w:rFonts w:hint="eastAsia"/>
                <w:color w:val="auto"/>
              </w:rPr>
            </w:pPr>
            <w:r>
              <w:rPr>
                <w:rFonts w:hint="eastAsia"/>
                <w:color w:val="auto"/>
              </w:rPr>
              <w:t xml:space="preserve">监狱企业参加政府采购活动时，应当提供由省级以上监狱管理局、戒毒管理局（含新疆生产建设兵团）出具的属于监狱企业的证明文件。 </w:t>
            </w:r>
          </w:p>
          <w:p w14:paraId="31B040B8">
            <w:pPr>
              <w:keepNext w:val="0"/>
              <w:keepLines w:val="0"/>
              <w:pageBreakBefore w:val="0"/>
              <w:widowControl w:val="0"/>
              <w:numPr>
                <w:ilvl w:val="0"/>
                <w:numId w:val="2"/>
              </w:numPr>
              <w:tabs>
                <w:tab w:val="left" w:pos="0"/>
              </w:tabs>
              <w:kinsoku/>
              <w:wordWrap/>
              <w:overflowPunct/>
              <w:topLinePunct w:val="0"/>
              <w:bidi w:val="0"/>
              <w:adjustRightInd/>
              <w:spacing w:line="360" w:lineRule="auto"/>
              <w:ind w:left="0" w:leftChars="0" w:firstLine="0" w:firstLineChars="0"/>
              <w:textAlignment w:val="auto"/>
              <w:rPr>
                <w:rFonts w:hint="eastAsia" w:ascii="宋体" w:hAnsi="宋体" w:eastAsia="宋体" w:cs="宋体"/>
                <w:b w:val="0"/>
                <w:bCs w:val="0"/>
                <w:color w:val="auto"/>
                <w:szCs w:val="21"/>
                <w:highlight w:val="none"/>
                <w:lang w:eastAsia="zh-CN"/>
              </w:rPr>
            </w:pPr>
            <w:r>
              <w:rPr>
                <w:rFonts w:hint="eastAsia" w:ascii="宋体" w:hAnsi="宋体" w:eastAsia="宋体" w:cs="宋体"/>
                <w:b w:val="0"/>
                <w:bCs w:val="0"/>
                <w:color w:val="auto"/>
                <w:szCs w:val="21"/>
                <w:highlight w:val="none"/>
                <w:lang w:eastAsia="zh-CN"/>
              </w:rPr>
              <w:t>在政府采购活动中，残疾人福利性单位视同小型、微型企业，符合条件的残疾人福利性单位应当提供《残疾人福利性单位声明函》，并对声明的真实性负责。</w:t>
            </w:r>
          </w:p>
          <w:p w14:paraId="6A01F0A5">
            <w:pPr>
              <w:keepNext w:val="0"/>
              <w:keepLines w:val="0"/>
              <w:pageBreakBefore w:val="0"/>
              <w:widowControl w:val="0"/>
              <w:numPr>
                <w:ilvl w:val="0"/>
                <w:numId w:val="0"/>
              </w:numPr>
              <w:tabs>
                <w:tab w:val="left" w:pos="0"/>
              </w:tabs>
              <w:kinsoku/>
              <w:wordWrap/>
              <w:overflowPunct/>
              <w:topLinePunct w:val="0"/>
              <w:bidi w:val="0"/>
              <w:adjustRightInd/>
              <w:spacing w:line="360" w:lineRule="auto"/>
              <w:ind w:leftChars="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强制、优先采购节能产品、环境标志产品政策</w:t>
            </w:r>
          </w:p>
          <w:p w14:paraId="5C991CA1">
            <w:pPr>
              <w:keepNext w:val="0"/>
              <w:keepLines w:val="0"/>
              <w:pageBreakBefore w:val="0"/>
              <w:widowControl w:val="0"/>
              <w:kinsoku/>
              <w:wordWrap/>
              <w:overflowPunct/>
              <w:topLinePunct w:val="0"/>
              <w:bidi w:val="0"/>
              <w:adjustRightInd/>
              <w:spacing w:line="360" w:lineRule="auto"/>
              <w:textAlignment w:val="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（一）政策依据</w:t>
            </w:r>
          </w:p>
          <w:p w14:paraId="3F833122">
            <w:pPr>
              <w:keepNext w:val="0"/>
              <w:keepLines w:val="0"/>
              <w:pageBreakBefore w:val="0"/>
              <w:widowControl w:val="0"/>
              <w:kinsoku/>
              <w:wordWrap/>
              <w:overflowPunct/>
              <w:topLinePunct w:val="0"/>
              <w:bidi w:val="0"/>
              <w:adjustRightInd/>
              <w:spacing w:line="360" w:lineRule="auto"/>
              <w:textAlignment w:val="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1、财政部 发展改革委 生态环境部 市场监管总局《关于调整优化节能产品、环境标志产品政府采购执行机制的通知》（财库〔2019〕9号）。</w:t>
            </w:r>
          </w:p>
          <w:p w14:paraId="2A8EE7BC">
            <w:pPr>
              <w:keepNext w:val="0"/>
              <w:keepLines w:val="0"/>
              <w:pageBreakBefore w:val="0"/>
              <w:widowControl w:val="0"/>
              <w:kinsoku/>
              <w:wordWrap/>
              <w:overflowPunct/>
              <w:topLinePunct w:val="0"/>
              <w:bidi w:val="0"/>
              <w:adjustRightInd/>
              <w:spacing w:line="360" w:lineRule="auto"/>
              <w:textAlignment w:val="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2、财政部 生态环境部《关于印发环境标志产品政府采购品目清单的通知》（财库〔2019〕18号）。</w:t>
            </w:r>
          </w:p>
          <w:p w14:paraId="42E92382">
            <w:pPr>
              <w:keepNext w:val="0"/>
              <w:keepLines w:val="0"/>
              <w:pageBreakBefore w:val="0"/>
              <w:widowControl w:val="0"/>
              <w:kinsoku/>
              <w:wordWrap/>
              <w:overflowPunct/>
              <w:topLinePunct w:val="0"/>
              <w:bidi w:val="0"/>
              <w:adjustRightInd/>
              <w:spacing w:line="360" w:lineRule="auto"/>
              <w:textAlignment w:val="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3、财政部 发展改革委《关于印发节能产品政府采购品目清单的通知》（财库〔2019〕19号）。</w:t>
            </w:r>
          </w:p>
          <w:p w14:paraId="33403524">
            <w:pPr>
              <w:keepNext w:val="0"/>
              <w:keepLines w:val="0"/>
              <w:pageBreakBefore w:val="0"/>
              <w:widowControl w:val="0"/>
              <w:kinsoku/>
              <w:wordWrap/>
              <w:overflowPunct/>
              <w:topLinePunct w:val="0"/>
              <w:bidi w:val="0"/>
              <w:adjustRightInd/>
              <w:spacing w:line="360" w:lineRule="auto"/>
              <w:textAlignment w:val="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（二）节能产品、环境标志产品的品目</w:t>
            </w:r>
          </w:p>
          <w:p w14:paraId="266E2D67">
            <w:pPr>
              <w:keepNext w:val="0"/>
              <w:keepLines w:val="0"/>
              <w:pageBreakBefore w:val="0"/>
              <w:widowControl w:val="0"/>
              <w:kinsoku/>
              <w:wordWrap/>
              <w:overflowPunct/>
              <w:topLinePunct w:val="0"/>
              <w:bidi w:val="0"/>
              <w:adjustRightInd/>
              <w:spacing w:line="360" w:lineRule="auto"/>
              <w:textAlignment w:val="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政府采购节能产品、环境标志产品实施品目清单管理，详见《节能产品政府采购品目清单》、《环境标志产品政府采购品目清单》。</w:t>
            </w:r>
          </w:p>
          <w:p w14:paraId="372CDF94">
            <w:pPr>
              <w:keepNext w:val="0"/>
              <w:keepLines w:val="0"/>
              <w:pageBreakBefore w:val="0"/>
              <w:widowControl w:val="0"/>
              <w:kinsoku/>
              <w:wordWrap/>
              <w:overflowPunct/>
              <w:topLinePunct w:val="0"/>
              <w:bidi w:val="0"/>
              <w:adjustRightInd/>
              <w:spacing w:line="360" w:lineRule="auto"/>
              <w:textAlignment w:val="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（三）节能产品、环境标志产品需提供的证明材料</w:t>
            </w:r>
          </w:p>
          <w:p w14:paraId="33ECBC29">
            <w:pPr>
              <w:keepNext w:val="0"/>
              <w:keepLines w:val="0"/>
              <w:pageBreakBefore w:val="0"/>
              <w:widowControl w:val="0"/>
              <w:kinsoku/>
              <w:wordWrap/>
              <w:overflowPunct/>
              <w:topLinePunct w:val="0"/>
              <w:bidi w:val="0"/>
              <w:adjustRightInd/>
              <w:spacing w:line="360" w:lineRule="auto"/>
              <w:textAlignment w:val="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采购人拟采购的产品属于品目清单范围的，投标人应当提供《节能产品、环境标志产品强制采购认证证书一览表》和《节能产品、环境标志产品优先采购认证证书一览表》（格式自拟），填写获得国家确定的认证机构出具的、处于有效期之内的节能产品、环境标志产品认证证书相关信息，并在相应表格后提供对应的认证证书扫描件。</w:t>
            </w:r>
          </w:p>
          <w:p w14:paraId="2471218D">
            <w:pPr>
              <w:keepNext w:val="0"/>
              <w:keepLines w:val="0"/>
              <w:pageBreakBefore w:val="0"/>
              <w:widowControl w:val="0"/>
              <w:kinsoku/>
              <w:wordWrap/>
              <w:overflowPunct/>
              <w:topLinePunct w:val="0"/>
              <w:bidi w:val="0"/>
              <w:adjustRightInd/>
              <w:spacing w:line="360" w:lineRule="auto"/>
              <w:textAlignment w:val="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（四）节能产品、环境标志产品采购政策</w:t>
            </w:r>
          </w:p>
          <w:p w14:paraId="7614FC35">
            <w:pPr>
              <w:keepNext w:val="0"/>
              <w:keepLines w:val="0"/>
              <w:pageBreakBefore w:val="0"/>
              <w:widowControl w:val="0"/>
              <w:kinsoku/>
              <w:wordWrap/>
              <w:overflowPunct/>
              <w:topLinePunct w:val="0"/>
              <w:bidi w:val="0"/>
              <w:adjustRightInd/>
              <w:spacing w:line="360" w:lineRule="auto"/>
              <w:textAlignment w:val="auto"/>
              <w:rPr>
                <w:rFonts w:hint="eastAsia" w:ascii="Times New Roman" w:hAnsi="Times New Roman" w:eastAsia="宋体" w:cs="Times New Roman"/>
                <w:b w:val="0"/>
                <w:bCs w:val="0"/>
                <w:color w:val="auto"/>
                <w:lang w:val="en-US" w:eastAsia="zh-CN"/>
              </w:rPr>
            </w:pPr>
            <w:r>
              <w:rPr>
                <w:rFonts w:hint="eastAsia" w:ascii="Times New Roman" w:hAnsi="Times New Roman" w:eastAsia="宋体" w:cs="Times New Roman"/>
                <w:color w:val="auto"/>
                <w:lang w:val="en-US" w:eastAsia="zh-CN"/>
              </w:rPr>
              <w:t>采购人拟采购的产品属于品目清单范围，且属于强制采购品目的，实行强制采购。本采购文件第五章要求具有强制采购认证证书的产品，投标人必须在《节能产品、环境标志产品强制采购认证证书</w:t>
            </w:r>
            <w:r>
              <w:rPr>
                <w:rFonts w:hint="eastAsia" w:ascii="Times New Roman" w:hAnsi="Times New Roman" w:eastAsia="宋体" w:cs="Times New Roman"/>
                <w:b w:val="0"/>
                <w:bCs w:val="0"/>
                <w:color w:val="auto"/>
                <w:lang w:val="en-US" w:eastAsia="zh-CN"/>
              </w:rPr>
              <w:t>一览表》中，填写所投产品获得的、有效的认证证书相关信息，并提供对应的认证证书扫描件，否则投标、响应无效。</w:t>
            </w:r>
          </w:p>
          <w:p w14:paraId="04D71AFB">
            <w:pPr>
              <w:keepNext w:val="0"/>
              <w:keepLines w:val="0"/>
              <w:pageBreakBefore w:val="0"/>
              <w:widowControl w:val="0"/>
              <w:kinsoku/>
              <w:wordWrap/>
              <w:overflowPunct/>
              <w:topLinePunct w:val="0"/>
              <w:bidi w:val="0"/>
              <w:adjustRightInd/>
              <w:spacing w:line="360" w:lineRule="auto"/>
              <w:textAlignment w:val="auto"/>
              <w:rPr>
                <w:rFonts w:hint="eastAsia" w:ascii="宋体" w:cs="宋体"/>
                <w:highlight w:val="none"/>
              </w:rPr>
            </w:pPr>
            <w:r>
              <w:rPr>
                <w:rFonts w:hint="eastAsia" w:ascii="宋体" w:cs="宋体"/>
                <w:highlight w:val="none"/>
              </w:rPr>
              <w:t>（五）对于列入财政部、国家发改委、信息产业部发布的《无线局域网认证产品政府采购清单》的产品，实行优先采购。优先采购的具体办法详见本采购文件第三章。</w:t>
            </w:r>
          </w:p>
          <w:p w14:paraId="5359ED8B">
            <w:pPr>
              <w:keepNext w:val="0"/>
              <w:keepLines w:val="0"/>
              <w:pageBreakBefore w:val="0"/>
              <w:widowControl w:val="0"/>
              <w:kinsoku/>
              <w:wordWrap/>
              <w:overflowPunct/>
              <w:topLinePunct w:val="0"/>
              <w:bidi w:val="0"/>
              <w:adjustRightInd/>
              <w:spacing w:line="360" w:lineRule="auto"/>
              <w:textAlignment w:val="auto"/>
              <w:rPr>
                <w:rFonts w:hint="eastAsia" w:ascii="宋体" w:cs="宋体"/>
                <w:highlight w:val="none"/>
              </w:rPr>
            </w:pPr>
            <w:r>
              <w:rPr>
                <w:rFonts w:hint="eastAsia" w:ascii="宋体" w:cs="宋体"/>
                <w:highlight w:val="none"/>
              </w:rPr>
              <w:t>（六）。采购人拟采购的产品属于品目清单范围，但不属于强制采购品目的，实行优先采购。</w:t>
            </w:r>
            <w:r>
              <w:rPr>
                <w:rFonts w:hint="eastAsia" w:ascii="宋体" w:cs="宋体"/>
                <w:highlight w:val="none"/>
                <w:lang w:eastAsia="zh-CN"/>
              </w:rPr>
              <w:t>投标人</w:t>
            </w:r>
            <w:r>
              <w:rPr>
                <w:rFonts w:hint="eastAsia" w:ascii="宋体" w:cs="宋体"/>
                <w:highlight w:val="none"/>
              </w:rPr>
              <w:t>应当在《节能产品、环境标志产品优先采购认证证书一览表》中，填写所投产品获得的。有效的认证证书相关信息并提供对应的认证证书扫描件，优先采购的具体办法详见本采购文件第三章。</w:t>
            </w:r>
          </w:p>
          <w:p w14:paraId="242212F5">
            <w:pPr>
              <w:keepNext w:val="0"/>
              <w:keepLines w:val="0"/>
              <w:pageBreakBefore w:val="0"/>
              <w:widowControl w:val="0"/>
              <w:numPr>
                <w:ilvl w:val="0"/>
                <w:numId w:val="0"/>
              </w:numPr>
              <w:tabs>
                <w:tab w:val="left" w:pos="0"/>
              </w:tabs>
              <w:kinsoku/>
              <w:wordWrap/>
              <w:overflowPunct/>
              <w:topLinePunct w:val="0"/>
              <w:bidi w:val="0"/>
              <w:adjustRightInd/>
              <w:spacing w:line="360" w:lineRule="auto"/>
              <w:ind w:left="0" w:leftChars="0" w:firstLine="0" w:firstLineChars="0"/>
              <w:textAlignment w:val="auto"/>
              <w:rPr>
                <w:rFonts w:hint="eastAsia" w:ascii="宋体" w:cs="宋体"/>
                <w:b/>
                <w:bCs/>
                <w:color w:val="000000"/>
                <w:highlight w:val="none"/>
                <w:lang w:val="zh-CN"/>
              </w:rPr>
            </w:pPr>
            <w:r>
              <w:rPr>
                <w:rFonts w:hint="eastAsia" w:ascii="宋体" w:cs="宋体"/>
                <w:highlight w:val="none"/>
              </w:rPr>
              <w:t>本项目按照吉林省财政厅《关于依托政府采购数字金融服务平台开展融资业务有关事项的通知》(吉财采购(2023] 721号)支持申请“政采合同贷”政策。“政采数金平台”联系电话：张经理0431-81888978柯经理0431-81888998。</w:t>
            </w:r>
          </w:p>
        </w:tc>
      </w:tr>
      <w:tr w14:paraId="771EED1F">
        <w:tblPrEx>
          <w:tblCellMar>
            <w:top w:w="0" w:type="dxa"/>
            <w:left w:w="108" w:type="dxa"/>
            <w:bottom w:w="0" w:type="dxa"/>
            <w:right w:w="108" w:type="dxa"/>
          </w:tblCellMar>
        </w:tblPrEx>
        <w:trPr>
          <w:trHeight w:val="795" w:hRule="atLeast"/>
          <w:jc w:val="center"/>
        </w:trPr>
        <w:tc>
          <w:tcPr>
            <w:tcW w:w="5000" w:type="pct"/>
            <w:gridSpan w:val="3"/>
            <w:tcBorders>
              <w:top w:val="single" w:color="auto" w:sz="6" w:space="0"/>
              <w:left w:val="double" w:color="auto" w:sz="2" w:space="0"/>
              <w:bottom w:val="single" w:color="auto" w:sz="6" w:space="0"/>
              <w:right w:val="double" w:color="auto" w:sz="2" w:space="0"/>
            </w:tcBorders>
            <w:shd w:val="clear" w:color="auto" w:fill="auto"/>
            <w:noWrap w:val="0"/>
            <w:tcMar>
              <w:left w:w="0" w:type="dxa"/>
              <w:right w:w="0" w:type="dxa"/>
            </w:tcMar>
            <w:vAlign w:val="center"/>
          </w:tcPr>
          <w:p w14:paraId="100C7D07">
            <w:pPr>
              <w:keepNext w:val="0"/>
              <w:keepLines w:val="0"/>
              <w:pageBreakBefore w:val="0"/>
              <w:widowControl w:val="0"/>
              <w:kinsoku/>
              <w:wordWrap/>
              <w:overflowPunct/>
              <w:topLinePunct w:val="0"/>
              <w:bidi w:val="0"/>
              <w:adjustRightInd/>
              <w:spacing w:line="360" w:lineRule="auto"/>
              <w:jc w:val="both"/>
              <w:textAlignment w:val="auto"/>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根据长财采购【2022】2066号文件，在政府采购活动中，不再要求投标人提供财务状况报告(表)或其基本开户银行出具的资信证明材料、依法缴纳税收和社保保障资金的证明材料。投标人参加采购活动应当提交反映其财务状况、依法缴纳税收和社保保障资金情况的资格条件承诺函</w:t>
            </w:r>
          </w:p>
          <w:p w14:paraId="6E964D92">
            <w:pPr>
              <w:keepNext w:val="0"/>
              <w:keepLines w:val="0"/>
              <w:pageBreakBefore w:val="0"/>
              <w:widowControl w:val="0"/>
              <w:kinsoku/>
              <w:wordWrap/>
              <w:overflowPunct/>
              <w:topLinePunct w:val="0"/>
              <w:bidi w:val="0"/>
              <w:adjustRightInd/>
              <w:spacing w:line="360" w:lineRule="auto"/>
              <w:jc w:val="both"/>
              <w:textAlignment w:val="auto"/>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一、法律责任</w:t>
            </w:r>
          </w:p>
          <w:p w14:paraId="77F69C88">
            <w:pPr>
              <w:keepNext w:val="0"/>
              <w:keepLines w:val="0"/>
              <w:pageBreakBefore w:val="0"/>
              <w:widowControl w:val="0"/>
              <w:kinsoku/>
              <w:wordWrap/>
              <w:overflowPunct/>
              <w:topLinePunct w:val="0"/>
              <w:bidi w:val="0"/>
              <w:adjustRightInd/>
              <w:spacing w:line="360" w:lineRule="auto"/>
              <w:jc w:val="both"/>
              <w:textAlignment w:val="auto"/>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投标人应当遵循诚实信用原则，对资格条件承诺函有关内容的真实性、有效性、合法性负责。如发现承诺内容与事实情况不相符，经调查核实为虚假承诺的，视同“提供虚假材料谋取中标(成交)”，按照《中华人民共和国政府采购法》第七十七条的有关规定进行处理处罚。</w:t>
            </w:r>
          </w:p>
          <w:p w14:paraId="2EBAA98D">
            <w:pPr>
              <w:keepNext w:val="0"/>
              <w:keepLines w:val="0"/>
              <w:pageBreakBefore w:val="0"/>
              <w:widowControl w:val="0"/>
              <w:kinsoku/>
              <w:wordWrap/>
              <w:overflowPunct/>
              <w:topLinePunct w:val="0"/>
              <w:bidi w:val="0"/>
              <w:adjustRightInd/>
              <w:spacing w:line="360" w:lineRule="auto"/>
              <w:jc w:val="both"/>
              <w:textAlignment w:val="auto"/>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二、不适用信用承诺的情形</w:t>
            </w:r>
          </w:p>
          <w:p w14:paraId="4A1077E1">
            <w:pPr>
              <w:keepNext w:val="0"/>
              <w:keepLines w:val="0"/>
              <w:pageBreakBefore w:val="0"/>
              <w:widowControl w:val="0"/>
              <w:kinsoku/>
              <w:wordWrap/>
              <w:overflowPunct/>
              <w:topLinePunct w:val="0"/>
              <w:bidi w:val="0"/>
              <w:adjustRightInd/>
              <w:spacing w:line="360" w:lineRule="auto"/>
              <w:jc w:val="both"/>
              <w:textAlignment w:val="auto"/>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1.被列入政府采购不良行为记录名单的，被禁止参加政府采购活动且尚在处罚有效期内的;</w:t>
            </w:r>
          </w:p>
          <w:p w14:paraId="5E3D7F82">
            <w:pPr>
              <w:keepNext w:val="0"/>
              <w:keepLines w:val="0"/>
              <w:pageBreakBefore w:val="0"/>
              <w:widowControl w:val="0"/>
              <w:kinsoku/>
              <w:wordWrap/>
              <w:overflowPunct/>
              <w:topLinePunct w:val="0"/>
              <w:bidi w:val="0"/>
              <w:adjustRightInd/>
              <w:spacing w:line="360" w:lineRule="auto"/>
              <w:jc w:val="both"/>
              <w:textAlignment w:val="auto"/>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2.被有关部门列入失信被执行人、联合惩戒对象、严重违法失信行为记录等情形的;</w:t>
            </w:r>
          </w:p>
          <w:p w14:paraId="0FE2091B">
            <w:pPr>
              <w:keepNext w:val="0"/>
              <w:keepLines w:val="0"/>
              <w:pageBreakBefore w:val="0"/>
              <w:widowControl w:val="0"/>
              <w:tabs>
                <w:tab w:val="left" w:pos="0"/>
              </w:tabs>
              <w:kinsoku/>
              <w:wordWrap/>
              <w:overflowPunct/>
              <w:topLinePunct w:val="0"/>
              <w:bidi w:val="0"/>
              <w:adjustRightInd/>
              <w:spacing w:line="360" w:lineRule="auto"/>
              <w:textAlignment w:val="auto"/>
              <w:rPr>
                <w:rFonts w:hint="eastAsia" w:ascii="宋体" w:hAnsi="宋体" w:eastAsia="宋体" w:cs="宋体"/>
                <w:kern w:val="2"/>
                <w:sz w:val="21"/>
                <w:szCs w:val="24"/>
                <w:lang w:val="en-US" w:eastAsia="zh-CN" w:bidi="ar-SA"/>
              </w:rPr>
            </w:pPr>
            <w:r>
              <w:rPr>
                <w:rFonts w:hint="eastAsia" w:ascii="宋体" w:hAnsi="宋体" w:eastAsia="宋体" w:cs="宋体"/>
                <w:b w:val="0"/>
                <w:bCs w:val="0"/>
                <w:color w:val="auto"/>
                <w:szCs w:val="21"/>
                <w:highlight w:val="none"/>
                <w:lang w:val="en-US" w:eastAsia="zh-CN"/>
              </w:rPr>
              <w:t>3.其他法律法规规定的不适用于资格条件信用承诺的情形。</w:t>
            </w:r>
          </w:p>
        </w:tc>
      </w:tr>
      <w:tr w14:paraId="2C3C5524">
        <w:tblPrEx>
          <w:tblCellMar>
            <w:top w:w="0" w:type="dxa"/>
            <w:left w:w="108" w:type="dxa"/>
            <w:bottom w:w="0" w:type="dxa"/>
            <w:right w:w="108" w:type="dxa"/>
          </w:tblCellMar>
        </w:tblPrEx>
        <w:trPr>
          <w:trHeight w:val="795" w:hRule="atLeast"/>
          <w:jc w:val="center"/>
        </w:trPr>
        <w:tc>
          <w:tcPr>
            <w:tcW w:w="5000" w:type="pct"/>
            <w:gridSpan w:val="3"/>
            <w:tcBorders>
              <w:top w:val="single" w:color="auto" w:sz="6" w:space="0"/>
              <w:left w:val="double" w:color="auto" w:sz="2" w:space="0"/>
              <w:bottom w:val="single" w:color="auto" w:sz="6" w:space="0"/>
              <w:right w:val="double" w:color="auto" w:sz="2" w:space="0"/>
            </w:tcBorders>
            <w:shd w:val="clear" w:color="auto" w:fill="auto"/>
            <w:noWrap w:val="0"/>
            <w:tcMar>
              <w:left w:w="0" w:type="dxa"/>
              <w:right w:w="0" w:type="dxa"/>
            </w:tcMar>
            <w:vAlign w:val="center"/>
          </w:tcPr>
          <w:p w14:paraId="76757B2D">
            <w:pPr>
              <w:keepNext w:val="0"/>
              <w:keepLines w:val="0"/>
              <w:pageBreakBefore w:val="0"/>
              <w:widowControl w:val="0"/>
              <w:tabs>
                <w:tab w:val="left" w:pos="0"/>
              </w:tabs>
              <w:kinsoku/>
              <w:wordWrap/>
              <w:overflowPunct/>
              <w:topLinePunct w:val="0"/>
              <w:bidi w:val="0"/>
              <w:adjustRightInd/>
              <w:spacing w:line="360" w:lineRule="auto"/>
              <w:textAlignment w:val="auto"/>
              <w:rPr>
                <w:rFonts w:hint="eastAsia" w:ascii="宋体" w:hAnsi="宋体" w:eastAsia="宋体" w:cs="宋体"/>
              </w:rPr>
            </w:pPr>
            <w:r>
              <w:rPr>
                <w:rFonts w:hint="eastAsia" w:ascii="宋体" w:hAnsi="宋体" w:eastAsia="宋体" w:cs="宋体"/>
              </w:rPr>
              <w:t>低于成本价不正当竞争预防措施</w:t>
            </w:r>
          </w:p>
          <w:p w14:paraId="3469E5DD">
            <w:pPr>
              <w:keepNext w:val="0"/>
              <w:keepLines w:val="0"/>
              <w:pageBreakBefore w:val="0"/>
              <w:widowControl w:val="0"/>
              <w:tabs>
                <w:tab w:val="left" w:pos="0"/>
              </w:tabs>
              <w:kinsoku/>
              <w:wordWrap/>
              <w:overflowPunct/>
              <w:topLinePunct w:val="0"/>
              <w:bidi w:val="0"/>
              <w:adjustRightInd/>
              <w:spacing w:line="360" w:lineRule="auto"/>
              <w:textAlignment w:val="auto"/>
              <w:rPr>
                <w:rFonts w:hint="eastAsia" w:ascii="宋体" w:hAnsi="宋体" w:eastAsia="宋体" w:cs="宋体"/>
              </w:rPr>
            </w:pPr>
            <w:r>
              <w:rPr>
                <w:rFonts w:hint="eastAsia" w:ascii="宋体" w:hAnsi="宋体" w:eastAsia="宋体" w:cs="宋体"/>
              </w:rPr>
              <w:t>1. 在评审过程中，</w:t>
            </w:r>
            <w:r>
              <w:rPr>
                <w:rFonts w:hint="eastAsia" w:ascii="宋体" w:hAnsi="宋体" w:eastAsia="宋体" w:cs="宋体"/>
                <w:lang w:eastAsia="zh-CN"/>
              </w:rPr>
              <w:t>投标人</w:t>
            </w:r>
            <w:r>
              <w:rPr>
                <w:rFonts w:hint="eastAsia" w:ascii="宋体" w:hAnsi="宋体" w:eastAsia="宋体" w:cs="宋体"/>
              </w:rPr>
              <w:t>报价过低，有可能影响产品质量或者不能诚信履约的，评标委员会应当要求其在合理的时间内提供书面说明，并提交相关证明材料，</w:t>
            </w:r>
            <w:r>
              <w:rPr>
                <w:rFonts w:hint="eastAsia" w:ascii="宋体" w:hAnsi="宋体" w:eastAsia="宋体" w:cs="宋体"/>
                <w:lang w:eastAsia="zh-CN"/>
              </w:rPr>
              <w:t>投标人</w:t>
            </w:r>
            <w:r>
              <w:rPr>
                <w:rFonts w:hint="eastAsia" w:ascii="宋体" w:hAnsi="宋体" w:eastAsia="宋体" w:cs="宋体"/>
              </w:rPr>
              <w:t>不能证明其报价合理性的，评标委员会应当将其作为无效处理。</w:t>
            </w:r>
            <w:r>
              <w:rPr>
                <w:rFonts w:hint="eastAsia" w:ascii="宋体" w:hAnsi="宋体" w:eastAsia="宋体" w:cs="宋体"/>
                <w:lang w:eastAsia="zh-CN"/>
              </w:rPr>
              <w:t>投标人</w:t>
            </w:r>
            <w:r>
              <w:rPr>
                <w:rFonts w:hint="eastAsia" w:ascii="宋体" w:hAnsi="宋体" w:eastAsia="宋体" w:cs="宋体"/>
              </w:rPr>
              <w:t>的书面说明材料应当按照国家财务会计制度的规定要求，逐项就</w:t>
            </w:r>
            <w:r>
              <w:rPr>
                <w:rFonts w:hint="eastAsia" w:ascii="宋体" w:hAnsi="宋体" w:eastAsia="宋体" w:cs="宋体"/>
                <w:lang w:eastAsia="zh-CN"/>
              </w:rPr>
              <w:t>投标人</w:t>
            </w:r>
            <w:r>
              <w:rPr>
                <w:rFonts w:hint="eastAsia" w:ascii="宋体" w:hAnsi="宋体" w:eastAsia="宋体" w:cs="宋体"/>
              </w:rPr>
              <w:t>提供的货物、工程和服务的主营业务成本、税金及附加、销售费用、管理费用、财务费用等成本构成事项详细陈述）。</w:t>
            </w:r>
          </w:p>
          <w:p w14:paraId="1FCDEA6C">
            <w:pPr>
              <w:keepNext w:val="0"/>
              <w:keepLines w:val="0"/>
              <w:pageBreakBefore w:val="0"/>
              <w:widowControl w:val="0"/>
              <w:tabs>
                <w:tab w:val="left" w:pos="0"/>
              </w:tabs>
              <w:kinsoku/>
              <w:wordWrap/>
              <w:overflowPunct/>
              <w:topLinePunct w:val="0"/>
              <w:bidi w:val="0"/>
              <w:adjustRightInd/>
              <w:spacing w:line="360" w:lineRule="auto"/>
              <w:textAlignment w:val="auto"/>
              <w:rPr>
                <w:rFonts w:hint="eastAsia" w:ascii="宋体" w:hAnsi="宋体" w:eastAsia="宋体" w:cs="宋体"/>
              </w:rPr>
            </w:pPr>
            <w:r>
              <w:rPr>
                <w:rFonts w:hint="eastAsia" w:ascii="宋体" w:hAnsi="宋体" w:eastAsia="宋体" w:cs="宋体"/>
              </w:rPr>
              <w:t xml:space="preserve">2. </w:t>
            </w:r>
            <w:r>
              <w:rPr>
                <w:rFonts w:hint="eastAsia" w:ascii="宋体" w:hAnsi="宋体" w:eastAsia="宋体" w:cs="宋体"/>
                <w:lang w:eastAsia="zh-CN"/>
              </w:rPr>
              <w:t>投标人</w:t>
            </w:r>
            <w:r>
              <w:rPr>
                <w:rFonts w:hint="eastAsia" w:ascii="宋体" w:hAnsi="宋体" w:eastAsia="宋体" w:cs="宋体"/>
              </w:rPr>
              <w:t>书面说明应当签字确认或者加盖公章，否则无效。书面说明的签字确认，由其法定代表人/主要负责人/本人或者其授权代表签字确认。</w:t>
            </w:r>
          </w:p>
          <w:p w14:paraId="03024724">
            <w:pPr>
              <w:keepNext w:val="0"/>
              <w:keepLines w:val="0"/>
              <w:pageBreakBefore w:val="0"/>
              <w:widowControl w:val="0"/>
              <w:tabs>
                <w:tab w:val="left" w:pos="0"/>
              </w:tabs>
              <w:kinsoku/>
              <w:wordWrap/>
              <w:overflowPunct/>
              <w:topLinePunct w:val="0"/>
              <w:bidi w:val="0"/>
              <w:adjustRightInd/>
              <w:spacing w:line="360" w:lineRule="auto"/>
              <w:textAlignment w:val="auto"/>
              <w:rPr>
                <w:rFonts w:hint="eastAsia" w:ascii="宋体" w:hAnsi="宋体" w:eastAsia="宋体" w:cs="宋体"/>
                <w:kern w:val="2"/>
                <w:sz w:val="21"/>
                <w:szCs w:val="24"/>
                <w:lang w:val="en-US" w:eastAsia="zh-CN" w:bidi="ar-SA"/>
              </w:rPr>
            </w:pPr>
            <w:r>
              <w:rPr>
                <w:rFonts w:hint="eastAsia" w:ascii="宋体" w:hAnsi="宋体" w:eastAsia="宋体" w:cs="宋体"/>
              </w:rPr>
              <w:t>3.</w:t>
            </w:r>
            <w:r>
              <w:rPr>
                <w:rFonts w:hint="eastAsia" w:ascii="宋体" w:hAnsi="宋体" w:eastAsia="宋体" w:cs="宋体"/>
                <w:lang w:eastAsia="zh-CN"/>
              </w:rPr>
              <w:t>投标人</w:t>
            </w:r>
            <w:r>
              <w:rPr>
                <w:rFonts w:hint="eastAsia" w:ascii="宋体" w:hAnsi="宋体" w:eastAsia="宋体" w:cs="宋体"/>
              </w:rPr>
              <w:t>提供书面说明后，评标委员会应当结合采购项目采购需求、专业实际情况、</w:t>
            </w:r>
            <w:r>
              <w:rPr>
                <w:rFonts w:hint="eastAsia" w:ascii="宋体" w:hAnsi="宋体" w:eastAsia="宋体" w:cs="宋体"/>
                <w:lang w:eastAsia="zh-CN"/>
              </w:rPr>
              <w:t>投标人</w:t>
            </w:r>
            <w:r>
              <w:rPr>
                <w:rFonts w:hint="eastAsia" w:ascii="宋体" w:hAnsi="宋体" w:eastAsia="宋体" w:cs="宋体"/>
              </w:rPr>
              <w:t>财务状况报告、与其他</w:t>
            </w:r>
            <w:r>
              <w:rPr>
                <w:rFonts w:hint="eastAsia" w:ascii="宋体" w:hAnsi="宋体" w:eastAsia="宋体" w:cs="宋体"/>
                <w:lang w:eastAsia="zh-CN"/>
              </w:rPr>
              <w:t>投标人</w:t>
            </w:r>
            <w:r>
              <w:rPr>
                <w:rFonts w:hint="eastAsia" w:ascii="宋体" w:hAnsi="宋体" w:eastAsia="宋体" w:cs="宋体"/>
              </w:rPr>
              <w:t>比较情况等就</w:t>
            </w:r>
            <w:r>
              <w:rPr>
                <w:rFonts w:hint="eastAsia" w:ascii="宋体" w:hAnsi="宋体" w:eastAsia="宋体" w:cs="宋体"/>
                <w:lang w:eastAsia="zh-CN"/>
              </w:rPr>
              <w:t>投标人</w:t>
            </w:r>
            <w:r>
              <w:rPr>
                <w:rFonts w:hint="eastAsia" w:ascii="宋体" w:hAnsi="宋体" w:eastAsia="宋体" w:cs="宋体"/>
              </w:rPr>
              <w:t>书面说明进行审查评价。</w:t>
            </w:r>
            <w:r>
              <w:rPr>
                <w:rFonts w:hint="eastAsia" w:ascii="宋体" w:hAnsi="宋体" w:eastAsia="宋体" w:cs="宋体"/>
                <w:lang w:eastAsia="zh-CN"/>
              </w:rPr>
              <w:t>投标人</w:t>
            </w:r>
            <w:r>
              <w:rPr>
                <w:rFonts w:hint="eastAsia" w:ascii="宋体" w:hAnsi="宋体" w:eastAsia="宋体" w:cs="宋体"/>
              </w:rPr>
              <w:t>拒绝或者变相拒绝提供有效书面说明或者书面说明不能证明其报价合理性的或未在规定时间内递交有效书面说明书的，评标委员会应当将其</w:t>
            </w:r>
            <w:r>
              <w:rPr>
                <w:rFonts w:hint="eastAsia" w:ascii="宋体" w:hAnsi="宋体" w:eastAsia="宋体" w:cs="宋体"/>
                <w:lang w:eastAsia="zh-CN"/>
              </w:rPr>
              <w:t>投标文件</w:t>
            </w:r>
            <w:r>
              <w:rPr>
                <w:rFonts w:hint="eastAsia" w:ascii="宋体" w:hAnsi="宋体" w:eastAsia="宋体" w:cs="宋体"/>
              </w:rPr>
              <w:t>作为无效处理。</w:t>
            </w:r>
          </w:p>
        </w:tc>
      </w:tr>
      <w:tr w14:paraId="01EE8622">
        <w:tblPrEx>
          <w:tblCellMar>
            <w:top w:w="0" w:type="dxa"/>
            <w:left w:w="108" w:type="dxa"/>
            <w:bottom w:w="0" w:type="dxa"/>
            <w:right w:w="108" w:type="dxa"/>
          </w:tblCellMar>
        </w:tblPrEx>
        <w:trPr>
          <w:trHeight w:val="795" w:hRule="atLeast"/>
          <w:jc w:val="center"/>
        </w:trPr>
        <w:tc>
          <w:tcPr>
            <w:tcW w:w="5000" w:type="pct"/>
            <w:gridSpan w:val="3"/>
            <w:tcBorders>
              <w:top w:val="single" w:color="auto" w:sz="6" w:space="0"/>
              <w:left w:val="double" w:color="auto" w:sz="2" w:space="0"/>
              <w:bottom w:val="single" w:color="auto" w:sz="6" w:space="0"/>
              <w:right w:val="double" w:color="auto" w:sz="2" w:space="0"/>
            </w:tcBorders>
            <w:noWrap w:val="0"/>
            <w:tcMar>
              <w:left w:w="0" w:type="dxa"/>
              <w:right w:w="0" w:type="dxa"/>
            </w:tcMar>
            <w:vAlign w:val="center"/>
          </w:tcPr>
          <w:p w14:paraId="6929EA22">
            <w:pPr>
              <w:keepNext w:val="0"/>
              <w:keepLines w:val="0"/>
              <w:pageBreakBefore w:val="0"/>
              <w:widowControl w:val="0"/>
              <w:kinsoku/>
              <w:wordWrap/>
              <w:overflowPunct/>
              <w:topLinePunct w:val="0"/>
              <w:bidi w:val="0"/>
              <w:adjustRightInd/>
              <w:spacing w:line="360" w:lineRule="auto"/>
              <w:textAlignment w:val="auto"/>
              <w:rPr>
                <w:rFonts w:hint="eastAsia" w:ascii="宋体" w:cs="宋体"/>
                <w:b/>
                <w:bCs/>
                <w:color w:val="000000"/>
                <w:highlight w:val="none"/>
                <w:lang w:val="zh-CN"/>
              </w:rPr>
            </w:pPr>
            <w:r>
              <w:rPr>
                <w:rFonts w:hint="eastAsia" w:ascii="宋体" w:cs="宋体"/>
                <w:b/>
                <w:bCs/>
                <w:color w:val="000000"/>
                <w:highlight w:val="none"/>
                <w:lang w:val="zh-CN"/>
              </w:rPr>
              <w:t>　1.招标公告内容有不一致之处，以最新发布的招标公告内容为准。</w:t>
            </w:r>
          </w:p>
          <w:p w14:paraId="4E8216A8">
            <w:pPr>
              <w:keepNext w:val="0"/>
              <w:keepLines w:val="0"/>
              <w:pageBreakBefore w:val="0"/>
              <w:widowControl w:val="0"/>
              <w:kinsoku/>
              <w:wordWrap/>
              <w:overflowPunct/>
              <w:topLinePunct w:val="0"/>
              <w:bidi w:val="0"/>
              <w:adjustRightInd/>
              <w:spacing w:line="360" w:lineRule="auto"/>
              <w:textAlignment w:val="auto"/>
              <w:rPr>
                <w:rFonts w:hint="eastAsia" w:ascii="宋体" w:cs="宋体"/>
                <w:color w:val="000000"/>
                <w:highlight w:val="none"/>
                <w:lang w:val="zh-CN"/>
              </w:rPr>
            </w:pPr>
            <w:r>
              <w:rPr>
                <w:rFonts w:hint="eastAsia" w:ascii="宋体" w:cs="宋体"/>
                <w:b/>
                <w:bCs/>
                <w:color w:val="000000"/>
                <w:highlight w:val="none"/>
                <w:lang w:val="zh-CN"/>
              </w:rPr>
              <w:t>　2.本项目招标公告与招标文件不一致之处，以招标文件为准。</w:t>
            </w:r>
          </w:p>
        </w:tc>
      </w:tr>
    </w:tbl>
    <w:p w14:paraId="41816497">
      <w:pPr>
        <w:rPr>
          <w:rFonts w:hint="eastAsia" w:ascii="宋体" w:cs="宋体"/>
          <w:b/>
          <w:bCs/>
          <w:color w:val="000000"/>
          <w:kern w:val="0"/>
          <w:highlight w:val="none"/>
        </w:rPr>
      </w:pPr>
      <w:r>
        <w:rPr>
          <w:rFonts w:hint="eastAsia" w:ascii="宋体" w:cs="宋体"/>
          <w:b/>
          <w:bCs/>
          <w:color w:val="000000"/>
          <w:kern w:val="0"/>
          <w:highlight w:val="none"/>
        </w:rPr>
        <w:br w:type="page"/>
      </w:r>
    </w:p>
    <w:p w14:paraId="1A7FBE4D">
      <w:pPr>
        <w:snapToGrid w:val="0"/>
        <w:jc w:val="center"/>
        <w:rPr>
          <w:rFonts w:hint="eastAsia" w:ascii="宋体"/>
          <w:b/>
          <w:bCs/>
          <w:color w:val="000000"/>
          <w:kern w:val="0"/>
          <w:sz w:val="32"/>
          <w:szCs w:val="32"/>
          <w:highlight w:val="none"/>
        </w:rPr>
      </w:pPr>
      <w:r>
        <w:rPr>
          <w:rFonts w:hint="eastAsia" w:ascii="宋体"/>
          <w:b/>
          <w:bCs/>
          <w:color w:val="000000"/>
          <w:kern w:val="0"/>
          <w:sz w:val="32"/>
          <w:szCs w:val="32"/>
          <w:highlight w:val="none"/>
        </w:rPr>
        <w:t>投标须知</w:t>
      </w:r>
    </w:p>
    <w:p w14:paraId="00E86508">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cs="宋体"/>
          <w:color w:val="000000"/>
          <w:highlight w:val="none"/>
          <w:lang w:val="zh-CN"/>
        </w:rPr>
        <w:t>　　</w:t>
      </w:r>
      <w:r>
        <w:rPr>
          <w:rFonts w:hint="eastAsia" w:ascii="宋体" w:hAnsi="宋体" w:eastAsia="宋体" w:cs="宋体"/>
          <w:color w:val="000000"/>
          <w:sz w:val="21"/>
          <w:szCs w:val="21"/>
          <w:highlight w:val="none"/>
          <w:lang w:val="zh-CN"/>
        </w:rPr>
        <w:t>本项目招标依据为《中华人民共和国政府采购法》、《中华人民共和国政府采购法实施条例》等有关法律、法规及规定。</w:t>
      </w:r>
    </w:p>
    <w:p w14:paraId="75AFCF27">
      <w:pPr>
        <w:keepNext w:val="0"/>
        <w:keepLines w:val="0"/>
        <w:pageBreakBefore w:val="0"/>
        <w:widowControl w:val="0"/>
        <w:kinsoku/>
        <w:wordWrap/>
        <w:overflowPunct/>
        <w:topLinePunct w:val="0"/>
        <w:bidi w:val="0"/>
        <w:snapToGrid w:val="0"/>
        <w:spacing w:line="360" w:lineRule="auto"/>
        <w:jc w:val="center"/>
        <w:textAlignment w:val="auto"/>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一．总 则</w:t>
      </w:r>
    </w:p>
    <w:p w14:paraId="0076CAF5">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1．招标范围</w:t>
      </w:r>
    </w:p>
    <w:p w14:paraId="7FEC63E5">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1.1符合招标公告要求的企业均可对本项目进行密封投标。</w:t>
      </w:r>
    </w:p>
    <w:p w14:paraId="41E9A465">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1.2中标人应在签订合同书后在采购人规定的项目实施周期内，完成本项目，并提交相应的资料。</w:t>
      </w:r>
    </w:p>
    <w:p w14:paraId="3B688EC7">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1.3本项目服务工作应满足下列要求：</w:t>
      </w:r>
    </w:p>
    <w:p w14:paraId="2C0A9D42">
      <w:pPr>
        <w:keepNext w:val="0"/>
        <w:keepLines w:val="0"/>
        <w:pageBreakBefore w:val="0"/>
        <w:widowControl w:val="0"/>
        <w:tabs>
          <w:tab w:val="left" w:pos="7153"/>
        </w:tabs>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（1）应符合国家相关法律法规的规定。</w:t>
      </w:r>
      <w:r>
        <w:rPr>
          <w:rFonts w:hint="eastAsia" w:ascii="宋体" w:hAnsi="宋体" w:eastAsia="宋体" w:cs="宋体"/>
          <w:color w:val="000000"/>
          <w:sz w:val="21"/>
          <w:szCs w:val="21"/>
          <w:highlight w:val="none"/>
          <w:lang w:val="zh-CN"/>
        </w:rPr>
        <w:tab/>
      </w:r>
    </w:p>
    <w:p w14:paraId="0D1DF7DE">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（2）应符合招标文件要求。</w:t>
      </w:r>
    </w:p>
    <w:p w14:paraId="195F2994">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（3）应满足采购人要求。</w:t>
      </w:r>
    </w:p>
    <w:p w14:paraId="23375419">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2．资金来源</w:t>
      </w:r>
    </w:p>
    <w:p w14:paraId="38947604">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2.1本招标项目资金来源为</w:t>
      </w:r>
      <w:r>
        <w:rPr>
          <w:rFonts w:hint="eastAsia" w:ascii="宋体" w:hAnsi="宋体" w:eastAsia="宋体" w:cs="宋体"/>
          <w:color w:val="000000"/>
          <w:sz w:val="21"/>
          <w:szCs w:val="21"/>
          <w:highlight w:val="none"/>
          <w:lang w:val="en-US" w:eastAsia="zh-CN"/>
        </w:rPr>
        <w:t>专项债和财政资金</w:t>
      </w:r>
      <w:r>
        <w:rPr>
          <w:rFonts w:hint="eastAsia" w:ascii="宋体" w:hAnsi="宋体" w:eastAsia="宋体" w:cs="宋体"/>
          <w:color w:val="000000"/>
          <w:sz w:val="21"/>
          <w:szCs w:val="21"/>
          <w:highlight w:val="none"/>
          <w:lang w:val="zh-CN"/>
        </w:rPr>
        <w:t>。</w:t>
      </w:r>
    </w:p>
    <w:p w14:paraId="4398AAA4">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sz w:val="21"/>
          <w:szCs w:val="21"/>
          <w:highlight w:val="none"/>
          <w:lang w:val="zh-CN"/>
        </w:rPr>
        <w:t>2.2投标报价和中标后的费用均以人民币计算和支付。</w:t>
      </w:r>
    </w:p>
    <w:p w14:paraId="7C36AE7D">
      <w:pPr>
        <w:keepNext w:val="0"/>
        <w:keepLines w:val="0"/>
        <w:pageBreakBefore w:val="0"/>
        <w:widowControl w:val="0"/>
        <w:numPr>
          <w:ilvl w:val="0"/>
          <w:numId w:val="3"/>
        </w:numPr>
        <w:kinsoku/>
        <w:wordWrap/>
        <w:overflowPunct/>
        <w:topLinePunct w:val="0"/>
        <w:bidi w:val="0"/>
        <w:snapToGrid w:val="0"/>
        <w:spacing w:line="360" w:lineRule="auto"/>
        <w:textAlignment w:val="auto"/>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投标人的合格条件</w:t>
      </w:r>
    </w:p>
    <w:p w14:paraId="1D1D19FE">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 xml:space="preserve">  </w:t>
      </w:r>
      <w:r>
        <w:rPr>
          <w:rFonts w:hint="eastAsia" w:ascii="宋体" w:hAnsi="宋体" w:eastAsia="宋体" w:cs="宋体"/>
          <w:color w:val="000000"/>
          <w:sz w:val="21"/>
          <w:szCs w:val="21"/>
          <w:highlight w:val="none"/>
          <w:lang w:val="zh-CN"/>
        </w:rPr>
        <w:t>详见招标公告</w:t>
      </w:r>
    </w:p>
    <w:p w14:paraId="07308EEB">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4．投标费用</w:t>
      </w:r>
    </w:p>
    <w:p w14:paraId="1756C76C">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4.1投标人在投标过程中的一切费用，不论中标与否，均由投标人自负，且招标文件售后不退。</w:t>
      </w:r>
    </w:p>
    <w:p w14:paraId="271DF928">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5．现场踏勘</w:t>
      </w:r>
    </w:p>
    <w:p w14:paraId="6237D9EB">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5.1投标人自行对现场及其周围环境进行踏勘，现场踏勘期间的交通和食宿由投标人自行安排，费用自理。</w:t>
      </w:r>
    </w:p>
    <w:p w14:paraId="2F4FDC76">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5.2在现场踏勘过程中，投标人如果发生意外人身伤亡、财物或其他损失，除国家法律、法规有规定的之外，采购人均不负责。</w:t>
      </w:r>
    </w:p>
    <w:p w14:paraId="63AF0E0E">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5.3采购人向投标人提供的有关现场的数据和资料，是采购人现有的能被投标人利用的资料，采购人对投标人做出的任何推论、理解和结论均不负责任。</w:t>
      </w:r>
    </w:p>
    <w:p w14:paraId="65E32570">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5.4经采购人允许，投标人可为踏勘目的进入采购人的项目现场，但投标人不得因此使采购人承担有关的责任和蒙受损失。投标人应承担踏勘现场的责任和风险。</w:t>
      </w:r>
    </w:p>
    <w:p w14:paraId="68F7167B">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6．投标答疑</w:t>
      </w:r>
    </w:p>
    <w:p w14:paraId="07FEE856">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6.1投标人应在投标人须知前附表规定的时间前，以书面形式将提出的问题送达采购人，以便采购人及时澄清。</w:t>
      </w:r>
    </w:p>
    <w:p w14:paraId="26B759D2">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6.2本项目召开答疑会情况见前附表。若召开答疑会，则采购人按投标人须知前附表规定的时间和地点召开投标答疑会，澄清投标人提出的问题。</w:t>
      </w:r>
    </w:p>
    <w:p w14:paraId="36455FF3">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6.3投标答疑会后，采购人在投标人须知前附表规定的时间内，将对投标人所提问题的澄清，以书面方式通知所有购买招标文件的投标人。该澄清内容为招标文件的组成部分。</w:t>
      </w:r>
    </w:p>
    <w:p w14:paraId="16BAAA6F">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6.4投标人在收到书面答复后，应在 24小时内以书面或传真的方式通知采购人，确认收悉。</w:t>
      </w:r>
    </w:p>
    <w:p w14:paraId="5038314E">
      <w:pPr>
        <w:keepNext w:val="0"/>
        <w:keepLines w:val="0"/>
        <w:pageBreakBefore w:val="0"/>
        <w:widowControl w:val="0"/>
        <w:kinsoku/>
        <w:wordWrap/>
        <w:overflowPunct/>
        <w:topLinePunct w:val="0"/>
        <w:bidi w:val="0"/>
        <w:snapToGrid w:val="0"/>
        <w:spacing w:line="360" w:lineRule="auto"/>
        <w:jc w:val="center"/>
        <w:textAlignment w:val="auto"/>
        <w:rPr>
          <w:rFonts w:hint="eastAsia" w:ascii="宋体" w:hAnsi="宋体" w:eastAsia="宋体" w:cs="宋体"/>
          <w:b/>
          <w:bCs/>
          <w:color w:val="000000"/>
          <w:kern w:val="0"/>
          <w:sz w:val="21"/>
          <w:szCs w:val="21"/>
          <w:highlight w:val="none"/>
        </w:rPr>
      </w:pPr>
    </w:p>
    <w:p w14:paraId="70ACF8BC">
      <w:pPr>
        <w:keepNext w:val="0"/>
        <w:keepLines w:val="0"/>
        <w:pageBreakBefore w:val="0"/>
        <w:widowControl w:val="0"/>
        <w:kinsoku/>
        <w:wordWrap/>
        <w:overflowPunct/>
        <w:topLinePunct w:val="0"/>
        <w:bidi w:val="0"/>
        <w:snapToGrid w:val="0"/>
        <w:spacing w:line="360" w:lineRule="auto"/>
        <w:jc w:val="center"/>
        <w:textAlignment w:val="auto"/>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二．招 标 文 件</w:t>
      </w:r>
    </w:p>
    <w:p w14:paraId="1C43B498">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7．招标文件的内容</w:t>
      </w:r>
    </w:p>
    <w:p w14:paraId="5D3A9F8C">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7.1招标文件由下列文件组成：</w:t>
      </w:r>
    </w:p>
    <w:p w14:paraId="0270ECE9">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第一章 招标公告</w:t>
      </w:r>
    </w:p>
    <w:p w14:paraId="4EBC9666">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第二章 投标人须知</w:t>
      </w:r>
    </w:p>
    <w:p w14:paraId="55C47CDC">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第三章 评标办法</w:t>
      </w:r>
    </w:p>
    <w:p w14:paraId="6D1449A2">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第四章 合同格式</w:t>
      </w:r>
    </w:p>
    <w:p w14:paraId="421C89D8">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第五章</w:t>
      </w:r>
      <w:r>
        <w:rPr>
          <w:rFonts w:hint="eastAsia" w:ascii="宋体" w:hAnsi="宋体" w:eastAsia="宋体" w:cs="宋体"/>
          <w:color w:val="000000"/>
          <w:sz w:val="21"/>
          <w:szCs w:val="21"/>
          <w:highlight w:val="none"/>
        </w:rPr>
        <w:t xml:space="preserve"> </w:t>
      </w:r>
      <w:r>
        <w:rPr>
          <w:rFonts w:hint="eastAsia" w:ascii="宋体" w:hAnsi="宋体" w:eastAsia="宋体" w:cs="宋体"/>
          <w:color w:val="000000"/>
          <w:sz w:val="21"/>
          <w:szCs w:val="21"/>
          <w:highlight w:val="none"/>
          <w:lang w:val="zh-CN"/>
        </w:rPr>
        <w:t>采购需求</w:t>
      </w:r>
    </w:p>
    <w:p w14:paraId="3EC44305">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第六章 投标文件格式</w:t>
      </w:r>
    </w:p>
    <w:p w14:paraId="65A6EAD3">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采购人在招标期间按本须知第9条规定发出的所有补遗文件和其它正式有效函件，均是招标文件的组成部分。</w:t>
      </w:r>
    </w:p>
    <w:p w14:paraId="79C4AFA4">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7.2投标人应认真检查招标文件是否完整，若发现缺页或附件不全时，应及时向采购人提出，以便补齐。</w:t>
      </w:r>
    </w:p>
    <w:p w14:paraId="60CC9CDC">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7.3 投标人应认真阅读招标文件，并按招标文件的规定与要求编写投标文件。如果投标文件不符合招标文件的规定和要求，投标人应自行负责。根据本须知第 21 条的规定，不响应招标文件实质性要求的投标文件将被拒绝。</w:t>
      </w:r>
    </w:p>
    <w:p w14:paraId="16C6CCC0">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8．招标文件的澄清和解答</w:t>
      </w:r>
    </w:p>
    <w:p w14:paraId="32D50824">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8.1要求对招标文件进行澄清的投标人，均应在知道或者应知其权益受到损害之日起七个工作日内向</w:t>
      </w:r>
      <w:r>
        <w:rPr>
          <w:rFonts w:hint="eastAsia" w:ascii="宋体" w:hAnsi="宋体" w:eastAsia="宋体" w:cs="宋体"/>
          <w:color w:val="000000"/>
          <w:sz w:val="21"/>
          <w:szCs w:val="21"/>
          <w:highlight w:val="none"/>
          <w:lang w:val="zh-CN" w:eastAsia="zh-CN"/>
        </w:rPr>
        <w:t>吉林省捷冠工程管理有限公司</w:t>
      </w:r>
      <w:r>
        <w:rPr>
          <w:rFonts w:hint="eastAsia" w:ascii="宋体" w:hAnsi="宋体" w:eastAsia="宋体" w:cs="宋体"/>
          <w:color w:val="000000"/>
          <w:sz w:val="21"/>
          <w:szCs w:val="21"/>
          <w:highlight w:val="none"/>
          <w:lang w:val="zh-CN"/>
        </w:rPr>
        <w:t>提出，采购人对收到的澄清要求将视所提问题具体情况在</w:t>
      </w:r>
      <w:r>
        <w:rPr>
          <w:rFonts w:hint="eastAsia" w:ascii="宋体" w:hAnsi="宋体" w:eastAsia="宋体" w:cs="宋体"/>
          <w:color w:val="000000"/>
          <w:sz w:val="21"/>
          <w:szCs w:val="21"/>
          <w:highlight w:val="none"/>
          <w:lang w:val="zh-CN" w:eastAsia="zh-CN"/>
        </w:rPr>
        <w:t>吉林省捷冠工程管理有限公司</w:t>
      </w:r>
      <w:r>
        <w:rPr>
          <w:rFonts w:hint="eastAsia" w:ascii="宋体" w:hAnsi="宋体" w:eastAsia="宋体" w:cs="宋体"/>
          <w:color w:val="000000"/>
          <w:sz w:val="21"/>
          <w:szCs w:val="21"/>
          <w:highlight w:val="none"/>
          <w:lang w:val="zh-CN"/>
        </w:rPr>
        <w:t>答复澄清。答复中包括所提的问题，但不包括问题的来源。采购代理机构对收到的投标人质疑，将按照政府采购法律规章的规定处理。</w:t>
      </w:r>
    </w:p>
    <w:p w14:paraId="79BE017A">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8.2 采购人或者采购代理机构可以对已发出的招标文件进行必要的澄清或者修改。澄清或者修改的内容可能影响投标文件编制的，采购人或者采购代理机构在投标截止时间至少15日前，以书面形式通知所有获取招标文件的潜在投标人；不足15日的，采购人或者采购代理机构将顺延提交投标文件的截止时间。招标文件的修改、补充文件将以当面交接、传真或电子邮件的方式向潜在投标人发出，并在发布招标公告的媒体上公告。在这种情况下，采购人和投标人受投标截止时间制约的所有权利和义务均相应延长至新的投标截止时间。</w:t>
      </w:r>
    </w:p>
    <w:p w14:paraId="5553E781">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8.3招标文件的澄清、修改、补充文件均构成招标文件的组成部分，对所有投标人具有约束力，而无论其是否已经实际收到该澄清、修改、补充文件（包括答疑会纪要）。投标人若收到该澄清、修改、补充文件，则应立即以书面形式回复确认已收到。</w:t>
      </w:r>
    </w:p>
    <w:p w14:paraId="5DA5B1CF">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9．招标文件的修改</w:t>
      </w:r>
    </w:p>
    <w:p w14:paraId="0D1A68D6">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9.1在投标截止期以前，由于各种原因，不管是采购人主动提出，或者是答复投标人澄清要求的，采购人可能会以补遗文件的方式修改招标文件。</w:t>
      </w:r>
    </w:p>
    <w:p w14:paraId="20323754">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9.2补遗文件将以书面或传真的方式发给所有购买招标文件的投标人，投标人收到补遗文件后，应在24小时内以书面或传真的方式通知采购人，确认已经收到补遗文件。</w:t>
      </w:r>
    </w:p>
    <w:p w14:paraId="40FB5B4C">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9.3为使投标人在编写投标文件有合理的时间将补遗文件的内容考虑进去，采购人可以按照本须知第17条的规定，酌情延长递交投标文件的截止时间。</w:t>
      </w:r>
    </w:p>
    <w:p w14:paraId="7BD33B38">
      <w:pPr>
        <w:keepNext w:val="0"/>
        <w:keepLines w:val="0"/>
        <w:pageBreakBefore w:val="0"/>
        <w:widowControl w:val="0"/>
        <w:kinsoku/>
        <w:wordWrap/>
        <w:overflowPunct/>
        <w:topLinePunct w:val="0"/>
        <w:bidi w:val="0"/>
        <w:snapToGrid w:val="0"/>
        <w:spacing w:line="360" w:lineRule="auto"/>
        <w:jc w:val="center"/>
        <w:textAlignment w:val="auto"/>
        <w:rPr>
          <w:rFonts w:hint="eastAsia" w:ascii="宋体" w:hAnsi="宋体" w:eastAsia="宋体" w:cs="宋体"/>
          <w:b/>
          <w:bCs/>
          <w:color w:val="000000"/>
          <w:kern w:val="0"/>
          <w:sz w:val="21"/>
          <w:szCs w:val="21"/>
          <w:highlight w:val="none"/>
        </w:rPr>
      </w:pPr>
    </w:p>
    <w:p w14:paraId="0E3976E3">
      <w:pPr>
        <w:keepNext w:val="0"/>
        <w:keepLines w:val="0"/>
        <w:pageBreakBefore w:val="0"/>
        <w:widowControl w:val="0"/>
        <w:kinsoku/>
        <w:wordWrap/>
        <w:overflowPunct/>
        <w:topLinePunct w:val="0"/>
        <w:bidi w:val="0"/>
        <w:snapToGrid w:val="0"/>
        <w:spacing w:line="360" w:lineRule="auto"/>
        <w:jc w:val="center"/>
        <w:textAlignment w:val="auto"/>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三．投标文件的编制</w:t>
      </w:r>
    </w:p>
    <w:p w14:paraId="0B32A179">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10．投标文件的语言</w:t>
      </w:r>
    </w:p>
    <w:p w14:paraId="18A7660F">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10.1投标文件及投标人与采购人之间来往的一切信函、文件均使用中文。</w:t>
      </w:r>
    </w:p>
    <w:p w14:paraId="4DCF888F">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11．投标文件的组成</w:t>
      </w:r>
    </w:p>
    <w:p w14:paraId="6C58C563">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11.1投标人编写的投标文件，应以下目录编制。应包括但不限于且不得少于下列各项内容：</w:t>
      </w:r>
    </w:p>
    <w:p w14:paraId="2DD4C966">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一、投标函及投标函附录</w:t>
      </w:r>
    </w:p>
    <w:p w14:paraId="0BA144C2">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二、开标一览表</w:t>
      </w:r>
    </w:p>
    <w:p w14:paraId="55BB0EFA">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三、法定代表人身份证明及授权委托书</w:t>
      </w:r>
    </w:p>
    <w:p w14:paraId="60932E85">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四、投标保证金</w:t>
      </w:r>
    </w:p>
    <w:p w14:paraId="76FABB8F">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五、承诺书</w:t>
      </w:r>
    </w:p>
    <w:p w14:paraId="7A1F82B4">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六、资格审查资料</w:t>
      </w:r>
    </w:p>
    <w:p w14:paraId="0A135C1A">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七、投标报价明细</w:t>
      </w:r>
    </w:p>
    <w:p w14:paraId="69993E24">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八、项目实施方案</w:t>
      </w:r>
    </w:p>
    <w:p w14:paraId="27EE5EAC">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九、其他资料</w:t>
      </w:r>
    </w:p>
    <w:p w14:paraId="01BA9413">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11.2投标文件的编制应遵循如下原则，否则，其投标将被拒绝。</w:t>
      </w:r>
    </w:p>
    <w:p w14:paraId="2B2DF8F2">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（1）投标文件的内容和格式必须按照招标文件第六章《投标文件格式》的内容和要求编制，除采购人另有规定者外，投标人不得修改。</w:t>
      </w:r>
    </w:p>
    <w:p w14:paraId="1A6E0EAB">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（2）方案应为具有可行性的方案。</w:t>
      </w:r>
    </w:p>
    <w:p w14:paraId="2E574F11">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（3）投标文件的装订要整齐、牢固、不易拆散和换页，便于保管和利用；投标文件采用左侧胶装装订方式，具体装订详情见前附表。</w:t>
      </w:r>
    </w:p>
    <w:p w14:paraId="4BD0E78C">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（4）投标文件除制作文本文件外，还需提供电子版。</w:t>
      </w:r>
    </w:p>
    <w:p w14:paraId="2755569B">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11.3投标文件应印刷清晰整洁，不提倡装帧豪华。高档豪华的投标文件对评标结果不产生任何影响。</w:t>
      </w:r>
    </w:p>
    <w:p w14:paraId="0BDC7C49">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11.4投标文件不退还。</w:t>
      </w:r>
    </w:p>
    <w:p w14:paraId="4EBFE7AF">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12．投标报价</w:t>
      </w:r>
    </w:p>
    <w:p w14:paraId="2DEC8C65">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12.1投标人的投标报价应附投标报价说明和明细；</w:t>
      </w:r>
    </w:p>
    <w:p w14:paraId="7CCF4A6F">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12.2除非合同中另有规定，投标报价应包括承担本招标项目的成本、利润、税金及风险等全部费用；</w:t>
      </w:r>
    </w:p>
    <w:p w14:paraId="177F0FBC">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12.3投标人所报价格在合同实施期间固定不变，即固定价格（如有调整仅限于现行相关部门规定，其它不变）；</w:t>
      </w:r>
    </w:p>
    <w:p w14:paraId="28A974A4">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12.4投标报价应参照相关行业收费标准并予以优惠。</w:t>
      </w:r>
    </w:p>
    <w:p w14:paraId="114D27A4">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12.5工作费用按人民币计算，费用支付也按人民币支付。</w:t>
      </w:r>
    </w:p>
    <w:p w14:paraId="06B49B2E">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12.6 投标报价计算内容</w:t>
      </w:r>
    </w:p>
    <w:p w14:paraId="3F2BC52A">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 xml:space="preserve">12.6.1 招标文件中要求的工作范围之内。 </w:t>
      </w:r>
    </w:p>
    <w:p w14:paraId="0B1B3E11">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12.6.2 其它为满足招标文件规定的服务标准的配套服务。</w:t>
      </w:r>
    </w:p>
    <w:p w14:paraId="6F286665">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12.7费用报价方式</w:t>
      </w:r>
    </w:p>
    <w:p w14:paraId="76656670">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投标人应以书面形式详细提供各项工作费用报价和汇总报价，明细报价应等于汇总报价。未能提供工作量明细的工作费用报价应按包干使用，投标人不得以各种理由，拒绝完成费用包干使用的工作，减少费用包干使用的工作量或降低其工作质量。</w:t>
      </w:r>
    </w:p>
    <w:p w14:paraId="6B6E19AA">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13．投标文件的有效期</w:t>
      </w:r>
    </w:p>
    <w:p w14:paraId="70527600">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13.1投标文件有效期为开标之日后本投标人须知前附表所载明的时间内，在此期限内，所有投标文件均保持有效。</w:t>
      </w:r>
    </w:p>
    <w:p w14:paraId="5194A1BE">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sz w:val="21"/>
          <w:szCs w:val="21"/>
          <w:highlight w:val="none"/>
          <w:lang w:val="zh-CN"/>
        </w:rPr>
        <w:t>13.2出现特殊情况需要延长投标有效期的，采购人以书面形式通知所有投标人延长投标有效期。投标人同意延长的，应相应延长其投标保证金的有效期，但不得要求或被允许修改或撤销其投标文件；投标人拒绝延长的，其投标失效，但投标人有权收回其投标保证金。在延长期内，本须知第14条关于投标保证金的规定仍然适用。</w:t>
      </w:r>
    </w:p>
    <w:p w14:paraId="0C025324">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14．投标保证金</w:t>
      </w:r>
    </w:p>
    <w:p w14:paraId="6FF74DF3">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14.1投标人在送交投标文件时，应同时按本投标人须知前附表规定的数额提交投标保证金，并作为其投标文件的组成部分。联合体投标的，其投标保证金由牵头人递交，并应符合投标人须知前附表的规定。</w:t>
      </w:r>
    </w:p>
    <w:p w14:paraId="7B45AFE4">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14.2投标保证金以人民币计，采用形式及相关要求详见投标人须知前附表26条。</w:t>
      </w:r>
    </w:p>
    <w:p w14:paraId="2BC66423">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14.3投标保证金交纳证明的复印件须装入投标文件的正、副本之中。</w:t>
      </w:r>
    </w:p>
    <w:p w14:paraId="3E256802">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14.4投标保证金在投标文件有效期内保持有效，采购人如果按本须知13.2 款的规定延长了投标文件有效期，则投标保证金的有效期也相应延长。</w:t>
      </w:r>
    </w:p>
    <w:p w14:paraId="4062B7DC">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14.5采购人或采购代理机构应当自中标通知书发出之日起5个工作日内退还未中标投标人的投标保证金，自合同签订之日起5个工作日内退还中标人的投标保证金。</w:t>
      </w:r>
    </w:p>
    <w:p w14:paraId="5832B8E4">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14.6 投标人如有下列情况，其投标保证金将不予退还：</w:t>
      </w:r>
    </w:p>
    <w:p w14:paraId="573D946E">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（1）在投标文件有效期内撤销投标文件；</w:t>
      </w:r>
    </w:p>
    <w:p w14:paraId="0160AC9C">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（2）中标人在收到中标通知书后，无正当理由拒签合同协议书或未按招标文件规定提交履约担保或不配合采购人接受履约能力审查的。</w:t>
      </w:r>
    </w:p>
    <w:p w14:paraId="32F712CB">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15．资格审查资料</w:t>
      </w:r>
    </w:p>
    <w:p w14:paraId="51F5C075">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15.1“投标人基本情况表”应附应附投标人营业执照（副本）、开户许可证等相关证件的复印件等材料。</w:t>
      </w:r>
    </w:p>
    <w:p w14:paraId="568CAA80">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15.2“近年财务状况要求”应附经具有审计资格的会计师事务所出具的财务审计报告或财务报表，包括资产负债表、现金流量表、利润表和财务情况说明书，具体年份要求见投标人须知前附表。</w:t>
      </w:r>
    </w:p>
    <w:p w14:paraId="1AF0A220">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15.3“近年完成的类似项目情况表”应附中标通知书和(或)合同协议书，具体年份要求见投标人须知前附表。每张表格只填写一个项目，并标明序号。</w:t>
      </w:r>
    </w:p>
    <w:p w14:paraId="6CD35E61">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15.4“近年发生的诉讼及仲裁情况”应说明相关情况，并附法院或仲裁机构作出的判决、裁决等有关法律文书（如有），具体年份要求见投标人须知前附表。</w:t>
      </w:r>
    </w:p>
    <w:p w14:paraId="236FD648">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15.5缴纳投标保证金凭证。</w:t>
      </w:r>
    </w:p>
    <w:p w14:paraId="77C11C15">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15.6投标人须在中国裁判文书网自行查询本公司、法人行贿犯罪记录，且提供查询页面截图并加盖公章作为无行贿犯罪记录证明。</w:t>
      </w:r>
    </w:p>
    <w:p w14:paraId="6816FEF6">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投标人须知前附表规定接受联合体投标的，本章第3.5.1项至第3.5.5项规定的表格和资料应包括联合体各方相关情况。</w:t>
      </w:r>
    </w:p>
    <w:p w14:paraId="646C396C">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16．投标文件的签署</w:t>
      </w:r>
    </w:p>
    <w:p w14:paraId="23706332">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16.1投标人应按本须知规定，向采购人递交投标文件(正副本份数详见投标人须知前附表)，并明确写明：“正本”和“副本”。</w:t>
      </w:r>
    </w:p>
    <w:p w14:paraId="20ED7D63">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16.2投标文件的正副本应使用不褪色的墨水书写或打印。</w:t>
      </w:r>
    </w:p>
    <w:p w14:paraId="31AD35DA">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16.3如果是代理人签署，</w:t>
      </w:r>
      <w:r>
        <w:rPr>
          <w:rFonts w:hint="eastAsia" w:ascii="宋体" w:hAnsi="Times New Roman" w:eastAsia="宋体" w:cs="宋体"/>
          <w:color w:val="000000"/>
          <w:sz w:val="21"/>
          <w:szCs w:val="21"/>
          <w:highlight w:val="none"/>
          <w:lang w:val="zh-CN" w:eastAsia="zh-CN" w:bidi="ar-SA"/>
        </w:rPr>
        <w:t>应附授权委托书</w:t>
      </w:r>
      <w:r>
        <w:rPr>
          <w:rFonts w:hint="eastAsia" w:ascii="宋体" w:hAnsi="宋体" w:eastAsia="宋体" w:cs="宋体"/>
          <w:color w:val="000000"/>
          <w:sz w:val="21"/>
          <w:szCs w:val="21"/>
          <w:highlight w:val="none"/>
          <w:lang w:val="zh-CN"/>
        </w:rPr>
        <w:t>，</w:t>
      </w:r>
      <w:r>
        <w:rPr>
          <w:rFonts w:hint="eastAsia" w:ascii="宋体" w:hAnsi="Times New Roman" w:eastAsia="宋体" w:cs="宋体"/>
          <w:color w:val="000000"/>
          <w:sz w:val="21"/>
          <w:szCs w:val="21"/>
          <w:highlight w:val="none"/>
          <w:lang w:val="zh-CN" w:eastAsia="zh-CN" w:bidi="ar-SA"/>
        </w:rPr>
        <w:t>授权委托书法定代表人身份证正反面复印件、授权委托</w:t>
      </w:r>
      <w:r>
        <w:rPr>
          <w:rFonts w:hint="eastAsia" w:ascii="宋体" w:hAnsi="Times New Roman" w:eastAsia="宋体" w:cs="宋体"/>
          <w:color w:val="000000"/>
          <w:sz w:val="21"/>
          <w:szCs w:val="21"/>
          <w:highlight w:val="none"/>
          <w:lang w:val="en-US" w:eastAsia="zh-CN" w:bidi="ar-SA"/>
        </w:rPr>
        <w:t>书</w:t>
      </w:r>
      <w:r>
        <w:rPr>
          <w:rFonts w:hint="eastAsia" w:ascii="宋体" w:hAnsi="Times New Roman" w:eastAsia="宋体" w:cs="宋体"/>
          <w:color w:val="000000"/>
          <w:sz w:val="21"/>
          <w:szCs w:val="21"/>
          <w:highlight w:val="none"/>
          <w:lang w:val="zh-CN" w:eastAsia="zh-CN" w:bidi="ar-SA"/>
        </w:rPr>
        <w:t>身份证正反面复印件应由法人在法人身份证复印件上签字、授权人在授权委托人身份证正反面复印件上签字</w:t>
      </w:r>
      <w:r>
        <w:rPr>
          <w:rFonts w:hint="eastAsia" w:ascii="宋体" w:hAnsi="宋体" w:eastAsia="宋体" w:cs="宋体"/>
          <w:color w:val="000000"/>
          <w:sz w:val="21"/>
          <w:szCs w:val="21"/>
          <w:highlight w:val="none"/>
          <w:lang w:val="zh-CN"/>
        </w:rPr>
        <w:t>。</w:t>
      </w:r>
    </w:p>
    <w:p w14:paraId="41B3A73B">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16.4投标文件的任何一页如有修改，必须在修改处由法定代表人或经正式授权的代理人签字确认。</w:t>
      </w:r>
    </w:p>
    <w:p w14:paraId="05737A60">
      <w:pPr>
        <w:keepNext w:val="0"/>
        <w:keepLines w:val="0"/>
        <w:pageBreakBefore w:val="0"/>
        <w:widowControl w:val="0"/>
        <w:kinsoku/>
        <w:wordWrap/>
        <w:overflowPunct/>
        <w:topLinePunct w:val="0"/>
        <w:bidi w:val="0"/>
        <w:snapToGrid w:val="0"/>
        <w:spacing w:line="360" w:lineRule="auto"/>
        <w:jc w:val="center"/>
        <w:textAlignment w:val="auto"/>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四．投标文件的递交</w:t>
      </w:r>
    </w:p>
    <w:p w14:paraId="1E6AF4D6">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17．投标文件的装订、密封和标记</w:t>
      </w:r>
    </w:p>
    <w:p w14:paraId="739032A7">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17.1投标人应将投标文件装订成册（A4幅面）并在密封封套上标明招标项目名称、招标文件编号、投标人名称、地址、联系方式和邮编，在招标文件规定的投标地点和投标截止时间前递交给采购人。如果投标人没有按照要求密封、标记，采购人对于投标人的误投、错投以及提前拆封概不负责。</w:t>
      </w:r>
    </w:p>
    <w:p w14:paraId="40FFC51F">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17.2投标文件份数投标人须知前附表，当正本与副本内容不一致时，以正本为准，电子文件与文本文件不一致时，以文本文件为准。</w:t>
      </w:r>
    </w:p>
    <w:p w14:paraId="372CE06F">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17.3</w:t>
      </w:r>
      <w:bookmarkStart w:id="18" w:name="_Toc152045556"/>
      <w:bookmarkEnd w:id="18"/>
      <w:bookmarkStart w:id="19" w:name="_Toc246996200"/>
      <w:bookmarkEnd w:id="19"/>
      <w:bookmarkStart w:id="20" w:name="_Toc246996943"/>
      <w:bookmarkEnd w:id="20"/>
      <w:bookmarkStart w:id="21" w:name="_Toc179632574"/>
      <w:bookmarkEnd w:id="21"/>
      <w:bookmarkStart w:id="22" w:name="_Toc152042332"/>
      <w:bookmarkEnd w:id="22"/>
      <w:bookmarkStart w:id="23" w:name="_Toc144974524"/>
      <w:bookmarkEnd w:id="23"/>
      <w:bookmarkStart w:id="24" w:name="_Toc247085714"/>
      <w:bookmarkEnd w:id="24"/>
      <w:bookmarkStart w:id="25" w:name="_Toc321309190"/>
      <w:r>
        <w:rPr>
          <w:rFonts w:hint="eastAsia" w:ascii="宋体" w:hAnsi="宋体" w:eastAsia="宋体" w:cs="宋体"/>
          <w:color w:val="000000"/>
          <w:sz w:val="21"/>
          <w:szCs w:val="21"/>
          <w:highlight w:val="none"/>
          <w:lang w:val="zh-CN"/>
        </w:rPr>
        <w:t>投标文件的密封和标记</w:t>
      </w:r>
      <w:bookmarkEnd w:id="25"/>
    </w:p>
    <w:p w14:paraId="5A84F803">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 xml:space="preserve">17.3.1 </w:t>
      </w:r>
      <w:r>
        <w:rPr>
          <w:rFonts w:hint="eastAsia" w:ascii="宋体" w:hAnsi="宋体" w:eastAsia="宋体" w:cs="宋体"/>
          <w:sz w:val="21"/>
          <w:szCs w:val="21"/>
          <w:highlight w:val="none"/>
        </w:rPr>
        <w:t>正本1份，副本</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份，</w:t>
      </w:r>
      <w:r>
        <w:rPr>
          <w:rFonts w:hint="eastAsia" w:ascii="宋体" w:hAnsi="宋体" w:eastAsia="宋体" w:cs="宋体"/>
          <w:sz w:val="21"/>
          <w:szCs w:val="21"/>
          <w:highlight w:val="none"/>
          <w:lang w:val="en-US" w:eastAsia="zh-CN"/>
        </w:rPr>
        <w:t>正副本单独密封，</w:t>
      </w:r>
      <w:r>
        <w:rPr>
          <w:rFonts w:hint="eastAsia" w:ascii="宋体" w:hAnsi="宋体" w:eastAsia="宋体" w:cs="宋体"/>
          <w:sz w:val="21"/>
          <w:szCs w:val="21"/>
          <w:highlight w:val="none"/>
        </w:rPr>
        <w:t>同时提供电子版文件一份（提供U盘且不退）（U盘中电子版投标文件需提供可编辑的word版及PDF版，且须单独密封并提交，且包封上须注明项目名称和公司名称）</w:t>
      </w:r>
      <w:r>
        <w:rPr>
          <w:rFonts w:hint="eastAsia" w:ascii="宋体" w:hAnsi="宋体" w:eastAsia="宋体" w:cs="宋体"/>
          <w:color w:val="000000"/>
          <w:sz w:val="21"/>
          <w:szCs w:val="21"/>
          <w:highlight w:val="none"/>
          <w:lang w:val="zh-CN"/>
        </w:rPr>
        <w:t>。</w:t>
      </w:r>
    </w:p>
    <w:p w14:paraId="70E4D5AC">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17.3.2电子版(U盘</w:t>
      </w: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lang w:val="zh-CN"/>
        </w:rPr>
        <w:t>份)与投标文件同时递交。并单独封装。</w:t>
      </w:r>
    </w:p>
    <w:p w14:paraId="674F6693">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17.3.3 未按本章第17.1项至第17.3项要求密封和加写标记的投标文件，采购人不予受理，并退还给投标人。</w:t>
      </w:r>
    </w:p>
    <w:p w14:paraId="456E4852">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17.4采购人将拒绝接受并原封退回在其规定的投标截止时间以后送达（收到）的投标文件。</w:t>
      </w:r>
    </w:p>
    <w:p w14:paraId="5397479D">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17.5投标人在投标时，有下列情形之一的为无效投标：</w:t>
      </w:r>
    </w:p>
    <w:p w14:paraId="144C1B6D">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（1）在招标文件规定的投标截止时间之后投标的；</w:t>
      </w:r>
    </w:p>
    <w:p w14:paraId="156F781C">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（2）未按招标文件规定投标保证金的；</w:t>
      </w:r>
    </w:p>
    <w:p w14:paraId="4B80C3D1">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（3）未购买招标文件参加招标的；</w:t>
      </w:r>
    </w:p>
    <w:p w14:paraId="4BDE550B">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（4）投标文件夹未按招标文件规定密封的；</w:t>
      </w:r>
    </w:p>
    <w:p w14:paraId="20A5B5CB">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zh-CN"/>
        </w:rPr>
        <w:t>（5）投标人法定代表人或其授权代理人未按规定到开标现场的（以及未能证明其合法身份的，如未出示本人身份证件的）：</w:t>
      </w:r>
      <w:r>
        <w:rPr>
          <w:rFonts w:hint="eastAsia" w:ascii="宋体" w:hAnsi="宋体" w:eastAsia="宋体" w:cs="宋体"/>
          <w:color w:val="000000"/>
          <w:sz w:val="21"/>
          <w:szCs w:val="21"/>
          <w:highlight w:val="none"/>
          <w:lang w:val="en-US" w:eastAsia="zh-CN"/>
        </w:rPr>
        <w:t>本项目线上开标。</w:t>
      </w:r>
    </w:p>
    <w:p w14:paraId="7FF74DB1">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（6）招标文件规定投标时属于无效投标或者废标的其他情形。</w:t>
      </w:r>
    </w:p>
    <w:p w14:paraId="2DF9A845">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18．递交投标文件的截止期</w:t>
      </w:r>
    </w:p>
    <w:p w14:paraId="6CD99BD7">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18.1 投标人必须按招标文件写明的地址，在本投标人须知前附表中所规定的送交投标文件截止期前，将投标文件送达采购人签收。</w:t>
      </w:r>
    </w:p>
    <w:p w14:paraId="6C0F9434">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18.2 采购人可按本须知第9条规定，以补遗文件的方式，酌情延长递交投标文件的截止时间，在此情况下，采购人与投标人在原投标截止时间前的全部权利和义务，将适用于延长后新的投标截止时间。</w:t>
      </w:r>
    </w:p>
    <w:p w14:paraId="04D46254">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19．迟到的投标文件</w:t>
      </w:r>
    </w:p>
    <w:p w14:paraId="2102B4EE">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19.1 采购人在按本须知第18条规定的送交投标文件截止期以后收到的投标文件，不予开封，并原封退回投标人。</w:t>
      </w:r>
    </w:p>
    <w:p w14:paraId="47F159DE">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20．投标文件的更改与撤回</w:t>
      </w:r>
    </w:p>
    <w:p w14:paraId="63C12158">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20.1 在送交投标文件截止期以前，投标人可以更改或撤回投标文件，但必须书面提出，并由投标人的法定代表人或经正式授权的代理人签署。在时间紧迫的情况下，投标人可将撤回投标文件的要求，先传真通知采购人，但应随即补发一份正式书面函件予以确认。更改、撤回的确认书必须在递交投标文件截止期前送达采购人签收。</w:t>
      </w:r>
    </w:p>
    <w:p w14:paraId="438B7E01">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20.2更改的投标文件应同样按照投标文件送交规定的要求进行编制、密封、标记（在内层信封标明“更改”字样）和发送。</w:t>
      </w:r>
    </w:p>
    <w:p w14:paraId="26823427">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20.3如果在投标文件有效期内撤销的投标文件，则按本须知第14条第14.6款的规定不退还其投标保证金。</w:t>
      </w:r>
    </w:p>
    <w:p w14:paraId="133D8871">
      <w:pPr>
        <w:keepNext w:val="0"/>
        <w:keepLines w:val="0"/>
        <w:pageBreakBefore w:val="0"/>
        <w:widowControl w:val="0"/>
        <w:kinsoku/>
        <w:wordWrap/>
        <w:overflowPunct/>
        <w:topLinePunct w:val="0"/>
        <w:bidi w:val="0"/>
        <w:snapToGrid w:val="0"/>
        <w:spacing w:line="360" w:lineRule="auto"/>
        <w:jc w:val="center"/>
        <w:textAlignment w:val="auto"/>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五．开标</w:t>
      </w:r>
    </w:p>
    <w:p w14:paraId="3965D637">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21．开标</w:t>
      </w:r>
    </w:p>
    <w:p w14:paraId="09B1B5E8">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21.1采购人按本须知前附表第20项、第21项和第35项所规定的时间和地点举行开标会议。</w:t>
      </w:r>
    </w:p>
    <w:p w14:paraId="4689360D">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21.2按规定提交合格撤回通知的投标文件不予开封，并退回给投标人；按本须知第22条规定确定为无效的投标文件，不予送交评审。</w:t>
      </w:r>
    </w:p>
    <w:p w14:paraId="4D5A94E2">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21.3 开标程序：</w:t>
      </w:r>
    </w:p>
    <w:p w14:paraId="0949CC25">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主持人按下列程序进行开标：</w:t>
      </w:r>
    </w:p>
    <w:p w14:paraId="1246FBCE">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(1)宣布开标纪律；</w:t>
      </w:r>
    </w:p>
    <w:p w14:paraId="2D244955">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(2)公布在投标截止时间前递交投标文件的投标人名称，并点名确认投标人是否派人到场；</w:t>
      </w:r>
    </w:p>
    <w:p w14:paraId="7867BDEF">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(3)宣布开标人、唱标人、记录人、监标人等有关人员姓名；</w:t>
      </w:r>
    </w:p>
    <w:p w14:paraId="102764DE">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(4)按照投标人须知前附表规定检查投标文件的密封情况；</w:t>
      </w:r>
    </w:p>
    <w:p w14:paraId="729BADAB">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(5)按照投标人须知前附表的规定确定并宣布投标文件开标顺序；</w:t>
      </w:r>
    </w:p>
    <w:p w14:paraId="28BFABD0">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(6)设有最高投标限价的，公布招标最高投标限价；</w:t>
      </w:r>
    </w:p>
    <w:p w14:paraId="17CBAF79">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(7)按照宣布的开标顺序当众开标，公布投标人名称、项目名称、投标保证金的递交情况、投标报价、质量目标、工期及其他内容，并记录在案；</w:t>
      </w:r>
    </w:p>
    <w:p w14:paraId="16B8657C">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(8)投标人代表、采购人代表、监标人、记录人等有关人员在开标记录上签字确认；</w:t>
      </w:r>
    </w:p>
    <w:p w14:paraId="5006819A">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(9)开标结束。</w:t>
      </w:r>
    </w:p>
    <w:p w14:paraId="152C5328">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zh-CN"/>
        </w:rPr>
        <w:t>21.3.4 采购人对开标过程进行记录，并存档备查。</w:t>
      </w:r>
    </w:p>
    <w:p w14:paraId="23DCB499">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22．投标文件的有效性</w:t>
      </w:r>
    </w:p>
    <w:p w14:paraId="2848C52D">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 xml:space="preserve">22.1开标时，投标文件出现下列情形之一的，应当作为无效投标文件，不得进入评标。    </w:t>
      </w:r>
    </w:p>
    <w:p w14:paraId="52C48561">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22.1.1投标文件未按照本须知第17条的要求装订、密封和标记的。</w:t>
      </w:r>
    </w:p>
    <w:p w14:paraId="0C8029B0">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 xml:space="preserve">22.1.2本须知第11条规定的投标文件有关内容未按本须知第16条规定加盖投标人印章或未经法定代表人或其委托代理人签字或盖章的。由委托代理人签字或盖章的，但未随投标文件一起提交有效的“授权委托书”的。   </w:t>
      </w:r>
    </w:p>
    <w:p w14:paraId="0A4E3454">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22.1.3投标文件的关键内容字迹模糊、无法辨认的。</w:t>
      </w:r>
    </w:p>
    <w:p w14:paraId="6B6E4D52">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22.1.4投标人未按照招标文件的要求提供投标保证金的。</w:t>
      </w:r>
    </w:p>
    <w:p w14:paraId="2E5EFE97">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b/>
          <w:bCs/>
          <w:color w:val="000000"/>
          <w:kern w:val="0"/>
          <w:sz w:val="21"/>
          <w:szCs w:val="21"/>
          <w:highlight w:val="none"/>
        </w:rPr>
      </w:pPr>
      <w:r>
        <w:rPr>
          <w:rFonts w:hint="eastAsia" w:ascii="宋体" w:hAnsi="宋体" w:eastAsia="宋体" w:cs="宋体"/>
          <w:color w:val="000000"/>
          <w:sz w:val="21"/>
          <w:szCs w:val="21"/>
          <w:highlight w:val="none"/>
          <w:lang w:val="zh-CN"/>
        </w:rPr>
        <w:t>22.2采购人将有效投标文件，送评标委员会进行评审、比较。</w:t>
      </w:r>
    </w:p>
    <w:p w14:paraId="022FBA2E">
      <w:pPr>
        <w:keepNext w:val="0"/>
        <w:keepLines w:val="0"/>
        <w:pageBreakBefore w:val="0"/>
        <w:widowControl w:val="0"/>
        <w:kinsoku/>
        <w:wordWrap/>
        <w:overflowPunct/>
        <w:topLinePunct w:val="0"/>
        <w:bidi w:val="0"/>
        <w:snapToGrid w:val="0"/>
        <w:spacing w:line="360" w:lineRule="auto"/>
        <w:jc w:val="center"/>
        <w:textAlignment w:val="auto"/>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br w:type="page"/>
      </w:r>
      <w:r>
        <w:rPr>
          <w:rFonts w:hint="eastAsia" w:ascii="宋体" w:hAnsi="宋体" w:eastAsia="宋体" w:cs="宋体"/>
          <w:b/>
          <w:bCs/>
          <w:color w:val="000000"/>
          <w:kern w:val="0"/>
          <w:sz w:val="21"/>
          <w:szCs w:val="21"/>
          <w:highlight w:val="none"/>
        </w:rPr>
        <w:t>六．评标</w:t>
      </w:r>
    </w:p>
    <w:p w14:paraId="72A78398">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23．评标委员会与评标</w:t>
      </w:r>
    </w:p>
    <w:p w14:paraId="4414EC0B">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23.1评标由采购人依法组建的评标委员会负责。评标委员会由采购人或其委托的采购代理机构熟悉相关业务的代表，以及有关技术、经济等方面的专家组成。评标委员会成员人数以及技术、经济等方面专家的确定方式见投标人须知前附表。</w:t>
      </w:r>
    </w:p>
    <w:p w14:paraId="07EA666E">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23.2评标委员会成员有下列情形之一的，应当回避：</w:t>
      </w:r>
    </w:p>
    <w:p w14:paraId="604B2689">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(l)采购人或投标人的主要负责人的近亲属；</w:t>
      </w:r>
    </w:p>
    <w:p w14:paraId="6072BF5E">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(2)项目主管部门或者行政监督部门的人员；</w:t>
      </w:r>
    </w:p>
    <w:p w14:paraId="357B49A2">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(3)与投标人有经济利益关系，可能影响对投标公正评审的；</w:t>
      </w:r>
    </w:p>
    <w:p w14:paraId="77AFB8A2">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(4)曾因在招标、评标以及其他与招标投标有关活动中从事违法行为而受过行政处罚或刑事处罚的。</w:t>
      </w:r>
    </w:p>
    <w:p w14:paraId="46B68A44">
      <w:pPr>
        <w:pStyle w:val="9"/>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24．评标过程的保密</w:t>
      </w:r>
    </w:p>
    <w:p w14:paraId="2B0C6777">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24.1开标后，直至授予中标人合同为止，凡属于对投标文件的审查、澄清、评价和比较有关的资料以及中标候选人的推荐情况，与评标有关的其他任何情况均严格保密。</w:t>
      </w:r>
    </w:p>
    <w:p w14:paraId="1EDE5182">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24.2在投标文件的评审和比较、中标候选人推荐以及授予合同的过程中，投标人向采购人和评标委员会施加影响的任何行为，都将会导致其投标被拒绝。</w:t>
      </w:r>
    </w:p>
    <w:p w14:paraId="0C7962D1">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24.3中标人确定后，采购人不对未中标人就评标过程以及未能中标原因作出任何解释。未中标人不得向评标委员会组成人员或其他有关人员索问评标过程的情况和材料。</w:t>
      </w:r>
    </w:p>
    <w:p w14:paraId="36229432">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24.4投标文件的澄清</w:t>
      </w:r>
    </w:p>
    <w:p w14:paraId="3BBC00EF">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24.4.1为有助于投标文件的审查、评价和比较，评标委员会可以以书面形式要求投标人对投标文件含义不明确的内容作必要的澄清或说明，投标人应采用书面形式进行澄清或说明，但不得超出投标文件的范围或改变投标文件的实质性内容。</w:t>
      </w:r>
    </w:p>
    <w:p w14:paraId="2C01BB98">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24.5投标文件的初步评审</w:t>
      </w:r>
    </w:p>
    <w:p w14:paraId="17C936D5">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24.5.1开标后，评标委员会根据本须知第22条有关规定审查投标文件的有效性。</w:t>
      </w:r>
    </w:p>
    <w:p w14:paraId="246F23E7">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24.5.2评标时，评标委员会将首先评定每份投标文件是否在实质上响应了招标文件的要求。所谓实质上响应，是指投标文件应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正的影响。</w:t>
      </w:r>
    </w:p>
    <w:p w14:paraId="118FDA9A">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zh-CN"/>
        </w:rPr>
        <w:t>24.5.3 如果投标文件实质上不响应招标文件的要求，评标委员会将予以拒绝，并且不允许投标人通过修改或撤销其不符合要求的差异或保留，使之成为具有响应性的投标。</w:t>
      </w:r>
    </w:p>
    <w:p w14:paraId="71CDEF95">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25．投标文件的评审、比较和否决</w:t>
      </w:r>
    </w:p>
    <w:p w14:paraId="0D283E76">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 xml:space="preserve">25.1 评标委员会将按照本须知第24.5条规定，仅对在实质上响应招标文件要求的投标文件进行评估和比较。    </w:t>
      </w:r>
    </w:p>
    <w:p w14:paraId="2BDEEDE6">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25.2 在评审过程中，评标委员会可以以书面形式要求投标人就投标文件中含义不明确的内容进行书面说明并提供相关材料。</w:t>
      </w:r>
    </w:p>
    <w:p w14:paraId="23F150E7">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25.3评标方法（见招标文件第三章）</w:t>
      </w:r>
    </w:p>
    <w:p w14:paraId="1082E3C2">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25.4经评标委员会评审，认为所有投标都不符合招标文件要求的，可以否决所有投标。所有投标被否决后，采购人应当依法重新招标。</w:t>
      </w:r>
    </w:p>
    <w:p w14:paraId="0ACF090B">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26. 评标报告</w:t>
      </w:r>
    </w:p>
    <w:p w14:paraId="6AC814F9">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26.1评标工作结束时，评标委员会出具评标工作报告。</w:t>
      </w:r>
    </w:p>
    <w:p w14:paraId="5E9383E7">
      <w:pPr>
        <w:keepNext w:val="0"/>
        <w:keepLines w:val="0"/>
        <w:pageBreakBefore w:val="0"/>
        <w:widowControl w:val="0"/>
        <w:kinsoku/>
        <w:wordWrap/>
        <w:overflowPunct/>
        <w:topLinePunct w:val="0"/>
        <w:bidi w:val="0"/>
        <w:snapToGrid w:val="0"/>
        <w:spacing w:line="360" w:lineRule="auto"/>
        <w:jc w:val="center"/>
        <w:textAlignment w:val="auto"/>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七．授予合同</w:t>
      </w:r>
    </w:p>
    <w:p w14:paraId="2779FC46">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27．合同授予的标准</w:t>
      </w:r>
    </w:p>
    <w:p w14:paraId="0F150FC9">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27.1 本招标项目的合同将授予本次评标的评标委员会推荐的中候选标人。</w:t>
      </w:r>
    </w:p>
    <w:p w14:paraId="11A06312">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27.2排名第一的中标候选人放弃中标、因不可抗力不能履行合同，投标文件提供虚假信息，拒绝接受最终审查或不配合采购人最终审查，或者被查实存在影响中标结果的违法行为等情形，不符合中标条件的，采购人可以按照评标委员会提出的中标候选人名单排序依次确定其他中标候选人为中标人，也可以重新招标。</w:t>
      </w:r>
    </w:p>
    <w:p w14:paraId="06B79E01">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28．</w:t>
      </w:r>
      <w:r>
        <w:rPr>
          <w:rFonts w:hint="eastAsia" w:ascii="宋体" w:hAnsi="宋体" w:eastAsia="宋体" w:cs="宋体"/>
          <w:b/>
          <w:bCs/>
          <w:color w:val="000000"/>
          <w:kern w:val="0"/>
          <w:sz w:val="21"/>
          <w:szCs w:val="21"/>
          <w:highlight w:val="none"/>
          <w:lang w:eastAsia="zh-CN"/>
        </w:rPr>
        <w:t>采购人</w:t>
      </w:r>
      <w:r>
        <w:rPr>
          <w:rFonts w:hint="eastAsia" w:ascii="宋体" w:hAnsi="宋体" w:eastAsia="宋体" w:cs="宋体"/>
          <w:b/>
          <w:bCs/>
          <w:color w:val="000000"/>
          <w:kern w:val="0"/>
          <w:sz w:val="21"/>
          <w:szCs w:val="21"/>
          <w:highlight w:val="none"/>
        </w:rPr>
        <w:t>接受和拒绝投标的权力</w:t>
      </w:r>
    </w:p>
    <w:p w14:paraId="4C523A58">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28.1采购人在发出中标通知书前因项目发生变化或不可抗力等原因有权宣布投标程序无效或拒绝所有投标，并对由此引起的对投标人的影响不承担任何责任，也无须将这样做的理由通知受影响的投标人，但采购人应将投标保证金退还给投标人。</w:t>
      </w:r>
    </w:p>
    <w:p w14:paraId="15460569">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color w:val="000000"/>
          <w:sz w:val="21"/>
          <w:szCs w:val="21"/>
          <w:highlight w:val="none"/>
        </w:rPr>
      </w:pPr>
      <w:r>
        <w:rPr>
          <w:rFonts w:hint="eastAsia" w:ascii="宋体" w:hAnsi="宋体" w:eastAsia="宋体" w:cs="宋体"/>
          <w:b/>
          <w:bCs/>
          <w:color w:val="000000"/>
          <w:kern w:val="0"/>
          <w:sz w:val="21"/>
          <w:szCs w:val="21"/>
          <w:highlight w:val="none"/>
        </w:rPr>
        <w:t>29．中标通知书</w:t>
      </w:r>
    </w:p>
    <w:p w14:paraId="2CBAE167">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29.1在投标有效期内，采购人将书面形式向中标人发出中标通知书，确认其投标已被接受。中标通知书中应写明业主将支付给中标人按合同规定完成工作的总价（即合同价格）。</w:t>
      </w:r>
    </w:p>
    <w:p w14:paraId="5E5DE58E">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29.2中标通知书是合同文件的组成部分。</w:t>
      </w:r>
    </w:p>
    <w:p w14:paraId="0F277538">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30．合同协议书的签署</w:t>
      </w:r>
    </w:p>
    <w:p w14:paraId="3751468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30.1招标和中标人应当自中标通知书发出之日起30日内，根据招标文件和中标人的投标文件订立书面合同。</w:t>
      </w:r>
    </w:p>
    <w:p w14:paraId="69E6320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30.2中标人在收到中标通知书30日内，如不与采购人签订合同，采购人有权委托其他单位负责，中标人不得提出异议，采购人也不承担其相关法律责任。</w:t>
      </w:r>
    </w:p>
    <w:p w14:paraId="2E54436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30.3签订合同书时，中标人应出示法定代表人证书或代理人授权书。</w:t>
      </w:r>
    </w:p>
    <w:p w14:paraId="1FCFA7E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30.4合同经双方法定代表人或其授权代理人签署并加盖公章后生效。</w:t>
      </w:r>
    </w:p>
    <w:p w14:paraId="108FFEA7">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30.5如果中标人未能遵守本须知第29.1 款或30.1 款的规定，采购人则可宣布其中标无效，并没收其投标保证金。在此情况下，采购人可根据本须知第26条第26.2 款的规定,将合同授予下一个符合评标及授予合同要求的中标候选人。</w:t>
      </w:r>
    </w:p>
    <w:p w14:paraId="209AA5BF">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31．纪律与监督</w:t>
      </w:r>
    </w:p>
    <w:p w14:paraId="6A91402B">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31.1采购人应当采取必要的措施，保证评标工作在严格保密的情况下进行。</w:t>
      </w:r>
    </w:p>
    <w:p w14:paraId="05AC25D9">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31.2投标人在投标过程中不得串通作弊，不得妨碍其他投标人的公平竞争，不得以行贿、弄虚作假等手段骗取中标，也不能采取任何方式向采购人施加压力或干扰，损害招标的公正性和竞争性，否则将被取消投标资格。</w:t>
      </w:r>
    </w:p>
    <w:p w14:paraId="14CBA093">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en-US" w:eastAsia="zh-CN"/>
        </w:rPr>
        <w:t>31.3</w:t>
      </w:r>
      <w:r>
        <w:rPr>
          <w:rFonts w:hint="eastAsia"/>
          <w:lang w:val="en-US" w:eastAsia="zh-CN"/>
        </w:rPr>
        <w:t>投标人需</w:t>
      </w:r>
      <w:r>
        <w:rPr>
          <w:rFonts w:hint="eastAsia"/>
          <w:lang w:val="zh-CN"/>
        </w:rPr>
        <w:t>在</w:t>
      </w:r>
      <w:r>
        <w:rPr>
          <w:rFonts w:hint="eastAsia"/>
          <w:lang w:val="en-US" w:eastAsia="zh-CN"/>
        </w:rPr>
        <w:t>投标</w:t>
      </w:r>
      <w:r>
        <w:rPr>
          <w:rFonts w:hint="eastAsia"/>
          <w:lang w:val="zh-CN"/>
        </w:rPr>
        <w:t>文件</w:t>
      </w:r>
      <w:r>
        <w:rPr>
          <w:rFonts w:hint="eastAsia"/>
          <w:lang w:val="en-US" w:eastAsia="zh-CN"/>
        </w:rPr>
        <w:t>中提供</w:t>
      </w:r>
      <w:r>
        <w:rPr>
          <w:rFonts w:hint="eastAsia"/>
        </w:rPr>
        <w:t>不参与涉黑涉恶承诺书</w:t>
      </w:r>
      <w:r>
        <w:rPr>
          <w:rFonts w:hint="eastAsia"/>
          <w:lang w:eastAsia="zh-CN"/>
        </w:rPr>
        <w:t>，</w:t>
      </w:r>
      <w:r>
        <w:rPr>
          <w:rFonts w:hint="eastAsia"/>
          <w:lang w:val="en-US" w:eastAsia="zh-CN"/>
        </w:rPr>
        <w:t>需加盖公章并由法定代表人或授权委托人签字，格式自拟。</w:t>
      </w:r>
    </w:p>
    <w:p w14:paraId="7F5476AC">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31.</w:t>
      </w:r>
      <w:r>
        <w:rPr>
          <w:rFonts w:hint="eastAsia" w:ascii="宋体" w:hAnsi="宋体" w:eastAsia="宋体" w:cs="宋体"/>
          <w:color w:val="000000"/>
          <w:sz w:val="21"/>
          <w:szCs w:val="21"/>
          <w:highlight w:val="none"/>
          <w:lang w:val="en-US" w:eastAsia="zh-CN"/>
        </w:rPr>
        <w:t>4</w:t>
      </w:r>
      <w:r>
        <w:rPr>
          <w:rFonts w:hint="eastAsia" w:ascii="宋体" w:hAnsi="宋体" w:eastAsia="宋体" w:cs="宋体"/>
          <w:color w:val="000000"/>
          <w:sz w:val="21"/>
          <w:szCs w:val="21"/>
          <w:highlight w:val="none"/>
          <w:lang w:val="zh-CN"/>
        </w:rPr>
        <w:t>专家委员会成员应当客观、公正地履行职责，遵守职业道德，对所提出的评审意见承担个人责任。专家委员会成员不得私下接触投标人，不得收受投标人的财物或者其他好处，不得透露对投标文件的评审、中标候选人的推荐情况以及与评标有关的其他情况。</w:t>
      </w:r>
    </w:p>
    <w:p w14:paraId="3F3D7717">
      <w:pPr>
        <w:keepNext w:val="0"/>
        <w:keepLines w:val="0"/>
        <w:pageBreakBefore w:val="0"/>
        <w:widowControl w:val="0"/>
        <w:kinsoku/>
        <w:wordWrap/>
        <w:overflowPunct/>
        <w:topLinePunct w:val="0"/>
        <w:bidi w:val="0"/>
        <w:snapToGrid w:val="0"/>
        <w:spacing w:line="360" w:lineRule="auto"/>
        <w:jc w:val="center"/>
        <w:textAlignment w:val="auto"/>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八．其  他</w:t>
      </w:r>
    </w:p>
    <w:p w14:paraId="2048DDEF">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32．适用法律</w:t>
      </w:r>
    </w:p>
    <w:p w14:paraId="1A760922">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32.1本招标文件受中华人民共和国法律管辖。若发生纠纷，应适用中国法律，通过采购人当地诉讼机构裁决。</w:t>
      </w:r>
    </w:p>
    <w:p w14:paraId="7AFD336E">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33．时间标准</w:t>
      </w:r>
    </w:p>
    <w:p w14:paraId="503E37E8">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33.1本次招标活动过程中，采购人提及的时间，均以北京时间计算。</w:t>
      </w:r>
    </w:p>
    <w:p w14:paraId="0BE06C04">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sz w:val="21"/>
          <w:szCs w:val="21"/>
          <w:highlight w:val="none"/>
          <w:lang w:val="zh-CN"/>
        </w:rPr>
        <w:t>33.2采购人保留更改时间表的权力，如有改动，将及时通知各投标人</w:t>
      </w:r>
      <w:r>
        <w:rPr>
          <w:rFonts w:hint="eastAsia" w:ascii="宋体" w:hAnsi="宋体" w:eastAsia="宋体" w:cs="宋体"/>
          <w:color w:val="000000"/>
          <w:kern w:val="0"/>
          <w:sz w:val="21"/>
          <w:szCs w:val="21"/>
          <w:highlight w:val="none"/>
        </w:rPr>
        <w:t>。</w:t>
      </w:r>
    </w:p>
    <w:p w14:paraId="687A8534">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34. 双方承诺</w:t>
      </w:r>
    </w:p>
    <w:p w14:paraId="4D896DCE">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34.1参加本次招标的投标人均视为承认本招标文件所有内容。</w:t>
      </w:r>
    </w:p>
    <w:p w14:paraId="253A57B2">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34.2中标人在确定并</w:t>
      </w:r>
      <w:r>
        <w:rPr>
          <w:rFonts w:hint="eastAsia" w:ascii="宋体" w:hAnsi="宋体" w:eastAsia="宋体" w:cs="宋体"/>
          <w:color w:val="000000"/>
          <w:sz w:val="21"/>
          <w:szCs w:val="21"/>
          <w:highlight w:val="none"/>
        </w:rPr>
        <w:t>签订</w:t>
      </w:r>
      <w:r>
        <w:rPr>
          <w:rFonts w:hint="eastAsia" w:ascii="宋体" w:hAnsi="宋体" w:eastAsia="宋体" w:cs="宋体"/>
          <w:color w:val="000000"/>
          <w:sz w:val="21"/>
          <w:szCs w:val="21"/>
          <w:highlight w:val="none"/>
          <w:lang w:val="zh-CN"/>
        </w:rPr>
        <w:t>合同后，双方应履行合同各项条款。</w:t>
      </w:r>
      <w:bookmarkStart w:id="26" w:name="_Toc373772560"/>
      <w:bookmarkEnd w:id="26"/>
      <w:bookmarkStart w:id="27" w:name="_Toc476122608"/>
      <w:bookmarkEnd w:id="27"/>
    </w:p>
    <w:p w14:paraId="1C84FE51">
      <w:pPr>
        <w:pStyle w:val="18"/>
        <w:keepNext w:val="0"/>
        <w:keepLines w:val="0"/>
        <w:pageBreakBefore w:val="0"/>
        <w:widowControl w:val="0"/>
        <w:kinsoku/>
        <w:wordWrap/>
        <w:overflowPunct/>
        <w:topLinePunct w:val="0"/>
        <w:bidi w:val="0"/>
        <w:spacing w:line="360" w:lineRule="auto"/>
        <w:jc w:val="left"/>
        <w:textAlignment w:val="auto"/>
        <w:rPr>
          <w:rFonts w:hint="eastAsia" w:ascii="宋体" w:hAnsi="宋体" w:eastAsia="宋体" w:cs="宋体"/>
          <w:color w:val="000000"/>
          <w:sz w:val="21"/>
          <w:szCs w:val="21"/>
          <w:highlight w:val="none"/>
        </w:rPr>
      </w:pPr>
      <w:bookmarkStart w:id="28" w:name="_Toc16294"/>
      <w:r>
        <w:rPr>
          <w:rFonts w:hint="eastAsia" w:ascii="宋体" w:hAnsi="宋体" w:eastAsia="宋体" w:cs="宋体"/>
          <w:b/>
          <w:bCs/>
          <w:color w:val="000000"/>
          <w:kern w:val="2"/>
          <w:sz w:val="21"/>
          <w:szCs w:val="21"/>
          <w:highlight w:val="none"/>
          <w:lang w:val="zh-CN" w:eastAsia="zh-CN" w:bidi="ar-SA"/>
        </w:rPr>
        <w:t>注：本正文与前附表不一致的，以前附表为准</w:t>
      </w:r>
      <w:r>
        <w:rPr>
          <w:rFonts w:hint="eastAsia" w:ascii="宋体" w:hAnsi="宋体" w:eastAsia="宋体" w:cs="宋体"/>
          <w:color w:val="000000"/>
          <w:sz w:val="21"/>
          <w:szCs w:val="21"/>
          <w:highlight w:val="none"/>
        </w:rPr>
        <w:t>。</w:t>
      </w:r>
      <w:bookmarkEnd w:id="28"/>
    </w:p>
    <w:p w14:paraId="5871A2FC">
      <w:pPr>
        <w:rPr>
          <w:rFonts w:hint="eastAsia"/>
          <w:b/>
          <w:bCs/>
          <w:color w:val="000000"/>
          <w:highlight w:val="none"/>
        </w:rPr>
      </w:pPr>
      <w:r>
        <w:rPr>
          <w:rFonts w:hint="eastAsia"/>
          <w:b/>
          <w:bCs/>
          <w:color w:val="000000"/>
          <w:highlight w:val="none"/>
        </w:rPr>
        <w:br w:type="page"/>
      </w:r>
    </w:p>
    <w:p w14:paraId="44D522F7">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sz w:val="28"/>
          <w:szCs w:val="28"/>
        </w:rPr>
      </w:pPr>
      <w:r>
        <w:rPr>
          <w:rFonts w:hint="eastAsia"/>
          <w:b/>
          <w:bCs/>
          <w:color w:val="000000"/>
          <w:sz w:val="32"/>
          <w:szCs w:val="32"/>
          <w:highlight w:val="none"/>
        </w:rPr>
        <w:t>政府采购促进中小企业发展管理办法</w:t>
      </w:r>
    </w:p>
    <w:p w14:paraId="33EBAAD8">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b/>
          <w:bCs/>
          <w:color w:val="000000"/>
          <w:sz w:val="24"/>
          <w:szCs w:val="24"/>
          <w:highlight w:val="none"/>
        </w:rPr>
      </w:pPr>
      <w:r>
        <w:rPr>
          <w:sz w:val="24"/>
          <w:szCs w:val="24"/>
        </w:rPr>
        <w:t>财库〔2020〕46号</w:t>
      </w:r>
    </w:p>
    <w:p w14:paraId="01F42731">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 xml:space="preserve"> 第一条</w:t>
      </w:r>
    </w:p>
    <w:p w14:paraId="405B55AF">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为了发挥政府采购的政策功能，促进中小企业健康发展，根据《中华人民共和国政府采购法》、《中华人民共和国中小企业促进法》等有关法律法规，制定本办法。</w:t>
      </w:r>
    </w:p>
    <w:p w14:paraId="3A4C4B5F">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 xml:space="preserve"> 第二条</w:t>
      </w:r>
    </w:p>
    <w:p w14:paraId="54400ABE">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62513682">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符合中小企业划分标准的个体工商户，在政府采购活动中视同中小企业。</w:t>
      </w:r>
    </w:p>
    <w:p w14:paraId="01E224EB">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第三条</w:t>
      </w:r>
    </w:p>
    <w:p w14:paraId="5F441B18">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采购人在政府采购活动中应当通过加强采购需求管理，落实预留采购份额、价格评审优惠、优先采购等措施，提高中小企业在政府采购中的份额，支持中小企业发展。</w:t>
      </w:r>
    </w:p>
    <w:p w14:paraId="60CE536D">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第四条</w:t>
      </w:r>
    </w:p>
    <w:p w14:paraId="056B6402">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在政府采购活动中，</w:t>
      </w:r>
      <w:r>
        <w:rPr>
          <w:rFonts w:hint="eastAsia" w:ascii="宋体" w:hAnsi="宋体" w:cs="宋体"/>
          <w:color w:val="000000"/>
          <w:highlight w:val="none"/>
          <w:lang w:eastAsia="zh-CN"/>
        </w:rPr>
        <w:t>投标人</w:t>
      </w:r>
      <w:r>
        <w:rPr>
          <w:rFonts w:hint="eastAsia" w:ascii="宋体" w:hAnsi="宋体" w:cs="宋体"/>
          <w:color w:val="000000"/>
          <w:highlight w:val="none"/>
        </w:rPr>
        <w:t>提供的货物、工程或者服务符合下列情形的，享受本办法规定的中小企业扶持政策：</w:t>
      </w:r>
    </w:p>
    <w:p w14:paraId="21A95AC6">
      <w:pPr>
        <w:spacing w:line="360" w:lineRule="auto"/>
        <w:ind w:firstLine="422" w:firstLineChars="200"/>
        <w:rPr>
          <w:rFonts w:hint="eastAsia" w:ascii="宋体" w:hAnsi="宋体" w:cs="宋体"/>
          <w:color w:val="000000"/>
          <w:highlight w:val="none"/>
        </w:rPr>
      </w:pPr>
      <w:r>
        <w:rPr>
          <w:rFonts w:hint="eastAsia" w:ascii="宋体" w:hAnsi="宋体" w:cs="宋体"/>
          <w:b/>
          <w:bCs/>
          <w:color w:val="000000"/>
          <w:highlight w:val="none"/>
        </w:rPr>
        <w:t>（一）在货物采购项目中，货物由中小企业制造，即货物由中小企业生产且使用该中小企业商号或者注册商标</w:t>
      </w:r>
      <w:r>
        <w:rPr>
          <w:rFonts w:hint="eastAsia" w:ascii="宋体" w:hAnsi="宋体" w:cs="宋体"/>
          <w:color w:val="000000"/>
          <w:highlight w:val="none"/>
        </w:rPr>
        <w:t>；</w:t>
      </w:r>
    </w:p>
    <w:p w14:paraId="360CFBCE">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（二）在工程采购项目中，工程由中小企业承建，即工程施工单位为中小企业；</w:t>
      </w:r>
    </w:p>
    <w:p w14:paraId="7752C4EA">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（三）在服务采购项目中，服务由中小企业承接，即提供服务的人员为中小企业依照《中华人民共和国劳动合同法》订立劳动合同的从业人员。在货物采购项目中，</w:t>
      </w:r>
      <w:r>
        <w:rPr>
          <w:rFonts w:hint="eastAsia" w:ascii="宋体" w:hAnsi="宋体" w:cs="宋体"/>
          <w:color w:val="000000"/>
          <w:highlight w:val="none"/>
          <w:lang w:eastAsia="zh-CN"/>
        </w:rPr>
        <w:t>投标人</w:t>
      </w:r>
      <w:r>
        <w:rPr>
          <w:rFonts w:hint="eastAsia" w:ascii="宋体" w:hAnsi="宋体" w:cs="宋体"/>
          <w:color w:val="000000"/>
          <w:highlight w:val="none"/>
        </w:rPr>
        <w:t>提供的货物既有中小企业制造货物，也有大型企业制造货物的，不享受本办法规定的中小企业扶持政策。</w:t>
      </w:r>
    </w:p>
    <w:p w14:paraId="4E29DE4E">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以联合体形式参加政府采购活动，联合体各方均为中小企业的，联合体视同中小企业。其中，联合体各方均为小微企业的，联合体视同小微企业。</w:t>
      </w:r>
    </w:p>
    <w:p w14:paraId="43169909">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第五条</w:t>
      </w:r>
    </w:p>
    <w:p w14:paraId="52370CB6">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采购人在政府采购活动中应当合理确定采购项目的采购需求，不得以企业注册资本、资产总额、营业收入、从业人员、利润、纳税额等规模条件和财务指标作为</w:t>
      </w:r>
      <w:r>
        <w:rPr>
          <w:rFonts w:hint="eastAsia" w:ascii="宋体" w:hAnsi="宋体" w:cs="宋体"/>
          <w:color w:val="000000"/>
          <w:highlight w:val="none"/>
          <w:lang w:eastAsia="zh-CN"/>
        </w:rPr>
        <w:t>投标人</w:t>
      </w:r>
      <w:r>
        <w:rPr>
          <w:rFonts w:hint="eastAsia" w:ascii="宋体" w:hAnsi="宋体" w:cs="宋体"/>
          <w:color w:val="000000"/>
          <w:highlight w:val="none"/>
        </w:rPr>
        <w:t>的资格要求或者评审因素，不得在企业股权结构、经营年限等方面对中小企业实行差别待遇或者歧视待遇。</w:t>
      </w:r>
    </w:p>
    <w:p w14:paraId="6F8448DF">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第六条</w:t>
      </w:r>
    </w:p>
    <w:p w14:paraId="5FE5AA9E">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519EA1FB">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符合下列情形之一的，可不专门面向中小企业预留采购份额：</w:t>
      </w:r>
    </w:p>
    <w:p w14:paraId="2D116B6A">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（一）法律法规和国家有关政策明确规定优先或者应当面向事业单位、社会组织等非企业主体采购的；</w:t>
      </w:r>
    </w:p>
    <w:p w14:paraId="546E64A9">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（二）因确需使用不可替代的专利、专有技术，基础设施限制，或者提供特定公共服务等原因，只能从中小企业之外的</w:t>
      </w:r>
      <w:r>
        <w:rPr>
          <w:rFonts w:hint="eastAsia" w:ascii="宋体" w:hAnsi="宋体" w:cs="宋体"/>
          <w:color w:val="000000"/>
          <w:highlight w:val="none"/>
          <w:lang w:eastAsia="zh-CN"/>
        </w:rPr>
        <w:t>投标人</w:t>
      </w:r>
      <w:r>
        <w:rPr>
          <w:rFonts w:hint="eastAsia" w:ascii="宋体" w:hAnsi="宋体" w:cs="宋体"/>
          <w:color w:val="000000"/>
          <w:highlight w:val="none"/>
        </w:rPr>
        <w:t>处采购的；</w:t>
      </w:r>
    </w:p>
    <w:p w14:paraId="4D9E063E">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（三）按照本办法规定预留采购份额无法确保充分供应、充分竞争，或者存在可能影响政府采购目标实现的情形；</w:t>
      </w:r>
    </w:p>
    <w:p w14:paraId="63E68684">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（四）框架协议采购项目；</w:t>
      </w:r>
    </w:p>
    <w:p w14:paraId="49885579">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（五）省级以上人民政府财政部门规定的其他情形。</w:t>
      </w:r>
    </w:p>
    <w:p w14:paraId="3D3B6D0C">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除上述情形外，其他均为适宜由中小企业提供的情形。</w:t>
      </w:r>
    </w:p>
    <w:p w14:paraId="4079EA90">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 xml:space="preserve"> </w:t>
      </w:r>
    </w:p>
    <w:p w14:paraId="2EFA3862">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第七条</w:t>
      </w:r>
    </w:p>
    <w:p w14:paraId="27F09E5B">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采购限额标准以上，200 万元以下的货物和服务采购项目、400 万元以下的工程采购项目，适宜由中小企业提供的，采购人应当专门面向中小企业采购。</w:t>
      </w:r>
    </w:p>
    <w:p w14:paraId="3FD101BA">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 xml:space="preserve"> 第八条</w:t>
      </w:r>
    </w:p>
    <w:p w14:paraId="34964FCD">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 xml:space="preserve"> 超过 200 万元的货物和服务采购项目、超过400 万元的工程采购项目中适宜由中小企业提供的，预留该部分采购项目预算总额的 30%以上专门面向中小企业采购，其中预留给小微企业的比例不低于 60%。预留份额通过下列措施进行：</w:t>
      </w:r>
    </w:p>
    <w:p w14:paraId="0091E44A">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（一）将采购项目整体或者设置采购包专门面向中小企业采购；</w:t>
      </w:r>
    </w:p>
    <w:p w14:paraId="38264F76">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（二）要求</w:t>
      </w:r>
      <w:r>
        <w:rPr>
          <w:rFonts w:hint="eastAsia" w:ascii="宋体" w:hAnsi="宋体" w:cs="宋体"/>
          <w:color w:val="000000"/>
          <w:highlight w:val="none"/>
          <w:lang w:eastAsia="zh-CN"/>
        </w:rPr>
        <w:t>投标人</w:t>
      </w:r>
      <w:r>
        <w:rPr>
          <w:rFonts w:hint="eastAsia" w:ascii="宋体" w:hAnsi="宋体" w:cs="宋体"/>
          <w:color w:val="000000"/>
          <w:highlight w:val="none"/>
        </w:rPr>
        <w:t>以联合体形式参加采购活动，且联合体中中小企业承担的部分达到一定比例；</w:t>
      </w:r>
    </w:p>
    <w:p w14:paraId="73C99E2B">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（三）要求获得采购合同的</w:t>
      </w:r>
      <w:r>
        <w:rPr>
          <w:rFonts w:hint="eastAsia" w:ascii="宋体" w:hAnsi="宋体" w:cs="宋体"/>
          <w:color w:val="000000"/>
          <w:highlight w:val="none"/>
          <w:lang w:eastAsia="zh-CN"/>
        </w:rPr>
        <w:t>投标人</w:t>
      </w:r>
      <w:r>
        <w:rPr>
          <w:rFonts w:hint="eastAsia" w:ascii="宋体" w:hAnsi="宋体" w:cs="宋体"/>
          <w:color w:val="000000"/>
          <w:highlight w:val="none"/>
        </w:rPr>
        <w:t>将采购项目中的一定比例分包给一家或者多家中小企业。组成联合体或者接受分包合同的中小企业与联合体内其他企业、分包企业之间不得存在直接控股、管理关系。</w:t>
      </w:r>
    </w:p>
    <w:p w14:paraId="3D6B214B">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 xml:space="preserve"> 第九条</w:t>
      </w:r>
    </w:p>
    <w:p w14:paraId="2C8FE2C3">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 xml:space="preserve"> 对于经主管预算单位统筹后未预留份额专门面向中小企业采购的采购项目，以及预留份额项目中的非预留部分采购包，采购人、采购代理机构应当对符合本办法规定的小微企业报价给予 6%—10%（工程项目为 3%—5%）的扣除，用扣除后的价格参加评审。适用招标投标法的政府采购工程建设项目，采用综合评估法但未采用低价优先法计算价格分的，评标时应当在采用原报价进行评分的基础上增加其价格得分的 3%—5%作为其价格分。接受大中型企业与小微企业组成联合体或者允许大中型企业向一家或者多家小微企业分包的采购项目，对于联合协议或者分包意向协议约定小微企业的合同份额占到合同总金额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 2%-3%（工程项目为 1%—2%）的扣除，用扣除后的价格参加评审。适用招标投标法的政府采购工程建设项目，采用综合评估法但未采用低价优先法计算价格分的，评标时应当在采用原报价进行评分的基础上增加其价格得分的 1%—2%作为其价格分。组成联合体或者接受分包的小微企业与联合体内其他企业、分包企业之间存在直接控股、管理关系的，不享受价格扣除优惠政策。</w:t>
      </w:r>
    </w:p>
    <w:p w14:paraId="5F1CD285">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1043A6A2">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 xml:space="preserve"> 第十条</w:t>
      </w:r>
    </w:p>
    <w:p w14:paraId="3BDC784D">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 xml:space="preserve"> 采购人应当严格按照本办法规定和主管预算单位制定的预留采购份额具体方案开展采购活动。预留份额的采购项目或者采购包，通过发布公告方式邀请</w:t>
      </w:r>
      <w:r>
        <w:rPr>
          <w:rFonts w:hint="eastAsia" w:ascii="宋体" w:hAnsi="宋体" w:cs="宋体"/>
          <w:color w:val="000000"/>
          <w:highlight w:val="none"/>
          <w:lang w:eastAsia="zh-CN"/>
        </w:rPr>
        <w:t>投标人</w:t>
      </w:r>
      <w:r>
        <w:rPr>
          <w:rFonts w:hint="eastAsia" w:ascii="宋体" w:hAnsi="宋体" w:cs="宋体"/>
          <w:color w:val="000000"/>
          <w:highlight w:val="none"/>
        </w:rPr>
        <w:t>后，符合资格条件的中小企业数量不足 3 家的，应当中止采购活动，视同未预留份额的采购项目或者采购包，按照本办法第九条有关规定重新组织采购活动。</w:t>
      </w:r>
    </w:p>
    <w:p w14:paraId="117514DC">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 xml:space="preserve"> 第十一条</w:t>
      </w:r>
    </w:p>
    <w:p w14:paraId="21C9EB31">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 xml:space="preserve"> 中小企业参加政府采购活动，应当出具本办法规定的《中小企业声明函》（附 1），否则不得享受相关中小企业扶持政策。任何单位和个人不得要求</w:t>
      </w:r>
      <w:r>
        <w:rPr>
          <w:rFonts w:hint="eastAsia" w:ascii="宋体" w:hAnsi="宋体" w:cs="宋体"/>
          <w:color w:val="000000"/>
          <w:highlight w:val="none"/>
          <w:lang w:eastAsia="zh-CN"/>
        </w:rPr>
        <w:t>投标人</w:t>
      </w:r>
      <w:r>
        <w:rPr>
          <w:rFonts w:hint="eastAsia" w:ascii="宋体" w:hAnsi="宋体" w:cs="宋体"/>
          <w:color w:val="000000"/>
          <w:highlight w:val="none"/>
        </w:rPr>
        <w:t>提供《中小企业声明函》之外的中小企业身份证明文件。</w:t>
      </w:r>
    </w:p>
    <w:p w14:paraId="268E5D9C">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 xml:space="preserve"> 第十二条</w:t>
      </w:r>
    </w:p>
    <w:p w14:paraId="50AD5A8F">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 xml:space="preserve"> 采购项目涉及中小企业采购的，采购文件应当明确以下内容：</w:t>
      </w:r>
    </w:p>
    <w:p w14:paraId="1707701A">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（一）预留份额的采购项目或者采购包，明确该项目或相关采购包专门面向中小企业采购，以及相关标的及预算金额；</w:t>
      </w:r>
    </w:p>
    <w:p w14:paraId="0C98B5C3">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（二）要求以联合体形式参加或者合同分包的，明确联合协议或者分包意向协议中中小企业合同金额应当达到的比例，并作为</w:t>
      </w:r>
      <w:r>
        <w:rPr>
          <w:rFonts w:hint="eastAsia" w:ascii="宋体" w:hAnsi="宋体" w:cs="宋体"/>
          <w:color w:val="000000"/>
          <w:highlight w:val="none"/>
          <w:lang w:eastAsia="zh-CN"/>
        </w:rPr>
        <w:t>投标人</w:t>
      </w:r>
      <w:r>
        <w:rPr>
          <w:rFonts w:hint="eastAsia" w:ascii="宋体" w:hAnsi="宋体" w:cs="宋体"/>
          <w:color w:val="000000"/>
          <w:highlight w:val="none"/>
        </w:rPr>
        <w:t>资格条件；</w:t>
      </w:r>
    </w:p>
    <w:p w14:paraId="24926BFF">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（三）非预留份额的采购项目或者采购包，明确有关价格扣除比例或者价格分加分比例；</w:t>
      </w:r>
    </w:p>
    <w:p w14:paraId="65613D46">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（四）规定依据本办法规定享受扶持政策获得政府采购合同的，小微企业不得将合同分包给大中型企业，中型企业不得将合同分包给大型企业；</w:t>
      </w:r>
    </w:p>
    <w:p w14:paraId="5F565602">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（五）采购人认为具备相关条件的，明确对中小企业在资金支付期限、预付款比例等方面的优惠措施；</w:t>
      </w:r>
    </w:p>
    <w:p w14:paraId="4B0ECB58">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（六）明确采购标的对应的中小企业划分标准所属行业；</w:t>
      </w:r>
    </w:p>
    <w:p w14:paraId="39A356ED">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（七）法律法规和省级以上人民政府财政部门规定的其他事项。</w:t>
      </w:r>
    </w:p>
    <w:p w14:paraId="7CAE2E24">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 xml:space="preserve"> 第十三条</w:t>
      </w:r>
    </w:p>
    <w:p w14:paraId="02ADA71B">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 xml:space="preserve"> 中标、成交</w:t>
      </w:r>
      <w:r>
        <w:rPr>
          <w:rFonts w:hint="eastAsia" w:ascii="宋体" w:hAnsi="宋体" w:cs="宋体"/>
          <w:color w:val="000000"/>
          <w:highlight w:val="none"/>
          <w:lang w:eastAsia="zh-CN"/>
        </w:rPr>
        <w:t>投标人</w:t>
      </w:r>
      <w:r>
        <w:rPr>
          <w:rFonts w:hint="eastAsia" w:ascii="宋体" w:hAnsi="宋体" w:cs="宋体"/>
          <w:color w:val="000000"/>
          <w:highlight w:val="none"/>
        </w:rPr>
        <w:t>享受本办法规定的中小企业扶持政策的，采购人、采购代理机构应当随中标、成交结果公开中标、成交</w:t>
      </w:r>
      <w:r>
        <w:rPr>
          <w:rFonts w:hint="eastAsia" w:ascii="宋体" w:hAnsi="宋体" w:cs="宋体"/>
          <w:color w:val="000000"/>
          <w:highlight w:val="none"/>
          <w:lang w:eastAsia="zh-CN"/>
        </w:rPr>
        <w:t>投标人</w:t>
      </w:r>
      <w:r>
        <w:rPr>
          <w:rFonts w:hint="eastAsia" w:ascii="宋体" w:hAnsi="宋体" w:cs="宋体"/>
          <w:color w:val="000000"/>
          <w:highlight w:val="none"/>
        </w:rPr>
        <w:t>的《中小企业声明函》。适用招标投标法的政府采购工程建设项目，应当在公示中标候选人时公开中标候选人的《中小企业声明函》。</w:t>
      </w:r>
    </w:p>
    <w:p w14:paraId="29B84363">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 xml:space="preserve"> 第十四条</w:t>
      </w:r>
    </w:p>
    <w:p w14:paraId="2BF654BE">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 xml:space="preserve">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498BBB68">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 xml:space="preserve"> 第十五条</w:t>
      </w:r>
    </w:p>
    <w:p w14:paraId="717BFA92">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鼓励各地区、各部门在采购活动中允许中小企业引入信用担保手段，为中小企业在投标（响应）保证、履约保证等方面提供专业化服务。鼓励中小企业依法合规通过政府采购合同融资。</w:t>
      </w:r>
    </w:p>
    <w:p w14:paraId="6F4D55CD">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 xml:space="preserve"> 第十六条</w:t>
      </w:r>
    </w:p>
    <w:p w14:paraId="1860D8D2">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 xml:space="preserve"> 政府采购监督检查、投诉处理及政府采购行政处罚中对中小企业的认定，由货物制造商或者工程、服务</w:t>
      </w:r>
      <w:r>
        <w:rPr>
          <w:rFonts w:hint="eastAsia" w:ascii="宋体" w:hAnsi="宋体" w:cs="宋体"/>
          <w:color w:val="000000"/>
          <w:highlight w:val="none"/>
          <w:lang w:eastAsia="zh-CN"/>
        </w:rPr>
        <w:t>投标人</w:t>
      </w:r>
      <w:r>
        <w:rPr>
          <w:rFonts w:hint="eastAsia" w:ascii="宋体" w:hAnsi="宋体" w:cs="宋体"/>
          <w:color w:val="000000"/>
          <w:highlight w:val="none"/>
        </w:rPr>
        <w:t>注册登记所在地的县级以上人民政府中小企业主管部门负责。中小企业主管部门应当在收到财政部门或者有关招标投标行政监督部门关于协助开展中小企业认定函后 10 个工作日内做出书面答复。</w:t>
      </w:r>
    </w:p>
    <w:p w14:paraId="3FE0B961">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 xml:space="preserve"> 第十七条</w:t>
      </w:r>
    </w:p>
    <w:p w14:paraId="06D839CA">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 xml:space="preserve"> 各地区、各部门应当对涉及中小企业采购的预算项目实施全过程绩效管理，合理设置绩效目标和指标，落实扶持中小企业有关政策要求，定期开展绩效监控和评价，强化绩效评价结果应用。</w:t>
      </w:r>
    </w:p>
    <w:p w14:paraId="2FDBC0A1">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第十八条</w:t>
      </w:r>
    </w:p>
    <w:p w14:paraId="2328F326">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 xml:space="preserve"> 主管预算单位应当自 2022 年起向同级财政部门报告本部门上一年度面向中小企业预留份额和采购的具体情况，并在中国政府采购网公开预留项目执行情况(附2)。未达到本办法规定的预留份额比例的，应当作出说明。</w:t>
      </w:r>
    </w:p>
    <w:p w14:paraId="2A203C12">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 xml:space="preserve"> 第十九条</w:t>
      </w:r>
    </w:p>
    <w:p w14:paraId="5FC2E957">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 xml:space="preserve">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3A50DFA3">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 xml:space="preserve"> 第二十条</w:t>
      </w:r>
    </w:p>
    <w:p w14:paraId="02C28AC9">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lang w:eastAsia="zh-CN"/>
        </w:rPr>
        <w:t>投标人</w:t>
      </w:r>
      <w:r>
        <w:rPr>
          <w:rFonts w:hint="eastAsia" w:ascii="宋体" w:hAnsi="宋体" w:cs="宋体"/>
          <w:color w:val="000000"/>
          <w:highlight w:val="none"/>
        </w:rPr>
        <w:t>按照本办法规定提供声明函内容不实的，属于提供虚假材料谋取中标、成交，依照《中华人民共和国政府采购法》等国家有关规定追究相应责任。适用招标投标法的政府采购工程建设项目，</w:t>
      </w:r>
      <w:r>
        <w:rPr>
          <w:rFonts w:hint="eastAsia" w:ascii="宋体" w:hAnsi="宋体" w:cs="宋体"/>
          <w:color w:val="000000"/>
          <w:highlight w:val="none"/>
          <w:lang w:eastAsia="zh-CN"/>
        </w:rPr>
        <w:t>投标人</w:t>
      </w:r>
      <w:r>
        <w:rPr>
          <w:rFonts w:hint="eastAsia" w:ascii="宋体" w:hAnsi="宋体" w:cs="宋体"/>
          <w:color w:val="000000"/>
          <w:highlight w:val="none"/>
        </w:rPr>
        <w:t>按照本办法规定提供声明函内容不实的，属于弄虚作假骗取中标，依照《中华人民共和国招标投标法》等国家有关规定追究相应责任。</w:t>
      </w:r>
    </w:p>
    <w:p w14:paraId="53A21244">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 xml:space="preserve"> 第二十一条</w:t>
      </w:r>
    </w:p>
    <w:p w14:paraId="17341CC4">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 xml:space="preserve">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w:t>
      </w:r>
    </w:p>
    <w:p w14:paraId="3C4AB8F8">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有关规定追究相应责任；涉嫌犯罪的，依法移送有关国家机关处理。</w:t>
      </w:r>
    </w:p>
    <w:p w14:paraId="6BE21102">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 xml:space="preserve"> 第二十二条</w:t>
      </w:r>
    </w:p>
    <w:p w14:paraId="20245B95">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对外援助项目、国家相关资格或者资质管理制度另有规定的项目，不适用本办法。</w:t>
      </w:r>
    </w:p>
    <w:p w14:paraId="1A27EF13">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第二十三条</w:t>
      </w:r>
    </w:p>
    <w:p w14:paraId="2CECDFD6">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关于视同中小企业的其他主体的政府采购扶持政策，由财政部会同有关部门另行规定。</w:t>
      </w:r>
    </w:p>
    <w:p w14:paraId="028AB240">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 xml:space="preserve"> 第二十四条</w:t>
      </w:r>
    </w:p>
    <w:p w14:paraId="45A50372">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 xml:space="preserve"> 省级财政部门可以会同中小企业主管部门根据本办法的规定制定具体实施办法。</w:t>
      </w:r>
    </w:p>
    <w:p w14:paraId="7A90C424">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 xml:space="preserve"> 第二十五条</w:t>
      </w:r>
    </w:p>
    <w:p w14:paraId="70C3B83B">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 xml:space="preserve"> 本办法自2021 年1月1日起施行。 财政部工业和信息化部关于印发〈政府采购促进中小企业发展暂行办法〉的通知》（财库﹝2011﹞181 号）同时废止。</w:t>
      </w:r>
    </w:p>
    <w:p w14:paraId="40A08751">
      <w:pPr>
        <w:keepNext w:val="0"/>
        <w:keepLines w:val="0"/>
        <w:widowControl/>
        <w:suppressLineNumbers w:val="0"/>
        <w:jc w:val="center"/>
        <w:rPr>
          <w:rFonts w:ascii="宋体" w:hAnsi="宋体" w:eastAsia="宋体" w:cs="宋体"/>
          <w:b/>
          <w:bCs/>
          <w:kern w:val="0"/>
          <w:sz w:val="28"/>
          <w:szCs w:val="28"/>
          <w:lang w:val="en-US" w:eastAsia="zh-CN" w:bidi="ar"/>
        </w:rPr>
      </w:pPr>
      <w:r>
        <w:rPr>
          <w:rFonts w:hint="eastAsia" w:ascii="宋体" w:hAnsi="宋体" w:cs="宋体"/>
          <w:color w:val="000000"/>
          <w:sz w:val="24"/>
          <w:highlight w:val="none"/>
        </w:rPr>
        <w:br w:type="page"/>
      </w:r>
      <w:r>
        <w:rPr>
          <w:rFonts w:ascii="宋体" w:hAnsi="宋体" w:eastAsia="宋体" w:cs="宋体"/>
          <w:b/>
          <w:bCs/>
          <w:kern w:val="0"/>
          <w:sz w:val="32"/>
          <w:szCs w:val="32"/>
          <w:lang w:val="en-US" w:eastAsia="zh-CN" w:bidi="ar"/>
        </w:rPr>
        <w:t>财政部司法部关于政府采购支持监狱企业发展有关问题的通知</w:t>
      </w:r>
    </w:p>
    <w:p w14:paraId="221ED8F0">
      <w:pPr>
        <w:keepNext w:val="0"/>
        <w:keepLines w:val="0"/>
        <w:widowControl/>
        <w:suppressLineNumbers w:val="0"/>
        <w:jc w:val="center"/>
        <w:rPr>
          <w:sz w:val="21"/>
          <w:szCs w:val="21"/>
        </w:rPr>
      </w:pPr>
      <w:r>
        <w:rPr>
          <w:rFonts w:ascii="宋体" w:hAnsi="宋体" w:eastAsia="宋体" w:cs="宋体"/>
          <w:b/>
          <w:bCs/>
          <w:kern w:val="0"/>
          <w:sz w:val="21"/>
          <w:szCs w:val="21"/>
          <w:lang w:val="en-US" w:eastAsia="zh-CN" w:bidi="ar"/>
        </w:rPr>
        <w:t>(财库〔2014〕68号)</w:t>
      </w:r>
    </w:p>
    <w:p w14:paraId="1CA2055E">
      <w:pPr>
        <w:pStyle w:val="17"/>
        <w:keepNext w:val="0"/>
        <w:keepLines w:val="0"/>
        <w:widowControl/>
        <w:suppressLineNumbers w:val="0"/>
        <w:spacing w:line="360" w:lineRule="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6BA864EE">
      <w:pPr>
        <w:pStyle w:val="17"/>
        <w:keepNext w:val="0"/>
        <w:keepLines w:val="0"/>
        <w:widowControl/>
        <w:suppressLineNumbers w:val="0"/>
        <w:spacing w:line="360" w:lineRule="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　　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[2003]7号）文件精神，发挥政府采购支持监狱企业发展的作用，现就有关事项通知如下：</w:t>
      </w:r>
    </w:p>
    <w:p w14:paraId="5D988334">
      <w:pPr>
        <w:pStyle w:val="17"/>
        <w:keepNext w:val="0"/>
        <w:keepLines w:val="0"/>
        <w:widowControl/>
        <w:suppressLineNumbers w:val="0"/>
        <w:spacing w:line="360" w:lineRule="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　　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1B7049A8">
      <w:pPr>
        <w:pStyle w:val="17"/>
        <w:keepNext w:val="0"/>
        <w:keepLines w:val="0"/>
        <w:widowControl/>
        <w:suppressLineNumbers w:val="0"/>
        <w:spacing w:line="360" w:lineRule="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　　二、在政府采购活动中，监狱企业视同小型、微型企业，享受预留份额、评审中价格扣除等政府采购促进中小企业发展的政府采购政策。向监狱企业采购的金额，计入面向中小企业采购的统计数据。</w:t>
      </w:r>
    </w:p>
    <w:p w14:paraId="07A75510">
      <w:pPr>
        <w:pStyle w:val="17"/>
        <w:keepNext w:val="0"/>
        <w:keepLines w:val="0"/>
        <w:widowControl/>
        <w:suppressLineNumbers w:val="0"/>
        <w:spacing w:line="360" w:lineRule="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　　三、各地区、各部门要积极通过预留采购份额支持监狱企业。有制服采购项目的部门，应加强对政府采购预算和计划编制工作的统筹，预留本部门制服采购项目预算总额的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393C8F66">
      <w:pPr>
        <w:pStyle w:val="17"/>
        <w:keepNext w:val="0"/>
        <w:keepLines w:val="0"/>
        <w:widowControl/>
        <w:suppressLineNumbers w:val="0"/>
        <w:spacing w:line="360" w:lineRule="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　　四、各地区可以结合本地区实际，对监狱企业生产的办公用品、家具用具、车辆维修和提供的保养服务、消防设备等，提出预留份额等政府采购支持措施，加大对监狱企业产品的采购力度。</w:t>
      </w:r>
    </w:p>
    <w:p w14:paraId="10ACDD8B">
      <w:pPr>
        <w:pStyle w:val="17"/>
        <w:keepNext w:val="0"/>
        <w:keepLines w:val="0"/>
        <w:widowControl/>
        <w:suppressLineNumbers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　　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7DE9FE70">
      <w:pPr>
        <w:pStyle w:val="17"/>
        <w:keepNext w:val="0"/>
        <w:keepLines w:val="0"/>
        <w:widowControl/>
        <w:suppressLineNumbers w:val="0"/>
        <w:jc w:val="righ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中华人民共和国财政部</w:t>
      </w:r>
    </w:p>
    <w:p w14:paraId="3204F2CD">
      <w:pPr>
        <w:pStyle w:val="17"/>
        <w:keepNext w:val="0"/>
        <w:keepLines w:val="0"/>
        <w:widowControl/>
        <w:suppressLineNumbers w:val="0"/>
        <w:jc w:val="righ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中华人民共和国司法部</w:t>
      </w:r>
    </w:p>
    <w:p w14:paraId="4048E152">
      <w:pPr>
        <w:snapToGrid w:val="0"/>
        <w:spacing w:line="360" w:lineRule="auto"/>
        <w:jc w:val="right"/>
        <w:rPr>
          <w:rFonts w:hint="eastAsia" w:ascii="宋体" w:cs="宋体"/>
          <w:b/>
          <w:bCs/>
          <w:color w:val="000000"/>
          <w:kern w:val="0"/>
          <w:highlight w:val="none"/>
        </w:rPr>
      </w:pPr>
      <w:r>
        <w:rPr>
          <w:rFonts w:hint="eastAsia" w:ascii="宋体" w:hAnsi="宋体" w:eastAsia="宋体" w:cs="宋体"/>
          <w:color w:val="auto"/>
          <w:sz w:val="21"/>
          <w:szCs w:val="21"/>
        </w:rPr>
        <w:t>2014年6月10日</w:t>
      </w:r>
      <w:r>
        <w:rPr>
          <w:rFonts w:hint="eastAsia" w:ascii="宋体" w:hAnsi="宋体" w:cs="宋体"/>
          <w:color w:val="000000"/>
          <w:sz w:val="20"/>
          <w:highlight w:val="none"/>
        </w:rPr>
        <w:br w:type="page"/>
      </w:r>
    </w:p>
    <w:p w14:paraId="0CEE2CA7">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kern w:val="0"/>
          <w:sz w:val="32"/>
          <w:szCs w:val="32"/>
          <w:highlight w:val="none"/>
        </w:rPr>
        <w:t>《统计上大中小微型企业划分办法（2017）》修订说明</w:t>
      </w:r>
    </w:p>
    <w:p w14:paraId="30939F1D">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一、修订背景</w:t>
      </w:r>
    </w:p>
    <w:p w14:paraId="301303C7">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 4754—2011），制定并颁布的。</w:t>
      </w:r>
    </w:p>
    <w:p w14:paraId="5A6A98A0">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2017年6月30日，《国民经济行业分类》（GB/T 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67009A6E">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二、修订主要内容</w:t>
      </w:r>
    </w:p>
    <w:p w14:paraId="301BE2C8">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本次修订是在2011年《统计上大中小微型企业划分办法》基础上进行的，修订延续原有的分类原则、方法和结构框架，在保持适用范围不变的情况下,依据标准由《国民经济行业分类》（GB/T 4754—2011）修改为《国民经济行业分类》（GB/T 4754—2017），并根据新旧国民经济行业的对应关系，进行了行业所包含类别的对应调整。</w:t>
      </w:r>
    </w:p>
    <w:p w14:paraId="4F5E1F83">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将交通运输业中包括的“装卸搬运和运输代理业”修改为“多式联运和运输代理业、装卸搬运”。</w:t>
      </w:r>
    </w:p>
    <w:p w14:paraId="68C2A493">
      <w:pPr>
        <w:spacing w:line="360" w:lineRule="auto"/>
        <w:ind w:firstLine="452" w:firstLineChars="200"/>
        <w:rPr>
          <w:rFonts w:hint="eastAsia" w:ascii="宋体" w:hAnsi="宋体" w:eastAsia="宋体" w:cs="宋体"/>
          <w:color w:val="000000"/>
          <w:sz w:val="21"/>
          <w:szCs w:val="21"/>
          <w:highlight w:val="none"/>
        </w:rPr>
      </w:pPr>
      <w:r>
        <w:rPr>
          <w:rFonts w:hint="eastAsia" w:ascii="宋体" w:hAnsi="宋体" w:eastAsia="宋体" w:cs="宋体"/>
          <w:color w:val="000000"/>
          <w:spacing w:val="8"/>
          <w:kern w:val="0"/>
          <w:sz w:val="21"/>
          <w:szCs w:val="21"/>
          <w:highlight w:val="none"/>
        </w:rPr>
        <w:t>仓储业所包括的行业中类，根据《国民经济行业分类》</w:t>
      </w:r>
      <w:r>
        <w:rPr>
          <w:rFonts w:hint="eastAsia" w:ascii="宋体" w:hAnsi="宋体" w:eastAsia="宋体" w:cs="宋体"/>
          <w:color w:val="000000"/>
          <w:sz w:val="21"/>
          <w:szCs w:val="21"/>
          <w:highlight w:val="none"/>
        </w:rPr>
        <w:t>（GB/T 4754—2017）</w:t>
      </w:r>
      <w:r>
        <w:rPr>
          <w:rFonts w:hint="eastAsia" w:ascii="宋体" w:hAnsi="宋体" w:eastAsia="宋体" w:cs="宋体"/>
          <w:color w:val="000000"/>
          <w:spacing w:val="8"/>
          <w:kern w:val="0"/>
          <w:sz w:val="21"/>
          <w:szCs w:val="21"/>
          <w:highlight w:val="none"/>
        </w:rPr>
        <w:t>调整为“通用仓储，低温仓储，危险品仓储，谷物、棉花等农产品仓储，中药材仓储和其他仓储业”。</w:t>
      </w:r>
    </w:p>
    <w:p w14:paraId="29D483F7">
      <w:pPr>
        <w:spacing w:line="360" w:lineRule="auto"/>
        <w:jc w:val="center"/>
        <w:rPr>
          <w:rFonts w:hint="eastAsia" w:ascii="宋体" w:hAnsi="Courier New" w:eastAsia="黑体" w:cs="Century"/>
          <w:b/>
          <w:bCs/>
          <w:color w:val="auto"/>
          <w:sz w:val="36"/>
          <w:szCs w:val="36"/>
          <w:highlight w:val="none"/>
          <w:lang w:val="zh-CN"/>
        </w:rPr>
      </w:pPr>
    </w:p>
    <w:p w14:paraId="1DD494BF">
      <w:pPr>
        <w:pStyle w:val="20"/>
        <w:tabs>
          <w:tab w:val="left" w:pos="360"/>
        </w:tabs>
        <w:spacing w:line="360" w:lineRule="auto"/>
        <w:ind w:left="0" w:leftChars="0" w:firstLine="0" w:firstLineChars="0"/>
        <w:rPr>
          <w:rFonts w:hint="eastAsia" w:ascii="宋体" w:hAnsi="Courier New" w:eastAsia="黑体" w:cs="Century"/>
          <w:b/>
          <w:bCs/>
          <w:color w:val="auto"/>
          <w:sz w:val="36"/>
          <w:szCs w:val="36"/>
          <w:highlight w:val="none"/>
          <w:lang w:val="zh-CN"/>
        </w:rPr>
      </w:pPr>
    </w:p>
    <w:p w14:paraId="5F2E7EEF">
      <w:pPr>
        <w:pStyle w:val="20"/>
        <w:tabs>
          <w:tab w:val="left" w:pos="360"/>
        </w:tabs>
        <w:spacing w:line="360" w:lineRule="auto"/>
        <w:ind w:left="0" w:leftChars="0" w:firstLine="0" w:firstLineChars="0"/>
        <w:rPr>
          <w:rFonts w:hint="eastAsia" w:ascii="宋体" w:hAnsi="Courier New" w:eastAsia="黑体" w:cs="Century"/>
          <w:b/>
          <w:bCs/>
          <w:color w:val="auto"/>
          <w:sz w:val="36"/>
          <w:szCs w:val="36"/>
          <w:highlight w:val="none"/>
          <w:lang w:val="zh-CN"/>
        </w:rPr>
      </w:pPr>
    </w:p>
    <w:p w14:paraId="27924AC4">
      <w:pPr>
        <w:pStyle w:val="20"/>
        <w:tabs>
          <w:tab w:val="left" w:pos="360"/>
        </w:tabs>
        <w:spacing w:line="360" w:lineRule="auto"/>
        <w:ind w:left="0" w:leftChars="0" w:firstLine="0" w:firstLineChars="0"/>
        <w:rPr>
          <w:rFonts w:hint="eastAsia" w:ascii="宋体" w:hAnsi="Courier New" w:eastAsia="黑体" w:cs="Century"/>
          <w:b/>
          <w:bCs/>
          <w:color w:val="auto"/>
          <w:sz w:val="36"/>
          <w:szCs w:val="36"/>
          <w:highlight w:val="none"/>
          <w:lang w:val="zh-CN"/>
        </w:rPr>
      </w:pPr>
    </w:p>
    <w:p w14:paraId="6237AF18">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br w:type="page"/>
      </w:r>
    </w:p>
    <w:p w14:paraId="7C7A22CC">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sz w:val="32"/>
          <w:szCs w:val="32"/>
          <w:highlight w:val="none"/>
          <w:lang w:val="en-US" w:eastAsia="zh-CN"/>
        </w:rPr>
      </w:pPr>
      <w:r>
        <w:rPr>
          <w:rFonts w:hint="eastAsia" w:ascii="宋体" w:hAnsi="宋体" w:eastAsia="宋体" w:cs="宋体"/>
          <w:b/>
          <w:bCs/>
          <w:sz w:val="32"/>
          <w:szCs w:val="32"/>
          <w:highlight w:val="none"/>
          <w:lang w:val="en-US" w:eastAsia="zh-CN"/>
        </w:rPr>
        <w:t>《中小企业划型标准规定（修订征求意见稿）》</w:t>
      </w:r>
    </w:p>
    <w:p w14:paraId="23D06EA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sz w:val="21"/>
          <w:szCs w:val="21"/>
          <w:highlight w:val="none"/>
        </w:rPr>
      </w:pPr>
    </w:p>
    <w:p w14:paraId="435BB43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一、根据《中华人民共和国中小企业促进法》和国民经济社会发展需要，制定本规定。</w:t>
      </w:r>
    </w:p>
    <w:p w14:paraId="5D29097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二、中小企业划分为中型、小型、微型三种类型，具体标准根据企业从业人员、营业收入、资产总额等指标以及企业控股</w:t>
      </w:r>
      <w:r>
        <w:rPr>
          <w:rFonts w:hint="eastAsia" w:ascii="宋体" w:hAnsi="宋体" w:eastAsia="宋体" w:cs="宋体"/>
          <w:sz w:val="21"/>
          <w:szCs w:val="21"/>
          <w:highlight w:val="none"/>
          <w:lang w:eastAsia="zh-CN"/>
        </w:rPr>
        <w:t>等</w:t>
      </w:r>
      <w:r>
        <w:rPr>
          <w:rFonts w:hint="eastAsia" w:ascii="宋体" w:hAnsi="宋体" w:eastAsia="宋体" w:cs="宋体"/>
          <w:sz w:val="21"/>
          <w:szCs w:val="21"/>
          <w:highlight w:val="none"/>
        </w:rPr>
        <w:t>情况，结合行业特点制定。</w:t>
      </w:r>
    </w:p>
    <w:p w14:paraId="70C2679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三、本规定适用于《国民经济行业分类》中的以下行业：农、林、牧、渔业，采矿业，制造业，电力、热力、燃气及水生产和供应业，建筑业，批发</w:t>
      </w:r>
      <w:r>
        <w:rPr>
          <w:rFonts w:hint="eastAsia" w:ascii="宋体" w:hAnsi="宋体" w:eastAsia="宋体" w:cs="宋体"/>
          <w:sz w:val="21"/>
          <w:szCs w:val="21"/>
          <w:highlight w:val="none"/>
          <w:lang w:eastAsia="zh-CN"/>
        </w:rPr>
        <w:t>和</w:t>
      </w:r>
      <w:r>
        <w:rPr>
          <w:rFonts w:hint="eastAsia" w:ascii="宋体" w:hAnsi="宋体" w:eastAsia="宋体" w:cs="宋体"/>
          <w:sz w:val="21"/>
          <w:szCs w:val="21"/>
          <w:highlight w:val="none"/>
        </w:rPr>
        <w:t>零售业，交通运输、仓储和邮政业，住宿和餐饮业，信息传输、软件和信息技术服务业，房地产业，租赁和商务服务业，科学研究和技术服务业，水利、环境和公共设施管理业，居民服务、修理和其他服务业，教育，卫生和社会工作，文化、体育和娱乐业。</w:t>
      </w:r>
    </w:p>
    <w:p w14:paraId="787C504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四、各行业中小企业划型定量标准为：</w:t>
      </w:r>
    </w:p>
    <w:p w14:paraId="1B97BE8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（一）农、林、牧、渔业。营业收入2亿元以下的为中小微型企业。其中：营业收入300万元以下的为微型企业；营业收入3000万元以下的为小型企业；营业收入2亿元以下的为中型企业。</w:t>
      </w:r>
    </w:p>
    <w:p w14:paraId="430B92E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（二）工业</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采矿业，制造业，电力、热力、燃气及水生产和供应业</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交通运输、仓储和邮政业。从业人员1000人以下且营业收入20亿元以下的为中小微型企业。其中：从业人员20人以下且营业收入2000万元以下的为微型企业；从业人员300人以下且营业收入2亿元以下的为小型企业；从业人员1000人以下且营业收入20亿元以下的为中型企业。</w:t>
      </w:r>
    </w:p>
    <w:p w14:paraId="5E5A7CE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三）建筑业，组织管理服务。营业收入8亿元以下且资产总额10亿元以下的为中小微型企业。其中：营业收入800万元以下且资产总额1000万元以下的为微型企业；营业收入8000万元以下且资产总额1亿元以下的为小型企业；营业收入8亿元以下且资产总额10亿元以下的为中型企业。</w:t>
      </w:r>
    </w:p>
    <w:p w14:paraId="117B3A8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四）批发业。从业人员200人以下且营业收入20亿元以下的为中小微型企业。其中：从业人员5人以下且营业收入2000万元以下的为微型企业；从业人员20人以下且营业收入2亿元以下的为小型企业；从业人员200人以下且营业收入20亿元以下的为中型企业。</w:t>
      </w:r>
    </w:p>
    <w:p w14:paraId="1F4D2AC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（五）零售业。从业人员300人以下且营业收入5亿元以下的为中小微型企业。其中：从业人员10人以下且营业收入500万元以下的为微型企业；从业人员50人</w:t>
      </w:r>
      <w:r>
        <w:rPr>
          <w:rFonts w:hint="eastAsia" w:ascii="宋体" w:hAnsi="宋体" w:eastAsia="宋体" w:cs="宋体"/>
          <w:sz w:val="21"/>
          <w:szCs w:val="21"/>
          <w:highlight w:val="none"/>
          <w:lang w:eastAsia="zh-CN"/>
        </w:rPr>
        <w:t>以下</w:t>
      </w:r>
      <w:r>
        <w:rPr>
          <w:rFonts w:hint="eastAsia" w:ascii="宋体" w:hAnsi="宋体" w:eastAsia="宋体" w:cs="宋体"/>
          <w:sz w:val="21"/>
          <w:szCs w:val="21"/>
          <w:highlight w:val="none"/>
        </w:rPr>
        <w:t>且营业收入5000万元</w:t>
      </w:r>
      <w:r>
        <w:rPr>
          <w:rFonts w:hint="eastAsia" w:ascii="宋体" w:hAnsi="宋体" w:eastAsia="宋体" w:cs="宋体"/>
          <w:sz w:val="21"/>
          <w:szCs w:val="21"/>
          <w:highlight w:val="none"/>
          <w:lang w:eastAsia="zh-CN"/>
        </w:rPr>
        <w:t>以下</w:t>
      </w:r>
      <w:r>
        <w:rPr>
          <w:rFonts w:hint="eastAsia" w:ascii="宋体" w:hAnsi="宋体" w:eastAsia="宋体" w:cs="宋体"/>
          <w:sz w:val="21"/>
          <w:szCs w:val="21"/>
          <w:highlight w:val="none"/>
        </w:rPr>
        <w:t>的为小型企业；从业人员300人</w:t>
      </w:r>
      <w:r>
        <w:rPr>
          <w:rFonts w:hint="eastAsia" w:ascii="宋体" w:hAnsi="宋体" w:eastAsia="宋体" w:cs="宋体"/>
          <w:sz w:val="21"/>
          <w:szCs w:val="21"/>
          <w:highlight w:val="none"/>
          <w:lang w:eastAsia="zh-CN"/>
        </w:rPr>
        <w:t>以下</w:t>
      </w:r>
      <w:r>
        <w:rPr>
          <w:rFonts w:hint="eastAsia" w:ascii="宋体" w:hAnsi="宋体" w:eastAsia="宋体" w:cs="宋体"/>
          <w:sz w:val="21"/>
          <w:szCs w:val="21"/>
          <w:highlight w:val="none"/>
        </w:rPr>
        <w:t>且营业收入5亿元</w:t>
      </w:r>
      <w:r>
        <w:rPr>
          <w:rFonts w:hint="eastAsia" w:ascii="宋体" w:hAnsi="宋体" w:eastAsia="宋体" w:cs="宋体"/>
          <w:sz w:val="21"/>
          <w:szCs w:val="21"/>
          <w:highlight w:val="none"/>
          <w:lang w:eastAsia="zh-CN"/>
        </w:rPr>
        <w:t>以下</w:t>
      </w:r>
      <w:r>
        <w:rPr>
          <w:rFonts w:hint="eastAsia" w:ascii="宋体" w:hAnsi="宋体" w:eastAsia="宋体" w:cs="宋体"/>
          <w:sz w:val="21"/>
          <w:szCs w:val="21"/>
          <w:highlight w:val="none"/>
        </w:rPr>
        <w:t>的为中型企业。</w:t>
      </w:r>
    </w:p>
    <w:p w14:paraId="2983B55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六）住宿和餐饮业。从业人员300人以下且营业收入4亿元以下的为中小微型企业。其中：从业人员10人以下且营业收入200万元以下的为微型企业；从业人员100人以下且营业收入4000万元以下的为小型企业；从业人员300人以下且营业收入4亿元以下的为中型企业。</w:t>
      </w:r>
    </w:p>
    <w:p w14:paraId="2BBB848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（七）信息传输、软件和信息技术服务业。从业人员500人</w:t>
      </w:r>
      <w:r>
        <w:rPr>
          <w:rFonts w:hint="eastAsia" w:ascii="宋体" w:hAnsi="宋体" w:eastAsia="宋体" w:cs="宋体"/>
          <w:sz w:val="21"/>
          <w:szCs w:val="21"/>
          <w:highlight w:val="none"/>
          <w:lang w:eastAsia="zh-CN"/>
        </w:rPr>
        <w:t>以下</w:t>
      </w:r>
      <w:r>
        <w:rPr>
          <w:rFonts w:hint="eastAsia" w:ascii="宋体" w:hAnsi="宋体" w:eastAsia="宋体" w:cs="宋体"/>
          <w:sz w:val="21"/>
          <w:szCs w:val="21"/>
          <w:highlight w:val="none"/>
        </w:rPr>
        <w:t>且营业收入10亿元</w:t>
      </w:r>
      <w:r>
        <w:rPr>
          <w:rFonts w:hint="eastAsia" w:ascii="宋体" w:hAnsi="宋体" w:eastAsia="宋体" w:cs="宋体"/>
          <w:sz w:val="21"/>
          <w:szCs w:val="21"/>
          <w:highlight w:val="none"/>
          <w:lang w:eastAsia="zh-CN"/>
        </w:rPr>
        <w:t>以下</w:t>
      </w:r>
      <w:r>
        <w:rPr>
          <w:rFonts w:hint="eastAsia" w:ascii="宋体" w:hAnsi="宋体" w:eastAsia="宋体" w:cs="宋体"/>
          <w:sz w:val="21"/>
          <w:szCs w:val="21"/>
          <w:highlight w:val="none"/>
        </w:rPr>
        <w:t>的为中小微型企业。其中：从业人员10人</w:t>
      </w:r>
      <w:r>
        <w:rPr>
          <w:rFonts w:hint="eastAsia" w:ascii="宋体" w:hAnsi="宋体" w:eastAsia="宋体" w:cs="宋体"/>
          <w:sz w:val="21"/>
          <w:szCs w:val="21"/>
          <w:highlight w:val="none"/>
          <w:lang w:eastAsia="zh-CN"/>
        </w:rPr>
        <w:t>以下</w:t>
      </w:r>
      <w:r>
        <w:rPr>
          <w:rFonts w:hint="eastAsia" w:ascii="宋体" w:hAnsi="宋体" w:eastAsia="宋体" w:cs="宋体"/>
          <w:sz w:val="21"/>
          <w:szCs w:val="21"/>
          <w:highlight w:val="none"/>
        </w:rPr>
        <w:t>且营业收入1000万元</w:t>
      </w:r>
      <w:r>
        <w:rPr>
          <w:rFonts w:hint="eastAsia" w:ascii="宋体" w:hAnsi="宋体" w:eastAsia="宋体" w:cs="宋体"/>
          <w:sz w:val="21"/>
          <w:szCs w:val="21"/>
          <w:highlight w:val="none"/>
          <w:lang w:eastAsia="zh-CN"/>
        </w:rPr>
        <w:t>以下</w:t>
      </w:r>
      <w:r>
        <w:rPr>
          <w:rFonts w:hint="eastAsia" w:ascii="宋体" w:hAnsi="宋体" w:eastAsia="宋体" w:cs="宋体"/>
          <w:sz w:val="21"/>
          <w:szCs w:val="21"/>
          <w:highlight w:val="none"/>
        </w:rPr>
        <w:t>的为微型企业；从业人员100人</w:t>
      </w:r>
      <w:r>
        <w:rPr>
          <w:rFonts w:hint="eastAsia" w:ascii="宋体" w:hAnsi="宋体" w:eastAsia="宋体" w:cs="宋体"/>
          <w:sz w:val="21"/>
          <w:szCs w:val="21"/>
          <w:highlight w:val="none"/>
          <w:lang w:eastAsia="zh-CN"/>
        </w:rPr>
        <w:t>以下</w:t>
      </w:r>
      <w:r>
        <w:rPr>
          <w:rFonts w:hint="eastAsia" w:ascii="宋体" w:hAnsi="宋体" w:eastAsia="宋体" w:cs="宋体"/>
          <w:sz w:val="21"/>
          <w:szCs w:val="21"/>
          <w:highlight w:val="none"/>
        </w:rPr>
        <w:t>且营业收入1亿元</w:t>
      </w:r>
      <w:r>
        <w:rPr>
          <w:rFonts w:hint="eastAsia" w:ascii="宋体" w:hAnsi="宋体" w:eastAsia="宋体" w:cs="宋体"/>
          <w:sz w:val="21"/>
          <w:szCs w:val="21"/>
          <w:highlight w:val="none"/>
          <w:lang w:eastAsia="zh-CN"/>
        </w:rPr>
        <w:t>以下</w:t>
      </w:r>
      <w:r>
        <w:rPr>
          <w:rFonts w:hint="eastAsia" w:ascii="宋体" w:hAnsi="宋体" w:eastAsia="宋体" w:cs="宋体"/>
          <w:sz w:val="21"/>
          <w:szCs w:val="21"/>
          <w:highlight w:val="none"/>
        </w:rPr>
        <w:t>的为小型企业；从业人员500人</w:t>
      </w:r>
      <w:r>
        <w:rPr>
          <w:rFonts w:hint="eastAsia" w:ascii="宋体" w:hAnsi="宋体" w:eastAsia="宋体" w:cs="宋体"/>
          <w:sz w:val="21"/>
          <w:szCs w:val="21"/>
          <w:highlight w:val="none"/>
          <w:lang w:eastAsia="zh-CN"/>
        </w:rPr>
        <w:t>以下</w:t>
      </w:r>
      <w:r>
        <w:rPr>
          <w:rFonts w:hint="eastAsia" w:ascii="宋体" w:hAnsi="宋体" w:eastAsia="宋体" w:cs="宋体"/>
          <w:sz w:val="21"/>
          <w:szCs w:val="21"/>
          <w:highlight w:val="none"/>
        </w:rPr>
        <w:t>且营业收入10亿元</w:t>
      </w:r>
      <w:r>
        <w:rPr>
          <w:rFonts w:hint="eastAsia" w:ascii="宋体" w:hAnsi="宋体" w:eastAsia="宋体" w:cs="宋体"/>
          <w:sz w:val="21"/>
          <w:szCs w:val="21"/>
          <w:highlight w:val="none"/>
          <w:lang w:eastAsia="zh-CN"/>
        </w:rPr>
        <w:t>以下</w:t>
      </w:r>
      <w:r>
        <w:rPr>
          <w:rFonts w:hint="eastAsia" w:ascii="宋体" w:hAnsi="宋体" w:eastAsia="宋体" w:cs="宋体"/>
          <w:sz w:val="21"/>
          <w:szCs w:val="21"/>
          <w:highlight w:val="none"/>
        </w:rPr>
        <w:t>的为中型企业。</w:t>
      </w:r>
    </w:p>
    <w:p w14:paraId="4F54C06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八）房地产开发经营。营业收入10亿元以下且资产总额50亿元以下的为中小微型企业。其中：营业收入1000万元以下且资产总额5000万元以下的为微型企业；营业收入1亿元以下且资产总额5亿元以下的为小型企业；营业收入10亿元以下且资产总额50亿元以下的为中型企业。</w:t>
      </w:r>
    </w:p>
    <w:p w14:paraId="4BB6AB9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九）房地产业（不含房地产开发经营），租赁和商务服务业（不含组织管理服务），科学研究和技术服务业，水利、环境和公共设施管理业，居民服务、修理和其他服务业，教育，卫生和社会工作，文化、体育和娱乐业。从业人员300人以下且营业收入5亿元以下的为中小微型企业。其中：从业人员10人以下且营业收入500万元以下的为微型企业；从业人员100人以下且营业收入5000万元以下的为小型企业；从业人员300人以下且营业收入5亿元以下的为中型企业。</w:t>
      </w:r>
    </w:p>
    <w:p w14:paraId="6E069CD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五</w:t>
      </w:r>
      <w:r>
        <w:rPr>
          <w:rFonts w:hint="eastAsia" w:ascii="宋体" w:hAnsi="宋体" w:eastAsia="宋体" w:cs="宋体"/>
          <w:sz w:val="21"/>
          <w:szCs w:val="21"/>
          <w:highlight w:val="none"/>
        </w:rPr>
        <w:t>、企业规模类型划分以企业有关指标上年度数据为定量依据。</w:t>
      </w:r>
    </w:p>
    <w:p w14:paraId="786308C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没有上年度完整数据的企业规模类型划分，从业人员、资产总额以划型时的数据为定量依据，营业收入按照以下公式计算：</w:t>
      </w:r>
    </w:p>
    <w:p w14:paraId="5DA9A51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营业收入（年）=企业实际存续期间营业收入/企业实际存续月数*12。</w:t>
      </w:r>
    </w:p>
    <w:p w14:paraId="3F5795A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六</w:t>
      </w:r>
      <w:r>
        <w:rPr>
          <w:rFonts w:hint="eastAsia" w:ascii="宋体" w:hAnsi="宋体" w:eastAsia="宋体" w:cs="宋体"/>
          <w:sz w:val="21"/>
          <w:szCs w:val="21"/>
          <w:highlight w:val="none"/>
        </w:rPr>
        <w:t>、不符合中小企业划型定量标准的企业即为大型企业。国家统计部门据此制定大中小微型企业的统计分类。</w:t>
      </w:r>
    </w:p>
    <w:p w14:paraId="1FA09AC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七</w:t>
      </w:r>
      <w:r>
        <w:rPr>
          <w:rFonts w:hint="eastAsia" w:ascii="宋体" w:hAnsi="宋体" w:eastAsia="宋体" w:cs="宋体"/>
          <w:sz w:val="21"/>
          <w:szCs w:val="21"/>
          <w:highlight w:val="none"/>
        </w:rPr>
        <w:t>、本规定适用于在中华人民共和国境内依法设立的企业，企业的分支机构除外。</w:t>
      </w:r>
    </w:p>
    <w:p w14:paraId="0D0AC0C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符合中小企业划型定量标准，但有下列情形之一的，视同大型企业：</w:t>
      </w:r>
    </w:p>
    <w:p w14:paraId="4C2084C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（一）</w:t>
      </w:r>
      <w:r>
        <w:rPr>
          <w:rFonts w:hint="eastAsia" w:ascii="宋体" w:hAnsi="宋体" w:eastAsia="宋体" w:cs="宋体"/>
          <w:sz w:val="21"/>
          <w:szCs w:val="21"/>
          <w:highlight w:val="none"/>
          <w:lang w:eastAsia="zh-CN"/>
        </w:rPr>
        <w:t>单个</w:t>
      </w:r>
      <w:r>
        <w:rPr>
          <w:rFonts w:hint="eastAsia" w:ascii="宋体" w:hAnsi="宋体" w:eastAsia="宋体" w:cs="宋体"/>
          <w:sz w:val="21"/>
          <w:szCs w:val="21"/>
          <w:highlight w:val="none"/>
        </w:rPr>
        <w:t>大型企业或大型企业全资子公司直接控股超过50%的企业；</w:t>
      </w:r>
    </w:p>
    <w:p w14:paraId="7CF23AD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eastAsia="zh-CN"/>
        </w:rPr>
        <w:t>二</w:t>
      </w:r>
      <w:r>
        <w:rPr>
          <w:rFonts w:hint="eastAsia" w:ascii="宋体" w:hAnsi="宋体" w:eastAsia="宋体" w:cs="宋体"/>
          <w:sz w:val="21"/>
          <w:szCs w:val="21"/>
          <w:highlight w:val="none"/>
        </w:rPr>
        <w:t>）</w:t>
      </w:r>
      <w:r>
        <w:rPr>
          <w:rFonts w:hint="eastAsia" w:ascii="宋体" w:hAnsi="宋体" w:eastAsia="宋体" w:cs="宋体"/>
          <w:sz w:val="21"/>
          <w:szCs w:val="21"/>
          <w:highlight w:val="none"/>
          <w:lang w:eastAsia="zh-CN"/>
        </w:rPr>
        <w:t>两个以上</w:t>
      </w:r>
      <w:r>
        <w:rPr>
          <w:rFonts w:hint="eastAsia" w:ascii="宋体" w:hAnsi="宋体" w:eastAsia="宋体" w:cs="宋体"/>
          <w:sz w:val="21"/>
          <w:szCs w:val="21"/>
          <w:highlight w:val="none"/>
        </w:rPr>
        <w:t>大型企业或大型企业全资子公司直接控股超过50%的企业；</w:t>
      </w:r>
    </w:p>
    <w:p w14:paraId="329EC54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eastAsia="zh-CN"/>
        </w:rPr>
        <w:t>三</w:t>
      </w:r>
      <w:r>
        <w:rPr>
          <w:rFonts w:hint="eastAsia" w:ascii="宋体" w:hAnsi="宋体" w:eastAsia="宋体" w:cs="宋体"/>
          <w:sz w:val="21"/>
          <w:szCs w:val="21"/>
          <w:highlight w:val="none"/>
        </w:rPr>
        <w:t>）与大型企业或大型企业全资子公司的法定代表人为同一人的企业。</w:t>
      </w:r>
    </w:p>
    <w:p w14:paraId="55742FE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八</w:t>
      </w:r>
      <w:r>
        <w:rPr>
          <w:rFonts w:hint="eastAsia" w:ascii="宋体" w:hAnsi="宋体" w:eastAsia="宋体" w:cs="宋体"/>
          <w:sz w:val="21"/>
          <w:szCs w:val="21"/>
          <w:highlight w:val="none"/>
        </w:rPr>
        <w:t>、企业规模类型采用自我声明的方式，企业对自我声明内容的真实性负责。</w:t>
      </w:r>
    </w:p>
    <w:p w14:paraId="760E818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在监督检查、投诉处理中对中小企业规模类型有争议的，有关部门可以向有争议的企业登记所在地同级负责中小企业促进工作综合管理部门书面提请认定。</w:t>
      </w:r>
    </w:p>
    <w:p w14:paraId="34DDAC7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九、本规定由国务院负责中小企业促进工作综合管理部门、国家统计部门会同有关部门根据经济社会发展情况，每5年定期评估，根据评估情况适时修订。</w:t>
      </w:r>
    </w:p>
    <w:p w14:paraId="6E2B09F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十、本规定由国务院负责中小企业促进工作综合管理部门、国家统计部门会同有关部门负责解释。各部门各地区不得制定与本规定不一致的中小企业划型标准。</w:t>
      </w:r>
    </w:p>
    <w:p w14:paraId="18D33A5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十一、个体工商户参照本规定进行划型。</w:t>
      </w:r>
    </w:p>
    <w:p w14:paraId="5850633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十二、本规定自发布之日起执行，工业和信息化部、国家统计局、国家发展和改革委员会、财政部2011年颁布的《中小企业划型标准规定》同时废止。</w:t>
      </w:r>
    </w:p>
    <w:p w14:paraId="6956D5AA">
      <w:pPr>
        <w:pStyle w:val="7"/>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outlineLvl w:val="9"/>
        <w:rPr>
          <w:rFonts w:hint="eastAsia" w:ascii="宋体" w:hAnsi="宋体" w:eastAsia="宋体" w:cs="宋体"/>
          <w:sz w:val="21"/>
          <w:szCs w:val="21"/>
          <w:highlight w:val="none"/>
          <w:lang w:val="en-US" w:eastAsia="zh-CN"/>
        </w:rPr>
      </w:pPr>
    </w:p>
    <w:p w14:paraId="007A19C9">
      <w:pPr>
        <w:jc w:val="center"/>
        <w:rPr>
          <w:rFonts w:hint="eastAsia" w:ascii="宋体" w:hAnsi="宋体" w:eastAsia="宋体" w:cs="宋体"/>
          <w:b/>
          <w:bCs/>
          <w:sz w:val="32"/>
          <w:szCs w:val="32"/>
          <w:highlight w:val="none"/>
          <w:lang w:eastAsia="zh-CN"/>
        </w:rPr>
      </w:pPr>
      <w:r>
        <w:rPr>
          <w:rFonts w:hint="eastAsia" w:ascii="宋体" w:hAnsi="宋体" w:eastAsia="宋体" w:cs="宋体"/>
          <w:b/>
          <w:bCs/>
          <w:sz w:val="32"/>
          <w:szCs w:val="32"/>
          <w:highlight w:val="none"/>
        </w:rPr>
        <w:t>关于《中小企业划型标准规定</w:t>
      </w:r>
      <w:r>
        <w:rPr>
          <w:rFonts w:hint="eastAsia" w:ascii="宋体" w:hAnsi="宋体" w:eastAsia="宋体" w:cs="宋体"/>
          <w:b/>
          <w:bCs/>
          <w:sz w:val="32"/>
          <w:szCs w:val="32"/>
          <w:highlight w:val="none"/>
          <w:lang w:eastAsia="zh-CN"/>
        </w:rPr>
        <w:t>》修订情况的说明</w:t>
      </w:r>
    </w:p>
    <w:p w14:paraId="442EFD36">
      <w:pPr>
        <w:keepNext w:val="0"/>
        <w:keepLines w:val="0"/>
        <w:pageBreakBefore w:val="0"/>
        <w:widowControl w:val="0"/>
        <w:kinsoku/>
        <w:wordWrap/>
        <w:overflowPunct/>
        <w:topLinePunct w:val="0"/>
        <w:autoSpaceDE/>
        <w:autoSpaceDN/>
        <w:bidi w:val="0"/>
        <w:adjustRightInd/>
        <w:snapToGrid/>
        <w:spacing w:line="360" w:lineRule="auto"/>
        <w:ind w:right="-334" w:rightChars="-159"/>
        <w:jc w:val="left"/>
        <w:textAlignment w:val="auto"/>
        <w:outlineLvl w:val="9"/>
        <w:rPr>
          <w:rFonts w:hint="eastAsia" w:ascii="宋体" w:hAnsi="宋体" w:eastAsia="宋体" w:cs="宋体"/>
          <w:sz w:val="21"/>
          <w:szCs w:val="21"/>
          <w:highlight w:val="none"/>
          <w:lang w:val="en-US" w:eastAsia="zh-CN"/>
        </w:rPr>
      </w:pPr>
    </w:p>
    <w:p w14:paraId="3E2ADA7C">
      <w:pPr>
        <w:pStyle w:val="7"/>
        <w:spacing w:beforeLines="0" w:afterLines="0" w:line="360" w:lineRule="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一、修订背景</w:t>
      </w:r>
    </w:p>
    <w:p w14:paraId="28FBC76E">
      <w:pPr>
        <w:spacing w:beforeLines="0" w:afterLines="0" w:line="360" w:lineRule="auto"/>
        <w:ind w:firstLine="420" w:firstLineChars="200"/>
        <w:rPr>
          <w:rFonts w:hint="eastAsia" w:ascii="宋体" w:hAnsi="宋体" w:eastAsia="宋体" w:cs="宋体"/>
          <w:b w:val="0"/>
          <w:bCs w:val="0"/>
          <w:sz w:val="21"/>
          <w:szCs w:val="21"/>
          <w:highlight w:val="none"/>
          <w:lang w:eastAsia="zh-CN"/>
        </w:rPr>
      </w:pPr>
      <w:r>
        <w:rPr>
          <w:rFonts w:hint="eastAsia" w:ascii="宋体" w:hAnsi="宋体" w:eastAsia="宋体" w:cs="宋体"/>
          <w:sz w:val="21"/>
          <w:szCs w:val="21"/>
          <w:highlight w:val="none"/>
        </w:rPr>
        <w:t>现行</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中小企业划型标准</w:t>
      </w:r>
      <w:r>
        <w:rPr>
          <w:rFonts w:hint="eastAsia" w:ascii="宋体" w:hAnsi="宋体" w:eastAsia="宋体" w:cs="宋体"/>
          <w:sz w:val="21"/>
          <w:szCs w:val="21"/>
          <w:highlight w:val="none"/>
          <w:lang w:eastAsia="zh-CN"/>
        </w:rPr>
        <w:t>规定》</w:t>
      </w:r>
      <w:r>
        <w:rPr>
          <w:rFonts w:hint="eastAsia" w:ascii="宋体" w:hAnsi="宋体" w:eastAsia="宋体" w:cs="宋体"/>
          <w:sz w:val="21"/>
          <w:szCs w:val="21"/>
          <w:highlight w:val="none"/>
        </w:rPr>
        <w:t>（</w:t>
      </w:r>
      <w:r>
        <w:rPr>
          <w:rFonts w:hint="eastAsia" w:ascii="宋体" w:hAnsi="宋体" w:eastAsia="宋体" w:cs="宋体"/>
          <w:sz w:val="21"/>
          <w:szCs w:val="21"/>
          <w:highlight w:val="none"/>
          <w:lang w:eastAsia="zh-CN"/>
        </w:rPr>
        <w:t>工信部联企业〔</w:t>
      </w:r>
      <w:r>
        <w:rPr>
          <w:rFonts w:hint="eastAsia" w:ascii="宋体" w:hAnsi="宋体" w:eastAsia="宋体" w:cs="宋体"/>
          <w:sz w:val="21"/>
          <w:szCs w:val="21"/>
          <w:highlight w:val="none"/>
          <w:lang w:val="en-US" w:eastAsia="zh-CN"/>
        </w:rPr>
        <w:t>2011</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300号，</w:t>
      </w:r>
      <w:r>
        <w:rPr>
          <w:rFonts w:hint="eastAsia" w:ascii="宋体" w:hAnsi="宋体" w:eastAsia="宋体" w:cs="宋体"/>
          <w:sz w:val="21"/>
          <w:szCs w:val="21"/>
          <w:highlight w:val="none"/>
        </w:rPr>
        <w:t>以下简称《划型标准》）是经国务院同意，由工业和信息化部、</w:t>
      </w:r>
      <w:r>
        <w:rPr>
          <w:rFonts w:hint="eastAsia" w:ascii="宋体" w:hAnsi="宋体" w:eastAsia="宋体" w:cs="宋体"/>
          <w:sz w:val="21"/>
          <w:szCs w:val="21"/>
          <w:highlight w:val="none"/>
          <w:lang w:eastAsia="zh-CN"/>
        </w:rPr>
        <w:t>国家</w:t>
      </w:r>
      <w:r>
        <w:rPr>
          <w:rFonts w:hint="eastAsia" w:ascii="宋体" w:hAnsi="宋体" w:eastAsia="宋体" w:cs="宋体"/>
          <w:sz w:val="21"/>
          <w:szCs w:val="21"/>
          <w:highlight w:val="none"/>
        </w:rPr>
        <w:t>统计局、</w:t>
      </w:r>
      <w:r>
        <w:rPr>
          <w:rFonts w:hint="eastAsia" w:ascii="宋体" w:hAnsi="宋体" w:eastAsia="宋体" w:cs="宋体"/>
          <w:sz w:val="21"/>
          <w:szCs w:val="21"/>
          <w:highlight w:val="none"/>
          <w:lang w:eastAsia="zh-CN"/>
        </w:rPr>
        <w:t>国家</w:t>
      </w:r>
      <w:r>
        <w:rPr>
          <w:rFonts w:hint="eastAsia" w:ascii="宋体" w:hAnsi="宋体" w:eastAsia="宋体" w:cs="宋体"/>
          <w:sz w:val="21"/>
          <w:szCs w:val="21"/>
          <w:highlight w:val="none"/>
        </w:rPr>
        <w:t>发展</w:t>
      </w:r>
      <w:r>
        <w:rPr>
          <w:rFonts w:hint="eastAsia" w:ascii="宋体" w:hAnsi="宋体" w:eastAsia="宋体" w:cs="宋体"/>
          <w:sz w:val="21"/>
          <w:szCs w:val="21"/>
          <w:highlight w:val="none"/>
          <w:lang w:eastAsia="zh-CN"/>
        </w:rPr>
        <w:t>和</w:t>
      </w:r>
      <w:r>
        <w:rPr>
          <w:rFonts w:hint="eastAsia" w:ascii="宋体" w:hAnsi="宋体" w:eastAsia="宋体" w:cs="宋体"/>
          <w:sz w:val="21"/>
          <w:szCs w:val="21"/>
          <w:highlight w:val="none"/>
        </w:rPr>
        <w:t>改革</w:t>
      </w:r>
      <w:r>
        <w:rPr>
          <w:rFonts w:hint="eastAsia" w:ascii="宋体" w:hAnsi="宋体" w:eastAsia="宋体" w:cs="宋体"/>
          <w:sz w:val="21"/>
          <w:szCs w:val="21"/>
          <w:highlight w:val="none"/>
          <w:lang w:eastAsia="zh-CN"/>
        </w:rPr>
        <w:t>委员会</w:t>
      </w:r>
      <w:r>
        <w:rPr>
          <w:rFonts w:hint="eastAsia" w:ascii="宋体" w:hAnsi="宋体" w:eastAsia="宋体" w:cs="宋体"/>
          <w:sz w:val="21"/>
          <w:szCs w:val="21"/>
          <w:highlight w:val="none"/>
        </w:rPr>
        <w:t>、财政部于2011年6月发布的。《划型标准》</w:t>
      </w:r>
      <w:r>
        <w:rPr>
          <w:rFonts w:hint="eastAsia" w:ascii="宋体" w:hAnsi="宋体" w:eastAsia="宋体" w:cs="宋体"/>
          <w:sz w:val="21"/>
          <w:szCs w:val="21"/>
          <w:highlight w:val="none"/>
          <w:lang w:eastAsia="zh-CN"/>
        </w:rPr>
        <w:t>作为促进中小企业发展政策实施和国民经济统计分类的基础依据，发布十年来，得到了较好地执行，</w:t>
      </w:r>
      <w:r>
        <w:rPr>
          <w:rFonts w:hint="eastAsia" w:ascii="宋体" w:hAnsi="宋体" w:eastAsia="宋体" w:cs="宋体"/>
          <w:sz w:val="21"/>
          <w:szCs w:val="21"/>
          <w:highlight w:val="none"/>
          <w:lang w:val="en-US" w:eastAsia="zh-CN"/>
        </w:rPr>
        <w:t>为各级政府部门制定和实施促进中小企业特别是小微企业发展政策提供了基础数据和决策参考。但随着经济发展和产业结构调整，执行中也遇到了一些问题，主要是：</w:t>
      </w:r>
      <w:r>
        <w:rPr>
          <w:rFonts w:hint="eastAsia" w:ascii="宋体" w:hAnsi="宋体" w:eastAsia="宋体" w:cs="宋体"/>
          <w:b w:val="0"/>
          <w:bCs w:val="0"/>
          <w:sz w:val="21"/>
          <w:szCs w:val="21"/>
          <w:highlight w:val="none"/>
          <w:lang w:val="en-US" w:eastAsia="zh-CN"/>
        </w:rPr>
        <w:t>一是</w:t>
      </w:r>
      <w:r>
        <w:rPr>
          <w:rFonts w:hint="eastAsia" w:ascii="宋体" w:hAnsi="宋体" w:eastAsia="宋体" w:cs="宋体"/>
          <w:b w:val="0"/>
          <w:bCs w:val="0"/>
          <w:sz w:val="21"/>
          <w:szCs w:val="21"/>
          <w:highlight w:val="none"/>
        </w:rPr>
        <w:t>部分中小企业规模过大</w:t>
      </w:r>
      <w:r>
        <w:rPr>
          <w:rFonts w:hint="eastAsia" w:ascii="宋体" w:hAnsi="宋体" w:eastAsia="宋体" w:cs="宋体"/>
          <w:b w:val="0"/>
          <w:bCs w:val="0"/>
          <w:sz w:val="21"/>
          <w:szCs w:val="21"/>
          <w:highlight w:val="none"/>
          <w:lang w:eastAsia="zh-CN"/>
        </w:rPr>
        <w:t>。</w:t>
      </w:r>
      <w:r>
        <w:rPr>
          <w:rFonts w:hint="eastAsia" w:ascii="宋体" w:hAnsi="宋体" w:eastAsia="宋体" w:cs="宋体"/>
          <w:sz w:val="21"/>
          <w:szCs w:val="21"/>
          <w:highlight w:val="none"/>
          <w:lang w:val="en-US" w:eastAsia="zh-CN"/>
        </w:rPr>
        <w:t>因采用从业人员、营业收入或资产总额双指标并集划型，导致少数从业人员少而营业收入高或资产规模大的企业划入中小企业。</w:t>
      </w:r>
      <w:r>
        <w:rPr>
          <w:rFonts w:hint="eastAsia" w:ascii="宋体" w:hAnsi="宋体" w:eastAsia="宋体" w:cs="宋体"/>
          <w:b w:val="0"/>
          <w:bCs w:val="0"/>
          <w:sz w:val="21"/>
          <w:szCs w:val="21"/>
          <w:highlight w:val="none"/>
          <w:lang w:val="en-US" w:eastAsia="zh-CN"/>
        </w:rPr>
        <w:t>二是</w:t>
      </w:r>
      <w:r>
        <w:rPr>
          <w:rFonts w:hint="eastAsia" w:ascii="宋体" w:hAnsi="宋体" w:eastAsia="宋体" w:cs="宋体"/>
          <w:b w:val="0"/>
          <w:bCs w:val="0"/>
          <w:sz w:val="21"/>
          <w:szCs w:val="21"/>
          <w:highlight w:val="none"/>
        </w:rPr>
        <w:t>行业分类复杂繁琐</w:t>
      </w:r>
      <w:r>
        <w:rPr>
          <w:rFonts w:hint="eastAsia" w:ascii="宋体" w:hAnsi="宋体" w:eastAsia="宋体" w:cs="宋体"/>
          <w:b w:val="0"/>
          <w:bCs w:val="0"/>
          <w:sz w:val="21"/>
          <w:szCs w:val="21"/>
          <w:highlight w:val="none"/>
          <w:lang w:eastAsia="zh-CN"/>
        </w:rPr>
        <w:t>，且未覆盖</w:t>
      </w:r>
      <w:r>
        <w:rPr>
          <w:rFonts w:hint="eastAsia" w:ascii="宋体" w:hAnsi="宋体" w:eastAsia="宋体" w:cs="宋体"/>
          <w:sz w:val="21"/>
          <w:szCs w:val="21"/>
          <w:highlight w:val="none"/>
        </w:rPr>
        <w:t>“教育”门类和“卫生”大类</w:t>
      </w:r>
      <w:r>
        <w:rPr>
          <w:rFonts w:hint="eastAsia" w:ascii="宋体" w:hAnsi="宋体" w:eastAsia="宋体" w:cs="宋体"/>
          <w:b w:val="0"/>
          <w:bCs w:val="0"/>
          <w:sz w:val="21"/>
          <w:szCs w:val="21"/>
          <w:highlight w:val="none"/>
          <w:lang w:eastAsia="zh-CN"/>
        </w:rPr>
        <w:t>。</w:t>
      </w:r>
      <w:bookmarkStart w:id="29" w:name="_Toc534726769"/>
      <w:bookmarkStart w:id="30" w:name="_Toc534744176"/>
      <w:bookmarkStart w:id="31" w:name="_Toc536690535"/>
      <w:r>
        <w:rPr>
          <w:rFonts w:hint="eastAsia" w:ascii="宋体" w:hAnsi="宋体" w:eastAsia="宋体" w:cs="宋体"/>
          <w:b w:val="0"/>
          <w:bCs w:val="0"/>
          <w:sz w:val="21"/>
          <w:szCs w:val="21"/>
          <w:highlight w:val="none"/>
          <w:lang w:val="en-US" w:eastAsia="zh-CN"/>
        </w:rPr>
        <w:t>三是</w:t>
      </w:r>
      <w:r>
        <w:rPr>
          <w:rFonts w:hint="eastAsia" w:ascii="宋体" w:hAnsi="宋体" w:eastAsia="宋体" w:cs="宋体"/>
          <w:b w:val="0"/>
          <w:bCs w:val="0"/>
          <w:sz w:val="21"/>
          <w:szCs w:val="21"/>
          <w:highlight w:val="none"/>
        </w:rPr>
        <w:t>定性标准缺位</w:t>
      </w:r>
      <w:r>
        <w:rPr>
          <w:rFonts w:hint="eastAsia" w:ascii="宋体" w:hAnsi="宋体" w:eastAsia="宋体" w:cs="宋体"/>
          <w:b w:val="0"/>
          <w:bCs w:val="0"/>
          <w:sz w:val="21"/>
          <w:szCs w:val="21"/>
          <w:highlight w:val="none"/>
          <w:lang w:eastAsia="zh-CN"/>
        </w:rPr>
        <w:t>。四</w:t>
      </w:r>
      <w:r>
        <w:rPr>
          <w:rFonts w:hint="eastAsia" w:ascii="宋体" w:hAnsi="宋体" w:eastAsia="宋体" w:cs="宋体"/>
          <w:b w:val="0"/>
          <w:bCs w:val="0"/>
          <w:sz w:val="21"/>
          <w:szCs w:val="21"/>
          <w:highlight w:val="none"/>
          <w:lang w:val="en-US" w:eastAsia="zh-CN"/>
        </w:rPr>
        <w:t>是</w:t>
      </w:r>
      <w:r>
        <w:rPr>
          <w:rFonts w:hint="eastAsia" w:ascii="宋体" w:hAnsi="宋体" w:eastAsia="宋体" w:cs="宋体"/>
          <w:b w:val="0"/>
          <w:bCs w:val="0"/>
          <w:sz w:val="21"/>
          <w:szCs w:val="21"/>
          <w:highlight w:val="none"/>
        </w:rPr>
        <w:t>部分行业划型指标不适合行业大多数企业经营特征</w:t>
      </w:r>
      <w:r>
        <w:rPr>
          <w:rFonts w:hint="eastAsia" w:ascii="宋体" w:hAnsi="宋体" w:eastAsia="宋体" w:cs="宋体"/>
          <w:b w:val="0"/>
          <w:bCs w:val="0"/>
          <w:sz w:val="21"/>
          <w:szCs w:val="21"/>
          <w:highlight w:val="none"/>
          <w:lang w:eastAsia="zh-CN"/>
        </w:rPr>
        <w:t>。五是</w:t>
      </w:r>
      <w:r>
        <w:rPr>
          <w:rFonts w:hint="eastAsia" w:ascii="宋体" w:hAnsi="宋体" w:eastAsia="宋体" w:cs="宋体"/>
          <w:b w:val="0"/>
          <w:bCs w:val="0"/>
          <w:sz w:val="21"/>
          <w:szCs w:val="21"/>
          <w:highlight w:val="none"/>
        </w:rPr>
        <w:t>定量标准需随劳动生产率提高</w:t>
      </w:r>
      <w:r>
        <w:rPr>
          <w:rFonts w:hint="eastAsia" w:ascii="宋体" w:hAnsi="宋体" w:eastAsia="宋体" w:cs="宋体"/>
          <w:b w:val="0"/>
          <w:bCs w:val="0"/>
          <w:sz w:val="21"/>
          <w:szCs w:val="21"/>
          <w:highlight w:val="none"/>
          <w:lang w:eastAsia="zh-CN"/>
        </w:rPr>
        <w:t>等</w:t>
      </w:r>
      <w:r>
        <w:rPr>
          <w:rFonts w:hint="eastAsia" w:ascii="宋体" w:hAnsi="宋体" w:eastAsia="宋体" w:cs="宋体"/>
          <w:b w:val="0"/>
          <w:bCs w:val="0"/>
          <w:sz w:val="21"/>
          <w:szCs w:val="21"/>
          <w:highlight w:val="none"/>
        </w:rPr>
        <w:t>进行调整</w:t>
      </w:r>
      <w:r>
        <w:rPr>
          <w:rFonts w:hint="eastAsia" w:ascii="宋体" w:hAnsi="宋体" w:eastAsia="宋体" w:cs="宋体"/>
          <w:b w:val="0"/>
          <w:bCs w:val="0"/>
          <w:sz w:val="21"/>
          <w:szCs w:val="21"/>
          <w:highlight w:val="none"/>
          <w:lang w:eastAsia="zh-CN"/>
        </w:rPr>
        <w:t>。</w:t>
      </w:r>
    </w:p>
    <w:bookmarkEnd w:id="29"/>
    <w:bookmarkEnd w:id="30"/>
    <w:bookmarkEnd w:id="31"/>
    <w:p w14:paraId="4A627E54">
      <w:pPr>
        <w:spacing w:beforeLines="0" w:afterLines="0" w:line="360" w:lineRule="auto"/>
        <w:ind w:firstLine="420" w:firstLineChars="200"/>
        <w:outlineLvl w:val="9"/>
        <w:rPr>
          <w:rFonts w:hint="eastAsia" w:ascii="宋体" w:hAnsi="宋体" w:eastAsia="宋体" w:cs="宋体"/>
          <w:b w:val="0"/>
          <w:sz w:val="21"/>
          <w:szCs w:val="21"/>
          <w:highlight w:val="none"/>
          <w:lang w:eastAsia="zh-CN"/>
        </w:rPr>
      </w:pPr>
      <w:r>
        <w:rPr>
          <w:rFonts w:hint="eastAsia" w:ascii="宋体" w:hAnsi="宋体" w:eastAsia="宋体" w:cs="宋体"/>
          <w:b w:val="0"/>
          <w:sz w:val="21"/>
          <w:szCs w:val="21"/>
          <w:highlight w:val="none"/>
          <w:lang w:eastAsia="zh-CN"/>
        </w:rPr>
        <w:t>二、修订的原则</w:t>
      </w:r>
    </w:p>
    <w:p w14:paraId="18F0D526">
      <w:pPr>
        <w:keepNext w:val="0"/>
        <w:keepLines w:val="0"/>
        <w:pageBreakBefore w:val="0"/>
        <w:widowControl/>
        <w:kinsoku/>
        <w:wordWrap/>
        <w:overflowPunct/>
        <w:topLinePunct w:val="0"/>
        <w:autoSpaceDE/>
        <w:autoSpaceDN/>
        <w:bidi w:val="0"/>
        <w:adjustRightInd/>
        <w:snapToGrid/>
        <w:spacing w:beforeLines="0" w:afterLines="0" w:line="360" w:lineRule="auto"/>
        <w:ind w:firstLine="420" w:firstLineChars="200"/>
        <w:textAlignment w:val="auto"/>
        <w:outlineLvl w:val="9"/>
        <w:rPr>
          <w:rFonts w:hint="eastAsia" w:ascii="宋体" w:hAnsi="宋体" w:eastAsia="宋体" w:cs="宋体"/>
          <w:sz w:val="21"/>
          <w:szCs w:val="21"/>
          <w:highlight w:val="none"/>
          <w:lang w:eastAsia="zh-CN"/>
        </w:rPr>
      </w:pPr>
      <w:r>
        <w:rPr>
          <w:rFonts w:hint="eastAsia" w:ascii="宋体" w:hAnsi="宋体" w:eastAsia="宋体" w:cs="宋体"/>
          <w:b w:val="0"/>
          <w:bCs w:val="0"/>
          <w:sz w:val="21"/>
          <w:szCs w:val="21"/>
          <w:highlight w:val="none"/>
          <w:lang w:eastAsia="zh-CN"/>
        </w:rPr>
        <w:t>一</w:t>
      </w:r>
      <w:r>
        <w:rPr>
          <w:rFonts w:hint="eastAsia" w:ascii="宋体" w:hAnsi="宋体" w:eastAsia="宋体" w:cs="宋体"/>
          <w:b w:val="0"/>
          <w:bCs w:val="0"/>
          <w:sz w:val="21"/>
          <w:szCs w:val="21"/>
          <w:highlight w:val="none"/>
        </w:rPr>
        <w:t>是坚持问题导向。</w:t>
      </w:r>
      <w:r>
        <w:rPr>
          <w:rFonts w:hint="eastAsia" w:ascii="宋体" w:hAnsi="宋体" w:eastAsia="宋体" w:cs="宋体"/>
          <w:sz w:val="21"/>
          <w:szCs w:val="21"/>
          <w:highlight w:val="none"/>
        </w:rPr>
        <w:t>针对</w:t>
      </w:r>
      <w:r>
        <w:rPr>
          <w:rFonts w:hint="eastAsia" w:ascii="宋体" w:hAnsi="宋体" w:eastAsia="宋体" w:cs="宋体"/>
          <w:sz w:val="21"/>
          <w:szCs w:val="21"/>
          <w:highlight w:val="none"/>
          <w:lang w:eastAsia="zh-CN"/>
        </w:rPr>
        <w:t>《划型标准》</w:t>
      </w:r>
      <w:r>
        <w:rPr>
          <w:rFonts w:hint="eastAsia" w:ascii="宋体" w:hAnsi="宋体" w:eastAsia="宋体" w:cs="宋体"/>
          <w:sz w:val="21"/>
          <w:szCs w:val="21"/>
          <w:highlight w:val="none"/>
        </w:rPr>
        <w:t>执行中存在的问题，提出解决的方法和路径</w:t>
      </w:r>
      <w:r>
        <w:rPr>
          <w:rFonts w:hint="eastAsia" w:ascii="宋体" w:hAnsi="宋体" w:eastAsia="宋体" w:cs="宋体"/>
          <w:sz w:val="21"/>
          <w:szCs w:val="21"/>
          <w:highlight w:val="none"/>
          <w:lang w:eastAsia="zh-CN"/>
        </w:rPr>
        <w:t>。</w:t>
      </w:r>
    </w:p>
    <w:p w14:paraId="327D4334">
      <w:pPr>
        <w:keepNext w:val="0"/>
        <w:keepLines w:val="0"/>
        <w:pageBreakBefore w:val="0"/>
        <w:widowControl/>
        <w:kinsoku/>
        <w:wordWrap/>
        <w:overflowPunct/>
        <w:topLinePunct w:val="0"/>
        <w:autoSpaceDE/>
        <w:autoSpaceDN/>
        <w:bidi w:val="0"/>
        <w:adjustRightInd/>
        <w:snapToGrid/>
        <w:spacing w:beforeLines="0" w:afterLines="0" w:line="360" w:lineRule="auto"/>
        <w:ind w:firstLine="420" w:firstLineChars="200"/>
        <w:textAlignment w:val="auto"/>
        <w:outlineLvl w:val="9"/>
        <w:rPr>
          <w:rFonts w:hint="eastAsia" w:ascii="宋体" w:hAnsi="宋体" w:eastAsia="宋体" w:cs="宋体"/>
          <w:sz w:val="21"/>
          <w:szCs w:val="21"/>
          <w:highlight w:val="none"/>
          <w:lang w:eastAsia="zh-CN"/>
        </w:rPr>
      </w:pPr>
      <w:r>
        <w:rPr>
          <w:rFonts w:hint="eastAsia" w:ascii="宋体" w:hAnsi="宋体" w:eastAsia="宋体" w:cs="宋体"/>
          <w:b w:val="0"/>
          <w:bCs w:val="0"/>
          <w:sz w:val="21"/>
          <w:szCs w:val="21"/>
          <w:highlight w:val="none"/>
          <w:lang w:eastAsia="zh-CN"/>
        </w:rPr>
        <w:t>二</w:t>
      </w:r>
      <w:r>
        <w:rPr>
          <w:rFonts w:hint="eastAsia" w:ascii="宋体" w:hAnsi="宋体" w:eastAsia="宋体" w:cs="宋体"/>
          <w:b w:val="0"/>
          <w:bCs w:val="0"/>
          <w:sz w:val="21"/>
          <w:szCs w:val="21"/>
          <w:highlight w:val="none"/>
        </w:rPr>
        <w:t>是综合现实发展需要和历史衔接。</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划型标准</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修订既要适应国</w:t>
      </w:r>
      <w:r>
        <w:rPr>
          <w:rFonts w:hint="eastAsia" w:ascii="宋体" w:hAnsi="宋体" w:eastAsia="宋体" w:cs="宋体"/>
          <w:sz w:val="21"/>
          <w:szCs w:val="21"/>
          <w:highlight w:val="none"/>
          <w:lang w:eastAsia="zh-CN"/>
        </w:rPr>
        <w:t>民</w:t>
      </w:r>
      <w:r>
        <w:rPr>
          <w:rFonts w:hint="eastAsia" w:ascii="宋体" w:hAnsi="宋体" w:eastAsia="宋体" w:cs="宋体"/>
          <w:sz w:val="21"/>
          <w:szCs w:val="21"/>
          <w:highlight w:val="none"/>
        </w:rPr>
        <w:t>经济和促进中小企业发展需要，又要保持相对的稳定性和连续性</w:t>
      </w:r>
      <w:r>
        <w:rPr>
          <w:rFonts w:hint="eastAsia" w:ascii="宋体" w:hAnsi="宋体" w:eastAsia="宋体" w:cs="宋体"/>
          <w:sz w:val="21"/>
          <w:szCs w:val="21"/>
          <w:highlight w:val="none"/>
          <w:lang w:eastAsia="zh-CN"/>
        </w:rPr>
        <w:t>。</w:t>
      </w:r>
    </w:p>
    <w:p w14:paraId="6B69B8D5">
      <w:pPr>
        <w:keepNext w:val="0"/>
        <w:keepLines w:val="0"/>
        <w:pageBreakBefore w:val="0"/>
        <w:widowControl/>
        <w:kinsoku/>
        <w:wordWrap/>
        <w:overflowPunct/>
        <w:topLinePunct w:val="0"/>
        <w:autoSpaceDE/>
        <w:autoSpaceDN/>
        <w:bidi w:val="0"/>
        <w:adjustRightInd/>
        <w:snapToGrid/>
        <w:spacing w:beforeLines="0" w:afterLines="0" w:line="360" w:lineRule="auto"/>
        <w:ind w:firstLine="420" w:firstLineChars="200"/>
        <w:textAlignment w:val="auto"/>
        <w:outlineLvl w:val="9"/>
        <w:rPr>
          <w:rFonts w:hint="eastAsia" w:ascii="宋体" w:hAnsi="宋体" w:eastAsia="宋体" w:cs="宋体"/>
          <w:sz w:val="21"/>
          <w:szCs w:val="21"/>
          <w:highlight w:val="none"/>
          <w:lang w:eastAsia="zh-CN"/>
        </w:rPr>
      </w:pPr>
      <w:r>
        <w:rPr>
          <w:rFonts w:hint="eastAsia" w:ascii="宋体" w:hAnsi="宋体" w:eastAsia="宋体" w:cs="宋体"/>
          <w:b w:val="0"/>
          <w:bCs w:val="0"/>
          <w:sz w:val="21"/>
          <w:szCs w:val="21"/>
          <w:highlight w:val="none"/>
        </w:rPr>
        <w:t>三是注重与国际一般标准的可比性。</w:t>
      </w:r>
      <w:r>
        <w:rPr>
          <w:rFonts w:hint="eastAsia" w:ascii="宋体" w:hAnsi="宋体" w:eastAsia="宋体" w:cs="宋体"/>
          <w:sz w:val="21"/>
          <w:szCs w:val="21"/>
          <w:highlight w:val="none"/>
        </w:rPr>
        <w:t>借鉴国际经验，结合我国实际</w:t>
      </w:r>
      <w:r>
        <w:rPr>
          <w:rFonts w:hint="eastAsia" w:ascii="宋体" w:hAnsi="宋体" w:eastAsia="宋体" w:cs="宋体"/>
          <w:sz w:val="21"/>
          <w:szCs w:val="21"/>
          <w:highlight w:val="none"/>
          <w:lang w:eastAsia="zh-CN"/>
        </w:rPr>
        <w:t>确定各行业划型指标及标准</w:t>
      </w:r>
      <w:r>
        <w:rPr>
          <w:rFonts w:hint="eastAsia" w:ascii="宋体" w:hAnsi="宋体" w:eastAsia="宋体" w:cs="宋体"/>
          <w:sz w:val="21"/>
          <w:szCs w:val="21"/>
          <w:highlight w:val="none"/>
        </w:rPr>
        <w:t>，为中小企业发展国际比较提供参照</w:t>
      </w:r>
      <w:r>
        <w:rPr>
          <w:rFonts w:hint="eastAsia" w:ascii="宋体" w:hAnsi="宋体" w:eastAsia="宋体" w:cs="宋体"/>
          <w:sz w:val="21"/>
          <w:szCs w:val="21"/>
          <w:highlight w:val="none"/>
          <w:lang w:eastAsia="zh-CN"/>
        </w:rPr>
        <w:t>。</w:t>
      </w:r>
    </w:p>
    <w:p w14:paraId="19E9C730">
      <w:pPr>
        <w:keepNext w:val="0"/>
        <w:keepLines w:val="0"/>
        <w:pageBreakBefore w:val="0"/>
        <w:widowControl/>
        <w:kinsoku/>
        <w:wordWrap/>
        <w:overflowPunct/>
        <w:topLinePunct w:val="0"/>
        <w:autoSpaceDE/>
        <w:autoSpaceDN/>
        <w:bidi w:val="0"/>
        <w:adjustRightInd/>
        <w:snapToGrid/>
        <w:spacing w:beforeLines="0" w:afterLines="0" w:line="360" w:lineRule="auto"/>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b w:val="0"/>
          <w:bCs w:val="0"/>
          <w:sz w:val="21"/>
          <w:szCs w:val="21"/>
          <w:highlight w:val="none"/>
        </w:rPr>
        <w:t>四是注重简单易行，便于操作。</w:t>
      </w:r>
      <w:r>
        <w:rPr>
          <w:rFonts w:hint="eastAsia" w:ascii="宋体" w:hAnsi="宋体" w:eastAsia="宋体" w:cs="宋体"/>
          <w:sz w:val="21"/>
          <w:szCs w:val="21"/>
          <w:highlight w:val="none"/>
        </w:rPr>
        <w:t>从实际出发，</w:t>
      </w:r>
      <w:r>
        <w:rPr>
          <w:rFonts w:hint="eastAsia" w:ascii="宋体" w:hAnsi="宋体" w:eastAsia="宋体" w:cs="宋体"/>
          <w:sz w:val="21"/>
          <w:szCs w:val="21"/>
          <w:highlight w:val="none"/>
          <w:lang w:eastAsia="zh-CN"/>
        </w:rPr>
        <w:t>注重</w:t>
      </w:r>
      <w:r>
        <w:rPr>
          <w:rFonts w:hint="eastAsia" w:ascii="宋体" w:hAnsi="宋体" w:eastAsia="宋体" w:cs="宋体"/>
          <w:sz w:val="21"/>
          <w:szCs w:val="21"/>
          <w:highlight w:val="none"/>
        </w:rPr>
        <w:t>易于理解、识别和执行。</w:t>
      </w:r>
    </w:p>
    <w:p w14:paraId="4D5BC7B0">
      <w:pPr>
        <w:keepNext w:val="0"/>
        <w:keepLines w:val="0"/>
        <w:pageBreakBefore w:val="0"/>
        <w:widowControl w:val="0"/>
        <w:kinsoku/>
        <w:wordWrap/>
        <w:overflowPunct/>
        <w:topLinePunct w:val="0"/>
        <w:autoSpaceDE/>
        <w:autoSpaceDN/>
        <w:bidi w:val="0"/>
        <w:adjustRightInd/>
        <w:snapToGrid/>
        <w:spacing w:beforeLines="0" w:afterLines="0" w:line="360" w:lineRule="auto"/>
        <w:ind w:firstLine="420" w:firstLineChars="200"/>
        <w:textAlignment w:val="auto"/>
        <w:outlineLvl w:val="9"/>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eastAsia="zh-CN"/>
        </w:rPr>
        <w:t>三、修订的主要内容</w:t>
      </w:r>
    </w:p>
    <w:p w14:paraId="289D68D8">
      <w:pPr>
        <w:spacing w:beforeLines="0" w:afterLines="0" w:line="360" w:lineRule="auto"/>
        <w:ind w:firstLine="422" w:firstLineChars="200"/>
        <w:rPr>
          <w:rFonts w:hint="eastAsia" w:ascii="宋体" w:hAnsi="宋体" w:eastAsia="宋体" w:cs="宋体"/>
          <w:b/>
          <w:sz w:val="21"/>
          <w:szCs w:val="21"/>
          <w:highlight w:val="none"/>
          <w:lang w:eastAsia="zh-CN"/>
        </w:rPr>
      </w:pPr>
      <w:r>
        <w:rPr>
          <w:rFonts w:hint="eastAsia" w:ascii="宋体" w:hAnsi="宋体" w:eastAsia="宋体" w:cs="宋体"/>
          <w:b/>
          <w:sz w:val="21"/>
          <w:szCs w:val="21"/>
          <w:highlight w:val="none"/>
          <w:lang w:val="en-US" w:eastAsia="zh-CN"/>
        </w:rPr>
        <w:t>（一）</w:t>
      </w:r>
      <w:r>
        <w:rPr>
          <w:rFonts w:hint="eastAsia" w:ascii="宋体" w:hAnsi="宋体" w:eastAsia="宋体" w:cs="宋体"/>
          <w:b/>
          <w:sz w:val="21"/>
          <w:szCs w:val="21"/>
          <w:highlight w:val="none"/>
        </w:rPr>
        <w:t>关于行业分类的修订</w:t>
      </w:r>
    </w:p>
    <w:p w14:paraId="68E8FCBD">
      <w:pPr>
        <w:spacing w:beforeLines="0" w:afterLines="0" w:line="360" w:lineRule="auto"/>
        <w:ind w:firstLine="420" w:firstLineChars="200"/>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eastAsia="zh-CN"/>
        </w:rPr>
        <w:t>一是</w:t>
      </w:r>
      <w:r>
        <w:rPr>
          <w:rFonts w:hint="eastAsia" w:ascii="宋体" w:hAnsi="宋体" w:eastAsia="宋体" w:cs="宋体"/>
          <w:b w:val="0"/>
          <w:bCs w:val="0"/>
          <w:sz w:val="21"/>
          <w:szCs w:val="21"/>
          <w:highlight w:val="none"/>
        </w:rPr>
        <w:t>部分行业分类保持不变</w:t>
      </w:r>
      <w:r>
        <w:rPr>
          <w:rFonts w:hint="eastAsia" w:ascii="宋体" w:hAnsi="宋体" w:eastAsia="宋体" w:cs="宋体"/>
          <w:b w:val="0"/>
          <w:bCs w:val="0"/>
          <w:sz w:val="21"/>
          <w:szCs w:val="21"/>
          <w:highlight w:val="none"/>
          <w:lang w:eastAsia="zh-CN"/>
        </w:rPr>
        <w:t>。</w:t>
      </w:r>
      <w:r>
        <w:rPr>
          <w:rFonts w:hint="eastAsia" w:ascii="宋体" w:hAnsi="宋体" w:eastAsia="宋体" w:cs="宋体"/>
          <w:sz w:val="21"/>
          <w:szCs w:val="21"/>
          <w:highlight w:val="none"/>
        </w:rPr>
        <w:t>包括农</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林</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牧</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渔业，工业，建筑业，批发业，零售业</w:t>
      </w:r>
      <w:r>
        <w:rPr>
          <w:rFonts w:hint="eastAsia" w:ascii="宋体" w:hAnsi="宋体" w:eastAsia="宋体" w:cs="宋体"/>
          <w:sz w:val="21"/>
          <w:szCs w:val="21"/>
          <w:highlight w:val="none"/>
          <w:lang w:eastAsia="zh-CN"/>
        </w:rPr>
        <w:t>，房地产开发经营业等（涉及企业数量约占</w:t>
      </w:r>
      <w:r>
        <w:rPr>
          <w:rFonts w:hint="eastAsia" w:ascii="宋体" w:hAnsi="宋体" w:eastAsia="宋体" w:cs="宋体"/>
          <w:sz w:val="21"/>
          <w:szCs w:val="21"/>
          <w:highlight w:val="none"/>
          <w:lang w:val="en-US" w:eastAsia="zh-CN"/>
        </w:rPr>
        <w:t>60%）。</w:t>
      </w:r>
    </w:p>
    <w:p w14:paraId="58D335AD">
      <w:pPr>
        <w:spacing w:beforeLines="0" w:afterLines="0" w:line="360" w:lineRule="auto"/>
        <w:ind w:firstLine="420" w:firstLineChars="200"/>
        <w:rPr>
          <w:rFonts w:hint="eastAsia" w:ascii="宋体" w:hAnsi="宋体" w:eastAsia="宋体" w:cs="宋体"/>
          <w:sz w:val="21"/>
          <w:szCs w:val="21"/>
          <w:highlight w:val="none"/>
          <w:lang w:eastAsia="zh-CN"/>
        </w:rPr>
      </w:pPr>
      <w:r>
        <w:rPr>
          <w:rFonts w:hint="eastAsia" w:ascii="宋体" w:hAnsi="宋体" w:eastAsia="宋体" w:cs="宋体"/>
          <w:b w:val="0"/>
          <w:bCs w:val="0"/>
          <w:sz w:val="21"/>
          <w:szCs w:val="21"/>
          <w:highlight w:val="none"/>
          <w:lang w:eastAsia="zh-CN"/>
        </w:rPr>
        <w:t>二是</w:t>
      </w:r>
      <w:r>
        <w:rPr>
          <w:rFonts w:hint="eastAsia" w:ascii="宋体" w:hAnsi="宋体" w:eastAsia="宋体" w:cs="宋体"/>
          <w:b w:val="0"/>
          <w:bCs w:val="0"/>
          <w:sz w:val="21"/>
          <w:szCs w:val="21"/>
          <w:highlight w:val="none"/>
        </w:rPr>
        <w:t>以门类为基础调整简并行业分类。</w:t>
      </w:r>
      <w:r>
        <w:rPr>
          <w:rFonts w:hint="eastAsia" w:ascii="宋体" w:hAnsi="宋体" w:eastAsia="宋体" w:cs="宋体"/>
          <w:b w:val="0"/>
          <w:bCs w:val="0"/>
          <w:sz w:val="21"/>
          <w:szCs w:val="21"/>
          <w:highlight w:val="none"/>
          <w:lang w:eastAsia="zh-CN"/>
        </w:rPr>
        <w:t>如</w:t>
      </w:r>
      <w:r>
        <w:rPr>
          <w:rFonts w:hint="eastAsia" w:ascii="宋体" w:hAnsi="宋体" w:eastAsia="宋体" w:cs="宋体"/>
          <w:sz w:val="21"/>
          <w:szCs w:val="21"/>
          <w:highlight w:val="none"/>
        </w:rPr>
        <w:t>将住宿业、餐饮业合并，按“住宿和餐饮业”门类统一划型</w:t>
      </w:r>
      <w:r>
        <w:rPr>
          <w:rFonts w:hint="eastAsia" w:ascii="宋体" w:hAnsi="宋体" w:eastAsia="宋体" w:cs="宋体"/>
          <w:sz w:val="21"/>
          <w:szCs w:val="21"/>
          <w:highlight w:val="none"/>
          <w:lang w:eastAsia="zh-CN"/>
        </w:rPr>
        <w:t>；将信息传输业、软件和信息技术服务业合并，按“信息传输、软件和信息技术服务业”门类统一划型；</w:t>
      </w:r>
      <w:r>
        <w:rPr>
          <w:rFonts w:hint="eastAsia" w:ascii="宋体" w:hAnsi="宋体" w:eastAsia="宋体" w:cs="宋体"/>
          <w:b w:val="0"/>
          <w:sz w:val="21"/>
          <w:szCs w:val="21"/>
          <w:highlight w:val="none"/>
        </w:rPr>
        <w:t>将交通运输业、仓储业、邮政业合并，按“交通运输、仓储和邮政业”门类</w:t>
      </w:r>
      <w:r>
        <w:rPr>
          <w:rFonts w:hint="eastAsia" w:ascii="宋体" w:hAnsi="宋体" w:eastAsia="宋体" w:cs="宋体"/>
          <w:b w:val="0"/>
          <w:sz w:val="21"/>
          <w:szCs w:val="21"/>
          <w:highlight w:val="none"/>
          <w:lang w:eastAsia="zh-CN"/>
        </w:rPr>
        <w:t>与工业统一划型。</w:t>
      </w:r>
    </w:p>
    <w:p w14:paraId="17D3BAEE">
      <w:pPr>
        <w:spacing w:beforeLines="0" w:afterLines="0" w:line="360" w:lineRule="auto"/>
        <w:ind w:firstLine="420" w:firstLineChars="200"/>
        <w:rPr>
          <w:rFonts w:hint="eastAsia" w:ascii="宋体" w:hAnsi="宋体" w:eastAsia="宋体" w:cs="宋体"/>
          <w:sz w:val="21"/>
          <w:szCs w:val="21"/>
          <w:highlight w:val="none"/>
        </w:rPr>
      </w:pPr>
      <w:r>
        <w:rPr>
          <w:rFonts w:hint="eastAsia" w:ascii="宋体" w:hAnsi="宋体" w:eastAsia="宋体" w:cs="宋体"/>
          <w:b w:val="0"/>
          <w:bCs w:val="0"/>
          <w:sz w:val="21"/>
          <w:szCs w:val="21"/>
          <w:highlight w:val="none"/>
          <w:lang w:eastAsia="zh-CN"/>
        </w:rPr>
        <w:t>三是</w:t>
      </w:r>
      <w:r>
        <w:rPr>
          <w:rFonts w:hint="eastAsia" w:ascii="宋体" w:hAnsi="宋体" w:eastAsia="宋体" w:cs="宋体"/>
          <w:b w:val="0"/>
          <w:bCs w:val="0"/>
          <w:sz w:val="21"/>
          <w:szCs w:val="21"/>
          <w:highlight w:val="none"/>
        </w:rPr>
        <w:t>增加《划型标准》尚未覆盖的行业</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如“教育”门类和“卫生”大类。</w:t>
      </w:r>
    </w:p>
    <w:p w14:paraId="4E670AFC">
      <w:pPr>
        <w:spacing w:beforeLines="0" w:afterLines="0" w:line="360" w:lineRule="auto"/>
        <w:ind w:firstLine="420" w:firstLineChars="200"/>
        <w:rPr>
          <w:rFonts w:hint="eastAsia" w:ascii="宋体" w:hAnsi="宋体" w:eastAsia="宋体" w:cs="宋体"/>
          <w:sz w:val="21"/>
          <w:szCs w:val="21"/>
          <w:highlight w:val="none"/>
        </w:rPr>
      </w:pPr>
      <w:r>
        <w:rPr>
          <w:rFonts w:hint="eastAsia" w:ascii="宋体" w:hAnsi="宋体" w:eastAsia="宋体" w:cs="宋体"/>
          <w:b w:val="0"/>
          <w:bCs w:val="0"/>
          <w:sz w:val="21"/>
          <w:szCs w:val="21"/>
          <w:highlight w:val="none"/>
          <w:lang w:eastAsia="zh-CN"/>
        </w:rPr>
        <w:t>四是</w:t>
      </w:r>
      <w:r>
        <w:rPr>
          <w:rFonts w:hint="eastAsia" w:ascii="宋体" w:hAnsi="宋体" w:eastAsia="宋体" w:cs="宋体"/>
          <w:b w:val="0"/>
          <w:bCs w:val="0"/>
          <w:sz w:val="21"/>
          <w:szCs w:val="21"/>
          <w:highlight w:val="none"/>
        </w:rPr>
        <w:t>行业性质或特征相近的行业</w:t>
      </w:r>
      <w:r>
        <w:rPr>
          <w:rFonts w:hint="eastAsia" w:ascii="宋体" w:hAnsi="宋体" w:eastAsia="宋体" w:cs="宋体"/>
          <w:b w:val="0"/>
          <w:bCs w:val="0"/>
          <w:sz w:val="21"/>
          <w:szCs w:val="21"/>
          <w:highlight w:val="none"/>
          <w:lang w:eastAsia="zh-CN"/>
        </w:rPr>
        <w:t>归并</w:t>
      </w:r>
      <w:r>
        <w:rPr>
          <w:rFonts w:hint="eastAsia" w:ascii="宋体" w:hAnsi="宋体" w:eastAsia="宋体" w:cs="宋体"/>
          <w:b w:val="0"/>
          <w:bCs w:val="0"/>
          <w:sz w:val="21"/>
          <w:szCs w:val="21"/>
          <w:highlight w:val="none"/>
        </w:rPr>
        <w:t>划型。</w:t>
      </w:r>
      <w:r>
        <w:rPr>
          <w:rFonts w:hint="eastAsia" w:ascii="宋体" w:hAnsi="宋体" w:eastAsia="宋体" w:cs="宋体"/>
          <w:sz w:val="21"/>
          <w:szCs w:val="21"/>
          <w:highlight w:val="none"/>
        </w:rPr>
        <w:t>将房地产业（房地产开发经营除外），租赁与商务服务业（组织管理服务除外），科学研究和技术服务业，水利、环境和公共设施管理业，居民服务、修理和其他服务业，社会工作，文化、体育和娱乐业，</w:t>
      </w:r>
      <w:r>
        <w:rPr>
          <w:rFonts w:hint="eastAsia" w:ascii="宋体" w:hAnsi="宋体" w:eastAsia="宋体" w:cs="宋体"/>
          <w:sz w:val="21"/>
          <w:szCs w:val="21"/>
          <w:highlight w:val="none"/>
          <w:lang w:eastAsia="zh-CN"/>
        </w:rPr>
        <w:t>以及</w:t>
      </w:r>
      <w:r>
        <w:rPr>
          <w:rFonts w:hint="eastAsia" w:ascii="宋体" w:hAnsi="宋体" w:eastAsia="宋体" w:cs="宋体"/>
          <w:sz w:val="21"/>
          <w:szCs w:val="21"/>
          <w:highlight w:val="none"/>
        </w:rPr>
        <w:t>新增的教育、卫生等八个行业门类归并统一划型。</w:t>
      </w:r>
    </w:p>
    <w:p w14:paraId="67D2B1FD">
      <w:pPr>
        <w:spacing w:beforeLines="0" w:afterLines="0" w:line="360" w:lineRule="auto"/>
        <w:ind w:firstLine="0"/>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lang w:val="en-US" w:eastAsia="zh-CN"/>
        </w:rPr>
        <w:t>五是</w:t>
      </w:r>
      <w:r>
        <w:rPr>
          <w:rFonts w:hint="eastAsia" w:ascii="宋体" w:hAnsi="宋体" w:eastAsia="宋体" w:cs="宋体"/>
          <w:b w:val="0"/>
          <w:bCs w:val="0"/>
          <w:color w:val="auto"/>
          <w:sz w:val="21"/>
          <w:szCs w:val="21"/>
          <w:highlight w:val="none"/>
          <w:lang w:eastAsia="zh-CN"/>
        </w:rPr>
        <w:t>将</w:t>
      </w:r>
      <w:r>
        <w:rPr>
          <w:rFonts w:hint="eastAsia" w:ascii="宋体" w:hAnsi="宋体" w:eastAsia="宋体" w:cs="宋体"/>
          <w:b w:val="0"/>
          <w:bCs w:val="0"/>
          <w:color w:val="auto"/>
          <w:sz w:val="21"/>
          <w:szCs w:val="21"/>
          <w:highlight w:val="none"/>
        </w:rPr>
        <w:t>不属于中小企业</w:t>
      </w:r>
      <w:r>
        <w:rPr>
          <w:rFonts w:hint="eastAsia" w:ascii="宋体" w:hAnsi="宋体" w:eastAsia="宋体" w:cs="宋体"/>
          <w:b w:val="0"/>
          <w:bCs w:val="0"/>
          <w:color w:val="auto"/>
          <w:sz w:val="21"/>
          <w:szCs w:val="21"/>
          <w:highlight w:val="none"/>
          <w:lang w:eastAsia="zh-CN"/>
        </w:rPr>
        <w:t>扶持重点领域</w:t>
      </w:r>
      <w:r>
        <w:rPr>
          <w:rFonts w:hint="eastAsia" w:ascii="宋体" w:hAnsi="宋体" w:eastAsia="宋体" w:cs="宋体"/>
          <w:b w:val="0"/>
          <w:bCs w:val="0"/>
          <w:color w:val="auto"/>
          <w:sz w:val="21"/>
          <w:szCs w:val="21"/>
          <w:highlight w:val="none"/>
        </w:rPr>
        <w:t>的</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组织管理服务</w:t>
      </w:r>
      <w:r>
        <w:rPr>
          <w:rFonts w:hint="eastAsia" w:ascii="宋体" w:hAnsi="宋体" w:eastAsia="宋体" w:cs="宋体"/>
          <w:b w:val="0"/>
          <w:bCs w:val="0"/>
          <w:color w:val="auto"/>
          <w:sz w:val="21"/>
          <w:szCs w:val="21"/>
          <w:highlight w:val="none"/>
          <w:lang w:eastAsia="zh-CN"/>
        </w:rPr>
        <w:t>”（属于</w:t>
      </w:r>
      <w:r>
        <w:rPr>
          <w:rFonts w:hint="eastAsia" w:ascii="宋体" w:hAnsi="宋体" w:eastAsia="宋体" w:cs="宋体"/>
          <w:b w:val="0"/>
          <w:bCs w:val="0"/>
          <w:strike w:val="0"/>
          <w:dstrike w:val="0"/>
          <w:color w:val="auto"/>
          <w:sz w:val="21"/>
          <w:szCs w:val="21"/>
          <w:highlight w:val="none"/>
          <w:lang w:eastAsia="zh-CN"/>
        </w:rPr>
        <w:t>租赁和商务服务业门类，主要包括“企业总部管理”“投资与资产管理”“资源与产权交易服务”等</w:t>
      </w:r>
      <w:r>
        <w:rPr>
          <w:rFonts w:hint="eastAsia" w:ascii="宋体" w:hAnsi="宋体" w:eastAsia="宋体" w:cs="宋体"/>
          <w:color w:val="auto"/>
          <w:sz w:val="21"/>
          <w:szCs w:val="21"/>
          <w:highlight w:val="none"/>
          <w:lang w:eastAsia="zh-CN"/>
        </w:rPr>
        <w:t>资产密集型</w:t>
      </w:r>
      <w:r>
        <w:rPr>
          <w:rFonts w:hint="eastAsia" w:ascii="宋体" w:hAnsi="宋体" w:eastAsia="宋体" w:cs="宋体"/>
          <w:b w:val="0"/>
          <w:bCs w:val="0"/>
          <w:strike w:val="0"/>
          <w:dstrike w:val="0"/>
          <w:color w:val="auto"/>
          <w:sz w:val="21"/>
          <w:szCs w:val="21"/>
          <w:highlight w:val="none"/>
          <w:lang w:eastAsia="zh-CN"/>
        </w:rPr>
        <w:t>行业小类）</w:t>
      </w:r>
      <w:r>
        <w:rPr>
          <w:rFonts w:hint="eastAsia" w:ascii="宋体" w:hAnsi="宋体" w:eastAsia="宋体" w:cs="宋体"/>
          <w:color w:val="auto"/>
          <w:sz w:val="21"/>
          <w:szCs w:val="21"/>
          <w:highlight w:val="none"/>
          <w:lang w:eastAsia="zh-CN"/>
        </w:rPr>
        <w:t>采用建筑业指标划型，</w:t>
      </w:r>
      <w:r>
        <w:rPr>
          <w:rFonts w:hint="eastAsia" w:ascii="宋体" w:hAnsi="宋体" w:eastAsia="宋体" w:cs="宋体"/>
          <w:b w:val="0"/>
          <w:color w:val="auto"/>
          <w:sz w:val="21"/>
          <w:szCs w:val="21"/>
          <w:highlight w:val="none"/>
        </w:rPr>
        <w:t>降低其小微企业占比。</w:t>
      </w:r>
    </w:p>
    <w:p w14:paraId="7531B39C">
      <w:pPr>
        <w:spacing w:beforeLines="0" w:afterLines="0" w:line="360" w:lineRule="auto"/>
        <w:ind w:firstLine="0"/>
        <w:rPr>
          <w:rFonts w:hint="eastAsia" w:ascii="宋体" w:hAnsi="宋体" w:eastAsia="宋体" w:cs="宋体"/>
          <w:sz w:val="21"/>
          <w:szCs w:val="21"/>
          <w:highlight w:val="none"/>
        </w:rPr>
      </w:pPr>
      <w:r>
        <w:rPr>
          <w:rFonts w:hint="eastAsia" w:ascii="宋体" w:hAnsi="宋体" w:eastAsia="宋体" w:cs="宋体"/>
          <w:color w:val="auto"/>
          <w:sz w:val="21"/>
          <w:szCs w:val="21"/>
          <w:highlight w:val="none"/>
          <w:lang w:eastAsia="zh-CN"/>
        </w:rPr>
        <w:t>本次</w:t>
      </w:r>
      <w:r>
        <w:rPr>
          <w:rFonts w:hint="eastAsia" w:ascii="宋体" w:hAnsi="宋体" w:eastAsia="宋体" w:cs="宋体"/>
          <w:color w:val="auto"/>
          <w:sz w:val="21"/>
          <w:szCs w:val="21"/>
          <w:highlight w:val="none"/>
        </w:rPr>
        <w:t>修订后，</w:t>
      </w:r>
      <w:r>
        <w:rPr>
          <w:rFonts w:hint="eastAsia" w:ascii="宋体" w:hAnsi="宋体" w:eastAsia="宋体" w:cs="宋体"/>
          <w:color w:val="auto"/>
          <w:sz w:val="21"/>
          <w:szCs w:val="21"/>
          <w:highlight w:val="none"/>
          <w:lang w:eastAsia="zh-CN"/>
        </w:rPr>
        <w:t>行业分类由原来的</w:t>
      </w:r>
      <w:r>
        <w:rPr>
          <w:rFonts w:hint="eastAsia" w:ascii="宋体" w:hAnsi="宋体" w:eastAsia="宋体" w:cs="宋体"/>
          <w:color w:val="auto"/>
          <w:sz w:val="21"/>
          <w:szCs w:val="21"/>
          <w:highlight w:val="none"/>
          <w:lang w:val="en-US" w:eastAsia="zh-CN"/>
        </w:rPr>
        <w:t>16</w:t>
      </w:r>
      <w:r>
        <w:rPr>
          <w:rFonts w:hint="eastAsia" w:ascii="宋体" w:hAnsi="宋体" w:eastAsia="宋体" w:cs="宋体"/>
          <w:sz w:val="21"/>
          <w:szCs w:val="21"/>
          <w:highlight w:val="none"/>
          <w:lang w:val="en-US" w:eastAsia="zh-CN"/>
        </w:rPr>
        <w:t>类减少为9</w:t>
      </w:r>
      <w:r>
        <w:rPr>
          <w:rFonts w:hint="eastAsia" w:ascii="宋体" w:hAnsi="宋体" w:eastAsia="宋体" w:cs="宋体"/>
          <w:sz w:val="21"/>
          <w:szCs w:val="21"/>
          <w:highlight w:val="none"/>
          <w:lang w:eastAsia="zh-CN"/>
        </w:rPr>
        <w:t>类，</w:t>
      </w:r>
      <w:r>
        <w:rPr>
          <w:rFonts w:hint="eastAsia" w:ascii="宋体" w:hAnsi="宋体" w:eastAsia="宋体" w:cs="宋体"/>
          <w:sz w:val="21"/>
          <w:szCs w:val="21"/>
          <w:highlight w:val="none"/>
        </w:rPr>
        <w:t>覆盖</w:t>
      </w:r>
      <w:r>
        <w:rPr>
          <w:rFonts w:hint="eastAsia" w:ascii="宋体" w:hAnsi="宋体" w:eastAsia="宋体" w:cs="宋体"/>
          <w:sz w:val="21"/>
          <w:szCs w:val="21"/>
          <w:highlight w:val="none"/>
          <w:lang w:eastAsia="zh-CN"/>
        </w:rPr>
        <w:t>《国民经济行业分类》（</w:t>
      </w:r>
      <w:r>
        <w:rPr>
          <w:rFonts w:hint="eastAsia" w:ascii="宋体" w:hAnsi="宋体" w:eastAsia="宋体" w:cs="宋体"/>
          <w:sz w:val="21"/>
          <w:szCs w:val="21"/>
          <w:highlight w:val="none"/>
          <w:lang w:val="en-US" w:eastAsia="zh-CN"/>
        </w:rPr>
        <w:t>GB/T 4754-2017）</w:t>
      </w:r>
      <w:r>
        <w:rPr>
          <w:rFonts w:hint="eastAsia" w:ascii="宋体" w:hAnsi="宋体" w:eastAsia="宋体" w:cs="宋体"/>
          <w:sz w:val="21"/>
          <w:szCs w:val="21"/>
          <w:highlight w:val="none"/>
          <w:lang w:eastAsia="zh-CN"/>
        </w:rPr>
        <w:t>除</w:t>
      </w:r>
      <w:r>
        <w:rPr>
          <w:rFonts w:hint="eastAsia" w:ascii="宋体" w:hAnsi="宋体" w:eastAsia="宋体" w:cs="宋体"/>
          <w:color w:val="auto"/>
          <w:sz w:val="21"/>
          <w:szCs w:val="21"/>
          <w:highlight w:val="none"/>
        </w:rPr>
        <w:t>金融业、公共管理和社会组织、国际组织</w:t>
      </w:r>
      <w:r>
        <w:rPr>
          <w:rFonts w:hint="eastAsia" w:ascii="宋体" w:hAnsi="宋体" w:eastAsia="宋体" w:cs="宋体"/>
          <w:color w:val="auto"/>
          <w:sz w:val="21"/>
          <w:szCs w:val="21"/>
          <w:highlight w:val="none"/>
          <w:lang w:eastAsia="zh-CN"/>
        </w:rPr>
        <w:t>三个门类之外的</w:t>
      </w:r>
      <w:r>
        <w:rPr>
          <w:rFonts w:hint="eastAsia" w:ascii="宋体" w:hAnsi="宋体" w:eastAsia="宋体" w:cs="宋体"/>
          <w:sz w:val="21"/>
          <w:szCs w:val="21"/>
          <w:highlight w:val="none"/>
          <w:lang w:eastAsia="zh-CN"/>
        </w:rPr>
        <w:t>所有</w:t>
      </w:r>
      <w:r>
        <w:rPr>
          <w:rFonts w:hint="eastAsia" w:ascii="宋体" w:hAnsi="宋体" w:eastAsia="宋体" w:cs="宋体"/>
          <w:sz w:val="21"/>
          <w:szCs w:val="21"/>
          <w:highlight w:val="none"/>
        </w:rPr>
        <w:t>行业企业。</w:t>
      </w:r>
    </w:p>
    <w:p w14:paraId="0BD28AD5">
      <w:pPr>
        <w:spacing w:beforeLines="0" w:afterLines="0" w:line="360" w:lineRule="auto"/>
        <w:ind w:firstLine="422" w:firstLineChars="200"/>
        <w:rPr>
          <w:rFonts w:hint="eastAsia" w:ascii="宋体" w:hAnsi="宋体" w:eastAsia="宋体" w:cs="宋体"/>
          <w:b/>
          <w:sz w:val="21"/>
          <w:szCs w:val="21"/>
          <w:highlight w:val="none"/>
          <w:lang w:val="en-US" w:eastAsia="zh-CN"/>
        </w:rPr>
      </w:pPr>
      <w:r>
        <w:rPr>
          <w:rFonts w:hint="eastAsia" w:ascii="宋体" w:hAnsi="宋体" w:eastAsia="宋体" w:cs="宋体"/>
          <w:b/>
          <w:sz w:val="21"/>
          <w:szCs w:val="21"/>
          <w:highlight w:val="none"/>
          <w:lang w:val="en-US" w:eastAsia="zh-CN"/>
        </w:rPr>
        <w:t>（二）关于划型指标的修订</w:t>
      </w:r>
    </w:p>
    <w:p w14:paraId="6EC7A0A6">
      <w:pPr>
        <w:spacing w:beforeLines="0" w:afterLines="0" w:line="360" w:lineRule="auto"/>
        <w:ind w:firstLine="420" w:firstLineChars="200"/>
        <w:jc w:val="both"/>
        <w:rPr>
          <w:rFonts w:hint="eastAsia" w:ascii="宋体" w:hAnsi="宋体" w:eastAsia="宋体" w:cs="宋体"/>
          <w:b w:val="0"/>
          <w:sz w:val="21"/>
          <w:szCs w:val="21"/>
          <w:highlight w:val="none"/>
          <w:lang w:eastAsia="zh-CN"/>
        </w:rPr>
      </w:pPr>
      <w:r>
        <w:rPr>
          <w:rFonts w:hint="eastAsia" w:ascii="宋体" w:hAnsi="宋体" w:eastAsia="宋体" w:cs="宋体"/>
          <w:b w:val="0"/>
          <w:sz w:val="21"/>
          <w:szCs w:val="21"/>
          <w:highlight w:val="none"/>
          <w:lang w:eastAsia="zh-CN"/>
        </w:rPr>
        <w:t>各行业划型指标基本</w:t>
      </w:r>
      <w:r>
        <w:rPr>
          <w:rFonts w:hint="eastAsia" w:ascii="宋体" w:hAnsi="宋体" w:eastAsia="宋体" w:cs="宋体"/>
          <w:b w:val="0"/>
          <w:sz w:val="21"/>
          <w:szCs w:val="21"/>
          <w:highlight w:val="none"/>
        </w:rPr>
        <w:t>沿用</w:t>
      </w:r>
      <w:r>
        <w:rPr>
          <w:rFonts w:hint="eastAsia" w:ascii="宋体" w:hAnsi="宋体" w:eastAsia="宋体" w:cs="宋体"/>
          <w:b w:val="0"/>
          <w:sz w:val="21"/>
          <w:szCs w:val="21"/>
          <w:highlight w:val="none"/>
          <w:lang w:eastAsia="zh-CN"/>
        </w:rPr>
        <w:t>现行</w:t>
      </w:r>
      <w:r>
        <w:rPr>
          <w:rFonts w:hint="eastAsia" w:ascii="宋体" w:hAnsi="宋体" w:eastAsia="宋体" w:cs="宋体"/>
          <w:b w:val="0"/>
          <w:sz w:val="21"/>
          <w:szCs w:val="21"/>
          <w:highlight w:val="none"/>
        </w:rPr>
        <w:t>《划型标准》，</w:t>
      </w:r>
      <w:r>
        <w:rPr>
          <w:rFonts w:hint="eastAsia" w:ascii="宋体" w:hAnsi="宋体" w:eastAsia="宋体" w:cs="宋体"/>
          <w:b w:val="0"/>
          <w:sz w:val="21"/>
          <w:szCs w:val="21"/>
          <w:highlight w:val="none"/>
          <w:lang w:eastAsia="zh-CN"/>
        </w:rPr>
        <w:t>主要是采用从业人员和营业收入双指标划型，仅有农业采用营业收入、建筑业和组织管理服务采用营业收入和资产总额划型。</w:t>
      </w:r>
    </w:p>
    <w:p w14:paraId="5154ECC6">
      <w:pPr>
        <w:spacing w:beforeLines="0" w:afterLines="0" w:line="360" w:lineRule="auto"/>
        <w:ind w:firstLine="422" w:firstLineChars="200"/>
        <w:rPr>
          <w:rFonts w:hint="eastAsia" w:ascii="宋体" w:hAnsi="宋体" w:eastAsia="宋体" w:cs="宋体"/>
          <w:b/>
          <w:sz w:val="21"/>
          <w:szCs w:val="21"/>
          <w:highlight w:val="none"/>
          <w:lang w:eastAsia="zh-CN"/>
        </w:rPr>
      </w:pPr>
      <w:r>
        <w:rPr>
          <w:rFonts w:hint="eastAsia" w:ascii="宋体" w:hAnsi="宋体" w:eastAsia="宋体" w:cs="宋体"/>
          <w:b/>
          <w:sz w:val="21"/>
          <w:szCs w:val="21"/>
          <w:highlight w:val="none"/>
          <w:lang w:val="en-US" w:eastAsia="zh-CN"/>
        </w:rPr>
        <w:t>（三）</w:t>
      </w:r>
      <w:r>
        <w:rPr>
          <w:rFonts w:hint="eastAsia" w:ascii="宋体" w:hAnsi="宋体" w:eastAsia="宋体" w:cs="宋体"/>
          <w:b/>
          <w:sz w:val="21"/>
          <w:szCs w:val="21"/>
          <w:highlight w:val="none"/>
        </w:rPr>
        <w:t>关于双指标并集转交集的调整</w:t>
      </w:r>
    </w:p>
    <w:p w14:paraId="56377591">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jc w:val="both"/>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本次修订</w:t>
      </w:r>
      <w:r>
        <w:rPr>
          <w:rFonts w:hint="eastAsia" w:ascii="宋体" w:hAnsi="宋体" w:eastAsia="宋体" w:cs="宋体"/>
          <w:sz w:val="21"/>
          <w:szCs w:val="21"/>
          <w:highlight w:val="none"/>
          <w:lang w:eastAsia="zh-CN"/>
        </w:rPr>
        <w:t>借鉴欧盟</w:t>
      </w:r>
      <w:r>
        <w:rPr>
          <w:rFonts w:hint="eastAsia" w:ascii="宋体" w:hAnsi="宋体" w:eastAsia="宋体" w:cs="宋体"/>
          <w:sz w:val="21"/>
          <w:szCs w:val="21"/>
          <w:highlight w:val="none"/>
        </w:rPr>
        <w:t>双指标</w:t>
      </w:r>
      <w:r>
        <w:rPr>
          <w:rFonts w:hint="eastAsia" w:ascii="宋体" w:hAnsi="宋体" w:eastAsia="宋体" w:cs="宋体"/>
          <w:sz w:val="21"/>
          <w:szCs w:val="21"/>
          <w:highlight w:val="none"/>
          <w:lang w:eastAsia="zh-CN"/>
        </w:rPr>
        <w:t>交</w:t>
      </w:r>
      <w:r>
        <w:rPr>
          <w:rFonts w:hint="eastAsia" w:ascii="宋体" w:hAnsi="宋体" w:eastAsia="宋体" w:cs="宋体"/>
          <w:sz w:val="21"/>
          <w:szCs w:val="21"/>
          <w:highlight w:val="none"/>
        </w:rPr>
        <w:t>集模式，</w:t>
      </w:r>
      <w:r>
        <w:rPr>
          <w:rFonts w:hint="eastAsia" w:ascii="宋体" w:hAnsi="宋体" w:eastAsia="宋体" w:cs="宋体"/>
          <w:b w:val="0"/>
          <w:sz w:val="21"/>
          <w:szCs w:val="21"/>
          <w:highlight w:val="none"/>
        </w:rPr>
        <w:t>即双指标同时低于微型、小型、中型</w:t>
      </w:r>
      <w:r>
        <w:rPr>
          <w:rFonts w:hint="eastAsia" w:ascii="宋体" w:hAnsi="宋体" w:eastAsia="宋体" w:cs="宋体"/>
          <w:b w:val="0"/>
          <w:sz w:val="21"/>
          <w:szCs w:val="21"/>
          <w:highlight w:val="none"/>
          <w:lang w:eastAsia="zh-CN"/>
        </w:rPr>
        <w:t>企业</w:t>
      </w:r>
      <w:r>
        <w:rPr>
          <w:rFonts w:hint="eastAsia" w:ascii="宋体" w:hAnsi="宋体" w:eastAsia="宋体" w:cs="宋体"/>
          <w:b w:val="0"/>
          <w:sz w:val="21"/>
          <w:szCs w:val="21"/>
          <w:highlight w:val="none"/>
        </w:rPr>
        <w:t>的阈值标准，才能划入相应</w:t>
      </w:r>
      <w:r>
        <w:rPr>
          <w:rFonts w:hint="eastAsia" w:ascii="宋体" w:hAnsi="宋体" w:eastAsia="宋体" w:cs="宋体"/>
          <w:b w:val="0"/>
          <w:sz w:val="21"/>
          <w:szCs w:val="21"/>
          <w:highlight w:val="none"/>
          <w:lang w:eastAsia="zh-CN"/>
        </w:rPr>
        <w:t>规模</w:t>
      </w:r>
      <w:r>
        <w:rPr>
          <w:rFonts w:hint="eastAsia" w:ascii="宋体" w:hAnsi="宋体" w:eastAsia="宋体" w:cs="宋体"/>
          <w:b w:val="0"/>
          <w:sz w:val="21"/>
          <w:szCs w:val="21"/>
          <w:highlight w:val="none"/>
        </w:rPr>
        <w:t>类型</w:t>
      </w:r>
      <w:r>
        <w:rPr>
          <w:rFonts w:hint="eastAsia" w:ascii="宋体" w:hAnsi="宋体" w:eastAsia="宋体" w:cs="宋体"/>
          <w:b w:val="0"/>
          <w:sz w:val="21"/>
          <w:szCs w:val="21"/>
          <w:highlight w:val="none"/>
          <w:lang w:eastAsia="zh-CN"/>
        </w:rPr>
        <w:t>，</w:t>
      </w:r>
      <w:r>
        <w:rPr>
          <w:rFonts w:hint="eastAsia" w:ascii="宋体" w:hAnsi="宋体" w:eastAsia="宋体" w:cs="宋体"/>
          <w:sz w:val="21"/>
          <w:szCs w:val="21"/>
          <w:highlight w:val="none"/>
        </w:rPr>
        <w:t>强调“小企业要有小企业的样子”</w:t>
      </w:r>
      <w:r>
        <w:rPr>
          <w:rFonts w:hint="eastAsia" w:ascii="宋体" w:hAnsi="宋体" w:eastAsia="宋体" w:cs="宋体"/>
          <w:sz w:val="21"/>
          <w:szCs w:val="21"/>
          <w:highlight w:val="none"/>
          <w:lang w:eastAsia="zh-CN"/>
        </w:rPr>
        <w:t>。这样可有效解决从业人员少、营业收入高或资产总额大的企业划入中小企业的问题，</w:t>
      </w:r>
      <w:r>
        <w:rPr>
          <w:rFonts w:hint="eastAsia" w:ascii="宋体" w:hAnsi="宋体" w:eastAsia="宋体" w:cs="宋体"/>
          <w:sz w:val="21"/>
          <w:szCs w:val="21"/>
          <w:highlight w:val="none"/>
        </w:rPr>
        <w:t>更为客观地反映中小企业的经营规模</w:t>
      </w:r>
      <w:r>
        <w:rPr>
          <w:rFonts w:hint="eastAsia" w:ascii="宋体" w:hAnsi="宋体" w:eastAsia="宋体" w:cs="宋体"/>
          <w:sz w:val="21"/>
          <w:szCs w:val="21"/>
          <w:highlight w:val="none"/>
          <w:lang w:eastAsia="zh-CN"/>
        </w:rPr>
        <w:t>，并可降低从业人员统计口径对企业规模变化的影响。</w:t>
      </w:r>
    </w:p>
    <w:p w14:paraId="4F505AE9">
      <w:pPr>
        <w:spacing w:beforeLines="0" w:afterLines="0" w:line="360" w:lineRule="auto"/>
        <w:ind w:firstLine="422" w:firstLineChars="200"/>
        <w:rPr>
          <w:rFonts w:hint="eastAsia" w:ascii="宋体" w:hAnsi="宋体" w:eastAsia="宋体" w:cs="宋体"/>
          <w:b/>
          <w:sz w:val="21"/>
          <w:szCs w:val="21"/>
          <w:highlight w:val="none"/>
          <w:lang w:eastAsia="zh-CN"/>
        </w:rPr>
      </w:pPr>
      <w:r>
        <w:rPr>
          <w:rFonts w:hint="eastAsia" w:ascii="宋体" w:hAnsi="宋体" w:eastAsia="宋体" w:cs="宋体"/>
          <w:b/>
          <w:sz w:val="21"/>
          <w:szCs w:val="21"/>
          <w:highlight w:val="none"/>
          <w:lang w:val="en-US" w:eastAsia="zh-CN"/>
        </w:rPr>
        <w:t>（四）</w:t>
      </w:r>
      <w:r>
        <w:rPr>
          <w:rFonts w:hint="eastAsia" w:ascii="宋体" w:hAnsi="宋体" w:eastAsia="宋体" w:cs="宋体"/>
          <w:b/>
          <w:sz w:val="21"/>
          <w:szCs w:val="21"/>
          <w:highlight w:val="none"/>
        </w:rPr>
        <w:t>关于定量指标阈值的调整</w:t>
      </w:r>
    </w:p>
    <w:p w14:paraId="61A73A16">
      <w:pPr>
        <w:spacing w:beforeLines="0" w:afterLines="0"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b w:val="0"/>
          <w:bCs w:val="0"/>
          <w:sz w:val="21"/>
          <w:szCs w:val="21"/>
          <w:highlight w:val="none"/>
          <w:lang w:val="en-US" w:eastAsia="zh-CN"/>
        </w:rPr>
        <w:t>1.</w:t>
      </w:r>
      <w:r>
        <w:rPr>
          <w:rFonts w:hint="eastAsia" w:ascii="宋体" w:hAnsi="宋体" w:eastAsia="宋体" w:cs="宋体"/>
          <w:b w:val="0"/>
          <w:bCs w:val="0"/>
          <w:sz w:val="21"/>
          <w:szCs w:val="21"/>
          <w:highlight w:val="none"/>
        </w:rPr>
        <w:t>关于从业人员指标</w:t>
      </w:r>
      <w:r>
        <w:rPr>
          <w:rFonts w:hint="eastAsia" w:ascii="宋体" w:hAnsi="宋体" w:eastAsia="宋体" w:cs="宋体"/>
          <w:b w:val="0"/>
          <w:bCs w:val="0"/>
          <w:sz w:val="21"/>
          <w:szCs w:val="21"/>
          <w:highlight w:val="none"/>
          <w:lang w:eastAsia="zh-CN"/>
        </w:rPr>
        <w:t>阈值。鉴于</w:t>
      </w:r>
      <w:r>
        <w:rPr>
          <w:rFonts w:hint="eastAsia" w:ascii="宋体" w:hAnsi="宋体" w:eastAsia="宋体" w:cs="宋体"/>
          <w:b w:val="0"/>
          <w:bCs w:val="0"/>
          <w:color w:val="000000"/>
          <w:sz w:val="21"/>
          <w:szCs w:val="21"/>
          <w:highlight w:val="none"/>
        </w:rPr>
        <w:t>现行《</w:t>
      </w:r>
      <w:r>
        <w:rPr>
          <w:rFonts w:hint="eastAsia" w:ascii="宋体" w:hAnsi="宋体" w:eastAsia="宋体" w:cs="宋体"/>
          <w:b w:val="0"/>
          <w:bCs w:val="0"/>
          <w:color w:val="000000"/>
          <w:sz w:val="21"/>
          <w:szCs w:val="21"/>
          <w:highlight w:val="none"/>
          <w:lang w:eastAsia="zh-CN"/>
        </w:rPr>
        <w:t>划型</w:t>
      </w:r>
      <w:r>
        <w:rPr>
          <w:rFonts w:hint="eastAsia" w:ascii="宋体" w:hAnsi="宋体" w:eastAsia="宋体" w:cs="宋体"/>
          <w:b w:val="0"/>
          <w:bCs w:val="0"/>
          <w:color w:val="000000"/>
          <w:sz w:val="21"/>
          <w:szCs w:val="21"/>
          <w:highlight w:val="none"/>
        </w:rPr>
        <w:t>标准》从业人员指标标准基本具有国际可比性且符合国情</w:t>
      </w:r>
      <w:r>
        <w:rPr>
          <w:rFonts w:hint="eastAsia" w:ascii="宋体" w:hAnsi="宋体" w:eastAsia="宋体" w:cs="宋体"/>
          <w:color w:val="000000"/>
          <w:sz w:val="21"/>
          <w:szCs w:val="21"/>
          <w:highlight w:val="none"/>
        </w:rPr>
        <w:t>。</w:t>
      </w:r>
      <w:r>
        <w:rPr>
          <w:rFonts w:hint="eastAsia" w:ascii="宋体" w:hAnsi="宋体" w:eastAsia="宋体" w:cs="宋体"/>
          <w:b w:val="0"/>
          <w:bCs w:val="0"/>
          <w:color w:val="000000"/>
          <w:sz w:val="21"/>
          <w:szCs w:val="21"/>
          <w:highlight w:val="none"/>
        </w:rPr>
        <w:t>微型企</w:t>
      </w:r>
      <w:r>
        <w:rPr>
          <w:rFonts w:hint="eastAsia" w:ascii="宋体" w:hAnsi="宋体" w:eastAsia="宋体" w:cs="宋体"/>
          <w:b w:val="0"/>
          <w:color w:val="000000"/>
          <w:sz w:val="21"/>
          <w:szCs w:val="21"/>
          <w:highlight w:val="none"/>
        </w:rPr>
        <w:t>业的人员标准基本与其他国家接近</w:t>
      </w:r>
      <w:r>
        <w:rPr>
          <w:rFonts w:hint="eastAsia" w:ascii="宋体" w:hAnsi="宋体" w:eastAsia="宋体" w:cs="宋体"/>
          <w:b w:val="0"/>
          <w:color w:val="000000"/>
          <w:sz w:val="21"/>
          <w:szCs w:val="21"/>
          <w:highlight w:val="none"/>
          <w:lang w:eastAsia="zh-CN"/>
        </w:rPr>
        <w:t>；</w:t>
      </w:r>
      <w:r>
        <w:rPr>
          <w:rFonts w:hint="eastAsia" w:ascii="宋体" w:hAnsi="宋体" w:eastAsia="宋体" w:cs="宋体"/>
          <w:b w:val="0"/>
          <w:color w:val="000000"/>
          <w:sz w:val="21"/>
          <w:szCs w:val="21"/>
          <w:highlight w:val="none"/>
        </w:rPr>
        <w:t>中型和小型企业标准与其他国家有</w:t>
      </w:r>
      <w:r>
        <w:rPr>
          <w:rFonts w:hint="eastAsia" w:ascii="宋体" w:hAnsi="宋体" w:eastAsia="宋体" w:cs="宋体"/>
          <w:b w:val="0"/>
          <w:color w:val="000000"/>
          <w:sz w:val="21"/>
          <w:szCs w:val="21"/>
          <w:highlight w:val="none"/>
          <w:lang w:eastAsia="zh-CN"/>
        </w:rPr>
        <w:t>所</w:t>
      </w:r>
      <w:r>
        <w:rPr>
          <w:rFonts w:hint="eastAsia" w:ascii="宋体" w:hAnsi="宋体" w:eastAsia="宋体" w:cs="宋体"/>
          <w:b w:val="0"/>
          <w:color w:val="000000"/>
          <w:sz w:val="21"/>
          <w:szCs w:val="21"/>
          <w:highlight w:val="none"/>
        </w:rPr>
        <w:t>差异，但</w:t>
      </w:r>
      <w:r>
        <w:rPr>
          <w:rFonts w:hint="eastAsia" w:ascii="宋体" w:hAnsi="宋体" w:eastAsia="宋体" w:cs="宋体"/>
          <w:b w:val="0"/>
          <w:color w:val="000000"/>
          <w:sz w:val="21"/>
          <w:szCs w:val="21"/>
          <w:highlight w:val="none"/>
          <w:lang w:eastAsia="zh-CN"/>
        </w:rPr>
        <w:t>基本适应</w:t>
      </w:r>
      <w:r>
        <w:rPr>
          <w:rFonts w:hint="eastAsia" w:ascii="宋体" w:hAnsi="宋体" w:eastAsia="宋体" w:cs="宋体"/>
          <w:b w:val="0"/>
          <w:color w:val="000000"/>
          <w:sz w:val="21"/>
          <w:szCs w:val="21"/>
          <w:highlight w:val="none"/>
        </w:rPr>
        <w:t>我国</w:t>
      </w:r>
      <w:r>
        <w:rPr>
          <w:rFonts w:hint="eastAsia" w:ascii="宋体" w:hAnsi="宋体" w:eastAsia="宋体" w:cs="宋体"/>
          <w:color w:val="000000"/>
          <w:sz w:val="21"/>
          <w:szCs w:val="21"/>
          <w:highlight w:val="none"/>
        </w:rPr>
        <w:t>人口众多</w:t>
      </w:r>
      <w:r>
        <w:rPr>
          <w:rFonts w:hint="eastAsia" w:ascii="宋体" w:hAnsi="宋体" w:eastAsia="宋体" w:cs="宋体"/>
          <w:color w:val="000000"/>
          <w:sz w:val="21"/>
          <w:szCs w:val="21"/>
          <w:highlight w:val="none"/>
          <w:lang w:eastAsia="zh-CN"/>
        </w:rPr>
        <w:t>、</w:t>
      </w:r>
      <w:r>
        <w:rPr>
          <w:rFonts w:hint="eastAsia" w:ascii="宋体" w:hAnsi="宋体" w:eastAsia="宋体" w:cs="宋体"/>
          <w:b w:val="0"/>
          <w:color w:val="000000"/>
          <w:sz w:val="21"/>
          <w:szCs w:val="21"/>
          <w:highlight w:val="none"/>
        </w:rPr>
        <w:t>劳动生产率</w:t>
      </w:r>
      <w:r>
        <w:rPr>
          <w:rFonts w:hint="eastAsia" w:ascii="宋体" w:hAnsi="宋体" w:eastAsia="宋体" w:cs="宋体"/>
          <w:b w:val="0"/>
          <w:color w:val="000000"/>
          <w:sz w:val="21"/>
          <w:szCs w:val="21"/>
          <w:highlight w:val="none"/>
          <w:lang w:eastAsia="zh-CN"/>
        </w:rPr>
        <w:t>相对</w:t>
      </w:r>
      <w:r>
        <w:rPr>
          <w:rFonts w:hint="eastAsia" w:ascii="宋体" w:hAnsi="宋体" w:eastAsia="宋体" w:cs="宋体"/>
          <w:b w:val="0"/>
          <w:color w:val="000000"/>
          <w:sz w:val="21"/>
          <w:szCs w:val="21"/>
          <w:highlight w:val="none"/>
        </w:rPr>
        <w:t>较低</w:t>
      </w:r>
      <w:r>
        <w:rPr>
          <w:rFonts w:hint="eastAsia" w:ascii="宋体" w:hAnsi="宋体" w:eastAsia="宋体" w:cs="宋体"/>
          <w:color w:val="000000"/>
          <w:sz w:val="21"/>
          <w:szCs w:val="21"/>
          <w:highlight w:val="none"/>
        </w:rPr>
        <w:t>的基本国情。</w:t>
      </w:r>
      <w:r>
        <w:rPr>
          <w:rFonts w:hint="eastAsia" w:ascii="宋体" w:hAnsi="宋体" w:eastAsia="宋体" w:cs="宋体"/>
          <w:color w:val="000000"/>
          <w:sz w:val="21"/>
          <w:szCs w:val="21"/>
          <w:highlight w:val="none"/>
          <w:lang w:eastAsia="zh-CN"/>
        </w:rPr>
        <w:t>因此，</w:t>
      </w:r>
      <w:r>
        <w:rPr>
          <w:rFonts w:hint="eastAsia" w:ascii="宋体" w:hAnsi="宋体" w:eastAsia="宋体" w:cs="宋体"/>
          <w:sz w:val="21"/>
          <w:szCs w:val="21"/>
          <w:highlight w:val="none"/>
        </w:rPr>
        <w:t>本次修订</w:t>
      </w:r>
      <w:r>
        <w:rPr>
          <w:rFonts w:hint="eastAsia" w:ascii="宋体" w:hAnsi="宋体" w:eastAsia="宋体" w:cs="宋体"/>
          <w:sz w:val="21"/>
          <w:szCs w:val="21"/>
          <w:highlight w:val="none"/>
          <w:lang w:eastAsia="zh-CN"/>
        </w:rPr>
        <w:t>中</w:t>
      </w:r>
      <w:r>
        <w:rPr>
          <w:rFonts w:hint="eastAsia" w:ascii="宋体" w:hAnsi="宋体" w:eastAsia="宋体" w:cs="宋体"/>
          <w:sz w:val="21"/>
          <w:szCs w:val="21"/>
          <w:highlight w:val="none"/>
        </w:rPr>
        <w:t>从业人员</w:t>
      </w:r>
      <w:r>
        <w:rPr>
          <w:rFonts w:hint="eastAsia" w:ascii="宋体" w:hAnsi="宋体" w:eastAsia="宋体" w:cs="宋体"/>
          <w:sz w:val="21"/>
          <w:szCs w:val="21"/>
          <w:highlight w:val="none"/>
          <w:lang w:eastAsia="zh-CN"/>
        </w:rPr>
        <w:t>指标阈值</w:t>
      </w:r>
      <w:r>
        <w:rPr>
          <w:rFonts w:hint="eastAsia" w:ascii="宋体" w:hAnsi="宋体" w:eastAsia="宋体" w:cs="宋体"/>
          <w:sz w:val="21"/>
          <w:szCs w:val="21"/>
          <w:highlight w:val="none"/>
        </w:rPr>
        <w:t>主要沿用现行《</w:t>
      </w:r>
      <w:r>
        <w:rPr>
          <w:rFonts w:hint="eastAsia" w:ascii="宋体" w:hAnsi="宋体" w:eastAsia="宋体" w:cs="宋体"/>
          <w:sz w:val="21"/>
          <w:szCs w:val="21"/>
          <w:highlight w:val="none"/>
          <w:lang w:eastAsia="zh-CN"/>
        </w:rPr>
        <w:t>划型</w:t>
      </w:r>
      <w:r>
        <w:rPr>
          <w:rFonts w:hint="eastAsia" w:ascii="宋体" w:hAnsi="宋体" w:eastAsia="宋体" w:cs="宋体"/>
          <w:sz w:val="21"/>
          <w:szCs w:val="21"/>
          <w:highlight w:val="none"/>
        </w:rPr>
        <w:t>标准》，仅对</w:t>
      </w:r>
      <w:r>
        <w:rPr>
          <w:rFonts w:hint="eastAsia" w:ascii="宋体" w:hAnsi="宋体" w:eastAsia="宋体" w:cs="宋体"/>
          <w:sz w:val="21"/>
          <w:szCs w:val="21"/>
          <w:highlight w:val="none"/>
          <w:lang w:eastAsia="zh-CN"/>
        </w:rPr>
        <w:t>仓储业，信息传输业、软件和信息技术服务业，</w:t>
      </w:r>
      <w:r>
        <w:rPr>
          <w:rFonts w:hint="eastAsia" w:ascii="宋体" w:hAnsi="宋体" w:eastAsia="宋体" w:cs="宋体"/>
          <w:sz w:val="21"/>
          <w:szCs w:val="21"/>
          <w:highlight w:val="none"/>
        </w:rPr>
        <w:t>物业管理业</w:t>
      </w:r>
      <w:r>
        <w:rPr>
          <w:rFonts w:hint="eastAsia" w:ascii="宋体" w:hAnsi="宋体" w:eastAsia="宋体" w:cs="宋体"/>
          <w:sz w:val="21"/>
          <w:szCs w:val="21"/>
          <w:highlight w:val="none"/>
          <w:lang w:eastAsia="zh-CN"/>
        </w:rPr>
        <w:t>等</w:t>
      </w:r>
      <w:r>
        <w:rPr>
          <w:rFonts w:hint="eastAsia" w:ascii="宋体" w:hAnsi="宋体" w:eastAsia="宋体" w:cs="宋体"/>
          <w:sz w:val="21"/>
          <w:szCs w:val="21"/>
          <w:highlight w:val="none"/>
        </w:rPr>
        <w:t>少数</w:t>
      </w:r>
      <w:r>
        <w:rPr>
          <w:rFonts w:hint="eastAsia" w:ascii="宋体" w:hAnsi="宋体" w:eastAsia="宋体" w:cs="宋体"/>
          <w:sz w:val="21"/>
          <w:szCs w:val="21"/>
          <w:highlight w:val="none"/>
          <w:lang w:eastAsia="zh-CN"/>
        </w:rPr>
        <w:t>涉及行业分类调整的</w:t>
      </w:r>
      <w:r>
        <w:rPr>
          <w:rFonts w:hint="eastAsia" w:ascii="宋体" w:hAnsi="宋体" w:eastAsia="宋体" w:cs="宋体"/>
          <w:color w:val="000000"/>
          <w:sz w:val="21"/>
          <w:szCs w:val="21"/>
          <w:highlight w:val="none"/>
          <w:lang w:eastAsia="zh-CN"/>
        </w:rPr>
        <w:t>从业</w:t>
      </w:r>
      <w:r>
        <w:rPr>
          <w:rFonts w:hint="eastAsia" w:ascii="宋体" w:hAnsi="宋体" w:eastAsia="宋体" w:cs="宋体"/>
          <w:sz w:val="21"/>
          <w:szCs w:val="21"/>
          <w:highlight w:val="none"/>
          <w:lang w:eastAsia="zh-CN"/>
        </w:rPr>
        <w:t>人员指标</w:t>
      </w:r>
      <w:r>
        <w:rPr>
          <w:rFonts w:hint="eastAsia" w:ascii="宋体" w:hAnsi="宋体" w:eastAsia="宋体" w:cs="宋体"/>
          <w:sz w:val="21"/>
          <w:szCs w:val="21"/>
          <w:highlight w:val="none"/>
        </w:rPr>
        <w:t>进行调整。</w:t>
      </w:r>
    </w:p>
    <w:p w14:paraId="23A344D7">
      <w:pPr>
        <w:spacing w:line="360" w:lineRule="auto"/>
        <w:ind w:firstLine="643"/>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2.</w:t>
      </w:r>
      <w:r>
        <w:rPr>
          <w:rFonts w:hint="eastAsia" w:ascii="宋体" w:hAnsi="宋体" w:eastAsia="宋体" w:cs="宋体"/>
          <w:b w:val="0"/>
          <w:bCs w:val="0"/>
          <w:sz w:val="21"/>
          <w:szCs w:val="21"/>
          <w:highlight w:val="none"/>
        </w:rPr>
        <w:t>关于财务指标阈值</w:t>
      </w:r>
      <w:r>
        <w:rPr>
          <w:rFonts w:hint="eastAsia" w:ascii="宋体" w:hAnsi="宋体" w:eastAsia="宋体" w:cs="宋体"/>
          <w:b w:val="0"/>
          <w:bCs w:val="0"/>
          <w:sz w:val="21"/>
          <w:szCs w:val="21"/>
          <w:highlight w:val="none"/>
          <w:lang w:eastAsia="zh-CN"/>
        </w:rPr>
        <w:t>。</w:t>
      </w:r>
      <w:r>
        <w:rPr>
          <w:rFonts w:hint="eastAsia" w:ascii="宋体" w:hAnsi="宋体" w:eastAsia="宋体" w:cs="宋体"/>
          <w:sz w:val="21"/>
          <w:szCs w:val="21"/>
          <w:highlight w:val="none"/>
        </w:rPr>
        <w:t>参考国际经验，结合我国国情，</w:t>
      </w:r>
      <w:r>
        <w:rPr>
          <w:rFonts w:hint="eastAsia" w:ascii="宋体" w:hAnsi="宋体" w:eastAsia="宋体" w:cs="宋体"/>
          <w:sz w:val="21"/>
          <w:szCs w:val="21"/>
          <w:highlight w:val="none"/>
          <w:lang w:eastAsia="zh-CN"/>
        </w:rPr>
        <w:t>本次修订</w:t>
      </w:r>
      <w:r>
        <w:rPr>
          <w:rFonts w:hint="eastAsia" w:ascii="宋体" w:hAnsi="宋体" w:eastAsia="宋体" w:cs="宋体"/>
          <w:sz w:val="21"/>
          <w:szCs w:val="21"/>
          <w:highlight w:val="none"/>
        </w:rPr>
        <w:t>主要考虑四方面因素影响</w:t>
      </w:r>
      <w:r>
        <w:rPr>
          <w:rFonts w:hint="eastAsia" w:ascii="宋体" w:hAnsi="宋体" w:eastAsia="宋体" w:cs="宋体"/>
          <w:sz w:val="21"/>
          <w:szCs w:val="21"/>
          <w:highlight w:val="none"/>
          <w:lang w:eastAsia="zh-CN"/>
        </w:rPr>
        <w:t>：</w:t>
      </w:r>
      <w:r>
        <w:rPr>
          <w:rFonts w:hint="eastAsia" w:ascii="宋体" w:hAnsi="宋体" w:eastAsia="宋体" w:cs="宋体"/>
          <w:b w:val="0"/>
          <w:bCs w:val="0"/>
          <w:sz w:val="21"/>
          <w:szCs w:val="21"/>
          <w:highlight w:val="none"/>
          <w:lang w:eastAsia="zh-CN"/>
        </w:rPr>
        <w:t>一是</w:t>
      </w:r>
      <w:r>
        <w:rPr>
          <w:rFonts w:hint="eastAsia" w:ascii="宋体" w:hAnsi="宋体" w:eastAsia="宋体" w:cs="宋体"/>
          <w:b w:val="0"/>
          <w:bCs w:val="0"/>
          <w:sz w:val="21"/>
          <w:szCs w:val="21"/>
          <w:highlight w:val="none"/>
        </w:rPr>
        <w:t>劳动生产率提高的影响</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rPr>
        <w:t>二是双指标划型区间并集转交集的影响</w:t>
      </w:r>
      <w:r>
        <w:rPr>
          <w:rFonts w:hint="eastAsia" w:ascii="宋体" w:hAnsi="宋体" w:eastAsia="宋体" w:cs="宋体"/>
          <w:sz w:val="21"/>
          <w:szCs w:val="21"/>
          <w:highlight w:val="none"/>
          <w:lang w:eastAsia="zh-CN"/>
        </w:rPr>
        <w:t>；</w:t>
      </w:r>
      <w:r>
        <w:rPr>
          <w:rFonts w:hint="eastAsia" w:ascii="宋体" w:hAnsi="宋体" w:eastAsia="宋体" w:cs="宋体"/>
          <w:b w:val="0"/>
          <w:bCs w:val="0"/>
          <w:sz w:val="21"/>
          <w:szCs w:val="21"/>
          <w:highlight w:val="none"/>
        </w:rPr>
        <w:t>三是定量指标阈值调整与</w:t>
      </w:r>
      <w:r>
        <w:rPr>
          <w:rFonts w:hint="eastAsia" w:ascii="宋体" w:hAnsi="宋体" w:eastAsia="宋体" w:cs="宋体"/>
          <w:b w:val="0"/>
          <w:bCs w:val="0"/>
          <w:sz w:val="21"/>
          <w:szCs w:val="21"/>
          <w:highlight w:val="none"/>
          <w:lang w:eastAsia="zh-CN"/>
        </w:rPr>
        <w:t>部分行业</w:t>
      </w:r>
      <w:r>
        <w:rPr>
          <w:rFonts w:hint="eastAsia" w:ascii="宋体" w:hAnsi="宋体" w:eastAsia="宋体" w:cs="宋体"/>
          <w:b w:val="0"/>
          <w:bCs w:val="0"/>
          <w:sz w:val="21"/>
          <w:szCs w:val="21"/>
          <w:highlight w:val="none"/>
        </w:rPr>
        <w:t>现有统计规模（或限额）口径衔接</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rPr>
        <w:t>四是各行业规模类型</w:t>
      </w:r>
      <w:r>
        <w:rPr>
          <w:rFonts w:hint="eastAsia" w:ascii="宋体" w:hAnsi="宋体" w:eastAsia="宋体" w:cs="宋体"/>
          <w:b w:val="0"/>
          <w:bCs w:val="0"/>
          <w:sz w:val="21"/>
          <w:szCs w:val="21"/>
          <w:highlight w:val="none"/>
          <w:lang w:eastAsia="zh-CN"/>
        </w:rPr>
        <w:t>比例相对稳定</w:t>
      </w:r>
      <w:r>
        <w:rPr>
          <w:rFonts w:hint="eastAsia" w:ascii="宋体" w:hAnsi="宋体" w:eastAsia="宋体" w:cs="宋体"/>
          <w:b w:val="0"/>
          <w:bCs w:val="0"/>
          <w:sz w:val="21"/>
          <w:szCs w:val="21"/>
          <w:highlight w:val="none"/>
        </w:rPr>
        <w:t>。</w:t>
      </w:r>
    </w:p>
    <w:p w14:paraId="7F500904">
      <w:pPr>
        <w:spacing w:line="360" w:lineRule="auto"/>
        <w:ind w:firstLine="643"/>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修订</w:t>
      </w:r>
      <w:r>
        <w:rPr>
          <w:rFonts w:hint="eastAsia" w:ascii="宋体" w:hAnsi="宋体" w:eastAsia="宋体" w:cs="宋体"/>
          <w:sz w:val="21"/>
          <w:szCs w:val="21"/>
          <w:highlight w:val="none"/>
        </w:rPr>
        <w:t>后，</w:t>
      </w:r>
      <w:r>
        <w:rPr>
          <w:rFonts w:hint="eastAsia" w:ascii="宋体" w:hAnsi="宋体" w:eastAsia="宋体" w:cs="宋体"/>
          <w:sz w:val="21"/>
          <w:szCs w:val="21"/>
          <w:highlight w:val="none"/>
          <w:lang w:eastAsia="zh-CN"/>
        </w:rPr>
        <w:t>各行业</w:t>
      </w:r>
      <w:r>
        <w:rPr>
          <w:rFonts w:hint="eastAsia" w:ascii="宋体" w:hAnsi="宋体" w:eastAsia="宋体" w:cs="宋体"/>
          <w:sz w:val="21"/>
          <w:szCs w:val="21"/>
          <w:highlight w:val="none"/>
        </w:rPr>
        <w:t>各类型企业比例与《划型标准》制定时的大中小微企业类型分布比例</w:t>
      </w:r>
      <w:r>
        <w:rPr>
          <w:rFonts w:hint="eastAsia" w:ascii="宋体" w:hAnsi="宋体" w:eastAsia="宋体" w:cs="宋体"/>
          <w:sz w:val="21"/>
          <w:szCs w:val="21"/>
          <w:highlight w:val="none"/>
          <w:lang w:eastAsia="zh-CN"/>
        </w:rPr>
        <w:t>相对稳定，</w:t>
      </w:r>
      <w:r>
        <w:rPr>
          <w:rFonts w:hint="eastAsia" w:ascii="宋体" w:hAnsi="宋体" w:eastAsia="宋体" w:cs="宋体"/>
          <w:sz w:val="21"/>
          <w:szCs w:val="21"/>
          <w:highlight w:val="none"/>
        </w:rPr>
        <w:t>中小企业特别是小微企业分布维持相对合理比例</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所有行业的规模（限额）以上企业中将不再含有微型企业，微型企业均为规模（限额）以下企业。</w:t>
      </w:r>
    </w:p>
    <w:p w14:paraId="51228152">
      <w:pPr>
        <w:keepNext w:val="0"/>
        <w:keepLines w:val="0"/>
        <w:pageBreakBefore w:val="0"/>
        <w:widowControl/>
        <w:kinsoku/>
        <w:wordWrap/>
        <w:overflowPunct/>
        <w:topLinePunct w:val="0"/>
        <w:autoSpaceDE/>
        <w:autoSpaceDN/>
        <w:bidi w:val="0"/>
        <w:adjustRightInd/>
        <w:snapToGrid/>
        <w:spacing w:beforeLines="0" w:afterLines="0" w:line="360" w:lineRule="auto"/>
        <w:ind w:left="0" w:leftChars="0" w:right="0" w:rightChars="0" w:firstLine="422" w:firstLineChars="200"/>
        <w:jc w:val="left"/>
        <w:textAlignment w:val="auto"/>
        <w:outlineLvl w:val="9"/>
        <w:rPr>
          <w:rFonts w:hint="eastAsia" w:ascii="宋体" w:hAnsi="宋体" w:eastAsia="宋体" w:cs="宋体"/>
          <w:b/>
          <w:bCs w:val="0"/>
          <w:sz w:val="21"/>
          <w:szCs w:val="21"/>
          <w:highlight w:val="none"/>
          <w:lang w:eastAsia="zh-CN"/>
        </w:rPr>
      </w:pPr>
      <w:r>
        <w:rPr>
          <w:rFonts w:hint="eastAsia" w:ascii="宋体" w:hAnsi="宋体" w:eastAsia="宋体" w:cs="宋体"/>
          <w:b/>
          <w:bCs w:val="0"/>
          <w:sz w:val="21"/>
          <w:szCs w:val="21"/>
          <w:highlight w:val="none"/>
          <w:lang w:val="en-US" w:eastAsia="zh-CN"/>
        </w:rPr>
        <w:t>（五）</w:t>
      </w:r>
      <w:r>
        <w:rPr>
          <w:rFonts w:hint="eastAsia" w:ascii="宋体" w:hAnsi="宋体" w:eastAsia="宋体" w:cs="宋体"/>
          <w:b/>
          <w:bCs w:val="0"/>
          <w:sz w:val="21"/>
          <w:szCs w:val="21"/>
          <w:highlight w:val="none"/>
        </w:rPr>
        <w:t>增加定性标准</w:t>
      </w:r>
    </w:p>
    <w:p w14:paraId="77CD2693">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jc w:val="both"/>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为解决实践中大型企业所属子公司因符合中小企业划型定量标准，挤占中小企业有限的政策资源或悬空大型企业法律责任义务问题，借鉴欧美日等设置中小企业独立经营方面定性标准的经验，增加“定性”标准，即规定“符合中小企业划型定量标准，但有下列情形之一的，视同大型企业：单个大型企业或大型企业全资子公司直接控股超过50%的企业；两个以上大型企业或大型企业全资子公司直接控股超过50%的企业；与大型企业或大型企业全资子公司的法定代表人为同一人的企业。”将大型企业所属或直接控制企业排除在中小企业之外</w:t>
      </w:r>
      <w:r>
        <w:rPr>
          <w:rFonts w:hint="eastAsia" w:ascii="宋体" w:hAnsi="宋体" w:eastAsia="宋体" w:cs="宋体"/>
          <w:sz w:val="21"/>
          <w:szCs w:val="21"/>
          <w:highlight w:val="none"/>
        </w:rPr>
        <w:t>。</w:t>
      </w:r>
    </w:p>
    <w:p w14:paraId="68C1815B">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2" w:firstLineChars="200"/>
        <w:jc w:val="both"/>
        <w:textAlignment w:val="auto"/>
        <w:outlineLvl w:val="9"/>
        <w:rPr>
          <w:rFonts w:hint="eastAsia" w:ascii="宋体" w:hAnsi="宋体" w:eastAsia="宋体" w:cs="宋体"/>
          <w:b/>
          <w:bCs w:val="0"/>
          <w:sz w:val="21"/>
          <w:szCs w:val="21"/>
          <w:highlight w:val="none"/>
          <w:lang w:eastAsia="zh-CN"/>
        </w:rPr>
      </w:pPr>
      <w:r>
        <w:rPr>
          <w:rFonts w:hint="eastAsia" w:ascii="宋体" w:hAnsi="宋体" w:eastAsia="宋体" w:cs="宋体"/>
          <w:b/>
          <w:bCs w:val="0"/>
          <w:sz w:val="21"/>
          <w:szCs w:val="21"/>
          <w:highlight w:val="none"/>
          <w:lang w:val="en-US" w:eastAsia="zh-CN"/>
        </w:rPr>
        <w:t>（六）增加有关</w:t>
      </w:r>
      <w:r>
        <w:rPr>
          <w:rFonts w:hint="eastAsia" w:ascii="宋体" w:hAnsi="宋体" w:eastAsia="宋体" w:cs="宋体"/>
          <w:b/>
          <w:bCs w:val="0"/>
          <w:sz w:val="21"/>
          <w:szCs w:val="21"/>
          <w:highlight w:val="none"/>
        </w:rPr>
        <w:t>中小企业规模类型</w:t>
      </w:r>
      <w:r>
        <w:rPr>
          <w:rFonts w:hint="eastAsia" w:ascii="宋体" w:hAnsi="宋体" w:eastAsia="宋体" w:cs="宋体"/>
          <w:b/>
          <w:bCs w:val="0"/>
          <w:sz w:val="21"/>
          <w:szCs w:val="21"/>
          <w:highlight w:val="none"/>
          <w:lang w:eastAsia="zh-CN"/>
        </w:rPr>
        <w:t>自我声明及</w:t>
      </w:r>
      <w:r>
        <w:rPr>
          <w:rFonts w:hint="eastAsia" w:ascii="宋体" w:hAnsi="宋体" w:eastAsia="宋体" w:cs="宋体"/>
          <w:b/>
          <w:bCs w:val="0"/>
          <w:sz w:val="21"/>
          <w:szCs w:val="21"/>
          <w:highlight w:val="none"/>
        </w:rPr>
        <w:t>认定</w:t>
      </w:r>
      <w:r>
        <w:rPr>
          <w:rFonts w:hint="eastAsia" w:ascii="宋体" w:hAnsi="宋体" w:eastAsia="宋体" w:cs="宋体"/>
          <w:b/>
          <w:bCs w:val="0"/>
          <w:sz w:val="21"/>
          <w:szCs w:val="21"/>
          <w:highlight w:val="none"/>
          <w:lang w:eastAsia="zh-CN"/>
        </w:rPr>
        <w:t>内容</w:t>
      </w:r>
    </w:p>
    <w:p w14:paraId="15F9E09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按照《国务院办公厅关于全面推行证明事项和涉企经营许可事项告知承诺制的指导意见》和《政府采购促进中小企业发展管理办法》的实践做法，《划型标准》修订中明确“</w:t>
      </w:r>
      <w:r>
        <w:rPr>
          <w:rFonts w:hint="eastAsia" w:ascii="宋体" w:hAnsi="宋体" w:eastAsia="宋体" w:cs="宋体"/>
          <w:sz w:val="21"/>
          <w:szCs w:val="21"/>
          <w:highlight w:val="none"/>
        </w:rPr>
        <w:t>中小企业规模类型采用自我声明的方式，企业对自我声明内容的真实性负责</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sz w:val="21"/>
          <w:szCs w:val="21"/>
          <w:highlight w:val="none"/>
        </w:rPr>
        <w:t>。</w:t>
      </w:r>
      <w:r>
        <w:rPr>
          <w:rFonts w:hint="eastAsia" w:ascii="宋体" w:hAnsi="宋体" w:eastAsia="宋体" w:cs="宋体"/>
          <w:color w:val="auto"/>
          <w:kern w:val="2"/>
          <w:sz w:val="21"/>
          <w:szCs w:val="21"/>
          <w:highlight w:val="none"/>
          <w:lang w:val="en-US" w:eastAsia="zh-CN" w:bidi="ar-SA"/>
        </w:rPr>
        <w:t>同时，明确“</w:t>
      </w:r>
      <w:r>
        <w:rPr>
          <w:rFonts w:hint="eastAsia" w:ascii="宋体" w:hAnsi="宋体" w:eastAsia="宋体" w:cs="宋体"/>
          <w:sz w:val="21"/>
          <w:szCs w:val="21"/>
          <w:highlight w:val="none"/>
        </w:rPr>
        <w:t>在监督检查、投诉处理中对中小企业规模类型有争议的，有关部门可以向有争议的企业登记所在地同级负责中小企业促进工作综合管理部门书面提请认定</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sz w:val="21"/>
          <w:szCs w:val="21"/>
          <w:highlight w:val="none"/>
        </w:rPr>
        <w:t>。</w:t>
      </w:r>
    </w:p>
    <w:p w14:paraId="69A727DE">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2" w:firstLineChars="200"/>
        <w:jc w:val="both"/>
        <w:textAlignment w:val="auto"/>
        <w:outlineLvl w:val="9"/>
        <w:rPr>
          <w:rFonts w:hint="eastAsia" w:ascii="宋体" w:hAnsi="宋体" w:eastAsia="宋体" w:cs="宋体"/>
          <w:b/>
          <w:sz w:val="21"/>
          <w:szCs w:val="21"/>
          <w:highlight w:val="none"/>
          <w:lang w:eastAsia="zh-CN"/>
        </w:rPr>
      </w:pPr>
      <w:r>
        <w:rPr>
          <w:rFonts w:hint="eastAsia" w:ascii="宋体" w:hAnsi="宋体" w:eastAsia="宋体" w:cs="宋体"/>
          <w:b/>
          <w:bCs w:val="0"/>
          <w:sz w:val="21"/>
          <w:szCs w:val="21"/>
          <w:highlight w:val="none"/>
          <w:lang w:val="en-US" w:eastAsia="zh-CN"/>
        </w:rPr>
        <w:t>（七）</w:t>
      </w:r>
      <w:r>
        <w:rPr>
          <w:rFonts w:hint="eastAsia" w:ascii="宋体" w:hAnsi="宋体" w:eastAsia="宋体" w:cs="宋体"/>
          <w:b/>
          <w:bCs w:val="0"/>
          <w:sz w:val="21"/>
          <w:szCs w:val="21"/>
          <w:highlight w:val="none"/>
        </w:rPr>
        <w:t>建立《划型标准》定期评估制度</w:t>
      </w:r>
    </w:p>
    <w:p w14:paraId="622C53D4">
      <w:pPr>
        <w:pStyle w:val="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借鉴国际经验，设立我国中小企业划型标准定期评估制度：</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由国务院促进中小企业发展综合管理部门、国家统计部门会同有关部门根据经济社会发展情况，每5年定期评估，根据评估情况适时修订。</w:t>
      </w:r>
      <w:r>
        <w:rPr>
          <w:rFonts w:hint="eastAsia" w:ascii="宋体" w:hAnsi="宋体" w:eastAsia="宋体" w:cs="宋体"/>
          <w:sz w:val="21"/>
          <w:szCs w:val="21"/>
          <w:highlight w:val="none"/>
          <w:lang w:eastAsia="zh-CN"/>
        </w:rPr>
        <w:t>”</w:t>
      </w:r>
    </w:p>
    <w:p w14:paraId="1D3BDCBB">
      <w:pPr>
        <w:rPr>
          <w:rFonts w:hint="eastAsia"/>
        </w:rPr>
      </w:pPr>
      <w:r>
        <w:rPr>
          <w:rFonts w:hint="eastAsia"/>
        </w:rPr>
        <w:br w:type="page"/>
      </w:r>
    </w:p>
    <w:p w14:paraId="13B0E389">
      <w:pPr>
        <w:pStyle w:val="18"/>
        <w:spacing w:line="360" w:lineRule="auto"/>
        <w:outlineLvl w:val="0"/>
        <w:rPr>
          <w:color w:val="000000"/>
          <w:sz w:val="32"/>
          <w:szCs w:val="32"/>
          <w:highlight w:val="none"/>
        </w:rPr>
      </w:pPr>
      <w:bookmarkStart w:id="32" w:name="_Toc1779"/>
      <w:r>
        <w:rPr>
          <w:rFonts w:hint="eastAsia"/>
          <w:color w:val="000000"/>
          <w:sz w:val="32"/>
          <w:szCs w:val="32"/>
          <w:highlight w:val="none"/>
        </w:rPr>
        <w:t>第三章</w:t>
      </w:r>
      <w:bookmarkStart w:id="33" w:name="_Hlt101846155"/>
      <w:bookmarkEnd w:id="33"/>
      <w:bookmarkStart w:id="34" w:name="_Toc183682415"/>
      <w:bookmarkStart w:id="35" w:name="_Toc217446097"/>
      <w:bookmarkStart w:id="36" w:name="_Toc183582280"/>
      <w:bookmarkStart w:id="37" w:name="_Toc208849007"/>
      <w:r>
        <w:rPr>
          <w:rFonts w:hint="eastAsia"/>
          <w:color w:val="000000"/>
          <w:sz w:val="32"/>
          <w:szCs w:val="32"/>
          <w:highlight w:val="none"/>
        </w:rPr>
        <w:t xml:space="preserve"> 评标方法及标准</w:t>
      </w:r>
      <w:bookmarkEnd w:id="32"/>
    </w:p>
    <w:bookmarkEnd w:id="34"/>
    <w:bookmarkEnd w:id="35"/>
    <w:bookmarkEnd w:id="36"/>
    <w:bookmarkEnd w:id="37"/>
    <w:p w14:paraId="20126A16">
      <w:pPr>
        <w:autoSpaceDE w:val="0"/>
        <w:autoSpaceDN w:val="0"/>
        <w:adjustRightInd w:val="0"/>
        <w:spacing w:line="360" w:lineRule="auto"/>
        <w:jc w:val="center"/>
        <w:rPr>
          <w:rFonts w:hint="eastAsia" w:ascii="宋体" w:hAnsi="宋体" w:cs="宋体-18030"/>
          <w:kern w:val="0"/>
          <w:sz w:val="28"/>
          <w:szCs w:val="28"/>
          <w:highlight w:val="none"/>
        </w:rPr>
      </w:pPr>
      <w:r>
        <w:rPr>
          <w:rFonts w:hint="eastAsia" w:ascii="宋体" w:hAnsi="宋体" w:cs="宋体-18030"/>
          <w:kern w:val="0"/>
          <w:sz w:val="28"/>
          <w:szCs w:val="28"/>
          <w:highlight w:val="none"/>
        </w:rPr>
        <w:t>评标办法前附表(一)</w:t>
      </w:r>
    </w:p>
    <w:p w14:paraId="2E66C45F">
      <w:pPr>
        <w:spacing w:line="360" w:lineRule="auto"/>
        <w:jc w:val="center"/>
        <w:rPr>
          <w:rFonts w:hint="eastAsia" w:ascii="宋体"/>
          <w:highlight w:val="none"/>
        </w:rPr>
      </w:pPr>
      <w:r>
        <w:rPr>
          <w:rFonts w:hint="eastAsia" w:ascii="宋体"/>
          <w:b/>
          <w:bCs/>
          <w:sz w:val="28"/>
          <w:szCs w:val="28"/>
          <w:highlight w:val="none"/>
        </w:rPr>
        <w:t>初步评审表</w:t>
      </w:r>
    </w:p>
    <w:tbl>
      <w:tblPr>
        <w:tblStyle w:val="21"/>
        <w:tblW w:w="4998" w:type="pct"/>
        <w:tblInd w:w="0" w:type="dxa"/>
        <w:shd w:val="clear" w:color="auto" w:fill="auto"/>
        <w:tblLayout w:type="autofit"/>
        <w:tblCellMar>
          <w:top w:w="0" w:type="dxa"/>
          <w:left w:w="108" w:type="dxa"/>
          <w:bottom w:w="0" w:type="dxa"/>
          <w:right w:w="108" w:type="dxa"/>
        </w:tblCellMar>
      </w:tblPr>
      <w:tblGrid>
        <w:gridCol w:w="741"/>
        <w:gridCol w:w="666"/>
        <w:gridCol w:w="1788"/>
        <w:gridCol w:w="5318"/>
      </w:tblGrid>
      <w:tr w14:paraId="5B9CA526">
        <w:tblPrEx>
          <w:tblCellMar>
            <w:top w:w="0" w:type="dxa"/>
            <w:left w:w="108" w:type="dxa"/>
            <w:bottom w:w="0" w:type="dxa"/>
            <w:right w:w="108" w:type="dxa"/>
          </w:tblCellMar>
        </w:tblPrEx>
        <w:trPr>
          <w:trHeight w:val="384" w:hRule="atLeast"/>
        </w:trPr>
        <w:tc>
          <w:tcPr>
            <w:tcW w:w="826" w:type="pct"/>
            <w:gridSpan w:val="2"/>
            <w:tcBorders>
              <w:top w:val="single" w:color="000000" w:sz="2" w:space="0"/>
              <w:left w:val="single" w:color="000000" w:sz="2" w:space="0"/>
              <w:bottom w:val="single" w:color="000000" w:sz="2" w:space="0"/>
              <w:right w:val="single" w:color="000000" w:sz="2" w:space="0"/>
            </w:tcBorders>
            <w:shd w:val="clear" w:color="auto" w:fill="auto"/>
            <w:noWrap w:val="0"/>
            <w:vAlign w:val="center"/>
          </w:tcPr>
          <w:p w14:paraId="60F6FEB0">
            <w:pPr>
              <w:keepNext w:val="0"/>
              <w:keepLines w:val="0"/>
              <w:pageBreakBefore w:val="0"/>
              <w:kinsoku/>
              <w:wordWrap/>
              <w:overflowPunct/>
              <w:topLinePunct w:val="0"/>
              <w:autoSpaceDE w:val="0"/>
              <w:autoSpaceDN w:val="0"/>
              <w:bidi w:val="0"/>
              <w:adjustRightInd w:val="0"/>
              <w:spacing w:line="360" w:lineRule="auto"/>
              <w:jc w:val="center"/>
              <w:rPr>
                <w:rFonts w:ascii="宋体" w:hAnsi="宋体" w:cs="宋体"/>
                <w:kern w:val="0"/>
                <w:sz w:val="22"/>
                <w:szCs w:val="22"/>
                <w:highlight w:val="none"/>
                <w:lang w:val="zh-CN"/>
              </w:rPr>
            </w:pPr>
            <w:r>
              <w:rPr>
                <w:rFonts w:hint="eastAsia" w:ascii="宋体" w:hAnsi="宋体" w:cs="宋体"/>
                <w:kern w:val="0"/>
                <w:highlight w:val="none"/>
                <w:lang w:val="zh-CN"/>
              </w:rPr>
              <w:t>条款号</w:t>
            </w:r>
          </w:p>
        </w:tc>
        <w:tc>
          <w:tcPr>
            <w:tcW w:w="1050" w:type="pct"/>
            <w:tcBorders>
              <w:top w:val="single" w:color="000000" w:sz="2" w:space="0"/>
              <w:left w:val="single" w:color="000000" w:sz="2" w:space="0"/>
              <w:bottom w:val="single" w:color="000000" w:sz="2" w:space="0"/>
              <w:right w:val="single" w:color="000000" w:sz="2" w:space="0"/>
            </w:tcBorders>
            <w:shd w:val="clear" w:color="auto" w:fill="auto"/>
            <w:noWrap w:val="0"/>
            <w:vAlign w:val="center"/>
          </w:tcPr>
          <w:p w14:paraId="1A2338B9">
            <w:pPr>
              <w:keepNext w:val="0"/>
              <w:keepLines w:val="0"/>
              <w:pageBreakBefore w:val="0"/>
              <w:kinsoku/>
              <w:wordWrap/>
              <w:overflowPunct/>
              <w:topLinePunct w:val="0"/>
              <w:autoSpaceDE w:val="0"/>
              <w:autoSpaceDN w:val="0"/>
              <w:bidi w:val="0"/>
              <w:adjustRightInd w:val="0"/>
              <w:spacing w:line="360" w:lineRule="auto"/>
              <w:jc w:val="center"/>
              <w:rPr>
                <w:rFonts w:ascii="宋体" w:hAnsi="宋体" w:cs="宋体"/>
                <w:kern w:val="0"/>
                <w:sz w:val="22"/>
                <w:szCs w:val="22"/>
                <w:highlight w:val="none"/>
                <w:lang w:val="zh-CN"/>
              </w:rPr>
            </w:pPr>
            <w:r>
              <w:rPr>
                <w:rFonts w:hint="eastAsia" w:ascii="宋体" w:hAnsi="宋体" w:cs="宋体"/>
                <w:kern w:val="0"/>
                <w:highlight w:val="none"/>
                <w:lang w:val="zh-CN"/>
              </w:rPr>
              <w:t>评审因素</w:t>
            </w:r>
          </w:p>
        </w:tc>
        <w:tc>
          <w:tcPr>
            <w:tcW w:w="3123" w:type="pct"/>
            <w:tcBorders>
              <w:top w:val="single" w:color="000000" w:sz="2" w:space="0"/>
              <w:left w:val="single" w:color="000000" w:sz="2" w:space="0"/>
              <w:bottom w:val="single" w:color="000000" w:sz="2" w:space="0"/>
              <w:right w:val="single" w:color="000000" w:sz="2" w:space="0"/>
            </w:tcBorders>
            <w:shd w:val="clear" w:color="auto" w:fill="auto"/>
            <w:noWrap w:val="0"/>
            <w:vAlign w:val="center"/>
          </w:tcPr>
          <w:p w14:paraId="416AB6D9">
            <w:pPr>
              <w:keepNext w:val="0"/>
              <w:keepLines w:val="0"/>
              <w:pageBreakBefore w:val="0"/>
              <w:kinsoku/>
              <w:wordWrap/>
              <w:overflowPunct/>
              <w:topLinePunct w:val="0"/>
              <w:autoSpaceDE w:val="0"/>
              <w:autoSpaceDN w:val="0"/>
              <w:bidi w:val="0"/>
              <w:adjustRightInd w:val="0"/>
              <w:spacing w:line="360" w:lineRule="auto"/>
              <w:jc w:val="center"/>
              <w:rPr>
                <w:rFonts w:ascii="宋体" w:hAnsi="宋体" w:cs="宋体"/>
                <w:kern w:val="0"/>
                <w:sz w:val="22"/>
                <w:szCs w:val="22"/>
                <w:highlight w:val="none"/>
                <w:lang w:val="zh-CN"/>
              </w:rPr>
            </w:pPr>
            <w:r>
              <w:rPr>
                <w:rFonts w:hint="eastAsia" w:ascii="宋体" w:hAnsi="宋体" w:cs="宋体"/>
                <w:kern w:val="0"/>
                <w:highlight w:val="none"/>
                <w:lang w:val="zh-CN"/>
              </w:rPr>
              <w:t>评审标准</w:t>
            </w:r>
          </w:p>
        </w:tc>
      </w:tr>
      <w:tr w14:paraId="1F8DDAF3">
        <w:tblPrEx>
          <w:tblCellMar>
            <w:top w:w="0" w:type="dxa"/>
            <w:left w:w="108" w:type="dxa"/>
            <w:bottom w:w="0" w:type="dxa"/>
            <w:right w:w="108" w:type="dxa"/>
          </w:tblCellMar>
        </w:tblPrEx>
        <w:trPr>
          <w:trHeight w:val="384" w:hRule="atLeast"/>
        </w:trPr>
        <w:tc>
          <w:tcPr>
            <w:tcW w:w="435" w:type="pct"/>
            <w:vMerge w:val="restart"/>
            <w:tcBorders>
              <w:top w:val="single" w:color="000000" w:sz="2" w:space="0"/>
              <w:left w:val="single" w:color="000000" w:sz="2" w:space="0"/>
              <w:right w:val="single" w:color="000000" w:sz="2" w:space="0"/>
            </w:tcBorders>
            <w:shd w:val="clear" w:color="auto" w:fill="auto"/>
            <w:noWrap w:val="0"/>
            <w:vAlign w:val="center"/>
          </w:tcPr>
          <w:p w14:paraId="18FED176">
            <w:pPr>
              <w:keepNext w:val="0"/>
              <w:keepLines w:val="0"/>
              <w:pageBreakBefore w:val="0"/>
              <w:kinsoku/>
              <w:wordWrap/>
              <w:overflowPunct/>
              <w:topLinePunct w:val="0"/>
              <w:autoSpaceDE w:val="0"/>
              <w:autoSpaceDN w:val="0"/>
              <w:bidi w:val="0"/>
              <w:adjustRightInd w:val="0"/>
              <w:spacing w:line="360" w:lineRule="auto"/>
              <w:jc w:val="center"/>
              <w:rPr>
                <w:rFonts w:hint="eastAsia" w:ascii="宋体" w:hAnsi="宋体" w:cs="宋体" w:eastAsiaTheme="minorEastAsia"/>
                <w:kern w:val="0"/>
                <w:sz w:val="22"/>
                <w:szCs w:val="22"/>
                <w:highlight w:val="none"/>
                <w:lang w:val="en-US" w:eastAsia="zh-CN"/>
              </w:rPr>
            </w:pPr>
            <w:r>
              <w:rPr>
                <w:rFonts w:hint="eastAsia" w:ascii="宋体" w:hAnsi="宋体" w:cs="宋体"/>
                <w:kern w:val="0"/>
                <w:highlight w:val="none"/>
              </w:rPr>
              <w:t>2.1.</w:t>
            </w:r>
            <w:r>
              <w:rPr>
                <w:rFonts w:hint="eastAsia" w:ascii="宋体" w:hAnsi="宋体" w:cs="宋体"/>
                <w:kern w:val="0"/>
                <w:highlight w:val="none"/>
                <w:lang w:val="en-US" w:eastAsia="zh-CN"/>
              </w:rPr>
              <w:t>1</w:t>
            </w:r>
          </w:p>
        </w:tc>
        <w:tc>
          <w:tcPr>
            <w:tcW w:w="391" w:type="pct"/>
            <w:vMerge w:val="restart"/>
            <w:tcBorders>
              <w:top w:val="single" w:color="000000" w:sz="2" w:space="0"/>
              <w:left w:val="single" w:color="000000" w:sz="2" w:space="0"/>
              <w:right w:val="single" w:color="000000" w:sz="2" w:space="0"/>
            </w:tcBorders>
            <w:shd w:val="clear" w:color="auto" w:fill="auto"/>
            <w:noWrap w:val="0"/>
            <w:vAlign w:val="center"/>
          </w:tcPr>
          <w:p w14:paraId="739B8D4B">
            <w:pPr>
              <w:keepNext w:val="0"/>
              <w:keepLines w:val="0"/>
              <w:pageBreakBefore w:val="0"/>
              <w:kinsoku/>
              <w:wordWrap/>
              <w:overflowPunct/>
              <w:topLinePunct w:val="0"/>
              <w:autoSpaceDE w:val="0"/>
              <w:autoSpaceDN w:val="0"/>
              <w:bidi w:val="0"/>
              <w:adjustRightInd w:val="0"/>
              <w:spacing w:line="360" w:lineRule="auto"/>
              <w:jc w:val="center"/>
              <w:rPr>
                <w:rFonts w:ascii="宋体" w:hAnsi="宋体" w:cs="宋体"/>
                <w:kern w:val="0"/>
                <w:sz w:val="22"/>
                <w:szCs w:val="22"/>
                <w:highlight w:val="none"/>
                <w:lang w:val="zh-CN"/>
              </w:rPr>
            </w:pPr>
            <w:r>
              <w:rPr>
                <w:rFonts w:hint="eastAsia" w:ascii="宋体" w:hAnsi="宋体" w:cs="宋体"/>
                <w:kern w:val="0"/>
                <w:highlight w:val="none"/>
                <w:lang w:val="zh-CN"/>
              </w:rPr>
              <w:t>资格评审标准</w:t>
            </w:r>
          </w:p>
        </w:tc>
        <w:tc>
          <w:tcPr>
            <w:tcW w:w="1050" w:type="pct"/>
            <w:tcBorders>
              <w:top w:val="single" w:color="000000" w:sz="2" w:space="0"/>
              <w:left w:val="single" w:color="000000" w:sz="2" w:space="0"/>
              <w:bottom w:val="single" w:color="000000" w:sz="2" w:space="0"/>
              <w:right w:val="single" w:color="000000" w:sz="2" w:space="0"/>
            </w:tcBorders>
            <w:shd w:val="clear" w:color="auto" w:fill="auto"/>
            <w:noWrap w:val="0"/>
            <w:vAlign w:val="center"/>
          </w:tcPr>
          <w:p w14:paraId="5560F4E7">
            <w:pPr>
              <w:keepNext w:val="0"/>
              <w:keepLines w:val="0"/>
              <w:pageBreakBefore w:val="0"/>
              <w:kinsoku/>
              <w:wordWrap/>
              <w:overflowPunct/>
              <w:topLinePunct w:val="0"/>
              <w:autoSpaceDE w:val="0"/>
              <w:autoSpaceDN w:val="0"/>
              <w:bidi w:val="0"/>
              <w:adjustRightInd w:val="0"/>
              <w:spacing w:line="360" w:lineRule="auto"/>
              <w:jc w:val="center"/>
              <w:rPr>
                <w:rFonts w:hint="eastAsia" w:ascii="宋体" w:hAnsi="宋体" w:cs="宋体"/>
                <w:kern w:val="0"/>
                <w:highlight w:val="none"/>
                <w:lang w:val="zh-CN"/>
              </w:rPr>
            </w:pPr>
            <w:r>
              <w:rPr>
                <w:rFonts w:hint="eastAsia" w:ascii="宋体" w:hAnsi="宋体" w:eastAsia="宋体" w:cs="宋体"/>
                <w:sz w:val="21"/>
                <w:szCs w:val="21"/>
                <w:highlight w:val="none"/>
              </w:rPr>
              <w:t>独立承担民事责任能力的法人、自然人或具备国家认可经营资格的其他组织</w:t>
            </w:r>
          </w:p>
        </w:tc>
        <w:tc>
          <w:tcPr>
            <w:tcW w:w="3123" w:type="pct"/>
            <w:tcBorders>
              <w:top w:val="single" w:color="000000" w:sz="2" w:space="0"/>
              <w:left w:val="single" w:color="000000" w:sz="2" w:space="0"/>
              <w:bottom w:val="single" w:color="000000" w:sz="2" w:space="0"/>
              <w:right w:val="single" w:color="000000" w:sz="2" w:space="0"/>
            </w:tcBorders>
            <w:shd w:val="clear" w:color="auto" w:fill="auto"/>
            <w:noWrap w:val="0"/>
            <w:vAlign w:val="center"/>
          </w:tcPr>
          <w:p w14:paraId="4315EE30">
            <w:pPr>
              <w:keepNext w:val="0"/>
              <w:keepLines w:val="0"/>
              <w:pageBreakBefore w:val="0"/>
              <w:kinsoku/>
              <w:wordWrap/>
              <w:overflowPunct/>
              <w:topLinePunct w:val="0"/>
              <w:autoSpaceDE w:val="0"/>
              <w:autoSpaceDN w:val="0"/>
              <w:bidi w:val="0"/>
              <w:adjustRightInd w:val="0"/>
              <w:spacing w:line="360" w:lineRule="auto"/>
              <w:rPr>
                <w:rFonts w:hint="eastAsia" w:ascii="宋体" w:hAnsi="宋体" w:cs="宋体"/>
                <w:kern w:val="0"/>
                <w:highlight w:val="none"/>
                <w:lang w:val="zh-CN"/>
              </w:rPr>
            </w:pPr>
            <w:r>
              <w:rPr>
                <w:rFonts w:hint="eastAsia" w:ascii="宋体" w:hAnsi="宋体" w:cs="宋体"/>
                <w:kern w:val="0"/>
                <w:highlight w:val="none"/>
                <w:lang w:val="zh-CN"/>
              </w:rPr>
              <w:t>①如投标人是企业，提供在工商部门注册的有效“企业法人营业执照”或“营业执照”；</w:t>
            </w:r>
          </w:p>
          <w:p w14:paraId="68B27B88">
            <w:pPr>
              <w:keepNext w:val="0"/>
              <w:keepLines w:val="0"/>
              <w:pageBreakBefore w:val="0"/>
              <w:kinsoku/>
              <w:wordWrap/>
              <w:overflowPunct/>
              <w:topLinePunct w:val="0"/>
              <w:autoSpaceDE w:val="0"/>
              <w:autoSpaceDN w:val="0"/>
              <w:bidi w:val="0"/>
              <w:adjustRightInd w:val="0"/>
              <w:spacing w:line="360" w:lineRule="auto"/>
              <w:rPr>
                <w:rFonts w:hint="eastAsia" w:ascii="宋体" w:hAnsi="宋体" w:cs="宋体"/>
                <w:kern w:val="0"/>
                <w:highlight w:val="none"/>
                <w:lang w:val="zh-CN"/>
              </w:rPr>
            </w:pPr>
            <w:r>
              <w:rPr>
                <w:rFonts w:hint="eastAsia" w:ascii="宋体" w:hAnsi="宋体" w:cs="宋体"/>
                <w:kern w:val="0"/>
                <w:highlight w:val="none"/>
                <w:lang w:val="zh-CN"/>
              </w:rPr>
              <w:t>②如投标人是事业单位，提供有效的“事业单位法人证书”；</w:t>
            </w:r>
          </w:p>
          <w:p w14:paraId="4B654478">
            <w:pPr>
              <w:keepNext w:val="0"/>
              <w:keepLines w:val="0"/>
              <w:pageBreakBefore w:val="0"/>
              <w:kinsoku/>
              <w:wordWrap/>
              <w:overflowPunct/>
              <w:topLinePunct w:val="0"/>
              <w:autoSpaceDE w:val="0"/>
              <w:autoSpaceDN w:val="0"/>
              <w:bidi w:val="0"/>
              <w:adjustRightInd w:val="0"/>
              <w:spacing w:line="360" w:lineRule="auto"/>
              <w:rPr>
                <w:rFonts w:hint="eastAsia" w:ascii="宋体" w:hAnsi="宋体" w:cs="宋体"/>
                <w:kern w:val="0"/>
                <w:highlight w:val="none"/>
                <w:lang w:val="zh-CN"/>
              </w:rPr>
            </w:pPr>
            <w:r>
              <w:rPr>
                <w:rFonts w:hint="eastAsia" w:ascii="宋体" w:hAnsi="宋体" w:cs="宋体"/>
                <w:kern w:val="0"/>
                <w:highlight w:val="none"/>
                <w:lang w:val="zh-CN"/>
              </w:rPr>
              <w:t>③如投标人是非企业专业服务机构的，提供执业许可证等证明文件；</w:t>
            </w:r>
          </w:p>
          <w:p w14:paraId="51B0F207">
            <w:pPr>
              <w:keepNext w:val="0"/>
              <w:keepLines w:val="0"/>
              <w:pageBreakBefore w:val="0"/>
              <w:kinsoku/>
              <w:wordWrap/>
              <w:overflowPunct/>
              <w:topLinePunct w:val="0"/>
              <w:autoSpaceDE w:val="0"/>
              <w:autoSpaceDN w:val="0"/>
              <w:bidi w:val="0"/>
              <w:adjustRightInd w:val="0"/>
              <w:spacing w:line="360" w:lineRule="auto"/>
              <w:rPr>
                <w:rFonts w:hint="eastAsia" w:ascii="宋体" w:hAnsi="宋体" w:cs="宋体"/>
                <w:kern w:val="0"/>
                <w:highlight w:val="none"/>
                <w:lang w:val="zh-CN"/>
              </w:rPr>
            </w:pPr>
            <w:r>
              <w:rPr>
                <w:rFonts w:hint="eastAsia" w:ascii="宋体" w:hAnsi="宋体" w:cs="宋体"/>
                <w:kern w:val="0"/>
                <w:highlight w:val="none"/>
                <w:lang w:val="zh-CN"/>
              </w:rPr>
              <w:t>④如投标人是个体工商户，提供有效的“个体工商户营业执照”；</w:t>
            </w:r>
          </w:p>
          <w:p w14:paraId="0EA0737A">
            <w:pPr>
              <w:keepNext w:val="0"/>
              <w:keepLines w:val="0"/>
              <w:pageBreakBefore w:val="0"/>
              <w:kinsoku/>
              <w:wordWrap/>
              <w:overflowPunct/>
              <w:topLinePunct w:val="0"/>
              <w:autoSpaceDE w:val="0"/>
              <w:autoSpaceDN w:val="0"/>
              <w:bidi w:val="0"/>
              <w:adjustRightInd w:val="0"/>
              <w:spacing w:line="360" w:lineRule="auto"/>
              <w:rPr>
                <w:rFonts w:hint="eastAsia" w:ascii="宋体" w:hAnsi="宋体" w:cs="宋体"/>
                <w:kern w:val="0"/>
                <w:highlight w:val="none"/>
                <w:lang w:val="zh-CN"/>
              </w:rPr>
            </w:pPr>
            <w:r>
              <w:rPr>
                <w:rFonts w:hint="eastAsia" w:ascii="宋体" w:hAnsi="宋体" w:cs="宋体"/>
                <w:kern w:val="0"/>
                <w:highlight w:val="none"/>
                <w:lang w:val="zh-CN"/>
              </w:rPr>
              <w:t>⑤如投标人是自然人，提供有效的自然人身份证明（居民身份证正反面或公安机关出具的临时居民身份证正反面或港澳台胞证或护照）。</w:t>
            </w:r>
          </w:p>
          <w:p w14:paraId="79A41A44">
            <w:pPr>
              <w:keepNext w:val="0"/>
              <w:keepLines w:val="0"/>
              <w:pageBreakBefore w:val="0"/>
              <w:kinsoku/>
              <w:wordWrap/>
              <w:overflowPunct/>
              <w:topLinePunct w:val="0"/>
              <w:autoSpaceDE w:val="0"/>
              <w:autoSpaceDN w:val="0"/>
              <w:bidi w:val="0"/>
              <w:adjustRightInd w:val="0"/>
              <w:spacing w:line="360" w:lineRule="auto"/>
              <w:rPr>
                <w:rFonts w:hint="eastAsia" w:ascii="宋体" w:hAnsi="宋体" w:cs="宋体"/>
                <w:kern w:val="0"/>
                <w:highlight w:val="none"/>
              </w:rPr>
            </w:pPr>
            <w:r>
              <w:rPr>
                <w:rFonts w:hint="eastAsia" w:ascii="宋体" w:hAnsi="宋体" w:cs="宋体"/>
                <w:kern w:val="0"/>
                <w:highlight w:val="none"/>
                <w:lang w:val="zh-CN"/>
              </w:rPr>
              <w:t>投标文件内附营业执照（副本）复印件加盖投标单位公章。</w:t>
            </w:r>
          </w:p>
        </w:tc>
      </w:tr>
      <w:tr w14:paraId="56FA2368">
        <w:tblPrEx>
          <w:shd w:val="clear" w:color="auto" w:fill="auto"/>
          <w:tblCellMar>
            <w:top w:w="0" w:type="dxa"/>
            <w:left w:w="108" w:type="dxa"/>
            <w:bottom w:w="0" w:type="dxa"/>
            <w:right w:w="108" w:type="dxa"/>
          </w:tblCellMar>
        </w:tblPrEx>
        <w:trPr>
          <w:trHeight w:val="1397" w:hRule="atLeast"/>
        </w:trPr>
        <w:tc>
          <w:tcPr>
            <w:tcW w:w="435" w:type="pct"/>
            <w:vMerge w:val="continue"/>
            <w:tcBorders>
              <w:left w:val="single" w:color="000000" w:sz="2" w:space="0"/>
              <w:right w:val="single" w:color="000000" w:sz="2" w:space="0"/>
            </w:tcBorders>
            <w:shd w:val="clear" w:color="auto" w:fill="auto"/>
            <w:noWrap w:val="0"/>
            <w:vAlign w:val="center"/>
          </w:tcPr>
          <w:p w14:paraId="1EA91399">
            <w:pPr>
              <w:keepNext w:val="0"/>
              <w:keepLines w:val="0"/>
              <w:pageBreakBefore w:val="0"/>
              <w:kinsoku/>
              <w:wordWrap/>
              <w:overflowPunct/>
              <w:topLinePunct w:val="0"/>
              <w:autoSpaceDE w:val="0"/>
              <w:autoSpaceDN w:val="0"/>
              <w:bidi w:val="0"/>
              <w:adjustRightInd w:val="0"/>
              <w:spacing w:line="360" w:lineRule="auto"/>
              <w:jc w:val="center"/>
              <w:rPr>
                <w:rFonts w:ascii="宋体" w:hAnsi="宋体" w:cs="宋体"/>
                <w:kern w:val="0"/>
                <w:sz w:val="22"/>
                <w:szCs w:val="22"/>
                <w:highlight w:val="none"/>
                <w:lang w:val="zh-CN"/>
              </w:rPr>
            </w:pPr>
          </w:p>
        </w:tc>
        <w:tc>
          <w:tcPr>
            <w:tcW w:w="391" w:type="pct"/>
            <w:vMerge w:val="continue"/>
            <w:tcBorders>
              <w:left w:val="single" w:color="000000" w:sz="2" w:space="0"/>
              <w:right w:val="single" w:color="000000" w:sz="2" w:space="0"/>
            </w:tcBorders>
            <w:shd w:val="clear" w:color="auto" w:fill="auto"/>
            <w:noWrap w:val="0"/>
            <w:vAlign w:val="center"/>
          </w:tcPr>
          <w:p w14:paraId="41518B43">
            <w:pPr>
              <w:keepNext w:val="0"/>
              <w:keepLines w:val="0"/>
              <w:pageBreakBefore w:val="0"/>
              <w:kinsoku/>
              <w:wordWrap/>
              <w:overflowPunct/>
              <w:topLinePunct w:val="0"/>
              <w:autoSpaceDE w:val="0"/>
              <w:autoSpaceDN w:val="0"/>
              <w:bidi w:val="0"/>
              <w:adjustRightInd w:val="0"/>
              <w:spacing w:line="360" w:lineRule="auto"/>
              <w:jc w:val="center"/>
              <w:rPr>
                <w:rFonts w:ascii="宋体" w:hAnsi="宋体" w:cs="宋体"/>
                <w:kern w:val="0"/>
                <w:sz w:val="22"/>
                <w:szCs w:val="22"/>
                <w:highlight w:val="none"/>
                <w:lang w:val="zh-CN"/>
              </w:rPr>
            </w:pPr>
          </w:p>
        </w:tc>
        <w:tc>
          <w:tcPr>
            <w:tcW w:w="1050" w:type="pct"/>
            <w:tcBorders>
              <w:top w:val="single" w:color="000000" w:sz="2" w:space="0"/>
              <w:left w:val="single" w:color="000000" w:sz="2" w:space="0"/>
              <w:bottom w:val="single" w:color="000000" w:sz="2" w:space="0"/>
              <w:right w:val="single" w:color="000000" w:sz="2" w:space="0"/>
            </w:tcBorders>
            <w:shd w:val="clear" w:color="auto" w:fill="auto"/>
            <w:noWrap w:val="0"/>
            <w:vAlign w:val="center"/>
          </w:tcPr>
          <w:p w14:paraId="36FCD798">
            <w:pPr>
              <w:keepNext w:val="0"/>
              <w:keepLines w:val="0"/>
              <w:pageBreakBefore w:val="0"/>
              <w:kinsoku/>
              <w:wordWrap/>
              <w:overflowPunct/>
              <w:topLinePunct w:val="0"/>
              <w:autoSpaceDE w:val="0"/>
              <w:autoSpaceDN w:val="0"/>
              <w:bidi w:val="0"/>
              <w:adjustRightInd w:val="0"/>
              <w:spacing w:line="360" w:lineRule="auto"/>
              <w:jc w:val="center"/>
              <w:rPr>
                <w:rFonts w:hint="eastAsia" w:ascii="宋体" w:hAnsi="宋体" w:cs="宋体"/>
                <w:color w:val="auto"/>
                <w:kern w:val="0"/>
                <w:highlight w:val="none"/>
                <w:lang w:val="zh-CN"/>
              </w:rPr>
            </w:pPr>
            <w:r>
              <w:rPr>
                <w:rFonts w:hint="eastAsia" w:ascii="宋体" w:hAnsi="宋体" w:cs="宋体"/>
                <w:color w:val="auto"/>
                <w:kern w:val="0"/>
                <w:highlight w:val="none"/>
                <w:lang w:val="zh-CN"/>
              </w:rPr>
              <w:t>财务状况、纳税及社保</w:t>
            </w:r>
          </w:p>
        </w:tc>
        <w:tc>
          <w:tcPr>
            <w:tcW w:w="3123" w:type="pct"/>
            <w:tcBorders>
              <w:top w:val="single" w:color="000000" w:sz="2" w:space="0"/>
              <w:left w:val="single" w:color="000000" w:sz="2" w:space="0"/>
              <w:bottom w:val="single" w:color="000000" w:sz="2" w:space="0"/>
              <w:right w:val="single" w:color="000000" w:sz="2" w:space="0"/>
            </w:tcBorders>
            <w:shd w:val="clear" w:color="auto" w:fill="auto"/>
            <w:noWrap w:val="0"/>
            <w:vAlign w:val="center"/>
          </w:tcPr>
          <w:p w14:paraId="1DFB2886">
            <w:pPr>
              <w:keepNext w:val="0"/>
              <w:keepLines w:val="0"/>
              <w:pageBreakBefore w:val="0"/>
              <w:widowControl/>
              <w:kinsoku/>
              <w:wordWrap/>
              <w:overflowPunct/>
              <w:topLinePunct w:val="0"/>
              <w:bidi w:val="0"/>
              <w:spacing w:line="360" w:lineRule="auto"/>
              <w:jc w:val="left"/>
              <w:textAlignment w:val="center"/>
              <w:rPr>
                <w:rFonts w:hint="eastAsia" w:ascii="宋体" w:hAnsi="宋体" w:cs="宋体" w:eastAsiaTheme="minorEastAsia"/>
                <w:color w:val="auto"/>
                <w:kern w:val="0"/>
                <w:highlight w:val="none"/>
                <w:lang w:val="zh-CN" w:eastAsia="zh-CN"/>
              </w:rPr>
            </w:pPr>
            <w:r>
              <w:rPr>
                <w:rFonts w:hint="eastAsia" w:ascii="宋体" w:hAnsi="宋体" w:cs="宋体"/>
                <w:bCs/>
                <w:color w:val="auto"/>
                <w:highlight w:val="none"/>
              </w:rPr>
              <w:t>具有良好的商业信誉和健全的财务会计制度，依法缴纳税收和社会保障资金的良好记录，根据[长财采购[2022]2066号文件]关于加强政府采购信用体系建设简化</w:t>
            </w:r>
            <w:r>
              <w:rPr>
                <w:rFonts w:hint="eastAsia" w:ascii="宋体" w:hAnsi="宋体" w:cs="宋体"/>
                <w:bCs/>
                <w:color w:val="auto"/>
                <w:highlight w:val="none"/>
                <w:lang w:eastAsia="zh-CN"/>
              </w:rPr>
              <w:t>投标人</w:t>
            </w:r>
            <w:r>
              <w:rPr>
                <w:rFonts w:hint="eastAsia" w:ascii="宋体" w:hAnsi="宋体" w:cs="宋体"/>
                <w:bCs/>
                <w:color w:val="auto"/>
                <w:highlight w:val="none"/>
              </w:rPr>
              <w:t>资格条件有关事项的通知提供资格条件承诺函</w:t>
            </w:r>
            <w:r>
              <w:rPr>
                <w:rFonts w:hint="eastAsia" w:ascii="宋体" w:hAnsi="宋体" w:cs="宋体"/>
                <w:bCs/>
                <w:color w:val="auto"/>
                <w:highlight w:val="none"/>
                <w:lang w:eastAsia="zh-CN"/>
              </w:rPr>
              <w:t>。</w:t>
            </w:r>
          </w:p>
        </w:tc>
      </w:tr>
      <w:tr w14:paraId="00369FB7">
        <w:tblPrEx>
          <w:tblCellMar>
            <w:top w:w="0" w:type="dxa"/>
            <w:left w:w="108" w:type="dxa"/>
            <w:bottom w:w="0" w:type="dxa"/>
            <w:right w:w="108" w:type="dxa"/>
          </w:tblCellMar>
        </w:tblPrEx>
        <w:trPr>
          <w:trHeight w:val="272" w:hRule="atLeast"/>
        </w:trPr>
        <w:tc>
          <w:tcPr>
            <w:tcW w:w="435" w:type="pct"/>
            <w:vMerge w:val="continue"/>
            <w:tcBorders>
              <w:left w:val="single" w:color="000000" w:sz="2" w:space="0"/>
              <w:right w:val="single" w:color="000000" w:sz="2" w:space="0"/>
            </w:tcBorders>
            <w:shd w:val="clear" w:color="auto" w:fill="auto"/>
            <w:noWrap w:val="0"/>
            <w:vAlign w:val="center"/>
          </w:tcPr>
          <w:p w14:paraId="6E0DBB21">
            <w:pPr>
              <w:keepNext w:val="0"/>
              <w:keepLines w:val="0"/>
              <w:pageBreakBefore w:val="0"/>
              <w:kinsoku/>
              <w:wordWrap/>
              <w:overflowPunct/>
              <w:topLinePunct w:val="0"/>
              <w:autoSpaceDE w:val="0"/>
              <w:autoSpaceDN w:val="0"/>
              <w:bidi w:val="0"/>
              <w:adjustRightInd w:val="0"/>
              <w:spacing w:line="360" w:lineRule="auto"/>
              <w:jc w:val="center"/>
              <w:rPr>
                <w:rFonts w:ascii="宋体" w:hAnsi="宋体" w:cs="宋体"/>
                <w:kern w:val="0"/>
                <w:sz w:val="22"/>
                <w:szCs w:val="22"/>
                <w:highlight w:val="none"/>
                <w:lang w:val="zh-CN"/>
              </w:rPr>
            </w:pPr>
          </w:p>
        </w:tc>
        <w:tc>
          <w:tcPr>
            <w:tcW w:w="391" w:type="pct"/>
            <w:vMerge w:val="continue"/>
            <w:tcBorders>
              <w:left w:val="single" w:color="000000" w:sz="2" w:space="0"/>
              <w:right w:val="single" w:color="000000" w:sz="2" w:space="0"/>
            </w:tcBorders>
            <w:shd w:val="clear" w:color="auto" w:fill="auto"/>
            <w:noWrap w:val="0"/>
            <w:vAlign w:val="center"/>
          </w:tcPr>
          <w:p w14:paraId="2CD7DAB4">
            <w:pPr>
              <w:keepNext w:val="0"/>
              <w:keepLines w:val="0"/>
              <w:pageBreakBefore w:val="0"/>
              <w:kinsoku/>
              <w:wordWrap/>
              <w:overflowPunct/>
              <w:topLinePunct w:val="0"/>
              <w:autoSpaceDE w:val="0"/>
              <w:autoSpaceDN w:val="0"/>
              <w:bidi w:val="0"/>
              <w:adjustRightInd w:val="0"/>
              <w:spacing w:line="360" w:lineRule="auto"/>
              <w:jc w:val="center"/>
              <w:rPr>
                <w:rFonts w:ascii="宋体" w:hAnsi="宋体" w:cs="宋体"/>
                <w:kern w:val="0"/>
                <w:sz w:val="22"/>
                <w:szCs w:val="22"/>
                <w:highlight w:val="none"/>
                <w:lang w:val="zh-CN"/>
              </w:rPr>
            </w:pPr>
          </w:p>
        </w:tc>
        <w:tc>
          <w:tcPr>
            <w:tcW w:w="105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CBEB7A7">
            <w:pPr>
              <w:keepNext w:val="0"/>
              <w:keepLines w:val="0"/>
              <w:pageBreakBefore w:val="0"/>
              <w:kinsoku/>
              <w:wordWrap/>
              <w:overflowPunct/>
              <w:topLinePunct w:val="0"/>
              <w:bidi w:val="0"/>
              <w:adjustRightInd w:val="0"/>
              <w:snapToGrid w:val="0"/>
              <w:spacing w:beforeLines="25" w:line="360" w:lineRule="auto"/>
              <w:jc w:val="center"/>
              <w:rPr>
                <w:rFonts w:ascii="宋体" w:hAnsi="宋体" w:cs="宋体"/>
                <w:color w:val="auto"/>
                <w:szCs w:val="21"/>
                <w:highlight w:val="none"/>
                <w:lang w:val="zh-CN"/>
              </w:rPr>
            </w:pPr>
            <w:r>
              <w:rPr>
                <w:rFonts w:ascii="宋体" w:hAnsi="宋体" w:cs="宋体"/>
                <w:color w:val="auto"/>
                <w:szCs w:val="21"/>
                <w:highlight w:val="none"/>
                <w:lang w:val="zh-CN"/>
              </w:rPr>
              <w:t>授权委托书</w:t>
            </w:r>
          </w:p>
          <w:p w14:paraId="1D7F4102">
            <w:pPr>
              <w:keepNext w:val="0"/>
              <w:keepLines w:val="0"/>
              <w:pageBreakBefore w:val="0"/>
              <w:kinsoku/>
              <w:wordWrap/>
              <w:overflowPunct/>
              <w:topLinePunct w:val="0"/>
              <w:bidi w:val="0"/>
              <w:adjustRightInd w:val="0"/>
              <w:snapToGrid w:val="0"/>
              <w:spacing w:beforeLines="25" w:line="360" w:lineRule="auto"/>
              <w:jc w:val="center"/>
              <w:rPr>
                <w:rFonts w:hint="eastAsia" w:ascii="宋体" w:hAnsi="宋体" w:cs="宋体-18030" w:eastAsiaTheme="minorEastAsia"/>
                <w:color w:val="auto"/>
                <w:kern w:val="2"/>
                <w:sz w:val="21"/>
                <w:szCs w:val="21"/>
                <w:highlight w:val="none"/>
                <w:lang w:val="zh-CN" w:eastAsia="zh-CN" w:bidi="ar-SA"/>
              </w:rPr>
            </w:pPr>
            <w:r>
              <w:rPr>
                <w:rFonts w:hint="eastAsia" w:ascii="宋体" w:hAnsi="宋体" w:cs="宋体"/>
                <w:color w:val="auto"/>
                <w:szCs w:val="21"/>
                <w:highlight w:val="none"/>
                <w:lang w:val="zh-CN"/>
              </w:rPr>
              <w:t>（</w:t>
            </w:r>
            <w:r>
              <w:rPr>
                <w:rFonts w:hint="eastAsia" w:ascii="宋体" w:hAnsi="宋体" w:cs="宋体"/>
                <w:color w:val="auto"/>
                <w:szCs w:val="21"/>
                <w:highlight w:val="none"/>
              </w:rPr>
              <w:t>如有</w:t>
            </w:r>
            <w:r>
              <w:rPr>
                <w:rFonts w:hint="eastAsia" w:ascii="宋体" w:hAnsi="宋体" w:cs="宋体"/>
                <w:color w:val="auto"/>
                <w:szCs w:val="21"/>
                <w:highlight w:val="none"/>
                <w:lang w:val="zh-CN"/>
              </w:rPr>
              <w:t>）</w:t>
            </w:r>
          </w:p>
        </w:tc>
        <w:tc>
          <w:tcPr>
            <w:tcW w:w="312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EC56C8F">
            <w:pPr>
              <w:keepNext w:val="0"/>
              <w:keepLines w:val="0"/>
              <w:pageBreakBefore w:val="0"/>
              <w:kinsoku/>
              <w:wordWrap/>
              <w:overflowPunct/>
              <w:topLinePunct w:val="0"/>
              <w:bidi w:val="0"/>
              <w:adjustRightInd w:val="0"/>
              <w:snapToGrid w:val="0"/>
              <w:spacing w:beforeLines="25" w:line="360" w:lineRule="auto"/>
              <w:rPr>
                <w:rFonts w:hint="default" w:ascii="宋体" w:hAnsi="宋体" w:eastAsiaTheme="minorEastAsia" w:cstheme="minorBidi"/>
                <w:color w:val="auto"/>
                <w:kern w:val="2"/>
                <w:sz w:val="21"/>
                <w:szCs w:val="21"/>
                <w:highlight w:val="none"/>
                <w:lang w:val="en-US" w:eastAsia="zh-CN" w:bidi="ar-SA"/>
              </w:rPr>
            </w:pPr>
            <w:r>
              <w:rPr>
                <w:rFonts w:hint="eastAsia" w:ascii="宋体" w:hAnsi="宋体"/>
                <w:color w:val="auto"/>
                <w:szCs w:val="21"/>
                <w:highlight w:val="none"/>
              </w:rPr>
              <w:t>附</w:t>
            </w:r>
            <w:r>
              <w:rPr>
                <w:rFonts w:ascii="宋体" w:hAnsi="宋体" w:cs="宋体"/>
                <w:color w:val="auto"/>
                <w:szCs w:val="21"/>
                <w:highlight w:val="none"/>
                <w:lang w:val="zh-CN"/>
              </w:rPr>
              <w:t>由法定代表人及</w:t>
            </w:r>
            <w:r>
              <w:rPr>
                <w:rFonts w:hint="eastAsia" w:ascii="宋体" w:hAnsi="宋体" w:cs="宋体"/>
                <w:color w:val="auto"/>
                <w:szCs w:val="21"/>
                <w:highlight w:val="none"/>
                <w:lang w:val="zh-CN"/>
              </w:rPr>
              <w:t>授权委托人</w:t>
            </w:r>
            <w:r>
              <w:rPr>
                <w:rFonts w:ascii="宋体" w:hAnsi="宋体" w:cs="宋体"/>
                <w:color w:val="auto"/>
                <w:szCs w:val="21"/>
                <w:highlight w:val="none"/>
                <w:lang w:val="zh-CN"/>
              </w:rPr>
              <w:t>签字并加盖</w:t>
            </w:r>
            <w:r>
              <w:rPr>
                <w:rFonts w:hint="eastAsia" w:ascii="宋体" w:hAnsi="宋体" w:cs="宋体"/>
                <w:color w:val="auto"/>
                <w:szCs w:val="21"/>
                <w:highlight w:val="none"/>
                <w:lang w:val="zh-CN"/>
              </w:rPr>
              <w:t>投标人</w:t>
            </w:r>
            <w:r>
              <w:rPr>
                <w:rFonts w:ascii="宋体" w:hAnsi="宋体" w:cs="宋体"/>
                <w:color w:val="auto"/>
                <w:szCs w:val="21"/>
                <w:highlight w:val="none"/>
                <w:lang w:val="zh-CN"/>
              </w:rPr>
              <w:t>公章</w:t>
            </w:r>
            <w:r>
              <w:rPr>
                <w:rFonts w:hint="eastAsia" w:ascii="宋体" w:hAnsi="宋体" w:cs="宋体"/>
                <w:color w:val="auto"/>
                <w:szCs w:val="21"/>
                <w:highlight w:val="none"/>
                <w:lang w:val="zh-CN"/>
              </w:rPr>
              <w:t>的授权委托书</w:t>
            </w:r>
            <w:r>
              <w:rPr>
                <w:rFonts w:ascii="宋体" w:hAnsi="宋体" w:cs="宋体"/>
                <w:color w:val="auto"/>
                <w:szCs w:val="21"/>
                <w:highlight w:val="none"/>
                <w:lang w:val="zh-CN"/>
              </w:rPr>
              <w:t>。</w:t>
            </w:r>
          </w:p>
        </w:tc>
      </w:tr>
      <w:tr w14:paraId="572C394F">
        <w:tblPrEx>
          <w:shd w:val="clear" w:color="auto" w:fill="auto"/>
          <w:tblCellMar>
            <w:top w:w="0" w:type="dxa"/>
            <w:left w:w="108" w:type="dxa"/>
            <w:bottom w:w="0" w:type="dxa"/>
            <w:right w:w="108" w:type="dxa"/>
          </w:tblCellMar>
        </w:tblPrEx>
        <w:trPr>
          <w:trHeight w:val="343" w:hRule="atLeast"/>
        </w:trPr>
        <w:tc>
          <w:tcPr>
            <w:tcW w:w="435" w:type="pct"/>
            <w:vMerge w:val="continue"/>
            <w:tcBorders>
              <w:left w:val="single" w:color="000000" w:sz="2" w:space="0"/>
              <w:right w:val="single" w:color="000000" w:sz="2" w:space="0"/>
            </w:tcBorders>
            <w:shd w:val="clear" w:color="auto" w:fill="auto"/>
            <w:noWrap w:val="0"/>
            <w:vAlign w:val="center"/>
          </w:tcPr>
          <w:p w14:paraId="1E6569AE">
            <w:pPr>
              <w:keepNext w:val="0"/>
              <w:keepLines w:val="0"/>
              <w:pageBreakBefore w:val="0"/>
              <w:kinsoku/>
              <w:wordWrap/>
              <w:overflowPunct/>
              <w:topLinePunct w:val="0"/>
              <w:autoSpaceDE w:val="0"/>
              <w:autoSpaceDN w:val="0"/>
              <w:bidi w:val="0"/>
              <w:adjustRightInd w:val="0"/>
              <w:spacing w:line="360" w:lineRule="auto"/>
              <w:jc w:val="center"/>
              <w:rPr>
                <w:rFonts w:ascii="宋体" w:hAnsi="宋体" w:cs="宋体"/>
                <w:kern w:val="0"/>
                <w:sz w:val="22"/>
                <w:szCs w:val="22"/>
                <w:highlight w:val="none"/>
                <w:lang w:val="zh-CN"/>
              </w:rPr>
            </w:pPr>
          </w:p>
        </w:tc>
        <w:tc>
          <w:tcPr>
            <w:tcW w:w="391" w:type="pct"/>
            <w:vMerge w:val="continue"/>
            <w:tcBorders>
              <w:left w:val="single" w:color="000000" w:sz="2" w:space="0"/>
              <w:right w:val="single" w:color="000000" w:sz="2" w:space="0"/>
            </w:tcBorders>
            <w:shd w:val="clear" w:color="auto" w:fill="auto"/>
            <w:noWrap w:val="0"/>
            <w:vAlign w:val="center"/>
          </w:tcPr>
          <w:p w14:paraId="6392195D">
            <w:pPr>
              <w:keepNext w:val="0"/>
              <w:keepLines w:val="0"/>
              <w:pageBreakBefore w:val="0"/>
              <w:kinsoku/>
              <w:wordWrap/>
              <w:overflowPunct/>
              <w:topLinePunct w:val="0"/>
              <w:autoSpaceDE w:val="0"/>
              <w:autoSpaceDN w:val="0"/>
              <w:bidi w:val="0"/>
              <w:adjustRightInd w:val="0"/>
              <w:spacing w:line="360" w:lineRule="auto"/>
              <w:jc w:val="center"/>
              <w:rPr>
                <w:rFonts w:ascii="宋体" w:hAnsi="宋体" w:cs="宋体"/>
                <w:kern w:val="0"/>
                <w:sz w:val="22"/>
                <w:szCs w:val="22"/>
                <w:highlight w:val="none"/>
                <w:lang w:val="zh-CN"/>
              </w:rPr>
            </w:pPr>
          </w:p>
        </w:tc>
        <w:tc>
          <w:tcPr>
            <w:tcW w:w="105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15B290B">
            <w:pPr>
              <w:keepNext w:val="0"/>
              <w:keepLines w:val="0"/>
              <w:pageBreakBefore w:val="0"/>
              <w:kinsoku/>
              <w:wordWrap/>
              <w:overflowPunct/>
              <w:topLinePunct w:val="0"/>
              <w:bidi w:val="0"/>
              <w:adjustRightInd w:val="0"/>
              <w:snapToGrid w:val="0"/>
              <w:spacing w:beforeLines="25" w:line="360" w:lineRule="auto"/>
              <w:jc w:val="center"/>
              <w:rPr>
                <w:rFonts w:ascii="宋体" w:hAnsi="宋体" w:cs="宋体-18030" w:eastAsiaTheme="minorEastAsia"/>
                <w:color w:val="auto"/>
                <w:kern w:val="2"/>
                <w:sz w:val="21"/>
                <w:szCs w:val="21"/>
                <w:highlight w:val="none"/>
                <w:lang w:val="zh-CN" w:eastAsia="zh-CN" w:bidi="ar-SA"/>
              </w:rPr>
            </w:pPr>
            <w:r>
              <w:rPr>
                <w:rFonts w:hint="eastAsia" w:ascii="宋体" w:hAnsi="宋体" w:cs="宋体-18030"/>
                <w:color w:val="auto"/>
                <w:szCs w:val="21"/>
                <w:highlight w:val="none"/>
                <w:lang w:val="zh-CN"/>
              </w:rPr>
              <w:t>信誉要求</w:t>
            </w:r>
          </w:p>
        </w:tc>
        <w:tc>
          <w:tcPr>
            <w:tcW w:w="312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FB83AB8">
            <w:pPr>
              <w:keepNext w:val="0"/>
              <w:keepLines w:val="0"/>
              <w:pageBreakBefore w:val="0"/>
              <w:kinsoku/>
              <w:wordWrap/>
              <w:overflowPunct/>
              <w:topLinePunct w:val="0"/>
              <w:bidi w:val="0"/>
              <w:spacing w:line="36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投标人近三年（2022年至投标截止日）不得为“中国政府采购网”政府采购严重违法失信行为记录名单中被财政部门禁止参加政府采购活动的投标人（在处罚决定规定的时间和地域范围内）（详见财[2016]125 号文）；不得为“信用中国”网站（www.creditchina.gov.cn）中列入失信被执行人和重大税收违法失信主体名单的投标人；不得为工商行政管理机关在“国家企业信用信息公示系统”中列入严重违法失信企业名单；投标人须在“中国裁判文书网”自行查询本公司近三年内无行贿行为记录。</w:t>
            </w:r>
          </w:p>
          <w:p w14:paraId="24FAF1C5">
            <w:pPr>
              <w:keepNext w:val="0"/>
              <w:keepLines w:val="0"/>
              <w:pageBreakBefore w:val="0"/>
              <w:kinsoku/>
              <w:wordWrap/>
              <w:overflowPunct/>
              <w:topLinePunct w:val="0"/>
              <w:bidi w:val="0"/>
              <w:spacing w:line="360" w:lineRule="auto"/>
              <w:rPr>
                <w:rFonts w:ascii="宋体" w:hAnsi="宋体" w:cs="宋体" w:eastAsiaTheme="minorEastAsia"/>
                <w:b w:val="0"/>
                <w:bCs w:val="0"/>
                <w:color w:val="auto"/>
                <w:kern w:val="2"/>
                <w:sz w:val="21"/>
                <w:szCs w:val="21"/>
                <w:highlight w:val="none"/>
                <w:lang w:val="en-US" w:eastAsia="zh-CN" w:bidi="ar-SA"/>
              </w:rPr>
            </w:pPr>
            <w:r>
              <w:rPr>
                <w:rFonts w:hint="eastAsia" w:ascii="宋体" w:hAnsi="宋体" w:cs="宋体"/>
                <w:b w:val="0"/>
                <w:bCs w:val="0"/>
                <w:color w:val="auto"/>
                <w:szCs w:val="21"/>
                <w:highlight w:val="none"/>
              </w:rPr>
              <w:t>（附由法定代表人或授权委托人签字或盖章并加盖</w:t>
            </w:r>
            <w:r>
              <w:rPr>
                <w:rFonts w:hint="eastAsia" w:ascii="宋体" w:hAnsi="宋体" w:cs="宋体-18030"/>
                <w:b w:val="0"/>
                <w:bCs w:val="0"/>
                <w:color w:val="auto"/>
                <w:kern w:val="0"/>
                <w:szCs w:val="21"/>
                <w:highlight w:val="none"/>
                <w:lang w:val="zh-CN"/>
              </w:rPr>
              <w:t>投标人</w:t>
            </w:r>
            <w:r>
              <w:rPr>
                <w:rFonts w:hint="eastAsia" w:ascii="宋体" w:hAnsi="宋体" w:cs="宋体"/>
                <w:b w:val="0"/>
                <w:bCs w:val="0"/>
                <w:color w:val="auto"/>
                <w:szCs w:val="21"/>
                <w:highlight w:val="none"/>
              </w:rPr>
              <w:t>公章的承诺书）</w:t>
            </w:r>
          </w:p>
        </w:tc>
      </w:tr>
      <w:tr w14:paraId="410ACC3A">
        <w:tblPrEx>
          <w:shd w:val="clear" w:color="auto" w:fill="auto"/>
          <w:tblCellMar>
            <w:top w:w="0" w:type="dxa"/>
            <w:left w:w="108" w:type="dxa"/>
            <w:bottom w:w="0" w:type="dxa"/>
            <w:right w:w="108" w:type="dxa"/>
          </w:tblCellMar>
        </w:tblPrEx>
        <w:trPr>
          <w:trHeight w:val="602" w:hRule="atLeast"/>
        </w:trPr>
        <w:tc>
          <w:tcPr>
            <w:tcW w:w="435" w:type="pct"/>
            <w:vMerge w:val="continue"/>
            <w:tcBorders>
              <w:left w:val="single" w:color="000000" w:sz="2" w:space="0"/>
              <w:right w:val="single" w:color="000000" w:sz="2" w:space="0"/>
            </w:tcBorders>
            <w:shd w:val="clear" w:color="auto" w:fill="auto"/>
            <w:noWrap w:val="0"/>
            <w:vAlign w:val="center"/>
          </w:tcPr>
          <w:p w14:paraId="31DBC15C">
            <w:pPr>
              <w:keepNext w:val="0"/>
              <w:keepLines w:val="0"/>
              <w:pageBreakBefore w:val="0"/>
              <w:kinsoku/>
              <w:wordWrap/>
              <w:overflowPunct/>
              <w:topLinePunct w:val="0"/>
              <w:autoSpaceDE w:val="0"/>
              <w:autoSpaceDN w:val="0"/>
              <w:bidi w:val="0"/>
              <w:adjustRightInd w:val="0"/>
              <w:spacing w:line="360" w:lineRule="auto"/>
              <w:jc w:val="center"/>
              <w:rPr>
                <w:rFonts w:ascii="宋体" w:hAnsi="宋体" w:cs="宋体"/>
                <w:kern w:val="0"/>
                <w:sz w:val="22"/>
                <w:szCs w:val="22"/>
                <w:highlight w:val="none"/>
                <w:lang w:val="zh-CN"/>
              </w:rPr>
            </w:pPr>
          </w:p>
        </w:tc>
        <w:tc>
          <w:tcPr>
            <w:tcW w:w="391" w:type="pct"/>
            <w:vMerge w:val="continue"/>
            <w:tcBorders>
              <w:left w:val="single" w:color="000000" w:sz="2" w:space="0"/>
              <w:right w:val="single" w:color="000000" w:sz="2" w:space="0"/>
            </w:tcBorders>
            <w:shd w:val="clear" w:color="auto" w:fill="auto"/>
            <w:noWrap w:val="0"/>
            <w:vAlign w:val="center"/>
          </w:tcPr>
          <w:p w14:paraId="6F8331D3">
            <w:pPr>
              <w:keepNext w:val="0"/>
              <w:keepLines w:val="0"/>
              <w:pageBreakBefore w:val="0"/>
              <w:kinsoku/>
              <w:wordWrap/>
              <w:overflowPunct/>
              <w:topLinePunct w:val="0"/>
              <w:autoSpaceDE w:val="0"/>
              <w:autoSpaceDN w:val="0"/>
              <w:bidi w:val="0"/>
              <w:adjustRightInd w:val="0"/>
              <w:spacing w:line="360" w:lineRule="auto"/>
              <w:jc w:val="center"/>
              <w:rPr>
                <w:rFonts w:ascii="宋体" w:hAnsi="宋体" w:cs="宋体"/>
                <w:kern w:val="0"/>
                <w:sz w:val="22"/>
                <w:szCs w:val="22"/>
                <w:highlight w:val="none"/>
                <w:lang w:val="zh-CN"/>
              </w:rPr>
            </w:pPr>
          </w:p>
        </w:tc>
        <w:tc>
          <w:tcPr>
            <w:tcW w:w="105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2BF0A5A">
            <w:pPr>
              <w:keepNext w:val="0"/>
              <w:keepLines w:val="0"/>
              <w:pageBreakBefore w:val="0"/>
              <w:kinsoku/>
              <w:wordWrap/>
              <w:overflowPunct/>
              <w:topLinePunct w:val="0"/>
              <w:bidi w:val="0"/>
              <w:adjustRightInd w:val="0"/>
              <w:snapToGrid w:val="0"/>
              <w:spacing w:beforeLines="25" w:line="360" w:lineRule="auto"/>
              <w:jc w:val="center"/>
              <w:rPr>
                <w:rFonts w:hint="default" w:ascii="宋体" w:hAnsi="宋体" w:cs="宋体-18030" w:eastAsiaTheme="minorEastAsia"/>
                <w:color w:val="auto"/>
                <w:kern w:val="2"/>
                <w:sz w:val="21"/>
                <w:szCs w:val="21"/>
                <w:highlight w:val="none"/>
                <w:lang w:val="en-US" w:eastAsia="zh-CN" w:bidi="ar-SA"/>
              </w:rPr>
            </w:pPr>
            <w:r>
              <w:rPr>
                <w:rFonts w:hint="eastAsia" w:ascii="宋体" w:hAnsi="宋体" w:cs="宋体-18030"/>
                <w:color w:val="auto"/>
                <w:szCs w:val="21"/>
                <w:highlight w:val="none"/>
                <w:lang w:val="zh-CN"/>
              </w:rPr>
              <w:t>其他要求</w:t>
            </w:r>
          </w:p>
        </w:tc>
        <w:tc>
          <w:tcPr>
            <w:tcW w:w="312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67D8993">
            <w:pPr>
              <w:keepNext w:val="0"/>
              <w:keepLines w:val="0"/>
              <w:pageBreakBefore w:val="0"/>
              <w:kinsoku/>
              <w:wordWrap/>
              <w:overflowPunct/>
              <w:topLinePunct w:val="0"/>
              <w:bidi w:val="0"/>
              <w:adjustRightInd w:val="0"/>
              <w:snapToGrid w:val="0"/>
              <w:spacing w:beforeLines="25" w:line="360" w:lineRule="auto"/>
              <w:rPr>
                <w:rFonts w:ascii="宋体" w:hAnsi="宋体"/>
                <w:b w:val="0"/>
                <w:bCs w:val="0"/>
                <w:color w:val="auto"/>
                <w:highlight w:val="none"/>
              </w:rPr>
            </w:pPr>
            <w:r>
              <w:rPr>
                <w:rFonts w:hint="eastAsia" w:ascii="宋体" w:hAnsi="宋体"/>
                <w:b w:val="0"/>
                <w:bCs w:val="0"/>
                <w:color w:val="auto"/>
                <w:highlight w:val="none"/>
              </w:rPr>
              <w:t>1、与招标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p>
          <w:p w14:paraId="10B8F5EC">
            <w:pPr>
              <w:keepNext w:val="0"/>
              <w:keepLines w:val="0"/>
              <w:pageBreakBefore w:val="0"/>
              <w:kinsoku/>
              <w:wordWrap/>
              <w:overflowPunct/>
              <w:topLinePunct w:val="0"/>
              <w:bidi w:val="0"/>
              <w:adjustRightInd w:val="0"/>
              <w:snapToGrid w:val="0"/>
              <w:spacing w:beforeLines="25" w:line="360" w:lineRule="auto"/>
              <w:rPr>
                <w:rFonts w:hint="eastAsia" w:ascii="宋体" w:hAnsi="宋体" w:cs="宋体" w:eastAsiaTheme="minorEastAsia"/>
                <w:b w:val="0"/>
                <w:bCs w:val="0"/>
                <w:color w:val="auto"/>
                <w:kern w:val="2"/>
                <w:sz w:val="21"/>
                <w:szCs w:val="21"/>
                <w:highlight w:val="none"/>
                <w:lang w:val="zh-CN" w:eastAsia="zh-CN" w:bidi="ar-SA"/>
              </w:rPr>
            </w:pPr>
            <w:r>
              <w:rPr>
                <w:rFonts w:hint="eastAsia" w:ascii="宋体" w:hAnsi="宋体" w:cs="宋体"/>
                <w:b w:val="0"/>
                <w:bCs w:val="0"/>
                <w:color w:val="auto"/>
                <w:szCs w:val="21"/>
                <w:highlight w:val="none"/>
              </w:rPr>
              <w:t>2</w:t>
            </w:r>
            <w:r>
              <w:rPr>
                <w:rFonts w:hint="eastAsia" w:ascii="宋体" w:hAnsi="宋体"/>
                <w:b w:val="0"/>
                <w:bCs w:val="0"/>
                <w:color w:val="auto"/>
                <w:highlight w:val="none"/>
              </w:rPr>
              <w:t>、法定代表人为同一人的两个及两个以上的法人，母公司与全资子公司/由其控股的子公司不得同时参与本项目</w:t>
            </w:r>
            <w:r>
              <w:rPr>
                <w:rFonts w:hint="eastAsia" w:ascii="宋体" w:hAnsi="宋体" w:cs="宋体"/>
                <w:b w:val="0"/>
                <w:bCs w:val="0"/>
                <w:color w:val="auto"/>
                <w:szCs w:val="21"/>
                <w:highlight w:val="none"/>
              </w:rPr>
              <w:t>（附</w:t>
            </w:r>
            <w:r>
              <w:rPr>
                <w:rFonts w:hint="eastAsia" w:ascii="宋体" w:hAnsi="宋体"/>
                <w:b w:val="0"/>
                <w:bCs w:val="0"/>
                <w:color w:val="auto"/>
                <w:szCs w:val="21"/>
                <w:highlight w:val="none"/>
              </w:rPr>
              <w:t>由法定代表人或授权委托人签字或盖章并加盖</w:t>
            </w:r>
            <w:r>
              <w:rPr>
                <w:rFonts w:hint="eastAsia" w:ascii="宋体" w:hAnsi="宋体" w:cs="宋体-18030"/>
                <w:b w:val="0"/>
                <w:bCs w:val="0"/>
                <w:color w:val="auto"/>
                <w:kern w:val="0"/>
                <w:szCs w:val="21"/>
                <w:highlight w:val="none"/>
                <w:lang w:val="zh-CN"/>
              </w:rPr>
              <w:t>投标人</w:t>
            </w:r>
            <w:r>
              <w:rPr>
                <w:rFonts w:hint="eastAsia" w:ascii="宋体" w:hAnsi="宋体"/>
                <w:b w:val="0"/>
                <w:bCs w:val="0"/>
                <w:color w:val="auto"/>
                <w:szCs w:val="21"/>
                <w:highlight w:val="none"/>
              </w:rPr>
              <w:t>公章的承诺书）</w:t>
            </w:r>
          </w:p>
        </w:tc>
      </w:tr>
      <w:tr w14:paraId="44842C00">
        <w:tblPrEx>
          <w:tblCellMar>
            <w:top w:w="0" w:type="dxa"/>
            <w:left w:w="108" w:type="dxa"/>
            <w:bottom w:w="0" w:type="dxa"/>
            <w:right w:w="108" w:type="dxa"/>
          </w:tblCellMar>
        </w:tblPrEx>
        <w:trPr>
          <w:trHeight w:val="602" w:hRule="atLeast"/>
        </w:trPr>
        <w:tc>
          <w:tcPr>
            <w:tcW w:w="435" w:type="pct"/>
            <w:tcBorders>
              <w:left w:val="single" w:color="000000" w:sz="2" w:space="0"/>
              <w:right w:val="single" w:color="000000" w:sz="2" w:space="0"/>
            </w:tcBorders>
            <w:shd w:val="clear" w:color="auto" w:fill="auto"/>
            <w:noWrap w:val="0"/>
            <w:vAlign w:val="center"/>
          </w:tcPr>
          <w:p w14:paraId="1A226CFC">
            <w:pPr>
              <w:keepNext w:val="0"/>
              <w:keepLines w:val="0"/>
              <w:pageBreakBefore w:val="0"/>
              <w:kinsoku/>
              <w:wordWrap/>
              <w:overflowPunct/>
              <w:topLinePunct w:val="0"/>
              <w:autoSpaceDE w:val="0"/>
              <w:autoSpaceDN w:val="0"/>
              <w:bidi w:val="0"/>
              <w:adjustRightInd w:val="0"/>
              <w:spacing w:line="360" w:lineRule="auto"/>
              <w:jc w:val="center"/>
              <w:rPr>
                <w:rFonts w:ascii="宋体" w:hAnsi="宋体" w:cs="宋体"/>
                <w:kern w:val="0"/>
                <w:sz w:val="22"/>
                <w:szCs w:val="22"/>
                <w:highlight w:val="none"/>
                <w:lang w:val="zh-CN"/>
              </w:rPr>
            </w:pPr>
          </w:p>
        </w:tc>
        <w:tc>
          <w:tcPr>
            <w:tcW w:w="391" w:type="pct"/>
            <w:tcBorders>
              <w:left w:val="single" w:color="000000" w:sz="2" w:space="0"/>
              <w:right w:val="single" w:color="000000" w:sz="2" w:space="0"/>
            </w:tcBorders>
            <w:shd w:val="clear" w:color="auto" w:fill="auto"/>
            <w:noWrap w:val="0"/>
            <w:vAlign w:val="center"/>
          </w:tcPr>
          <w:p w14:paraId="22CEC96F">
            <w:pPr>
              <w:keepNext w:val="0"/>
              <w:keepLines w:val="0"/>
              <w:pageBreakBefore w:val="0"/>
              <w:kinsoku/>
              <w:wordWrap/>
              <w:overflowPunct/>
              <w:topLinePunct w:val="0"/>
              <w:autoSpaceDE w:val="0"/>
              <w:autoSpaceDN w:val="0"/>
              <w:bidi w:val="0"/>
              <w:adjustRightInd w:val="0"/>
              <w:spacing w:line="360" w:lineRule="auto"/>
              <w:jc w:val="center"/>
              <w:rPr>
                <w:rFonts w:ascii="宋体" w:hAnsi="宋体" w:cs="宋体"/>
                <w:kern w:val="0"/>
                <w:sz w:val="22"/>
                <w:szCs w:val="22"/>
                <w:highlight w:val="none"/>
                <w:lang w:val="zh-CN"/>
              </w:rPr>
            </w:pPr>
          </w:p>
        </w:tc>
        <w:tc>
          <w:tcPr>
            <w:tcW w:w="105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4D50BBA">
            <w:pPr>
              <w:keepNext w:val="0"/>
              <w:keepLines w:val="0"/>
              <w:pageBreakBefore w:val="0"/>
              <w:kinsoku/>
              <w:wordWrap/>
              <w:overflowPunct/>
              <w:topLinePunct w:val="0"/>
              <w:bidi w:val="0"/>
              <w:adjustRightInd w:val="0"/>
              <w:snapToGrid w:val="0"/>
              <w:spacing w:beforeLines="25" w:line="360" w:lineRule="auto"/>
              <w:jc w:val="center"/>
              <w:rPr>
                <w:rFonts w:hint="eastAsia" w:ascii="宋体" w:hAnsi="宋体" w:cs="宋体-18030"/>
                <w:color w:val="auto"/>
                <w:szCs w:val="21"/>
                <w:highlight w:val="none"/>
                <w:lang w:val="zh-CN"/>
              </w:rPr>
            </w:pPr>
            <w:r>
              <w:rPr>
                <w:rFonts w:hint="eastAsia" w:ascii="宋体" w:hAnsi="宋体" w:cs="宋体-18030"/>
                <w:color w:val="auto"/>
                <w:szCs w:val="21"/>
                <w:highlight w:val="none"/>
                <w:lang w:val="zh-CN"/>
              </w:rPr>
              <w:t>承诺函</w:t>
            </w:r>
          </w:p>
        </w:tc>
        <w:tc>
          <w:tcPr>
            <w:tcW w:w="312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ECB68B6">
            <w:pPr>
              <w:keepNext w:val="0"/>
              <w:keepLines w:val="0"/>
              <w:pageBreakBefore w:val="0"/>
              <w:kinsoku/>
              <w:wordWrap/>
              <w:overflowPunct/>
              <w:topLinePunct w:val="0"/>
              <w:bidi w:val="0"/>
              <w:adjustRightInd w:val="0"/>
              <w:snapToGrid w:val="0"/>
              <w:spacing w:beforeLines="25" w:line="360" w:lineRule="auto"/>
              <w:rPr>
                <w:rFonts w:hint="eastAsia" w:ascii="宋体" w:hAnsi="宋体" w:cs="宋体"/>
                <w:b w:val="0"/>
                <w:bCs w:val="0"/>
                <w:color w:val="auto"/>
                <w:szCs w:val="21"/>
                <w:highlight w:val="none"/>
              </w:rPr>
            </w:pPr>
            <w:r>
              <w:rPr>
                <w:rFonts w:hint="eastAsia" w:ascii="宋体" w:hAnsi="宋体" w:cs="宋体"/>
                <w:b w:val="0"/>
                <w:bCs w:val="0"/>
                <w:color w:val="auto"/>
                <w:szCs w:val="21"/>
                <w:highlight w:val="none"/>
              </w:rPr>
              <w:t>中小企业须提供中小企业声明函(中小企业提供);“大型供应商须将本采购项目中 30%份额分包给一家或多家中小企业”的承诺函</w:t>
            </w:r>
            <w:r>
              <w:rPr>
                <w:rFonts w:hint="eastAsia" w:ascii="宋体" w:hAnsi="宋体" w:cs="宋体"/>
                <w:b w:val="0"/>
                <w:bCs w:val="0"/>
                <w:color w:val="auto"/>
                <w:szCs w:val="21"/>
                <w:highlight w:val="none"/>
                <w:lang w:val="en-US" w:eastAsia="zh-CN"/>
              </w:rPr>
              <w:t>及</w:t>
            </w:r>
            <w:r>
              <w:rPr>
                <w:rFonts w:hint="eastAsia" w:ascii="宋体" w:hAnsi="宋体" w:cs="宋体"/>
                <w:color w:val="auto"/>
                <w:kern w:val="0"/>
                <w:sz w:val="21"/>
                <w:szCs w:val="21"/>
                <w:highlight w:val="none"/>
              </w:rPr>
              <w:t>签订分包意向协议的中小企业</w:t>
            </w:r>
            <w:r>
              <w:rPr>
                <w:rFonts w:hint="eastAsia" w:ascii="宋体" w:hAnsi="宋体" w:cs="宋体"/>
                <w:color w:val="auto"/>
                <w:kern w:val="0"/>
                <w:sz w:val="21"/>
                <w:szCs w:val="21"/>
                <w:highlight w:val="none"/>
                <w:lang w:val="en-US" w:eastAsia="zh-CN"/>
              </w:rPr>
              <w:t>的</w:t>
            </w:r>
            <w:r>
              <w:rPr>
                <w:rFonts w:hint="eastAsia" w:ascii="宋体" w:hAnsi="宋体" w:cs="宋体"/>
                <w:b w:val="0"/>
                <w:bCs w:val="0"/>
                <w:color w:val="auto"/>
                <w:szCs w:val="21"/>
                <w:highlight w:val="none"/>
              </w:rPr>
              <w:t>中小企业声明函(大型企业提供)。</w:t>
            </w:r>
          </w:p>
        </w:tc>
      </w:tr>
      <w:tr w14:paraId="169F65D1">
        <w:tblPrEx>
          <w:tblCellMar>
            <w:top w:w="0" w:type="dxa"/>
            <w:left w:w="108" w:type="dxa"/>
            <w:bottom w:w="0" w:type="dxa"/>
            <w:right w:w="108" w:type="dxa"/>
          </w:tblCellMar>
        </w:tblPrEx>
        <w:trPr>
          <w:trHeight w:val="400" w:hRule="atLeast"/>
        </w:trPr>
        <w:tc>
          <w:tcPr>
            <w:tcW w:w="435" w:type="pct"/>
            <w:vMerge w:val="restart"/>
            <w:tcBorders>
              <w:top w:val="single" w:color="000000" w:sz="2" w:space="0"/>
              <w:left w:val="single" w:color="000000" w:sz="2" w:space="0"/>
              <w:right w:val="single" w:color="000000" w:sz="2" w:space="0"/>
            </w:tcBorders>
            <w:shd w:val="clear" w:color="auto" w:fill="auto"/>
            <w:noWrap w:val="0"/>
            <w:vAlign w:val="center"/>
          </w:tcPr>
          <w:p w14:paraId="4400B940">
            <w:pPr>
              <w:keepNext w:val="0"/>
              <w:keepLines w:val="0"/>
              <w:pageBreakBefore w:val="0"/>
              <w:kinsoku/>
              <w:wordWrap/>
              <w:overflowPunct/>
              <w:topLinePunct w:val="0"/>
              <w:autoSpaceDE w:val="0"/>
              <w:autoSpaceDN w:val="0"/>
              <w:bidi w:val="0"/>
              <w:adjustRightInd w:val="0"/>
              <w:spacing w:line="360" w:lineRule="auto"/>
              <w:jc w:val="center"/>
              <w:rPr>
                <w:rFonts w:hint="eastAsia" w:ascii="宋体" w:hAnsi="宋体" w:cs="宋体" w:eastAsiaTheme="minorEastAsia"/>
                <w:kern w:val="0"/>
                <w:sz w:val="22"/>
                <w:szCs w:val="22"/>
                <w:highlight w:val="none"/>
                <w:lang w:val="zh-CN" w:eastAsia="zh-CN"/>
              </w:rPr>
            </w:pPr>
            <w:r>
              <w:rPr>
                <w:rFonts w:hint="eastAsia" w:ascii="宋体" w:hAnsi="宋体" w:cs="宋体"/>
                <w:kern w:val="0"/>
                <w:highlight w:val="none"/>
              </w:rPr>
              <w:t>2.1.</w:t>
            </w:r>
            <w:r>
              <w:rPr>
                <w:rFonts w:hint="eastAsia" w:ascii="宋体" w:hAnsi="宋体" w:cs="宋体"/>
                <w:kern w:val="0"/>
                <w:highlight w:val="none"/>
                <w:lang w:val="en-US" w:eastAsia="zh-CN"/>
              </w:rPr>
              <w:t>2</w:t>
            </w:r>
          </w:p>
        </w:tc>
        <w:tc>
          <w:tcPr>
            <w:tcW w:w="391" w:type="pct"/>
            <w:vMerge w:val="restart"/>
            <w:tcBorders>
              <w:top w:val="single" w:color="auto" w:sz="4" w:space="0"/>
              <w:left w:val="single" w:color="000000" w:sz="2" w:space="0"/>
              <w:right w:val="single" w:color="000000" w:sz="2" w:space="0"/>
            </w:tcBorders>
            <w:shd w:val="clear" w:color="auto" w:fill="auto"/>
            <w:noWrap w:val="0"/>
            <w:vAlign w:val="center"/>
          </w:tcPr>
          <w:p w14:paraId="6DA8E555">
            <w:pPr>
              <w:keepNext w:val="0"/>
              <w:keepLines w:val="0"/>
              <w:pageBreakBefore w:val="0"/>
              <w:kinsoku/>
              <w:wordWrap/>
              <w:overflowPunct/>
              <w:topLinePunct w:val="0"/>
              <w:autoSpaceDE w:val="0"/>
              <w:autoSpaceDN w:val="0"/>
              <w:bidi w:val="0"/>
              <w:adjustRightInd w:val="0"/>
              <w:spacing w:line="360" w:lineRule="auto"/>
              <w:jc w:val="center"/>
              <w:rPr>
                <w:rFonts w:ascii="宋体" w:hAnsi="宋体" w:cs="宋体"/>
                <w:kern w:val="0"/>
                <w:sz w:val="22"/>
                <w:szCs w:val="22"/>
                <w:highlight w:val="none"/>
                <w:lang w:val="zh-CN"/>
              </w:rPr>
            </w:pPr>
            <w:r>
              <w:rPr>
                <w:rFonts w:hint="eastAsia" w:ascii="宋体" w:hAnsi="宋体" w:cs="宋体"/>
                <w:kern w:val="0"/>
                <w:highlight w:val="none"/>
                <w:lang w:val="zh-CN"/>
              </w:rPr>
              <w:t>响应性评审标准</w:t>
            </w:r>
          </w:p>
        </w:tc>
        <w:tc>
          <w:tcPr>
            <w:tcW w:w="1050" w:type="pct"/>
            <w:tcBorders>
              <w:top w:val="single" w:color="auto" w:sz="4" w:space="0"/>
              <w:left w:val="single" w:color="000000" w:sz="2" w:space="0"/>
              <w:bottom w:val="single" w:color="000000" w:sz="2" w:space="0"/>
              <w:right w:val="single" w:color="000000" w:sz="2" w:space="0"/>
            </w:tcBorders>
            <w:shd w:val="clear" w:color="auto" w:fill="auto"/>
            <w:noWrap w:val="0"/>
            <w:vAlign w:val="center"/>
          </w:tcPr>
          <w:p w14:paraId="735B1743">
            <w:pPr>
              <w:keepNext w:val="0"/>
              <w:keepLines w:val="0"/>
              <w:pageBreakBefore w:val="0"/>
              <w:kinsoku/>
              <w:wordWrap/>
              <w:overflowPunct/>
              <w:topLinePunct w:val="0"/>
              <w:bidi w:val="0"/>
              <w:spacing w:line="360" w:lineRule="auto"/>
              <w:jc w:val="center"/>
              <w:rPr>
                <w:rFonts w:ascii="宋体" w:hAnsi="宋体" w:cs="宋体"/>
                <w:kern w:val="0"/>
                <w:sz w:val="22"/>
                <w:szCs w:val="22"/>
                <w:highlight w:val="none"/>
                <w:lang w:val="zh-CN"/>
              </w:rPr>
            </w:pPr>
            <w:r>
              <w:rPr>
                <w:rFonts w:hint="eastAsia" w:ascii="宋体" w:hAnsi="宋体" w:cs="宋体"/>
                <w:bCs/>
                <w:highlight w:val="none"/>
              </w:rPr>
              <w:t>投标内容</w:t>
            </w:r>
          </w:p>
        </w:tc>
        <w:tc>
          <w:tcPr>
            <w:tcW w:w="3123" w:type="pct"/>
            <w:tcBorders>
              <w:top w:val="single" w:color="auto" w:sz="4" w:space="0"/>
              <w:left w:val="single" w:color="000000" w:sz="2" w:space="0"/>
              <w:bottom w:val="single" w:color="000000" w:sz="2" w:space="0"/>
              <w:right w:val="single" w:color="000000" w:sz="2" w:space="0"/>
            </w:tcBorders>
            <w:shd w:val="clear" w:color="auto" w:fill="auto"/>
            <w:noWrap w:val="0"/>
            <w:vAlign w:val="center"/>
          </w:tcPr>
          <w:p w14:paraId="7E16E456">
            <w:pPr>
              <w:keepNext w:val="0"/>
              <w:keepLines w:val="0"/>
              <w:pageBreakBefore w:val="0"/>
              <w:kinsoku/>
              <w:wordWrap/>
              <w:overflowPunct/>
              <w:topLinePunct w:val="0"/>
              <w:bidi w:val="0"/>
              <w:spacing w:line="360" w:lineRule="auto"/>
              <w:jc w:val="left"/>
              <w:rPr>
                <w:rFonts w:hint="default" w:ascii="宋体" w:hAnsi="宋体" w:eastAsia="宋体" w:cs="宋体"/>
                <w:kern w:val="0"/>
                <w:sz w:val="22"/>
                <w:szCs w:val="22"/>
                <w:highlight w:val="none"/>
                <w:lang w:val="en-US" w:eastAsia="zh-CN"/>
              </w:rPr>
            </w:pPr>
            <w:r>
              <w:rPr>
                <w:rFonts w:hint="eastAsia" w:ascii="宋体" w:hAnsi="宋体" w:cs="宋体"/>
                <w:bCs/>
                <w:highlight w:val="none"/>
              </w:rPr>
              <w:t>符合</w:t>
            </w:r>
            <w:r>
              <w:rPr>
                <w:rFonts w:hint="eastAsia" w:ascii="宋体" w:hAnsi="宋体" w:cs="宋体"/>
                <w:bCs/>
                <w:highlight w:val="none"/>
                <w:lang w:val="en-US" w:eastAsia="zh-CN"/>
              </w:rPr>
              <w:t>招标文件要求</w:t>
            </w:r>
          </w:p>
        </w:tc>
      </w:tr>
      <w:tr w14:paraId="0B54BA60">
        <w:tblPrEx>
          <w:shd w:val="clear" w:color="auto" w:fill="auto"/>
          <w:tblCellMar>
            <w:top w:w="0" w:type="dxa"/>
            <w:left w:w="108" w:type="dxa"/>
            <w:bottom w:w="0" w:type="dxa"/>
            <w:right w:w="108" w:type="dxa"/>
          </w:tblCellMar>
        </w:tblPrEx>
        <w:trPr>
          <w:trHeight w:val="384" w:hRule="atLeast"/>
        </w:trPr>
        <w:tc>
          <w:tcPr>
            <w:tcW w:w="435" w:type="pct"/>
            <w:vMerge w:val="continue"/>
            <w:tcBorders>
              <w:left w:val="single" w:color="000000" w:sz="2" w:space="0"/>
              <w:right w:val="single" w:color="000000" w:sz="2" w:space="0"/>
            </w:tcBorders>
            <w:shd w:val="clear" w:color="auto" w:fill="auto"/>
            <w:noWrap w:val="0"/>
            <w:vAlign w:val="center"/>
          </w:tcPr>
          <w:p w14:paraId="1CCF0E37">
            <w:pPr>
              <w:keepNext w:val="0"/>
              <w:keepLines w:val="0"/>
              <w:pageBreakBefore w:val="0"/>
              <w:kinsoku/>
              <w:wordWrap/>
              <w:overflowPunct/>
              <w:topLinePunct w:val="0"/>
              <w:autoSpaceDE w:val="0"/>
              <w:autoSpaceDN w:val="0"/>
              <w:bidi w:val="0"/>
              <w:adjustRightInd w:val="0"/>
              <w:spacing w:line="360" w:lineRule="auto"/>
              <w:jc w:val="center"/>
              <w:rPr>
                <w:rFonts w:ascii="宋体" w:hAnsi="宋体" w:cs="宋体"/>
                <w:kern w:val="0"/>
                <w:sz w:val="22"/>
                <w:szCs w:val="22"/>
                <w:highlight w:val="none"/>
                <w:lang w:val="zh-CN"/>
              </w:rPr>
            </w:pPr>
          </w:p>
        </w:tc>
        <w:tc>
          <w:tcPr>
            <w:tcW w:w="391" w:type="pct"/>
            <w:vMerge w:val="continue"/>
            <w:tcBorders>
              <w:left w:val="single" w:color="000000" w:sz="2" w:space="0"/>
              <w:right w:val="single" w:color="000000" w:sz="2" w:space="0"/>
            </w:tcBorders>
            <w:shd w:val="clear" w:color="auto" w:fill="auto"/>
            <w:noWrap w:val="0"/>
            <w:vAlign w:val="center"/>
          </w:tcPr>
          <w:p w14:paraId="68BE6181">
            <w:pPr>
              <w:keepNext w:val="0"/>
              <w:keepLines w:val="0"/>
              <w:pageBreakBefore w:val="0"/>
              <w:kinsoku/>
              <w:wordWrap/>
              <w:overflowPunct/>
              <w:topLinePunct w:val="0"/>
              <w:autoSpaceDE w:val="0"/>
              <w:autoSpaceDN w:val="0"/>
              <w:bidi w:val="0"/>
              <w:adjustRightInd w:val="0"/>
              <w:spacing w:line="360" w:lineRule="auto"/>
              <w:jc w:val="center"/>
              <w:rPr>
                <w:rFonts w:ascii="宋体" w:hAnsi="宋体" w:cs="宋体"/>
                <w:kern w:val="0"/>
                <w:sz w:val="22"/>
                <w:szCs w:val="22"/>
                <w:highlight w:val="none"/>
                <w:lang w:val="zh-CN"/>
              </w:rPr>
            </w:pPr>
          </w:p>
        </w:tc>
        <w:tc>
          <w:tcPr>
            <w:tcW w:w="1050" w:type="pct"/>
            <w:tcBorders>
              <w:top w:val="single" w:color="000000" w:sz="2" w:space="0"/>
              <w:left w:val="single" w:color="000000" w:sz="2" w:space="0"/>
              <w:bottom w:val="single" w:color="000000" w:sz="2" w:space="0"/>
              <w:right w:val="single" w:color="000000" w:sz="2" w:space="0"/>
            </w:tcBorders>
            <w:shd w:val="clear" w:color="auto" w:fill="auto"/>
            <w:noWrap w:val="0"/>
            <w:vAlign w:val="center"/>
          </w:tcPr>
          <w:p w14:paraId="324136E4">
            <w:pPr>
              <w:keepNext w:val="0"/>
              <w:keepLines w:val="0"/>
              <w:pageBreakBefore w:val="0"/>
              <w:kinsoku/>
              <w:wordWrap/>
              <w:overflowPunct/>
              <w:topLinePunct w:val="0"/>
              <w:bidi w:val="0"/>
              <w:spacing w:line="360" w:lineRule="auto"/>
              <w:jc w:val="center"/>
              <w:rPr>
                <w:rFonts w:hint="default" w:ascii="宋体" w:hAnsi="宋体" w:cs="宋体"/>
                <w:color w:val="auto"/>
                <w:highlight w:val="none"/>
                <w:lang w:val="en-US" w:eastAsia="zh-CN"/>
              </w:rPr>
            </w:pPr>
            <w:r>
              <w:rPr>
                <w:rFonts w:hint="default" w:ascii="宋体" w:hAnsi="宋体" w:cs="宋体"/>
                <w:color w:val="auto"/>
                <w:highlight w:val="none"/>
                <w:lang w:val="en-US" w:eastAsia="zh-CN"/>
              </w:rPr>
              <w:t>合同履行期限(交货期限)</w:t>
            </w:r>
          </w:p>
        </w:tc>
        <w:tc>
          <w:tcPr>
            <w:tcW w:w="3123" w:type="pct"/>
            <w:tcBorders>
              <w:top w:val="single" w:color="000000" w:sz="2" w:space="0"/>
              <w:left w:val="single" w:color="000000" w:sz="2" w:space="0"/>
              <w:bottom w:val="single" w:color="000000" w:sz="2" w:space="0"/>
              <w:right w:val="single" w:color="000000" w:sz="2" w:space="0"/>
            </w:tcBorders>
            <w:shd w:val="clear" w:color="auto" w:fill="auto"/>
            <w:noWrap w:val="0"/>
            <w:vAlign w:val="center"/>
          </w:tcPr>
          <w:p w14:paraId="40E8C0DD">
            <w:pPr>
              <w:keepNext w:val="0"/>
              <w:keepLines w:val="0"/>
              <w:pageBreakBefore w:val="0"/>
              <w:kinsoku/>
              <w:wordWrap/>
              <w:overflowPunct/>
              <w:topLinePunct w:val="0"/>
              <w:bidi w:val="0"/>
              <w:spacing w:line="360" w:lineRule="auto"/>
              <w:jc w:val="left"/>
              <w:rPr>
                <w:rFonts w:hint="eastAsia" w:ascii="宋体" w:hAnsi="宋体" w:cs="宋体"/>
                <w:color w:val="auto"/>
                <w:highlight w:val="none"/>
                <w:lang w:val="zh-CN"/>
              </w:rPr>
            </w:pPr>
            <w:r>
              <w:rPr>
                <w:rFonts w:hint="eastAsia" w:ascii="宋体" w:hAnsi="宋体" w:cs="宋体"/>
                <w:color w:val="auto"/>
                <w:highlight w:val="none"/>
                <w:lang w:val="zh-CN"/>
              </w:rPr>
              <w:t>合同订立后</w:t>
            </w:r>
            <w:r>
              <w:rPr>
                <w:rFonts w:hint="eastAsia" w:ascii="宋体" w:hAnsi="宋体" w:cs="宋体"/>
                <w:color w:val="auto"/>
                <w:highlight w:val="none"/>
                <w:lang w:val="en-US" w:eastAsia="zh-CN"/>
              </w:rPr>
              <w:t>30</w:t>
            </w:r>
            <w:r>
              <w:rPr>
                <w:rFonts w:hint="eastAsia" w:ascii="宋体" w:hAnsi="宋体" w:cs="宋体"/>
                <w:color w:val="auto"/>
                <w:highlight w:val="none"/>
                <w:lang w:val="zh-CN"/>
              </w:rPr>
              <w:t>天内交货</w:t>
            </w:r>
            <w:r>
              <w:rPr>
                <w:rFonts w:hint="eastAsia" w:ascii="宋体" w:hAnsi="宋体" w:cs="宋体"/>
                <w:color w:val="auto"/>
                <w:highlight w:val="none"/>
                <w:lang w:val="zh-CN" w:eastAsia="zh-CN"/>
              </w:rPr>
              <w:t>，并安装完毕</w:t>
            </w:r>
            <w:r>
              <w:rPr>
                <w:rFonts w:hint="eastAsia" w:ascii="宋体" w:hAnsi="宋体" w:cs="宋体"/>
                <w:color w:val="auto"/>
                <w:highlight w:val="none"/>
                <w:lang w:val="zh-CN"/>
              </w:rPr>
              <w:t>。</w:t>
            </w:r>
          </w:p>
        </w:tc>
      </w:tr>
      <w:tr w14:paraId="5A5B671B">
        <w:tblPrEx>
          <w:tblCellMar>
            <w:top w:w="0" w:type="dxa"/>
            <w:left w:w="108" w:type="dxa"/>
            <w:bottom w:w="0" w:type="dxa"/>
            <w:right w:w="108" w:type="dxa"/>
          </w:tblCellMar>
        </w:tblPrEx>
        <w:trPr>
          <w:trHeight w:val="384" w:hRule="atLeast"/>
        </w:trPr>
        <w:tc>
          <w:tcPr>
            <w:tcW w:w="435" w:type="pct"/>
            <w:vMerge w:val="continue"/>
            <w:tcBorders>
              <w:left w:val="single" w:color="000000" w:sz="2" w:space="0"/>
              <w:right w:val="single" w:color="000000" w:sz="2" w:space="0"/>
            </w:tcBorders>
            <w:shd w:val="clear" w:color="auto" w:fill="auto"/>
            <w:noWrap w:val="0"/>
            <w:vAlign w:val="center"/>
          </w:tcPr>
          <w:p w14:paraId="07965707">
            <w:pPr>
              <w:keepNext w:val="0"/>
              <w:keepLines w:val="0"/>
              <w:pageBreakBefore w:val="0"/>
              <w:kinsoku/>
              <w:wordWrap/>
              <w:overflowPunct/>
              <w:topLinePunct w:val="0"/>
              <w:autoSpaceDE w:val="0"/>
              <w:autoSpaceDN w:val="0"/>
              <w:bidi w:val="0"/>
              <w:adjustRightInd w:val="0"/>
              <w:spacing w:line="360" w:lineRule="auto"/>
              <w:jc w:val="center"/>
              <w:rPr>
                <w:rFonts w:ascii="宋体" w:hAnsi="宋体" w:cs="宋体"/>
                <w:kern w:val="0"/>
                <w:sz w:val="22"/>
                <w:szCs w:val="22"/>
                <w:highlight w:val="none"/>
                <w:lang w:val="zh-CN"/>
              </w:rPr>
            </w:pPr>
          </w:p>
        </w:tc>
        <w:tc>
          <w:tcPr>
            <w:tcW w:w="391" w:type="pct"/>
            <w:vMerge w:val="continue"/>
            <w:tcBorders>
              <w:left w:val="single" w:color="000000" w:sz="2" w:space="0"/>
              <w:right w:val="single" w:color="000000" w:sz="2" w:space="0"/>
            </w:tcBorders>
            <w:shd w:val="clear" w:color="auto" w:fill="auto"/>
            <w:noWrap w:val="0"/>
            <w:vAlign w:val="center"/>
          </w:tcPr>
          <w:p w14:paraId="2D8B9E1D">
            <w:pPr>
              <w:keepNext w:val="0"/>
              <w:keepLines w:val="0"/>
              <w:pageBreakBefore w:val="0"/>
              <w:kinsoku/>
              <w:wordWrap/>
              <w:overflowPunct/>
              <w:topLinePunct w:val="0"/>
              <w:autoSpaceDE w:val="0"/>
              <w:autoSpaceDN w:val="0"/>
              <w:bidi w:val="0"/>
              <w:adjustRightInd w:val="0"/>
              <w:spacing w:line="360" w:lineRule="auto"/>
              <w:jc w:val="center"/>
              <w:rPr>
                <w:rFonts w:ascii="宋体" w:hAnsi="宋体" w:cs="宋体"/>
                <w:kern w:val="0"/>
                <w:sz w:val="22"/>
                <w:szCs w:val="22"/>
                <w:highlight w:val="none"/>
                <w:lang w:val="zh-CN"/>
              </w:rPr>
            </w:pPr>
          </w:p>
        </w:tc>
        <w:tc>
          <w:tcPr>
            <w:tcW w:w="1050" w:type="pct"/>
            <w:tcBorders>
              <w:top w:val="single" w:color="000000" w:sz="2" w:space="0"/>
              <w:left w:val="single" w:color="000000" w:sz="2" w:space="0"/>
              <w:bottom w:val="single" w:color="000000" w:sz="2" w:space="0"/>
              <w:right w:val="single" w:color="000000" w:sz="2" w:space="0"/>
            </w:tcBorders>
            <w:shd w:val="clear" w:color="auto" w:fill="auto"/>
            <w:noWrap w:val="0"/>
            <w:vAlign w:val="center"/>
          </w:tcPr>
          <w:p w14:paraId="75644C3D">
            <w:pPr>
              <w:keepNext w:val="0"/>
              <w:keepLines w:val="0"/>
              <w:pageBreakBefore w:val="0"/>
              <w:kinsoku/>
              <w:wordWrap/>
              <w:overflowPunct/>
              <w:topLinePunct w:val="0"/>
              <w:bidi w:val="0"/>
              <w:spacing w:line="360" w:lineRule="auto"/>
              <w:jc w:val="center"/>
              <w:rPr>
                <w:rFonts w:ascii="宋体" w:hAnsi="宋体" w:cs="宋体"/>
                <w:kern w:val="0"/>
                <w:sz w:val="22"/>
                <w:szCs w:val="22"/>
                <w:highlight w:val="none"/>
              </w:rPr>
            </w:pPr>
            <w:r>
              <w:rPr>
                <w:rFonts w:hint="eastAsia" w:ascii="宋体" w:hAnsi="宋体" w:cs="宋体"/>
                <w:highlight w:val="none"/>
              </w:rPr>
              <w:t>质量要求</w:t>
            </w:r>
          </w:p>
        </w:tc>
        <w:tc>
          <w:tcPr>
            <w:tcW w:w="3123" w:type="pct"/>
            <w:tcBorders>
              <w:top w:val="single" w:color="000000" w:sz="2" w:space="0"/>
              <w:left w:val="single" w:color="000000" w:sz="2" w:space="0"/>
              <w:bottom w:val="single" w:color="000000" w:sz="2" w:space="0"/>
              <w:right w:val="single" w:color="000000" w:sz="2" w:space="0"/>
            </w:tcBorders>
            <w:shd w:val="clear" w:color="auto" w:fill="auto"/>
            <w:noWrap w:val="0"/>
            <w:vAlign w:val="center"/>
          </w:tcPr>
          <w:p w14:paraId="0C614918">
            <w:pPr>
              <w:keepNext w:val="0"/>
              <w:keepLines w:val="0"/>
              <w:pageBreakBefore w:val="0"/>
              <w:kinsoku/>
              <w:wordWrap/>
              <w:overflowPunct/>
              <w:topLinePunct w:val="0"/>
              <w:bidi w:val="0"/>
              <w:spacing w:line="360" w:lineRule="auto"/>
              <w:jc w:val="left"/>
              <w:rPr>
                <w:rFonts w:ascii="宋体" w:hAnsi="宋体" w:cs="宋体"/>
                <w:kern w:val="0"/>
                <w:highlight w:val="none"/>
                <w:lang w:val="zh-CN"/>
              </w:rPr>
            </w:pPr>
            <w:r>
              <w:rPr>
                <w:rFonts w:hint="eastAsia" w:ascii="宋体" w:hAnsi="宋体" w:cs="宋体"/>
                <w:kern w:val="0"/>
                <w:highlight w:val="none"/>
                <w:lang w:val="zh-CN"/>
              </w:rPr>
              <w:t>符合现行国家、行业、地方或者其他相关标准的合格要求</w:t>
            </w:r>
          </w:p>
        </w:tc>
      </w:tr>
      <w:tr w14:paraId="0ECD6B7E">
        <w:tblPrEx>
          <w:shd w:val="clear" w:color="auto" w:fill="auto"/>
          <w:tblCellMar>
            <w:top w:w="0" w:type="dxa"/>
            <w:left w:w="108" w:type="dxa"/>
            <w:bottom w:w="0" w:type="dxa"/>
            <w:right w:w="108" w:type="dxa"/>
          </w:tblCellMar>
        </w:tblPrEx>
        <w:trPr>
          <w:trHeight w:val="384" w:hRule="atLeast"/>
        </w:trPr>
        <w:tc>
          <w:tcPr>
            <w:tcW w:w="435" w:type="pct"/>
            <w:vMerge w:val="continue"/>
            <w:tcBorders>
              <w:left w:val="single" w:color="000000" w:sz="2" w:space="0"/>
              <w:right w:val="single" w:color="000000" w:sz="2" w:space="0"/>
            </w:tcBorders>
            <w:shd w:val="clear" w:color="auto" w:fill="auto"/>
            <w:noWrap w:val="0"/>
            <w:vAlign w:val="center"/>
          </w:tcPr>
          <w:p w14:paraId="7B58AE3F">
            <w:pPr>
              <w:keepNext w:val="0"/>
              <w:keepLines w:val="0"/>
              <w:pageBreakBefore w:val="0"/>
              <w:kinsoku/>
              <w:wordWrap/>
              <w:overflowPunct/>
              <w:topLinePunct w:val="0"/>
              <w:autoSpaceDE w:val="0"/>
              <w:autoSpaceDN w:val="0"/>
              <w:bidi w:val="0"/>
              <w:adjustRightInd w:val="0"/>
              <w:spacing w:line="360" w:lineRule="auto"/>
              <w:jc w:val="center"/>
              <w:rPr>
                <w:rFonts w:ascii="宋体" w:hAnsi="宋体" w:cs="宋体"/>
                <w:kern w:val="0"/>
                <w:sz w:val="22"/>
                <w:szCs w:val="22"/>
                <w:highlight w:val="none"/>
                <w:lang w:val="zh-CN"/>
              </w:rPr>
            </w:pPr>
          </w:p>
        </w:tc>
        <w:tc>
          <w:tcPr>
            <w:tcW w:w="391" w:type="pct"/>
            <w:vMerge w:val="continue"/>
            <w:tcBorders>
              <w:left w:val="single" w:color="000000" w:sz="2" w:space="0"/>
              <w:right w:val="single" w:color="000000" w:sz="2" w:space="0"/>
            </w:tcBorders>
            <w:shd w:val="clear" w:color="auto" w:fill="auto"/>
            <w:noWrap w:val="0"/>
            <w:vAlign w:val="center"/>
          </w:tcPr>
          <w:p w14:paraId="18CEC4EC">
            <w:pPr>
              <w:keepNext w:val="0"/>
              <w:keepLines w:val="0"/>
              <w:pageBreakBefore w:val="0"/>
              <w:kinsoku/>
              <w:wordWrap/>
              <w:overflowPunct/>
              <w:topLinePunct w:val="0"/>
              <w:autoSpaceDE w:val="0"/>
              <w:autoSpaceDN w:val="0"/>
              <w:bidi w:val="0"/>
              <w:adjustRightInd w:val="0"/>
              <w:spacing w:line="360" w:lineRule="auto"/>
              <w:jc w:val="center"/>
              <w:rPr>
                <w:rFonts w:ascii="宋体" w:hAnsi="宋体" w:cs="宋体"/>
                <w:kern w:val="0"/>
                <w:sz w:val="22"/>
                <w:szCs w:val="22"/>
                <w:highlight w:val="none"/>
                <w:lang w:val="zh-CN"/>
              </w:rPr>
            </w:pPr>
          </w:p>
        </w:tc>
        <w:tc>
          <w:tcPr>
            <w:tcW w:w="1050" w:type="pct"/>
            <w:tcBorders>
              <w:top w:val="single" w:color="000000" w:sz="2" w:space="0"/>
              <w:left w:val="single" w:color="000000" w:sz="2" w:space="0"/>
              <w:bottom w:val="single" w:color="000000" w:sz="2" w:space="0"/>
              <w:right w:val="single" w:color="000000" w:sz="2" w:space="0"/>
            </w:tcBorders>
            <w:shd w:val="clear" w:color="auto" w:fill="auto"/>
            <w:noWrap w:val="0"/>
            <w:vAlign w:val="center"/>
          </w:tcPr>
          <w:p w14:paraId="4CFE44C9">
            <w:pPr>
              <w:keepNext w:val="0"/>
              <w:keepLines w:val="0"/>
              <w:pageBreakBefore w:val="0"/>
              <w:kinsoku/>
              <w:wordWrap/>
              <w:overflowPunct/>
              <w:topLinePunct w:val="0"/>
              <w:bidi w:val="0"/>
              <w:spacing w:line="360" w:lineRule="auto"/>
              <w:jc w:val="center"/>
              <w:rPr>
                <w:rFonts w:ascii="宋体" w:hAnsi="宋体" w:cs="宋体"/>
                <w:kern w:val="0"/>
                <w:sz w:val="22"/>
                <w:szCs w:val="22"/>
                <w:highlight w:val="none"/>
                <w:lang w:val="zh-CN"/>
              </w:rPr>
            </w:pPr>
            <w:r>
              <w:rPr>
                <w:rFonts w:hint="eastAsia" w:ascii="宋体" w:hAnsi="宋体" w:cs="宋体"/>
                <w:bCs/>
                <w:highlight w:val="none"/>
              </w:rPr>
              <w:t>投标有效期</w:t>
            </w:r>
          </w:p>
        </w:tc>
        <w:tc>
          <w:tcPr>
            <w:tcW w:w="3123" w:type="pct"/>
            <w:tcBorders>
              <w:top w:val="single" w:color="000000" w:sz="2" w:space="0"/>
              <w:left w:val="single" w:color="000000" w:sz="2" w:space="0"/>
              <w:bottom w:val="single" w:color="000000" w:sz="2" w:space="0"/>
              <w:right w:val="single" w:color="000000" w:sz="2" w:space="0"/>
            </w:tcBorders>
            <w:shd w:val="clear" w:color="auto" w:fill="auto"/>
            <w:noWrap w:val="0"/>
            <w:vAlign w:val="center"/>
          </w:tcPr>
          <w:p w14:paraId="47EE05F6">
            <w:pPr>
              <w:keepNext w:val="0"/>
              <w:keepLines w:val="0"/>
              <w:pageBreakBefore w:val="0"/>
              <w:kinsoku/>
              <w:wordWrap/>
              <w:overflowPunct/>
              <w:topLinePunct w:val="0"/>
              <w:bidi w:val="0"/>
              <w:spacing w:line="360" w:lineRule="auto"/>
              <w:jc w:val="left"/>
              <w:rPr>
                <w:rFonts w:ascii="宋体" w:hAnsi="宋体" w:cs="宋体"/>
                <w:kern w:val="0"/>
                <w:sz w:val="22"/>
                <w:szCs w:val="22"/>
                <w:highlight w:val="none"/>
                <w:lang w:val="zh-CN"/>
              </w:rPr>
            </w:pPr>
            <w:r>
              <w:rPr>
                <w:rFonts w:hint="eastAsia" w:ascii="宋体" w:hAnsi="宋体" w:cs="宋体"/>
                <w:bCs/>
                <w:highlight w:val="none"/>
              </w:rPr>
              <w:t>投标截止之日起90日历天</w:t>
            </w:r>
          </w:p>
        </w:tc>
      </w:tr>
      <w:tr w14:paraId="26CD5893">
        <w:tblPrEx>
          <w:tblCellMar>
            <w:top w:w="0" w:type="dxa"/>
            <w:left w:w="108" w:type="dxa"/>
            <w:bottom w:w="0" w:type="dxa"/>
            <w:right w:w="108" w:type="dxa"/>
          </w:tblCellMar>
        </w:tblPrEx>
        <w:trPr>
          <w:trHeight w:val="384" w:hRule="atLeast"/>
        </w:trPr>
        <w:tc>
          <w:tcPr>
            <w:tcW w:w="435" w:type="pct"/>
            <w:vMerge w:val="continue"/>
            <w:tcBorders>
              <w:left w:val="single" w:color="000000" w:sz="2" w:space="0"/>
              <w:right w:val="single" w:color="000000" w:sz="2" w:space="0"/>
            </w:tcBorders>
            <w:shd w:val="clear" w:color="auto" w:fill="auto"/>
            <w:noWrap w:val="0"/>
            <w:vAlign w:val="center"/>
          </w:tcPr>
          <w:p w14:paraId="33A84643">
            <w:pPr>
              <w:keepNext w:val="0"/>
              <w:keepLines w:val="0"/>
              <w:pageBreakBefore w:val="0"/>
              <w:kinsoku/>
              <w:wordWrap/>
              <w:overflowPunct/>
              <w:topLinePunct w:val="0"/>
              <w:autoSpaceDE w:val="0"/>
              <w:autoSpaceDN w:val="0"/>
              <w:bidi w:val="0"/>
              <w:adjustRightInd w:val="0"/>
              <w:spacing w:line="360" w:lineRule="auto"/>
              <w:jc w:val="center"/>
              <w:rPr>
                <w:rFonts w:ascii="宋体" w:hAnsi="宋体" w:cs="宋体"/>
                <w:kern w:val="0"/>
                <w:sz w:val="22"/>
                <w:szCs w:val="22"/>
                <w:highlight w:val="none"/>
                <w:lang w:val="zh-CN"/>
              </w:rPr>
            </w:pPr>
          </w:p>
        </w:tc>
        <w:tc>
          <w:tcPr>
            <w:tcW w:w="391" w:type="pct"/>
            <w:vMerge w:val="continue"/>
            <w:tcBorders>
              <w:left w:val="single" w:color="000000" w:sz="2" w:space="0"/>
              <w:right w:val="single" w:color="000000" w:sz="2" w:space="0"/>
            </w:tcBorders>
            <w:shd w:val="clear" w:color="auto" w:fill="auto"/>
            <w:noWrap w:val="0"/>
            <w:vAlign w:val="center"/>
          </w:tcPr>
          <w:p w14:paraId="1E3C02E5">
            <w:pPr>
              <w:keepNext w:val="0"/>
              <w:keepLines w:val="0"/>
              <w:pageBreakBefore w:val="0"/>
              <w:kinsoku/>
              <w:wordWrap/>
              <w:overflowPunct/>
              <w:topLinePunct w:val="0"/>
              <w:autoSpaceDE w:val="0"/>
              <w:autoSpaceDN w:val="0"/>
              <w:bidi w:val="0"/>
              <w:adjustRightInd w:val="0"/>
              <w:spacing w:line="360" w:lineRule="auto"/>
              <w:jc w:val="center"/>
              <w:rPr>
                <w:rFonts w:ascii="宋体" w:hAnsi="宋体" w:cs="宋体"/>
                <w:kern w:val="0"/>
                <w:sz w:val="22"/>
                <w:szCs w:val="22"/>
                <w:highlight w:val="none"/>
                <w:lang w:val="zh-CN"/>
              </w:rPr>
            </w:pPr>
          </w:p>
        </w:tc>
        <w:tc>
          <w:tcPr>
            <w:tcW w:w="1050" w:type="pct"/>
            <w:tcBorders>
              <w:top w:val="single" w:color="000000" w:sz="2" w:space="0"/>
              <w:left w:val="single" w:color="000000" w:sz="2" w:space="0"/>
              <w:bottom w:val="single" w:color="000000" w:sz="2" w:space="0"/>
              <w:right w:val="single" w:color="000000" w:sz="2" w:space="0"/>
            </w:tcBorders>
            <w:shd w:val="clear" w:color="auto" w:fill="auto"/>
            <w:noWrap w:val="0"/>
            <w:vAlign w:val="center"/>
          </w:tcPr>
          <w:p w14:paraId="44FB37A5">
            <w:pPr>
              <w:keepNext w:val="0"/>
              <w:keepLines w:val="0"/>
              <w:pageBreakBefore w:val="0"/>
              <w:kinsoku/>
              <w:wordWrap/>
              <w:overflowPunct/>
              <w:topLinePunct w:val="0"/>
              <w:bidi w:val="0"/>
              <w:adjustRightInd w:val="0"/>
              <w:snapToGrid w:val="0"/>
              <w:spacing w:line="360" w:lineRule="auto"/>
              <w:jc w:val="center"/>
              <w:rPr>
                <w:rFonts w:ascii="宋体" w:hAnsi="宋体" w:cs="宋体"/>
                <w:kern w:val="0"/>
                <w:sz w:val="22"/>
                <w:szCs w:val="22"/>
                <w:highlight w:val="none"/>
                <w:lang w:val="zh-CN"/>
              </w:rPr>
            </w:pPr>
            <w:r>
              <w:rPr>
                <w:rFonts w:hint="eastAsia" w:ascii="宋体" w:hAnsi="宋体" w:cs="宋体"/>
                <w:bCs/>
                <w:kern w:val="15"/>
                <w:highlight w:val="none"/>
              </w:rPr>
              <w:t>权利义务</w:t>
            </w:r>
          </w:p>
        </w:tc>
        <w:tc>
          <w:tcPr>
            <w:tcW w:w="3123" w:type="pct"/>
            <w:tcBorders>
              <w:top w:val="single" w:color="000000" w:sz="2" w:space="0"/>
              <w:left w:val="single" w:color="000000" w:sz="2" w:space="0"/>
              <w:bottom w:val="single" w:color="000000" w:sz="2" w:space="0"/>
              <w:right w:val="single" w:color="000000" w:sz="2" w:space="0"/>
            </w:tcBorders>
            <w:shd w:val="clear" w:color="auto" w:fill="auto"/>
            <w:noWrap w:val="0"/>
            <w:vAlign w:val="center"/>
          </w:tcPr>
          <w:p w14:paraId="65441927">
            <w:pPr>
              <w:keepNext w:val="0"/>
              <w:keepLines w:val="0"/>
              <w:pageBreakBefore w:val="0"/>
              <w:kinsoku/>
              <w:wordWrap/>
              <w:overflowPunct/>
              <w:topLinePunct w:val="0"/>
              <w:bidi w:val="0"/>
              <w:adjustRightInd w:val="0"/>
              <w:snapToGrid w:val="0"/>
              <w:spacing w:line="360" w:lineRule="auto"/>
              <w:rPr>
                <w:rFonts w:ascii="宋体" w:hAnsi="宋体" w:cs="宋体"/>
                <w:kern w:val="0"/>
                <w:sz w:val="22"/>
                <w:szCs w:val="22"/>
                <w:highlight w:val="none"/>
                <w:lang w:val="zh-CN"/>
              </w:rPr>
            </w:pPr>
            <w:r>
              <w:rPr>
                <w:rFonts w:hint="eastAsia" w:ascii="宋体" w:hAnsi="宋体" w:cs="宋体"/>
                <w:bCs/>
                <w:kern w:val="15"/>
                <w:highlight w:val="none"/>
              </w:rPr>
              <w:t>符合第四章“合同条款及格式”规定</w:t>
            </w:r>
          </w:p>
        </w:tc>
      </w:tr>
      <w:tr w14:paraId="788333F2">
        <w:tblPrEx>
          <w:tblCellMar>
            <w:top w:w="0" w:type="dxa"/>
            <w:left w:w="108" w:type="dxa"/>
            <w:bottom w:w="0" w:type="dxa"/>
            <w:right w:w="108" w:type="dxa"/>
          </w:tblCellMar>
        </w:tblPrEx>
        <w:trPr>
          <w:trHeight w:val="384" w:hRule="atLeast"/>
        </w:trPr>
        <w:tc>
          <w:tcPr>
            <w:tcW w:w="435" w:type="pct"/>
            <w:vMerge w:val="continue"/>
            <w:tcBorders>
              <w:left w:val="single" w:color="000000" w:sz="2" w:space="0"/>
              <w:right w:val="single" w:color="000000" w:sz="2" w:space="0"/>
            </w:tcBorders>
            <w:shd w:val="clear" w:color="auto" w:fill="auto"/>
            <w:noWrap w:val="0"/>
            <w:vAlign w:val="center"/>
          </w:tcPr>
          <w:p w14:paraId="39F2D565">
            <w:pPr>
              <w:keepNext w:val="0"/>
              <w:keepLines w:val="0"/>
              <w:pageBreakBefore w:val="0"/>
              <w:kinsoku/>
              <w:wordWrap/>
              <w:overflowPunct/>
              <w:topLinePunct w:val="0"/>
              <w:autoSpaceDE w:val="0"/>
              <w:autoSpaceDN w:val="0"/>
              <w:bidi w:val="0"/>
              <w:adjustRightInd w:val="0"/>
              <w:spacing w:line="360" w:lineRule="auto"/>
              <w:jc w:val="center"/>
              <w:rPr>
                <w:rFonts w:ascii="宋体" w:hAnsi="宋体" w:cs="宋体"/>
                <w:kern w:val="0"/>
                <w:sz w:val="22"/>
                <w:szCs w:val="22"/>
                <w:highlight w:val="none"/>
                <w:lang w:val="zh-CN"/>
              </w:rPr>
            </w:pPr>
          </w:p>
        </w:tc>
        <w:tc>
          <w:tcPr>
            <w:tcW w:w="391" w:type="pct"/>
            <w:vMerge w:val="continue"/>
            <w:tcBorders>
              <w:left w:val="single" w:color="000000" w:sz="2" w:space="0"/>
              <w:right w:val="single" w:color="000000" w:sz="2" w:space="0"/>
            </w:tcBorders>
            <w:shd w:val="clear" w:color="auto" w:fill="auto"/>
            <w:noWrap w:val="0"/>
            <w:vAlign w:val="center"/>
          </w:tcPr>
          <w:p w14:paraId="560A7B9B">
            <w:pPr>
              <w:keepNext w:val="0"/>
              <w:keepLines w:val="0"/>
              <w:pageBreakBefore w:val="0"/>
              <w:kinsoku/>
              <w:wordWrap/>
              <w:overflowPunct/>
              <w:topLinePunct w:val="0"/>
              <w:autoSpaceDE w:val="0"/>
              <w:autoSpaceDN w:val="0"/>
              <w:bidi w:val="0"/>
              <w:adjustRightInd w:val="0"/>
              <w:spacing w:line="360" w:lineRule="auto"/>
              <w:jc w:val="center"/>
              <w:rPr>
                <w:rFonts w:ascii="宋体" w:hAnsi="宋体" w:cs="宋体"/>
                <w:kern w:val="0"/>
                <w:sz w:val="22"/>
                <w:szCs w:val="22"/>
                <w:highlight w:val="none"/>
                <w:lang w:val="zh-CN"/>
              </w:rPr>
            </w:pPr>
          </w:p>
        </w:tc>
        <w:tc>
          <w:tcPr>
            <w:tcW w:w="1050" w:type="pct"/>
            <w:tcBorders>
              <w:top w:val="single" w:color="000000" w:sz="2" w:space="0"/>
              <w:left w:val="single" w:color="000000" w:sz="2" w:space="0"/>
              <w:bottom w:val="single" w:color="000000" w:sz="2" w:space="0"/>
              <w:right w:val="single" w:color="000000" w:sz="2" w:space="0"/>
            </w:tcBorders>
            <w:shd w:val="clear" w:color="auto" w:fill="auto"/>
            <w:noWrap w:val="0"/>
            <w:vAlign w:val="center"/>
          </w:tcPr>
          <w:p w14:paraId="4BB3385F">
            <w:pPr>
              <w:keepNext w:val="0"/>
              <w:keepLines w:val="0"/>
              <w:pageBreakBefore w:val="0"/>
              <w:kinsoku/>
              <w:wordWrap/>
              <w:overflowPunct/>
              <w:topLinePunct w:val="0"/>
              <w:bidi w:val="0"/>
              <w:adjustRightInd w:val="0"/>
              <w:snapToGrid w:val="0"/>
              <w:spacing w:line="360" w:lineRule="auto"/>
              <w:jc w:val="center"/>
              <w:rPr>
                <w:rFonts w:hint="default" w:ascii="宋体" w:hAnsi="宋体" w:eastAsia="宋体" w:cs="宋体"/>
                <w:bCs/>
                <w:kern w:val="15"/>
                <w:highlight w:val="none"/>
                <w:lang w:val="en-US" w:eastAsia="zh-CN"/>
              </w:rPr>
            </w:pPr>
            <w:r>
              <w:rPr>
                <w:rFonts w:hint="eastAsia" w:ascii="宋体" w:hAnsi="宋体" w:cs="宋体"/>
                <w:bCs/>
                <w:kern w:val="15"/>
                <w:highlight w:val="none"/>
                <w:lang w:val="en-US" w:eastAsia="zh-CN"/>
              </w:rPr>
              <w:t>投标报价</w:t>
            </w:r>
          </w:p>
        </w:tc>
        <w:tc>
          <w:tcPr>
            <w:tcW w:w="3123" w:type="pct"/>
            <w:tcBorders>
              <w:top w:val="single" w:color="000000" w:sz="2" w:space="0"/>
              <w:left w:val="single" w:color="000000" w:sz="2" w:space="0"/>
              <w:bottom w:val="single" w:color="000000" w:sz="2" w:space="0"/>
              <w:right w:val="single" w:color="000000" w:sz="2" w:space="0"/>
            </w:tcBorders>
            <w:shd w:val="clear" w:color="auto" w:fill="auto"/>
            <w:noWrap w:val="0"/>
            <w:vAlign w:val="center"/>
          </w:tcPr>
          <w:p w14:paraId="5686535A">
            <w:pPr>
              <w:keepNext w:val="0"/>
              <w:keepLines w:val="0"/>
              <w:pageBreakBefore w:val="0"/>
              <w:kinsoku/>
              <w:wordWrap/>
              <w:overflowPunct/>
              <w:topLinePunct w:val="0"/>
              <w:bidi w:val="0"/>
              <w:adjustRightInd w:val="0"/>
              <w:snapToGrid w:val="0"/>
              <w:spacing w:line="360" w:lineRule="auto"/>
              <w:rPr>
                <w:rFonts w:hint="default" w:ascii="宋体" w:hAnsi="宋体" w:eastAsia="宋体" w:cs="宋体"/>
                <w:bCs/>
                <w:kern w:val="15"/>
                <w:highlight w:val="none"/>
                <w:lang w:val="en-US" w:eastAsia="zh-CN"/>
              </w:rPr>
            </w:pPr>
            <w:r>
              <w:rPr>
                <w:rFonts w:hint="eastAsia" w:hAnsi="宋体" w:cs="宋体"/>
                <w:b w:val="0"/>
                <w:bCs w:val="0"/>
                <w:color w:val="auto"/>
                <w:highlight w:val="none"/>
                <w:lang w:val="en-US" w:eastAsia="zh-CN"/>
              </w:rPr>
              <w:t>投标报价总价不得超过采购预算最高投标限价，各分项报价不得超过采购人提供各分项报价最高投标限价。</w:t>
            </w:r>
          </w:p>
        </w:tc>
      </w:tr>
      <w:tr w14:paraId="1A318102">
        <w:tblPrEx>
          <w:tblCellMar>
            <w:top w:w="0" w:type="dxa"/>
            <w:left w:w="108" w:type="dxa"/>
            <w:bottom w:w="0" w:type="dxa"/>
            <w:right w:w="108" w:type="dxa"/>
          </w:tblCellMar>
        </w:tblPrEx>
        <w:trPr>
          <w:trHeight w:val="456" w:hRule="atLeast"/>
        </w:trPr>
        <w:tc>
          <w:tcPr>
            <w:tcW w:w="435" w:type="pct"/>
            <w:vMerge w:val="continue"/>
            <w:tcBorders>
              <w:left w:val="single" w:color="000000" w:sz="2" w:space="0"/>
              <w:right w:val="single" w:color="000000" w:sz="2" w:space="0"/>
            </w:tcBorders>
            <w:shd w:val="clear" w:color="auto" w:fill="auto"/>
            <w:noWrap w:val="0"/>
            <w:vAlign w:val="center"/>
          </w:tcPr>
          <w:p w14:paraId="4D2B6590">
            <w:pPr>
              <w:keepNext w:val="0"/>
              <w:keepLines w:val="0"/>
              <w:pageBreakBefore w:val="0"/>
              <w:kinsoku/>
              <w:wordWrap/>
              <w:overflowPunct/>
              <w:topLinePunct w:val="0"/>
              <w:autoSpaceDE w:val="0"/>
              <w:autoSpaceDN w:val="0"/>
              <w:bidi w:val="0"/>
              <w:adjustRightInd w:val="0"/>
              <w:spacing w:line="360" w:lineRule="auto"/>
              <w:jc w:val="center"/>
              <w:rPr>
                <w:rFonts w:ascii="宋体" w:hAnsi="宋体" w:cs="宋体"/>
                <w:kern w:val="0"/>
                <w:sz w:val="22"/>
                <w:szCs w:val="22"/>
                <w:highlight w:val="none"/>
                <w:lang w:val="zh-CN"/>
              </w:rPr>
            </w:pPr>
          </w:p>
        </w:tc>
        <w:tc>
          <w:tcPr>
            <w:tcW w:w="391" w:type="pct"/>
            <w:vMerge w:val="continue"/>
            <w:tcBorders>
              <w:left w:val="single" w:color="000000" w:sz="2" w:space="0"/>
              <w:right w:val="single" w:color="000000" w:sz="2" w:space="0"/>
            </w:tcBorders>
            <w:shd w:val="clear" w:color="auto" w:fill="auto"/>
            <w:noWrap w:val="0"/>
            <w:vAlign w:val="center"/>
          </w:tcPr>
          <w:p w14:paraId="54F0CF82">
            <w:pPr>
              <w:keepNext w:val="0"/>
              <w:keepLines w:val="0"/>
              <w:pageBreakBefore w:val="0"/>
              <w:kinsoku/>
              <w:wordWrap/>
              <w:overflowPunct/>
              <w:topLinePunct w:val="0"/>
              <w:autoSpaceDE w:val="0"/>
              <w:autoSpaceDN w:val="0"/>
              <w:bidi w:val="0"/>
              <w:adjustRightInd w:val="0"/>
              <w:spacing w:line="360" w:lineRule="auto"/>
              <w:jc w:val="center"/>
              <w:rPr>
                <w:rFonts w:ascii="宋体" w:hAnsi="宋体" w:cs="宋体"/>
                <w:kern w:val="0"/>
                <w:sz w:val="22"/>
                <w:szCs w:val="22"/>
                <w:highlight w:val="none"/>
                <w:lang w:val="zh-CN"/>
              </w:rPr>
            </w:pPr>
          </w:p>
        </w:tc>
        <w:tc>
          <w:tcPr>
            <w:tcW w:w="1050" w:type="pct"/>
            <w:tcBorders>
              <w:top w:val="single" w:color="000000" w:sz="2" w:space="0"/>
              <w:left w:val="single" w:color="000000" w:sz="2" w:space="0"/>
              <w:bottom w:val="single" w:color="000000" w:sz="2" w:space="0"/>
              <w:right w:val="single" w:color="000000" w:sz="2" w:space="0"/>
            </w:tcBorders>
            <w:shd w:val="clear" w:color="auto" w:fill="auto"/>
            <w:noWrap w:val="0"/>
            <w:vAlign w:val="center"/>
          </w:tcPr>
          <w:p w14:paraId="6A6444DA">
            <w:pPr>
              <w:keepNext w:val="0"/>
              <w:keepLines w:val="0"/>
              <w:pageBreakBefore w:val="0"/>
              <w:kinsoku/>
              <w:wordWrap/>
              <w:overflowPunct/>
              <w:topLinePunct w:val="0"/>
              <w:bidi w:val="0"/>
              <w:spacing w:line="360" w:lineRule="auto"/>
              <w:jc w:val="center"/>
              <w:rPr>
                <w:rFonts w:ascii="宋体" w:hAnsi="宋体" w:cs="宋体"/>
                <w:kern w:val="0"/>
                <w:sz w:val="22"/>
                <w:szCs w:val="22"/>
                <w:highlight w:val="none"/>
                <w:lang w:val="zh-CN"/>
              </w:rPr>
            </w:pPr>
            <w:r>
              <w:rPr>
                <w:rFonts w:hint="eastAsia" w:ascii="宋体" w:hAnsi="宋体" w:cs="宋体"/>
                <w:bCs/>
                <w:highlight w:val="none"/>
              </w:rPr>
              <w:t>技术标准与要求</w:t>
            </w:r>
          </w:p>
        </w:tc>
        <w:tc>
          <w:tcPr>
            <w:tcW w:w="3123" w:type="pct"/>
            <w:tcBorders>
              <w:top w:val="single" w:color="000000" w:sz="2" w:space="0"/>
              <w:left w:val="single" w:color="000000" w:sz="2" w:space="0"/>
              <w:bottom w:val="single" w:color="000000" w:sz="2" w:space="0"/>
              <w:right w:val="single" w:color="000000" w:sz="2" w:space="0"/>
            </w:tcBorders>
            <w:shd w:val="clear" w:color="auto" w:fill="auto"/>
            <w:noWrap w:val="0"/>
            <w:vAlign w:val="center"/>
          </w:tcPr>
          <w:p w14:paraId="33819B13">
            <w:pPr>
              <w:keepNext w:val="0"/>
              <w:keepLines w:val="0"/>
              <w:pageBreakBefore w:val="0"/>
              <w:kinsoku/>
              <w:wordWrap/>
              <w:overflowPunct/>
              <w:topLinePunct w:val="0"/>
              <w:bidi w:val="0"/>
              <w:spacing w:line="360" w:lineRule="auto"/>
              <w:jc w:val="left"/>
              <w:rPr>
                <w:rFonts w:ascii="宋体" w:hAnsi="宋体" w:cs="宋体"/>
                <w:kern w:val="0"/>
                <w:sz w:val="22"/>
                <w:szCs w:val="22"/>
                <w:highlight w:val="none"/>
                <w:lang w:val="zh-CN"/>
              </w:rPr>
            </w:pPr>
            <w:r>
              <w:rPr>
                <w:rFonts w:hint="eastAsia" w:ascii="宋体" w:hAnsi="宋体" w:cs="宋体"/>
                <w:bCs/>
                <w:highlight w:val="none"/>
              </w:rPr>
              <w:t>符合采购需求</w:t>
            </w:r>
            <w:r>
              <w:rPr>
                <w:rFonts w:hint="eastAsia" w:ascii="宋体" w:hAnsi="宋体" w:cs="宋体"/>
                <w:bCs/>
                <w:highlight w:val="none"/>
                <w:lang w:val="zh-CN"/>
              </w:rPr>
              <w:t>要求</w:t>
            </w:r>
            <w:r>
              <w:rPr>
                <w:rFonts w:hint="eastAsia" w:ascii="宋体" w:hAnsi="宋体" w:cs="宋体"/>
                <w:bCs/>
                <w:highlight w:val="none"/>
              </w:rPr>
              <w:t>规定</w:t>
            </w:r>
            <w:r>
              <w:rPr>
                <w:rFonts w:hint="eastAsia" w:ascii="宋体" w:hAnsi="宋体" w:cs="宋体"/>
                <w:bCs/>
                <w:highlight w:val="none"/>
                <w:lang w:eastAsia="zh-CN"/>
              </w:rPr>
              <w:t>（</w:t>
            </w:r>
            <w:r>
              <w:rPr>
                <w:rFonts w:hint="eastAsia" w:ascii="宋体" w:cs="宋体"/>
                <w:color w:val="auto"/>
                <w:highlight w:val="none"/>
                <w:lang w:val="en-US" w:eastAsia="zh-CN"/>
              </w:rPr>
              <w:t>采购需求中所有核心产品</w:t>
            </w:r>
            <w:r>
              <w:rPr>
                <w:rFonts w:hint="eastAsia" w:ascii="宋体" w:hAnsi="宋体" w:eastAsia="宋体" w:cs="Times New Roman"/>
                <w:b w:val="0"/>
                <w:bCs w:val="0"/>
                <w:caps w:val="0"/>
                <w:color w:val="auto"/>
                <w:kern w:val="2"/>
                <w:sz w:val="21"/>
                <w:szCs w:val="21"/>
                <w:highlight w:val="none"/>
                <w:vertAlign w:val="baseline"/>
                <w:lang w:val="en-US" w:eastAsia="zh-CN" w:bidi="ar"/>
              </w:rPr>
              <w:t>不得负偏离，否则废标</w:t>
            </w:r>
            <w:r>
              <w:rPr>
                <w:rFonts w:hint="eastAsia" w:ascii="宋体" w:hAnsi="宋体" w:cs="宋体"/>
                <w:bCs/>
                <w:highlight w:val="none"/>
                <w:lang w:eastAsia="zh-CN"/>
              </w:rPr>
              <w:t>）</w:t>
            </w:r>
          </w:p>
        </w:tc>
      </w:tr>
      <w:tr w14:paraId="25C01215">
        <w:tblPrEx>
          <w:tblCellMar>
            <w:top w:w="0" w:type="dxa"/>
            <w:left w:w="108" w:type="dxa"/>
            <w:bottom w:w="0" w:type="dxa"/>
            <w:right w:w="108" w:type="dxa"/>
          </w:tblCellMar>
        </w:tblPrEx>
        <w:trPr>
          <w:trHeight w:val="456" w:hRule="atLeast"/>
        </w:trPr>
        <w:tc>
          <w:tcPr>
            <w:tcW w:w="435" w:type="pct"/>
            <w:vMerge w:val="continue"/>
            <w:tcBorders>
              <w:left w:val="single" w:color="000000" w:sz="2" w:space="0"/>
              <w:bottom w:val="single" w:color="000000" w:sz="2" w:space="0"/>
              <w:right w:val="single" w:color="000000" w:sz="2" w:space="0"/>
            </w:tcBorders>
            <w:shd w:val="clear" w:color="auto" w:fill="auto"/>
            <w:noWrap w:val="0"/>
            <w:vAlign w:val="center"/>
          </w:tcPr>
          <w:p w14:paraId="38479F74">
            <w:pPr>
              <w:keepNext w:val="0"/>
              <w:keepLines w:val="0"/>
              <w:pageBreakBefore w:val="0"/>
              <w:kinsoku/>
              <w:wordWrap/>
              <w:overflowPunct/>
              <w:topLinePunct w:val="0"/>
              <w:autoSpaceDE w:val="0"/>
              <w:autoSpaceDN w:val="0"/>
              <w:bidi w:val="0"/>
              <w:adjustRightInd w:val="0"/>
              <w:spacing w:line="360" w:lineRule="auto"/>
              <w:jc w:val="center"/>
              <w:rPr>
                <w:rFonts w:ascii="宋体" w:hAnsi="宋体" w:cs="宋体"/>
                <w:kern w:val="0"/>
                <w:sz w:val="22"/>
                <w:szCs w:val="22"/>
                <w:highlight w:val="none"/>
                <w:lang w:val="zh-CN"/>
              </w:rPr>
            </w:pPr>
          </w:p>
        </w:tc>
        <w:tc>
          <w:tcPr>
            <w:tcW w:w="391" w:type="pct"/>
            <w:vMerge w:val="continue"/>
            <w:tcBorders>
              <w:left w:val="single" w:color="000000" w:sz="2" w:space="0"/>
              <w:bottom w:val="single" w:color="000000" w:sz="2" w:space="0"/>
              <w:right w:val="single" w:color="000000" w:sz="2" w:space="0"/>
            </w:tcBorders>
            <w:shd w:val="clear" w:color="auto" w:fill="auto"/>
            <w:noWrap w:val="0"/>
            <w:vAlign w:val="center"/>
          </w:tcPr>
          <w:p w14:paraId="3C927A44">
            <w:pPr>
              <w:keepNext w:val="0"/>
              <w:keepLines w:val="0"/>
              <w:pageBreakBefore w:val="0"/>
              <w:kinsoku/>
              <w:wordWrap/>
              <w:overflowPunct/>
              <w:topLinePunct w:val="0"/>
              <w:autoSpaceDE w:val="0"/>
              <w:autoSpaceDN w:val="0"/>
              <w:bidi w:val="0"/>
              <w:adjustRightInd w:val="0"/>
              <w:spacing w:line="360" w:lineRule="auto"/>
              <w:jc w:val="center"/>
              <w:rPr>
                <w:rFonts w:ascii="宋体" w:hAnsi="宋体" w:cs="宋体"/>
                <w:kern w:val="0"/>
                <w:sz w:val="22"/>
                <w:szCs w:val="22"/>
                <w:highlight w:val="none"/>
                <w:lang w:val="zh-CN"/>
              </w:rPr>
            </w:pPr>
          </w:p>
        </w:tc>
        <w:tc>
          <w:tcPr>
            <w:tcW w:w="1050" w:type="pct"/>
            <w:tcBorders>
              <w:top w:val="single" w:color="000000" w:sz="2" w:space="0"/>
              <w:left w:val="single" w:color="000000" w:sz="2" w:space="0"/>
              <w:bottom w:val="single" w:color="000000" w:sz="2" w:space="0"/>
              <w:right w:val="single" w:color="000000" w:sz="2" w:space="0"/>
            </w:tcBorders>
            <w:shd w:val="clear" w:color="auto" w:fill="auto"/>
            <w:noWrap w:val="0"/>
            <w:vAlign w:val="center"/>
          </w:tcPr>
          <w:p w14:paraId="32B6F748">
            <w:pPr>
              <w:keepNext w:val="0"/>
              <w:keepLines w:val="0"/>
              <w:pageBreakBefore w:val="0"/>
              <w:kinsoku/>
              <w:wordWrap/>
              <w:overflowPunct/>
              <w:topLinePunct w:val="0"/>
              <w:bidi w:val="0"/>
              <w:spacing w:line="360" w:lineRule="auto"/>
              <w:jc w:val="center"/>
              <w:rPr>
                <w:rFonts w:hint="eastAsia" w:ascii="宋体" w:hAnsi="宋体" w:cs="宋体" w:eastAsiaTheme="minorEastAsia"/>
                <w:bCs/>
                <w:highlight w:val="none"/>
                <w:lang w:eastAsia="zh-CN"/>
              </w:rPr>
            </w:pPr>
            <w:r>
              <w:rPr>
                <w:rFonts w:hint="eastAsia" w:ascii="宋体" w:hAnsi="宋体" w:cs="宋体"/>
                <w:bCs/>
                <w:highlight w:val="none"/>
                <w:lang w:eastAsia="zh-CN"/>
              </w:rPr>
              <w:t>其他要求</w:t>
            </w:r>
          </w:p>
        </w:tc>
        <w:tc>
          <w:tcPr>
            <w:tcW w:w="3123" w:type="pct"/>
            <w:tcBorders>
              <w:top w:val="single" w:color="000000" w:sz="2" w:space="0"/>
              <w:left w:val="single" w:color="000000" w:sz="2" w:space="0"/>
              <w:bottom w:val="single" w:color="000000" w:sz="2" w:space="0"/>
              <w:right w:val="single" w:color="000000" w:sz="2" w:space="0"/>
            </w:tcBorders>
            <w:shd w:val="clear" w:color="auto" w:fill="auto"/>
            <w:noWrap w:val="0"/>
            <w:vAlign w:val="center"/>
          </w:tcPr>
          <w:p w14:paraId="4A8D66DE">
            <w:pPr>
              <w:keepNext w:val="0"/>
              <w:keepLines w:val="0"/>
              <w:pageBreakBefore w:val="0"/>
              <w:kinsoku/>
              <w:wordWrap/>
              <w:overflowPunct/>
              <w:topLinePunct w:val="0"/>
              <w:bidi w:val="0"/>
              <w:spacing w:line="360" w:lineRule="auto"/>
              <w:jc w:val="left"/>
              <w:rPr>
                <w:rFonts w:hint="eastAsia" w:ascii="宋体" w:hAnsi="宋体" w:cs="宋体"/>
                <w:bCs/>
                <w:highlight w:val="none"/>
              </w:rPr>
            </w:pPr>
            <w:r>
              <w:rPr>
                <w:rFonts w:hint="eastAsia" w:ascii="宋体" w:hAnsi="宋体" w:cs="宋体"/>
                <w:bCs/>
                <w:highlight w:val="none"/>
              </w:rPr>
              <w:t>满足招标文件的其他实质性要求</w:t>
            </w:r>
          </w:p>
        </w:tc>
      </w:tr>
    </w:tbl>
    <w:p w14:paraId="0F47996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none"/>
          <w:lang w:val="zh-CN"/>
        </w:rPr>
      </w:pPr>
      <w:r>
        <w:rPr>
          <w:rFonts w:hint="eastAsia" w:ascii="宋体" w:hAnsi="宋体" w:eastAsia="宋体" w:cs="宋体"/>
          <w:highlight w:val="none"/>
        </w:rPr>
        <w:t>注</w:t>
      </w:r>
      <w:r>
        <w:rPr>
          <w:rFonts w:hint="eastAsia" w:ascii="宋体" w:hAnsi="宋体" w:eastAsia="宋体" w:cs="宋体"/>
          <w:highlight w:val="none"/>
          <w:lang w:val="zh-CN"/>
        </w:rPr>
        <w:t>：（1）上述内容中有一项不合格，则</w:t>
      </w:r>
      <w:r>
        <w:rPr>
          <w:rFonts w:hint="eastAsia" w:ascii="宋体" w:hAnsi="宋体" w:eastAsia="宋体" w:cs="宋体"/>
          <w:highlight w:val="none"/>
        </w:rPr>
        <w:t>初步</w:t>
      </w:r>
      <w:r>
        <w:rPr>
          <w:rFonts w:hint="eastAsia" w:ascii="宋体" w:hAnsi="宋体" w:eastAsia="宋体" w:cs="宋体"/>
          <w:highlight w:val="none"/>
          <w:lang w:val="zh-CN"/>
        </w:rPr>
        <w:t>评审不合格，投标按废标处理，不进入后</w:t>
      </w:r>
      <w:r>
        <w:rPr>
          <w:rFonts w:hint="eastAsia" w:ascii="宋体" w:hAnsi="宋体" w:eastAsia="宋体" w:cs="宋体"/>
          <w:highlight w:val="none"/>
          <w:lang w:val="en-US" w:eastAsia="zh-CN"/>
        </w:rPr>
        <w:t>续</w:t>
      </w:r>
      <w:r>
        <w:rPr>
          <w:rFonts w:hint="eastAsia" w:ascii="宋体" w:hAnsi="宋体" w:eastAsia="宋体" w:cs="宋体"/>
          <w:highlight w:val="none"/>
          <w:lang w:val="zh-CN"/>
        </w:rPr>
        <w:t>评审。每项审查内容合格打“√”，不合格打“×”。评审结论写“合格”或“不合格”。不合格须注明原因。</w:t>
      </w:r>
    </w:p>
    <w:p w14:paraId="7A75D75A">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highlight w:val="none"/>
          <w:lang w:val="zh-CN"/>
        </w:rPr>
      </w:pPr>
      <w:r>
        <w:rPr>
          <w:rFonts w:hint="eastAsia" w:ascii="宋体" w:hAnsi="宋体" w:eastAsia="宋体" w:cs="宋体"/>
          <w:highlight w:val="none"/>
          <w:lang w:val="zh-CN"/>
        </w:rPr>
        <w:t>投标人所提供的所有证件均需在有效期内且注册单位名称与投标人的名称一致，如企业名称发生变更，需提供主管部门出具的变更证明材料。</w:t>
      </w:r>
    </w:p>
    <w:p w14:paraId="630DA780">
      <w:pPr>
        <w:autoSpaceDE w:val="0"/>
        <w:autoSpaceDN w:val="0"/>
        <w:adjustRightInd w:val="0"/>
        <w:spacing w:line="360" w:lineRule="auto"/>
        <w:jc w:val="center"/>
        <w:rPr>
          <w:rFonts w:hint="eastAsia" w:ascii="宋体" w:hAnsi="宋体" w:cs="宋体-18030"/>
          <w:kern w:val="0"/>
          <w:highlight w:val="none"/>
        </w:rPr>
      </w:pPr>
      <w:r>
        <w:rPr>
          <w:rFonts w:hint="eastAsia" w:ascii="宋体"/>
          <w:b/>
          <w:bCs/>
          <w:sz w:val="32"/>
          <w:highlight w:val="none"/>
        </w:rPr>
        <w:br w:type="page"/>
      </w:r>
      <w:r>
        <w:rPr>
          <w:rFonts w:hint="eastAsia" w:ascii="宋体" w:hAnsi="宋体" w:cs="宋体-18030"/>
          <w:kern w:val="0"/>
          <w:sz w:val="28"/>
          <w:szCs w:val="28"/>
          <w:highlight w:val="none"/>
        </w:rPr>
        <w:t>评标办法前附表(二)</w:t>
      </w:r>
    </w:p>
    <w:p w14:paraId="31F428E2">
      <w:pPr>
        <w:spacing w:line="360" w:lineRule="auto"/>
        <w:jc w:val="center"/>
        <w:rPr>
          <w:rFonts w:hint="eastAsia" w:ascii="宋体"/>
          <w:b/>
          <w:bCs/>
          <w:sz w:val="28"/>
          <w:szCs w:val="28"/>
          <w:highlight w:val="none"/>
          <w:lang w:eastAsia="zh-CN"/>
        </w:rPr>
      </w:pPr>
      <w:r>
        <w:rPr>
          <w:rFonts w:hint="eastAsia" w:ascii="宋体"/>
          <w:b/>
          <w:bCs/>
          <w:sz w:val="28"/>
          <w:szCs w:val="28"/>
          <w:highlight w:val="none"/>
          <w:lang w:eastAsia="zh-CN"/>
        </w:rPr>
        <w:t>详细评审表</w:t>
      </w:r>
    </w:p>
    <w:tbl>
      <w:tblPr>
        <w:tblStyle w:val="2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8"/>
        <w:gridCol w:w="746"/>
        <w:gridCol w:w="954"/>
        <w:gridCol w:w="5130"/>
        <w:gridCol w:w="775"/>
      </w:tblGrid>
      <w:tr w14:paraId="367EC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533" w:type="pct"/>
            <w:shd w:val="pct10" w:color="auto" w:fill="auto"/>
            <w:vAlign w:val="center"/>
          </w:tcPr>
          <w:p w14:paraId="718DEACA">
            <w:pPr>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eastAsia="宋体"/>
                <w:b/>
                <w:bCs/>
                <w:sz w:val="21"/>
                <w:szCs w:val="21"/>
              </w:rPr>
            </w:pPr>
            <w:r>
              <w:rPr>
                <w:rFonts w:hint="eastAsia" w:eastAsia="宋体"/>
                <w:b/>
                <w:bCs/>
                <w:sz w:val="21"/>
                <w:szCs w:val="21"/>
              </w:rPr>
              <w:t>评议内容</w:t>
            </w:r>
          </w:p>
        </w:tc>
        <w:tc>
          <w:tcPr>
            <w:tcW w:w="438" w:type="pct"/>
            <w:shd w:val="pct10" w:color="auto" w:fill="auto"/>
            <w:vAlign w:val="center"/>
          </w:tcPr>
          <w:p w14:paraId="31E41C8F">
            <w:pPr>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eastAsia="宋体"/>
                <w:b/>
                <w:bCs/>
                <w:sz w:val="21"/>
                <w:szCs w:val="21"/>
              </w:rPr>
            </w:pPr>
            <w:r>
              <w:rPr>
                <w:rFonts w:hint="eastAsia" w:eastAsia="宋体"/>
                <w:b/>
                <w:bCs/>
                <w:sz w:val="21"/>
                <w:szCs w:val="21"/>
              </w:rPr>
              <w:t>权重比例</w:t>
            </w:r>
          </w:p>
        </w:tc>
        <w:tc>
          <w:tcPr>
            <w:tcW w:w="3572" w:type="pct"/>
            <w:gridSpan w:val="2"/>
            <w:shd w:val="pct10" w:color="auto" w:fill="auto"/>
            <w:vAlign w:val="center"/>
          </w:tcPr>
          <w:p w14:paraId="178E660C">
            <w:pPr>
              <w:keepNext w:val="0"/>
              <w:keepLines w:val="0"/>
              <w:pageBreakBefore w:val="0"/>
              <w:kinsoku/>
              <w:wordWrap/>
              <w:overflowPunct/>
              <w:topLinePunct w:val="0"/>
              <w:autoSpaceDE/>
              <w:autoSpaceDN/>
              <w:bidi w:val="0"/>
              <w:adjustRightInd/>
              <w:spacing w:line="360" w:lineRule="auto"/>
              <w:ind w:firstLine="480"/>
              <w:jc w:val="center"/>
              <w:textAlignment w:val="auto"/>
              <w:rPr>
                <w:rFonts w:eastAsia="宋体"/>
                <w:b/>
                <w:bCs/>
                <w:sz w:val="21"/>
                <w:szCs w:val="21"/>
              </w:rPr>
            </w:pPr>
            <w:r>
              <w:rPr>
                <w:rFonts w:hint="eastAsia" w:eastAsia="宋体"/>
                <w:b/>
                <w:bCs/>
                <w:sz w:val="21"/>
                <w:szCs w:val="21"/>
              </w:rPr>
              <w:t>评议子项</w:t>
            </w:r>
          </w:p>
        </w:tc>
        <w:tc>
          <w:tcPr>
            <w:tcW w:w="455" w:type="pct"/>
            <w:shd w:val="pct10" w:color="auto" w:fill="auto"/>
            <w:vAlign w:val="center"/>
          </w:tcPr>
          <w:p w14:paraId="1A452032">
            <w:pPr>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eastAsia="宋体"/>
                <w:b/>
                <w:bCs/>
                <w:sz w:val="21"/>
                <w:szCs w:val="21"/>
              </w:rPr>
            </w:pPr>
            <w:r>
              <w:rPr>
                <w:rFonts w:hint="eastAsia" w:eastAsia="宋体"/>
                <w:b/>
                <w:bCs/>
                <w:sz w:val="21"/>
                <w:szCs w:val="21"/>
              </w:rPr>
              <w:t>分值</w:t>
            </w:r>
          </w:p>
        </w:tc>
      </w:tr>
      <w:tr w14:paraId="74971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533" w:type="pct"/>
            <w:vAlign w:val="center"/>
          </w:tcPr>
          <w:p w14:paraId="29369773">
            <w:pPr>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eastAsia" w:eastAsia="宋体"/>
                <w:sz w:val="21"/>
                <w:szCs w:val="21"/>
              </w:rPr>
            </w:pPr>
            <w:r>
              <w:rPr>
                <w:rFonts w:hint="eastAsia" w:eastAsia="宋体"/>
                <w:sz w:val="21"/>
                <w:szCs w:val="21"/>
              </w:rPr>
              <w:t>价格</w:t>
            </w:r>
          </w:p>
          <w:p w14:paraId="7C920B6F">
            <w:pPr>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eastAsia="宋体"/>
                <w:sz w:val="21"/>
                <w:szCs w:val="21"/>
              </w:rPr>
            </w:pPr>
            <w:r>
              <w:rPr>
                <w:rFonts w:hint="eastAsia" w:eastAsia="宋体"/>
                <w:sz w:val="21"/>
                <w:szCs w:val="21"/>
              </w:rPr>
              <w:t>因素</w:t>
            </w:r>
          </w:p>
        </w:tc>
        <w:tc>
          <w:tcPr>
            <w:tcW w:w="438" w:type="pct"/>
            <w:vAlign w:val="center"/>
          </w:tcPr>
          <w:p w14:paraId="64DB0749">
            <w:pPr>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30分</w:t>
            </w:r>
          </w:p>
        </w:tc>
        <w:tc>
          <w:tcPr>
            <w:tcW w:w="3572" w:type="pct"/>
            <w:gridSpan w:val="2"/>
            <w:vAlign w:val="center"/>
          </w:tcPr>
          <w:p w14:paraId="606C4079">
            <w:pPr>
              <w:keepNext w:val="0"/>
              <w:keepLines w:val="0"/>
              <w:pageBreakBefore w:val="0"/>
              <w:kinsoku/>
              <w:wordWrap/>
              <w:overflowPunct/>
              <w:topLinePunct w:val="0"/>
              <w:autoSpaceDE/>
              <w:autoSpaceDN/>
              <w:bidi w:val="0"/>
              <w:adjustRightInd/>
              <w:spacing w:line="360" w:lineRule="auto"/>
              <w:ind w:firstLine="0" w:firstLineChars="0"/>
              <w:textAlignment w:val="auto"/>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满足采购文件要求且价格最低的有效报价为评审基准价，其价格分为满分。其他</w:t>
            </w:r>
            <w:r>
              <w:rPr>
                <w:rFonts w:hint="eastAsia" w:ascii="宋体" w:hAnsi="宋体" w:eastAsia="宋体" w:cs="宋体"/>
                <w:color w:val="000000"/>
                <w:kern w:val="0"/>
                <w:sz w:val="21"/>
                <w:szCs w:val="21"/>
                <w:highlight w:val="none"/>
                <w:lang w:eastAsia="zh-CN" w:bidi="ar"/>
              </w:rPr>
              <w:t>投标人</w:t>
            </w:r>
            <w:r>
              <w:rPr>
                <w:rFonts w:hint="eastAsia" w:ascii="宋体" w:hAnsi="宋体" w:eastAsia="宋体" w:cs="宋体"/>
                <w:color w:val="000000"/>
                <w:kern w:val="0"/>
                <w:sz w:val="21"/>
                <w:szCs w:val="21"/>
                <w:highlight w:val="none"/>
                <w:lang w:bidi="ar"/>
              </w:rPr>
              <w:t>的价格分统一按照下列公式计算：</w:t>
            </w:r>
          </w:p>
          <w:p w14:paraId="32D5C177">
            <w:pPr>
              <w:keepNext w:val="0"/>
              <w:keepLines w:val="0"/>
              <w:pageBreakBefore w:val="0"/>
              <w:kinsoku/>
              <w:wordWrap/>
              <w:overflowPunct/>
              <w:topLinePunct w:val="0"/>
              <w:autoSpaceDE/>
              <w:autoSpaceDN/>
              <w:bidi w:val="0"/>
              <w:adjustRightInd/>
              <w:spacing w:line="360" w:lineRule="auto"/>
              <w:ind w:firstLine="0" w:firstLineChars="0"/>
              <w:textAlignment w:val="auto"/>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投标报价得分=（评审基准价/投标报价）×价格权值30%×100</w:t>
            </w:r>
          </w:p>
          <w:p w14:paraId="415B4B73">
            <w:pPr>
              <w:keepNext w:val="0"/>
              <w:keepLines w:val="0"/>
              <w:pageBreakBefore w:val="0"/>
              <w:kinsoku/>
              <w:wordWrap/>
              <w:overflowPunct/>
              <w:topLinePunct w:val="0"/>
              <w:autoSpaceDE/>
              <w:autoSpaceDN/>
              <w:bidi w:val="0"/>
              <w:adjustRightInd/>
              <w:spacing w:line="360" w:lineRule="auto"/>
              <w:ind w:firstLine="0" w:firstLineChars="0"/>
              <w:textAlignment w:val="auto"/>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投标报价得分均保留小数点后两位，第三位四舍五入。</w:t>
            </w:r>
          </w:p>
          <w:p w14:paraId="44D7FEEB">
            <w:pPr>
              <w:keepNext w:val="0"/>
              <w:keepLines w:val="0"/>
              <w:pageBreakBefore w:val="0"/>
              <w:kinsoku/>
              <w:wordWrap/>
              <w:overflowPunct/>
              <w:topLinePunct w:val="0"/>
              <w:autoSpaceDE/>
              <w:autoSpaceDN/>
              <w:bidi w:val="0"/>
              <w:adjustRightInd/>
              <w:spacing w:line="360" w:lineRule="auto"/>
              <w:ind w:firstLine="0" w:firstLineChars="0"/>
              <w:textAlignment w:val="auto"/>
              <w:rPr>
                <w:rFonts w:hint="eastAsia" w:ascii="宋体" w:hAnsi="宋体" w:eastAsia="宋体" w:cs="宋体"/>
                <w:sz w:val="21"/>
                <w:szCs w:val="21"/>
                <w:highlight w:val="none"/>
                <w:lang w:eastAsia="zh-CN"/>
              </w:rPr>
            </w:pPr>
            <w:r>
              <w:rPr>
                <w:rFonts w:hint="eastAsia" w:ascii="宋体" w:hAnsi="宋体" w:eastAsia="宋体" w:cs="宋体"/>
                <w:color w:val="000000"/>
                <w:kern w:val="0"/>
                <w:sz w:val="21"/>
                <w:szCs w:val="21"/>
                <w:highlight w:val="none"/>
                <w:lang w:bidi="ar"/>
              </w:rPr>
              <w:t>评标委员会认为</w:t>
            </w:r>
            <w:r>
              <w:rPr>
                <w:rFonts w:hint="eastAsia" w:ascii="宋体" w:hAnsi="宋体" w:eastAsia="宋体" w:cs="宋体"/>
                <w:color w:val="000000"/>
                <w:kern w:val="0"/>
                <w:sz w:val="21"/>
                <w:szCs w:val="21"/>
                <w:highlight w:val="none"/>
                <w:lang w:eastAsia="zh-CN" w:bidi="ar"/>
              </w:rPr>
              <w:t>投标人</w:t>
            </w:r>
            <w:r>
              <w:rPr>
                <w:rFonts w:hint="eastAsia" w:ascii="宋体" w:hAnsi="宋体" w:eastAsia="宋体" w:cs="宋体"/>
                <w:color w:val="000000"/>
                <w:kern w:val="0"/>
                <w:sz w:val="21"/>
                <w:szCs w:val="21"/>
                <w:highlight w:val="none"/>
                <w:lang w:bidi="ar"/>
              </w:rPr>
              <w:t>的报价明显低于其他通过符合性审查</w:t>
            </w:r>
            <w:r>
              <w:rPr>
                <w:rFonts w:hint="eastAsia" w:ascii="宋体" w:hAnsi="宋体" w:eastAsia="宋体" w:cs="宋体"/>
                <w:color w:val="000000"/>
                <w:kern w:val="0"/>
                <w:sz w:val="21"/>
                <w:szCs w:val="21"/>
                <w:highlight w:val="none"/>
                <w:lang w:eastAsia="zh-CN" w:bidi="ar"/>
              </w:rPr>
              <w:t>投标人</w:t>
            </w:r>
            <w:r>
              <w:rPr>
                <w:rFonts w:hint="eastAsia" w:ascii="宋体" w:hAnsi="宋体" w:eastAsia="宋体" w:cs="宋体"/>
                <w:color w:val="000000"/>
                <w:kern w:val="0"/>
                <w:sz w:val="21"/>
                <w:szCs w:val="21"/>
                <w:highlight w:val="none"/>
                <w:lang w:bidi="ar"/>
              </w:rPr>
              <w:t>的报价，有可能影响产品质量或者不能诚信履约的，应当要求其在合理的时间内提供书面说明，必要时提交相关证明材料；</w:t>
            </w:r>
            <w:r>
              <w:rPr>
                <w:rFonts w:hint="eastAsia" w:ascii="宋体" w:hAnsi="宋体" w:eastAsia="宋体" w:cs="宋体"/>
                <w:color w:val="000000"/>
                <w:kern w:val="0"/>
                <w:sz w:val="21"/>
                <w:szCs w:val="21"/>
                <w:highlight w:val="none"/>
                <w:lang w:eastAsia="zh-CN" w:bidi="ar"/>
              </w:rPr>
              <w:t>投标人</w:t>
            </w:r>
            <w:r>
              <w:rPr>
                <w:rFonts w:hint="eastAsia" w:ascii="宋体" w:hAnsi="宋体" w:eastAsia="宋体" w:cs="宋体"/>
                <w:color w:val="000000"/>
                <w:kern w:val="0"/>
                <w:sz w:val="21"/>
                <w:szCs w:val="21"/>
                <w:highlight w:val="none"/>
                <w:lang w:bidi="ar"/>
              </w:rPr>
              <w:t>不能证明其报价合理性的，评标委员会应当将其作为无效投标处理。(《中华人民共和国财政部令》第87号第六十条)。</w:t>
            </w:r>
          </w:p>
        </w:tc>
        <w:tc>
          <w:tcPr>
            <w:tcW w:w="455" w:type="pct"/>
            <w:vAlign w:val="center"/>
          </w:tcPr>
          <w:p w14:paraId="7E9F6E89">
            <w:pPr>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30</w:t>
            </w:r>
          </w:p>
        </w:tc>
      </w:tr>
      <w:tr w14:paraId="7B2C8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533" w:type="pct"/>
            <w:vMerge w:val="restart"/>
            <w:vAlign w:val="center"/>
          </w:tcPr>
          <w:p w14:paraId="38DB7CB8">
            <w:pPr>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eastAsia" w:eastAsia="宋体"/>
                <w:sz w:val="21"/>
                <w:szCs w:val="21"/>
              </w:rPr>
            </w:pPr>
            <w:r>
              <w:rPr>
                <w:rFonts w:hint="eastAsia" w:eastAsia="宋体"/>
                <w:sz w:val="21"/>
                <w:szCs w:val="21"/>
              </w:rPr>
              <w:t>商务</w:t>
            </w:r>
          </w:p>
          <w:p w14:paraId="3CD29197">
            <w:pPr>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eastAsia" w:eastAsia="宋体"/>
                <w:sz w:val="21"/>
                <w:szCs w:val="21"/>
              </w:rPr>
            </w:pPr>
            <w:r>
              <w:rPr>
                <w:rFonts w:hint="eastAsia" w:eastAsia="宋体"/>
                <w:sz w:val="21"/>
                <w:szCs w:val="21"/>
              </w:rPr>
              <w:t>部分</w:t>
            </w:r>
          </w:p>
        </w:tc>
        <w:tc>
          <w:tcPr>
            <w:tcW w:w="438" w:type="pct"/>
            <w:vMerge w:val="restart"/>
            <w:vAlign w:val="center"/>
          </w:tcPr>
          <w:p w14:paraId="0CAF9161">
            <w:pPr>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10</w:t>
            </w:r>
            <w:r>
              <w:rPr>
                <w:rFonts w:hint="eastAsia" w:ascii="宋体" w:hAnsi="宋体" w:eastAsia="宋体" w:cs="宋体"/>
                <w:sz w:val="21"/>
                <w:szCs w:val="21"/>
                <w:lang w:eastAsia="zh-CN"/>
              </w:rPr>
              <w:t>分</w:t>
            </w:r>
          </w:p>
        </w:tc>
        <w:tc>
          <w:tcPr>
            <w:tcW w:w="560" w:type="pct"/>
            <w:vAlign w:val="center"/>
          </w:tcPr>
          <w:p w14:paraId="392A54CB">
            <w:pPr>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类似</w:t>
            </w:r>
          </w:p>
          <w:p w14:paraId="7993DD41">
            <w:pPr>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业绩</w:t>
            </w:r>
          </w:p>
        </w:tc>
        <w:tc>
          <w:tcPr>
            <w:tcW w:w="3012" w:type="pct"/>
            <w:vAlign w:val="center"/>
          </w:tcPr>
          <w:p w14:paraId="5626C10C">
            <w:pPr>
              <w:keepNext w:val="0"/>
              <w:keepLines w:val="0"/>
              <w:pageBreakBefore w:val="0"/>
              <w:kinsoku/>
              <w:wordWrap/>
              <w:overflowPunct/>
              <w:topLinePunct w:val="0"/>
              <w:autoSpaceDE/>
              <w:autoSpaceDN/>
              <w:bidi w:val="0"/>
              <w:adjustRightInd/>
              <w:spacing w:line="360" w:lineRule="auto"/>
              <w:ind w:firstLine="0" w:firstLineChars="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zh-CN" w:eastAsia="zh-CN"/>
              </w:rPr>
              <w:t>投标人须提供近年(</w:t>
            </w:r>
            <w:r>
              <w:rPr>
                <w:rFonts w:hint="eastAsia" w:ascii="宋体" w:hAnsi="宋体" w:eastAsia="宋体" w:cs="宋体"/>
                <w:sz w:val="21"/>
                <w:szCs w:val="21"/>
                <w:highlight w:val="none"/>
                <w:lang w:eastAsia="zh-CN"/>
              </w:rPr>
              <w:t>202</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lang w:eastAsia="zh-CN"/>
              </w:rPr>
              <w:t>年</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eastAsia="zh-CN"/>
              </w:rPr>
              <w:t>月1日-至今）</w:t>
            </w:r>
            <w:r>
              <w:rPr>
                <w:rFonts w:hint="eastAsia" w:ascii="宋体" w:hAnsi="宋体" w:eastAsia="宋体" w:cs="宋体"/>
                <w:sz w:val="21"/>
                <w:szCs w:val="21"/>
                <w:highlight w:val="none"/>
                <w:lang w:val="zh-CN" w:eastAsia="zh-CN"/>
              </w:rPr>
              <w:t>类似业绩，每有一项得</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eastAsia="zh-CN"/>
              </w:rPr>
              <w:t>分，满分</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lang w:eastAsia="zh-CN"/>
              </w:rPr>
              <w:t>分。</w:t>
            </w:r>
          </w:p>
          <w:p w14:paraId="36E619EB">
            <w:pPr>
              <w:keepNext w:val="0"/>
              <w:keepLines w:val="0"/>
              <w:pageBreakBefore w:val="0"/>
              <w:kinsoku/>
              <w:wordWrap/>
              <w:overflowPunct/>
              <w:topLinePunct w:val="0"/>
              <w:autoSpaceDE/>
              <w:autoSpaceDN/>
              <w:bidi w:val="0"/>
              <w:adjustRightInd/>
              <w:spacing w:line="360" w:lineRule="auto"/>
              <w:ind w:firstLine="0" w:firstLineChars="0"/>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注：标书内须提供相关证明材料扫描件(中标通知书或合同协议书复印件)。</w:t>
            </w:r>
          </w:p>
        </w:tc>
        <w:tc>
          <w:tcPr>
            <w:tcW w:w="455" w:type="pct"/>
            <w:vAlign w:val="center"/>
          </w:tcPr>
          <w:p w14:paraId="7D96A175">
            <w:pPr>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eastAsia" w:ascii="宋体" w:hAnsi="宋体" w:eastAsia="宋体" w:cs="宋体"/>
                <w:sz w:val="21"/>
                <w:szCs w:val="21"/>
                <w:shd w:val="clear" w:color="auto" w:fill="FFFFFF"/>
                <w:lang w:val="en-US" w:eastAsia="zh-CN"/>
              </w:rPr>
            </w:pPr>
            <w:r>
              <w:rPr>
                <w:rFonts w:hint="eastAsia" w:ascii="宋体" w:hAnsi="宋体" w:eastAsia="宋体" w:cs="宋体"/>
                <w:sz w:val="21"/>
                <w:szCs w:val="21"/>
                <w:shd w:val="clear" w:color="auto" w:fill="FFFFFF"/>
                <w:lang w:val="en-US" w:eastAsia="zh-CN"/>
              </w:rPr>
              <w:t>2</w:t>
            </w:r>
          </w:p>
        </w:tc>
      </w:tr>
      <w:tr w14:paraId="70DE7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533" w:type="pct"/>
            <w:vMerge w:val="continue"/>
            <w:vAlign w:val="center"/>
          </w:tcPr>
          <w:p w14:paraId="04363CDA">
            <w:pPr>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eastAsia" w:eastAsia="宋体"/>
                <w:sz w:val="21"/>
                <w:szCs w:val="21"/>
              </w:rPr>
            </w:pPr>
          </w:p>
        </w:tc>
        <w:tc>
          <w:tcPr>
            <w:tcW w:w="438" w:type="pct"/>
            <w:vMerge w:val="continue"/>
            <w:shd w:val="clear" w:color="auto" w:fill="auto"/>
            <w:vAlign w:val="center"/>
          </w:tcPr>
          <w:p w14:paraId="38CEE929">
            <w:pPr>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eastAsia" w:ascii="宋体" w:hAnsi="宋体" w:eastAsia="宋体" w:cs="宋体"/>
                <w:kern w:val="2"/>
                <w:sz w:val="21"/>
                <w:szCs w:val="21"/>
                <w:lang w:val="en-US" w:eastAsia="zh-CN" w:bidi="ar-SA"/>
              </w:rPr>
            </w:pPr>
          </w:p>
        </w:tc>
        <w:tc>
          <w:tcPr>
            <w:tcW w:w="560" w:type="pct"/>
            <w:shd w:val="clear" w:color="auto" w:fill="auto"/>
            <w:vAlign w:val="center"/>
          </w:tcPr>
          <w:p w14:paraId="4606D531">
            <w:pPr>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服务</w:t>
            </w:r>
          </w:p>
          <w:p w14:paraId="4A1D4094">
            <w:pPr>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eastAsia" w:ascii="宋体" w:hAnsi="宋体" w:eastAsia="宋体" w:cs="宋体"/>
                <w:kern w:val="2"/>
                <w:sz w:val="21"/>
                <w:szCs w:val="21"/>
                <w:lang w:val="zh-CN" w:eastAsia="zh-CN" w:bidi="ar-SA"/>
              </w:rPr>
            </w:pPr>
            <w:r>
              <w:rPr>
                <w:rFonts w:hint="eastAsia" w:ascii="宋体" w:hAnsi="宋体" w:eastAsia="宋体" w:cs="宋体"/>
                <w:sz w:val="21"/>
                <w:szCs w:val="21"/>
                <w:lang w:val="en-US" w:eastAsia="zh-CN"/>
              </w:rPr>
              <w:t>承诺</w:t>
            </w:r>
          </w:p>
        </w:tc>
        <w:tc>
          <w:tcPr>
            <w:tcW w:w="3012" w:type="pct"/>
            <w:shd w:val="clear" w:color="auto" w:fill="auto"/>
            <w:vAlign w:val="center"/>
          </w:tcPr>
          <w:p w14:paraId="0BC822F3">
            <w:pPr>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kern w:val="2"/>
                <w:sz w:val="21"/>
                <w:szCs w:val="21"/>
                <w:lang w:val="zh-CN" w:eastAsia="zh-CN" w:bidi="ar-SA"/>
              </w:rPr>
            </w:pPr>
            <w:r>
              <w:rPr>
                <w:rFonts w:hint="eastAsia" w:ascii="宋体" w:hAnsi="宋体" w:eastAsia="宋体" w:cs="宋体"/>
                <w:color w:val="auto"/>
                <w:kern w:val="2"/>
                <w:sz w:val="21"/>
                <w:szCs w:val="21"/>
                <w:highlight w:val="none"/>
                <w:lang w:val="en-US" w:eastAsia="zh-CN" w:bidi="ar-SA"/>
              </w:rPr>
              <w:t>对提出的采购人可以接受的合理服务承诺进行打分，每有一项实质性承诺得1分，最多得4分。</w:t>
            </w:r>
          </w:p>
        </w:tc>
        <w:tc>
          <w:tcPr>
            <w:tcW w:w="455" w:type="pct"/>
            <w:shd w:val="clear" w:color="auto" w:fill="auto"/>
            <w:vAlign w:val="center"/>
          </w:tcPr>
          <w:p w14:paraId="490ACB52">
            <w:pPr>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4</w:t>
            </w:r>
          </w:p>
        </w:tc>
      </w:tr>
      <w:tr w14:paraId="08C5E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533" w:type="pct"/>
            <w:vMerge w:val="continue"/>
            <w:vAlign w:val="center"/>
          </w:tcPr>
          <w:p w14:paraId="2CDE6E4D">
            <w:pPr>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eastAsia" w:eastAsia="宋体"/>
                <w:sz w:val="21"/>
                <w:szCs w:val="21"/>
              </w:rPr>
            </w:pPr>
          </w:p>
        </w:tc>
        <w:tc>
          <w:tcPr>
            <w:tcW w:w="438" w:type="pct"/>
            <w:vMerge w:val="continue"/>
            <w:shd w:val="clear" w:color="auto" w:fill="auto"/>
            <w:vAlign w:val="center"/>
          </w:tcPr>
          <w:p w14:paraId="6B6EFD4B">
            <w:pPr>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eastAsia" w:ascii="宋体" w:hAnsi="宋体" w:eastAsia="宋体" w:cs="宋体"/>
                <w:kern w:val="2"/>
                <w:sz w:val="21"/>
                <w:szCs w:val="21"/>
                <w:lang w:val="en-US" w:eastAsia="zh-CN" w:bidi="ar-SA"/>
              </w:rPr>
            </w:pPr>
          </w:p>
        </w:tc>
        <w:tc>
          <w:tcPr>
            <w:tcW w:w="560" w:type="pct"/>
            <w:shd w:val="clear" w:color="auto" w:fill="auto"/>
            <w:vAlign w:val="center"/>
          </w:tcPr>
          <w:p w14:paraId="7855C943">
            <w:pPr>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增值</w:t>
            </w:r>
          </w:p>
          <w:p w14:paraId="13CDFEB8">
            <w:pPr>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eastAsia" w:ascii="宋体" w:hAnsi="宋体" w:eastAsia="宋体" w:cs="宋体"/>
                <w:kern w:val="2"/>
                <w:sz w:val="21"/>
                <w:szCs w:val="21"/>
                <w:lang w:val="zh-CN" w:eastAsia="zh-CN" w:bidi="ar-SA"/>
              </w:rPr>
            </w:pPr>
            <w:r>
              <w:rPr>
                <w:rFonts w:hint="eastAsia" w:ascii="宋体" w:hAnsi="宋体" w:eastAsia="宋体" w:cs="宋体"/>
                <w:sz w:val="21"/>
                <w:szCs w:val="21"/>
                <w:lang w:val="en-US" w:eastAsia="zh-CN"/>
              </w:rPr>
              <w:t>服务</w:t>
            </w:r>
          </w:p>
        </w:tc>
        <w:tc>
          <w:tcPr>
            <w:tcW w:w="3012" w:type="pct"/>
            <w:shd w:val="clear" w:color="auto" w:fill="auto"/>
            <w:vAlign w:val="center"/>
          </w:tcPr>
          <w:p w14:paraId="11920428">
            <w:pPr>
              <w:keepNext w:val="0"/>
              <w:keepLines w:val="0"/>
              <w:pageBreakBefore w:val="0"/>
              <w:widowControl/>
              <w:kinsoku/>
              <w:wordWrap/>
              <w:overflowPunct/>
              <w:topLinePunct w:val="0"/>
              <w:autoSpaceDE/>
              <w:autoSpaceDN/>
              <w:bidi w:val="0"/>
              <w:adjustRightInd/>
              <w:spacing w:line="360" w:lineRule="auto"/>
              <w:jc w:val="left"/>
              <w:textAlignment w:val="auto"/>
              <w:rPr>
                <w:rFonts w:hint="eastAsia" w:ascii="宋体" w:hAnsi="宋体" w:eastAsia="宋体" w:cs="宋体"/>
                <w:kern w:val="2"/>
                <w:sz w:val="21"/>
                <w:szCs w:val="21"/>
                <w:lang w:val="zh-CN" w:eastAsia="zh-CN" w:bidi="ar-SA"/>
              </w:rPr>
            </w:pPr>
            <w:r>
              <w:rPr>
                <w:rFonts w:hint="eastAsia" w:ascii="宋体" w:hAnsi="宋体" w:eastAsia="宋体" w:cs="宋体"/>
                <w:color w:val="auto"/>
                <w:kern w:val="2"/>
                <w:sz w:val="21"/>
                <w:szCs w:val="21"/>
                <w:highlight w:val="none"/>
                <w:lang w:val="en-US" w:eastAsia="zh-CN" w:bidi="ar-SA"/>
              </w:rPr>
              <w:t>对提出的采购人可以接受的实质</w:t>
            </w:r>
            <w:r>
              <w:rPr>
                <w:rFonts w:hint="eastAsia" w:ascii="宋体" w:hAnsi="宋体" w:eastAsia="宋体" w:cs="宋体"/>
                <w:sz w:val="21"/>
                <w:szCs w:val="21"/>
                <w:lang w:val="en-US" w:eastAsia="zh-CN"/>
              </w:rPr>
              <w:t>增值服务</w:t>
            </w:r>
            <w:r>
              <w:rPr>
                <w:rFonts w:hint="eastAsia" w:ascii="宋体" w:hAnsi="宋体" w:eastAsia="宋体" w:cs="宋体"/>
                <w:color w:val="auto"/>
                <w:kern w:val="2"/>
                <w:sz w:val="21"/>
                <w:szCs w:val="21"/>
                <w:highlight w:val="none"/>
                <w:lang w:val="en-US" w:eastAsia="zh-CN" w:bidi="ar-SA"/>
              </w:rPr>
              <w:t>进行打分，每有一项实质性承诺得1分，最多得4分。</w:t>
            </w:r>
          </w:p>
        </w:tc>
        <w:tc>
          <w:tcPr>
            <w:tcW w:w="455" w:type="pct"/>
            <w:shd w:val="clear" w:color="auto" w:fill="auto"/>
            <w:vAlign w:val="center"/>
          </w:tcPr>
          <w:p w14:paraId="148BF8DC">
            <w:pPr>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4</w:t>
            </w:r>
          </w:p>
        </w:tc>
      </w:tr>
      <w:tr w14:paraId="29609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3" w:type="pct"/>
            <w:vMerge w:val="restart"/>
            <w:vAlign w:val="center"/>
          </w:tcPr>
          <w:p w14:paraId="50C1037C">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1"/>
                <w:szCs w:val="21"/>
                <w:highlight w:val="none"/>
                <w:lang w:val="en-US" w:eastAsia="zh-CN"/>
              </w:rPr>
            </w:pPr>
          </w:p>
          <w:p w14:paraId="19D395FD">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1"/>
                <w:szCs w:val="21"/>
                <w:highlight w:val="none"/>
                <w:lang w:val="en-US" w:eastAsia="zh-CN"/>
              </w:rPr>
            </w:pPr>
          </w:p>
          <w:p w14:paraId="1CCE0413">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1"/>
                <w:szCs w:val="21"/>
                <w:highlight w:val="none"/>
                <w:lang w:val="en-US" w:eastAsia="zh-CN"/>
              </w:rPr>
            </w:pPr>
          </w:p>
          <w:p w14:paraId="5BBA993B">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1"/>
                <w:szCs w:val="21"/>
                <w:highlight w:val="none"/>
                <w:lang w:val="en-US" w:eastAsia="zh-CN"/>
              </w:rPr>
            </w:pPr>
          </w:p>
          <w:p w14:paraId="7228F26A">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1"/>
                <w:szCs w:val="21"/>
                <w:highlight w:val="none"/>
                <w:lang w:val="en-US" w:eastAsia="zh-CN"/>
              </w:rPr>
            </w:pPr>
          </w:p>
          <w:p w14:paraId="77CE7E83">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1"/>
                <w:szCs w:val="21"/>
                <w:highlight w:val="none"/>
                <w:lang w:val="en-US" w:eastAsia="zh-CN"/>
              </w:rPr>
            </w:pPr>
          </w:p>
          <w:p w14:paraId="0FFC0031">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1"/>
                <w:szCs w:val="21"/>
                <w:highlight w:val="none"/>
                <w:lang w:val="en-US" w:eastAsia="zh-CN"/>
              </w:rPr>
            </w:pPr>
          </w:p>
          <w:p w14:paraId="0935D668">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1"/>
                <w:szCs w:val="21"/>
                <w:highlight w:val="none"/>
                <w:lang w:val="en-US" w:eastAsia="zh-CN"/>
              </w:rPr>
            </w:pPr>
          </w:p>
          <w:p w14:paraId="1197FA2F">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1"/>
                <w:szCs w:val="21"/>
                <w:highlight w:val="none"/>
                <w:lang w:val="en-US" w:eastAsia="zh-CN"/>
              </w:rPr>
            </w:pPr>
          </w:p>
          <w:p w14:paraId="47ED7627">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1"/>
                <w:szCs w:val="21"/>
                <w:highlight w:val="none"/>
                <w:lang w:val="en-US" w:eastAsia="zh-CN"/>
              </w:rPr>
            </w:pPr>
          </w:p>
          <w:p w14:paraId="093F7159">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1"/>
                <w:szCs w:val="21"/>
                <w:highlight w:val="none"/>
                <w:lang w:val="en-US" w:eastAsia="zh-CN"/>
              </w:rPr>
            </w:pPr>
          </w:p>
          <w:p w14:paraId="140FE3CA">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1"/>
                <w:szCs w:val="21"/>
                <w:highlight w:val="none"/>
                <w:lang w:val="en-US" w:eastAsia="zh-CN"/>
              </w:rPr>
            </w:pPr>
          </w:p>
          <w:p w14:paraId="6D95F885">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1"/>
                <w:szCs w:val="21"/>
                <w:highlight w:val="none"/>
                <w:lang w:val="en-US" w:eastAsia="zh-CN"/>
              </w:rPr>
            </w:pPr>
          </w:p>
          <w:p w14:paraId="7965EBC1">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1"/>
                <w:szCs w:val="21"/>
                <w:highlight w:val="none"/>
                <w:lang w:val="en-US" w:eastAsia="zh-CN"/>
              </w:rPr>
            </w:pPr>
          </w:p>
          <w:p w14:paraId="080B4385">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1"/>
                <w:szCs w:val="21"/>
                <w:highlight w:val="none"/>
                <w:lang w:val="en-US" w:eastAsia="zh-CN"/>
              </w:rPr>
            </w:pPr>
          </w:p>
          <w:p w14:paraId="35ADD394">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1"/>
                <w:szCs w:val="21"/>
                <w:highlight w:val="none"/>
                <w:lang w:val="en-US" w:eastAsia="zh-CN"/>
              </w:rPr>
            </w:pPr>
          </w:p>
          <w:p w14:paraId="1ABB74DD">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1"/>
                <w:szCs w:val="21"/>
                <w:highlight w:val="none"/>
                <w:lang w:val="en-US" w:eastAsia="zh-CN"/>
              </w:rPr>
            </w:pPr>
          </w:p>
          <w:p w14:paraId="6118B971">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1"/>
                <w:szCs w:val="21"/>
                <w:highlight w:val="none"/>
                <w:lang w:val="en-US" w:eastAsia="zh-CN"/>
              </w:rPr>
            </w:pPr>
          </w:p>
          <w:p w14:paraId="76CDBBDF">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1"/>
                <w:szCs w:val="21"/>
                <w:highlight w:val="none"/>
                <w:lang w:val="en-US" w:eastAsia="zh-CN"/>
              </w:rPr>
            </w:pPr>
          </w:p>
          <w:p w14:paraId="7AA859CF">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1"/>
                <w:szCs w:val="21"/>
                <w:highlight w:val="none"/>
                <w:lang w:val="en-US" w:eastAsia="zh-CN"/>
              </w:rPr>
            </w:pPr>
          </w:p>
          <w:p w14:paraId="3E1808C4">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1"/>
                <w:szCs w:val="21"/>
                <w:highlight w:val="none"/>
                <w:lang w:val="en-US" w:eastAsia="zh-CN"/>
              </w:rPr>
            </w:pPr>
          </w:p>
          <w:p w14:paraId="685D4DFE">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1"/>
                <w:szCs w:val="21"/>
                <w:highlight w:val="none"/>
                <w:lang w:val="en-US" w:eastAsia="zh-CN"/>
              </w:rPr>
            </w:pPr>
          </w:p>
          <w:p w14:paraId="2B3AE5FC">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1"/>
                <w:szCs w:val="21"/>
                <w:highlight w:val="none"/>
                <w:lang w:val="en-US" w:eastAsia="zh-CN"/>
              </w:rPr>
            </w:pPr>
          </w:p>
          <w:p w14:paraId="416C51CE">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1"/>
                <w:szCs w:val="21"/>
                <w:highlight w:val="none"/>
                <w:lang w:val="en-US" w:eastAsia="zh-CN"/>
              </w:rPr>
            </w:pPr>
          </w:p>
          <w:p w14:paraId="146E0AC7">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1"/>
                <w:szCs w:val="21"/>
                <w:highlight w:val="none"/>
                <w:lang w:val="en-US" w:eastAsia="zh-CN"/>
              </w:rPr>
            </w:pPr>
          </w:p>
          <w:p w14:paraId="6EEC675C">
            <w:pPr>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技术</w:t>
            </w:r>
          </w:p>
          <w:p w14:paraId="566D483A">
            <w:pPr>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eastAsia"/>
                <w:sz w:val="21"/>
                <w:szCs w:val="21"/>
                <w:lang w:val="en-US" w:eastAsia="zh-CN"/>
              </w:rPr>
            </w:pPr>
            <w:r>
              <w:rPr>
                <w:rFonts w:hint="eastAsia" w:ascii="宋体" w:hAnsi="宋体" w:eastAsia="宋体" w:cs="宋体"/>
                <w:sz w:val="21"/>
                <w:szCs w:val="21"/>
                <w:highlight w:val="none"/>
                <w:lang w:val="en-US" w:eastAsia="zh-CN"/>
              </w:rPr>
              <w:t>部分</w:t>
            </w:r>
          </w:p>
          <w:p w14:paraId="07B3E323">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default" w:ascii="宋体" w:hAnsi="宋体" w:eastAsia="宋体" w:cs="宋体"/>
                <w:sz w:val="21"/>
                <w:szCs w:val="21"/>
                <w:highlight w:val="none"/>
                <w:lang w:val="en-US" w:eastAsia="zh-CN"/>
              </w:rPr>
            </w:pPr>
          </w:p>
        </w:tc>
        <w:tc>
          <w:tcPr>
            <w:tcW w:w="438" w:type="pct"/>
            <w:vMerge w:val="restart"/>
            <w:vAlign w:val="center"/>
          </w:tcPr>
          <w:p w14:paraId="67E7C57C">
            <w:pPr>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eastAsia"/>
                <w:sz w:val="21"/>
                <w:szCs w:val="21"/>
                <w:lang w:val="en-US" w:eastAsia="zh-CN"/>
              </w:rPr>
            </w:pPr>
          </w:p>
          <w:p w14:paraId="45699784">
            <w:pPr>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eastAsia"/>
                <w:sz w:val="21"/>
                <w:szCs w:val="21"/>
                <w:lang w:val="en-US" w:eastAsia="zh-CN"/>
              </w:rPr>
            </w:pPr>
          </w:p>
          <w:p w14:paraId="27054F0F">
            <w:pPr>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eastAsia"/>
                <w:sz w:val="21"/>
                <w:szCs w:val="21"/>
                <w:lang w:val="en-US" w:eastAsia="zh-CN"/>
              </w:rPr>
            </w:pPr>
          </w:p>
          <w:p w14:paraId="19027015">
            <w:pPr>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eastAsia"/>
                <w:sz w:val="21"/>
                <w:szCs w:val="21"/>
                <w:lang w:val="en-US" w:eastAsia="zh-CN"/>
              </w:rPr>
            </w:pPr>
          </w:p>
          <w:p w14:paraId="49F8BCC5">
            <w:pPr>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eastAsia"/>
                <w:sz w:val="21"/>
                <w:szCs w:val="21"/>
                <w:lang w:val="en-US" w:eastAsia="zh-CN"/>
              </w:rPr>
            </w:pPr>
          </w:p>
          <w:p w14:paraId="687BA779">
            <w:pPr>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eastAsia"/>
                <w:sz w:val="21"/>
                <w:szCs w:val="21"/>
                <w:lang w:val="en-US" w:eastAsia="zh-CN"/>
              </w:rPr>
            </w:pPr>
          </w:p>
          <w:p w14:paraId="4069FB91">
            <w:pPr>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eastAsia"/>
                <w:sz w:val="21"/>
                <w:szCs w:val="21"/>
                <w:lang w:val="en-US" w:eastAsia="zh-CN"/>
              </w:rPr>
            </w:pPr>
          </w:p>
          <w:p w14:paraId="6425CCAA">
            <w:pPr>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eastAsia"/>
                <w:sz w:val="21"/>
                <w:szCs w:val="21"/>
                <w:lang w:val="en-US" w:eastAsia="zh-CN"/>
              </w:rPr>
            </w:pPr>
          </w:p>
          <w:p w14:paraId="1230BDFD">
            <w:pPr>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eastAsia"/>
                <w:sz w:val="21"/>
                <w:szCs w:val="21"/>
                <w:lang w:val="en-US" w:eastAsia="zh-CN"/>
              </w:rPr>
            </w:pPr>
          </w:p>
          <w:p w14:paraId="0EDE5B07">
            <w:pPr>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eastAsia"/>
                <w:sz w:val="21"/>
                <w:szCs w:val="21"/>
                <w:lang w:val="en-US" w:eastAsia="zh-CN"/>
              </w:rPr>
            </w:pPr>
          </w:p>
          <w:p w14:paraId="14C9BFCD">
            <w:pPr>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eastAsia"/>
                <w:sz w:val="21"/>
                <w:szCs w:val="21"/>
                <w:lang w:val="en-US" w:eastAsia="zh-CN"/>
              </w:rPr>
            </w:pPr>
          </w:p>
          <w:p w14:paraId="146BEEA6">
            <w:pPr>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eastAsia"/>
                <w:sz w:val="21"/>
                <w:szCs w:val="21"/>
                <w:lang w:val="en-US" w:eastAsia="zh-CN"/>
              </w:rPr>
            </w:pPr>
          </w:p>
          <w:p w14:paraId="74B66A26">
            <w:pPr>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eastAsia"/>
                <w:sz w:val="21"/>
                <w:szCs w:val="21"/>
                <w:lang w:val="en-US" w:eastAsia="zh-CN"/>
              </w:rPr>
            </w:pPr>
          </w:p>
          <w:p w14:paraId="52BD7AC3">
            <w:pPr>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eastAsia"/>
                <w:sz w:val="21"/>
                <w:szCs w:val="21"/>
                <w:lang w:val="en-US" w:eastAsia="zh-CN"/>
              </w:rPr>
            </w:pPr>
          </w:p>
          <w:p w14:paraId="1A1F6165">
            <w:pPr>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eastAsia"/>
                <w:sz w:val="21"/>
                <w:szCs w:val="21"/>
                <w:lang w:val="en-US" w:eastAsia="zh-CN"/>
              </w:rPr>
            </w:pPr>
          </w:p>
          <w:p w14:paraId="078C4F7D">
            <w:pPr>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eastAsia"/>
                <w:sz w:val="21"/>
                <w:szCs w:val="21"/>
                <w:lang w:val="en-US" w:eastAsia="zh-CN"/>
              </w:rPr>
            </w:pPr>
          </w:p>
          <w:p w14:paraId="7E4B1068">
            <w:pPr>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eastAsia"/>
                <w:sz w:val="21"/>
                <w:szCs w:val="21"/>
                <w:lang w:val="en-US" w:eastAsia="zh-CN"/>
              </w:rPr>
            </w:pPr>
          </w:p>
          <w:p w14:paraId="3DE33F1E">
            <w:pPr>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eastAsia"/>
                <w:sz w:val="21"/>
                <w:szCs w:val="21"/>
                <w:lang w:val="en-US" w:eastAsia="zh-CN"/>
              </w:rPr>
            </w:pPr>
          </w:p>
          <w:p w14:paraId="600DA810">
            <w:pPr>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eastAsia"/>
                <w:sz w:val="21"/>
                <w:szCs w:val="21"/>
                <w:lang w:val="en-US" w:eastAsia="zh-CN"/>
              </w:rPr>
            </w:pPr>
          </w:p>
          <w:p w14:paraId="27A99689">
            <w:pPr>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eastAsia"/>
                <w:sz w:val="21"/>
                <w:szCs w:val="21"/>
                <w:lang w:val="en-US" w:eastAsia="zh-CN"/>
              </w:rPr>
            </w:pPr>
          </w:p>
          <w:p w14:paraId="36DD4339">
            <w:pPr>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eastAsia"/>
                <w:sz w:val="21"/>
                <w:szCs w:val="21"/>
                <w:lang w:val="en-US" w:eastAsia="zh-CN"/>
              </w:rPr>
            </w:pPr>
          </w:p>
          <w:p w14:paraId="7983B1D1">
            <w:pPr>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eastAsia"/>
                <w:sz w:val="21"/>
                <w:szCs w:val="21"/>
                <w:lang w:val="en-US" w:eastAsia="zh-CN"/>
              </w:rPr>
            </w:pPr>
          </w:p>
          <w:p w14:paraId="512FF8BA">
            <w:pPr>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eastAsia"/>
                <w:sz w:val="21"/>
                <w:szCs w:val="21"/>
                <w:lang w:val="en-US" w:eastAsia="zh-CN"/>
              </w:rPr>
            </w:pPr>
          </w:p>
          <w:p w14:paraId="766CE482">
            <w:pPr>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eastAsia"/>
                <w:sz w:val="21"/>
                <w:szCs w:val="21"/>
                <w:lang w:val="en-US" w:eastAsia="zh-CN"/>
              </w:rPr>
            </w:pPr>
          </w:p>
          <w:p w14:paraId="5A20B9AE">
            <w:pPr>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eastAsia"/>
                <w:sz w:val="21"/>
                <w:szCs w:val="21"/>
                <w:lang w:val="en-US" w:eastAsia="zh-CN"/>
              </w:rPr>
            </w:pPr>
          </w:p>
          <w:p w14:paraId="7DD8F9E2">
            <w:pPr>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eastAsia"/>
                <w:sz w:val="21"/>
                <w:szCs w:val="21"/>
                <w:lang w:val="en-US" w:eastAsia="zh-CN"/>
              </w:rPr>
            </w:pPr>
          </w:p>
          <w:p w14:paraId="2188F2AB">
            <w:pPr>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default" w:eastAsia="宋体"/>
                <w:sz w:val="21"/>
                <w:szCs w:val="21"/>
                <w:lang w:val="en-US" w:eastAsia="zh-CN"/>
              </w:rPr>
            </w:pPr>
            <w:r>
              <w:rPr>
                <w:rFonts w:hint="eastAsia" w:eastAsia="宋体"/>
                <w:sz w:val="21"/>
                <w:szCs w:val="21"/>
                <w:lang w:val="en-US" w:eastAsia="zh-CN"/>
              </w:rPr>
              <w:t>60分</w:t>
            </w:r>
          </w:p>
        </w:tc>
        <w:tc>
          <w:tcPr>
            <w:tcW w:w="560" w:type="pct"/>
            <w:shd w:val="clear" w:color="auto" w:fill="auto"/>
            <w:vAlign w:val="center"/>
          </w:tcPr>
          <w:p w14:paraId="2FB65D0D">
            <w:pPr>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eastAsia" w:eastAsia="宋体" w:cs="宋体"/>
                <w:sz w:val="21"/>
                <w:szCs w:val="21"/>
                <w:lang w:val="en-US" w:eastAsia="zh-CN"/>
              </w:rPr>
            </w:pPr>
            <w:r>
              <w:rPr>
                <w:rFonts w:hint="eastAsia" w:eastAsia="宋体" w:cs="宋体"/>
                <w:sz w:val="21"/>
                <w:szCs w:val="21"/>
                <w:lang w:val="en-US" w:eastAsia="zh-CN"/>
              </w:rPr>
              <w:t>技术指标</w:t>
            </w:r>
          </w:p>
        </w:tc>
        <w:tc>
          <w:tcPr>
            <w:tcW w:w="3012" w:type="pct"/>
            <w:shd w:val="clear" w:color="auto" w:fill="auto"/>
            <w:vAlign w:val="center"/>
          </w:tcPr>
          <w:p w14:paraId="70759271">
            <w:pPr>
              <w:keepNext w:val="0"/>
              <w:keepLines w:val="0"/>
              <w:pageBreakBefore w:val="0"/>
              <w:kinsoku/>
              <w:wordWrap/>
              <w:overflowPunct/>
              <w:topLinePunct w:val="0"/>
              <w:autoSpaceDE/>
              <w:autoSpaceDN/>
              <w:bidi w:val="0"/>
              <w:adjustRightInd/>
              <w:spacing w:line="360" w:lineRule="auto"/>
              <w:ind w:firstLine="0" w:firstLine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投标产品技术参数、规格型号、品牌、性能等有详细说明，无缺漏项，选型合理，配置齐全，优于或完全满足招标文件要求得10分。每有一项负偏离扣 1 分，扣完为止。</w:t>
            </w:r>
          </w:p>
          <w:p w14:paraId="6152A471">
            <w:pPr>
              <w:keepNext w:val="0"/>
              <w:keepLines w:val="0"/>
              <w:pageBreakBefore w:val="0"/>
              <w:kinsoku/>
              <w:wordWrap/>
              <w:overflowPunct/>
              <w:topLinePunct w:val="0"/>
              <w:autoSpaceDE/>
              <w:autoSpaceDN/>
              <w:bidi w:val="0"/>
              <w:adjustRightInd/>
              <w:spacing w:line="360" w:lineRule="auto"/>
              <w:ind w:firstLine="0" w:firstLine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备注：技术参数需提供证明材料进行佐证，否则视为负偏离，包括但不限于产品彩页、产品说明书、官网功能截图等任一技术支持性文件（资料）等，并经评审专家审定方可计分。）（具体技术参数中有明确的证明材料要求的以具体技术参数中的要求为准）</w:t>
            </w:r>
          </w:p>
        </w:tc>
        <w:tc>
          <w:tcPr>
            <w:tcW w:w="455" w:type="pct"/>
            <w:vAlign w:val="center"/>
          </w:tcPr>
          <w:p w14:paraId="42DB460C">
            <w:pPr>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default" w:ascii="宋体" w:hAnsi="宋体" w:eastAsia="宋体" w:cs="宋体"/>
                <w:sz w:val="21"/>
                <w:szCs w:val="21"/>
                <w:highlight w:val="none"/>
                <w:shd w:val="clear" w:color="auto" w:fill="FFFFFF"/>
                <w:lang w:val="en-US" w:eastAsia="zh-CN"/>
              </w:rPr>
            </w:pPr>
            <w:r>
              <w:rPr>
                <w:rFonts w:hint="eastAsia" w:ascii="宋体" w:hAnsi="宋体" w:eastAsia="宋体" w:cs="宋体"/>
                <w:sz w:val="21"/>
                <w:szCs w:val="21"/>
                <w:highlight w:val="none"/>
                <w:shd w:val="clear" w:color="auto" w:fill="FFFFFF"/>
                <w:lang w:val="en-US" w:eastAsia="zh-CN"/>
              </w:rPr>
              <w:t>10</w:t>
            </w:r>
          </w:p>
        </w:tc>
      </w:tr>
      <w:tr w14:paraId="4F0BF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3" w:type="pct"/>
            <w:vMerge w:val="continue"/>
            <w:vAlign w:val="center"/>
          </w:tcPr>
          <w:p w14:paraId="186A868A">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default" w:ascii="宋体" w:hAnsi="宋体" w:eastAsia="宋体" w:cs="宋体"/>
                <w:sz w:val="21"/>
                <w:szCs w:val="21"/>
                <w:highlight w:val="none"/>
                <w:lang w:val="en-US" w:eastAsia="zh-CN"/>
              </w:rPr>
            </w:pPr>
          </w:p>
        </w:tc>
        <w:tc>
          <w:tcPr>
            <w:tcW w:w="438" w:type="pct"/>
            <w:vMerge w:val="continue"/>
            <w:vAlign w:val="center"/>
          </w:tcPr>
          <w:p w14:paraId="21C327E6">
            <w:pPr>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default" w:eastAsia="宋体"/>
                <w:sz w:val="21"/>
                <w:szCs w:val="21"/>
                <w:lang w:val="en-US" w:eastAsia="zh-CN"/>
              </w:rPr>
            </w:pPr>
          </w:p>
        </w:tc>
        <w:tc>
          <w:tcPr>
            <w:tcW w:w="560" w:type="pct"/>
            <w:vAlign w:val="center"/>
          </w:tcPr>
          <w:p w14:paraId="7512525E">
            <w:pPr>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eastAsia" w:eastAsia="宋体" w:cs="宋体"/>
                <w:sz w:val="21"/>
                <w:szCs w:val="21"/>
                <w:lang w:val="en-US" w:eastAsia="zh-CN"/>
              </w:rPr>
            </w:pPr>
            <w:r>
              <w:rPr>
                <w:rFonts w:hint="eastAsia" w:eastAsia="宋体" w:cs="宋体"/>
                <w:sz w:val="21"/>
                <w:szCs w:val="21"/>
                <w:lang w:val="en-US" w:eastAsia="zh-CN"/>
              </w:rPr>
              <w:t>供货</w:t>
            </w:r>
          </w:p>
          <w:p w14:paraId="7B368B63">
            <w:pPr>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eastAsia" w:ascii="宋体" w:hAnsi="宋体" w:eastAsia="宋体" w:cs="宋体"/>
                <w:color w:val="0000FF"/>
                <w:sz w:val="21"/>
                <w:szCs w:val="21"/>
                <w:lang w:val="en-US" w:eastAsia="zh-CN"/>
              </w:rPr>
            </w:pPr>
            <w:r>
              <w:rPr>
                <w:rFonts w:hint="eastAsia" w:eastAsia="宋体" w:cs="宋体"/>
                <w:sz w:val="21"/>
                <w:szCs w:val="21"/>
                <w:lang w:val="en-US" w:eastAsia="zh-CN"/>
              </w:rPr>
              <w:t>方案</w:t>
            </w:r>
          </w:p>
        </w:tc>
        <w:tc>
          <w:tcPr>
            <w:tcW w:w="3012" w:type="pct"/>
            <w:vAlign w:val="center"/>
          </w:tcPr>
          <w:p w14:paraId="6B758F66">
            <w:pPr>
              <w:keepNext w:val="0"/>
              <w:keepLines w:val="0"/>
              <w:pageBreakBefore w:val="0"/>
              <w:kinsoku/>
              <w:wordWrap/>
              <w:overflowPunct/>
              <w:topLinePunct w:val="0"/>
              <w:autoSpaceDE/>
              <w:autoSpaceDN/>
              <w:bidi w:val="0"/>
              <w:adjustRightInd/>
              <w:spacing w:line="360" w:lineRule="auto"/>
              <w:ind w:firstLine="0" w:firstLineChars="0"/>
              <w:textAlignment w:val="auto"/>
              <w:rPr>
                <w:rFonts w:hint="eastAsia" w:ascii="宋体" w:hAnsi="宋体" w:eastAsia="宋体" w:cs="宋体"/>
                <w:sz w:val="21"/>
                <w:szCs w:val="21"/>
                <w:highlight w:val="none"/>
                <w:lang w:val="en-US" w:eastAsia="zh-CN"/>
              </w:rPr>
            </w:pPr>
            <w:r>
              <w:rPr>
                <w:rFonts w:hint="eastAsia" w:ascii="宋体" w:hAnsi="宋体" w:eastAsia="宋体" w:cs="宋体"/>
                <w:b w:val="0"/>
                <w:bCs w:val="0"/>
                <w:sz w:val="21"/>
                <w:szCs w:val="21"/>
                <w:lang w:val="en-US" w:eastAsia="zh-CN"/>
              </w:rPr>
              <w:t>供应商针对于本项目制定相应的供货方案,包含但不限于以下几个方面：</w:t>
            </w:r>
          </w:p>
          <w:p w14:paraId="62EDA99A">
            <w:pPr>
              <w:keepNext w:val="0"/>
              <w:keepLines w:val="0"/>
              <w:pageBreakBefore w:val="0"/>
              <w:numPr>
                <w:ilvl w:val="0"/>
                <w:numId w:val="0"/>
              </w:numPr>
              <w:kinsoku/>
              <w:wordWrap/>
              <w:overflowPunct/>
              <w:topLinePunct w:val="0"/>
              <w:autoSpaceDE/>
              <w:autoSpaceDN/>
              <w:bidi w:val="0"/>
              <w:adjustRightInd/>
              <w:spacing w:line="360" w:lineRule="auto"/>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1、货物检验；</w:t>
            </w:r>
          </w:p>
          <w:p w14:paraId="4C8F4180">
            <w:pPr>
              <w:keepNext w:val="0"/>
              <w:keepLines w:val="0"/>
              <w:pageBreakBefore w:val="0"/>
              <w:numPr>
                <w:ilvl w:val="0"/>
                <w:numId w:val="0"/>
              </w:numPr>
              <w:kinsoku/>
              <w:wordWrap/>
              <w:overflowPunct/>
              <w:topLinePunct w:val="0"/>
              <w:autoSpaceDE/>
              <w:autoSpaceDN/>
              <w:bidi w:val="0"/>
              <w:adjustRightInd/>
              <w:spacing w:line="360" w:lineRule="auto"/>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2、检验措施</w:t>
            </w:r>
          </w:p>
          <w:p w14:paraId="30DF3DA6">
            <w:pPr>
              <w:keepNext w:val="0"/>
              <w:keepLines w:val="0"/>
              <w:pageBreakBefore w:val="0"/>
              <w:kinsoku/>
              <w:wordWrap/>
              <w:overflowPunct/>
              <w:topLinePunct w:val="0"/>
              <w:autoSpaceDE/>
              <w:autoSpaceDN/>
              <w:bidi w:val="0"/>
              <w:adjustRightInd/>
              <w:spacing w:line="360" w:lineRule="auto"/>
              <w:ind w:firstLine="0" w:firstLineChars="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3、供货人员配置；</w:t>
            </w:r>
          </w:p>
          <w:p w14:paraId="1D2FB289">
            <w:pPr>
              <w:keepNext w:val="0"/>
              <w:keepLines w:val="0"/>
              <w:pageBreakBefore w:val="0"/>
              <w:kinsoku/>
              <w:wordWrap/>
              <w:overflowPunct/>
              <w:topLinePunct w:val="0"/>
              <w:autoSpaceDE/>
              <w:autoSpaceDN/>
              <w:bidi w:val="0"/>
              <w:adjustRightInd/>
              <w:spacing w:line="360" w:lineRule="auto"/>
              <w:ind w:firstLine="0" w:firstLineChars="0"/>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4、货物保障；</w:t>
            </w:r>
          </w:p>
          <w:p w14:paraId="2C4E7F54">
            <w:pPr>
              <w:keepNext w:val="0"/>
              <w:keepLines w:val="0"/>
              <w:pageBreakBefore w:val="0"/>
              <w:kinsoku/>
              <w:wordWrap/>
              <w:overflowPunct/>
              <w:topLinePunct w:val="0"/>
              <w:autoSpaceDE/>
              <w:autoSpaceDN/>
              <w:bidi w:val="0"/>
              <w:adjustRightInd/>
              <w:spacing w:line="360" w:lineRule="auto"/>
              <w:ind w:firstLine="0" w:firstLineChars="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5、供货计划，</w:t>
            </w:r>
          </w:p>
          <w:p w14:paraId="6B260B60">
            <w:pPr>
              <w:keepNext w:val="0"/>
              <w:keepLines w:val="0"/>
              <w:pageBreakBefore w:val="0"/>
              <w:kinsoku/>
              <w:wordWrap/>
              <w:overflowPunct/>
              <w:topLinePunct w:val="0"/>
              <w:autoSpaceDE/>
              <w:autoSpaceDN/>
              <w:bidi w:val="0"/>
              <w:adjustRightInd/>
              <w:spacing w:line="360" w:lineRule="auto"/>
              <w:ind w:firstLine="0" w:firstLineChars="0"/>
              <w:textAlignment w:val="auto"/>
              <w:rPr>
                <w:rFonts w:hint="eastAsia" w:ascii="宋体" w:hAnsi="宋体" w:eastAsia="宋体" w:cs="宋体"/>
                <w:color w:val="0000FF"/>
                <w:sz w:val="21"/>
                <w:szCs w:val="21"/>
                <w:lang w:val="en-US" w:eastAsia="zh-CN"/>
              </w:rPr>
            </w:pPr>
            <w:r>
              <w:rPr>
                <w:rFonts w:hint="eastAsia" w:ascii="宋体" w:hAnsi="宋体" w:eastAsia="宋体" w:cs="宋体"/>
                <w:sz w:val="21"/>
                <w:szCs w:val="21"/>
                <w:highlight w:val="none"/>
                <w:lang w:val="en-US" w:eastAsia="zh-CN"/>
              </w:rPr>
              <w:t>以上五项内容每提供一小项内容适用于项目且无缺失的方案得2分，方案有缺失的得1分，满分10分，未提供的得0分。</w:t>
            </w:r>
          </w:p>
        </w:tc>
        <w:tc>
          <w:tcPr>
            <w:tcW w:w="455" w:type="pct"/>
            <w:vAlign w:val="center"/>
          </w:tcPr>
          <w:p w14:paraId="2B614FA4">
            <w:pPr>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eastAsia" w:ascii="宋体" w:hAnsi="宋体" w:eastAsia="宋体" w:cs="宋体"/>
                <w:sz w:val="21"/>
                <w:szCs w:val="21"/>
                <w:highlight w:val="none"/>
                <w:shd w:val="clear" w:color="auto" w:fill="FFFFFF"/>
                <w:lang w:val="en-US" w:eastAsia="zh-CN"/>
              </w:rPr>
            </w:pPr>
            <w:r>
              <w:rPr>
                <w:rFonts w:hint="eastAsia" w:ascii="宋体" w:hAnsi="宋体" w:eastAsia="宋体" w:cs="宋体"/>
                <w:sz w:val="21"/>
                <w:szCs w:val="21"/>
                <w:highlight w:val="none"/>
                <w:shd w:val="clear" w:color="auto" w:fill="FFFFFF"/>
                <w:lang w:val="en-US" w:eastAsia="zh-CN"/>
              </w:rPr>
              <w:t>10</w:t>
            </w:r>
          </w:p>
        </w:tc>
      </w:tr>
      <w:tr w14:paraId="6FD73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533" w:type="pct"/>
            <w:vMerge w:val="continue"/>
            <w:vAlign w:val="center"/>
          </w:tcPr>
          <w:p w14:paraId="3C4DEF42">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pPr>
          </w:p>
        </w:tc>
        <w:tc>
          <w:tcPr>
            <w:tcW w:w="438" w:type="pct"/>
            <w:vMerge w:val="continue"/>
            <w:vAlign w:val="center"/>
          </w:tcPr>
          <w:p w14:paraId="56C6E31B">
            <w:pPr>
              <w:keepNext w:val="0"/>
              <w:keepLines w:val="0"/>
              <w:pageBreakBefore w:val="0"/>
              <w:kinsoku/>
              <w:wordWrap/>
              <w:overflowPunct/>
              <w:topLinePunct w:val="0"/>
              <w:autoSpaceDE/>
              <w:autoSpaceDN/>
              <w:bidi w:val="0"/>
              <w:adjustRightInd/>
              <w:spacing w:line="360" w:lineRule="auto"/>
              <w:ind w:firstLine="0" w:firstLineChars="0"/>
              <w:jc w:val="center"/>
              <w:textAlignment w:val="auto"/>
            </w:pPr>
          </w:p>
        </w:tc>
        <w:tc>
          <w:tcPr>
            <w:tcW w:w="560" w:type="pct"/>
            <w:vAlign w:val="center"/>
          </w:tcPr>
          <w:p w14:paraId="67BA8726">
            <w:pPr>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eastAsia" w:eastAsia="宋体" w:cs="宋体"/>
                <w:sz w:val="21"/>
                <w:szCs w:val="21"/>
                <w:lang w:val="en-US" w:eastAsia="zh-CN"/>
              </w:rPr>
            </w:pPr>
            <w:r>
              <w:rPr>
                <w:rFonts w:hint="eastAsia" w:eastAsia="宋体" w:cs="宋体"/>
                <w:sz w:val="21"/>
                <w:szCs w:val="21"/>
                <w:lang w:val="en-US" w:eastAsia="zh-CN"/>
              </w:rPr>
              <w:t>运输</w:t>
            </w:r>
          </w:p>
          <w:p w14:paraId="2E46470A">
            <w:pPr>
              <w:keepNext w:val="0"/>
              <w:keepLines w:val="0"/>
              <w:pageBreakBefore w:val="0"/>
              <w:kinsoku/>
              <w:wordWrap/>
              <w:overflowPunct/>
              <w:topLinePunct w:val="0"/>
              <w:autoSpaceDE/>
              <w:autoSpaceDN/>
              <w:bidi w:val="0"/>
              <w:adjustRightInd/>
              <w:spacing w:line="360" w:lineRule="auto"/>
              <w:ind w:firstLine="0" w:firstLineChars="0"/>
              <w:jc w:val="center"/>
              <w:textAlignment w:val="auto"/>
            </w:pPr>
            <w:r>
              <w:rPr>
                <w:rFonts w:hint="eastAsia" w:eastAsia="宋体" w:cs="宋体"/>
                <w:sz w:val="21"/>
                <w:szCs w:val="21"/>
                <w:lang w:val="en-US" w:eastAsia="zh-CN"/>
              </w:rPr>
              <w:t>方案</w:t>
            </w:r>
          </w:p>
        </w:tc>
        <w:tc>
          <w:tcPr>
            <w:tcW w:w="3012" w:type="pct"/>
            <w:vAlign w:val="center"/>
          </w:tcPr>
          <w:p w14:paraId="197D382A">
            <w:pPr>
              <w:keepNext w:val="0"/>
              <w:keepLines w:val="0"/>
              <w:pageBreakBefore w:val="0"/>
              <w:kinsoku/>
              <w:wordWrap/>
              <w:overflowPunct/>
              <w:topLinePunct w:val="0"/>
              <w:autoSpaceDE/>
              <w:autoSpaceDN/>
              <w:bidi w:val="0"/>
              <w:adjustRightInd/>
              <w:spacing w:line="360" w:lineRule="auto"/>
              <w:ind w:firstLine="0" w:firstLine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供应商针对于本项目编制切实可行的配送运输方案，保证货物的安全抵达，包含但不限于以下几个方面：</w:t>
            </w:r>
          </w:p>
          <w:p w14:paraId="1F907474">
            <w:pPr>
              <w:keepNext w:val="0"/>
              <w:keepLines w:val="0"/>
              <w:pageBreakBefore w:val="0"/>
              <w:kinsoku/>
              <w:wordWrap/>
              <w:overflowPunct/>
              <w:topLinePunct w:val="0"/>
              <w:autoSpaceDE/>
              <w:autoSpaceDN/>
              <w:bidi w:val="0"/>
              <w:adjustRightInd/>
              <w:spacing w:line="360" w:lineRule="auto"/>
              <w:ind w:firstLine="0" w:firstLine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1、运输车辆配备；</w:t>
            </w:r>
          </w:p>
          <w:p w14:paraId="2BD5B8C4">
            <w:pPr>
              <w:keepNext w:val="0"/>
              <w:keepLines w:val="0"/>
              <w:pageBreakBefore w:val="0"/>
              <w:kinsoku/>
              <w:wordWrap/>
              <w:overflowPunct/>
              <w:topLinePunct w:val="0"/>
              <w:autoSpaceDE/>
              <w:autoSpaceDN/>
              <w:bidi w:val="0"/>
              <w:adjustRightInd/>
              <w:spacing w:line="360" w:lineRule="auto"/>
              <w:ind w:firstLine="0" w:firstLine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2、运行安全控制；</w:t>
            </w:r>
          </w:p>
          <w:p w14:paraId="630B4EA3">
            <w:pPr>
              <w:keepNext w:val="0"/>
              <w:keepLines w:val="0"/>
              <w:pageBreakBefore w:val="0"/>
              <w:kinsoku/>
              <w:wordWrap/>
              <w:overflowPunct/>
              <w:topLinePunct w:val="0"/>
              <w:autoSpaceDE/>
              <w:autoSpaceDN/>
              <w:bidi w:val="0"/>
              <w:adjustRightInd/>
              <w:spacing w:line="360" w:lineRule="auto"/>
              <w:ind w:firstLine="0" w:firstLine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3、运输安全保障控制；</w:t>
            </w:r>
          </w:p>
          <w:p w14:paraId="01831C5E">
            <w:pPr>
              <w:keepNext w:val="0"/>
              <w:keepLines w:val="0"/>
              <w:pageBreakBefore w:val="0"/>
              <w:kinsoku/>
              <w:wordWrap/>
              <w:overflowPunct/>
              <w:topLinePunct w:val="0"/>
              <w:autoSpaceDE/>
              <w:autoSpaceDN/>
              <w:bidi w:val="0"/>
              <w:adjustRightInd/>
              <w:spacing w:line="360" w:lineRule="auto"/>
              <w:ind w:firstLine="0" w:firstLine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4、技术安全措施；</w:t>
            </w:r>
          </w:p>
          <w:p w14:paraId="3BAB2D2E">
            <w:pPr>
              <w:keepNext w:val="0"/>
              <w:keepLines w:val="0"/>
              <w:pageBreakBefore w:val="0"/>
              <w:kinsoku/>
              <w:wordWrap/>
              <w:overflowPunct/>
              <w:topLinePunct w:val="0"/>
              <w:autoSpaceDE/>
              <w:autoSpaceDN/>
              <w:bidi w:val="0"/>
              <w:adjustRightInd/>
              <w:spacing w:line="360" w:lineRule="auto"/>
              <w:ind w:firstLine="0" w:firstLine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5、运输应急预案及处理。</w:t>
            </w:r>
          </w:p>
          <w:p w14:paraId="5B7FE7BC">
            <w:pPr>
              <w:keepNext w:val="0"/>
              <w:keepLines w:val="0"/>
              <w:pageBreakBefore w:val="0"/>
              <w:kinsoku/>
              <w:wordWrap/>
              <w:overflowPunct/>
              <w:topLinePunct w:val="0"/>
              <w:autoSpaceDE/>
              <w:autoSpaceDN/>
              <w:bidi w:val="0"/>
              <w:adjustRightInd/>
              <w:spacing w:line="360" w:lineRule="auto"/>
              <w:ind w:firstLine="0" w:firstLineChars="0"/>
              <w:textAlignment w:val="auto"/>
              <w:rPr>
                <w:rFonts w:hint="default" w:ascii="Times New Roman" w:hAnsi="Times New Roman" w:eastAsia="宋体" w:cs="Times New Roman"/>
                <w:snapToGrid w:val="0"/>
                <w:color w:val="auto"/>
                <w:kern w:val="0"/>
                <w:sz w:val="21"/>
                <w:szCs w:val="21"/>
                <w:lang w:val="en-US" w:eastAsia="zh-CN" w:bidi="ar"/>
              </w:rPr>
            </w:pPr>
            <w:r>
              <w:rPr>
                <w:rFonts w:hint="eastAsia" w:ascii="宋体" w:hAnsi="宋体" w:eastAsia="宋体" w:cs="宋体"/>
                <w:b w:val="0"/>
                <w:bCs w:val="0"/>
                <w:sz w:val="21"/>
                <w:szCs w:val="21"/>
                <w:lang w:val="en-US" w:eastAsia="zh-CN"/>
              </w:rPr>
              <w:t>以上五项方案每提供一小项内容适用于项目且无缺失的方案得2分，方案有缺失的得1分，满分10分，未提供的得0分。</w:t>
            </w:r>
          </w:p>
        </w:tc>
        <w:tc>
          <w:tcPr>
            <w:tcW w:w="455" w:type="pct"/>
            <w:vAlign w:val="center"/>
          </w:tcPr>
          <w:p w14:paraId="64854F76">
            <w:pPr>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default" w:ascii="宋体" w:hAnsi="宋体" w:eastAsia="宋体" w:cs="宋体"/>
                <w:sz w:val="21"/>
                <w:szCs w:val="21"/>
                <w:highlight w:val="none"/>
                <w:shd w:val="clear" w:color="auto" w:fill="FFFFFF"/>
                <w:lang w:val="en-US" w:eastAsia="zh-CN"/>
              </w:rPr>
            </w:pPr>
            <w:r>
              <w:rPr>
                <w:rFonts w:hint="eastAsia" w:ascii="宋体" w:hAnsi="宋体" w:eastAsia="宋体" w:cs="宋体"/>
                <w:sz w:val="21"/>
                <w:szCs w:val="21"/>
                <w:highlight w:val="none"/>
                <w:shd w:val="clear" w:color="auto" w:fill="FFFFFF"/>
                <w:lang w:val="en-US" w:eastAsia="zh-CN"/>
              </w:rPr>
              <w:t>10</w:t>
            </w:r>
          </w:p>
        </w:tc>
      </w:tr>
      <w:tr w14:paraId="4B69D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533" w:type="pct"/>
            <w:vMerge w:val="continue"/>
            <w:vAlign w:val="center"/>
          </w:tcPr>
          <w:p w14:paraId="6D95CCEA">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snapToGrid w:val="0"/>
                <w:color w:val="auto"/>
                <w:kern w:val="0"/>
                <w:sz w:val="21"/>
                <w:szCs w:val="21"/>
                <w:lang w:val="en-US" w:eastAsia="zh-CN" w:bidi="ar"/>
              </w:rPr>
            </w:pPr>
          </w:p>
        </w:tc>
        <w:tc>
          <w:tcPr>
            <w:tcW w:w="438" w:type="pct"/>
            <w:vMerge w:val="continue"/>
            <w:vAlign w:val="center"/>
          </w:tcPr>
          <w:p w14:paraId="5087363D">
            <w:pPr>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default" w:ascii="Times New Roman" w:hAnsi="Times New Roman" w:eastAsia="宋体" w:cs="Times New Roman"/>
                <w:snapToGrid w:val="0"/>
                <w:color w:val="auto"/>
                <w:kern w:val="0"/>
                <w:sz w:val="21"/>
                <w:szCs w:val="21"/>
                <w:lang w:val="en-US" w:eastAsia="zh-CN" w:bidi="ar"/>
              </w:rPr>
            </w:pPr>
          </w:p>
        </w:tc>
        <w:tc>
          <w:tcPr>
            <w:tcW w:w="560" w:type="pct"/>
            <w:vAlign w:val="center"/>
          </w:tcPr>
          <w:p w14:paraId="6D0C01DB">
            <w:pPr>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default" w:ascii="Times New Roman" w:hAnsi="Times New Roman" w:eastAsia="宋体" w:cs="Times New Roman"/>
                <w:snapToGrid w:val="0"/>
                <w:color w:val="auto"/>
                <w:kern w:val="0"/>
                <w:sz w:val="21"/>
                <w:szCs w:val="21"/>
                <w:lang w:val="en-US" w:eastAsia="zh-CN" w:bidi="ar"/>
              </w:rPr>
            </w:pPr>
            <w:r>
              <w:rPr>
                <w:rFonts w:hint="eastAsia" w:ascii="宋体" w:hAnsi="宋体" w:eastAsia="宋体" w:cs="宋体"/>
                <w:sz w:val="21"/>
                <w:szCs w:val="21"/>
                <w:lang w:val="en-US" w:eastAsia="zh-CN"/>
              </w:rPr>
              <w:t>质量保证措施方案</w:t>
            </w:r>
          </w:p>
        </w:tc>
        <w:tc>
          <w:tcPr>
            <w:tcW w:w="3012" w:type="pct"/>
            <w:vAlign w:val="center"/>
          </w:tcPr>
          <w:p w14:paraId="0042A59B">
            <w:pPr>
              <w:keepNext w:val="0"/>
              <w:keepLines w:val="0"/>
              <w:pageBreakBefore w:val="0"/>
              <w:kinsoku/>
              <w:wordWrap/>
              <w:overflowPunct/>
              <w:topLinePunct w:val="0"/>
              <w:autoSpaceDE/>
              <w:autoSpaceDN/>
              <w:bidi w:val="0"/>
              <w:adjustRightInd/>
              <w:spacing w:line="360" w:lineRule="auto"/>
              <w:ind w:firstLine="0" w:firstLine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供应商针对于本项目制定相应的产品质量保证措施方案,包含但不限于以下几个方面：</w:t>
            </w:r>
          </w:p>
          <w:p w14:paraId="7E00239B">
            <w:pPr>
              <w:keepNext w:val="0"/>
              <w:keepLines w:val="0"/>
              <w:pageBreakBefore w:val="0"/>
              <w:kinsoku/>
              <w:wordWrap/>
              <w:overflowPunct/>
              <w:topLinePunct w:val="0"/>
              <w:autoSpaceDE/>
              <w:autoSpaceDN/>
              <w:bidi w:val="0"/>
              <w:adjustRightInd/>
              <w:spacing w:line="360" w:lineRule="auto"/>
              <w:ind w:firstLine="0" w:firstLine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1、质量保障措施；</w:t>
            </w:r>
          </w:p>
          <w:p w14:paraId="13643B05">
            <w:pPr>
              <w:keepNext w:val="0"/>
              <w:keepLines w:val="0"/>
              <w:pageBreakBefore w:val="0"/>
              <w:kinsoku/>
              <w:wordWrap/>
              <w:overflowPunct/>
              <w:topLinePunct w:val="0"/>
              <w:autoSpaceDE/>
              <w:autoSpaceDN/>
              <w:bidi w:val="0"/>
              <w:adjustRightInd/>
              <w:spacing w:line="360" w:lineRule="auto"/>
              <w:ind w:firstLine="0" w:firstLine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2、质量方针及目标；</w:t>
            </w:r>
          </w:p>
          <w:p w14:paraId="0A2C9D47">
            <w:pPr>
              <w:keepNext w:val="0"/>
              <w:keepLines w:val="0"/>
              <w:pageBreakBefore w:val="0"/>
              <w:kinsoku/>
              <w:wordWrap/>
              <w:overflowPunct/>
              <w:topLinePunct w:val="0"/>
              <w:autoSpaceDE/>
              <w:autoSpaceDN/>
              <w:bidi w:val="0"/>
              <w:adjustRightInd/>
              <w:spacing w:line="360" w:lineRule="auto"/>
              <w:ind w:firstLine="0" w:firstLine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3、质量标准及技术响应；</w:t>
            </w:r>
          </w:p>
          <w:p w14:paraId="6F9BEF63">
            <w:pPr>
              <w:keepNext w:val="0"/>
              <w:keepLines w:val="0"/>
              <w:pageBreakBefore w:val="0"/>
              <w:kinsoku/>
              <w:wordWrap/>
              <w:overflowPunct/>
              <w:topLinePunct w:val="0"/>
              <w:autoSpaceDE/>
              <w:autoSpaceDN/>
              <w:bidi w:val="0"/>
              <w:adjustRightInd/>
              <w:spacing w:line="360" w:lineRule="auto"/>
              <w:ind w:firstLine="0" w:firstLine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4、质量保证依据；</w:t>
            </w:r>
          </w:p>
          <w:p w14:paraId="265C6FF0">
            <w:pPr>
              <w:keepNext w:val="0"/>
              <w:keepLines w:val="0"/>
              <w:pageBreakBefore w:val="0"/>
              <w:kinsoku/>
              <w:wordWrap/>
              <w:overflowPunct/>
              <w:topLinePunct w:val="0"/>
              <w:autoSpaceDE/>
              <w:autoSpaceDN/>
              <w:bidi w:val="0"/>
              <w:adjustRightInd/>
              <w:spacing w:line="360" w:lineRule="auto"/>
              <w:ind w:firstLine="0" w:firstLine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5、质量保证原则， </w:t>
            </w:r>
          </w:p>
          <w:p w14:paraId="7294013B">
            <w:pPr>
              <w:keepNext w:val="0"/>
              <w:keepLines w:val="0"/>
              <w:pageBreakBefore w:val="0"/>
              <w:kinsoku/>
              <w:wordWrap/>
              <w:overflowPunct/>
              <w:topLinePunct w:val="0"/>
              <w:autoSpaceDE/>
              <w:autoSpaceDN/>
              <w:bidi w:val="0"/>
              <w:adjustRightInd/>
              <w:spacing w:line="360" w:lineRule="auto"/>
              <w:ind w:firstLine="0" w:firstLineChars="0"/>
              <w:textAlignment w:val="auto"/>
              <w:rPr>
                <w:rFonts w:hint="default" w:ascii="Times New Roman" w:hAnsi="Times New Roman" w:eastAsia="宋体" w:cs="Times New Roman"/>
                <w:snapToGrid w:val="0"/>
                <w:color w:val="auto"/>
                <w:kern w:val="0"/>
                <w:sz w:val="21"/>
                <w:szCs w:val="21"/>
                <w:lang w:val="en-US" w:eastAsia="zh-CN" w:bidi="ar"/>
              </w:rPr>
            </w:pPr>
            <w:r>
              <w:rPr>
                <w:rFonts w:hint="eastAsia" w:ascii="宋体" w:hAnsi="宋体" w:eastAsia="宋体" w:cs="宋体"/>
                <w:b w:val="0"/>
                <w:bCs w:val="0"/>
                <w:sz w:val="21"/>
                <w:szCs w:val="21"/>
                <w:lang w:val="en-US" w:eastAsia="zh-CN"/>
              </w:rPr>
              <w:t>以上五项方案每提供一小项内容适用于项目且无缺失的方案得2分，方案有缺失的得1分，满分10分，未提供的得0分。</w:t>
            </w:r>
          </w:p>
        </w:tc>
        <w:tc>
          <w:tcPr>
            <w:tcW w:w="455" w:type="pct"/>
            <w:vAlign w:val="center"/>
          </w:tcPr>
          <w:p w14:paraId="2AE406B6">
            <w:pPr>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default" w:ascii="宋体" w:hAnsi="宋体" w:eastAsia="宋体" w:cs="宋体"/>
                <w:sz w:val="21"/>
                <w:szCs w:val="21"/>
                <w:highlight w:val="none"/>
                <w:shd w:val="clear" w:color="auto" w:fill="FFFFFF"/>
                <w:lang w:val="en-US" w:eastAsia="zh-CN"/>
              </w:rPr>
            </w:pPr>
            <w:r>
              <w:rPr>
                <w:rFonts w:hint="eastAsia" w:ascii="宋体" w:hAnsi="宋体" w:eastAsia="宋体" w:cs="宋体"/>
                <w:sz w:val="21"/>
                <w:szCs w:val="21"/>
                <w:highlight w:val="none"/>
                <w:shd w:val="clear" w:color="auto" w:fill="FFFFFF"/>
                <w:lang w:val="en-US" w:eastAsia="zh-CN"/>
              </w:rPr>
              <w:t>10</w:t>
            </w:r>
          </w:p>
        </w:tc>
      </w:tr>
      <w:tr w14:paraId="5ECDE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533" w:type="pct"/>
            <w:vMerge w:val="continue"/>
            <w:vAlign w:val="center"/>
          </w:tcPr>
          <w:p w14:paraId="43351B92">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snapToGrid w:val="0"/>
                <w:color w:val="auto"/>
                <w:kern w:val="0"/>
                <w:sz w:val="21"/>
                <w:szCs w:val="21"/>
                <w:lang w:val="en-US" w:eastAsia="zh-CN" w:bidi="ar"/>
              </w:rPr>
            </w:pPr>
          </w:p>
        </w:tc>
        <w:tc>
          <w:tcPr>
            <w:tcW w:w="438" w:type="pct"/>
            <w:vMerge w:val="continue"/>
            <w:vAlign w:val="center"/>
          </w:tcPr>
          <w:p w14:paraId="7C67EDF6">
            <w:pPr>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default" w:ascii="Times New Roman" w:hAnsi="Times New Roman" w:eastAsia="宋体" w:cs="Times New Roman"/>
                <w:snapToGrid w:val="0"/>
                <w:color w:val="auto"/>
                <w:kern w:val="0"/>
                <w:sz w:val="21"/>
                <w:szCs w:val="21"/>
                <w:lang w:val="en-US" w:eastAsia="zh-CN" w:bidi="ar"/>
              </w:rPr>
            </w:pPr>
          </w:p>
        </w:tc>
        <w:tc>
          <w:tcPr>
            <w:tcW w:w="560" w:type="pct"/>
            <w:vAlign w:val="center"/>
          </w:tcPr>
          <w:p w14:paraId="10271E53">
            <w:pPr>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default" w:ascii="Times New Roman" w:hAnsi="Times New Roman" w:eastAsia="宋体" w:cs="Times New Roman"/>
                <w:snapToGrid w:val="0"/>
                <w:color w:val="auto"/>
                <w:kern w:val="0"/>
                <w:sz w:val="21"/>
                <w:szCs w:val="21"/>
                <w:lang w:val="en-US" w:eastAsia="zh-CN" w:bidi="ar"/>
              </w:rPr>
            </w:pPr>
            <w:r>
              <w:rPr>
                <w:rFonts w:hint="eastAsia" w:ascii="宋体" w:hAnsi="宋体" w:eastAsia="宋体" w:cs="宋体"/>
                <w:sz w:val="21"/>
                <w:szCs w:val="21"/>
                <w:lang w:val="en-US" w:eastAsia="zh-CN"/>
              </w:rPr>
              <w:t>安装实施方案</w:t>
            </w:r>
          </w:p>
        </w:tc>
        <w:tc>
          <w:tcPr>
            <w:tcW w:w="3012" w:type="pct"/>
            <w:vAlign w:val="center"/>
          </w:tcPr>
          <w:p w14:paraId="2FB61F3E">
            <w:pPr>
              <w:keepNext w:val="0"/>
              <w:keepLines w:val="0"/>
              <w:pageBreakBefore w:val="0"/>
              <w:kinsoku/>
              <w:wordWrap/>
              <w:overflowPunct/>
              <w:topLinePunct w:val="0"/>
              <w:autoSpaceDE/>
              <w:autoSpaceDN/>
              <w:bidi w:val="0"/>
              <w:adjustRightInd/>
              <w:spacing w:line="360" w:lineRule="auto"/>
              <w:ind w:firstLine="0" w:firstLine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供应商针对于本项目制定相应的产品安装实施方案,包含但不限于以下几个方面：</w:t>
            </w:r>
          </w:p>
          <w:p w14:paraId="0EA62E8E">
            <w:pPr>
              <w:keepNext w:val="0"/>
              <w:keepLines w:val="0"/>
              <w:pageBreakBefore w:val="0"/>
              <w:kinsoku/>
              <w:wordWrap/>
              <w:overflowPunct/>
              <w:topLinePunct w:val="0"/>
              <w:autoSpaceDE/>
              <w:autoSpaceDN/>
              <w:bidi w:val="0"/>
              <w:adjustRightInd/>
              <w:spacing w:line="360" w:lineRule="auto"/>
              <w:ind w:firstLine="0" w:firstLine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1、安装施工流程；</w:t>
            </w:r>
          </w:p>
          <w:p w14:paraId="34BF6638">
            <w:pPr>
              <w:keepNext w:val="0"/>
              <w:keepLines w:val="0"/>
              <w:pageBreakBefore w:val="0"/>
              <w:kinsoku/>
              <w:wordWrap/>
              <w:overflowPunct/>
              <w:topLinePunct w:val="0"/>
              <w:autoSpaceDE/>
              <w:autoSpaceDN/>
              <w:bidi w:val="0"/>
              <w:adjustRightInd/>
              <w:spacing w:line="360" w:lineRule="auto"/>
              <w:ind w:firstLine="0" w:firstLine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2、安装人员配置；</w:t>
            </w:r>
          </w:p>
          <w:p w14:paraId="0D7CE572">
            <w:pPr>
              <w:keepNext w:val="0"/>
              <w:keepLines w:val="0"/>
              <w:pageBreakBefore w:val="0"/>
              <w:kinsoku/>
              <w:wordWrap/>
              <w:overflowPunct/>
              <w:topLinePunct w:val="0"/>
              <w:autoSpaceDE/>
              <w:autoSpaceDN/>
              <w:bidi w:val="0"/>
              <w:adjustRightInd/>
              <w:spacing w:line="360" w:lineRule="auto"/>
              <w:ind w:firstLine="0" w:firstLine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3、安装应急预案；</w:t>
            </w:r>
          </w:p>
          <w:p w14:paraId="07618E6F">
            <w:pPr>
              <w:keepNext w:val="0"/>
              <w:keepLines w:val="0"/>
              <w:pageBreakBefore w:val="0"/>
              <w:kinsoku/>
              <w:wordWrap/>
              <w:overflowPunct/>
              <w:topLinePunct w:val="0"/>
              <w:autoSpaceDE/>
              <w:autoSpaceDN/>
              <w:bidi w:val="0"/>
              <w:adjustRightInd/>
              <w:spacing w:line="360" w:lineRule="auto"/>
              <w:ind w:firstLine="0" w:firstLine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4、工具设备清单；</w:t>
            </w:r>
          </w:p>
          <w:p w14:paraId="754EDD36">
            <w:pPr>
              <w:keepNext w:val="0"/>
              <w:keepLines w:val="0"/>
              <w:pageBreakBefore w:val="0"/>
              <w:kinsoku/>
              <w:wordWrap/>
              <w:overflowPunct/>
              <w:topLinePunct w:val="0"/>
              <w:autoSpaceDE/>
              <w:autoSpaceDN/>
              <w:bidi w:val="0"/>
              <w:adjustRightInd/>
              <w:spacing w:line="360" w:lineRule="auto"/>
              <w:ind w:firstLine="0" w:firstLineChars="0"/>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5、安全管理措施，</w:t>
            </w:r>
          </w:p>
          <w:p w14:paraId="7A42A042">
            <w:pPr>
              <w:keepNext w:val="0"/>
              <w:keepLines w:val="0"/>
              <w:pageBreakBefore w:val="0"/>
              <w:kinsoku/>
              <w:wordWrap/>
              <w:overflowPunct/>
              <w:topLinePunct w:val="0"/>
              <w:autoSpaceDE/>
              <w:autoSpaceDN/>
              <w:bidi w:val="0"/>
              <w:adjustRightInd/>
              <w:spacing w:line="360" w:lineRule="auto"/>
              <w:ind w:firstLine="0" w:firstLineChars="0"/>
              <w:textAlignment w:val="auto"/>
              <w:rPr>
                <w:rFonts w:hint="default" w:ascii="Times New Roman" w:hAnsi="Times New Roman" w:eastAsia="宋体" w:cs="Times New Roman"/>
                <w:snapToGrid w:val="0"/>
                <w:color w:val="auto"/>
                <w:kern w:val="0"/>
                <w:sz w:val="21"/>
                <w:szCs w:val="21"/>
                <w:lang w:val="en-US" w:eastAsia="zh-CN" w:bidi="ar"/>
              </w:rPr>
            </w:pPr>
            <w:r>
              <w:rPr>
                <w:rFonts w:hint="eastAsia" w:ascii="宋体" w:hAnsi="宋体" w:eastAsia="宋体" w:cs="宋体"/>
                <w:b w:val="0"/>
                <w:bCs w:val="0"/>
                <w:sz w:val="21"/>
                <w:szCs w:val="21"/>
                <w:lang w:val="en-US" w:eastAsia="zh-CN"/>
              </w:rPr>
              <w:t>以上五项方案每提供一小项内容适用于项目且无缺失的方案得2分，方案有缺失的得1分，满分10分，未提供的得0分。</w:t>
            </w:r>
          </w:p>
        </w:tc>
        <w:tc>
          <w:tcPr>
            <w:tcW w:w="455" w:type="pct"/>
            <w:vAlign w:val="center"/>
          </w:tcPr>
          <w:p w14:paraId="223B6B45">
            <w:pPr>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default" w:ascii="宋体" w:hAnsi="宋体" w:eastAsia="宋体" w:cs="宋体"/>
                <w:sz w:val="21"/>
                <w:szCs w:val="21"/>
                <w:highlight w:val="none"/>
                <w:shd w:val="clear" w:color="auto" w:fill="FFFFFF"/>
                <w:lang w:val="en-US" w:eastAsia="zh-CN"/>
              </w:rPr>
            </w:pPr>
            <w:r>
              <w:rPr>
                <w:rFonts w:hint="eastAsia" w:ascii="宋体" w:hAnsi="宋体" w:eastAsia="宋体" w:cs="宋体"/>
                <w:sz w:val="21"/>
                <w:szCs w:val="21"/>
                <w:highlight w:val="none"/>
                <w:shd w:val="clear" w:color="auto" w:fill="FFFFFF"/>
                <w:lang w:val="en-US" w:eastAsia="zh-CN"/>
              </w:rPr>
              <w:t>10</w:t>
            </w:r>
          </w:p>
        </w:tc>
      </w:tr>
      <w:tr w14:paraId="54FA9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533" w:type="pct"/>
            <w:vMerge w:val="continue"/>
            <w:vAlign w:val="center"/>
          </w:tcPr>
          <w:p w14:paraId="4DEC97CD">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snapToGrid w:val="0"/>
                <w:color w:val="auto"/>
                <w:kern w:val="0"/>
                <w:sz w:val="21"/>
                <w:szCs w:val="21"/>
                <w:lang w:val="en-US" w:eastAsia="zh-CN" w:bidi="ar"/>
              </w:rPr>
            </w:pPr>
          </w:p>
        </w:tc>
        <w:tc>
          <w:tcPr>
            <w:tcW w:w="438" w:type="pct"/>
            <w:vMerge w:val="continue"/>
            <w:vAlign w:val="center"/>
          </w:tcPr>
          <w:p w14:paraId="0677E5D2">
            <w:pPr>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default" w:ascii="Times New Roman" w:hAnsi="Times New Roman" w:eastAsia="宋体" w:cs="Times New Roman"/>
                <w:snapToGrid w:val="0"/>
                <w:color w:val="auto"/>
                <w:kern w:val="0"/>
                <w:sz w:val="21"/>
                <w:szCs w:val="21"/>
                <w:lang w:val="en-US" w:eastAsia="zh-CN" w:bidi="ar"/>
              </w:rPr>
            </w:pPr>
          </w:p>
        </w:tc>
        <w:tc>
          <w:tcPr>
            <w:tcW w:w="560" w:type="pct"/>
            <w:vAlign w:val="center"/>
          </w:tcPr>
          <w:p w14:paraId="4DD2CEB4">
            <w:pPr>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default" w:ascii="Times New Roman" w:hAnsi="Times New Roman" w:eastAsia="宋体" w:cs="Times New Roman"/>
                <w:snapToGrid w:val="0"/>
                <w:color w:val="auto"/>
                <w:kern w:val="0"/>
                <w:sz w:val="21"/>
                <w:szCs w:val="21"/>
                <w:lang w:val="en-US" w:eastAsia="zh-CN" w:bidi="ar"/>
              </w:rPr>
            </w:pPr>
            <w:r>
              <w:rPr>
                <w:rFonts w:hint="eastAsia" w:ascii="宋体" w:hAnsi="宋体" w:eastAsia="宋体" w:cs="宋体"/>
                <w:sz w:val="21"/>
                <w:szCs w:val="21"/>
                <w:lang w:val="en-US" w:eastAsia="zh-CN"/>
              </w:rPr>
              <w:t>设备调试方案</w:t>
            </w:r>
          </w:p>
        </w:tc>
        <w:tc>
          <w:tcPr>
            <w:tcW w:w="3012" w:type="pct"/>
            <w:vAlign w:val="center"/>
          </w:tcPr>
          <w:p w14:paraId="6F7D0830">
            <w:pPr>
              <w:keepNext w:val="0"/>
              <w:keepLines w:val="0"/>
              <w:pageBreakBefore w:val="0"/>
              <w:kinsoku/>
              <w:wordWrap/>
              <w:overflowPunct/>
              <w:topLinePunct w:val="0"/>
              <w:autoSpaceDE/>
              <w:autoSpaceDN/>
              <w:bidi w:val="0"/>
              <w:adjustRightInd/>
              <w:spacing w:line="360" w:lineRule="auto"/>
              <w:ind w:firstLine="0" w:firstLine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供应商针对于本项目制定相应的产品设备调试方案,包含但不限于以下几个方面：</w:t>
            </w:r>
          </w:p>
          <w:p w14:paraId="0744E52F">
            <w:pPr>
              <w:keepNext w:val="0"/>
              <w:keepLines w:val="0"/>
              <w:pageBreakBefore w:val="0"/>
              <w:kinsoku/>
              <w:wordWrap/>
              <w:overflowPunct/>
              <w:topLinePunct w:val="0"/>
              <w:autoSpaceDE/>
              <w:autoSpaceDN/>
              <w:bidi w:val="0"/>
              <w:adjustRightInd/>
              <w:spacing w:line="360" w:lineRule="auto"/>
              <w:ind w:firstLine="0" w:firstLine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1、调试准备方案；</w:t>
            </w:r>
          </w:p>
          <w:p w14:paraId="091A4077">
            <w:pPr>
              <w:keepNext w:val="0"/>
              <w:keepLines w:val="0"/>
              <w:pageBreakBefore w:val="0"/>
              <w:kinsoku/>
              <w:wordWrap/>
              <w:overflowPunct/>
              <w:topLinePunct w:val="0"/>
              <w:autoSpaceDE/>
              <w:autoSpaceDN/>
              <w:bidi w:val="0"/>
              <w:adjustRightInd/>
              <w:spacing w:line="360" w:lineRule="auto"/>
              <w:ind w:firstLine="0" w:firstLine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2、调试流程与步骤；</w:t>
            </w:r>
          </w:p>
          <w:p w14:paraId="1C9AE1A2">
            <w:pPr>
              <w:keepNext w:val="0"/>
              <w:keepLines w:val="0"/>
              <w:pageBreakBefore w:val="0"/>
              <w:kinsoku/>
              <w:wordWrap/>
              <w:overflowPunct/>
              <w:topLinePunct w:val="0"/>
              <w:autoSpaceDE/>
              <w:autoSpaceDN/>
              <w:bidi w:val="0"/>
              <w:adjustRightInd/>
              <w:spacing w:line="360" w:lineRule="auto"/>
              <w:ind w:firstLine="0" w:firstLine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3、调试测试内容；</w:t>
            </w:r>
          </w:p>
          <w:p w14:paraId="0C92402A">
            <w:pPr>
              <w:keepNext w:val="0"/>
              <w:keepLines w:val="0"/>
              <w:pageBreakBefore w:val="0"/>
              <w:kinsoku/>
              <w:wordWrap/>
              <w:overflowPunct/>
              <w:topLinePunct w:val="0"/>
              <w:autoSpaceDE/>
              <w:autoSpaceDN/>
              <w:bidi w:val="0"/>
              <w:adjustRightInd/>
              <w:spacing w:line="360" w:lineRule="auto"/>
              <w:ind w:firstLine="0" w:firstLine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4、调试问题处理措施；</w:t>
            </w:r>
          </w:p>
          <w:p w14:paraId="601F26BA">
            <w:pPr>
              <w:keepNext w:val="0"/>
              <w:keepLines w:val="0"/>
              <w:pageBreakBefore w:val="0"/>
              <w:kinsoku/>
              <w:wordWrap/>
              <w:overflowPunct/>
              <w:topLinePunct w:val="0"/>
              <w:autoSpaceDE/>
              <w:autoSpaceDN/>
              <w:bidi w:val="0"/>
              <w:adjustRightInd/>
              <w:spacing w:line="360" w:lineRule="auto"/>
              <w:ind w:firstLine="0" w:firstLineChars="0"/>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5、调试后验收衔接方案，</w:t>
            </w:r>
          </w:p>
          <w:p w14:paraId="7C0BBABB">
            <w:pPr>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default" w:ascii="Times New Roman" w:hAnsi="Times New Roman" w:eastAsia="宋体" w:cs="Times New Roman"/>
                <w:snapToGrid w:val="0"/>
                <w:color w:val="auto"/>
                <w:kern w:val="0"/>
                <w:sz w:val="21"/>
                <w:szCs w:val="21"/>
                <w:lang w:val="en-US" w:eastAsia="zh-CN" w:bidi="ar"/>
              </w:rPr>
            </w:pPr>
            <w:r>
              <w:rPr>
                <w:rFonts w:hint="eastAsia" w:ascii="宋体" w:hAnsi="宋体" w:eastAsia="宋体" w:cs="宋体"/>
                <w:b w:val="0"/>
                <w:bCs w:val="0"/>
                <w:sz w:val="21"/>
                <w:szCs w:val="21"/>
                <w:lang w:val="en-US" w:eastAsia="zh-CN"/>
              </w:rPr>
              <w:t>以上五项方案每提供一小项内容适用于项目且无缺失的方案得1分，方案有缺失的得0.5分，满分5分，未提供的得0分。</w:t>
            </w:r>
          </w:p>
        </w:tc>
        <w:tc>
          <w:tcPr>
            <w:tcW w:w="455" w:type="pct"/>
            <w:vAlign w:val="center"/>
          </w:tcPr>
          <w:p w14:paraId="6C5A20A4">
            <w:pPr>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default" w:ascii="宋体" w:hAnsi="宋体" w:eastAsia="宋体" w:cs="宋体"/>
                <w:sz w:val="21"/>
                <w:szCs w:val="21"/>
                <w:highlight w:val="none"/>
                <w:shd w:val="clear" w:color="auto" w:fill="FFFFFF"/>
                <w:lang w:val="en-US" w:eastAsia="zh-CN"/>
              </w:rPr>
            </w:pPr>
            <w:r>
              <w:rPr>
                <w:rFonts w:hint="eastAsia" w:ascii="宋体" w:hAnsi="宋体" w:eastAsia="宋体" w:cs="宋体"/>
                <w:sz w:val="21"/>
                <w:szCs w:val="21"/>
                <w:highlight w:val="none"/>
                <w:shd w:val="clear" w:color="auto" w:fill="FFFFFF"/>
                <w:lang w:val="en-US" w:eastAsia="zh-CN"/>
              </w:rPr>
              <w:t>5</w:t>
            </w:r>
          </w:p>
        </w:tc>
      </w:tr>
      <w:tr w14:paraId="3D591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533" w:type="pct"/>
            <w:vMerge w:val="continue"/>
            <w:vAlign w:val="center"/>
          </w:tcPr>
          <w:p w14:paraId="2639F7F3">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default" w:ascii="宋体" w:hAnsi="宋体" w:eastAsia="宋体" w:cs="宋体"/>
                <w:sz w:val="21"/>
                <w:szCs w:val="21"/>
                <w:highlight w:val="none"/>
                <w:lang w:val="en-US" w:eastAsia="zh-CN"/>
              </w:rPr>
            </w:pPr>
          </w:p>
        </w:tc>
        <w:tc>
          <w:tcPr>
            <w:tcW w:w="438" w:type="pct"/>
            <w:vMerge w:val="continue"/>
            <w:vAlign w:val="center"/>
          </w:tcPr>
          <w:p w14:paraId="037E7D3C">
            <w:pPr>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default" w:eastAsia="宋体"/>
                <w:sz w:val="21"/>
                <w:szCs w:val="21"/>
                <w:lang w:val="en-US" w:eastAsia="zh-CN"/>
              </w:rPr>
            </w:pPr>
          </w:p>
        </w:tc>
        <w:tc>
          <w:tcPr>
            <w:tcW w:w="560" w:type="pct"/>
            <w:vAlign w:val="center"/>
          </w:tcPr>
          <w:p w14:paraId="1ABB46FB">
            <w:pPr>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default" w:ascii="宋体" w:hAnsi="宋体" w:eastAsia="宋体" w:cs="宋体"/>
                <w:sz w:val="21"/>
                <w:szCs w:val="21"/>
                <w:lang w:val="en-US" w:eastAsia="zh-CN"/>
              </w:rPr>
            </w:pPr>
            <w:r>
              <w:rPr>
                <w:rFonts w:hint="eastAsia" w:ascii="宋体" w:hAnsi="宋体" w:eastAsia="宋体" w:cs="宋体"/>
                <w:b w:val="0"/>
                <w:bCs w:val="0"/>
                <w:sz w:val="21"/>
                <w:szCs w:val="21"/>
                <w:lang w:val="en-US" w:eastAsia="zh-CN"/>
              </w:rPr>
              <w:t>售后服务方案</w:t>
            </w:r>
          </w:p>
        </w:tc>
        <w:tc>
          <w:tcPr>
            <w:tcW w:w="3012" w:type="pct"/>
            <w:vAlign w:val="center"/>
          </w:tcPr>
          <w:p w14:paraId="7505B8C3">
            <w:pPr>
              <w:keepNext w:val="0"/>
              <w:keepLines w:val="0"/>
              <w:pageBreakBefore w:val="0"/>
              <w:kinsoku/>
              <w:wordWrap/>
              <w:overflowPunct/>
              <w:topLinePunct w:val="0"/>
              <w:autoSpaceDE/>
              <w:autoSpaceDN/>
              <w:bidi w:val="0"/>
              <w:adjustRightInd/>
              <w:spacing w:line="360" w:lineRule="auto"/>
              <w:ind w:firstLine="0" w:firstLine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供应商针对于本项目编制切实可行的售后服务方案，包含但不限于以下几个方面：</w:t>
            </w:r>
          </w:p>
          <w:p w14:paraId="6DAE8CD9">
            <w:pPr>
              <w:keepNext w:val="0"/>
              <w:keepLines w:val="0"/>
              <w:pageBreakBefore w:val="0"/>
              <w:kinsoku/>
              <w:wordWrap/>
              <w:overflowPunct/>
              <w:topLinePunct w:val="0"/>
              <w:autoSpaceDE/>
              <w:autoSpaceDN/>
              <w:bidi w:val="0"/>
              <w:adjustRightInd/>
              <w:spacing w:line="360" w:lineRule="auto"/>
              <w:ind w:firstLine="0" w:firstLine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1、响应机制；</w:t>
            </w:r>
          </w:p>
          <w:p w14:paraId="73AB9A49">
            <w:pPr>
              <w:keepNext w:val="0"/>
              <w:keepLines w:val="0"/>
              <w:pageBreakBefore w:val="0"/>
              <w:kinsoku/>
              <w:wordWrap/>
              <w:overflowPunct/>
              <w:topLinePunct w:val="0"/>
              <w:autoSpaceDE/>
              <w:autoSpaceDN/>
              <w:bidi w:val="0"/>
              <w:adjustRightInd/>
              <w:spacing w:line="360" w:lineRule="auto"/>
              <w:ind w:firstLine="0" w:firstLine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2、售后服务流程；</w:t>
            </w:r>
          </w:p>
          <w:p w14:paraId="79A4D56B">
            <w:pPr>
              <w:keepNext w:val="0"/>
              <w:keepLines w:val="0"/>
              <w:pageBreakBefore w:val="0"/>
              <w:kinsoku/>
              <w:wordWrap/>
              <w:overflowPunct/>
              <w:topLinePunct w:val="0"/>
              <w:autoSpaceDE/>
              <w:autoSpaceDN/>
              <w:bidi w:val="0"/>
              <w:adjustRightInd/>
              <w:spacing w:line="360" w:lineRule="auto"/>
              <w:ind w:firstLine="0" w:firstLine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3、售后服务保障措施；</w:t>
            </w:r>
          </w:p>
          <w:p w14:paraId="72CDA751">
            <w:pPr>
              <w:keepNext w:val="0"/>
              <w:keepLines w:val="0"/>
              <w:pageBreakBefore w:val="0"/>
              <w:kinsoku/>
              <w:wordWrap/>
              <w:overflowPunct/>
              <w:topLinePunct w:val="0"/>
              <w:autoSpaceDE/>
              <w:autoSpaceDN/>
              <w:bidi w:val="0"/>
              <w:adjustRightInd/>
              <w:spacing w:line="360" w:lineRule="auto"/>
              <w:ind w:firstLine="0" w:firstLine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4、应急保障措施；</w:t>
            </w:r>
          </w:p>
          <w:p w14:paraId="147B0987">
            <w:pPr>
              <w:keepNext w:val="0"/>
              <w:keepLines w:val="0"/>
              <w:pageBreakBefore w:val="0"/>
              <w:kinsoku/>
              <w:wordWrap/>
              <w:overflowPunct/>
              <w:topLinePunct w:val="0"/>
              <w:autoSpaceDE/>
              <w:autoSpaceDN/>
              <w:bidi w:val="0"/>
              <w:adjustRightInd/>
              <w:spacing w:line="360" w:lineRule="auto"/>
              <w:ind w:firstLine="0" w:firstLine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5、培训方案。</w:t>
            </w:r>
          </w:p>
          <w:p w14:paraId="17A6FED6">
            <w:pPr>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sz w:val="21"/>
                <w:szCs w:val="21"/>
                <w:lang w:val="en-US" w:eastAsia="zh-CN"/>
              </w:rPr>
            </w:pPr>
            <w:r>
              <w:rPr>
                <w:rFonts w:hint="eastAsia" w:ascii="宋体" w:hAnsi="宋体" w:eastAsia="宋体" w:cs="宋体"/>
                <w:b w:val="0"/>
                <w:bCs w:val="0"/>
                <w:sz w:val="21"/>
                <w:szCs w:val="21"/>
                <w:lang w:val="en-US" w:eastAsia="zh-CN"/>
              </w:rPr>
              <w:t>以上五项方案每提供一小项内容适用于项目且无缺失的方案得1分，方案有缺失的得0.5分，满分5分，未提供的得0分。</w:t>
            </w:r>
          </w:p>
        </w:tc>
        <w:tc>
          <w:tcPr>
            <w:tcW w:w="455" w:type="pct"/>
            <w:vAlign w:val="center"/>
          </w:tcPr>
          <w:p w14:paraId="14CAF4FB">
            <w:pPr>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default" w:ascii="宋体" w:hAnsi="宋体" w:eastAsia="宋体" w:cs="宋体"/>
                <w:sz w:val="21"/>
                <w:szCs w:val="21"/>
                <w:highlight w:val="none"/>
                <w:shd w:val="clear" w:color="auto" w:fill="FFFFFF"/>
                <w:lang w:val="en-US" w:eastAsia="zh-CN"/>
              </w:rPr>
            </w:pPr>
            <w:r>
              <w:rPr>
                <w:rFonts w:hint="eastAsia" w:ascii="宋体" w:hAnsi="宋体" w:eastAsia="宋体" w:cs="宋体"/>
                <w:sz w:val="21"/>
                <w:szCs w:val="21"/>
                <w:highlight w:val="none"/>
                <w:shd w:val="clear" w:color="auto" w:fill="FFFFFF"/>
                <w:lang w:val="en-US" w:eastAsia="zh-CN"/>
              </w:rPr>
              <w:t>5</w:t>
            </w:r>
          </w:p>
        </w:tc>
      </w:tr>
    </w:tbl>
    <w:p w14:paraId="738C52AA">
      <w:pPr>
        <w:rPr>
          <w:rFonts w:hint="eastAsia" w:ascii="宋体" w:hAnsi="宋体" w:eastAsia="宋体" w:cs="宋体"/>
          <w:b/>
          <w:highlight w:val="none"/>
        </w:rPr>
      </w:pPr>
      <w:r>
        <w:rPr>
          <w:rFonts w:hint="eastAsia" w:ascii="宋体" w:hAnsi="宋体" w:eastAsia="宋体" w:cs="宋体"/>
          <w:b/>
          <w:highlight w:val="none"/>
        </w:rPr>
        <w:br w:type="page"/>
      </w:r>
    </w:p>
    <w:p w14:paraId="34BE25D2">
      <w:pPr>
        <w:rPr>
          <w:rFonts w:hint="eastAsia" w:ascii="宋体" w:hAnsi="宋体" w:eastAsia="宋体" w:cs="宋体"/>
          <w:b/>
          <w:highlight w:val="none"/>
        </w:rPr>
      </w:pPr>
    </w:p>
    <w:p w14:paraId="29A667DF">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ascii="宋体" w:hAnsi="宋体"/>
          <w:b/>
          <w:highlight w:val="none"/>
        </w:rPr>
      </w:pPr>
      <w:r>
        <w:rPr>
          <w:rFonts w:hint="eastAsia" w:ascii="宋体" w:hAnsi="宋体" w:eastAsia="宋体" w:cs="宋体"/>
          <w:b/>
          <w:highlight w:val="none"/>
        </w:rPr>
        <w:t xml:space="preserve">1.评标方法 </w:t>
      </w:r>
    </w:p>
    <w:p w14:paraId="70CBF646">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ascii="宋体" w:hAnsi="宋体" w:cs="宋体"/>
          <w:highlight w:val="none"/>
        </w:rPr>
      </w:pPr>
      <w:r>
        <w:rPr>
          <w:rFonts w:hint="eastAsia" w:ascii="宋体" w:hAnsi="宋体" w:cs="宋体"/>
          <w:highlight w:val="none"/>
        </w:rPr>
        <w:t>本次评标采用综合评分法。评标委员会对满足招标文件实质性要求的投标文件，按照本章第2.2 款规定的评分标准进行打分，并按得分由高到低顺序推荐中标候选人，或根据</w:t>
      </w:r>
      <w:r>
        <w:rPr>
          <w:rFonts w:hint="eastAsia" w:ascii="宋体" w:hAnsi="宋体" w:cs="宋体"/>
          <w:highlight w:val="none"/>
          <w:lang w:eastAsia="zh-CN"/>
        </w:rPr>
        <w:t>采购人</w:t>
      </w:r>
      <w:r>
        <w:rPr>
          <w:rFonts w:hint="eastAsia" w:ascii="宋体" w:hAnsi="宋体" w:cs="宋体"/>
          <w:highlight w:val="none"/>
        </w:rPr>
        <w:t xml:space="preserve">授权直接确定中标人，但投标报价低于其成本的除外。综合评分相等时，以投标报价低的优先；投标报价也相等的，以技术部分得分高的优先；如果技术部分得分也相等，按照评标办法前附表的规定确定中标候选人顺序。 </w:t>
      </w:r>
    </w:p>
    <w:p w14:paraId="4AA50E16">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ascii="宋体" w:hAnsi="宋体"/>
          <w:b/>
          <w:highlight w:val="none"/>
        </w:rPr>
      </w:pPr>
      <w:r>
        <w:rPr>
          <w:rFonts w:ascii="宋体" w:hAnsi="宋体"/>
          <w:b/>
          <w:highlight w:val="none"/>
        </w:rPr>
        <w:t xml:space="preserve">2.评审标准 </w:t>
      </w:r>
    </w:p>
    <w:p w14:paraId="651D554C">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ascii="宋体" w:hAnsi="宋体"/>
          <w:b/>
          <w:highlight w:val="none"/>
        </w:rPr>
      </w:pPr>
      <w:r>
        <w:rPr>
          <w:rFonts w:ascii="宋体" w:hAnsi="宋体"/>
          <w:b/>
          <w:highlight w:val="none"/>
        </w:rPr>
        <w:t xml:space="preserve">2.1  初步评审标准 </w:t>
      </w:r>
    </w:p>
    <w:p w14:paraId="323B24BE">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ascii="宋体" w:hAnsi="宋体"/>
          <w:highlight w:val="none"/>
        </w:rPr>
      </w:pPr>
      <w:r>
        <w:rPr>
          <w:rFonts w:ascii="宋体" w:hAnsi="宋体"/>
          <w:highlight w:val="none"/>
        </w:rPr>
        <w:t xml:space="preserve">2.1.1 形式评审标准：见评标办法前附表。 </w:t>
      </w:r>
    </w:p>
    <w:p w14:paraId="3AC1EC3E">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ascii="宋体" w:hAnsi="宋体"/>
          <w:highlight w:val="none"/>
        </w:rPr>
      </w:pPr>
      <w:r>
        <w:rPr>
          <w:rFonts w:ascii="宋体" w:hAnsi="宋体"/>
          <w:highlight w:val="none"/>
        </w:rPr>
        <w:t xml:space="preserve">   </w:t>
      </w:r>
      <w:r>
        <w:rPr>
          <w:rFonts w:hint="eastAsia" w:ascii="宋体" w:hAnsi="宋体"/>
          <w:highlight w:val="none"/>
        </w:rPr>
        <w:t xml:space="preserve"> </w:t>
      </w:r>
      <w:r>
        <w:rPr>
          <w:rFonts w:ascii="宋体" w:hAnsi="宋体"/>
          <w:highlight w:val="none"/>
        </w:rPr>
        <w:t xml:space="preserve">2.1.2 资格评审标准：见评标办法前附表。 </w:t>
      </w:r>
    </w:p>
    <w:p w14:paraId="3D75C07A">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ascii="宋体" w:hAnsi="宋体"/>
          <w:highlight w:val="none"/>
        </w:rPr>
      </w:pPr>
      <w:r>
        <w:rPr>
          <w:rFonts w:ascii="宋体" w:hAnsi="宋体"/>
          <w:highlight w:val="none"/>
        </w:rPr>
        <w:t xml:space="preserve">   </w:t>
      </w:r>
      <w:r>
        <w:rPr>
          <w:rFonts w:hint="eastAsia" w:ascii="宋体" w:hAnsi="宋体"/>
          <w:highlight w:val="none"/>
        </w:rPr>
        <w:t xml:space="preserve"> </w:t>
      </w:r>
      <w:r>
        <w:rPr>
          <w:rFonts w:ascii="宋体" w:hAnsi="宋体"/>
          <w:highlight w:val="none"/>
        </w:rPr>
        <w:t xml:space="preserve">2.1.3 响应性评审标准：见评标办法前附表。 </w:t>
      </w:r>
    </w:p>
    <w:p w14:paraId="7FBF2135">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ascii="宋体" w:hAnsi="宋体"/>
          <w:highlight w:val="none"/>
        </w:rPr>
      </w:pPr>
      <w:r>
        <w:rPr>
          <w:rFonts w:ascii="宋体" w:hAnsi="宋体"/>
          <w:highlight w:val="none"/>
        </w:rPr>
        <w:t xml:space="preserve"> </w:t>
      </w:r>
      <w:r>
        <w:rPr>
          <w:rFonts w:ascii="宋体" w:hAnsi="宋体"/>
          <w:b/>
          <w:highlight w:val="none"/>
        </w:rPr>
        <w:t xml:space="preserve">2.2  分值构成与评分标准 </w:t>
      </w:r>
    </w:p>
    <w:p w14:paraId="48F511AD">
      <w:pPr>
        <w:keepNext w:val="0"/>
        <w:keepLines w:val="0"/>
        <w:pageBreakBefore w:val="0"/>
        <w:widowControl w:val="0"/>
        <w:kinsoku/>
        <w:wordWrap/>
        <w:overflowPunct/>
        <w:topLinePunct w:val="0"/>
        <w:autoSpaceDE w:val="0"/>
        <w:autoSpaceDN w:val="0"/>
        <w:bidi w:val="0"/>
        <w:adjustRightInd w:val="0"/>
        <w:snapToGrid/>
        <w:spacing w:line="360" w:lineRule="auto"/>
        <w:ind w:firstLine="420"/>
        <w:jc w:val="left"/>
        <w:textAlignment w:val="auto"/>
        <w:rPr>
          <w:rFonts w:ascii="宋体" w:hAnsi="宋体"/>
          <w:highlight w:val="none"/>
        </w:rPr>
      </w:pPr>
      <w:r>
        <w:rPr>
          <w:rFonts w:ascii="宋体" w:hAnsi="宋体"/>
          <w:highlight w:val="none"/>
        </w:rPr>
        <w:t xml:space="preserve">2.2.1 分值构成 </w:t>
      </w:r>
    </w:p>
    <w:p w14:paraId="1C82D06C">
      <w:pPr>
        <w:keepNext w:val="0"/>
        <w:keepLines w:val="0"/>
        <w:pageBreakBefore w:val="0"/>
        <w:widowControl w:val="0"/>
        <w:kinsoku/>
        <w:wordWrap/>
        <w:overflowPunct/>
        <w:topLinePunct w:val="0"/>
        <w:autoSpaceDE w:val="0"/>
        <w:autoSpaceDN w:val="0"/>
        <w:bidi w:val="0"/>
        <w:adjustRightInd w:val="0"/>
        <w:snapToGrid/>
        <w:spacing w:line="360" w:lineRule="auto"/>
        <w:ind w:firstLine="420"/>
        <w:jc w:val="left"/>
        <w:textAlignment w:val="auto"/>
        <w:rPr>
          <w:rFonts w:ascii="宋体" w:hAnsi="宋体"/>
          <w:highlight w:val="none"/>
        </w:rPr>
      </w:pPr>
      <w:r>
        <w:rPr>
          <w:rFonts w:ascii="宋体" w:hAnsi="宋体"/>
          <w:highlight w:val="none"/>
        </w:rPr>
        <w:t>（1）</w:t>
      </w:r>
      <w:r>
        <w:rPr>
          <w:rFonts w:hint="eastAsia" w:ascii="宋体" w:hAnsi="宋体"/>
          <w:highlight w:val="none"/>
        </w:rPr>
        <w:t>技术</w:t>
      </w:r>
      <w:r>
        <w:rPr>
          <w:rFonts w:ascii="宋体" w:hAnsi="宋体"/>
          <w:highlight w:val="none"/>
        </w:rPr>
        <w:t xml:space="preserve">部分：见评标办法前附表； </w:t>
      </w:r>
    </w:p>
    <w:p w14:paraId="72F2C272">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ascii="宋体" w:hAnsi="宋体"/>
          <w:highlight w:val="none"/>
        </w:rPr>
      </w:pPr>
      <w:r>
        <w:rPr>
          <w:rFonts w:ascii="宋体" w:hAnsi="宋体"/>
          <w:highlight w:val="none"/>
        </w:rPr>
        <w:t xml:space="preserve">    （</w:t>
      </w:r>
      <w:r>
        <w:rPr>
          <w:rFonts w:hint="eastAsia" w:ascii="宋体" w:hAnsi="宋体"/>
          <w:highlight w:val="none"/>
        </w:rPr>
        <w:t>2</w:t>
      </w:r>
      <w:r>
        <w:rPr>
          <w:rFonts w:ascii="宋体" w:hAnsi="宋体"/>
          <w:highlight w:val="none"/>
        </w:rPr>
        <w:t xml:space="preserve">）投标报价：见评标办法前附表； </w:t>
      </w:r>
    </w:p>
    <w:p w14:paraId="63109B93">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ascii="宋体" w:hAnsi="宋体"/>
          <w:highlight w:val="none"/>
        </w:rPr>
      </w:pPr>
      <w:r>
        <w:rPr>
          <w:rFonts w:ascii="宋体" w:hAnsi="宋体"/>
          <w:highlight w:val="none"/>
        </w:rPr>
        <w:t xml:space="preserve">    （</w:t>
      </w:r>
      <w:r>
        <w:rPr>
          <w:rFonts w:hint="eastAsia" w:ascii="宋体" w:hAnsi="宋体"/>
          <w:highlight w:val="none"/>
        </w:rPr>
        <w:t>3</w:t>
      </w:r>
      <w:r>
        <w:rPr>
          <w:rFonts w:ascii="宋体" w:hAnsi="宋体"/>
          <w:highlight w:val="none"/>
        </w:rPr>
        <w:t>）</w:t>
      </w:r>
      <w:r>
        <w:rPr>
          <w:rFonts w:hint="eastAsia" w:ascii="宋体" w:hAnsi="宋体"/>
          <w:highlight w:val="none"/>
        </w:rPr>
        <w:t>商务部分</w:t>
      </w:r>
      <w:r>
        <w:rPr>
          <w:rFonts w:ascii="宋体" w:hAnsi="宋体"/>
          <w:highlight w:val="none"/>
        </w:rPr>
        <w:t xml:space="preserve">：见评标办法前附表。 </w:t>
      </w:r>
    </w:p>
    <w:p w14:paraId="202DBA63">
      <w:pPr>
        <w:keepNext w:val="0"/>
        <w:keepLines w:val="0"/>
        <w:pageBreakBefore w:val="0"/>
        <w:widowControl w:val="0"/>
        <w:kinsoku/>
        <w:wordWrap/>
        <w:overflowPunct/>
        <w:topLinePunct w:val="0"/>
        <w:autoSpaceDE w:val="0"/>
        <w:autoSpaceDN w:val="0"/>
        <w:bidi w:val="0"/>
        <w:adjustRightInd w:val="0"/>
        <w:snapToGrid/>
        <w:spacing w:line="360" w:lineRule="auto"/>
        <w:ind w:firstLine="420"/>
        <w:jc w:val="left"/>
        <w:textAlignment w:val="auto"/>
        <w:rPr>
          <w:rFonts w:ascii="宋体" w:hAnsi="宋体"/>
          <w:highlight w:val="none"/>
        </w:rPr>
      </w:pPr>
      <w:r>
        <w:rPr>
          <w:rFonts w:ascii="宋体" w:hAnsi="宋体"/>
          <w:highlight w:val="none"/>
        </w:rPr>
        <w:t xml:space="preserve">2.2.2 评标基准价计算 </w:t>
      </w:r>
    </w:p>
    <w:p w14:paraId="38096817">
      <w:pPr>
        <w:keepNext w:val="0"/>
        <w:keepLines w:val="0"/>
        <w:pageBreakBefore w:val="0"/>
        <w:widowControl w:val="0"/>
        <w:kinsoku/>
        <w:wordWrap/>
        <w:overflowPunct/>
        <w:topLinePunct w:val="0"/>
        <w:autoSpaceDE w:val="0"/>
        <w:autoSpaceDN w:val="0"/>
        <w:bidi w:val="0"/>
        <w:adjustRightInd w:val="0"/>
        <w:snapToGrid/>
        <w:spacing w:line="360" w:lineRule="auto"/>
        <w:ind w:firstLine="420"/>
        <w:jc w:val="left"/>
        <w:textAlignment w:val="auto"/>
        <w:rPr>
          <w:rFonts w:ascii="宋体" w:hAnsi="宋体"/>
          <w:highlight w:val="none"/>
        </w:rPr>
      </w:pPr>
      <w:r>
        <w:rPr>
          <w:rFonts w:ascii="宋体" w:hAnsi="宋体"/>
          <w:highlight w:val="none"/>
        </w:rPr>
        <w:t xml:space="preserve">见评标办法前附表。 </w:t>
      </w:r>
    </w:p>
    <w:p w14:paraId="297C2EE6">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ascii="宋体" w:hAnsi="宋体"/>
          <w:highlight w:val="none"/>
        </w:rPr>
      </w:pPr>
      <w:r>
        <w:rPr>
          <w:rFonts w:ascii="宋体" w:hAnsi="宋体"/>
          <w:highlight w:val="none"/>
        </w:rPr>
        <w:t xml:space="preserve">   </w:t>
      </w:r>
      <w:r>
        <w:rPr>
          <w:rFonts w:hint="eastAsia" w:ascii="宋体" w:hAnsi="宋体"/>
          <w:highlight w:val="none"/>
        </w:rPr>
        <w:t xml:space="preserve"> </w:t>
      </w:r>
      <w:r>
        <w:rPr>
          <w:rFonts w:ascii="宋体" w:hAnsi="宋体"/>
          <w:highlight w:val="none"/>
        </w:rPr>
        <w:t>2.2.3 投标报价</w:t>
      </w:r>
      <w:r>
        <w:rPr>
          <w:rFonts w:hint="eastAsia" w:ascii="宋体" w:hAnsi="宋体"/>
          <w:highlight w:val="none"/>
        </w:rPr>
        <w:t>得分</w:t>
      </w:r>
      <w:r>
        <w:rPr>
          <w:rFonts w:ascii="宋体" w:hAnsi="宋体"/>
          <w:highlight w:val="none"/>
        </w:rPr>
        <w:t xml:space="preserve">计算 </w:t>
      </w:r>
    </w:p>
    <w:p w14:paraId="49D09AF5">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ascii="宋体" w:hAnsi="宋体"/>
          <w:highlight w:val="none"/>
        </w:rPr>
      </w:pPr>
      <w:r>
        <w:rPr>
          <w:rFonts w:ascii="宋体" w:hAnsi="宋体"/>
          <w:highlight w:val="none"/>
        </w:rPr>
        <w:t xml:space="preserve">   </w:t>
      </w:r>
      <w:r>
        <w:rPr>
          <w:rFonts w:hint="eastAsia" w:ascii="宋体" w:hAnsi="宋体"/>
          <w:highlight w:val="none"/>
        </w:rPr>
        <w:t xml:space="preserve"> </w:t>
      </w:r>
      <w:r>
        <w:rPr>
          <w:rFonts w:ascii="宋体" w:hAnsi="宋体"/>
          <w:highlight w:val="none"/>
        </w:rPr>
        <w:t xml:space="preserve">见评标办法前附表。 </w:t>
      </w:r>
    </w:p>
    <w:p w14:paraId="4996F7DA">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ascii="宋体" w:hAnsi="宋体"/>
          <w:highlight w:val="none"/>
        </w:rPr>
      </w:pPr>
      <w:r>
        <w:rPr>
          <w:rFonts w:ascii="宋体" w:hAnsi="宋体"/>
          <w:highlight w:val="none"/>
        </w:rPr>
        <w:t xml:space="preserve">   </w:t>
      </w:r>
      <w:r>
        <w:rPr>
          <w:rFonts w:hint="eastAsia" w:ascii="宋体" w:hAnsi="宋体"/>
          <w:highlight w:val="none"/>
        </w:rPr>
        <w:t xml:space="preserve"> </w:t>
      </w:r>
      <w:r>
        <w:rPr>
          <w:rFonts w:ascii="宋体" w:hAnsi="宋体"/>
          <w:highlight w:val="none"/>
        </w:rPr>
        <w:t xml:space="preserve">2.2.4 评分标准 </w:t>
      </w:r>
    </w:p>
    <w:p w14:paraId="0AEFE00A">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ascii="宋体" w:hAnsi="宋体"/>
          <w:highlight w:val="none"/>
        </w:rPr>
      </w:pPr>
      <w:r>
        <w:rPr>
          <w:rFonts w:ascii="宋体" w:hAnsi="宋体"/>
          <w:highlight w:val="none"/>
        </w:rPr>
        <w:t xml:space="preserve">    （1）</w:t>
      </w:r>
      <w:r>
        <w:rPr>
          <w:rFonts w:hint="eastAsia" w:ascii="宋体" w:hAnsi="宋体"/>
          <w:highlight w:val="none"/>
        </w:rPr>
        <w:t>技术部分</w:t>
      </w:r>
      <w:r>
        <w:rPr>
          <w:rFonts w:ascii="宋体" w:hAnsi="宋体"/>
          <w:highlight w:val="none"/>
        </w:rPr>
        <w:t xml:space="preserve">评分标准：见评标办法前附表； </w:t>
      </w:r>
    </w:p>
    <w:p w14:paraId="235351A5">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ascii="宋体" w:hAnsi="宋体"/>
          <w:highlight w:val="none"/>
        </w:rPr>
      </w:pPr>
      <w:r>
        <w:rPr>
          <w:rFonts w:ascii="宋体" w:hAnsi="宋体"/>
          <w:highlight w:val="none"/>
        </w:rPr>
        <w:t xml:space="preserve">    （</w:t>
      </w:r>
      <w:r>
        <w:rPr>
          <w:rFonts w:hint="eastAsia" w:ascii="宋体" w:hAnsi="宋体"/>
          <w:highlight w:val="none"/>
        </w:rPr>
        <w:t>2</w:t>
      </w:r>
      <w:r>
        <w:rPr>
          <w:rFonts w:ascii="宋体" w:hAnsi="宋体"/>
          <w:highlight w:val="none"/>
        </w:rPr>
        <w:t xml:space="preserve">）投标报价评分标准：见评标办法前附表； </w:t>
      </w:r>
    </w:p>
    <w:p w14:paraId="69BC4406">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ascii="宋体" w:hAnsi="宋体"/>
          <w:highlight w:val="none"/>
        </w:rPr>
      </w:pPr>
      <w:r>
        <w:rPr>
          <w:rFonts w:ascii="宋体" w:hAnsi="宋体"/>
          <w:highlight w:val="none"/>
        </w:rPr>
        <w:t xml:space="preserve">    （</w:t>
      </w:r>
      <w:r>
        <w:rPr>
          <w:rFonts w:hint="eastAsia" w:ascii="宋体" w:hAnsi="宋体"/>
          <w:highlight w:val="none"/>
        </w:rPr>
        <w:t>3</w:t>
      </w:r>
      <w:r>
        <w:rPr>
          <w:rFonts w:ascii="宋体" w:hAnsi="宋体"/>
          <w:highlight w:val="none"/>
        </w:rPr>
        <w:t xml:space="preserve">）评分标准：见评标办法前附表。 </w:t>
      </w:r>
    </w:p>
    <w:p w14:paraId="199A84FA">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ascii="宋体" w:hAnsi="宋体"/>
          <w:highlight w:val="none"/>
        </w:rPr>
      </w:pPr>
      <w:r>
        <w:rPr>
          <w:rFonts w:ascii="宋体" w:hAnsi="宋体"/>
          <w:b/>
          <w:highlight w:val="none"/>
        </w:rPr>
        <w:t xml:space="preserve">3.评标程序 </w:t>
      </w:r>
    </w:p>
    <w:p w14:paraId="2FE8F3B0">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ascii="宋体" w:hAnsi="宋体"/>
          <w:b/>
          <w:highlight w:val="none"/>
        </w:rPr>
      </w:pPr>
      <w:r>
        <w:rPr>
          <w:rFonts w:ascii="宋体" w:hAnsi="宋体"/>
          <w:b/>
          <w:highlight w:val="none"/>
        </w:rPr>
        <w:t xml:space="preserve">3.1  初步评审 </w:t>
      </w:r>
    </w:p>
    <w:p w14:paraId="2F6467B9">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ascii="宋体" w:hAnsi="宋体"/>
          <w:highlight w:val="none"/>
        </w:rPr>
      </w:pPr>
      <w:r>
        <w:rPr>
          <w:rFonts w:ascii="宋体" w:hAnsi="宋体"/>
          <w:highlight w:val="none"/>
        </w:rPr>
        <w:t>3.1.1  评标委员会可以要求投标人提交第二章“投标人须知”规定的有关证明和证件的原件，以便核验。评标委员会依据本章第2.1款规定的标准对投标文件进行初步评审。有一项不符合评审标准的，评标委员会应当否决其投标。</w:t>
      </w:r>
      <w:r>
        <w:rPr>
          <w:rFonts w:hint="eastAsia" w:ascii="宋体" w:hAnsi="宋体"/>
          <w:highlight w:val="none"/>
        </w:rPr>
        <w:t>只有当通过初步评审的投标单位超过3家（包含3家），此次招标才能进入详细评审，否则视为具有竞争性的投标单位不足3家，应重新组织招标。</w:t>
      </w:r>
    </w:p>
    <w:p w14:paraId="3F7785B1">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ascii="宋体" w:hAnsi="宋体"/>
          <w:highlight w:val="none"/>
        </w:rPr>
      </w:pPr>
      <w:r>
        <w:rPr>
          <w:rFonts w:hint="eastAsia" w:ascii="宋体" w:hAnsi="宋体"/>
          <w:highlight w:val="none"/>
        </w:rPr>
        <w:t>初步评审阶段，采购人或者采购代理机构首先应当依法对投标人的资格进行审查，并将审查结果提交给评标委员会；评标委员会依据本章初步评审记录表规定的标准对投标文件进行初步评审。</w:t>
      </w:r>
    </w:p>
    <w:p w14:paraId="5A01E7F2">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ascii="宋体" w:hAnsi="宋体"/>
          <w:highlight w:val="none"/>
        </w:rPr>
      </w:pPr>
      <w:r>
        <w:rPr>
          <w:rFonts w:ascii="宋体" w:hAnsi="宋体"/>
          <w:highlight w:val="none"/>
        </w:rPr>
        <w:t xml:space="preserve">3.1.2  投标人有以下情形之一的，评标委员会应当否决其投标： </w:t>
      </w:r>
    </w:p>
    <w:p w14:paraId="5FB8E0B3">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ascii="宋体" w:hAnsi="宋体"/>
          <w:highlight w:val="none"/>
        </w:rPr>
      </w:pPr>
      <w:r>
        <w:rPr>
          <w:rFonts w:ascii="宋体" w:hAnsi="宋体"/>
          <w:highlight w:val="none"/>
        </w:rPr>
        <w:t xml:space="preserve">    （1）投标文件没有对招标文件的实质性要求和条件作出响应，或者对招标文件的偏差超出招标文件规定的偏差范围或最高项数； </w:t>
      </w:r>
    </w:p>
    <w:p w14:paraId="3F0F5CE1">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ascii="宋体" w:hAnsi="宋体"/>
          <w:highlight w:val="none"/>
        </w:rPr>
      </w:pPr>
      <w:r>
        <w:rPr>
          <w:rFonts w:ascii="宋体" w:hAnsi="宋体"/>
          <w:highlight w:val="none"/>
        </w:rPr>
        <w:t xml:space="preserve">    （2）有串通投标、弄虚作假、行贿等违法行为。 </w:t>
      </w:r>
    </w:p>
    <w:p w14:paraId="6CBF7732">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ascii="宋体" w:hAnsi="宋体"/>
          <w:highlight w:val="none"/>
        </w:rPr>
      </w:pPr>
      <w:r>
        <w:rPr>
          <w:rFonts w:ascii="宋体" w:hAnsi="宋体"/>
          <w:highlight w:val="none"/>
        </w:rPr>
        <w:t xml:space="preserve">3.1.3  投标报价有算术错误及其他错误的，评标委员会按以下原则要求投标人对投标报价进行修正，并要求投标人书面澄清确认。投标人拒不澄清确认的，评标委员会应当否决其投标： </w:t>
      </w:r>
    </w:p>
    <w:p w14:paraId="5A30AF76">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ascii="宋体" w:hAnsi="宋体"/>
          <w:highlight w:val="none"/>
        </w:rPr>
      </w:pPr>
      <w:r>
        <w:rPr>
          <w:rFonts w:ascii="宋体" w:hAnsi="宋体"/>
          <w:highlight w:val="none"/>
        </w:rPr>
        <w:t xml:space="preserve">    （1）</w:t>
      </w:r>
      <w:r>
        <w:rPr>
          <w:rFonts w:hint="eastAsia" w:ascii="宋体" w:hAnsi="宋体"/>
          <w:highlight w:val="none"/>
        </w:rPr>
        <w:t>投标文件中开标一览表（报价表）内容与投标文件中相应内容不一致的，以开标一览表（报价表）为准；</w:t>
      </w:r>
      <w:r>
        <w:rPr>
          <w:rFonts w:ascii="宋体" w:hAnsi="宋体"/>
          <w:highlight w:val="none"/>
        </w:rPr>
        <w:t xml:space="preserve"> </w:t>
      </w:r>
    </w:p>
    <w:p w14:paraId="4E3C0090">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ascii="宋体" w:hAnsi="宋体"/>
          <w:highlight w:val="none"/>
        </w:rPr>
      </w:pPr>
      <w:r>
        <w:rPr>
          <w:rFonts w:ascii="宋体" w:hAnsi="宋体"/>
          <w:highlight w:val="none"/>
        </w:rPr>
        <w:t>（2）投标文件中的大写金额与小写金额不一致的，以大写金额为准；</w:t>
      </w:r>
    </w:p>
    <w:p w14:paraId="74596043">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ascii="宋体" w:hAnsi="宋体"/>
          <w:highlight w:val="none"/>
        </w:rPr>
      </w:pPr>
      <w:r>
        <w:rPr>
          <w:rFonts w:hint="eastAsia" w:ascii="宋体" w:hAnsi="宋体"/>
          <w:highlight w:val="none"/>
        </w:rPr>
        <w:t>（3）</w:t>
      </w:r>
      <w:r>
        <w:rPr>
          <w:rFonts w:ascii="宋体" w:hAnsi="宋体"/>
          <w:highlight w:val="none"/>
        </w:rPr>
        <w:t>总价金额与单价金额不一致的，以单价金额为准，但单价金额小数点有明显错误的除外</w:t>
      </w:r>
      <w:r>
        <w:rPr>
          <w:rFonts w:hint="eastAsia" w:ascii="宋体" w:hAnsi="宋体"/>
          <w:highlight w:val="none"/>
        </w:rPr>
        <w:t>；</w:t>
      </w:r>
    </w:p>
    <w:p w14:paraId="3CDAF9EC">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ascii="宋体" w:hAnsi="宋体"/>
          <w:highlight w:val="none"/>
        </w:rPr>
      </w:pPr>
      <w:r>
        <w:rPr>
          <w:rFonts w:hint="eastAsia" w:ascii="宋体" w:hAnsi="宋体"/>
          <w:highlight w:val="none"/>
        </w:rPr>
        <w:t>（4）单价金额小数点或者百分比有明显错位的，以开标一览表的总价为准，并修改单价；</w:t>
      </w:r>
    </w:p>
    <w:p w14:paraId="1800DDC4">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ascii="宋体" w:hAnsi="宋体"/>
          <w:highlight w:val="none"/>
        </w:rPr>
      </w:pPr>
      <w:r>
        <w:rPr>
          <w:rFonts w:hint="eastAsia" w:ascii="宋体" w:hAnsi="宋体"/>
          <w:highlight w:val="none"/>
        </w:rPr>
        <w:t>3.1.4 投标人存在下列情形之一的，投标无效：</w:t>
      </w:r>
    </w:p>
    <w:p w14:paraId="7CF0F2F1">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ascii="宋体" w:hAnsi="宋体"/>
          <w:highlight w:val="none"/>
        </w:rPr>
      </w:pPr>
      <w:r>
        <w:rPr>
          <w:rFonts w:hint="eastAsia" w:ascii="宋体" w:hAnsi="宋体"/>
          <w:highlight w:val="none"/>
        </w:rPr>
        <w:t>（1）投标文件未按采购文件要求签署、盖章的；</w:t>
      </w:r>
    </w:p>
    <w:p w14:paraId="3FB6C46E">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ascii="宋体" w:hAnsi="宋体"/>
          <w:highlight w:val="none"/>
        </w:rPr>
      </w:pPr>
      <w:r>
        <w:rPr>
          <w:rFonts w:hint="eastAsia" w:ascii="宋体" w:hAnsi="宋体"/>
          <w:highlight w:val="none"/>
        </w:rPr>
        <w:t>（2）不具备采购文件中规定的资格要求的；</w:t>
      </w:r>
    </w:p>
    <w:p w14:paraId="26A89A8F">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ascii="宋体" w:hAnsi="宋体"/>
          <w:highlight w:val="none"/>
        </w:rPr>
      </w:pPr>
      <w:r>
        <w:rPr>
          <w:rFonts w:hint="eastAsia" w:ascii="宋体" w:hAnsi="宋体"/>
          <w:highlight w:val="none"/>
        </w:rPr>
        <w:t>（3）报价超过采购文件中规定的预算金额或者最高限价的；</w:t>
      </w:r>
    </w:p>
    <w:p w14:paraId="68BC5592">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ascii="宋体" w:hAnsi="宋体"/>
          <w:highlight w:val="none"/>
        </w:rPr>
      </w:pPr>
      <w:r>
        <w:rPr>
          <w:rFonts w:hint="eastAsia" w:ascii="宋体" w:hAnsi="宋体"/>
          <w:highlight w:val="none"/>
        </w:rPr>
        <w:t>（4）投标文件含有采购人不能接受的附加条件的;</w:t>
      </w:r>
    </w:p>
    <w:p w14:paraId="253A28D7">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ascii="宋体" w:hAnsi="宋体"/>
          <w:highlight w:val="none"/>
        </w:rPr>
      </w:pPr>
      <w:r>
        <w:rPr>
          <w:rFonts w:hint="eastAsia" w:ascii="宋体" w:hAnsi="宋体"/>
          <w:highlight w:val="none"/>
        </w:rPr>
        <w:t>（5）法律、法规和采购文件规定的其他无效情形。</w:t>
      </w:r>
    </w:p>
    <w:p w14:paraId="47C4EF48">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ascii="宋体" w:hAnsi="宋体"/>
          <w:highlight w:val="none"/>
        </w:rPr>
      </w:pPr>
      <w:r>
        <w:rPr>
          <w:rFonts w:hint="eastAsia" w:ascii="宋体" w:hAnsi="宋体"/>
          <w:highlight w:val="none"/>
        </w:rPr>
        <w:t xml:space="preserve"> 3.1.4有下列情形之一的，视为投标人串通投标，其投标无效：</w:t>
      </w:r>
    </w:p>
    <w:p w14:paraId="64512C81">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ascii="宋体" w:hAnsi="宋体"/>
          <w:highlight w:val="none"/>
        </w:rPr>
      </w:pPr>
      <w:r>
        <w:rPr>
          <w:rFonts w:hint="eastAsia" w:ascii="宋体" w:hAnsi="宋体"/>
          <w:highlight w:val="none"/>
        </w:rPr>
        <w:t>（1）不同投标人的投标文件由同一单位或者个人编制；</w:t>
      </w:r>
    </w:p>
    <w:p w14:paraId="37B7E65C">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ascii="宋体" w:hAnsi="宋体"/>
          <w:highlight w:val="none"/>
        </w:rPr>
      </w:pPr>
      <w:r>
        <w:rPr>
          <w:rFonts w:hint="eastAsia" w:ascii="宋体" w:hAnsi="宋体"/>
          <w:highlight w:val="none"/>
        </w:rPr>
        <w:t>（2）不同投标人委托同一单位或者个人办理投标事宜；</w:t>
      </w:r>
    </w:p>
    <w:p w14:paraId="199DD667">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ascii="宋体" w:hAnsi="宋体"/>
          <w:highlight w:val="none"/>
        </w:rPr>
      </w:pPr>
      <w:r>
        <w:rPr>
          <w:rFonts w:hint="eastAsia" w:ascii="宋体" w:hAnsi="宋体"/>
          <w:highlight w:val="none"/>
        </w:rPr>
        <w:t>（3）不同投标人的投标文件载明的项目管理成员或者联系人员为同一人；</w:t>
      </w:r>
    </w:p>
    <w:p w14:paraId="352412FB">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ascii="宋体" w:hAnsi="宋体"/>
          <w:highlight w:val="none"/>
        </w:rPr>
      </w:pPr>
      <w:r>
        <w:rPr>
          <w:rFonts w:hint="eastAsia" w:ascii="宋体" w:hAnsi="宋体"/>
          <w:highlight w:val="none"/>
        </w:rPr>
        <w:t>（4）不同投标人的投标文件异常一致或者投标报价呈规律性差异；</w:t>
      </w:r>
    </w:p>
    <w:p w14:paraId="7600245C">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ascii="宋体" w:hAnsi="宋体"/>
          <w:highlight w:val="none"/>
        </w:rPr>
      </w:pPr>
      <w:r>
        <w:rPr>
          <w:rFonts w:hint="eastAsia" w:ascii="宋体" w:hAnsi="宋体"/>
          <w:highlight w:val="none"/>
        </w:rPr>
        <w:t>（5）不同投标人的投标文件相互混装；</w:t>
      </w:r>
    </w:p>
    <w:p w14:paraId="5F429D12">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ascii="宋体" w:hAnsi="宋体"/>
          <w:highlight w:val="none"/>
        </w:rPr>
      </w:pPr>
      <w:r>
        <w:rPr>
          <w:rFonts w:ascii="宋体" w:hAnsi="宋体"/>
          <w:b/>
          <w:highlight w:val="none"/>
        </w:rPr>
        <w:t xml:space="preserve">3.2  详细评审 </w:t>
      </w:r>
    </w:p>
    <w:p w14:paraId="7FCC96BB">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ascii="宋体" w:hAnsi="宋体"/>
          <w:highlight w:val="none"/>
        </w:rPr>
      </w:pPr>
      <w:r>
        <w:rPr>
          <w:rFonts w:ascii="宋体" w:hAnsi="宋体"/>
          <w:highlight w:val="none"/>
        </w:rPr>
        <w:t>3.2.1</w:t>
      </w:r>
      <w:r>
        <w:rPr>
          <w:rFonts w:hint="eastAsia" w:ascii="宋体" w:hAnsi="宋体"/>
          <w:highlight w:val="none"/>
        </w:rPr>
        <w:t>只有通过初步评审的投标人才能进入后续评审。</w:t>
      </w:r>
      <w:r>
        <w:rPr>
          <w:rFonts w:ascii="宋体" w:hAnsi="宋体"/>
          <w:highlight w:val="none"/>
        </w:rPr>
        <w:t xml:space="preserve">评标委员会按本章第2.2 款规定的量化因素和分值进行打分，并计算出综合评估得分。 </w:t>
      </w:r>
    </w:p>
    <w:p w14:paraId="38087297">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ascii="宋体" w:hAnsi="宋体"/>
          <w:highlight w:val="none"/>
        </w:rPr>
      </w:pPr>
      <w:r>
        <w:rPr>
          <w:rFonts w:ascii="宋体" w:hAnsi="宋体"/>
          <w:highlight w:val="none"/>
        </w:rPr>
        <w:t xml:space="preserve">（1）按本章第2.2.4（1）目规定的评审因素和分值对技术部分计算出得分A； </w:t>
      </w:r>
    </w:p>
    <w:p w14:paraId="0FCF02F9">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ascii="宋体" w:hAnsi="宋体"/>
          <w:highlight w:val="none"/>
        </w:rPr>
      </w:pPr>
      <w:r>
        <w:rPr>
          <w:rFonts w:ascii="宋体" w:hAnsi="宋体"/>
          <w:highlight w:val="none"/>
        </w:rPr>
        <w:t xml:space="preserve">    （2）按本章第2.2.4（2）目规定的评审因素和分值对</w:t>
      </w:r>
      <w:r>
        <w:rPr>
          <w:rFonts w:hint="eastAsia" w:ascii="宋体" w:hAnsi="宋体"/>
          <w:highlight w:val="none"/>
        </w:rPr>
        <w:t>投标</w:t>
      </w:r>
      <w:r>
        <w:rPr>
          <w:rFonts w:ascii="宋体" w:hAnsi="宋体"/>
          <w:highlight w:val="none"/>
        </w:rPr>
        <w:t xml:space="preserve">报价部分计算出得分B； </w:t>
      </w:r>
    </w:p>
    <w:p w14:paraId="4675372E">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ascii="宋体" w:hAnsi="宋体"/>
          <w:highlight w:val="none"/>
        </w:rPr>
      </w:pPr>
      <w:r>
        <w:rPr>
          <w:rFonts w:ascii="宋体" w:hAnsi="宋体"/>
          <w:highlight w:val="none"/>
        </w:rPr>
        <w:t xml:space="preserve">    （3）按本章第2.2.4（3）目规定的评审因素和分值对</w:t>
      </w:r>
      <w:r>
        <w:rPr>
          <w:rFonts w:hint="eastAsia" w:ascii="宋体" w:hAnsi="宋体"/>
          <w:highlight w:val="none"/>
        </w:rPr>
        <w:t>商务部分</w:t>
      </w:r>
      <w:r>
        <w:rPr>
          <w:rFonts w:ascii="宋体" w:hAnsi="宋体"/>
          <w:highlight w:val="none"/>
        </w:rPr>
        <w:t xml:space="preserve">计算出得分C； </w:t>
      </w:r>
    </w:p>
    <w:p w14:paraId="73133487">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ascii="宋体" w:hAnsi="宋体"/>
          <w:highlight w:val="none"/>
        </w:rPr>
      </w:pPr>
      <w:r>
        <w:rPr>
          <w:rFonts w:ascii="宋体" w:hAnsi="宋体"/>
          <w:highlight w:val="none"/>
        </w:rPr>
        <w:t xml:space="preserve">    3.2.2 评分分值计算保留小数点后两位，小数点后第三位“四舍五入”。 </w:t>
      </w:r>
    </w:p>
    <w:p w14:paraId="795B3106">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ascii="宋体" w:hAnsi="宋体"/>
          <w:highlight w:val="none"/>
        </w:rPr>
      </w:pPr>
      <w:r>
        <w:rPr>
          <w:rFonts w:hint="eastAsia" w:ascii="宋体" w:hAnsi="宋体"/>
          <w:highlight w:val="none"/>
        </w:rPr>
        <w:t>3.2.3 得分汇总E=A+B+C。</w:t>
      </w:r>
    </w:p>
    <w:p w14:paraId="535C92B9">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Theme="minorEastAsia"/>
          <w:highlight w:val="none"/>
          <w:lang w:eastAsia="zh-CN"/>
        </w:rPr>
      </w:pPr>
      <w:r>
        <w:rPr>
          <w:rFonts w:hint="eastAsia" w:ascii="宋体" w:hAnsi="宋体"/>
          <w:highlight w:val="none"/>
        </w:rPr>
        <w:t xml:space="preserve">3.2.4 </w:t>
      </w:r>
      <w:r>
        <w:rPr>
          <w:rFonts w:hint="eastAsia" w:ascii="宋体" w:hAnsi="宋体"/>
          <w:highlight w:val="none"/>
          <w:lang w:eastAsia="zh-CN"/>
        </w:rPr>
        <w:t>投标人</w:t>
      </w:r>
      <w:r>
        <w:rPr>
          <w:rFonts w:hint="eastAsia" w:ascii="宋体" w:hAnsi="宋体"/>
          <w:highlight w:val="none"/>
        </w:rPr>
        <w:t>得分E=（E1+E2+E3+E4+E5）/</w:t>
      </w:r>
      <w:r>
        <w:rPr>
          <w:rFonts w:hint="eastAsia" w:ascii="宋体" w:hAnsi="宋体"/>
          <w:highlight w:val="none"/>
          <w:lang w:val="en-US" w:eastAsia="zh-CN"/>
        </w:rPr>
        <w:t>5</w:t>
      </w:r>
    </w:p>
    <w:p w14:paraId="02F75A76">
      <w:pPr>
        <w:keepNext w:val="0"/>
        <w:keepLines w:val="0"/>
        <w:pageBreakBefore w:val="0"/>
        <w:widowControl w:val="0"/>
        <w:kinsoku/>
        <w:wordWrap/>
        <w:overflowPunct/>
        <w:topLinePunct w:val="0"/>
        <w:autoSpaceDE w:val="0"/>
        <w:autoSpaceDN w:val="0"/>
        <w:bidi w:val="0"/>
        <w:adjustRightInd w:val="0"/>
        <w:snapToGrid/>
        <w:spacing w:line="360" w:lineRule="auto"/>
        <w:ind w:firstLine="420"/>
        <w:jc w:val="left"/>
        <w:textAlignment w:val="auto"/>
        <w:rPr>
          <w:rFonts w:ascii="宋体" w:hAnsi="宋体"/>
          <w:highlight w:val="none"/>
        </w:rPr>
      </w:pPr>
      <w:r>
        <w:rPr>
          <w:rFonts w:ascii="宋体" w:hAnsi="宋体"/>
          <w:highlight w:val="none"/>
        </w:rPr>
        <w:t>3.2.</w:t>
      </w:r>
      <w:r>
        <w:rPr>
          <w:rFonts w:hint="eastAsia" w:ascii="宋体" w:hAnsi="宋体"/>
          <w:highlight w:val="none"/>
        </w:rPr>
        <w:t>5</w:t>
      </w:r>
      <w:r>
        <w:rPr>
          <w:rFonts w:ascii="宋体" w:hAnsi="宋体"/>
          <w:highlight w:val="none"/>
        </w:rPr>
        <w:t xml:space="preserve"> 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 </w:t>
      </w:r>
    </w:p>
    <w:p w14:paraId="4A4E5EC7">
      <w:pPr>
        <w:keepNext w:val="0"/>
        <w:keepLines w:val="0"/>
        <w:pageBreakBefore w:val="0"/>
        <w:widowControl w:val="0"/>
        <w:kinsoku/>
        <w:wordWrap/>
        <w:overflowPunct/>
        <w:topLinePunct w:val="0"/>
        <w:autoSpaceDE w:val="0"/>
        <w:autoSpaceDN w:val="0"/>
        <w:bidi w:val="0"/>
        <w:adjustRightInd w:val="0"/>
        <w:snapToGrid/>
        <w:spacing w:line="360" w:lineRule="auto"/>
        <w:ind w:firstLine="420"/>
        <w:jc w:val="left"/>
        <w:textAlignment w:val="auto"/>
        <w:rPr>
          <w:rFonts w:ascii="宋体" w:hAnsi="宋体"/>
          <w:highlight w:val="none"/>
        </w:rPr>
      </w:pPr>
      <w:r>
        <w:rPr>
          <w:rFonts w:hint="eastAsia" w:ascii="宋体" w:hAnsi="宋体"/>
          <w:highlight w:val="none"/>
        </w:rPr>
        <w:t>3.2.6 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6D68C5AD">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ascii="宋体" w:hAnsi="宋体"/>
          <w:b/>
          <w:highlight w:val="none"/>
        </w:rPr>
      </w:pPr>
      <w:r>
        <w:rPr>
          <w:rFonts w:ascii="宋体" w:hAnsi="宋体"/>
          <w:b/>
          <w:highlight w:val="none"/>
        </w:rPr>
        <w:t xml:space="preserve">3.3  投标文件的澄清 </w:t>
      </w:r>
    </w:p>
    <w:p w14:paraId="7E20BB75">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ascii="宋体" w:hAnsi="宋体"/>
          <w:highlight w:val="none"/>
        </w:rPr>
      </w:pPr>
      <w:r>
        <w:rPr>
          <w:rFonts w:ascii="宋体" w:hAnsi="宋体"/>
          <w:highlight w:val="none"/>
        </w:rPr>
        <w:t xml:space="preserve">    3.3.1  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 </w:t>
      </w:r>
    </w:p>
    <w:p w14:paraId="420C22D8">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ascii="宋体" w:hAnsi="宋体"/>
          <w:highlight w:val="none"/>
        </w:rPr>
      </w:pPr>
      <w:r>
        <w:rPr>
          <w:rFonts w:ascii="宋体" w:hAnsi="宋体"/>
          <w:highlight w:val="none"/>
        </w:rPr>
        <w:t xml:space="preserve">    3.3.2  澄清、说明或补正不得超出投标文件的范围且不得改变投标文件的实质性内容，并构成投标文件的组成部分。 </w:t>
      </w:r>
    </w:p>
    <w:p w14:paraId="287B6B93">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ascii="宋体" w:hAnsi="宋体"/>
          <w:highlight w:val="none"/>
        </w:rPr>
      </w:pPr>
      <w:r>
        <w:rPr>
          <w:rFonts w:ascii="宋体" w:hAnsi="宋体"/>
          <w:highlight w:val="none"/>
        </w:rPr>
        <w:t xml:space="preserve">    3.3.3  评标委员会对投标人提交的澄清、说明或补正有疑问的，可以要求投标人进一步澄清、说明或补正，直至满足评标委员会的要求。 </w:t>
      </w:r>
    </w:p>
    <w:p w14:paraId="376CC0B2">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ascii="宋体" w:hAnsi="宋体"/>
          <w:b/>
          <w:highlight w:val="none"/>
        </w:rPr>
      </w:pPr>
      <w:r>
        <w:rPr>
          <w:rFonts w:ascii="宋体" w:hAnsi="宋体"/>
          <w:b/>
          <w:highlight w:val="none"/>
        </w:rPr>
        <w:t xml:space="preserve">3.4  评标结果 </w:t>
      </w:r>
    </w:p>
    <w:p w14:paraId="7CBE6F59">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ascii="宋体" w:hAnsi="宋体"/>
          <w:highlight w:val="none"/>
        </w:rPr>
      </w:pPr>
      <w:r>
        <w:rPr>
          <w:rFonts w:ascii="宋体" w:hAnsi="宋体"/>
          <w:highlight w:val="none"/>
        </w:rPr>
        <w:t xml:space="preserve">    3.4.1 除第二章“投标人须知”前附表授权直接确定中标人外，评标委员会按照得分由高到低的顺序推荐中标候选人，并标明排序。 </w:t>
      </w:r>
    </w:p>
    <w:p w14:paraId="4CE85332">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cs="宋体"/>
          <w:highlight w:val="none"/>
        </w:rPr>
      </w:pPr>
      <w:r>
        <w:rPr>
          <w:rFonts w:ascii="宋体" w:hAnsi="宋体"/>
          <w:highlight w:val="none"/>
        </w:rPr>
        <w:t>3.4.2  评标委员会完成评标后，应当向</w:t>
      </w:r>
      <w:r>
        <w:rPr>
          <w:rFonts w:hint="eastAsia" w:ascii="宋体" w:hAnsi="宋体"/>
          <w:highlight w:val="none"/>
          <w:lang w:eastAsia="zh-CN"/>
        </w:rPr>
        <w:t>采购人</w:t>
      </w:r>
      <w:r>
        <w:rPr>
          <w:rFonts w:ascii="宋体" w:hAnsi="宋体"/>
          <w:highlight w:val="none"/>
        </w:rPr>
        <w:t>提交书面评标报告和中标候选人名单。</w:t>
      </w:r>
      <w:r>
        <w:rPr>
          <w:rFonts w:hint="eastAsia" w:ascii="宋体" w:hAnsi="宋体" w:cs="宋体"/>
          <w:highlight w:val="none"/>
        </w:rPr>
        <w:t>排名第一的中标候选人放弃中标、因不可抗力提出不能履行合同或者被查实存在影响中标结果的违法行为等情形，不符合中标条件的，采购人可以按照评标委员会提出的中标候选人名单排序依次确定其他中标候选人为中标人，也可以重新招标。</w:t>
      </w:r>
    </w:p>
    <w:p w14:paraId="7EEC6A20">
      <w:pPr>
        <w:rPr>
          <w:rFonts w:hint="eastAsia"/>
        </w:rPr>
      </w:pPr>
      <w:r>
        <w:rPr>
          <w:rFonts w:hint="eastAsia"/>
        </w:rPr>
        <w:br w:type="page"/>
      </w:r>
    </w:p>
    <w:p w14:paraId="23D50A50">
      <w:pPr>
        <w:numPr>
          <w:ilvl w:val="0"/>
          <w:numId w:val="5"/>
        </w:numPr>
        <w:jc w:val="center"/>
        <w:outlineLvl w:val="0"/>
        <w:rPr>
          <w:rFonts w:hint="eastAsia"/>
          <w:b/>
          <w:bCs/>
          <w:color w:val="000000"/>
          <w:sz w:val="32"/>
          <w:szCs w:val="32"/>
          <w:highlight w:val="none"/>
        </w:rPr>
      </w:pPr>
      <w:bookmarkStart w:id="38" w:name="_Toc7822"/>
      <w:r>
        <w:rPr>
          <w:rFonts w:hint="eastAsia"/>
          <w:b/>
          <w:bCs/>
          <w:color w:val="000000"/>
          <w:sz w:val="32"/>
          <w:szCs w:val="32"/>
          <w:highlight w:val="none"/>
        </w:rPr>
        <w:t xml:space="preserve"> </w:t>
      </w:r>
      <w:bookmarkStart w:id="39" w:name="_Toc25838"/>
      <w:r>
        <w:rPr>
          <w:rFonts w:hint="eastAsia"/>
          <w:b/>
          <w:bCs/>
          <w:color w:val="000000"/>
          <w:sz w:val="32"/>
          <w:szCs w:val="32"/>
          <w:highlight w:val="none"/>
        </w:rPr>
        <w:t>合同主要条款及格式</w:t>
      </w:r>
      <w:bookmarkEnd w:id="38"/>
      <w:r>
        <w:rPr>
          <w:rFonts w:hint="eastAsia" w:ascii="宋体" w:hAnsi="宋体" w:eastAsia="宋体" w:cs="宋体"/>
          <w:b/>
          <w:sz w:val="32"/>
          <w:szCs w:val="32"/>
          <w:highlight w:val="none"/>
        </w:rPr>
        <w:t>（参考格式）</w:t>
      </w:r>
      <w:bookmarkEnd w:id="39"/>
    </w:p>
    <w:p w14:paraId="4B66636A">
      <w:pPr>
        <w:spacing w:line="320" w:lineRule="exact"/>
        <w:rPr>
          <w:rFonts w:hint="eastAsia" w:ascii="宋体" w:cs="宋体"/>
          <w:highlight w:val="none"/>
        </w:rPr>
      </w:pPr>
    </w:p>
    <w:p w14:paraId="2C3A56FD">
      <w:pPr>
        <w:spacing w:line="320" w:lineRule="exact"/>
        <w:rPr>
          <w:rFonts w:hint="default" w:ascii="宋体" w:eastAsia="宋体" w:cs="宋体"/>
          <w:b/>
          <w:bCs/>
          <w:highlight w:val="none"/>
          <w:lang w:val="en-US" w:eastAsia="zh-CN"/>
        </w:rPr>
      </w:pPr>
      <w:r>
        <w:rPr>
          <w:rFonts w:hint="eastAsia" w:ascii="宋体" w:cs="宋体"/>
          <w:highlight w:val="none"/>
        </w:rPr>
        <w:t xml:space="preserve">      </w:t>
      </w:r>
    </w:p>
    <w:p w14:paraId="71518229">
      <w:pPr>
        <w:jc w:val="center"/>
        <w:rPr>
          <w:rFonts w:hint="eastAsia" w:ascii="宋体" w:hAnsi="宋体" w:eastAsia="宋体" w:cs="宋体"/>
          <w:b/>
          <w:bCs/>
          <w:color w:val="auto"/>
          <w:sz w:val="44"/>
          <w:szCs w:val="44"/>
          <w:highlight w:val="none"/>
        </w:rPr>
      </w:pPr>
      <w:r>
        <w:rPr>
          <w:rFonts w:hint="eastAsia" w:ascii="宋体" w:hAnsi="宋体" w:eastAsia="宋体" w:cs="宋体"/>
          <w:color w:val="auto"/>
          <w:sz w:val="24"/>
          <w:highlight w:val="none"/>
        </w:rPr>
        <w:t>以实际签订为准。</w:t>
      </w:r>
    </w:p>
    <w:p w14:paraId="53B7E181">
      <w:pPr>
        <w:pStyle w:val="8"/>
        <w:spacing w:line="240" w:lineRule="exact"/>
        <w:ind w:firstLine="800" w:firstLineChars="250"/>
        <w:rPr>
          <w:color w:val="FF0000"/>
          <w:highlight w:val="none"/>
        </w:rPr>
      </w:pPr>
    </w:p>
    <w:p w14:paraId="402CE2E0">
      <w:pPr>
        <w:autoSpaceDE w:val="0"/>
        <w:autoSpaceDN w:val="0"/>
        <w:adjustRightInd w:val="0"/>
        <w:rPr>
          <w:rFonts w:hint="eastAsia" w:ascii="宋体" w:cs="宋体"/>
          <w:color w:val="FF0000"/>
          <w:sz w:val="24"/>
          <w:szCs w:val="24"/>
          <w:highlight w:val="none"/>
        </w:rPr>
      </w:pPr>
    </w:p>
    <w:p w14:paraId="56C0EE42">
      <w:pPr>
        <w:rPr>
          <w:rFonts w:hint="eastAsia"/>
          <w:color w:val="FF0000"/>
          <w:highlight w:val="none"/>
        </w:rPr>
        <w:sectPr>
          <w:pgSz w:w="11906" w:h="16838"/>
          <w:pgMar w:top="1440" w:right="1803" w:bottom="1440" w:left="1803" w:header="708" w:footer="964" w:gutter="0"/>
          <w:pgNumType w:fmt="decimal" w:start="1"/>
          <w:cols w:space="720" w:num="1"/>
          <w:docGrid w:linePitch="360" w:charSpace="0"/>
        </w:sectPr>
      </w:pPr>
      <w:r>
        <w:rPr>
          <w:rFonts w:hint="eastAsia"/>
          <w:color w:val="FF0000"/>
          <w:highlight w:val="none"/>
        </w:rPr>
        <w:br w:type="page"/>
      </w:r>
    </w:p>
    <w:p w14:paraId="17CA1E16">
      <w:pPr>
        <w:spacing w:line="460" w:lineRule="exact"/>
        <w:jc w:val="center"/>
        <w:rPr>
          <w:rFonts w:hint="eastAsia" w:ascii="宋体" w:hAnsi="宋体"/>
          <w:b/>
          <w:sz w:val="32"/>
          <w:szCs w:val="32"/>
        </w:rPr>
      </w:pPr>
      <w:r>
        <w:rPr>
          <w:rFonts w:hint="eastAsia" w:ascii="宋体" w:hAnsi="宋体"/>
          <w:b/>
          <w:sz w:val="32"/>
          <w:szCs w:val="32"/>
        </w:rPr>
        <w:t>办公家具采购合同</w:t>
      </w:r>
    </w:p>
    <w:p w14:paraId="36B51045">
      <w:pPr>
        <w:spacing w:line="480" w:lineRule="exact"/>
        <w:jc w:val="center"/>
        <w:rPr>
          <w:rFonts w:hint="eastAsia" w:ascii="楷体_GB2312" w:eastAsia="仿宋_GB2312"/>
          <w:b/>
          <w:sz w:val="36"/>
        </w:rPr>
      </w:pPr>
    </w:p>
    <w:p w14:paraId="5BD394A6">
      <w:pPr>
        <w:tabs>
          <w:tab w:val="left" w:pos="6360"/>
        </w:tabs>
        <w:spacing w:line="480" w:lineRule="exact"/>
        <w:ind w:left="246" w:leftChars="117" w:firstLine="210" w:firstLineChars="100"/>
        <w:rPr>
          <w:rFonts w:hint="eastAsia" w:ascii="宋体" w:hAnsi="宋体"/>
          <w:szCs w:val="24"/>
        </w:rPr>
      </w:pPr>
      <w:r>
        <w:rPr>
          <w:rFonts w:hint="eastAsia" w:ascii="宋体" w:hAnsi="宋体"/>
          <w:szCs w:val="24"/>
        </w:rPr>
        <w:t>甲方（需方）：</w:t>
      </w:r>
    </w:p>
    <w:p w14:paraId="604FBDEA">
      <w:pPr>
        <w:tabs>
          <w:tab w:val="left" w:pos="6360"/>
        </w:tabs>
        <w:spacing w:line="480" w:lineRule="exact"/>
        <w:ind w:left="246" w:leftChars="117" w:firstLine="210" w:firstLineChars="100"/>
        <w:rPr>
          <w:rFonts w:hint="eastAsia" w:ascii="宋体" w:hAnsi="宋体"/>
          <w:szCs w:val="24"/>
        </w:rPr>
      </w:pPr>
      <w:r>
        <w:rPr>
          <w:rFonts w:hint="eastAsia" w:ascii="宋体" w:hAnsi="宋体"/>
          <w:szCs w:val="24"/>
        </w:rPr>
        <w:t>乙方（供方）：</w:t>
      </w:r>
    </w:p>
    <w:p w14:paraId="6B1B7196">
      <w:pPr>
        <w:tabs>
          <w:tab w:val="left" w:pos="6360"/>
        </w:tabs>
        <w:spacing w:line="480" w:lineRule="exact"/>
        <w:ind w:left="246" w:leftChars="117" w:firstLine="210" w:firstLineChars="100"/>
        <w:rPr>
          <w:rFonts w:hint="eastAsia" w:ascii="宋体" w:hAnsi="宋体"/>
          <w:szCs w:val="24"/>
        </w:rPr>
      </w:pPr>
      <w:r>
        <w:rPr>
          <w:rFonts w:hint="eastAsia" w:ascii="宋体" w:hAnsi="宋体"/>
          <w:szCs w:val="24"/>
        </w:rPr>
        <w:t>根据《中华人民共和国合同法》及相关法律规定，双方本着平等互利的原则，经双方协商，就乙方为甲方提供办公桌椅项目，一致达成如下协议：</w:t>
      </w:r>
    </w:p>
    <w:p w14:paraId="41C7104D">
      <w:pPr>
        <w:tabs>
          <w:tab w:val="left" w:pos="6360"/>
        </w:tabs>
        <w:spacing w:line="480" w:lineRule="exact"/>
        <w:ind w:left="246" w:leftChars="117" w:firstLine="210" w:firstLineChars="100"/>
        <w:rPr>
          <w:rFonts w:hint="eastAsia" w:ascii="宋体" w:hAnsi="宋体"/>
          <w:szCs w:val="24"/>
        </w:rPr>
      </w:pPr>
      <w:r>
        <w:rPr>
          <w:rFonts w:hint="eastAsia" w:ascii="宋体" w:hAnsi="宋体"/>
          <w:szCs w:val="24"/>
        </w:rPr>
        <w:t>一、质量要求：以甲方的要求为准。</w:t>
      </w:r>
    </w:p>
    <w:p w14:paraId="7D70BE85">
      <w:pPr>
        <w:tabs>
          <w:tab w:val="left" w:pos="6360"/>
        </w:tabs>
        <w:spacing w:line="480" w:lineRule="exact"/>
        <w:ind w:left="246" w:leftChars="117" w:firstLine="210" w:firstLineChars="100"/>
        <w:rPr>
          <w:rFonts w:hint="eastAsia" w:ascii="宋体" w:hAnsi="宋体"/>
          <w:szCs w:val="24"/>
        </w:rPr>
      </w:pPr>
      <w:r>
        <w:rPr>
          <w:rFonts w:hint="eastAsia" w:ascii="宋体" w:hAnsi="宋体"/>
          <w:szCs w:val="24"/>
        </w:rPr>
        <w:t>二、验收标准：货到现场安装完毕后开始验收，所供应的全部办公桌椅应符合甲方的验收标准。要求外观无瑕疵，结构无松动，货物名称、规格、颜色、材质、数量符合甲方要求。办公桌椅摆放形式依甲方提供的样式为准，验收合格以甲方最终认可为准。</w:t>
      </w:r>
    </w:p>
    <w:p w14:paraId="72D71A60">
      <w:pPr>
        <w:spacing w:line="480" w:lineRule="exact"/>
        <w:ind w:firstLine="420" w:firstLineChars="200"/>
        <w:rPr>
          <w:rFonts w:hint="eastAsia" w:ascii="宋体" w:hAnsi="宋体"/>
          <w:szCs w:val="24"/>
        </w:rPr>
      </w:pPr>
      <w:r>
        <w:rPr>
          <w:rFonts w:hint="eastAsia" w:ascii="宋体" w:hAnsi="宋体"/>
          <w:szCs w:val="24"/>
        </w:rPr>
        <w:t>三、交货时间：</w:t>
      </w:r>
      <w:r>
        <w:rPr>
          <w:rFonts w:hint="eastAsia" w:ascii="宋体" w:hAnsi="宋体"/>
          <w:szCs w:val="24"/>
          <w:u w:val="single"/>
        </w:rPr>
        <w:t xml:space="preserve">     </w:t>
      </w:r>
      <w:r>
        <w:rPr>
          <w:rFonts w:hint="eastAsia" w:ascii="宋体" w:hAnsi="宋体"/>
          <w:szCs w:val="24"/>
        </w:rPr>
        <w:t>年</w:t>
      </w:r>
      <w:r>
        <w:rPr>
          <w:rFonts w:hint="eastAsia" w:ascii="宋体" w:hAnsi="宋体"/>
          <w:szCs w:val="24"/>
          <w:u w:val="single"/>
        </w:rPr>
        <w:t xml:space="preserve">   </w:t>
      </w:r>
      <w:r>
        <w:rPr>
          <w:rFonts w:hint="eastAsia" w:ascii="宋体" w:hAnsi="宋体"/>
          <w:szCs w:val="24"/>
        </w:rPr>
        <w:t>月</w:t>
      </w:r>
      <w:r>
        <w:rPr>
          <w:rFonts w:hint="eastAsia" w:ascii="宋体" w:hAnsi="宋体"/>
          <w:szCs w:val="24"/>
          <w:u w:val="single"/>
        </w:rPr>
        <w:t xml:space="preserve">   </w:t>
      </w:r>
      <w:r>
        <w:rPr>
          <w:rFonts w:hint="eastAsia" w:ascii="宋体" w:hAnsi="宋体"/>
          <w:szCs w:val="24"/>
        </w:rPr>
        <w:t>日内，乙方将货物送达甲方指定地点，并安装到位。</w:t>
      </w:r>
    </w:p>
    <w:p w14:paraId="6722DF6E">
      <w:pPr>
        <w:tabs>
          <w:tab w:val="left" w:pos="6360"/>
        </w:tabs>
        <w:spacing w:line="480" w:lineRule="exact"/>
        <w:ind w:firstLine="420" w:firstLineChars="200"/>
        <w:jc w:val="both"/>
        <w:rPr>
          <w:rFonts w:hint="eastAsia" w:ascii="宋体" w:hAnsi="宋体"/>
          <w:szCs w:val="24"/>
        </w:rPr>
      </w:pPr>
      <w:r>
        <w:rPr>
          <w:rFonts w:hint="eastAsia" w:ascii="宋体" w:hAnsi="宋体"/>
          <w:szCs w:val="24"/>
        </w:rPr>
        <w:t>四、交货地点：甲方指定地点。</w:t>
      </w:r>
    </w:p>
    <w:p w14:paraId="112DCCF9">
      <w:pPr>
        <w:tabs>
          <w:tab w:val="left" w:pos="6360"/>
        </w:tabs>
        <w:spacing w:line="480" w:lineRule="exact"/>
        <w:ind w:left="246" w:leftChars="117" w:firstLine="210" w:firstLineChars="100"/>
        <w:rPr>
          <w:rFonts w:hint="eastAsia" w:ascii="宋体" w:hAnsi="宋体"/>
          <w:szCs w:val="24"/>
        </w:rPr>
      </w:pPr>
      <w:r>
        <w:rPr>
          <w:rFonts w:hint="eastAsia" w:ascii="宋体" w:hAnsi="宋体"/>
          <w:szCs w:val="24"/>
        </w:rPr>
        <w:t>五、合同总价款(含税含运费)：</w:t>
      </w:r>
      <w:r>
        <w:rPr>
          <w:rFonts w:hint="eastAsia" w:ascii="宋体" w:hAnsi="宋体"/>
          <w:b/>
          <w:szCs w:val="24"/>
          <w:u w:val="single"/>
        </w:rPr>
        <w:t xml:space="preserve">                    </w:t>
      </w:r>
      <w:r>
        <w:rPr>
          <w:rFonts w:hint="eastAsia" w:ascii="宋体" w:hAnsi="宋体"/>
          <w:szCs w:val="24"/>
        </w:rPr>
        <w:t>元。购置清单附后。</w:t>
      </w:r>
    </w:p>
    <w:p w14:paraId="551BF6CD">
      <w:pPr>
        <w:spacing w:line="480" w:lineRule="exact"/>
        <w:ind w:firstLine="420" w:firstLineChars="200"/>
        <w:rPr>
          <w:rFonts w:hint="eastAsia" w:ascii="宋体" w:hAnsi="宋体"/>
          <w:szCs w:val="24"/>
        </w:rPr>
      </w:pPr>
      <w:r>
        <w:rPr>
          <w:rFonts w:hint="eastAsia" w:ascii="宋体" w:hAnsi="宋体"/>
          <w:szCs w:val="24"/>
        </w:rPr>
        <w:t>具体到货数量以甲方电话通知为准，乙方应在甲方通知后当天把货物送至到甲方指定的地点，并负责卸车安装。</w:t>
      </w:r>
    </w:p>
    <w:p w14:paraId="6E6AF20A">
      <w:pPr>
        <w:spacing w:line="480" w:lineRule="exact"/>
        <w:ind w:firstLine="420" w:firstLineChars="200"/>
        <w:rPr>
          <w:rFonts w:hint="eastAsia" w:ascii="宋体" w:hAnsi="宋体"/>
          <w:szCs w:val="24"/>
          <w:highlight w:val="yellow"/>
        </w:rPr>
      </w:pPr>
      <w:r>
        <w:rPr>
          <w:rFonts w:hint="eastAsia" w:ascii="宋体" w:hAnsi="宋体"/>
          <w:szCs w:val="24"/>
        </w:rPr>
        <w:t>六、付款方式：</w:t>
      </w:r>
      <w:bookmarkStart w:id="130" w:name="_GoBack"/>
      <w:bookmarkEnd w:id="130"/>
    </w:p>
    <w:p w14:paraId="063030BC">
      <w:pPr>
        <w:tabs>
          <w:tab w:val="left" w:pos="6360"/>
          <w:tab w:val="left" w:pos="8280"/>
        </w:tabs>
        <w:spacing w:line="480" w:lineRule="exact"/>
        <w:ind w:firstLine="359" w:firstLineChars="171"/>
        <w:jc w:val="both"/>
        <w:rPr>
          <w:rFonts w:hint="eastAsia" w:ascii="宋体" w:hAnsi="宋体"/>
          <w:szCs w:val="24"/>
        </w:rPr>
      </w:pPr>
      <w:r>
        <w:rPr>
          <w:rFonts w:hint="eastAsia" w:ascii="宋体" w:hAnsi="宋体"/>
          <w:szCs w:val="24"/>
        </w:rPr>
        <w:t>七、甲方责任：</w:t>
      </w:r>
    </w:p>
    <w:p w14:paraId="01C51B05">
      <w:pPr>
        <w:tabs>
          <w:tab w:val="left" w:pos="6360"/>
          <w:tab w:val="left" w:pos="8280"/>
        </w:tabs>
        <w:spacing w:line="480" w:lineRule="exact"/>
        <w:ind w:firstLine="464" w:firstLineChars="221"/>
        <w:jc w:val="both"/>
        <w:rPr>
          <w:rFonts w:hint="eastAsia" w:ascii="宋体" w:hAnsi="宋体"/>
          <w:szCs w:val="24"/>
        </w:rPr>
      </w:pPr>
      <w:r>
        <w:rPr>
          <w:rFonts w:hint="eastAsia" w:ascii="宋体" w:hAnsi="宋体"/>
          <w:szCs w:val="24"/>
        </w:rPr>
        <w:t>1、甲方应配合乙方向楼上运送货物，提供安装场地照明。</w:t>
      </w:r>
    </w:p>
    <w:p w14:paraId="70EADDBF">
      <w:pPr>
        <w:tabs>
          <w:tab w:val="left" w:pos="6360"/>
        </w:tabs>
        <w:spacing w:line="480" w:lineRule="exact"/>
        <w:ind w:firstLine="420" w:firstLineChars="200"/>
        <w:jc w:val="both"/>
        <w:rPr>
          <w:rFonts w:hint="eastAsia" w:ascii="宋体" w:hAnsi="宋体"/>
          <w:szCs w:val="24"/>
        </w:rPr>
      </w:pPr>
      <w:r>
        <w:rPr>
          <w:rFonts w:hint="eastAsia" w:ascii="宋体" w:hAnsi="宋体"/>
          <w:szCs w:val="24"/>
        </w:rPr>
        <w:t>2、甲方应按合同约定的时间及金额付款。</w:t>
      </w:r>
    </w:p>
    <w:p w14:paraId="11925735">
      <w:pPr>
        <w:spacing w:line="480" w:lineRule="exact"/>
        <w:ind w:firstLine="420" w:firstLineChars="200"/>
        <w:rPr>
          <w:rFonts w:hint="eastAsia" w:ascii="宋体" w:hAnsi="宋体"/>
          <w:szCs w:val="24"/>
        </w:rPr>
      </w:pPr>
      <w:r>
        <w:rPr>
          <w:rFonts w:hint="eastAsia" w:ascii="宋体" w:hAnsi="宋体"/>
          <w:szCs w:val="24"/>
        </w:rPr>
        <w:t>八、乙方责任：</w:t>
      </w:r>
    </w:p>
    <w:p w14:paraId="1FCD5103">
      <w:pPr>
        <w:spacing w:line="480" w:lineRule="exact"/>
        <w:ind w:firstLine="420" w:firstLineChars="200"/>
        <w:rPr>
          <w:rFonts w:hint="eastAsia" w:ascii="宋体" w:hAnsi="宋体"/>
          <w:szCs w:val="24"/>
        </w:rPr>
      </w:pPr>
      <w:r>
        <w:rPr>
          <w:rFonts w:hint="eastAsia" w:ascii="宋体" w:hAnsi="宋体"/>
          <w:szCs w:val="24"/>
        </w:rPr>
        <w:t>1、乙方所提供的产品，必须达到合同约定的规格、材质及相关质量、技术标准</w:t>
      </w:r>
      <w:r>
        <w:rPr>
          <w:rFonts w:hint="eastAsia" w:ascii="宋体" w:hAnsi="宋体"/>
          <w:szCs w:val="24"/>
          <w:lang w:eastAsia="zh-CN"/>
        </w:rPr>
        <w:t>，</w:t>
      </w:r>
      <w:r>
        <w:rPr>
          <w:rFonts w:hint="eastAsia" w:ascii="宋体" w:hAnsi="宋体"/>
          <w:color w:val="FF0000"/>
          <w:szCs w:val="24"/>
          <w:lang w:val="en-US" w:eastAsia="zh-CN"/>
        </w:rPr>
        <w:t>按甲方要求</w:t>
      </w:r>
      <w:r>
        <w:rPr>
          <w:rFonts w:hint="eastAsia" w:ascii="宋体" w:hAnsi="宋体"/>
          <w:color w:val="FF0000"/>
          <w:szCs w:val="24"/>
        </w:rPr>
        <w:t>提供第三方检测机构（检测报告需带CMA标识）出具检测报告以及在全国认证认可信息公共服务平台的查询截图</w:t>
      </w:r>
      <w:r>
        <w:rPr>
          <w:rFonts w:hint="eastAsia" w:ascii="宋体" w:hAnsi="宋体"/>
          <w:szCs w:val="24"/>
        </w:rPr>
        <w:t>。否则，甲方有权拒收且不付货款，或扣除总货款的</w:t>
      </w:r>
      <w:r>
        <w:rPr>
          <w:rFonts w:hint="eastAsia" w:ascii="宋体" w:hAnsi="宋体"/>
          <w:szCs w:val="24"/>
          <w:highlight w:val="yellow"/>
          <w:lang w:val="en-US" w:eastAsia="zh-CN"/>
        </w:rPr>
        <w:t>1</w:t>
      </w:r>
      <w:r>
        <w:rPr>
          <w:rFonts w:hint="eastAsia" w:ascii="宋体" w:hAnsi="宋体"/>
          <w:szCs w:val="24"/>
          <w:highlight w:val="yellow"/>
        </w:rPr>
        <w:t>0％～</w:t>
      </w:r>
      <w:r>
        <w:rPr>
          <w:rFonts w:hint="eastAsia" w:ascii="宋体" w:hAnsi="宋体"/>
          <w:szCs w:val="24"/>
          <w:highlight w:val="yellow"/>
          <w:lang w:val="en-US" w:eastAsia="zh-CN"/>
        </w:rPr>
        <w:t>3</w:t>
      </w:r>
      <w:r>
        <w:rPr>
          <w:rFonts w:hint="eastAsia" w:ascii="宋体" w:hAnsi="宋体"/>
          <w:szCs w:val="24"/>
          <w:highlight w:val="yellow"/>
        </w:rPr>
        <w:t>0％</w:t>
      </w:r>
      <w:r>
        <w:rPr>
          <w:rFonts w:hint="eastAsia" w:ascii="宋体" w:hAnsi="宋体"/>
          <w:szCs w:val="24"/>
        </w:rPr>
        <w:t>的违约金。</w:t>
      </w:r>
    </w:p>
    <w:p w14:paraId="3E1DD445">
      <w:pPr>
        <w:spacing w:line="480" w:lineRule="exact"/>
        <w:ind w:firstLine="420" w:firstLineChars="200"/>
        <w:rPr>
          <w:rFonts w:hint="eastAsia" w:ascii="宋体" w:hAnsi="宋体"/>
          <w:szCs w:val="24"/>
        </w:rPr>
      </w:pPr>
      <w:r>
        <w:rPr>
          <w:rFonts w:hint="eastAsia" w:ascii="宋体" w:hAnsi="宋体"/>
          <w:szCs w:val="24"/>
        </w:rPr>
        <w:t>2、乙方应保障在合同约定的保修期内，为甲方无偿提维修服务，除非人为损坏，否则不得以任何理由收取任何费用。</w:t>
      </w:r>
    </w:p>
    <w:p w14:paraId="3EBCBAC0">
      <w:pPr>
        <w:spacing w:line="480" w:lineRule="exact"/>
        <w:ind w:firstLine="420" w:firstLineChars="200"/>
        <w:rPr>
          <w:rFonts w:hint="eastAsia" w:ascii="宋体" w:hAnsi="宋体"/>
          <w:szCs w:val="24"/>
        </w:rPr>
      </w:pPr>
      <w:r>
        <w:rPr>
          <w:rFonts w:hint="eastAsia" w:ascii="宋体" w:hAnsi="宋体"/>
          <w:szCs w:val="24"/>
        </w:rPr>
        <w:t>3、乙方应提供长期维护的技术支持。家具的清洗、维护由甲方负责，乙方负责提供技术支持，并处理维护过程中出现的问题。一般报修应在12小时内到达现场。否则甲方有权扣除相应质量保证金。</w:t>
      </w:r>
    </w:p>
    <w:p w14:paraId="72AE14F4">
      <w:pPr>
        <w:spacing w:line="480" w:lineRule="exact"/>
        <w:ind w:firstLine="420" w:firstLineChars="200"/>
        <w:rPr>
          <w:rFonts w:hint="eastAsia" w:ascii="宋体" w:hAnsi="宋体"/>
          <w:szCs w:val="24"/>
        </w:rPr>
      </w:pPr>
      <w:r>
        <w:rPr>
          <w:rFonts w:hint="eastAsia" w:ascii="宋体" w:hAnsi="宋体"/>
          <w:szCs w:val="24"/>
        </w:rPr>
        <w:t>4、乙方应妥善保护甲方提供的设备及现场陈设和工程成品，如造成损失应照价赔偿。</w:t>
      </w:r>
    </w:p>
    <w:p w14:paraId="01FBE44A">
      <w:pPr>
        <w:spacing w:line="480" w:lineRule="exact"/>
        <w:ind w:firstLine="420" w:firstLineChars="200"/>
        <w:rPr>
          <w:rFonts w:hint="eastAsia" w:ascii="宋体" w:hAnsi="宋体"/>
          <w:szCs w:val="24"/>
        </w:rPr>
      </w:pPr>
      <w:r>
        <w:rPr>
          <w:rFonts w:hint="eastAsia" w:ascii="宋体" w:hAnsi="宋体"/>
          <w:szCs w:val="24"/>
        </w:rPr>
        <w:t>5、由于乙方在安装过程中违反有关安全操作规程，导致发生安全和火灾等一切事故，应承担由此造成的一切经济损失。</w:t>
      </w:r>
    </w:p>
    <w:p w14:paraId="6D813E99">
      <w:pPr>
        <w:tabs>
          <w:tab w:val="left" w:pos="6360"/>
        </w:tabs>
        <w:spacing w:line="480" w:lineRule="exact"/>
        <w:ind w:firstLine="420" w:firstLineChars="200"/>
        <w:jc w:val="both"/>
        <w:rPr>
          <w:rFonts w:hint="eastAsia" w:ascii="宋体" w:hAnsi="宋体"/>
          <w:szCs w:val="24"/>
        </w:rPr>
      </w:pPr>
      <w:r>
        <w:rPr>
          <w:rFonts w:hint="eastAsia" w:ascii="宋体" w:hAnsi="宋体"/>
          <w:szCs w:val="24"/>
        </w:rPr>
        <w:t>九、安装调试：</w:t>
      </w:r>
    </w:p>
    <w:p w14:paraId="6659FF0B">
      <w:pPr>
        <w:tabs>
          <w:tab w:val="left" w:pos="6360"/>
          <w:tab w:val="left" w:pos="8280"/>
        </w:tabs>
        <w:spacing w:line="480" w:lineRule="exact"/>
        <w:ind w:firstLine="382" w:firstLineChars="182"/>
        <w:jc w:val="both"/>
        <w:rPr>
          <w:rFonts w:hint="eastAsia" w:ascii="宋体" w:hAnsi="宋体"/>
          <w:szCs w:val="24"/>
        </w:rPr>
      </w:pPr>
      <w:r>
        <w:rPr>
          <w:rFonts w:hint="eastAsia" w:ascii="宋体" w:hAnsi="宋体"/>
          <w:szCs w:val="24"/>
        </w:rPr>
        <w:t>1、组装期：货到后2个工作日。</w:t>
      </w:r>
    </w:p>
    <w:p w14:paraId="0495B859">
      <w:pPr>
        <w:tabs>
          <w:tab w:val="left" w:pos="6360"/>
          <w:tab w:val="left" w:pos="8280"/>
        </w:tabs>
        <w:spacing w:line="480" w:lineRule="exact"/>
        <w:ind w:firstLine="420" w:firstLineChars="200"/>
        <w:jc w:val="both"/>
        <w:rPr>
          <w:rFonts w:hint="eastAsia" w:ascii="宋体" w:hAnsi="宋体"/>
          <w:szCs w:val="24"/>
        </w:rPr>
      </w:pPr>
      <w:r>
        <w:rPr>
          <w:rFonts w:hint="eastAsia" w:ascii="宋体" w:hAnsi="宋体"/>
          <w:szCs w:val="24"/>
        </w:rPr>
        <w:t>2、甲方应确保组装现场具备组装条件，并通知乙方。否则，交货日期顺延，造成组装延误及损失，乙方不承担责任。</w:t>
      </w:r>
    </w:p>
    <w:p w14:paraId="161BB3D7">
      <w:pPr>
        <w:tabs>
          <w:tab w:val="left" w:pos="6360"/>
          <w:tab w:val="left" w:pos="8280"/>
        </w:tabs>
        <w:spacing w:line="480" w:lineRule="exact"/>
        <w:ind w:firstLine="382" w:firstLineChars="182"/>
        <w:jc w:val="both"/>
        <w:rPr>
          <w:rFonts w:hint="eastAsia" w:ascii="宋体" w:hAnsi="宋体"/>
          <w:szCs w:val="24"/>
        </w:rPr>
      </w:pPr>
      <w:r>
        <w:rPr>
          <w:rFonts w:hint="eastAsia" w:ascii="宋体" w:hAnsi="宋体"/>
          <w:szCs w:val="24"/>
        </w:rPr>
        <w:t>3、乙方根据甲方确认货物安装调试。</w:t>
      </w:r>
    </w:p>
    <w:p w14:paraId="5F96E257">
      <w:pPr>
        <w:tabs>
          <w:tab w:val="left" w:pos="6360"/>
          <w:tab w:val="left" w:pos="8280"/>
        </w:tabs>
        <w:spacing w:line="480" w:lineRule="exact"/>
        <w:ind w:firstLine="382" w:firstLineChars="182"/>
        <w:jc w:val="both"/>
        <w:rPr>
          <w:rFonts w:hint="eastAsia" w:ascii="宋体" w:hAnsi="宋体"/>
          <w:szCs w:val="24"/>
        </w:rPr>
      </w:pPr>
      <w:r>
        <w:rPr>
          <w:rFonts w:hint="eastAsia" w:ascii="宋体" w:hAnsi="宋体"/>
          <w:szCs w:val="24"/>
        </w:rPr>
        <w:t>十、货物接收和验收：</w:t>
      </w:r>
    </w:p>
    <w:p w14:paraId="7C2CF957">
      <w:pPr>
        <w:tabs>
          <w:tab w:val="left" w:pos="6360"/>
          <w:tab w:val="left" w:pos="8280"/>
        </w:tabs>
        <w:spacing w:line="480" w:lineRule="exact"/>
        <w:ind w:firstLine="359" w:firstLineChars="171"/>
        <w:jc w:val="both"/>
        <w:rPr>
          <w:rFonts w:hint="eastAsia" w:ascii="宋体" w:hAnsi="宋体"/>
          <w:szCs w:val="24"/>
        </w:rPr>
      </w:pPr>
      <w:r>
        <w:rPr>
          <w:rFonts w:hint="eastAsia" w:ascii="宋体" w:hAnsi="宋体"/>
          <w:szCs w:val="24"/>
        </w:rPr>
        <w:t>1、乙方依合同所订交货日期将货物运至交货地点组装完毕后，甲方应即时接收清点并妥善保管全部货物。但甲方在办公桌椅验收合格后承担办公桌椅损坏等风险。</w:t>
      </w:r>
    </w:p>
    <w:p w14:paraId="6F6CD098">
      <w:pPr>
        <w:tabs>
          <w:tab w:val="left" w:pos="6360"/>
          <w:tab w:val="left" w:pos="8280"/>
        </w:tabs>
        <w:spacing w:line="480" w:lineRule="exact"/>
        <w:ind w:firstLine="420" w:firstLineChars="200"/>
        <w:jc w:val="both"/>
        <w:rPr>
          <w:rFonts w:hint="eastAsia" w:ascii="宋体" w:hAnsi="宋体"/>
          <w:szCs w:val="24"/>
        </w:rPr>
      </w:pPr>
      <w:r>
        <w:rPr>
          <w:rFonts w:hint="eastAsia" w:ascii="宋体" w:hAnsi="宋体"/>
          <w:szCs w:val="24"/>
        </w:rPr>
        <w:t>2、组装完毕后，甲方应在3天内按报价单进行验收。验收完成后，签发验收合格证明。如有异议应在此期限内以书面形式向乙方提出。甲方无异议或在期限内不验收或认为货物质量有问题却怠于以书面形式通知乙方的，视为验收合格。</w:t>
      </w:r>
    </w:p>
    <w:p w14:paraId="23F488EB">
      <w:pPr>
        <w:tabs>
          <w:tab w:val="left" w:pos="6360"/>
          <w:tab w:val="left" w:pos="8280"/>
        </w:tabs>
        <w:spacing w:line="480" w:lineRule="exact"/>
        <w:ind w:firstLine="420" w:firstLineChars="200"/>
        <w:jc w:val="both"/>
        <w:rPr>
          <w:rFonts w:hint="eastAsia" w:ascii="宋体" w:hAnsi="宋体"/>
          <w:szCs w:val="24"/>
        </w:rPr>
      </w:pPr>
      <w:r>
        <w:rPr>
          <w:rFonts w:hint="eastAsia" w:ascii="宋体" w:hAnsi="宋体"/>
          <w:szCs w:val="24"/>
        </w:rPr>
        <w:t>3、甲方应在相关验收单上签字或盖章（公章或合同专用章）。</w:t>
      </w:r>
    </w:p>
    <w:p w14:paraId="3027A5FE">
      <w:pPr>
        <w:tabs>
          <w:tab w:val="left" w:pos="6360"/>
        </w:tabs>
        <w:spacing w:line="480" w:lineRule="exact"/>
        <w:ind w:firstLine="420" w:firstLineChars="200"/>
        <w:jc w:val="both"/>
        <w:rPr>
          <w:rFonts w:hint="eastAsia" w:ascii="宋体" w:hAnsi="宋体"/>
          <w:szCs w:val="24"/>
        </w:rPr>
      </w:pPr>
      <w:r>
        <w:rPr>
          <w:rFonts w:hint="eastAsia" w:ascii="宋体" w:hAnsi="宋体"/>
          <w:szCs w:val="24"/>
        </w:rPr>
        <w:t>十一、品质保证：</w:t>
      </w:r>
    </w:p>
    <w:p w14:paraId="55DE4797">
      <w:pPr>
        <w:tabs>
          <w:tab w:val="left" w:pos="6360"/>
          <w:tab w:val="left" w:pos="8280"/>
        </w:tabs>
        <w:spacing w:line="480" w:lineRule="exact"/>
        <w:ind w:firstLine="420" w:firstLineChars="200"/>
        <w:jc w:val="both"/>
        <w:rPr>
          <w:rFonts w:hint="eastAsia" w:ascii="宋体" w:hAnsi="宋体"/>
          <w:szCs w:val="24"/>
        </w:rPr>
      </w:pPr>
      <w:r>
        <w:rPr>
          <w:rFonts w:hint="eastAsia" w:ascii="宋体" w:hAnsi="宋体"/>
          <w:szCs w:val="24"/>
        </w:rPr>
        <w:t>1、乙方所有提供的办公桌椅必须通过国家家具产品质量监督检验中心的检验，达到合格标准的要求。</w:t>
      </w:r>
    </w:p>
    <w:p w14:paraId="01DB3283">
      <w:pPr>
        <w:spacing w:line="480" w:lineRule="exact"/>
        <w:ind w:firstLine="420" w:firstLineChars="200"/>
        <w:rPr>
          <w:rFonts w:hint="eastAsia" w:ascii="宋体" w:hAnsi="宋体"/>
          <w:szCs w:val="24"/>
        </w:rPr>
      </w:pPr>
      <w:r>
        <w:rPr>
          <w:rFonts w:hint="eastAsia" w:ascii="宋体" w:hAnsi="宋体"/>
          <w:szCs w:val="24"/>
        </w:rPr>
        <w:t>2、保修期两年，办公桌椅出现任何褪色、脱皮、起泡、脱胶等质量问题，乙方免费更换。</w:t>
      </w:r>
    </w:p>
    <w:p w14:paraId="342D2074">
      <w:pPr>
        <w:tabs>
          <w:tab w:val="left" w:pos="6360"/>
          <w:tab w:val="left" w:pos="8280"/>
        </w:tabs>
        <w:spacing w:line="480" w:lineRule="exact"/>
        <w:ind w:firstLine="420" w:firstLineChars="200"/>
        <w:jc w:val="both"/>
        <w:rPr>
          <w:rFonts w:hint="eastAsia" w:ascii="宋体" w:hAnsi="宋体"/>
          <w:szCs w:val="24"/>
        </w:rPr>
      </w:pPr>
      <w:r>
        <w:rPr>
          <w:rFonts w:hint="eastAsia" w:ascii="宋体" w:hAnsi="宋体"/>
          <w:szCs w:val="24"/>
        </w:rPr>
        <w:t>3、货物如有质量问题，乙方于交付日7天内无条件退货。由此导致的运费、组装费及其他有关费用由乙方承担。如有质量问题的货物数量达到全部货物数量的10%，则甲方有权单方解除本协议。如遇换货，换货后的交货日期由双方另行协商。</w:t>
      </w:r>
    </w:p>
    <w:p w14:paraId="44C225A2">
      <w:pPr>
        <w:tabs>
          <w:tab w:val="left" w:pos="6360"/>
          <w:tab w:val="left" w:pos="8280"/>
        </w:tabs>
        <w:spacing w:line="480" w:lineRule="exact"/>
        <w:ind w:firstLine="420" w:firstLineChars="200"/>
        <w:jc w:val="both"/>
        <w:rPr>
          <w:rFonts w:hint="eastAsia" w:ascii="宋体" w:hAnsi="宋体"/>
          <w:szCs w:val="24"/>
        </w:rPr>
      </w:pPr>
      <w:r>
        <w:rPr>
          <w:rFonts w:hint="eastAsia" w:ascii="宋体" w:hAnsi="宋体"/>
          <w:szCs w:val="24"/>
        </w:rPr>
        <w:t>十二、违约责任：</w:t>
      </w:r>
    </w:p>
    <w:p w14:paraId="6B126DB2">
      <w:pPr>
        <w:tabs>
          <w:tab w:val="left" w:pos="6360"/>
          <w:tab w:val="left" w:pos="8280"/>
        </w:tabs>
        <w:spacing w:line="480" w:lineRule="exact"/>
        <w:ind w:firstLine="420" w:firstLineChars="200"/>
        <w:jc w:val="both"/>
        <w:outlineLvl w:val="0"/>
        <w:rPr>
          <w:rFonts w:hint="eastAsia" w:ascii="宋体" w:hAnsi="宋体"/>
          <w:szCs w:val="24"/>
        </w:rPr>
      </w:pPr>
      <w:r>
        <w:rPr>
          <w:rFonts w:hint="eastAsia" w:ascii="宋体" w:hAnsi="宋体"/>
          <w:szCs w:val="24"/>
        </w:rPr>
        <w:t>（一）乙方责任</w:t>
      </w:r>
    </w:p>
    <w:p w14:paraId="7AA2D3C6">
      <w:pPr>
        <w:tabs>
          <w:tab w:val="left" w:pos="6360"/>
          <w:tab w:val="left" w:pos="8280"/>
        </w:tabs>
        <w:spacing w:line="480" w:lineRule="exact"/>
        <w:ind w:firstLine="420" w:firstLineChars="200"/>
        <w:jc w:val="both"/>
        <w:rPr>
          <w:rFonts w:hint="eastAsia" w:ascii="宋体" w:hAnsi="宋体"/>
          <w:szCs w:val="24"/>
        </w:rPr>
      </w:pPr>
      <w:r>
        <w:rPr>
          <w:rFonts w:hint="eastAsia" w:ascii="宋体" w:hAnsi="宋体"/>
          <w:szCs w:val="24"/>
        </w:rPr>
        <w:t>1、除依本合同约定外，乙方单方面解除合同，应向甲方支付货款总价20%的违约金。</w:t>
      </w:r>
    </w:p>
    <w:p w14:paraId="69E1AF3C">
      <w:pPr>
        <w:spacing w:line="480" w:lineRule="exact"/>
        <w:ind w:firstLine="359" w:firstLineChars="171"/>
        <w:jc w:val="both"/>
        <w:rPr>
          <w:rFonts w:hint="eastAsia" w:ascii="宋体" w:hAnsi="宋体"/>
          <w:szCs w:val="24"/>
        </w:rPr>
      </w:pPr>
      <w:r>
        <w:rPr>
          <w:rFonts w:hint="eastAsia" w:ascii="宋体" w:hAnsi="宋体"/>
          <w:szCs w:val="24"/>
        </w:rPr>
        <w:t>２、除依本合同约定外，乙方逾期交货的，每逾期一天，向甲方支付货款总金额千分之五的违约金。逾期7天的，甲方有权解除合同，乙方需向甲方支付合同总价款30%的违约金。</w:t>
      </w:r>
    </w:p>
    <w:p w14:paraId="607C1F73">
      <w:pPr>
        <w:spacing w:line="480" w:lineRule="exact"/>
        <w:ind w:firstLine="420" w:firstLineChars="200"/>
        <w:jc w:val="both"/>
        <w:rPr>
          <w:rFonts w:hint="eastAsia" w:ascii="宋体" w:hAnsi="宋体"/>
          <w:szCs w:val="24"/>
        </w:rPr>
      </w:pPr>
      <w:r>
        <w:rPr>
          <w:rFonts w:hint="eastAsia" w:ascii="宋体" w:hAnsi="宋体"/>
          <w:szCs w:val="24"/>
        </w:rPr>
        <w:t>3、乙方违反本合同中任何条款，即构成违约，应赔偿因此给甲方造成的损失。</w:t>
      </w:r>
    </w:p>
    <w:p w14:paraId="50115C1F">
      <w:pPr>
        <w:spacing w:line="480" w:lineRule="exact"/>
        <w:ind w:firstLine="420" w:firstLineChars="200"/>
        <w:jc w:val="both"/>
        <w:rPr>
          <w:rFonts w:hint="eastAsia" w:ascii="宋体" w:hAnsi="宋体"/>
          <w:szCs w:val="24"/>
        </w:rPr>
      </w:pPr>
      <w:r>
        <w:rPr>
          <w:rFonts w:hint="eastAsia" w:ascii="宋体" w:hAnsi="宋体"/>
          <w:szCs w:val="24"/>
        </w:rPr>
        <w:t>4、乙方应保证在组装家具过程中谨慎操作，若因乙方操作的原因，造成我行或第三人的人身财产受到损害的，由乙方承担全部责任。</w:t>
      </w:r>
    </w:p>
    <w:p w14:paraId="68307940">
      <w:pPr>
        <w:spacing w:line="480" w:lineRule="exact"/>
        <w:ind w:firstLine="420" w:firstLineChars="200"/>
        <w:jc w:val="both"/>
        <w:outlineLvl w:val="0"/>
        <w:rPr>
          <w:rFonts w:hint="eastAsia" w:ascii="宋体" w:hAnsi="宋体"/>
          <w:szCs w:val="24"/>
        </w:rPr>
      </w:pPr>
      <w:r>
        <w:rPr>
          <w:rFonts w:hint="eastAsia" w:ascii="宋体" w:hAnsi="宋体"/>
          <w:szCs w:val="24"/>
        </w:rPr>
        <w:t>（二）甲方责任</w:t>
      </w:r>
    </w:p>
    <w:p w14:paraId="5A21B0E1">
      <w:pPr>
        <w:tabs>
          <w:tab w:val="left" w:pos="6360"/>
          <w:tab w:val="left" w:pos="8280"/>
        </w:tabs>
        <w:spacing w:line="480" w:lineRule="exact"/>
        <w:ind w:firstLine="420" w:firstLineChars="200"/>
        <w:jc w:val="both"/>
        <w:rPr>
          <w:rFonts w:hint="eastAsia" w:ascii="宋体" w:hAnsi="宋体"/>
          <w:szCs w:val="24"/>
        </w:rPr>
      </w:pPr>
      <w:r>
        <w:rPr>
          <w:rFonts w:hint="eastAsia" w:ascii="宋体" w:hAnsi="宋体"/>
          <w:szCs w:val="24"/>
        </w:rPr>
        <w:t>1、除依本合同约定外，甲方单方面解除合同，应向卖方支付货款总价20%的违约金。</w:t>
      </w:r>
    </w:p>
    <w:p w14:paraId="7168156C">
      <w:pPr>
        <w:tabs>
          <w:tab w:val="left" w:pos="6360"/>
        </w:tabs>
        <w:spacing w:line="480" w:lineRule="exact"/>
        <w:ind w:firstLine="464" w:firstLineChars="221"/>
        <w:jc w:val="both"/>
        <w:rPr>
          <w:rFonts w:hint="eastAsia" w:ascii="宋体" w:hAnsi="宋体"/>
          <w:szCs w:val="24"/>
        </w:rPr>
      </w:pPr>
      <w:r>
        <w:rPr>
          <w:rFonts w:hint="eastAsia" w:ascii="宋体" w:hAnsi="宋体"/>
          <w:szCs w:val="24"/>
        </w:rPr>
        <w:t>2、除依本合同约定外，如因甲方原因导致的损坏，甲方要求退、换货的，乙方可以不接受退换。</w:t>
      </w:r>
    </w:p>
    <w:p w14:paraId="59459A9E">
      <w:pPr>
        <w:tabs>
          <w:tab w:val="left" w:pos="6360"/>
          <w:tab w:val="left" w:pos="8280"/>
        </w:tabs>
        <w:spacing w:line="480" w:lineRule="exact"/>
        <w:ind w:firstLine="420" w:firstLineChars="200"/>
        <w:jc w:val="both"/>
        <w:outlineLvl w:val="0"/>
        <w:rPr>
          <w:rFonts w:hint="eastAsia" w:ascii="宋体" w:hAnsi="宋体"/>
          <w:szCs w:val="24"/>
        </w:rPr>
      </w:pPr>
      <w:r>
        <w:rPr>
          <w:rFonts w:hint="eastAsia" w:ascii="宋体" w:hAnsi="宋体"/>
          <w:szCs w:val="24"/>
        </w:rPr>
        <w:t>（三）因不可抗力造成的迟延付款或迟延交货等，双方均不承担违约责任。</w:t>
      </w:r>
    </w:p>
    <w:p w14:paraId="4E35F00D">
      <w:pPr>
        <w:pStyle w:val="15"/>
        <w:tabs>
          <w:tab w:val="left" w:pos="6360"/>
        </w:tabs>
        <w:spacing w:line="480" w:lineRule="exact"/>
        <w:ind w:left="0" w:firstLine="480" w:firstLineChars="200"/>
        <w:rPr>
          <w:rFonts w:hint="eastAsia" w:ascii="宋体" w:hAnsi="宋体" w:eastAsia="宋体"/>
          <w:szCs w:val="24"/>
        </w:rPr>
      </w:pPr>
      <w:r>
        <w:rPr>
          <w:rFonts w:hint="eastAsia" w:ascii="宋体" w:hAnsi="宋体" w:eastAsia="宋体"/>
          <w:szCs w:val="24"/>
        </w:rPr>
        <w:t>十三、争议的解决方式。因本合同涉讼时，甲、乙双方应协商解决；协商不成的应则提交甲方所在地有管辖权的人民法院诉讼解决。</w:t>
      </w:r>
    </w:p>
    <w:p w14:paraId="0DCC1196">
      <w:pPr>
        <w:tabs>
          <w:tab w:val="left" w:pos="6360"/>
        </w:tabs>
        <w:spacing w:line="480" w:lineRule="exact"/>
        <w:ind w:firstLine="420" w:firstLineChars="200"/>
        <w:rPr>
          <w:rFonts w:hint="eastAsia" w:ascii="宋体" w:hAnsi="宋体"/>
          <w:szCs w:val="24"/>
        </w:rPr>
      </w:pPr>
      <w:r>
        <w:rPr>
          <w:rFonts w:hint="eastAsia" w:ascii="宋体" w:hAnsi="宋体"/>
          <w:szCs w:val="24"/>
        </w:rPr>
        <w:t>十四、本合同一式贰份，双方各执一份。各份具有同等法律效应。</w:t>
      </w:r>
    </w:p>
    <w:p w14:paraId="50A4C038">
      <w:pPr>
        <w:spacing w:line="500" w:lineRule="exact"/>
        <w:rPr>
          <w:rFonts w:hint="eastAsia" w:ascii="宋体" w:hAnsi="宋体"/>
          <w:sz w:val="28"/>
          <w:szCs w:val="28"/>
        </w:rPr>
      </w:pPr>
    </w:p>
    <w:p w14:paraId="4E20B833">
      <w:pPr>
        <w:spacing w:line="500" w:lineRule="exact"/>
        <w:ind w:firstLine="472" w:firstLineChars="225"/>
        <w:rPr>
          <w:rFonts w:ascii="宋体" w:hAnsi="宋体"/>
          <w:szCs w:val="24"/>
        </w:rPr>
      </w:pPr>
      <w:r>
        <w:rPr>
          <w:rFonts w:hint="eastAsia" w:ascii="宋体" w:hAnsi="宋体"/>
          <w:szCs w:val="24"/>
        </w:rPr>
        <w:t xml:space="preserve">甲方：                                 乙方： </w:t>
      </w:r>
    </w:p>
    <w:p w14:paraId="7259CC57">
      <w:pPr>
        <w:spacing w:line="500" w:lineRule="exact"/>
        <w:ind w:firstLine="472" w:firstLineChars="225"/>
        <w:rPr>
          <w:rFonts w:ascii="宋体" w:hAnsi="宋体"/>
          <w:szCs w:val="24"/>
        </w:rPr>
      </w:pPr>
      <w:r>
        <w:rPr>
          <w:rFonts w:hint="eastAsia" w:ascii="宋体" w:hAnsi="宋体"/>
          <w:szCs w:val="24"/>
        </w:rPr>
        <w:t>法人或委托代理人：                     法人或委托代理人：</w:t>
      </w:r>
    </w:p>
    <w:p w14:paraId="20BAD9B0">
      <w:pPr>
        <w:spacing w:line="500" w:lineRule="exact"/>
        <w:ind w:firstLine="3570" w:firstLineChars="1700"/>
        <w:rPr>
          <w:rFonts w:ascii="宋体" w:hAnsi="宋体"/>
          <w:szCs w:val="24"/>
        </w:rPr>
      </w:pPr>
      <w:r>
        <w:rPr>
          <w:rFonts w:hint="eastAsia" w:ascii="宋体" w:hAnsi="宋体"/>
          <w:szCs w:val="24"/>
        </w:rPr>
        <w:t xml:space="preserve">   </w:t>
      </w:r>
    </w:p>
    <w:p w14:paraId="75CF9823">
      <w:pPr>
        <w:spacing w:line="500" w:lineRule="exact"/>
        <w:ind w:firstLine="4410" w:firstLineChars="2100"/>
        <w:rPr>
          <w:rFonts w:hint="eastAsia" w:ascii="宋体" w:hAnsi="宋体"/>
          <w:szCs w:val="24"/>
        </w:rPr>
      </w:pPr>
      <w:r>
        <w:rPr>
          <w:rFonts w:hint="eastAsia" w:ascii="宋体" w:hAnsi="宋体"/>
          <w:szCs w:val="24"/>
        </w:rPr>
        <w:t xml:space="preserve">  年    月    日</w:t>
      </w:r>
    </w:p>
    <w:p w14:paraId="1ED91708">
      <w:pPr>
        <w:rPr>
          <w:rFonts w:hint="eastAsia"/>
          <w:color w:val="FF0000"/>
          <w:highlight w:val="none"/>
        </w:rPr>
      </w:pPr>
    </w:p>
    <w:p w14:paraId="1C462057">
      <w:pPr>
        <w:rPr>
          <w:rFonts w:hint="eastAsia"/>
          <w:color w:val="FF0000"/>
          <w:highlight w:val="none"/>
        </w:rPr>
      </w:pPr>
    </w:p>
    <w:p w14:paraId="1AC4E74E">
      <w:pPr>
        <w:rPr>
          <w:rFonts w:hint="eastAsia"/>
          <w:color w:val="FF0000"/>
          <w:highlight w:val="none"/>
        </w:rPr>
      </w:pPr>
    </w:p>
    <w:p w14:paraId="1CF2BF5C">
      <w:pPr>
        <w:rPr>
          <w:rFonts w:hint="eastAsia"/>
          <w:color w:val="FF0000"/>
          <w:highlight w:val="none"/>
        </w:rPr>
      </w:pPr>
    </w:p>
    <w:p w14:paraId="2F7643C9">
      <w:pPr>
        <w:rPr>
          <w:rFonts w:hint="eastAsia"/>
          <w:color w:val="FF0000"/>
          <w:highlight w:val="none"/>
        </w:rPr>
      </w:pPr>
    </w:p>
    <w:p w14:paraId="7DA3024C">
      <w:pPr>
        <w:rPr>
          <w:rFonts w:hint="eastAsia"/>
          <w:color w:val="FF0000"/>
          <w:highlight w:val="none"/>
        </w:rPr>
      </w:pPr>
    </w:p>
    <w:p w14:paraId="48D69450">
      <w:pPr>
        <w:rPr>
          <w:rFonts w:hint="eastAsia"/>
          <w:color w:val="FF0000"/>
          <w:highlight w:val="none"/>
        </w:rPr>
      </w:pPr>
    </w:p>
    <w:p w14:paraId="7E542B43">
      <w:pPr>
        <w:rPr>
          <w:rFonts w:hint="eastAsia"/>
          <w:color w:val="FF0000"/>
          <w:highlight w:val="none"/>
        </w:rPr>
      </w:pPr>
    </w:p>
    <w:p w14:paraId="46BC05F8">
      <w:pPr>
        <w:rPr>
          <w:rFonts w:hint="eastAsia"/>
          <w:color w:val="FF0000"/>
          <w:highlight w:val="none"/>
        </w:rPr>
      </w:pPr>
    </w:p>
    <w:p w14:paraId="4226A5B1">
      <w:pPr>
        <w:rPr>
          <w:rFonts w:hint="eastAsia"/>
          <w:color w:val="FF0000"/>
          <w:highlight w:val="none"/>
        </w:rPr>
      </w:pPr>
    </w:p>
    <w:p w14:paraId="2DFBE809">
      <w:pPr>
        <w:rPr>
          <w:rFonts w:hint="eastAsia"/>
          <w:color w:val="FF0000"/>
          <w:highlight w:val="none"/>
        </w:rPr>
      </w:pPr>
    </w:p>
    <w:p w14:paraId="3F697B3A">
      <w:pPr>
        <w:rPr>
          <w:rFonts w:hint="eastAsia"/>
          <w:color w:val="FF0000"/>
          <w:highlight w:val="none"/>
        </w:rPr>
      </w:pPr>
    </w:p>
    <w:p w14:paraId="7193FB10">
      <w:pPr>
        <w:rPr>
          <w:rFonts w:hint="eastAsia"/>
          <w:color w:val="FF0000"/>
          <w:highlight w:val="none"/>
        </w:rPr>
      </w:pPr>
    </w:p>
    <w:p w14:paraId="35E5F6F9">
      <w:pPr>
        <w:rPr>
          <w:rFonts w:hint="eastAsia"/>
          <w:color w:val="FF0000"/>
          <w:highlight w:val="none"/>
        </w:rPr>
      </w:pPr>
    </w:p>
    <w:p w14:paraId="059CCC5A">
      <w:pPr>
        <w:rPr>
          <w:rFonts w:hint="eastAsia"/>
          <w:color w:val="FF0000"/>
          <w:highlight w:val="none"/>
        </w:rPr>
      </w:pPr>
    </w:p>
    <w:p w14:paraId="778FAD10">
      <w:pPr>
        <w:rPr>
          <w:rFonts w:hint="eastAsia"/>
          <w:color w:val="FF0000"/>
          <w:highlight w:val="none"/>
        </w:rPr>
      </w:pPr>
    </w:p>
    <w:p w14:paraId="403E94ED">
      <w:pPr>
        <w:rPr>
          <w:rFonts w:hint="eastAsia"/>
          <w:color w:val="FF0000"/>
          <w:highlight w:val="none"/>
        </w:rPr>
      </w:pPr>
    </w:p>
    <w:p w14:paraId="371B5687">
      <w:pPr>
        <w:rPr>
          <w:rFonts w:hint="eastAsia"/>
          <w:color w:val="FF0000"/>
          <w:highlight w:val="none"/>
        </w:rPr>
      </w:pPr>
    </w:p>
    <w:p w14:paraId="3C9BE868">
      <w:pPr>
        <w:rPr>
          <w:rFonts w:hint="eastAsia"/>
          <w:color w:val="FF0000"/>
          <w:highlight w:val="none"/>
        </w:rPr>
      </w:pPr>
    </w:p>
    <w:p w14:paraId="73A8B548">
      <w:pPr>
        <w:pStyle w:val="18"/>
        <w:spacing w:before="0" w:after="0"/>
        <w:jc w:val="left"/>
        <w:rPr>
          <w:rFonts w:hint="eastAsia" w:ascii="宋体" w:hAnsi="宋体" w:eastAsia="宋体" w:cs="宋体"/>
          <w:b w:val="0"/>
          <w:kern w:val="0"/>
          <w:sz w:val="21"/>
          <w:szCs w:val="21"/>
          <w:highlight w:val="none"/>
          <w:lang w:val="en-US" w:eastAsia="zh-CN"/>
        </w:rPr>
      </w:pPr>
      <w:bookmarkStart w:id="40" w:name="_Toc10180"/>
      <w:r>
        <w:rPr>
          <w:rFonts w:hint="eastAsia" w:ascii="宋体" w:hAnsi="宋体" w:eastAsia="宋体" w:cs="宋体"/>
          <w:b/>
          <w:bCs w:val="0"/>
          <w:kern w:val="0"/>
          <w:sz w:val="21"/>
          <w:szCs w:val="21"/>
          <w:highlight w:val="none"/>
        </w:rPr>
        <w:t>附件</w:t>
      </w:r>
      <w:r>
        <w:rPr>
          <w:rFonts w:hint="eastAsia" w:ascii="宋体" w:hAnsi="宋体" w:eastAsia="宋体" w:cs="宋体"/>
          <w:b/>
          <w:bCs w:val="0"/>
          <w:kern w:val="0"/>
          <w:sz w:val="21"/>
          <w:szCs w:val="21"/>
          <w:highlight w:val="none"/>
          <w:lang w:val="en-US" w:eastAsia="zh-CN"/>
        </w:rPr>
        <w:t>一</w:t>
      </w:r>
      <w:bookmarkEnd w:id="40"/>
    </w:p>
    <w:p w14:paraId="60103151">
      <w:pPr>
        <w:pStyle w:val="5"/>
        <w:adjustRightInd w:val="0"/>
        <w:snapToGrid w:val="0"/>
        <w:ind w:firstLine="0" w:firstLineChars="0"/>
        <w:jc w:val="center"/>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廉洁协议书</w:t>
      </w:r>
    </w:p>
    <w:p w14:paraId="2CBA7B68">
      <w:pPr>
        <w:pStyle w:val="5"/>
        <w:adjustRightInd w:val="0"/>
        <w:snapToGrid w:val="0"/>
        <w:ind w:left="4843" w:hanging="4237" w:hangingChars="2018"/>
        <w:rPr>
          <w:rFonts w:hint="eastAsia" w:ascii="宋体" w:hAnsi="宋体" w:eastAsia="宋体" w:cs="宋体"/>
          <w:sz w:val="21"/>
          <w:szCs w:val="21"/>
          <w:highlight w:val="none"/>
        </w:rPr>
      </w:pPr>
    </w:p>
    <w:p w14:paraId="7C49DA1C">
      <w:pPr>
        <w:pStyle w:val="5"/>
        <w:adjustRightInd w:val="0"/>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为增强甲乙双方依法廉洁履约，防止发生违纪违法行为，根据国家有关法律法规和相关规定，特订立本廉洁协议书：</w:t>
      </w:r>
    </w:p>
    <w:p w14:paraId="54BB92A9">
      <w:pPr>
        <w:pStyle w:val="5"/>
        <w:adjustRightInd w:val="0"/>
        <w:snapToGrid w:val="0"/>
        <w:spacing w:line="360" w:lineRule="auto"/>
        <w:ind w:firstLine="422"/>
        <w:rPr>
          <w:rFonts w:hint="eastAsia" w:ascii="宋体" w:hAnsi="宋体" w:eastAsia="宋体" w:cs="宋体"/>
          <w:b/>
          <w:sz w:val="21"/>
          <w:szCs w:val="21"/>
          <w:highlight w:val="none"/>
        </w:rPr>
      </w:pPr>
      <w:r>
        <w:rPr>
          <w:rFonts w:hint="eastAsia" w:ascii="宋体" w:hAnsi="宋体" w:eastAsia="宋体" w:cs="宋体"/>
          <w:b/>
          <w:sz w:val="21"/>
          <w:szCs w:val="21"/>
          <w:highlight w:val="none"/>
        </w:rPr>
        <w:t>第一条  甲、乙双方的共同义务</w:t>
      </w:r>
    </w:p>
    <w:p w14:paraId="6FBC7FCC">
      <w:pPr>
        <w:pStyle w:val="5"/>
        <w:adjustRightInd w:val="0"/>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（一）严格遵守国家有关物资采购、招标投标等市场经济活动的法律法规、政策以及廉洁规定。</w:t>
      </w:r>
    </w:p>
    <w:p w14:paraId="65789E4E">
      <w:pPr>
        <w:pStyle w:val="5"/>
        <w:adjustRightInd w:val="0"/>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（二）严格履行合同约定，自觉承担合同义务。</w:t>
      </w:r>
    </w:p>
    <w:p w14:paraId="3ABE2A12">
      <w:pPr>
        <w:pStyle w:val="5"/>
        <w:adjustRightInd w:val="0"/>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（三）双方合作活动必须坚持公平、公正、公开和诚信守法的原则（法律法规另有规定除外），不得为获取不正当利益损害国家、集体和对方利益，不得违反物资采购、招标投标等方面的规章制度。</w:t>
      </w:r>
    </w:p>
    <w:p w14:paraId="6385F3E5">
      <w:pPr>
        <w:pStyle w:val="5"/>
        <w:adjustRightInd w:val="0"/>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（四）建立健全自我监督制度，开展廉洁教育，公布举报电话，监督并认真查处违法违纪行为。</w:t>
      </w:r>
    </w:p>
    <w:p w14:paraId="5DFF0272">
      <w:pPr>
        <w:pStyle w:val="5"/>
        <w:adjustRightInd w:val="0"/>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（五）发现对方在业务活动中有违规、违纪、违法行为的，应及时提醒对方，情节严重的，应向有关纪检监察部门举报。</w:t>
      </w:r>
    </w:p>
    <w:p w14:paraId="031D1B2A">
      <w:pPr>
        <w:pStyle w:val="5"/>
        <w:adjustRightInd w:val="0"/>
        <w:snapToGrid w:val="0"/>
        <w:spacing w:line="360" w:lineRule="auto"/>
        <w:ind w:firstLine="422"/>
        <w:rPr>
          <w:rFonts w:hint="eastAsia" w:ascii="宋体" w:hAnsi="宋体" w:eastAsia="宋体" w:cs="宋体"/>
          <w:b/>
          <w:sz w:val="21"/>
          <w:szCs w:val="21"/>
          <w:highlight w:val="none"/>
        </w:rPr>
      </w:pPr>
      <w:r>
        <w:rPr>
          <w:rFonts w:hint="eastAsia" w:ascii="宋体" w:hAnsi="宋体" w:eastAsia="宋体" w:cs="宋体"/>
          <w:b/>
          <w:sz w:val="21"/>
          <w:szCs w:val="21"/>
          <w:highlight w:val="none"/>
        </w:rPr>
        <w:t>第二条  甲方的义务</w:t>
      </w:r>
    </w:p>
    <w:p w14:paraId="265D12DD">
      <w:pPr>
        <w:pStyle w:val="5"/>
        <w:adjustRightInd w:val="0"/>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甲方相关工作人员，在业务活动的事前、事中、事后，应遵守以下规定：</w:t>
      </w:r>
    </w:p>
    <w:p w14:paraId="4ED502DF">
      <w:pPr>
        <w:pStyle w:val="5"/>
        <w:adjustRightInd w:val="0"/>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（一）按照公平、公正、公开和诚实守信的原则开展各项业务活动，为乙方提供公平的竞争环境与平台； </w:t>
      </w:r>
    </w:p>
    <w:p w14:paraId="1A4019B0">
      <w:pPr>
        <w:pStyle w:val="5"/>
        <w:adjustRightInd w:val="0"/>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（二）不向乙方泄漏涉及有关业务活动的秘密； </w:t>
      </w:r>
    </w:p>
    <w:p w14:paraId="2C8B4C3D">
      <w:pPr>
        <w:pStyle w:val="5"/>
        <w:adjustRightInd w:val="0"/>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（三）不参与影响相关工作正常和公正开展的其他活动；</w:t>
      </w:r>
    </w:p>
    <w:p w14:paraId="51C6C797">
      <w:pPr>
        <w:pStyle w:val="5"/>
        <w:adjustRightInd w:val="0"/>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（四）不在乙方及/或相关单位报销任何应由甲方或个人支付的费用；</w:t>
      </w:r>
    </w:p>
    <w:p w14:paraId="2AF0EA9F">
      <w:pPr>
        <w:pStyle w:val="5"/>
        <w:adjustRightInd w:val="0"/>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（五）不要求、暗示或接受乙方及/或相关单位为个人装修住房、婚丧嫁娶、配偶子女的工作安排以及境内外旅游等提供方便；</w:t>
      </w:r>
    </w:p>
    <w:p w14:paraId="4B24D863">
      <w:pPr>
        <w:pStyle w:val="5"/>
        <w:adjustRightInd w:val="0"/>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（六）不收受或索取红包、礼金、购物卡、有价证券、贵重物品、感谢费和好处费等非正当利益；</w:t>
      </w:r>
    </w:p>
    <w:p w14:paraId="079F0CDD">
      <w:pPr>
        <w:pStyle w:val="5"/>
        <w:adjustRightInd w:val="0"/>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（七）不向乙方介绍配偶、子女、亲属参与与甲方有关的经济活动，不得以任何理由向乙方和相关单位推荐第三方单位；</w:t>
      </w:r>
    </w:p>
    <w:p w14:paraId="0B7031A1">
      <w:pPr>
        <w:pStyle w:val="5"/>
        <w:adjustRightInd w:val="0"/>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（八）不违反《中国共产党廉洁自律准则》等规定的内容。</w:t>
      </w:r>
    </w:p>
    <w:p w14:paraId="3EC16EEA">
      <w:pPr>
        <w:pStyle w:val="5"/>
        <w:adjustRightInd w:val="0"/>
        <w:snapToGrid w:val="0"/>
        <w:spacing w:line="360" w:lineRule="auto"/>
        <w:ind w:firstLine="422"/>
        <w:rPr>
          <w:rFonts w:hint="eastAsia" w:ascii="宋体" w:hAnsi="宋体" w:eastAsia="宋体" w:cs="宋体"/>
          <w:b/>
          <w:sz w:val="21"/>
          <w:szCs w:val="21"/>
          <w:highlight w:val="none"/>
        </w:rPr>
      </w:pPr>
      <w:r>
        <w:rPr>
          <w:rFonts w:hint="eastAsia" w:ascii="宋体" w:hAnsi="宋体" w:eastAsia="宋体" w:cs="宋体"/>
          <w:b/>
          <w:sz w:val="21"/>
          <w:szCs w:val="21"/>
          <w:highlight w:val="none"/>
        </w:rPr>
        <w:t>第三条  乙方的义务</w:t>
      </w:r>
    </w:p>
    <w:p w14:paraId="4F9645A4">
      <w:pPr>
        <w:pStyle w:val="5"/>
        <w:adjustRightInd w:val="0"/>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在与甲方业务交往过程中，按照有关法律法规和程序开展工作，严格执行国家的有关方针、政策，并遵守以下规定：</w:t>
      </w:r>
    </w:p>
    <w:p w14:paraId="00AE591A">
      <w:pPr>
        <w:pStyle w:val="5"/>
        <w:adjustRightInd w:val="0"/>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（一）不以任何理由为甲方及/或相关单位报销应由对方或个人支付的费用；</w:t>
      </w:r>
    </w:p>
    <w:p w14:paraId="7D5DD457">
      <w:pPr>
        <w:pStyle w:val="5"/>
        <w:adjustRightInd w:val="0"/>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（二）不以任何理由向甲方负责人及/或其工作人员赠送红包、礼金、购物卡、有价证券、贵重物品、感谢费和好处费等非正当利益；</w:t>
      </w:r>
    </w:p>
    <w:p w14:paraId="2542992B">
      <w:pPr>
        <w:pStyle w:val="5"/>
        <w:adjustRightInd w:val="0"/>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（三）不准为甲方、与甲方相关的单位及/或个人装修住房、婚丧嫁取、配偶子女的工作安排以及境内外旅游等提供方便；</w:t>
      </w:r>
    </w:p>
    <w:p w14:paraId="01907C9C">
      <w:pPr>
        <w:pStyle w:val="5"/>
        <w:adjustRightInd w:val="0"/>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（四）不得以谋取非正当利益为目的，擅自与甲方工作人员就业务问题进行私下商谈或者达成利益默契；</w:t>
      </w:r>
    </w:p>
    <w:p w14:paraId="3BFADC10">
      <w:pPr>
        <w:pStyle w:val="5"/>
        <w:adjustRightInd w:val="0"/>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（五）乙方不得向甲方员工及/或其利益代言人提供任何形式的借款；</w:t>
      </w:r>
    </w:p>
    <w:p w14:paraId="3882EE20">
      <w:pPr>
        <w:pStyle w:val="5"/>
        <w:adjustRightInd w:val="0"/>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（六）乙方的股东、董事、监事、经理、高级管理人员、合作项目负责人及项目成员系甲方员工或其利益代言人的，应在合作前以书面方式如实、全面告知甲方。</w:t>
      </w:r>
    </w:p>
    <w:p w14:paraId="746ECE6D">
      <w:pPr>
        <w:pStyle w:val="5"/>
        <w:adjustRightInd w:val="0"/>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七）合作过程中，乙方不得允许甲方员工及/或其配偶持有或由第三方代持有乙方股权（但通过公开的证券交易市场且低于发行在外5%的权益、通过直接或间接持有无实际控制权的基金、或通过受益人非本人或利益代言人的信托方式持有的股份除外），亦不得聘用甲方员工（包括且不限于建立正式劳动关系、劳务派遣、外包服务、兼职、咨询顾问等其他形式）。乙方如有聘用甲方员工配偶及其他利益代言人任职于乙方的，应在聘用之日起三日内以书面方式如实、全面告知甲方。</w:t>
      </w:r>
    </w:p>
    <w:p w14:paraId="1EABD00C">
      <w:pPr>
        <w:pStyle w:val="5"/>
        <w:adjustRightInd w:val="0"/>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（八）发现甲方工作人员有违反本廉洁协议书及党和国家相关法律、法规等文件规定的，应向甲方单位举报，甲方会对所有信息提供者及所提供的全部资料严格保密。</w:t>
      </w:r>
    </w:p>
    <w:p w14:paraId="0D42A360">
      <w:pPr>
        <w:pStyle w:val="5"/>
        <w:adjustRightInd w:val="0"/>
        <w:snapToGrid w:val="0"/>
        <w:spacing w:line="360" w:lineRule="auto"/>
        <w:ind w:firstLine="422"/>
        <w:rPr>
          <w:rFonts w:hint="eastAsia" w:ascii="宋体" w:hAnsi="宋体" w:eastAsia="宋体" w:cs="宋体"/>
          <w:b/>
          <w:sz w:val="21"/>
          <w:szCs w:val="21"/>
          <w:highlight w:val="none"/>
        </w:rPr>
      </w:pPr>
      <w:r>
        <w:rPr>
          <w:rFonts w:hint="eastAsia" w:ascii="宋体" w:hAnsi="宋体" w:eastAsia="宋体" w:cs="宋体"/>
          <w:b/>
          <w:sz w:val="21"/>
          <w:szCs w:val="21"/>
          <w:highlight w:val="none"/>
        </w:rPr>
        <w:t>第四条  相关责任</w:t>
      </w:r>
    </w:p>
    <w:p w14:paraId="2EA51600">
      <w:pPr>
        <w:pStyle w:val="5"/>
        <w:adjustRightInd w:val="0"/>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（一）甲方员工违反本廉洁协议书第一、二条规定的，一经查实，严格按照管理权限，依据有关党纪、法律法规、规章制度给予纪律处分或组织处理；涉嫌犯罪的，移送司法机关依法追究刑事责任。</w:t>
      </w:r>
    </w:p>
    <w:p w14:paraId="51A35CA9">
      <w:pPr>
        <w:pStyle w:val="5"/>
        <w:adjustRightInd w:val="0"/>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二）乙方违反本廉洁协议书第一、三条规定的，一经查实，甲方有权单方部分或全部终止与乙方的合同，同时乙方应向甲方支付所涉订单（合同）金额的10%作为违约金。乙方应于甲方发现违约行为之日起10个工作日内支付违约金，如未及时支付，甲方有权从合同款项和履约保证金中直接扣除。同时，乙方将被列入投标人黑名单。乙方涉嫌犯罪的，甲方将依法移送司法机关依法追究其刑事责任。</w:t>
      </w:r>
    </w:p>
    <w:p w14:paraId="68A7AE87">
      <w:pPr>
        <w:pStyle w:val="5"/>
        <w:adjustRightInd w:val="0"/>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三）若乙方违反本协议第三条第（六）款及/或第（七）款之规定，除应根据上述第（二）款之规定承担违约责任外，乙方还应将因此行为所得的全部收益支付给甲方。乙方应于甲方发现该等违约行为之日起10个工作日内向甲方支付其所得的全部收益，如未及时支付，甲方有权从合同款项中直接扣除，不足部分甲方有权向乙方进行追偿。</w:t>
      </w:r>
    </w:p>
    <w:p w14:paraId="512F952A">
      <w:pPr>
        <w:pStyle w:val="5"/>
        <w:adjustRightInd w:val="0"/>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四）对于乙方，无论是主动还是被动发生第一条、第二条、第三条所示行为的，如果主动向甲方提供有效信息，甲方可以考虑继续与乙方合作并给予相应的奖励，对于上述情形的处理甲方有完全的判断权和自主权，乙方认可并自愿接受处理结果。</w:t>
      </w:r>
    </w:p>
    <w:p w14:paraId="3C8673A5">
      <w:pPr>
        <w:pStyle w:val="5"/>
        <w:adjustRightInd w:val="0"/>
        <w:snapToGrid w:val="0"/>
        <w:spacing w:line="360" w:lineRule="auto"/>
        <w:ind w:firstLine="422"/>
        <w:rPr>
          <w:rFonts w:hint="eastAsia" w:ascii="宋体" w:hAnsi="宋体" w:eastAsia="宋体" w:cs="宋体"/>
          <w:b/>
          <w:sz w:val="21"/>
          <w:szCs w:val="21"/>
          <w:highlight w:val="none"/>
        </w:rPr>
      </w:pPr>
      <w:r>
        <w:rPr>
          <w:rFonts w:hint="eastAsia" w:ascii="宋体" w:hAnsi="宋体" w:eastAsia="宋体" w:cs="宋体"/>
          <w:b/>
          <w:sz w:val="21"/>
          <w:szCs w:val="21"/>
          <w:highlight w:val="none"/>
        </w:rPr>
        <w:t>第五条  协议书生效及法律效力</w:t>
      </w:r>
    </w:p>
    <w:p w14:paraId="2EC9A7B7">
      <w:pPr>
        <w:pStyle w:val="5"/>
        <w:adjustRightInd w:val="0"/>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（一）本廉洁协议书经双方盖章后生效。</w:t>
      </w:r>
    </w:p>
    <w:p w14:paraId="61A3EEEB">
      <w:pPr>
        <w:pStyle w:val="5"/>
        <w:adjustRightInd w:val="0"/>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（二）除非甲乙双方另行签订新的廉洁协议书，否则本廉洁协议书在甲方与乙方存在业务关系期间均对双方产生约束力。</w:t>
      </w:r>
    </w:p>
    <w:p w14:paraId="02176D9F">
      <w:pPr>
        <w:pStyle w:val="5"/>
        <w:adjustRightInd w:val="0"/>
        <w:snapToGrid w:val="0"/>
        <w:spacing w:line="360" w:lineRule="auto"/>
        <w:ind w:firstLine="422"/>
        <w:rPr>
          <w:rFonts w:hint="eastAsia" w:ascii="宋体" w:hAnsi="宋体" w:eastAsia="宋体" w:cs="宋体"/>
          <w:b/>
          <w:sz w:val="21"/>
          <w:szCs w:val="21"/>
          <w:highlight w:val="none"/>
        </w:rPr>
      </w:pPr>
      <w:r>
        <w:rPr>
          <w:rFonts w:hint="eastAsia" w:ascii="宋体" w:hAnsi="宋体" w:eastAsia="宋体" w:cs="宋体"/>
          <w:b/>
          <w:sz w:val="21"/>
          <w:szCs w:val="21"/>
          <w:highlight w:val="none"/>
        </w:rPr>
        <w:t>第六条  其他</w:t>
      </w:r>
    </w:p>
    <w:p w14:paraId="408E3688">
      <w:pPr>
        <w:pStyle w:val="5"/>
        <w:adjustRightInd w:val="0"/>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（一）本廉洁协议书作为主合同附件，与主合同具有同等法律效力。</w:t>
      </w:r>
    </w:p>
    <w:p w14:paraId="72142D18">
      <w:pPr>
        <w:pStyle w:val="5"/>
        <w:adjustRightInd w:val="0"/>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（二）甲乙双方确认在订立本廉洁协议书前已仔细阅读条款内容，甲乙双方对本廉洁协议书所产生的法律责任已清楚知悉并承诺遵守。</w:t>
      </w:r>
    </w:p>
    <w:p w14:paraId="3FDE66F0">
      <w:pPr>
        <w:spacing w:line="360" w:lineRule="auto"/>
        <w:rPr>
          <w:rFonts w:hint="eastAsia" w:ascii="宋体" w:hAnsi="宋体" w:eastAsia="宋体" w:cs="宋体"/>
          <w:sz w:val="21"/>
          <w:szCs w:val="21"/>
          <w:highlight w:val="none"/>
        </w:rPr>
      </w:pPr>
    </w:p>
    <w:p w14:paraId="12FC15A4">
      <w:pPr>
        <w:pStyle w:val="19"/>
        <w:spacing w:line="360" w:lineRule="auto"/>
        <w:ind w:firstLine="210"/>
        <w:rPr>
          <w:rFonts w:hint="eastAsia" w:ascii="宋体" w:hAnsi="宋体" w:eastAsia="宋体" w:cs="宋体"/>
          <w:sz w:val="21"/>
          <w:szCs w:val="21"/>
          <w:highlight w:val="none"/>
        </w:rPr>
      </w:pPr>
    </w:p>
    <w:p w14:paraId="3593A35F">
      <w:pPr>
        <w:widowControl/>
        <w:spacing w:line="360" w:lineRule="auto"/>
        <w:jc w:val="left"/>
        <w:rPr>
          <w:rFonts w:hint="eastAsia" w:ascii="宋体" w:hAnsi="宋体" w:eastAsia="宋体" w:cs="宋体"/>
          <w:sz w:val="21"/>
          <w:szCs w:val="21"/>
          <w:highlight w:val="none"/>
        </w:rPr>
      </w:pPr>
    </w:p>
    <w:p w14:paraId="74394752">
      <w:pPr>
        <w:pStyle w:val="5"/>
        <w:spacing w:line="360" w:lineRule="auto"/>
        <w:ind w:firstLine="0" w:firstLineChars="0"/>
        <w:rPr>
          <w:rFonts w:hint="eastAsia" w:ascii="宋体" w:hAnsi="宋体" w:eastAsia="宋体" w:cs="宋体"/>
          <w:spacing w:val="-20"/>
          <w:sz w:val="21"/>
          <w:szCs w:val="21"/>
          <w:highlight w:val="none"/>
        </w:rPr>
      </w:pPr>
      <w:r>
        <w:rPr>
          <w:rFonts w:hint="eastAsia" w:ascii="宋体" w:hAnsi="宋体" w:eastAsia="宋体" w:cs="宋体"/>
          <w:sz w:val="21"/>
          <w:szCs w:val="21"/>
          <w:highlight w:val="none"/>
        </w:rPr>
        <w:t xml:space="preserve">甲方（盖章）：                                  </w:t>
      </w:r>
      <w:r>
        <w:rPr>
          <w:rFonts w:hint="eastAsia" w:ascii="宋体" w:hAnsi="宋体" w:eastAsia="宋体" w:cs="宋体"/>
          <w:spacing w:val="-20"/>
          <w:sz w:val="21"/>
          <w:szCs w:val="21"/>
          <w:highlight w:val="none"/>
        </w:rPr>
        <w:t>乙方（盖章）：</w:t>
      </w:r>
    </w:p>
    <w:p w14:paraId="4BEA72C7">
      <w:pPr>
        <w:pStyle w:val="5"/>
        <w:spacing w:line="360" w:lineRule="auto"/>
        <w:ind w:firstLine="0" w:firstLineChars="0"/>
        <w:rPr>
          <w:rFonts w:hint="eastAsia" w:ascii="宋体" w:hAnsi="宋体" w:eastAsia="宋体" w:cs="宋体"/>
          <w:sz w:val="21"/>
          <w:szCs w:val="21"/>
          <w:highlight w:val="none"/>
        </w:rPr>
      </w:pPr>
    </w:p>
    <w:p w14:paraId="6D3FA177">
      <w:pPr>
        <w:pStyle w:val="5"/>
        <w:spacing w:line="360" w:lineRule="auto"/>
        <w:rPr>
          <w:rFonts w:hint="eastAsia" w:ascii="宋体" w:hAnsi="宋体" w:eastAsia="宋体" w:cs="宋体"/>
          <w:sz w:val="21"/>
          <w:szCs w:val="21"/>
          <w:highlight w:val="none"/>
        </w:rPr>
      </w:pPr>
    </w:p>
    <w:p w14:paraId="4591BA08">
      <w:pPr>
        <w:pStyle w:val="5"/>
        <w:spacing w:line="360" w:lineRule="auto"/>
        <w:ind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日期：    年    月   日                       </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 xml:space="preserve"> 日期：    年    月   日</w:t>
      </w:r>
    </w:p>
    <w:p w14:paraId="377D7408">
      <w:pPr>
        <w:rPr>
          <w:rFonts w:hint="eastAsia" w:ascii="宋体" w:hAnsi="宋体" w:eastAsia="宋体" w:cs="宋体"/>
          <w:kern w:val="0"/>
          <w:sz w:val="28"/>
          <w:szCs w:val="28"/>
          <w:highlight w:val="none"/>
        </w:rPr>
      </w:pPr>
    </w:p>
    <w:p w14:paraId="1E2846A5">
      <w:pP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br w:type="page"/>
      </w:r>
    </w:p>
    <w:p w14:paraId="36A1189D">
      <w:pPr>
        <w:pStyle w:val="18"/>
        <w:spacing w:before="0" w:after="0"/>
        <w:jc w:val="left"/>
        <w:rPr>
          <w:rFonts w:hint="eastAsia" w:ascii="宋体" w:hAnsi="宋体" w:eastAsia="宋体" w:cs="宋体"/>
          <w:b/>
          <w:bCs w:val="0"/>
          <w:kern w:val="0"/>
          <w:sz w:val="21"/>
          <w:szCs w:val="21"/>
          <w:highlight w:val="none"/>
          <w:lang w:eastAsia="zh-CN"/>
        </w:rPr>
      </w:pPr>
      <w:bookmarkStart w:id="41" w:name="_Toc8097"/>
      <w:r>
        <w:rPr>
          <w:rFonts w:hint="eastAsia" w:ascii="宋体" w:hAnsi="宋体" w:eastAsia="宋体" w:cs="宋体"/>
          <w:b/>
          <w:bCs w:val="0"/>
          <w:kern w:val="0"/>
          <w:sz w:val="21"/>
          <w:szCs w:val="21"/>
          <w:highlight w:val="none"/>
        </w:rPr>
        <w:t>附件</w:t>
      </w:r>
      <w:r>
        <w:rPr>
          <w:rFonts w:hint="eastAsia" w:ascii="宋体" w:hAnsi="宋体" w:eastAsia="宋体" w:cs="宋体"/>
          <w:b/>
          <w:bCs w:val="0"/>
          <w:kern w:val="0"/>
          <w:sz w:val="21"/>
          <w:szCs w:val="21"/>
          <w:highlight w:val="none"/>
          <w:lang w:val="en-US" w:eastAsia="zh-CN"/>
        </w:rPr>
        <w:t>二</w:t>
      </w:r>
      <w:bookmarkEnd w:id="41"/>
    </w:p>
    <w:p w14:paraId="48AFEC03">
      <w:pPr>
        <w:pStyle w:val="5"/>
        <w:spacing w:line="480" w:lineRule="exact"/>
        <w:ind w:firstLine="0" w:firstLineChars="0"/>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发货清单</w:t>
      </w:r>
    </w:p>
    <w:tbl>
      <w:tblPr>
        <w:tblStyle w:val="21"/>
        <w:tblW w:w="5000" w:type="pct"/>
        <w:jc w:val="center"/>
        <w:shd w:val="clear" w:color="auto" w:fill="auto"/>
        <w:tblLayout w:type="autofit"/>
        <w:tblCellMar>
          <w:top w:w="0" w:type="dxa"/>
          <w:left w:w="108" w:type="dxa"/>
          <w:bottom w:w="0" w:type="dxa"/>
          <w:right w:w="108" w:type="dxa"/>
        </w:tblCellMar>
      </w:tblPr>
      <w:tblGrid>
        <w:gridCol w:w="523"/>
        <w:gridCol w:w="1541"/>
        <w:gridCol w:w="1541"/>
        <w:gridCol w:w="778"/>
        <w:gridCol w:w="83"/>
        <w:gridCol w:w="1993"/>
        <w:gridCol w:w="2057"/>
      </w:tblGrid>
      <w:tr w14:paraId="173A29BF">
        <w:tblPrEx>
          <w:tblCellMar>
            <w:top w:w="0" w:type="dxa"/>
            <w:left w:w="108" w:type="dxa"/>
            <w:bottom w:w="0" w:type="dxa"/>
            <w:right w:w="108" w:type="dxa"/>
          </w:tblCellMar>
        </w:tblPrEx>
        <w:trPr>
          <w:trHeight w:val="567" w:hRule="exact"/>
          <w:jc w:val="center"/>
        </w:trPr>
        <w:tc>
          <w:tcPr>
            <w:tcW w:w="5000" w:type="pct"/>
            <w:gridSpan w:val="7"/>
            <w:shd w:val="clear" w:color="auto" w:fill="auto"/>
            <w:noWrap w:val="0"/>
            <w:vAlign w:val="center"/>
          </w:tcPr>
          <w:p w14:paraId="0F76625B">
            <w:pPr>
              <w:widowControl/>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收物单位：</w:t>
            </w:r>
          </w:p>
        </w:tc>
      </w:tr>
      <w:tr w14:paraId="4CFE5CDF">
        <w:tblPrEx>
          <w:tblCellMar>
            <w:top w:w="0" w:type="dxa"/>
            <w:left w:w="108" w:type="dxa"/>
            <w:bottom w:w="0" w:type="dxa"/>
            <w:right w:w="108" w:type="dxa"/>
          </w:tblCellMar>
        </w:tblPrEx>
        <w:trPr>
          <w:trHeight w:val="567" w:hRule="exact"/>
          <w:jc w:val="center"/>
        </w:trPr>
        <w:tc>
          <w:tcPr>
            <w:tcW w:w="5000" w:type="pct"/>
            <w:gridSpan w:val="7"/>
            <w:shd w:val="clear" w:color="auto" w:fill="auto"/>
            <w:noWrap w:val="0"/>
            <w:vAlign w:val="center"/>
          </w:tcPr>
          <w:p w14:paraId="0D5D6275">
            <w:pPr>
              <w:widowControl/>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收物地址：</w:t>
            </w:r>
          </w:p>
        </w:tc>
      </w:tr>
      <w:tr w14:paraId="1143EEDC">
        <w:tblPrEx>
          <w:tblCellMar>
            <w:top w:w="0" w:type="dxa"/>
            <w:left w:w="108" w:type="dxa"/>
            <w:bottom w:w="0" w:type="dxa"/>
            <w:right w:w="108" w:type="dxa"/>
          </w:tblCellMar>
        </w:tblPrEx>
        <w:trPr>
          <w:trHeight w:val="567" w:hRule="exact"/>
          <w:jc w:val="center"/>
        </w:trPr>
        <w:tc>
          <w:tcPr>
            <w:tcW w:w="5000" w:type="pct"/>
            <w:gridSpan w:val="7"/>
            <w:tcBorders>
              <w:bottom w:val="single" w:color="000000" w:sz="4" w:space="0"/>
            </w:tcBorders>
            <w:shd w:val="clear" w:color="auto" w:fill="auto"/>
            <w:noWrap w:val="0"/>
            <w:vAlign w:val="center"/>
          </w:tcPr>
          <w:p w14:paraId="28C299D1">
            <w:pPr>
              <w:widowControl/>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收物人：                   手机：</w:t>
            </w:r>
          </w:p>
        </w:tc>
      </w:tr>
      <w:tr w14:paraId="7CA33509">
        <w:tblPrEx>
          <w:tblCellMar>
            <w:top w:w="0" w:type="dxa"/>
            <w:left w:w="108" w:type="dxa"/>
            <w:bottom w:w="0" w:type="dxa"/>
            <w:right w:w="108" w:type="dxa"/>
          </w:tblCellMar>
        </w:tblPrEx>
        <w:trPr>
          <w:trHeight w:val="567" w:hRule="exact"/>
          <w:jc w:val="center"/>
        </w:trPr>
        <w:tc>
          <w:tcPr>
            <w:tcW w:w="5000" w:type="pct"/>
            <w:gridSpan w:val="7"/>
            <w:shd w:val="clear" w:color="auto" w:fill="auto"/>
            <w:noWrap w:val="0"/>
            <w:vAlign w:val="center"/>
          </w:tcPr>
          <w:p w14:paraId="4C87761D">
            <w:pPr>
              <w:widowControl/>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发物单位（盖章）：</w:t>
            </w:r>
          </w:p>
        </w:tc>
      </w:tr>
      <w:tr w14:paraId="3061B9A7">
        <w:tblPrEx>
          <w:tblCellMar>
            <w:top w:w="0" w:type="dxa"/>
            <w:left w:w="108" w:type="dxa"/>
            <w:bottom w:w="0" w:type="dxa"/>
            <w:right w:w="108" w:type="dxa"/>
          </w:tblCellMar>
        </w:tblPrEx>
        <w:trPr>
          <w:trHeight w:val="567" w:hRule="exact"/>
          <w:jc w:val="center"/>
        </w:trPr>
        <w:tc>
          <w:tcPr>
            <w:tcW w:w="5000" w:type="pct"/>
            <w:gridSpan w:val="7"/>
            <w:shd w:val="clear" w:color="auto" w:fill="auto"/>
            <w:noWrap w:val="0"/>
            <w:vAlign w:val="center"/>
          </w:tcPr>
          <w:p w14:paraId="33DE736A">
            <w:pPr>
              <w:widowControl/>
              <w:jc w:val="left"/>
              <w:rPr>
                <w:rFonts w:hint="eastAsia" w:ascii="宋体" w:hAnsi="宋体" w:eastAsia="宋体" w:cs="宋体"/>
                <w:kern w:val="0"/>
                <w:sz w:val="21"/>
                <w:szCs w:val="21"/>
                <w:highlight w:val="none"/>
              </w:rPr>
            </w:pPr>
          </w:p>
        </w:tc>
      </w:tr>
      <w:tr w14:paraId="0ECB9A81">
        <w:tblPrEx>
          <w:tblCellMar>
            <w:top w:w="0" w:type="dxa"/>
            <w:left w:w="108" w:type="dxa"/>
            <w:bottom w:w="0" w:type="dxa"/>
            <w:right w:w="108" w:type="dxa"/>
          </w:tblCellMar>
        </w:tblPrEx>
        <w:trPr>
          <w:trHeight w:val="567" w:hRule="exact"/>
          <w:jc w:val="center"/>
        </w:trPr>
        <w:tc>
          <w:tcPr>
            <w:tcW w:w="5000" w:type="pct"/>
            <w:gridSpan w:val="7"/>
            <w:shd w:val="clear" w:color="auto" w:fill="auto"/>
            <w:noWrap w:val="0"/>
            <w:vAlign w:val="center"/>
          </w:tcPr>
          <w:p w14:paraId="3F0B2207">
            <w:pPr>
              <w:widowControl/>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发物地址：</w:t>
            </w:r>
          </w:p>
        </w:tc>
      </w:tr>
      <w:tr w14:paraId="695467A4">
        <w:tblPrEx>
          <w:tblCellMar>
            <w:top w:w="0" w:type="dxa"/>
            <w:left w:w="108" w:type="dxa"/>
            <w:bottom w:w="0" w:type="dxa"/>
            <w:right w:w="108" w:type="dxa"/>
          </w:tblCellMar>
        </w:tblPrEx>
        <w:trPr>
          <w:trHeight w:val="567" w:hRule="exact"/>
          <w:jc w:val="center"/>
        </w:trPr>
        <w:tc>
          <w:tcPr>
            <w:tcW w:w="5000" w:type="pct"/>
            <w:gridSpan w:val="7"/>
            <w:tcBorders>
              <w:bottom w:val="single" w:color="000000" w:sz="4" w:space="0"/>
            </w:tcBorders>
            <w:shd w:val="clear" w:color="auto" w:fill="auto"/>
            <w:noWrap w:val="0"/>
            <w:vAlign w:val="center"/>
          </w:tcPr>
          <w:p w14:paraId="637AC6E1">
            <w:pPr>
              <w:widowControl/>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发物人：                   手机：</w:t>
            </w:r>
          </w:p>
        </w:tc>
      </w:tr>
      <w:tr w14:paraId="2BE51ED1">
        <w:tblPrEx>
          <w:tblCellMar>
            <w:top w:w="0" w:type="dxa"/>
            <w:left w:w="108" w:type="dxa"/>
            <w:bottom w:w="0" w:type="dxa"/>
            <w:right w:w="108" w:type="dxa"/>
          </w:tblCellMar>
        </w:tblPrEx>
        <w:trPr>
          <w:trHeight w:val="383" w:hRule="atLeast"/>
          <w:jc w:val="center"/>
        </w:trPr>
        <w:tc>
          <w:tcPr>
            <w:tcW w:w="3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5B1ACD">
            <w:pPr>
              <w:widowControl/>
              <w:jc w:val="center"/>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序号</w:t>
            </w:r>
          </w:p>
        </w:tc>
        <w:tc>
          <w:tcPr>
            <w:tcW w:w="905" w:type="pct"/>
            <w:tcBorders>
              <w:top w:val="single" w:color="000000" w:sz="4" w:space="0"/>
              <w:left w:val="nil"/>
              <w:bottom w:val="single" w:color="000000" w:sz="4" w:space="0"/>
              <w:right w:val="single" w:color="000000" w:sz="4" w:space="0"/>
            </w:tcBorders>
            <w:shd w:val="clear" w:color="auto" w:fill="auto"/>
            <w:noWrap w:val="0"/>
            <w:vAlign w:val="center"/>
          </w:tcPr>
          <w:p w14:paraId="19CBDB53">
            <w:pPr>
              <w:widowControl/>
              <w:jc w:val="center"/>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品名</w:t>
            </w:r>
          </w:p>
        </w:tc>
        <w:tc>
          <w:tcPr>
            <w:tcW w:w="905" w:type="pct"/>
            <w:tcBorders>
              <w:top w:val="single" w:color="000000" w:sz="4" w:space="0"/>
              <w:left w:val="nil"/>
              <w:bottom w:val="single" w:color="000000" w:sz="4" w:space="0"/>
              <w:right w:val="single" w:color="000000" w:sz="4" w:space="0"/>
            </w:tcBorders>
            <w:shd w:val="clear" w:color="auto" w:fill="auto"/>
            <w:noWrap w:val="0"/>
            <w:vAlign w:val="center"/>
          </w:tcPr>
          <w:p w14:paraId="1F16CC8B">
            <w:pPr>
              <w:widowControl/>
              <w:jc w:val="center"/>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型号</w:t>
            </w:r>
          </w:p>
        </w:tc>
        <w:tc>
          <w:tcPr>
            <w:tcW w:w="457" w:type="pct"/>
            <w:tcBorders>
              <w:top w:val="single" w:color="000000" w:sz="4" w:space="0"/>
              <w:left w:val="nil"/>
              <w:bottom w:val="single" w:color="000000" w:sz="4" w:space="0"/>
              <w:right w:val="single" w:color="auto" w:sz="4" w:space="0"/>
            </w:tcBorders>
            <w:shd w:val="clear" w:color="auto" w:fill="auto"/>
            <w:noWrap w:val="0"/>
            <w:vAlign w:val="center"/>
          </w:tcPr>
          <w:p w14:paraId="3A0BFAAA">
            <w:pPr>
              <w:widowControl/>
              <w:jc w:val="center"/>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计量</w:t>
            </w:r>
          </w:p>
          <w:p w14:paraId="3E46E833">
            <w:pPr>
              <w:widowControl/>
              <w:jc w:val="center"/>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单位</w:t>
            </w:r>
          </w:p>
        </w:tc>
        <w:tc>
          <w:tcPr>
            <w:tcW w:w="1219" w:type="pct"/>
            <w:gridSpan w:val="2"/>
            <w:tcBorders>
              <w:top w:val="single" w:color="000000" w:sz="4" w:space="0"/>
              <w:left w:val="single" w:color="auto" w:sz="4" w:space="0"/>
              <w:bottom w:val="single" w:color="000000" w:sz="4" w:space="0"/>
              <w:right w:val="single" w:color="auto" w:sz="4" w:space="0"/>
            </w:tcBorders>
            <w:shd w:val="clear" w:color="auto" w:fill="auto"/>
            <w:noWrap w:val="0"/>
            <w:vAlign w:val="center"/>
          </w:tcPr>
          <w:p w14:paraId="0A286FB1">
            <w:pPr>
              <w:jc w:val="center"/>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合同约定交货数量</w:t>
            </w:r>
          </w:p>
          <w:p w14:paraId="7E88C01D">
            <w:pPr>
              <w:jc w:val="center"/>
              <w:rPr>
                <w:rFonts w:hint="eastAsia" w:ascii="宋体" w:hAnsi="宋体" w:eastAsia="宋体" w:cs="宋体"/>
                <w:sz w:val="21"/>
                <w:szCs w:val="21"/>
                <w:highlight w:val="none"/>
              </w:rPr>
            </w:pPr>
            <w:r>
              <w:rPr>
                <w:rFonts w:hint="eastAsia" w:ascii="宋体" w:hAnsi="宋体" w:eastAsia="宋体" w:cs="宋体"/>
                <w:b/>
                <w:kern w:val="0"/>
                <w:sz w:val="21"/>
                <w:szCs w:val="21"/>
                <w:highlight w:val="none"/>
              </w:rPr>
              <w:t>（由发物单位填写）</w:t>
            </w:r>
          </w:p>
        </w:tc>
        <w:tc>
          <w:tcPr>
            <w:tcW w:w="1203" w:type="pct"/>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253A7BCC">
            <w:pPr>
              <w:jc w:val="center"/>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本次交货和到货数量</w:t>
            </w:r>
          </w:p>
          <w:p w14:paraId="5D9B4819">
            <w:pPr>
              <w:jc w:val="center"/>
              <w:rPr>
                <w:rFonts w:hint="eastAsia" w:ascii="宋体" w:hAnsi="宋体" w:eastAsia="宋体" w:cs="宋体"/>
                <w:sz w:val="21"/>
                <w:szCs w:val="21"/>
                <w:highlight w:val="none"/>
              </w:rPr>
            </w:pPr>
            <w:r>
              <w:rPr>
                <w:rFonts w:hint="eastAsia" w:ascii="宋体" w:hAnsi="宋体" w:eastAsia="宋体" w:cs="宋体"/>
                <w:b/>
                <w:kern w:val="0"/>
                <w:sz w:val="21"/>
                <w:szCs w:val="21"/>
                <w:highlight w:val="none"/>
              </w:rPr>
              <w:t>（由发物单位填写）</w:t>
            </w:r>
          </w:p>
        </w:tc>
      </w:tr>
      <w:tr w14:paraId="3C8BB095">
        <w:tblPrEx>
          <w:tblCellMar>
            <w:top w:w="0" w:type="dxa"/>
            <w:left w:w="108" w:type="dxa"/>
            <w:bottom w:w="0" w:type="dxa"/>
            <w:right w:w="108" w:type="dxa"/>
          </w:tblCellMar>
        </w:tblPrEx>
        <w:trPr>
          <w:trHeight w:val="328" w:hRule="atLeast"/>
          <w:jc w:val="center"/>
        </w:trPr>
        <w:tc>
          <w:tcPr>
            <w:tcW w:w="307" w:type="pct"/>
            <w:tcBorders>
              <w:top w:val="nil"/>
              <w:left w:val="single" w:color="000000" w:sz="4" w:space="0"/>
              <w:bottom w:val="single" w:color="000000" w:sz="4" w:space="0"/>
              <w:right w:val="single" w:color="000000" w:sz="4" w:space="0"/>
            </w:tcBorders>
            <w:shd w:val="clear" w:color="auto" w:fill="auto"/>
            <w:noWrap w:val="0"/>
            <w:vAlign w:val="center"/>
          </w:tcPr>
          <w:p w14:paraId="526608C3">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w:t>
            </w:r>
          </w:p>
        </w:tc>
        <w:tc>
          <w:tcPr>
            <w:tcW w:w="905" w:type="pct"/>
            <w:tcBorders>
              <w:top w:val="nil"/>
              <w:left w:val="nil"/>
              <w:bottom w:val="single" w:color="000000" w:sz="4" w:space="0"/>
              <w:right w:val="single" w:color="000000" w:sz="4" w:space="0"/>
            </w:tcBorders>
            <w:shd w:val="clear" w:color="auto" w:fill="auto"/>
            <w:noWrap w:val="0"/>
            <w:vAlign w:val="center"/>
          </w:tcPr>
          <w:p w14:paraId="11D8E687">
            <w:pPr>
              <w:widowControl/>
              <w:jc w:val="center"/>
              <w:rPr>
                <w:rFonts w:hint="eastAsia" w:ascii="宋体" w:hAnsi="宋体" w:eastAsia="宋体" w:cs="宋体"/>
                <w:kern w:val="0"/>
                <w:sz w:val="21"/>
                <w:szCs w:val="21"/>
                <w:highlight w:val="none"/>
              </w:rPr>
            </w:pPr>
          </w:p>
        </w:tc>
        <w:tc>
          <w:tcPr>
            <w:tcW w:w="905" w:type="pct"/>
            <w:tcBorders>
              <w:top w:val="nil"/>
              <w:left w:val="nil"/>
              <w:bottom w:val="single" w:color="000000" w:sz="4" w:space="0"/>
              <w:right w:val="single" w:color="000000" w:sz="4" w:space="0"/>
            </w:tcBorders>
            <w:shd w:val="clear" w:color="auto" w:fill="auto"/>
            <w:noWrap w:val="0"/>
            <w:vAlign w:val="center"/>
          </w:tcPr>
          <w:p w14:paraId="02CB2BF6">
            <w:pPr>
              <w:widowControl/>
              <w:jc w:val="center"/>
              <w:rPr>
                <w:rFonts w:hint="eastAsia" w:ascii="宋体" w:hAnsi="宋体" w:eastAsia="宋体" w:cs="宋体"/>
                <w:kern w:val="0"/>
                <w:sz w:val="21"/>
                <w:szCs w:val="21"/>
                <w:highlight w:val="none"/>
              </w:rPr>
            </w:pPr>
          </w:p>
        </w:tc>
        <w:tc>
          <w:tcPr>
            <w:tcW w:w="457" w:type="pct"/>
            <w:tcBorders>
              <w:top w:val="nil"/>
              <w:left w:val="nil"/>
              <w:bottom w:val="single" w:color="000000" w:sz="4" w:space="0"/>
              <w:right w:val="single" w:color="auto" w:sz="4" w:space="0"/>
            </w:tcBorders>
            <w:shd w:val="clear" w:color="auto" w:fill="auto"/>
            <w:noWrap w:val="0"/>
            <w:vAlign w:val="center"/>
          </w:tcPr>
          <w:p w14:paraId="7164683E">
            <w:pPr>
              <w:widowControl/>
              <w:jc w:val="center"/>
              <w:rPr>
                <w:rFonts w:hint="eastAsia" w:ascii="宋体" w:hAnsi="宋体" w:eastAsia="宋体" w:cs="宋体"/>
                <w:kern w:val="0"/>
                <w:sz w:val="21"/>
                <w:szCs w:val="21"/>
                <w:highlight w:val="none"/>
              </w:rPr>
            </w:pPr>
          </w:p>
        </w:tc>
        <w:tc>
          <w:tcPr>
            <w:tcW w:w="1219" w:type="pct"/>
            <w:gridSpan w:val="2"/>
            <w:tcBorders>
              <w:top w:val="nil"/>
              <w:left w:val="nil"/>
              <w:bottom w:val="single" w:color="000000" w:sz="4" w:space="0"/>
              <w:right w:val="single" w:color="auto" w:sz="4" w:space="0"/>
            </w:tcBorders>
            <w:shd w:val="clear" w:color="auto" w:fill="auto"/>
            <w:noWrap w:val="0"/>
            <w:vAlign w:val="center"/>
          </w:tcPr>
          <w:p w14:paraId="35E1823E">
            <w:pPr>
              <w:widowControl/>
              <w:jc w:val="center"/>
              <w:rPr>
                <w:rFonts w:hint="eastAsia" w:ascii="宋体" w:hAnsi="宋体" w:eastAsia="宋体" w:cs="宋体"/>
                <w:kern w:val="0"/>
                <w:sz w:val="21"/>
                <w:szCs w:val="21"/>
                <w:highlight w:val="none"/>
              </w:rPr>
            </w:pPr>
          </w:p>
        </w:tc>
        <w:tc>
          <w:tcPr>
            <w:tcW w:w="1203" w:type="pct"/>
            <w:tcBorders>
              <w:top w:val="nil"/>
              <w:left w:val="single" w:color="auto" w:sz="4" w:space="0"/>
              <w:bottom w:val="single" w:color="000000" w:sz="4" w:space="0"/>
              <w:right w:val="single" w:color="000000" w:sz="4" w:space="0"/>
            </w:tcBorders>
            <w:shd w:val="clear" w:color="auto" w:fill="auto"/>
            <w:noWrap w:val="0"/>
            <w:vAlign w:val="center"/>
          </w:tcPr>
          <w:p w14:paraId="2F152DC4">
            <w:pPr>
              <w:widowControl/>
              <w:jc w:val="center"/>
              <w:rPr>
                <w:rFonts w:hint="eastAsia" w:ascii="宋体" w:hAnsi="宋体" w:eastAsia="宋体" w:cs="宋体"/>
                <w:kern w:val="0"/>
                <w:sz w:val="21"/>
                <w:szCs w:val="21"/>
                <w:highlight w:val="none"/>
              </w:rPr>
            </w:pPr>
          </w:p>
        </w:tc>
      </w:tr>
      <w:tr w14:paraId="708C5170">
        <w:tblPrEx>
          <w:tblCellMar>
            <w:top w:w="0" w:type="dxa"/>
            <w:left w:w="108" w:type="dxa"/>
            <w:bottom w:w="0" w:type="dxa"/>
            <w:right w:w="108" w:type="dxa"/>
          </w:tblCellMar>
        </w:tblPrEx>
        <w:trPr>
          <w:trHeight w:val="328" w:hRule="atLeast"/>
          <w:jc w:val="center"/>
        </w:trPr>
        <w:tc>
          <w:tcPr>
            <w:tcW w:w="307" w:type="pct"/>
            <w:tcBorders>
              <w:top w:val="nil"/>
              <w:left w:val="single" w:color="000000" w:sz="4" w:space="0"/>
              <w:bottom w:val="single" w:color="000000" w:sz="4" w:space="0"/>
              <w:right w:val="single" w:color="000000" w:sz="4" w:space="0"/>
            </w:tcBorders>
            <w:shd w:val="clear" w:color="auto" w:fill="auto"/>
            <w:noWrap w:val="0"/>
            <w:vAlign w:val="center"/>
          </w:tcPr>
          <w:p w14:paraId="624A17C8">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w:t>
            </w:r>
          </w:p>
        </w:tc>
        <w:tc>
          <w:tcPr>
            <w:tcW w:w="905" w:type="pct"/>
            <w:tcBorders>
              <w:top w:val="nil"/>
              <w:left w:val="nil"/>
              <w:bottom w:val="single" w:color="000000" w:sz="4" w:space="0"/>
              <w:right w:val="single" w:color="000000" w:sz="4" w:space="0"/>
            </w:tcBorders>
            <w:shd w:val="clear" w:color="auto" w:fill="auto"/>
            <w:noWrap w:val="0"/>
            <w:vAlign w:val="center"/>
          </w:tcPr>
          <w:p w14:paraId="11FCF870">
            <w:pPr>
              <w:widowControl/>
              <w:jc w:val="center"/>
              <w:rPr>
                <w:rFonts w:hint="eastAsia" w:ascii="宋体" w:hAnsi="宋体" w:eastAsia="宋体" w:cs="宋体"/>
                <w:kern w:val="0"/>
                <w:sz w:val="21"/>
                <w:szCs w:val="21"/>
                <w:highlight w:val="none"/>
              </w:rPr>
            </w:pPr>
          </w:p>
        </w:tc>
        <w:tc>
          <w:tcPr>
            <w:tcW w:w="905" w:type="pct"/>
            <w:tcBorders>
              <w:top w:val="nil"/>
              <w:left w:val="nil"/>
              <w:bottom w:val="single" w:color="000000" w:sz="4" w:space="0"/>
              <w:right w:val="single" w:color="000000" w:sz="4" w:space="0"/>
            </w:tcBorders>
            <w:shd w:val="clear" w:color="auto" w:fill="auto"/>
            <w:noWrap w:val="0"/>
            <w:vAlign w:val="center"/>
          </w:tcPr>
          <w:p w14:paraId="64620F66">
            <w:pPr>
              <w:widowControl/>
              <w:jc w:val="center"/>
              <w:rPr>
                <w:rFonts w:hint="eastAsia" w:ascii="宋体" w:hAnsi="宋体" w:eastAsia="宋体" w:cs="宋体"/>
                <w:kern w:val="0"/>
                <w:sz w:val="21"/>
                <w:szCs w:val="21"/>
                <w:highlight w:val="none"/>
              </w:rPr>
            </w:pPr>
          </w:p>
        </w:tc>
        <w:tc>
          <w:tcPr>
            <w:tcW w:w="457" w:type="pct"/>
            <w:tcBorders>
              <w:top w:val="nil"/>
              <w:left w:val="nil"/>
              <w:bottom w:val="single" w:color="000000" w:sz="4" w:space="0"/>
              <w:right w:val="single" w:color="auto" w:sz="4" w:space="0"/>
            </w:tcBorders>
            <w:shd w:val="clear" w:color="auto" w:fill="auto"/>
            <w:noWrap w:val="0"/>
            <w:vAlign w:val="center"/>
          </w:tcPr>
          <w:p w14:paraId="4E080D6D">
            <w:pPr>
              <w:widowControl/>
              <w:jc w:val="center"/>
              <w:rPr>
                <w:rFonts w:hint="eastAsia" w:ascii="宋体" w:hAnsi="宋体" w:eastAsia="宋体" w:cs="宋体"/>
                <w:kern w:val="0"/>
                <w:sz w:val="21"/>
                <w:szCs w:val="21"/>
                <w:highlight w:val="none"/>
              </w:rPr>
            </w:pPr>
          </w:p>
        </w:tc>
        <w:tc>
          <w:tcPr>
            <w:tcW w:w="1219" w:type="pct"/>
            <w:gridSpan w:val="2"/>
            <w:tcBorders>
              <w:top w:val="nil"/>
              <w:left w:val="nil"/>
              <w:bottom w:val="single" w:color="000000" w:sz="4" w:space="0"/>
              <w:right w:val="single" w:color="auto" w:sz="4" w:space="0"/>
            </w:tcBorders>
            <w:shd w:val="clear" w:color="auto" w:fill="auto"/>
            <w:noWrap w:val="0"/>
            <w:vAlign w:val="center"/>
          </w:tcPr>
          <w:p w14:paraId="6DA3954C">
            <w:pPr>
              <w:widowControl/>
              <w:jc w:val="center"/>
              <w:rPr>
                <w:rFonts w:hint="eastAsia" w:ascii="宋体" w:hAnsi="宋体" w:eastAsia="宋体" w:cs="宋体"/>
                <w:kern w:val="0"/>
                <w:sz w:val="21"/>
                <w:szCs w:val="21"/>
                <w:highlight w:val="none"/>
              </w:rPr>
            </w:pPr>
          </w:p>
        </w:tc>
        <w:tc>
          <w:tcPr>
            <w:tcW w:w="1203" w:type="pct"/>
            <w:tcBorders>
              <w:top w:val="nil"/>
              <w:left w:val="single" w:color="auto" w:sz="4" w:space="0"/>
              <w:bottom w:val="single" w:color="000000" w:sz="4" w:space="0"/>
              <w:right w:val="single" w:color="000000" w:sz="4" w:space="0"/>
            </w:tcBorders>
            <w:shd w:val="clear" w:color="auto" w:fill="auto"/>
            <w:noWrap w:val="0"/>
            <w:vAlign w:val="center"/>
          </w:tcPr>
          <w:p w14:paraId="754E2908">
            <w:pPr>
              <w:widowControl/>
              <w:jc w:val="center"/>
              <w:rPr>
                <w:rFonts w:hint="eastAsia" w:ascii="宋体" w:hAnsi="宋体" w:eastAsia="宋体" w:cs="宋体"/>
                <w:kern w:val="0"/>
                <w:sz w:val="21"/>
                <w:szCs w:val="21"/>
                <w:highlight w:val="none"/>
              </w:rPr>
            </w:pPr>
          </w:p>
        </w:tc>
      </w:tr>
      <w:tr w14:paraId="1032F687">
        <w:tblPrEx>
          <w:tblCellMar>
            <w:top w:w="0" w:type="dxa"/>
            <w:left w:w="108" w:type="dxa"/>
            <w:bottom w:w="0" w:type="dxa"/>
            <w:right w:w="108" w:type="dxa"/>
          </w:tblCellMar>
        </w:tblPrEx>
        <w:trPr>
          <w:trHeight w:val="328" w:hRule="atLeast"/>
          <w:jc w:val="center"/>
        </w:trPr>
        <w:tc>
          <w:tcPr>
            <w:tcW w:w="307" w:type="pct"/>
            <w:tcBorders>
              <w:top w:val="nil"/>
              <w:left w:val="single" w:color="000000" w:sz="4" w:space="0"/>
              <w:bottom w:val="single" w:color="000000" w:sz="4" w:space="0"/>
              <w:right w:val="single" w:color="000000" w:sz="4" w:space="0"/>
            </w:tcBorders>
            <w:shd w:val="clear" w:color="auto" w:fill="auto"/>
            <w:noWrap w:val="0"/>
            <w:vAlign w:val="center"/>
          </w:tcPr>
          <w:p w14:paraId="3211F809">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w:t>
            </w:r>
          </w:p>
        </w:tc>
        <w:tc>
          <w:tcPr>
            <w:tcW w:w="905" w:type="pct"/>
            <w:tcBorders>
              <w:top w:val="nil"/>
              <w:left w:val="nil"/>
              <w:bottom w:val="single" w:color="000000" w:sz="4" w:space="0"/>
              <w:right w:val="single" w:color="000000" w:sz="4" w:space="0"/>
            </w:tcBorders>
            <w:shd w:val="clear" w:color="auto" w:fill="auto"/>
            <w:noWrap w:val="0"/>
            <w:vAlign w:val="center"/>
          </w:tcPr>
          <w:p w14:paraId="00E8F689">
            <w:pPr>
              <w:widowControl/>
              <w:jc w:val="center"/>
              <w:rPr>
                <w:rFonts w:hint="eastAsia" w:ascii="宋体" w:hAnsi="宋体" w:eastAsia="宋体" w:cs="宋体"/>
                <w:kern w:val="0"/>
                <w:sz w:val="21"/>
                <w:szCs w:val="21"/>
                <w:highlight w:val="none"/>
              </w:rPr>
            </w:pPr>
          </w:p>
        </w:tc>
        <w:tc>
          <w:tcPr>
            <w:tcW w:w="905" w:type="pct"/>
            <w:tcBorders>
              <w:top w:val="nil"/>
              <w:left w:val="nil"/>
              <w:bottom w:val="single" w:color="000000" w:sz="4" w:space="0"/>
              <w:right w:val="single" w:color="000000" w:sz="4" w:space="0"/>
            </w:tcBorders>
            <w:shd w:val="clear" w:color="auto" w:fill="auto"/>
            <w:noWrap w:val="0"/>
            <w:vAlign w:val="center"/>
          </w:tcPr>
          <w:p w14:paraId="6A573DF6">
            <w:pPr>
              <w:widowControl/>
              <w:jc w:val="center"/>
              <w:rPr>
                <w:rFonts w:hint="eastAsia" w:ascii="宋体" w:hAnsi="宋体" w:eastAsia="宋体" w:cs="宋体"/>
                <w:kern w:val="0"/>
                <w:sz w:val="21"/>
                <w:szCs w:val="21"/>
                <w:highlight w:val="none"/>
              </w:rPr>
            </w:pPr>
          </w:p>
        </w:tc>
        <w:tc>
          <w:tcPr>
            <w:tcW w:w="457" w:type="pct"/>
            <w:tcBorders>
              <w:top w:val="nil"/>
              <w:left w:val="nil"/>
              <w:bottom w:val="single" w:color="000000" w:sz="4" w:space="0"/>
              <w:right w:val="single" w:color="auto" w:sz="4" w:space="0"/>
            </w:tcBorders>
            <w:shd w:val="clear" w:color="auto" w:fill="auto"/>
            <w:noWrap w:val="0"/>
            <w:vAlign w:val="center"/>
          </w:tcPr>
          <w:p w14:paraId="7E9E4565">
            <w:pPr>
              <w:widowControl/>
              <w:jc w:val="center"/>
              <w:rPr>
                <w:rFonts w:hint="eastAsia" w:ascii="宋体" w:hAnsi="宋体" w:eastAsia="宋体" w:cs="宋体"/>
                <w:kern w:val="0"/>
                <w:sz w:val="21"/>
                <w:szCs w:val="21"/>
                <w:highlight w:val="none"/>
              </w:rPr>
            </w:pPr>
          </w:p>
        </w:tc>
        <w:tc>
          <w:tcPr>
            <w:tcW w:w="1219" w:type="pct"/>
            <w:gridSpan w:val="2"/>
            <w:tcBorders>
              <w:top w:val="nil"/>
              <w:left w:val="nil"/>
              <w:bottom w:val="single" w:color="000000" w:sz="4" w:space="0"/>
              <w:right w:val="single" w:color="auto" w:sz="4" w:space="0"/>
            </w:tcBorders>
            <w:shd w:val="clear" w:color="auto" w:fill="auto"/>
            <w:noWrap w:val="0"/>
            <w:vAlign w:val="center"/>
          </w:tcPr>
          <w:p w14:paraId="6148CAC4">
            <w:pPr>
              <w:widowControl/>
              <w:jc w:val="center"/>
              <w:rPr>
                <w:rFonts w:hint="eastAsia" w:ascii="宋体" w:hAnsi="宋体" w:eastAsia="宋体" w:cs="宋体"/>
                <w:kern w:val="0"/>
                <w:sz w:val="21"/>
                <w:szCs w:val="21"/>
                <w:highlight w:val="none"/>
              </w:rPr>
            </w:pPr>
          </w:p>
        </w:tc>
        <w:tc>
          <w:tcPr>
            <w:tcW w:w="1203" w:type="pct"/>
            <w:tcBorders>
              <w:top w:val="nil"/>
              <w:left w:val="single" w:color="auto" w:sz="4" w:space="0"/>
              <w:bottom w:val="single" w:color="000000" w:sz="4" w:space="0"/>
              <w:right w:val="single" w:color="000000" w:sz="4" w:space="0"/>
            </w:tcBorders>
            <w:shd w:val="clear" w:color="auto" w:fill="auto"/>
            <w:noWrap w:val="0"/>
            <w:vAlign w:val="center"/>
          </w:tcPr>
          <w:p w14:paraId="4B9A8962">
            <w:pPr>
              <w:widowControl/>
              <w:jc w:val="center"/>
              <w:rPr>
                <w:rFonts w:hint="eastAsia" w:ascii="宋体" w:hAnsi="宋体" w:eastAsia="宋体" w:cs="宋体"/>
                <w:kern w:val="0"/>
                <w:sz w:val="21"/>
                <w:szCs w:val="21"/>
                <w:highlight w:val="none"/>
              </w:rPr>
            </w:pPr>
          </w:p>
        </w:tc>
      </w:tr>
      <w:tr w14:paraId="43A51A6B">
        <w:trPr>
          <w:trHeight w:val="328" w:hRule="atLeast"/>
          <w:jc w:val="center"/>
        </w:trPr>
        <w:tc>
          <w:tcPr>
            <w:tcW w:w="307" w:type="pct"/>
            <w:tcBorders>
              <w:top w:val="nil"/>
              <w:left w:val="single" w:color="000000" w:sz="4" w:space="0"/>
              <w:bottom w:val="single" w:color="000000" w:sz="4" w:space="0"/>
              <w:right w:val="single" w:color="000000" w:sz="4" w:space="0"/>
            </w:tcBorders>
            <w:shd w:val="clear" w:color="auto" w:fill="auto"/>
            <w:noWrap w:val="0"/>
            <w:vAlign w:val="center"/>
          </w:tcPr>
          <w:p w14:paraId="150F5D41">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w:t>
            </w:r>
          </w:p>
        </w:tc>
        <w:tc>
          <w:tcPr>
            <w:tcW w:w="905" w:type="pct"/>
            <w:tcBorders>
              <w:top w:val="nil"/>
              <w:left w:val="nil"/>
              <w:bottom w:val="single" w:color="000000" w:sz="4" w:space="0"/>
              <w:right w:val="single" w:color="000000" w:sz="4" w:space="0"/>
            </w:tcBorders>
            <w:shd w:val="clear" w:color="auto" w:fill="auto"/>
            <w:noWrap w:val="0"/>
            <w:vAlign w:val="center"/>
          </w:tcPr>
          <w:p w14:paraId="1CE027AA">
            <w:pPr>
              <w:widowControl/>
              <w:jc w:val="center"/>
              <w:rPr>
                <w:rFonts w:hint="eastAsia" w:ascii="宋体" w:hAnsi="宋体" w:eastAsia="宋体" w:cs="宋体"/>
                <w:kern w:val="0"/>
                <w:sz w:val="21"/>
                <w:szCs w:val="21"/>
                <w:highlight w:val="none"/>
              </w:rPr>
            </w:pPr>
          </w:p>
        </w:tc>
        <w:tc>
          <w:tcPr>
            <w:tcW w:w="905" w:type="pct"/>
            <w:tcBorders>
              <w:top w:val="nil"/>
              <w:left w:val="nil"/>
              <w:bottom w:val="single" w:color="000000" w:sz="4" w:space="0"/>
              <w:right w:val="single" w:color="000000" w:sz="4" w:space="0"/>
            </w:tcBorders>
            <w:shd w:val="clear" w:color="auto" w:fill="auto"/>
            <w:noWrap w:val="0"/>
            <w:vAlign w:val="center"/>
          </w:tcPr>
          <w:p w14:paraId="0CEA6968">
            <w:pPr>
              <w:widowControl/>
              <w:jc w:val="center"/>
              <w:rPr>
                <w:rFonts w:hint="eastAsia" w:ascii="宋体" w:hAnsi="宋体" w:eastAsia="宋体" w:cs="宋体"/>
                <w:kern w:val="0"/>
                <w:sz w:val="21"/>
                <w:szCs w:val="21"/>
                <w:highlight w:val="none"/>
              </w:rPr>
            </w:pPr>
          </w:p>
        </w:tc>
        <w:tc>
          <w:tcPr>
            <w:tcW w:w="457" w:type="pct"/>
            <w:tcBorders>
              <w:top w:val="nil"/>
              <w:left w:val="nil"/>
              <w:bottom w:val="single" w:color="000000" w:sz="4" w:space="0"/>
              <w:right w:val="single" w:color="auto" w:sz="4" w:space="0"/>
            </w:tcBorders>
            <w:shd w:val="clear" w:color="auto" w:fill="auto"/>
            <w:noWrap w:val="0"/>
            <w:vAlign w:val="center"/>
          </w:tcPr>
          <w:p w14:paraId="516C77BF">
            <w:pPr>
              <w:widowControl/>
              <w:jc w:val="center"/>
              <w:rPr>
                <w:rFonts w:hint="eastAsia" w:ascii="宋体" w:hAnsi="宋体" w:eastAsia="宋体" w:cs="宋体"/>
                <w:kern w:val="0"/>
                <w:sz w:val="21"/>
                <w:szCs w:val="21"/>
                <w:highlight w:val="none"/>
              </w:rPr>
            </w:pPr>
          </w:p>
        </w:tc>
        <w:tc>
          <w:tcPr>
            <w:tcW w:w="1219" w:type="pct"/>
            <w:gridSpan w:val="2"/>
            <w:tcBorders>
              <w:top w:val="nil"/>
              <w:left w:val="nil"/>
              <w:bottom w:val="single" w:color="000000" w:sz="4" w:space="0"/>
              <w:right w:val="single" w:color="auto" w:sz="4" w:space="0"/>
            </w:tcBorders>
            <w:shd w:val="clear" w:color="auto" w:fill="auto"/>
            <w:noWrap w:val="0"/>
            <w:vAlign w:val="center"/>
          </w:tcPr>
          <w:p w14:paraId="6CBD5617">
            <w:pPr>
              <w:widowControl/>
              <w:jc w:val="center"/>
              <w:rPr>
                <w:rFonts w:hint="eastAsia" w:ascii="宋体" w:hAnsi="宋体" w:eastAsia="宋体" w:cs="宋体"/>
                <w:kern w:val="0"/>
                <w:sz w:val="21"/>
                <w:szCs w:val="21"/>
                <w:highlight w:val="none"/>
              </w:rPr>
            </w:pPr>
          </w:p>
        </w:tc>
        <w:tc>
          <w:tcPr>
            <w:tcW w:w="1203" w:type="pct"/>
            <w:tcBorders>
              <w:top w:val="nil"/>
              <w:left w:val="single" w:color="auto" w:sz="4" w:space="0"/>
              <w:bottom w:val="single" w:color="000000" w:sz="4" w:space="0"/>
              <w:right w:val="single" w:color="000000" w:sz="4" w:space="0"/>
            </w:tcBorders>
            <w:shd w:val="clear" w:color="auto" w:fill="auto"/>
            <w:noWrap w:val="0"/>
            <w:vAlign w:val="center"/>
          </w:tcPr>
          <w:p w14:paraId="159A69EE">
            <w:pPr>
              <w:widowControl/>
              <w:jc w:val="center"/>
              <w:rPr>
                <w:rFonts w:hint="eastAsia" w:ascii="宋体" w:hAnsi="宋体" w:eastAsia="宋体" w:cs="宋体"/>
                <w:kern w:val="0"/>
                <w:sz w:val="21"/>
                <w:szCs w:val="21"/>
                <w:highlight w:val="none"/>
              </w:rPr>
            </w:pPr>
          </w:p>
        </w:tc>
      </w:tr>
      <w:tr w14:paraId="132953BD">
        <w:tblPrEx>
          <w:tblCellMar>
            <w:top w:w="0" w:type="dxa"/>
            <w:left w:w="108" w:type="dxa"/>
            <w:bottom w:w="0" w:type="dxa"/>
            <w:right w:w="108" w:type="dxa"/>
          </w:tblCellMar>
        </w:tblPrEx>
        <w:trPr>
          <w:trHeight w:val="328" w:hRule="atLeast"/>
          <w:jc w:val="center"/>
        </w:trPr>
        <w:tc>
          <w:tcPr>
            <w:tcW w:w="307" w:type="pct"/>
            <w:tcBorders>
              <w:top w:val="nil"/>
              <w:left w:val="single" w:color="000000" w:sz="4" w:space="0"/>
              <w:bottom w:val="single" w:color="000000" w:sz="4" w:space="0"/>
              <w:right w:val="single" w:color="000000" w:sz="4" w:space="0"/>
            </w:tcBorders>
            <w:shd w:val="clear" w:color="auto" w:fill="auto"/>
            <w:noWrap w:val="0"/>
            <w:vAlign w:val="center"/>
          </w:tcPr>
          <w:p w14:paraId="40B92725">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5</w:t>
            </w:r>
          </w:p>
        </w:tc>
        <w:tc>
          <w:tcPr>
            <w:tcW w:w="905" w:type="pct"/>
            <w:tcBorders>
              <w:top w:val="nil"/>
              <w:left w:val="nil"/>
              <w:bottom w:val="single" w:color="000000" w:sz="4" w:space="0"/>
              <w:right w:val="single" w:color="000000" w:sz="4" w:space="0"/>
            </w:tcBorders>
            <w:shd w:val="clear" w:color="auto" w:fill="auto"/>
            <w:noWrap w:val="0"/>
            <w:vAlign w:val="center"/>
          </w:tcPr>
          <w:p w14:paraId="2153869C">
            <w:pPr>
              <w:widowControl/>
              <w:jc w:val="center"/>
              <w:rPr>
                <w:rFonts w:hint="eastAsia" w:ascii="宋体" w:hAnsi="宋体" w:eastAsia="宋体" w:cs="宋体"/>
                <w:kern w:val="0"/>
                <w:sz w:val="21"/>
                <w:szCs w:val="21"/>
                <w:highlight w:val="none"/>
              </w:rPr>
            </w:pPr>
          </w:p>
        </w:tc>
        <w:tc>
          <w:tcPr>
            <w:tcW w:w="905" w:type="pct"/>
            <w:tcBorders>
              <w:top w:val="nil"/>
              <w:left w:val="nil"/>
              <w:bottom w:val="single" w:color="000000" w:sz="4" w:space="0"/>
              <w:right w:val="single" w:color="000000" w:sz="4" w:space="0"/>
            </w:tcBorders>
            <w:shd w:val="clear" w:color="auto" w:fill="auto"/>
            <w:noWrap w:val="0"/>
            <w:vAlign w:val="center"/>
          </w:tcPr>
          <w:p w14:paraId="427D5B30">
            <w:pPr>
              <w:widowControl/>
              <w:jc w:val="center"/>
              <w:rPr>
                <w:rFonts w:hint="eastAsia" w:ascii="宋体" w:hAnsi="宋体" w:eastAsia="宋体" w:cs="宋体"/>
                <w:kern w:val="0"/>
                <w:sz w:val="21"/>
                <w:szCs w:val="21"/>
                <w:highlight w:val="none"/>
              </w:rPr>
            </w:pPr>
          </w:p>
        </w:tc>
        <w:tc>
          <w:tcPr>
            <w:tcW w:w="457" w:type="pct"/>
            <w:tcBorders>
              <w:top w:val="nil"/>
              <w:left w:val="nil"/>
              <w:bottom w:val="single" w:color="000000" w:sz="4" w:space="0"/>
              <w:right w:val="single" w:color="auto" w:sz="4" w:space="0"/>
            </w:tcBorders>
            <w:shd w:val="clear" w:color="auto" w:fill="auto"/>
            <w:noWrap w:val="0"/>
            <w:vAlign w:val="center"/>
          </w:tcPr>
          <w:p w14:paraId="0B63CCD0">
            <w:pPr>
              <w:widowControl/>
              <w:jc w:val="center"/>
              <w:rPr>
                <w:rFonts w:hint="eastAsia" w:ascii="宋体" w:hAnsi="宋体" w:eastAsia="宋体" w:cs="宋体"/>
                <w:kern w:val="0"/>
                <w:sz w:val="21"/>
                <w:szCs w:val="21"/>
                <w:highlight w:val="none"/>
              </w:rPr>
            </w:pPr>
          </w:p>
        </w:tc>
        <w:tc>
          <w:tcPr>
            <w:tcW w:w="1219" w:type="pct"/>
            <w:gridSpan w:val="2"/>
            <w:tcBorders>
              <w:top w:val="nil"/>
              <w:left w:val="nil"/>
              <w:bottom w:val="single" w:color="000000" w:sz="4" w:space="0"/>
              <w:right w:val="single" w:color="auto" w:sz="4" w:space="0"/>
            </w:tcBorders>
            <w:shd w:val="clear" w:color="auto" w:fill="auto"/>
            <w:noWrap w:val="0"/>
            <w:vAlign w:val="center"/>
          </w:tcPr>
          <w:p w14:paraId="1BE6E963">
            <w:pPr>
              <w:widowControl/>
              <w:jc w:val="center"/>
              <w:rPr>
                <w:rFonts w:hint="eastAsia" w:ascii="宋体" w:hAnsi="宋体" w:eastAsia="宋体" w:cs="宋体"/>
                <w:kern w:val="0"/>
                <w:sz w:val="21"/>
                <w:szCs w:val="21"/>
                <w:highlight w:val="none"/>
              </w:rPr>
            </w:pPr>
          </w:p>
        </w:tc>
        <w:tc>
          <w:tcPr>
            <w:tcW w:w="1203" w:type="pct"/>
            <w:tcBorders>
              <w:top w:val="nil"/>
              <w:left w:val="single" w:color="auto" w:sz="4" w:space="0"/>
              <w:bottom w:val="single" w:color="000000" w:sz="4" w:space="0"/>
              <w:right w:val="single" w:color="000000" w:sz="4" w:space="0"/>
            </w:tcBorders>
            <w:shd w:val="clear" w:color="auto" w:fill="auto"/>
            <w:noWrap w:val="0"/>
            <w:vAlign w:val="center"/>
          </w:tcPr>
          <w:p w14:paraId="43468006">
            <w:pPr>
              <w:widowControl/>
              <w:jc w:val="center"/>
              <w:rPr>
                <w:rFonts w:hint="eastAsia" w:ascii="宋体" w:hAnsi="宋体" w:eastAsia="宋体" w:cs="宋体"/>
                <w:kern w:val="0"/>
                <w:sz w:val="21"/>
                <w:szCs w:val="21"/>
                <w:highlight w:val="none"/>
              </w:rPr>
            </w:pPr>
          </w:p>
        </w:tc>
      </w:tr>
      <w:tr w14:paraId="2FEDADC1">
        <w:tblPrEx>
          <w:tblCellMar>
            <w:top w:w="0" w:type="dxa"/>
            <w:left w:w="108" w:type="dxa"/>
            <w:bottom w:w="0" w:type="dxa"/>
            <w:right w:w="108" w:type="dxa"/>
          </w:tblCellMar>
        </w:tblPrEx>
        <w:trPr>
          <w:trHeight w:val="328" w:hRule="atLeast"/>
          <w:jc w:val="center"/>
        </w:trPr>
        <w:tc>
          <w:tcPr>
            <w:tcW w:w="307" w:type="pct"/>
            <w:vMerge w:val="restart"/>
            <w:tcBorders>
              <w:top w:val="nil"/>
              <w:left w:val="single" w:color="000000" w:sz="4" w:space="0"/>
              <w:bottom w:val="single" w:color="000000" w:sz="4" w:space="0"/>
              <w:right w:val="single" w:color="000000" w:sz="4" w:space="0"/>
            </w:tcBorders>
            <w:shd w:val="clear" w:color="auto" w:fill="auto"/>
            <w:noWrap w:val="0"/>
            <w:vAlign w:val="center"/>
          </w:tcPr>
          <w:p w14:paraId="2F4203E8">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备注</w:t>
            </w:r>
          </w:p>
        </w:tc>
        <w:tc>
          <w:tcPr>
            <w:tcW w:w="4692" w:type="pct"/>
            <w:gridSpan w:val="6"/>
            <w:tcBorders>
              <w:top w:val="single" w:color="000000" w:sz="4" w:space="0"/>
              <w:left w:val="nil"/>
              <w:bottom w:val="single" w:color="000000" w:sz="4" w:space="0"/>
              <w:right w:val="single" w:color="000000" w:sz="4" w:space="0"/>
            </w:tcBorders>
            <w:shd w:val="clear" w:color="auto" w:fill="auto"/>
            <w:noWrap w:val="0"/>
            <w:vAlign w:val="center"/>
          </w:tcPr>
          <w:p w14:paraId="3B35418B">
            <w:pPr>
              <w:widowControl/>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1.收货单位对照此清单，确认货物包装完好、品名、数量、号型准确无误后，收货单位方可盖章、签字。</w:t>
            </w:r>
          </w:p>
        </w:tc>
      </w:tr>
      <w:tr w14:paraId="6B7E183F">
        <w:tblPrEx>
          <w:tblCellMar>
            <w:top w:w="0" w:type="dxa"/>
            <w:left w:w="108" w:type="dxa"/>
            <w:bottom w:w="0" w:type="dxa"/>
            <w:right w:w="108" w:type="dxa"/>
          </w:tblCellMar>
        </w:tblPrEx>
        <w:trPr>
          <w:trHeight w:val="328" w:hRule="atLeast"/>
          <w:jc w:val="center"/>
        </w:trPr>
        <w:tc>
          <w:tcPr>
            <w:tcW w:w="307" w:type="pct"/>
            <w:vMerge w:val="continue"/>
            <w:tcBorders>
              <w:top w:val="nil"/>
              <w:left w:val="single" w:color="000000" w:sz="4" w:space="0"/>
              <w:bottom w:val="single" w:color="000000" w:sz="4" w:space="0"/>
              <w:right w:val="single" w:color="000000" w:sz="4" w:space="0"/>
            </w:tcBorders>
            <w:shd w:val="clear" w:color="auto" w:fill="auto"/>
            <w:noWrap w:val="0"/>
            <w:vAlign w:val="center"/>
          </w:tcPr>
          <w:p w14:paraId="00420835">
            <w:pPr>
              <w:rPr>
                <w:rFonts w:hint="eastAsia" w:ascii="宋体" w:hAnsi="宋体" w:eastAsia="宋体" w:cs="宋体"/>
                <w:sz w:val="21"/>
                <w:szCs w:val="21"/>
                <w:highlight w:val="none"/>
              </w:rPr>
            </w:pPr>
          </w:p>
        </w:tc>
        <w:tc>
          <w:tcPr>
            <w:tcW w:w="4692" w:type="pct"/>
            <w:gridSpan w:val="6"/>
            <w:tcBorders>
              <w:top w:val="single" w:color="000000" w:sz="4" w:space="0"/>
              <w:left w:val="nil"/>
              <w:bottom w:val="single" w:color="000000" w:sz="4" w:space="0"/>
              <w:right w:val="single" w:color="000000" w:sz="4" w:space="0"/>
            </w:tcBorders>
            <w:shd w:val="clear" w:color="auto" w:fill="auto"/>
            <w:noWrap w:val="0"/>
            <w:vAlign w:val="center"/>
          </w:tcPr>
          <w:p w14:paraId="0F84BBD4">
            <w:pPr>
              <w:widowControl/>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2.本交货清单一式三份，接收单位留存一份，发货单位留存二份（一份交</w:t>
            </w:r>
            <w:r>
              <w:rPr>
                <w:rFonts w:hint="eastAsia" w:ascii="宋体" w:hAnsi="宋体" w:eastAsia="宋体" w:cs="宋体"/>
                <w:kern w:val="0"/>
                <w:sz w:val="21"/>
                <w:szCs w:val="21"/>
                <w:highlight w:val="none"/>
                <w:lang w:val="en-US" w:eastAsia="zh-CN"/>
              </w:rPr>
              <w:t>采购人</w:t>
            </w:r>
            <w:r>
              <w:rPr>
                <w:rFonts w:hint="eastAsia" w:ascii="宋体" w:hAnsi="宋体" w:eastAsia="宋体" w:cs="宋体"/>
                <w:kern w:val="0"/>
                <w:sz w:val="21"/>
                <w:szCs w:val="21"/>
                <w:highlight w:val="none"/>
              </w:rPr>
              <w:t>。</w:t>
            </w:r>
          </w:p>
        </w:tc>
      </w:tr>
      <w:tr w14:paraId="3E455DA4">
        <w:tblPrEx>
          <w:tblCellMar>
            <w:top w:w="0" w:type="dxa"/>
            <w:left w:w="108" w:type="dxa"/>
            <w:bottom w:w="0" w:type="dxa"/>
            <w:right w:w="108" w:type="dxa"/>
          </w:tblCellMar>
        </w:tblPrEx>
        <w:trPr>
          <w:trHeight w:val="504" w:hRule="atLeast"/>
          <w:jc w:val="center"/>
        </w:trPr>
        <w:tc>
          <w:tcPr>
            <w:tcW w:w="307" w:type="pct"/>
            <w:vMerge w:val="continue"/>
            <w:tcBorders>
              <w:top w:val="nil"/>
              <w:left w:val="single" w:color="000000" w:sz="4" w:space="0"/>
              <w:bottom w:val="single" w:color="000000" w:sz="4" w:space="0"/>
              <w:right w:val="single" w:color="000000" w:sz="4" w:space="0"/>
            </w:tcBorders>
            <w:shd w:val="clear" w:color="auto" w:fill="auto"/>
            <w:noWrap w:val="0"/>
            <w:vAlign w:val="center"/>
          </w:tcPr>
          <w:p w14:paraId="13F61498">
            <w:pPr>
              <w:rPr>
                <w:rFonts w:hint="eastAsia" w:ascii="宋体" w:hAnsi="宋体" w:eastAsia="宋体" w:cs="宋体"/>
                <w:sz w:val="21"/>
                <w:szCs w:val="21"/>
                <w:highlight w:val="none"/>
              </w:rPr>
            </w:pPr>
          </w:p>
        </w:tc>
        <w:tc>
          <w:tcPr>
            <w:tcW w:w="4692" w:type="pct"/>
            <w:gridSpan w:val="6"/>
            <w:tcBorders>
              <w:top w:val="single" w:color="000000" w:sz="4" w:space="0"/>
              <w:left w:val="nil"/>
              <w:bottom w:val="single" w:color="000000" w:sz="4" w:space="0"/>
              <w:right w:val="single" w:color="000000" w:sz="4" w:space="0"/>
            </w:tcBorders>
            <w:shd w:val="clear" w:color="auto" w:fill="auto"/>
            <w:noWrap w:val="0"/>
            <w:vAlign w:val="center"/>
          </w:tcPr>
          <w:p w14:paraId="0BF39359">
            <w:pPr>
              <w:widowControl/>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xml:space="preserve">3.确认收货和盖章、签字后，收货单位将此清单的彩色扫描件发至发货厂家邮箱： </w:t>
            </w:r>
          </w:p>
        </w:tc>
      </w:tr>
      <w:tr w14:paraId="02DC8C7A">
        <w:tblPrEx>
          <w:tblCellMar>
            <w:top w:w="0" w:type="dxa"/>
            <w:left w:w="108" w:type="dxa"/>
            <w:bottom w:w="0" w:type="dxa"/>
            <w:right w:w="108" w:type="dxa"/>
          </w:tblCellMar>
        </w:tblPrEx>
        <w:trPr>
          <w:trHeight w:val="439" w:hRule="atLeast"/>
          <w:jc w:val="center"/>
        </w:trPr>
        <w:tc>
          <w:tcPr>
            <w:tcW w:w="5000" w:type="pct"/>
            <w:gridSpan w:val="7"/>
            <w:tcBorders>
              <w:top w:val="single" w:color="000000" w:sz="4" w:space="0"/>
              <w:left w:val="nil"/>
              <w:bottom w:val="nil"/>
              <w:right w:val="nil"/>
            </w:tcBorders>
            <w:shd w:val="clear" w:color="auto" w:fill="auto"/>
            <w:noWrap w:val="0"/>
            <w:vAlign w:val="center"/>
          </w:tcPr>
          <w:p w14:paraId="621897A3">
            <w:pPr>
              <w:widowControl/>
              <w:jc w:val="left"/>
              <w:rPr>
                <w:rFonts w:hint="eastAsia" w:ascii="宋体" w:hAnsi="宋体" w:eastAsia="宋体" w:cs="宋体"/>
                <w:kern w:val="0"/>
                <w:sz w:val="21"/>
                <w:szCs w:val="21"/>
                <w:highlight w:val="none"/>
              </w:rPr>
            </w:pPr>
          </w:p>
        </w:tc>
      </w:tr>
      <w:tr w14:paraId="6444A56F">
        <w:trPr>
          <w:trHeight w:val="1018" w:hRule="atLeast"/>
          <w:jc w:val="center"/>
        </w:trPr>
        <w:tc>
          <w:tcPr>
            <w:tcW w:w="2623" w:type="pct"/>
            <w:gridSpan w:val="5"/>
            <w:shd w:val="clear" w:color="auto" w:fill="auto"/>
            <w:noWrap w:val="0"/>
            <w:vAlign w:val="center"/>
          </w:tcPr>
          <w:p w14:paraId="61D00626">
            <w:pPr>
              <w:widowControl/>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收货单位（盖章）：</w:t>
            </w:r>
          </w:p>
        </w:tc>
        <w:tc>
          <w:tcPr>
            <w:tcW w:w="2376" w:type="pct"/>
            <w:gridSpan w:val="2"/>
            <w:shd w:val="clear" w:color="auto" w:fill="auto"/>
            <w:noWrap w:val="0"/>
            <w:vAlign w:val="center"/>
          </w:tcPr>
          <w:p w14:paraId="7F0772C2">
            <w:pPr>
              <w:widowControl/>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签收人(双人签字)：</w:t>
            </w:r>
          </w:p>
        </w:tc>
      </w:tr>
      <w:tr w14:paraId="59181F65">
        <w:tblPrEx>
          <w:tblCellMar>
            <w:top w:w="0" w:type="dxa"/>
            <w:left w:w="108" w:type="dxa"/>
            <w:bottom w:w="0" w:type="dxa"/>
            <w:right w:w="108" w:type="dxa"/>
          </w:tblCellMar>
        </w:tblPrEx>
        <w:trPr>
          <w:trHeight w:val="597" w:hRule="atLeast"/>
          <w:jc w:val="center"/>
        </w:trPr>
        <w:tc>
          <w:tcPr>
            <w:tcW w:w="5000" w:type="pct"/>
            <w:gridSpan w:val="7"/>
            <w:shd w:val="clear" w:color="auto" w:fill="auto"/>
            <w:noWrap w:val="0"/>
            <w:vAlign w:val="center"/>
          </w:tcPr>
          <w:p w14:paraId="5D636CE0">
            <w:pPr>
              <w:widowControl/>
              <w:jc w:val="left"/>
              <w:rPr>
                <w:rFonts w:hint="eastAsia" w:ascii="宋体" w:hAnsi="宋体" w:eastAsia="宋体" w:cs="宋体"/>
                <w:kern w:val="0"/>
                <w:sz w:val="21"/>
                <w:szCs w:val="21"/>
                <w:highlight w:val="none"/>
              </w:rPr>
            </w:pPr>
          </w:p>
        </w:tc>
      </w:tr>
      <w:tr w14:paraId="0EF4934B">
        <w:tblPrEx>
          <w:tblCellMar>
            <w:top w:w="0" w:type="dxa"/>
            <w:left w:w="108" w:type="dxa"/>
            <w:bottom w:w="0" w:type="dxa"/>
            <w:right w:w="108" w:type="dxa"/>
          </w:tblCellMar>
        </w:tblPrEx>
        <w:trPr>
          <w:trHeight w:val="597" w:hRule="atLeast"/>
          <w:jc w:val="center"/>
        </w:trPr>
        <w:tc>
          <w:tcPr>
            <w:tcW w:w="5000" w:type="pct"/>
            <w:gridSpan w:val="7"/>
            <w:shd w:val="clear" w:color="auto" w:fill="auto"/>
            <w:noWrap w:val="0"/>
            <w:vAlign w:val="center"/>
          </w:tcPr>
          <w:p w14:paraId="68E374EA">
            <w:pPr>
              <w:widowControl/>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签收时间：    年   月   日</w:t>
            </w:r>
          </w:p>
        </w:tc>
      </w:tr>
    </w:tbl>
    <w:p w14:paraId="17A78F31">
      <w:pPr>
        <w:rPr>
          <w:rFonts w:hint="eastAsia"/>
        </w:rPr>
      </w:pPr>
    </w:p>
    <w:p w14:paraId="206487CC">
      <w:pPr>
        <w:rPr>
          <w:rFonts w:hint="eastAsia" w:ascii="宋体" w:hAnsi="宋体" w:eastAsia="宋体" w:cs="宋体"/>
          <w:sz w:val="28"/>
          <w:szCs w:val="28"/>
        </w:rPr>
      </w:pPr>
      <w:r>
        <w:rPr>
          <w:rFonts w:hint="eastAsia" w:ascii="宋体" w:hAnsi="宋体" w:eastAsia="宋体" w:cs="宋体"/>
          <w:sz w:val="28"/>
          <w:szCs w:val="28"/>
        </w:rPr>
        <w:br w:type="page"/>
      </w:r>
    </w:p>
    <w:p w14:paraId="4517F185">
      <w:pPr>
        <w:numPr>
          <w:ilvl w:val="0"/>
          <w:numId w:val="0"/>
        </w:numPr>
        <w:tabs>
          <w:tab w:val="left" w:pos="0"/>
        </w:tabs>
        <w:bidi w:val="0"/>
        <w:ind w:leftChars="0"/>
        <w:jc w:val="center"/>
        <w:outlineLvl w:val="0"/>
        <w:rPr>
          <w:rFonts w:hint="eastAsia"/>
          <w:b/>
          <w:bCs/>
          <w:color w:val="000000"/>
          <w:sz w:val="32"/>
          <w:szCs w:val="32"/>
          <w:highlight w:val="yellow"/>
        </w:rPr>
      </w:pPr>
      <w:bookmarkStart w:id="42" w:name="_Toc13023"/>
      <w:r>
        <w:rPr>
          <w:rFonts w:hint="eastAsia"/>
          <w:b/>
          <w:bCs/>
          <w:color w:val="000000"/>
          <w:sz w:val="32"/>
          <w:szCs w:val="32"/>
          <w:highlight w:val="none"/>
          <w:lang w:val="en-US" w:eastAsia="zh-CN"/>
        </w:rPr>
        <w:t xml:space="preserve">第五章 </w:t>
      </w:r>
      <w:r>
        <w:rPr>
          <w:rFonts w:hint="eastAsia"/>
          <w:b/>
          <w:bCs/>
          <w:color w:val="000000"/>
          <w:sz w:val="32"/>
          <w:szCs w:val="32"/>
          <w:highlight w:val="none"/>
        </w:rPr>
        <w:t>采购需求</w:t>
      </w:r>
      <w:bookmarkEnd w:id="42"/>
    </w:p>
    <w:p w14:paraId="1A0DFAC7">
      <w:pPr>
        <w:numPr>
          <w:ilvl w:val="0"/>
          <w:numId w:val="0"/>
        </w:numPr>
        <w:tabs>
          <w:tab w:val="left" w:pos="0"/>
        </w:tabs>
        <w:bidi w:val="0"/>
        <w:ind w:leftChars="0"/>
        <w:jc w:val="both"/>
        <w:rPr>
          <w:rFonts w:hint="eastAsia"/>
          <w:b/>
          <w:bCs/>
          <w:color w:val="000000"/>
          <w:sz w:val="36"/>
          <w:szCs w:val="36"/>
          <w:highlight w:val="none"/>
        </w:rPr>
      </w:pPr>
    </w:p>
    <w:p w14:paraId="33FAA27D">
      <w:pPr>
        <w:pStyle w:val="9"/>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default" w:hAnsi="宋体" w:cs="宋体"/>
          <w:b w:val="0"/>
          <w:bCs w:val="0"/>
          <w:color w:val="auto"/>
          <w:highlight w:val="none"/>
          <w:lang w:val="en-US" w:eastAsia="zh-CN"/>
        </w:rPr>
      </w:pPr>
      <w:r>
        <w:rPr>
          <w:rFonts w:hint="eastAsia" w:hAnsi="宋体" w:cs="宋体"/>
          <w:b w:val="0"/>
          <w:bCs w:val="0"/>
          <w:color w:val="auto"/>
          <w:highlight w:val="none"/>
          <w:lang w:val="en-US" w:eastAsia="zh-CN"/>
        </w:rPr>
        <w:t>详见附件。</w:t>
      </w:r>
    </w:p>
    <w:p w14:paraId="1BE3CE5A">
      <w:pPr>
        <w:pStyle w:val="9"/>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cs="宋体"/>
          <w:color w:val="auto"/>
          <w:highlight w:val="none"/>
        </w:rPr>
      </w:pPr>
      <w:r>
        <w:rPr>
          <w:rFonts w:hint="eastAsia" w:hAnsi="宋体" w:cs="宋体"/>
          <w:b w:val="0"/>
          <w:bCs w:val="0"/>
          <w:color w:val="auto"/>
          <w:highlight w:val="none"/>
          <w:lang w:val="en-US" w:eastAsia="zh-CN"/>
        </w:rPr>
        <w:t>注：1.</w:t>
      </w:r>
      <w:r>
        <w:rPr>
          <w:rFonts w:hint="eastAsia" w:ascii="宋体" w:hAnsi="宋体" w:cs="宋体"/>
          <w:b w:val="0"/>
          <w:bCs w:val="0"/>
          <w:color w:val="auto"/>
          <w:highlight w:val="none"/>
          <w:lang w:val="en-US" w:eastAsia="zh-CN"/>
        </w:rPr>
        <w:t>投标人按采购需求逐项</w:t>
      </w:r>
      <w:r>
        <w:rPr>
          <w:rFonts w:hint="eastAsia" w:hAnsi="宋体" w:cs="宋体"/>
          <w:b w:val="0"/>
          <w:bCs w:val="0"/>
          <w:color w:val="auto"/>
          <w:highlight w:val="none"/>
          <w:lang w:val="en-US" w:eastAsia="zh-CN"/>
        </w:rPr>
        <w:t>进行报价</w:t>
      </w:r>
      <w:r>
        <w:rPr>
          <w:rFonts w:hint="eastAsia" w:ascii="宋体" w:hAnsi="宋体" w:cs="宋体"/>
          <w:b w:val="0"/>
          <w:bCs w:val="0"/>
          <w:color w:val="auto"/>
          <w:highlight w:val="none"/>
          <w:lang w:val="en-US" w:eastAsia="zh-CN"/>
        </w:rPr>
        <w:t>，总价不得超过采购预算</w:t>
      </w:r>
      <w:r>
        <w:rPr>
          <w:rFonts w:hint="eastAsia" w:hAnsi="宋体" w:cs="宋体"/>
          <w:b w:val="0"/>
          <w:bCs w:val="0"/>
          <w:color w:val="auto"/>
          <w:highlight w:val="none"/>
          <w:lang w:val="en-US" w:eastAsia="zh-CN"/>
        </w:rPr>
        <w:t>最高投标限价，各分项报价不得超过采购人提供各分项报价最高投标限价。</w:t>
      </w:r>
    </w:p>
    <w:p w14:paraId="3EF76971">
      <w:pPr>
        <w:pStyle w:val="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default" w:cs="宋体"/>
          <w:color w:val="auto"/>
          <w:highlight w:val="none"/>
          <w:lang w:val="en-US"/>
        </w:rPr>
      </w:pPr>
      <w:r>
        <w:rPr>
          <w:rFonts w:hint="eastAsia" w:hAnsi="宋体" w:cs="宋体"/>
          <w:b w:val="0"/>
          <w:bCs w:val="0"/>
          <w:color w:val="auto"/>
          <w:highlight w:val="none"/>
          <w:lang w:val="en-US" w:eastAsia="zh-CN"/>
        </w:rPr>
        <w:t>2.</w:t>
      </w:r>
      <w:r>
        <w:rPr>
          <w:rFonts w:hint="eastAsia" w:ascii="宋体" w:hAnsi="宋体" w:cs="宋体"/>
          <w:b w:val="0"/>
          <w:bCs w:val="0"/>
          <w:color w:val="auto"/>
          <w:highlight w:val="none"/>
          <w:lang w:val="en-US" w:eastAsia="zh-CN"/>
        </w:rPr>
        <w:t>以上报价含生产制作、包装、运输、保险、安装调试、利润、税金、专利技术、培训、技术支持等一切费用。</w:t>
      </w:r>
    </w:p>
    <w:p w14:paraId="125C5131">
      <w:pPr>
        <w:pStyle w:val="9"/>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val="0"/>
          <w:color w:val="auto"/>
          <w:highlight w:val="none"/>
          <w:lang w:val="en-US" w:eastAsia="zh-CN"/>
        </w:rPr>
      </w:pPr>
      <w:r>
        <w:rPr>
          <w:rFonts w:hint="eastAsia" w:cs="宋体"/>
          <w:color w:val="auto"/>
          <w:highlight w:val="none"/>
          <w:lang w:val="en-US" w:eastAsia="zh-CN"/>
        </w:rPr>
        <w:t>3</w:t>
      </w:r>
      <w:r>
        <w:rPr>
          <w:rFonts w:hint="eastAsia" w:cs="宋体"/>
          <w:color w:val="auto"/>
          <w:highlight w:val="none"/>
        </w:rPr>
        <w:t>.</w:t>
      </w:r>
      <w:r>
        <w:rPr>
          <w:rFonts w:hint="eastAsia" w:cs="宋体"/>
          <w:color w:val="auto"/>
          <w:highlight w:val="none"/>
          <w:lang w:val="en-US" w:eastAsia="zh-CN"/>
        </w:rPr>
        <w:t>根据采购清单内容和要求，</w:t>
      </w:r>
      <w:r>
        <w:rPr>
          <w:rFonts w:hint="eastAsia" w:hAnsi="宋体" w:cs="宋体"/>
          <w:b w:val="0"/>
          <w:bCs w:val="0"/>
          <w:color w:val="auto"/>
          <w:highlight w:val="none"/>
          <w:lang w:val="en-US" w:eastAsia="zh-CN"/>
        </w:rPr>
        <w:t>提供技术参数需提供证明材料进行佐证，否则视为负偏离，包括但不限于产品彩页、产品说明书、官网功能截图等任一技术支持性文件（资料）等。</w:t>
      </w:r>
    </w:p>
    <w:p w14:paraId="0A02E324">
      <w:pPr>
        <w:pStyle w:val="9"/>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宋体" w:cs="宋体"/>
          <w:b w:val="0"/>
          <w:bCs w:val="0"/>
          <w:color w:val="auto"/>
          <w:highlight w:val="none"/>
          <w:lang w:val="en-US" w:eastAsia="zh-CN"/>
        </w:rPr>
      </w:pPr>
      <w:r>
        <w:rPr>
          <w:rFonts w:hint="eastAsia" w:hAnsi="宋体" w:cs="宋体"/>
          <w:b w:val="0"/>
          <w:bCs w:val="0"/>
          <w:color w:val="auto"/>
          <w:highlight w:val="none"/>
          <w:lang w:val="en-US" w:eastAsia="zh-CN"/>
        </w:rPr>
        <w:t>4.详细采购清单及最高投标限价见附件。</w:t>
      </w:r>
    </w:p>
    <w:p w14:paraId="45FE0D3F">
      <w:pPr>
        <w:pStyle w:val="9"/>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宋体" w:cs="宋体"/>
          <w:b w:val="0"/>
          <w:bCs w:val="0"/>
          <w:color w:val="auto"/>
          <w:highlight w:val="none"/>
          <w:lang w:val="en-US" w:eastAsia="zh-CN"/>
        </w:rPr>
      </w:pPr>
      <w:r>
        <w:rPr>
          <w:rFonts w:hint="eastAsia" w:hAnsi="宋体" w:cs="宋体"/>
          <w:b w:val="0"/>
          <w:bCs w:val="0"/>
          <w:color w:val="auto"/>
          <w:highlight w:val="none"/>
          <w:lang w:val="en-US" w:eastAsia="zh-CN"/>
        </w:rPr>
        <w:t>5、核心产品：</w:t>
      </w:r>
    </w:p>
    <w:tbl>
      <w:tblPr>
        <w:tblStyle w:val="21"/>
        <w:tblW w:w="91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35"/>
        <w:gridCol w:w="772"/>
        <w:gridCol w:w="866"/>
        <w:gridCol w:w="377"/>
        <w:gridCol w:w="1470"/>
        <w:gridCol w:w="4990"/>
      </w:tblGrid>
      <w:tr w14:paraId="19329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635" w:type="dxa"/>
            <w:shd w:val="clear" w:color="auto" w:fill="FFFF00"/>
            <w:noWrap/>
            <w:vAlign w:val="center"/>
          </w:tcPr>
          <w:p w14:paraId="2898CF11">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候诊椅</w:t>
            </w:r>
          </w:p>
        </w:tc>
        <w:tc>
          <w:tcPr>
            <w:tcW w:w="772" w:type="dxa"/>
            <w:shd w:val="clear" w:color="auto" w:fill="FFFF00"/>
            <w:vAlign w:val="center"/>
          </w:tcPr>
          <w:p w14:paraId="706959BC">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三人位</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1785*620*895</w:t>
            </w:r>
          </w:p>
        </w:tc>
        <w:tc>
          <w:tcPr>
            <w:tcW w:w="866" w:type="dxa"/>
            <w:shd w:val="clear" w:color="auto" w:fill="FFFF00"/>
            <w:noWrap/>
            <w:vAlign w:val="center"/>
          </w:tcPr>
          <w:p w14:paraId="5760E504">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100</w:t>
            </w:r>
          </w:p>
        </w:tc>
        <w:tc>
          <w:tcPr>
            <w:tcW w:w="377" w:type="dxa"/>
            <w:shd w:val="clear" w:color="auto" w:fill="FFFF00"/>
            <w:noWrap/>
            <w:vAlign w:val="center"/>
          </w:tcPr>
          <w:p w14:paraId="2E8377D6">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组</w:t>
            </w:r>
          </w:p>
        </w:tc>
        <w:tc>
          <w:tcPr>
            <w:tcW w:w="1470" w:type="dxa"/>
            <w:shd w:val="clear" w:color="auto" w:fill="FFFF00"/>
            <w:noWrap/>
            <w:vAlign w:val="center"/>
          </w:tcPr>
          <w:p w14:paraId="744E6CF1">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bdr w:val="single" w:color="000000" w:sz="4" w:space="0"/>
                <w:shd w:val="clear" w:fill="FFFF00"/>
                <w:lang w:val="en-US" w:eastAsia="zh-CN" w:bidi="ar"/>
              </w:rPr>
              <w:drawing>
                <wp:anchor distT="0" distB="0" distL="114300" distR="114300" simplePos="0" relativeHeight="251659264" behindDoc="0" locked="0" layoutInCell="1" allowOverlap="1">
                  <wp:simplePos x="0" y="0"/>
                  <wp:positionH relativeFrom="column">
                    <wp:posOffset>61595</wp:posOffset>
                  </wp:positionH>
                  <wp:positionV relativeFrom="paragraph">
                    <wp:posOffset>162560</wp:posOffset>
                  </wp:positionV>
                  <wp:extent cx="670560" cy="416560"/>
                  <wp:effectExtent l="0" t="0" r="15240" b="2540"/>
                  <wp:wrapNone/>
                  <wp:docPr id="11" name="图片_13"/>
                  <wp:cNvGraphicFramePr/>
                  <a:graphic xmlns:a="http://schemas.openxmlformats.org/drawingml/2006/main">
                    <a:graphicData uri="http://schemas.openxmlformats.org/drawingml/2006/picture">
                      <pic:pic xmlns:pic="http://schemas.openxmlformats.org/drawingml/2006/picture">
                        <pic:nvPicPr>
                          <pic:cNvPr id="11" name="图片_13"/>
                          <pic:cNvPicPr/>
                        </pic:nvPicPr>
                        <pic:blipFill>
                          <a:blip r:embed="rId8"/>
                          <a:stretch>
                            <a:fillRect/>
                          </a:stretch>
                        </pic:blipFill>
                        <pic:spPr>
                          <a:xfrm>
                            <a:off x="0" y="0"/>
                            <a:ext cx="670560" cy="416560"/>
                          </a:xfrm>
                          <a:prstGeom prst="rect">
                            <a:avLst/>
                          </a:prstGeom>
                          <a:noFill/>
                          <a:ln>
                            <a:noFill/>
                          </a:ln>
                        </pic:spPr>
                      </pic:pic>
                    </a:graphicData>
                  </a:graphic>
                </wp:anchor>
              </w:drawing>
            </w:r>
          </w:p>
        </w:tc>
        <w:tc>
          <w:tcPr>
            <w:tcW w:w="4990" w:type="dxa"/>
            <w:shd w:val="clear" w:color="auto" w:fill="FFFF00"/>
            <w:vAlign w:val="center"/>
          </w:tcPr>
          <w:p w14:paraId="4D66147A">
            <w:pPr>
              <w:keepNext w:val="0"/>
              <w:keepLines w:val="0"/>
              <w:widowControl/>
              <w:suppressLineNumbers w:val="0"/>
              <w:jc w:val="left"/>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椅面：采用聚合物多元醇制备自结皮聚氨酯（PU）材质，座椅全PU包裹的结构，整张椅面采用一体式设计，安装简单牢固，座椅各部件间采用螺纹连接，不能采用焊接，PU椅面颜色可换。座椅清洁方便，无需专用清洁剂；</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（2）横梁：采用厚度1.5mm优质冷轧钢管拉伸成型外表喷涂，安装简单且结实稳固，不易断裂。</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（3）扶手脚：采用优质冷轧钢板材料一次性压铸成型，易拆装，无锐角，表面圆滑，外观美丽大方。</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（4）椅面与横梁之间采用钢制夹码上下卡扣式紧固连接，使整排座椅使用后保持一条水平线，加强椅面稳固性能。</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 xml:space="preserve">候诊椅；需符合GB/T 3325或同类相关检测标准；检测内容包括但不限于：①金属喷漆（塑）涂层理化性能硬度≥5H；②金属喷漆(塑)涂层耐腐蚀，100h内，观察在溶液中样板上划道两侧3mm以外,应无气泡产生，100h后，检查划道两侧3mm外，应无锈迹、剥落、起皱、变色和失光等现象；③抗菌性能：抑菌率≥99.97%；                                                                                                                                                 </w:t>
            </w:r>
          </w:p>
        </w:tc>
      </w:tr>
      <w:tr w14:paraId="434F5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635" w:type="dxa"/>
            <w:shd w:val="clear" w:color="auto" w:fill="FFFF00"/>
            <w:noWrap/>
            <w:vAlign w:val="center"/>
          </w:tcPr>
          <w:p w14:paraId="22957120">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候诊椅</w:t>
            </w:r>
          </w:p>
        </w:tc>
        <w:tc>
          <w:tcPr>
            <w:tcW w:w="772" w:type="dxa"/>
            <w:shd w:val="clear" w:color="auto" w:fill="FFFF00"/>
            <w:vAlign w:val="center"/>
          </w:tcPr>
          <w:p w14:paraId="72DF3E86">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两人位</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1215*620*895</w:t>
            </w:r>
          </w:p>
        </w:tc>
        <w:tc>
          <w:tcPr>
            <w:tcW w:w="866" w:type="dxa"/>
            <w:shd w:val="clear" w:color="auto" w:fill="FFFF00"/>
            <w:noWrap/>
            <w:vAlign w:val="center"/>
          </w:tcPr>
          <w:p w14:paraId="69D79892">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20</w:t>
            </w:r>
          </w:p>
        </w:tc>
        <w:tc>
          <w:tcPr>
            <w:tcW w:w="377" w:type="dxa"/>
            <w:shd w:val="clear" w:color="auto" w:fill="FFFF00"/>
            <w:noWrap/>
            <w:vAlign w:val="center"/>
          </w:tcPr>
          <w:p w14:paraId="4CF87235">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组</w:t>
            </w:r>
          </w:p>
        </w:tc>
        <w:tc>
          <w:tcPr>
            <w:tcW w:w="1470" w:type="dxa"/>
            <w:shd w:val="clear" w:color="auto" w:fill="FFFF00"/>
            <w:noWrap/>
            <w:vAlign w:val="center"/>
          </w:tcPr>
          <w:p w14:paraId="5597EE69">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bdr w:val="single" w:color="000000" w:sz="4" w:space="0"/>
                <w:shd w:val="clear" w:fill="FFFF00"/>
                <w:lang w:val="en-US" w:eastAsia="zh-CN" w:bidi="ar"/>
              </w:rPr>
              <w:drawing>
                <wp:anchor distT="0" distB="0" distL="114300" distR="114300" simplePos="0" relativeHeight="251659264" behindDoc="0" locked="0" layoutInCell="1" allowOverlap="1">
                  <wp:simplePos x="0" y="0"/>
                  <wp:positionH relativeFrom="column">
                    <wp:posOffset>228600</wp:posOffset>
                  </wp:positionH>
                  <wp:positionV relativeFrom="paragraph">
                    <wp:posOffset>441325</wp:posOffset>
                  </wp:positionV>
                  <wp:extent cx="510540" cy="398780"/>
                  <wp:effectExtent l="0" t="0" r="3810" b="1270"/>
                  <wp:wrapNone/>
                  <wp:docPr id="9" name="图片_88"/>
                  <wp:cNvGraphicFramePr/>
                  <a:graphic xmlns:a="http://schemas.openxmlformats.org/drawingml/2006/main">
                    <a:graphicData uri="http://schemas.openxmlformats.org/drawingml/2006/picture">
                      <pic:pic xmlns:pic="http://schemas.openxmlformats.org/drawingml/2006/picture">
                        <pic:nvPicPr>
                          <pic:cNvPr id="9" name="图片_88"/>
                          <pic:cNvPicPr/>
                        </pic:nvPicPr>
                        <pic:blipFill>
                          <a:blip r:embed="rId9"/>
                          <a:stretch>
                            <a:fillRect/>
                          </a:stretch>
                        </pic:blipFill>
                        <pic:spPr>
                          <a:xfrm>
                            <a:off x="0" y="0"/>
                            <a:ext cx="510540" cy="398780"/>
                          </a:xfrm>
                          <a:prstGeom prst="rect">
                            <a:avLst/>
                          </a:prstGeom>
                          <a:noFill/>
                          <a:ln>
                            <a:noFill/>
                          </a:ln>
                        </pic:spPr>
                      </pic:pic>
                    </a:graphicData>
                  </a:graphic>
                </wp:anchor>
              </w:drawing>
            </w:r>
          </w:p>
        </w:tc>
        <w:tc>
          <w:tcPr>
            <w:tcW w:w="4990" w:type="dxa"/>
            <w:shd w:val="clear" w:color="auto" w:fill="FFFF00"/>
            <w:vAlign w:val="center"/>
          </w:tcPr>
          <w:p w14:paraId="5678BF27">
            <w:pPr>
              <w:keepNext w:val="0"/>
              <w:keepLines w:val="0"/>
              <w:widowControl/>
              <w:suppressLineNumbers w:val="0"/>
              <w:jc w:val="left"/>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椅面：采用聚合物多元醇制备自结皮聚氨酯（PU）材质，座椅全PU包裹的结构，整张椅面采用一体式设计，安装简单牢固，座椅各部件间采用螺纹连接，不能采用焊接，PU椅面颜色可换。座椅清洁方便，无需专用清洁剂；</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（2）横梁：采用厚度1.5mm优质冷轧钢管拉伸成型外表喷涂，安装简单且结实稳固，不易断裂。</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（3）扶手脚：采用优质冷轧钢板材料一次性压铸成型，易拆装，无锐角，表面圆滑，外观美丽大方。</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（4）椅面与横梁之间采用钢制夹码上下卡扣式紧固连接，使整排座椅使用后保持一条水平线，加强椅面稳固性能。</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 xml:space="preserve">候诊椅；需符合GB/T 3325或同类相关检测标准；检测内容包括但不限于：①金属喷漆（塑）涂层理化性能硬度≥5H；②金属喷漆(塑)涂层耐腐蚀，100h内，观察在溶液中样板上划道两侧3mm以外,应无气泡产生，100h后，检查划道两侧3mm外，应无锈迹、剥落、起皱、变色和失光等现象；③抗菌性能：抑菌率≥99.97%；                                                                                                                                                  </w:t>
            </w:r>
          </w:p>
        </w:tc>
      </w:tr>
      <w:tr w14:paraId="0D151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635" w:type="dxa"/>
            <w:shd w:val="clear" w:color="auto" w:fill="FFFF00"/>
            <w:noWrap/>
            <w:vAlign w:val="center"/>
          </w:tcPr>
          <w:p w14:paraId="37FE0C18">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操作台</w:t>
            </w:r>
          </w:p>
        </w:tc>
        <w:tc>
          <w:tcPr>
            <w:tcW w:w="772" w:type="dxa"/>
            <w:shd w:val="clear" w:color="auto" w:fill="FFFF00"/>
            <w:vAlign w:val="center"/>
          </w:tcPr>
          <w:p w14:paraId="7E1A8FEC">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630D*860H</w:t>
            </w:r>
          </w:p>
        </w:tc>
        <w:tc>
          <w:tcPr>
            <w:tcW w:w="866" w:type="dxa"/>
            <w:shd w:val="clear" w:color="auto" w:fill="FFFF00"/>
            <w:noWrap/>
            <w:vAlign w:val="center"/>
          </w:tcPr>
          <w:p w14:paraId="50A737C8">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17.25</w:t>
            </w:r>
          </w:p>
        </w:tc>
        <w:tc>
          <w:tcPr>
            <w:tcW w:w="377" w:type="dxa"/>
            <w:shd w:val="clear" w:color="auto" w:fill="FFFF00"/>
            <w:noWrap/>
            <w:vAlign w:val="center"/>
          </w:tcPr>
          <w:p w14:paraId="70055541">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米</w:t>
            </w:r>
          </w:p>
        </w:tc>
        <w:tc>
          <w:tcPr>
            <w:tcW w:w="1470" w:type="dxa"/>
            <w:shd w:val="clear" w:color="auto" w:fill="FFFF00"/>
            <w:noWrap/>
            <w:vAlign w:val="center"/>
          </w:tcPr>
          <w:p w14:paraId="3D6609C5">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bdr w:val="single" w:color="000000" w:sz="4" w:space="0"/>
                <w:shd w:val="clear" w:fill="FFFF00"/>
                <w:lang w:val="en-US" w:eastAsia="zh-CN" w:bidi="ar"/>
              </w:rPr>
              <w:drawing>
                <wp:anchor distT="0" distB="0" distL="114300" distR="114300" simplePos="0" relativeHeight="251659264" behindDoc="0" locked="0" layoutInCell="1" allowOverlap="1">
                  <wp:simplePos x="0" y="0"/>
                  <wp:positionH relativeFrom="column">
                    <wp:posOffset>86360</wp:posOffset>
                  </wp:positionH>
                  <wp:positionV relativeFrom="paragraph">
                    <wp:posOffset>209550</wp:posOffset>
                  </wp:positionV>
                  <wp:extent cx="480060" cy="476250"/>
                  <wp:effectExtent l="0" t="0" r="15240" b="0"/>
                  <wp:wrapNone/>
                  <wp:docPr id="10" name="ID_5D859AE81B2B41A48B046F5FE7BBAB73"/>
                  <wp:cNvGraphicFramePr/>
                  <a:graphic xmlns:a="http://schemas.openxmlformats.org/drawingml/2006/main">
                    <a:graphicData uri="http://schemas.openxmlformats.org/drawingml/2006/picture">
                      <pic:pic xmlns:pic="http://schemas.openxmlformats.org/drawingml/2006/picture">
                        <pic:nvPicPr>
                          <pic:cNvPr id="10" name="ID_5D859AE81B2B41A48B046F5FE7BBAB73"/>
                          <pic:cNvPicPr/>
                        </pic:nvPicPr>
                        <pic:blipFill>
                          <a:blip r:embed="rId10"/>
                          <a:stretch>
                            <a:fillRect/>
                          </a:stretch>
                        </pic:blipFill>
                        <pic:spPr>
                          <a:xfrm>
                            <a:off x="0" y="0"/>
                            <a:ext cx="480060" cy="476250"/>
                          </a:xfrm>
                          <a:prstGeom prst="rect">
                            <a:avLst/>
                          </a:prstGeom>
                          <a:noFill/>
                          <a:ln>
                            <a:noFill/>
                          </a:ln>
                        </pic:spPr>
                      </pic:pic>
                    </a:graphicData>
                  </a:graphic>
                </wp:anchor>
              </w:drawing>
            </w:r>
          </w:p>
        </w:tc>
        <w:tc>
          <w:tcPr>
            <w:tcW w:w="4990" w:type="dxa"/>
            <w:shd w:val="clear" w:color="auto" w:fill="FFFF00"/>
            <w:vAlign w:val="center"/>
          </w:tcPr>
          <w:p w14:paraId="07BACDB4">
            <w:pPr>
              <w:keepNext w:val="0"/>
              <w:keepLines w:val="0"/>
              <w:widowControl/>
              <w:suppressLineNumbers w:val="0"/>
              <w:jc w:val="left"/>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1、主体材质：采用厚度1.0mm优质电解钢板制作，表面采用环保室内型环氧树脂静电粉末喷涂，符合国家基本要求。</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2、台面：台面采用医用复合亚克力人造石，厚度12mm。</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 xml:space="preserve">3、五金配件：一体折弯拉手、叶片转舌锁、三节卡口式导轨。拉手；需符合GB/T 3325或同类相关检测标准；检测内容包括但不限于：①金属喷漆(塑)涂层理化性能：附着力不低于0级；耐腐蚀100h内，观察在溶液中样板上划道两侧3mm以外,应无鼓泡产生，100h后，检查划道两侧3mm外，应无锈迹、剥落、起皱、变色和失光等现象，符合要求；②屈服强度≥260N/mm²、抗拉强度≥405~430N/mm²、断后伸长率≥46%； </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4、采用304不锈钢缓冲门铰、三节滚珠导轨，静音效果好，开关顺滑，使用寿命长。</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 xml:space="preserve">304不锈钢铰链；需符合QB/T 2189或同类相关检测标准；检测内容包括但不限于：①过载：垂直静载荷:20kg,10次。无缺陷、水平静载荷:60N,10次。无缺陷)，符合要求；②功能：操作力：耐久试验前打开力≤8N、耐久试验前关闭力≤6N、耐久试验后打开力≤7N、耐久试验后关闭力≤5N；垂直静载荷：15kg,10次。无缺陷；下沉量：在使用调整系统前，安装B型试验门时，下沉量不应大于1.2mm；③中性盐雾试验≥40h后，涂层本身耐腐蚀等级10级，涂层对基体保护等级10级；④乙酸盐雾试验≥40小时后，涂层本身耐腐蚀等级10级，涂层对基体保护等级10级；⑤铜加速乙酸盐雾（CASS）试验≥40小时后，外观评级10级，保护评级10级；⑥抗菌性能：抑菌率≥99.95%；  </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 xml:space="preserve">导轨；需符合GB/T 700或同类相关检测标准；检测内容包括但不限于：①功能（垂直向下静载荷：200N，10次。无缺陷；水平侧向静载荷：100N、各5次。无缺陷；拉出安全性：循环加载10次，无缺陷；猛关或猛开，10次，无缺陷）均符合要求；②铜加速乙酸盐雾（CASS）试验≥40小时后，外观评级10级，保护评级10级；中性盐雾试验≥40小时后，涂层本身耐腐蚀等级10级，涂层对基体保护等级10级；③抗菌性能：抑菌率≥99.93%。                                                                                      </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5、结构：整体采用电阻焊接，门与柜体连接采用304不锈钢合页铰链，柜体边框宽度为1.0cm。采用双层门板设计，并且内有加强筋，提高门的使用寿命。活动层板四边折弯，可自由调节高度，层板挂钩可自由拆卸，可调整高度。门框与柜体之间采用优质磁铁门吸互相吸附。结构要求无死角，产品简洁大方。</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理化板；需符合GB 18580或同类相关检测标准；检测内容包括但不限于：①外观质量：干花、湿花，纤维、发状物，划痕，压痕，污斑，颜色与图案，表面光泽，边缘缺损，缺角均符合要求；②理化性能：耐磨性能≥3级，耐沸水：质量增加率≤0.9%，厚度増加率≤1.0%，外观不低于1级，耐干热（180°）不低于1级，耐湿热不低于1级，耐水蒸气不低于1级，尺寸稳定性合格，抗大球冲击合格，耐划痕≥3级，耐污染不低于1级，耐香烟灼烧不低于2级，耐龟裂性能不低于5级，弯曲弹性模量合格，弯曲强度合格，甲醛释放量≤0.065mg/m³，耐老化性能符合要求；③滞然性能：氧指数≥33%，水平燃烧达到HB级，垂直燃烧达到V-0级，均合格；④抗菌性能：抗菌率≥99.99%；</w:t>
            </w:r>
          </w:p>
        </w:tc>
      </w:tr>
      <w:tr w14:paraId="3C543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635" w:type="dxa"/>
            <w:shd w:val="clear" w:color="auto" w:fill="FFFF00"/>
            <w:noWrap/>
            <w:vAlign w:val="center"/>
          </w:tcPr>
          <w:p w14:paraId="0C7811F9">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治疗柜</w:t>
            </w:r>
          </w:p>
        </w:tc>
        <w:tc>
          <w:tcPr>
            <w:tcW w:w="772" w:type="dxa"/>
            <w:shd w:val="clear" w:color="auto" w:fill="FFFF00"/>
            <w:vAlign w:val="center"/>
          </w:tcPr>
          <w:p w14:paraId="3C615EFA">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630D*2400H</w:t>
            </w:r>
          </w:p>
        </w:tc>
        <w:tc>
          <w:tcPr>
            <w:tcW w:w="866" w:type="dxa"/>
            <w:shd w:val="clear" w:color="auto" w:fill="FFFF00"/>
            <w:noWrap/>
            <w:vAlign w:val="center"/>
          </w:tcPr>
          <w:p w14:paraId="0A0F0D5B">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115.9</w:t>
            </w:r>
          </w:p>
        </w:tc>
        <w:tc>
          <w:tcPr>
            <w:tcW w:w="377" w:type="dxa"/>
            <w:shd w:val="clear" w:color="auto" w:fill="FFFF00"/>
            <w:noWrap/>
            <w:vAlign w:val="center"/>
          </w:tcPr>
          <w:p w14:paraId="73B4ABFB">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米</w:t>
            </w:r>
          </w:p>
        </w:tc>
        <w:tc>
          <w:tcPr>
            <w:tcW w:w="1470" w:type="dxa"/>
            <w:shd w:val="clear" w:color="auto" w:fill="FFFF00"/>
            <w:noWrap/>
            <w:vAlign w:val="center"/>
          </w:tcPr>
          <w:p w14:paraId="6A2D594F">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bdr w:val="single" w:color="000000" w:sz="4" w:space="0"/>
                <w:shd w:val="clear" w:fill="FFFF00"/>
                <w:lang w:val="en-US" w:eastAsia="zh-CN" w:bidi="ar"/>
              </w:rPr>
              <w:drawing>
                <wp:anchor distT="0" distB="0" distL="114300" distR="114300" simplePos="0" relativeHeight="251659264" behindDoc="0" locked="0" layoutInCell="1" allowOverlap="1">
                  <wp:simplePos x="0" y="0"/>
                  <wp:positionH relativeFrom="column">
                    <wp:posOffset>125095</wp:posOffset>
                  </wp:positionH>
                  <wp:positionV relativeFrom="paragraph">
                    <wp:posOffset>2127885</wp:posOffset>
                  </wp:positionV>
                  <wp:extent cx="666115" cy="638810"/>
                  <wp:effectExtent l="0" t="0" r="635" b="8890"/>
                  <wp:wrapNone/>
                  <wp:docPr id="12" name="图片_119"/>
                  <wp:cNvGraphicFramePr/>
                  <a:graphic xmlns:a="http://schemas.openxmlformats.org/drawingml/2006/main">
                    <a:graphicData uri="http://schemas.openxmlformats.org/drawingml/2006/picture">
                      <pic:pic xmlns:pic="http://schemas.openxmlformats.org/drawingml/2006/picture">
                        <pic:nvPicPr>
                          <pic:cNvPr id="12" name="图片_119"/>
                          <pic:cNvPicPr/>
                        </pic:nvPicPr>
                        <pic:blipFill>
                          <a:blip r:embed="rId11"/>
                          <a:stretch>
                            <a:fillRect/>
                          </a:stretch>
                        </pic:blipFill>
                        <pic:spPr>
                          <a:xfrm>
                            <a:off x="0" y="0"/>
                            <a:ext cx="666115" cy="638810"/>
                          </a:xfrm>
                          <a:prstGeom prst="rect">
                            <a:avLst/>
                          </a:prstGeom>
                          <a:noFill/>
                          <a:ln>
                            <a:noFill/>
                          </a:ln>
                        </pic:spPr>
                      </pic:pic>
                    </a:graphicData>
                  </a:graphic>
                </wp:anchor>
              </w:drawing>
            </w:r>
          </w:p>
        </w:tc>
        <w:tc>
          <w:tcPr>
            <w:tcW w:w="4990" w:type="dxa"/>
            <w:shd w:val="clear" w:color="auto" w:fill="FFFF00"/>
            <w:vAlign w:val="center"/>
          </w:tcPr>
          <w:p w14:paraId="51292935">
            <w:pPr>
              <w:keepNext w:val="0"/>
              <w:keepLines w:val="0"/>
              <w:widowControl/>
              <w:suppressLineNumbers w:val="0"/>
              <w:jc w:val="left"/>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上柜铁门，地柜两个垃圾桶，1个推拉，台面采用医用复合亚克力人造石，厚度≥12mm。中标后按用户需求设计订制。</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 xml:space="preserve">（1）基材：采用1.0MM厚一级电解钢板，静电喷涂。电解钢板；需符合GB/T 3325或同类相关检测标准；检测内容包括但不限于：①金属喷漆(塑)涂层理化性能(冲击强度：冲击高度≥400mm，应无剥落、裂纹、皱纹；耐腐蚀：100h内，观察在溶液中样板上划道两侧3mm以外,应无气泡产生，100h后，检查划道两侧3mm外，应无锈迹、剥落、起皱、变色和失光等现象),均符合要求；附着力:0级，合格；②金属喷漆(塑)涂层硬度≥5H，合格；③洛氏硬度≥67；④抗菌性能：抑菌率≥99.9%。⑤中性盐雾试验≥40小时后，涂层本身耐腐蚀等级10级，涂层对基体保护等级10级；乙酸盐雾试验≥24小时后，涂层本身耐腐蚀等级10级，涂层对基体保护等级10级；铜加速乙酸盐雾（CASS）试验≥40小时后，外观评级10级，保护评级10级；⑥抗拉强度（MPa） 300~320；规定塑性延伸强度（MPa）≥260；断后伸长率≥45%；⑦平板状建筑材料及制品燃烧性能B1级：a)燃烧增长指数≤1W/s；b)火焰横向蔓延情况：火焰横向蔓延未到达试样长翼边缘；c)600s 的总放热量≤0.1MJ；d)60s 内焰尖高度 ≤40mm；e)60s 内无燃烧滴落物引燃滤纸现象，均合格；  </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 xml:space="preserve">（2）门板；需符合GB/T4340.1或同类相关检测标准；检测内容包括但不限于：①维氏硬度HV10≥129；非金属夹杂物：（细系:A≤0.5，B≤0.5，C≤0.5，D≤0.5粗系:A≤0.5，B≤0.5，C≤0.50，D≤0.5,）,弹性模量 E(GPa)≥145，均符合；②疲劳试验经10万次疲劳试验后，部件未发生开裂；③应力腐蚀试验（经100h应力腐蚀试验，不断裂）恒定应力值:150MPa周期:100h没有断裂，符合；④磁导率试验≥1.0000000；⑤抗菌性能：抑菌率≥99.99%； </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 xml:space="preserve">（3）侧板；需符合GB/T228或同类相关检测标准；检测内容包括但不限于：①力学性能：规定塑性延伸强度≥337MPa，抗拉强度：410~430MPa，断后伸长率≥34%；拉伸应变硬化指数(n值)≥0.2；②布氏硬度HBW≥120；③全浸腐蚀试验23℃（mm/a)≥0.14，④疲劳试验：经10万次疲劳试验后，部件未发生开裂；⑤电阻率试验；⑥抗菌性能：抑菌率≥99.99%；                                                                                                                    </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4）V形加强筋防护搁板；需符合GB/T3325或同类相关检测标准；检测内容包括但不限于：①金属件外观性能要求：（喷涂层：涂层应无漏喷、锈蚀和脱色、掉色现象，涂层应光滑均匀，色泽一致，应无流挂、疙瘩、皱皮、飞漆等缺陷）符合要求；②金属喷漆涂层理化性能：（硬度≥5H，冲击高度400mm，应无剥落、裂纹皱纹，耐腐蚀：100h内，观察在溶剂中样板上划道两侧 3mm 以外，应无鼓泡产生，100h后，检查划道两侧3mm以外，应无锈迹、剥落、起皱、变色和失光等现象，附着力不低于1级）；③表面电阻率≥5.4x1016</w:t>
            </w:r>
            <w:r>
              <w:rPr>
                <w:rFonts w:ascii="Calibri" w:hAnsi="Calibri" w:eastAsia="宋体" w:cs="Calibri"/>
                <w:i w:val="0"/>
                <w:iCs w:val="0"/>
                <w:color w:val="000000"/>
                <w:kern w:val="0"/>
                <w:sz w:val="13"/>
                <w:szCs w:val="13"/>
                <w:highlight w:val="none"/>
                <w:u w:val="none"/>
                <w:lang w:val="en-US" w:eastAsia="zh-CN" w:bidi="ar"/>
              </w:rPr>
              <w:t>Ω</w:t>
            </w:r>
            <w:r>
              <w:rPr>
                <w:rFonts w:hint="eastAsia" w:ascii="宋体" w:hAnsi="宋体" w:eastAsia="宋体" w:cs="宋体"/>
                <w:i w:val="0"/>
                <w:iCs w:val="0"/>
                <w:color w:val="000000"/>
                <w:kern w:val="0"/>
                <w:sz w:val="13"/>
                <w:szCs w:val="13"/>
                <w:highlight w:val="none"/>
                <w:u w:val="none"/>
                <w:lang w:val="en-US" w:eastAsia="zh-CN" w:bidi="ar"/>
              </w:rPr>
              <w:t xml:space="preserve">。                                                                                                                                                           （5）顶板；需符合GB/T230.1或同类相关检测标准；检测内容包括但不限于：①洛氏硬度HRBW≥70，冲击试验≥20，非金属夹杂物：（细系:A≤2.0，B≤2.0，C≤2.0，D≤2.0粗系:A≤2.0，B≤2.0，C≤2.0，D≤2.0），塑性应变比(r值)≥1.8，均符合；②锌层质量(g/㎡)≥36；③直流磁性能试验；④抗菌性能：抑菌率≥99.99%；                                                                                                                                                      （6）锁具；需符合GB21556或同类相关检测标准；检测内容包括但不限于：①保密度：锁舌仲出长度≥10mm；②牢固度（锁头固定连接静拉力：锁头直径不小于20mm的，在承受200N静拉力后，应无松动；锁舌侧向静载荷：锁舌在承受200N侧向静载荷后，应能正常使用；弹子锁、叶片锁使用寿命：锁头直径不小于20mm的弹子锁,叶片锁，使用寿命不应少于20000次）均合格；③灵活度（钥匙插拔、旋转：钥匙插拔应灵活，无卡滞现象;钥匙插入锁芯旋转灵活，锁开、关无卡阻现象；钥匙拔出静拉力：弹子锁不应大于6N，叶片锁不应大于9N；钥匙开启扭矩≤0.38N/m）均合格；④外观质量（锁头、钥匙：锁头、钥匙表面应平整光洁，商标字迹应清晰、端正）符合要求；⑤（锁头结构：锁头结构应具有不少于1项的防拨安全装置；锁舌伸出长度：锁舌仲出长度不少于8mm；锁头固定连接静拉力：锁头直径不大于20mm，承受140N后，无松动；锁头固定连接扭矩：锁头直径不大于20mm，承受1.80N.m后，无松动；锁芯拔动件承受扭矩：锁芯拔动件在承受0.70N·m扭矩后，仍能正常使用；锁舌侧向静载荷试验：锁舌在承受200N侧向静载荷后，仍能正常使用；铆接件：各铆接件在承受200N静拉力后，仍能正常使用；使用寿命：锁头直径不大于20 mm，不少于5000次）均合格； </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 xml:space="preserve">复合亚克力人造石（台面板）；需符合GB/T 32487或同类相关检测标准；检测内容包括但不限于：①塑料件外观（应无裂纹、明显变形、缩水、针孔；应无凹陷、飞边、折皱、疙瘩；应无气泡、杂质、伤痕、白印；表面应光洁，应无划痕、毛刺、拉毛、污渍；应无明显色差）均符合要求；②生物实验台面耐污染不低于1级；③抗菌性能：抑菌率≥99.99%；④抗紫外线性能(测试时间48h)变色：≤4级；      </w:t>
            </w:r>
          </w:p>
        </w:tc>
      </w:tr>
      <w:tr w14:paraId="1D2AC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635" w:type="dxa"/>
            <w:shd w:val="clear" w:color="auto" w:fill="FFFF00"/>
            <w:noWrap/>
            <w:vAlign w:val="center"/>
          </w:tcPr>
          <w:p w14:paraId="7073B32C">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输液椅</w:t>
            </w:r>
          </w:p>
        </w:tc>
        <w:tc>
          <w:tcPr>
            <w:tcW w:w="772" w:type="dxa"/>
            <w:shd w:val="clear" w:color="auto" w:fill="FFFF00"/>
            <w:vAlign w:val="center"/>
          </w:tcPr>
          <w:p w14:paraId="081F741A">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三人位</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1630*650*1013</w:t>
            </w:r>
          </w:p>
        </w:tc>
        <w:tc>
          <w:tcPr>
            <w:tcW w:w="866" w:type="dxa"/>
            <w:shd w:val="clear" w:color="auto" w:fill="FFFF00"/>
            <w:noWrap/>
            <w:vAlign w:val="center"/>
          </w:tcPr>
          <w:p w14:paraId="6A417E82">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2</w:t>
            </w:r>
          </w:p>
        </w:tc>
        <w:tc>
          <w:tcPr>
            <w:tcW w:w="377" w:type="dxa"/>
            <w:shd w:val="clear" w:color="auto" w:fill="FFFF00"/>
            <w:noWrap/>
            <w:vAlign w:val="center"/>
          </w:tcPr>
          <w:p w14:paraId="4366E34F">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组</w:t>
            </w:r>
          </w:p>
        </w:tc>
        <w:tc>
          <w:tcPr>
            <w:tcW w:w="1470" w:type="dxa"/>
            <w:shd w:val="clear" w:color="auto" w:fill="FFFF00"/>
            <w:noWrap/>
            <w:vAlign w:val="center"/>
          </w:tcPr>
          <w:p w14:paraId="09B1861A">
            <w:pPr>
              <w:keepNext w:val="0"/>
              <w:keepLines w:val="0"/>
              <w:widowControl/>
              <w:suppressLineNumbers w:val="0"/>
              <w:jc w:val="center"/>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bdr w:val="single" w:color="000000" w:sz="4" w:space="0"/>
                <w:shd w:val="clear" w:fill="FFFF00"/>
                <w:lang w:val="en-US" w:eastAsia="zh-CN" w:bidi="ar"/>
              </w:rPr>
              <w:drawing>
                <wp:anchor distT="0" distB="0" distL="114300" distR="114300" simplePos="0" relativeHeight="251659264" behindDoc="0" locked="0" layoutInCell="1" allowOverlap="1">
                  <wp:simplePos x="0" y="0"/>
                  <wp:positionH relativeFrom="column">
                    <wp:posOffset>142875</wp:posOffset>
                  </wp:positionH>
                  <wp:positionV relativeFrom="paragraph">
                    <wp:posOffset>36830</wp:posOffset>
                  </wp:positionV>
                  <wp:extent cx="587375" cy="565785"/>
                  <wp:effectExtent l="0" t="0" r="3175" b="5715"/>
                  <wp:wrapNone/>
                  <wp:docPr id="8" name="图片_8"/>
                  <wp:cNvGraphicFramePr/>
                  <a:graphic xmlns:a="http://schemas.openxmlformats.org/drawingml/2006/main">
                    <a:graphicData uri="http://schemas.openxmlformats.org/drawingml/2006/picture">
                      <pic:pic xmlns:pic="http://schemas.openxmlformats.org/drawingml/2006/picture">
                        <pic:nvPicPr>
                          <pic:cNvPr id="8" name="图片_8"/>
                          <pic:cNvPicPr/>
                        </pic:nvPicPr>
                        <pic:blipFill>
                          <a:blip r:embed="rId12"/>
                          <a:stretch>
                            <a:fillRect/>
                          </a:stretch>
                        </pic:blipFill>
                        <pic:spPr>
                          <a:xfrm>
                            <a:off x="0" y="0"/>
                            <a:ext cx="587375" cy="565785"/>
                          </a:xfrm>
                          <a:prstGeom prst="rect">
                            <a:avLst/>
                          </a:prstGeom>
                          <a:noFill/>
                          <a:ln>
                            <a:noFill/>
                          </a:ln>
                        </pic:spPr>
                      </pic:pic>
                    </a:graphicData>
                  </a:graphic>
                </wp:anchor>
              </w:drawing>
            </w:r>
          </w:p>
        </w:tc>
        <w:tc>
          <w:tcPr>
            <w:tcW w:w="4990" w:type="dxa"/>
            <w:shd w:val="clear" w:color="auto" w:fill="FFFF00"/>
            <w:vAlign w:val="center"/>
          </w:tcPr>
          <w:p w14:paraId="64FFEBA2">
            <w:pPr>
              <w:keepNext w:val="0"/>
              <w:keepLines w:val="0"/>
              <w:widowControl/>
              <w:suppressLineNumbers w:val="0"/>
              <w:jc w:val="left"/>
              <w:textAlignment w:val="center"/>
              <w:rPr>
                <w:rFonts w:hint="eastAsia" w:ascii="宋体" w:hAnsi="宋体" w:eastAsia="宋体" w:cs="宋体"/>
                <w:i w:val="0"/>
                <w:iCs w:val="0"/>
                <w:color w:val="000000"/>
                <w:sz w:val="13"/>
                <w:szCs w:val="13"/>
                <w:highlight w:val="none"/>
                <w:u w:val="none"/>
              </w:rPr>
            </w:pPr>
            <w:r>
              <w:rPr>
                <w:rFonts w:hint="eastAsia" w:ascii="宋体" w:hAnsi="宋体" w:eastAsia="宋体" w:cs="宋体"/>
                <w:i w:val="0"/>
                <w:iCs w:val="0"/>
                <w:color w:val="000000"/>
                <w:kern w:val="0"/>
                <w:sz w:val="13"/>
                <w:szCs w:val="13"/>
                <w:highlight w:val="none"/>
                <w:u w:val="none"/>
                <w:lang w:val="en-US" w:eastAsia="zh-CN" w:bidi="ar"/>
              </w:rPr>
              <w:t>（1）椅面：采用聚合物多元醇制备自结皮聚氨酯（PU）材质，座椅全PU包裹的结构，整张椅面采用一体式设计，安装简单牢固，座椅各部件间采用螺纹连接，不能采用焊接，PU椅面颜色可换。座椅清洁方便，无需专用清洁剂；</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（2）横梁：采用厚度1.5mm优质冷轧钢管拉伸成型外表喷涂，安装简单且结实稳固，不易断裂。</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（3）PU材质扶手：带水杯架。</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（4）配有3只不锈钢输液架。</w:t>
            </w:r>
          </w:p>
        </w:tc>
      </w:tr>
      <w:tr w14:paraId="07D64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635" w:type="dxa"/>
            <w:shd w:val="clear" w:color="auto" w:fill="FFFF00"/>
            <w:noWrap/>
            <w:vAlign w:val="center"/>
          </w:tcPr>
          <w:p w14:paraId="3CA16972">
            <w:pPr>
              <w:keepNext w:val="0"/>
              <w:keepLines w:val="0"/>
              <w:widowControl/>
              <w:suppressLineNumbers w:val="0"/>
              <w:jc w:val="center"/>
              <w:textAlignment w:val="center"/>
              <w:rPr>
                <w:rFonts w:hint="eastAsia" w:ascii="宋体" w:hAnsi="宋体" w:eastAsia="宋体" w:cs="宋体"/>
                <w:b w:val="0"/>
                <w:bCs w:val="0"/>
                <w:i w:val="0"/>
                <w:iCs w:val="0"/>
                <w:color w:val="000000"/>
                <w:kern w:val="0"/>
                <w:sz w:val="13"/>
                <w:szCs w:val="13"/>
                <w:highlight w:val="none"/>
                <w:u w:val="none"/>
                <w:lang w:val="en-US" w:eastAsia="zh-CN" w:bidi="ar"/>
              </w:rPr>
            </w:pPr>
            <w:r>
              <w:rPr>
                <w:rFonts w:hint="eastAsia" w:ascii="宋体" w:hAnsi="宋体" w:eastAsia="宋体" w:cs="宋体"/>
                <w:i w:val="0"/>
                <w:iCs w:val="0"/>
                <w:color w:val="000000"/>
                <w:kern w:val="0"/>
                <w:sz w:val="13"/>
                <w:szCs w:val="13"/>
                <w:highlight w:val="none"/>
                <w:u w:val="none"/>
                <w:lang w:val="en-US" w:eastAsia="zh-CN" w:bidi="ar"/>
              </w:rPr>
              <w:t>单面药架</w:t>
            </w:r>
          </w:p>
        </w:tc>
        <w:tc>
          <w:tcPr>
            <w:tcW w:w="772" w:type="dxa"/>
            <w:shd w:val="clear" w:color="auto" w:fill="FFFF00"/>
            <w:vAlign w:val="center"/>
          </w:tcPr>
          <w:p w14:paraId="3F7DA60F">
            <w:pPr>
              <w:keepNext w:val="0"/>
              <w:keepLines w:val="0"/>
              <w:widowControl/>
              <w:suppressLineNumbers w:val="0"/>
              <w:jc w:val="center"/>
              <w:textAlignment w:val="center"/>
              <w:rPr>
                <w:rFonts w:hint="eastAsia" w:ascii="宋体" w:hAnsi="宋体" w:eastAsia="宋体" w:cs="宋体"/>
                <w:b w:val="0"/>
                <w:bCs w:val="0"/>
                <w:i w:val="0"/>
                <w:iCs w:val="0"/>
                <w:color w:val="000000"/>
                <w:kern w:val="0"/>
                <w:sz w:val="13"/>
                <w:szCs w:val="13"/>
                <w:highlight w:val="none"/>
                <w:u w:val="none"/>
                <w:lang w:val="en-US" w:eastAsia="zh-CN" w:bidi="ar"/>
              </w:rPr>
            </w:pPr>
            <w:r>
              <w:rPr>
                <w:rFonts w:hint="eastAsia" w:ascii="宋体" w:hAnsi="宋体" w:eastAsia="宋体" w:cs="宋体"/>
                <w:i w:val="0"/>
                <w:iCs w:val="0"/>
                <w:color w:val="000000"/>
                <w:kern w:val="0"/>
                <w:sz w:val="13"/>
                <w:szCs w:val="13"/>
                <w:highlight w:val="none"/>
                <w:u w:val="none"/>
                <w:lang w:val="en-US" w:eastAsia="zh-CN" w:bidi="ar"/>
              </w:rPr>
              <w:t>800*460*2000</w:t>
            </w:r>
          </w:p>
        </w:tc>
        <w:tc>
          <w:tcPr>
            <w:tcW w:w="866" w:type="dxa"/>
            <w:shd w:val="clear" w:color="auto" w:fill="FFFF00"/>
            <w:noWrap/>
            <w:vAlign w:val="center"/>
          </w:tcPr>
          <w:p w14:paraId="39C0E1DF">
            <w:pPr>
              <w:keepNext w:val="0"/>
              <w:keepLines w:val="0"/>
              <w:widowControl/>
              <w:suppressLineNumbers w:val="0"/>
              <w:jc w:val="center"/>
              <w:textAlignment w:val="center"/>
              <w:rPr>
                <w:rFonts w:hint="eastAsia" w:ascii="宋体" w:hAnsi="宋体" w:eastAsia="宋体" w:cs="宋体"/>
                <w:b w:val="0"/>
                <w:bCs w:val="0"/>
                <w:i w:val="0"/>
                <w:iCs w:val="0"/>
                <w:color w:val="000000"/>
                <w:kern w:val="0"/>
                <w:sz w:val="13"/>
                <w:szCs w:val="13"/>
                <w:highlight w:val="none"/>
                <w:u w:val="none"/>
                <w:lang w:val="en-US" w:eastAsia="zh-CN" w:bidi="ar"/>
              </w:rPr>
            </w:pPr>
            <w:r>
              <w:rPr>
                <w:rFonts w:hint="eastAsia" w:ascii="宋体" w:hAnsi="宋体" w:eastAsia="宋体" w:cs="宋体"/>
                <w:i w:val="0"/>
                <w:iCs w:val="0"/>
                <w:color w:val="000000"/>
                <w:kern w:val="0"/>
                <w:sz w:val="13"/>
                <w:szCs w:val="13"/>
                <w:highlight w:val="none"/>
                <w:u w:val="none"/>
                <w:lang w:val="en-US" w:eastAsia="zh-CN" w:bidi="ar"/>
              </w:rPr>
              <w:t>8</w:t>
            </w:r>
          </w:p>
        </w:tc>
        <w:tc>
          <w:tcPr>
            <w:tcW w:w="377" w:type="dxa"/>
            <w:shd w:val="clear" w:color="auto" w:fill="FFFF00"/>
            <w:noWrap/>
            <w:vAlign w:val="center"/>
          </w:tcPr>
          <w:p w14:paraId="5CB758F0">
            <w:pPr>
              <w:keepNext w:val="0"/>
              <w:keepLines w:val="0"/>
              <w:widowControl/>
              <w:suppressLineNumbers w:val="0"/>
              <w:jc w:val="center"/>
              <w:textAlignment w:val="center"/>
              <w:rPr>
                <w:rFonts w:hint="eastAsia" w:ascii="宋体" w:hAnsi="宋体" w:eastAsia="宋体" w:cs="宋体"/>
                <w:b w:val="0"/>
                <w:bCs w:val="0"/>
                <w:i w:val="0"/>
                <w:iCs w:val="0"/>
                <w:color w:val="000000"/>
                <w:kern w:val="0"/>
                <w:sz w:val="13"/>
                <w:szCs w:val="13"/>
                <w:highlight w:val="none"/>
                <w:u w:val="none"/>
                <w:lang w:val="en-US" w:eastAsia="zh-CN" w:bidi="ar"/>
              </w:rPr>
            </w:pPr>
            <w:r>
              <w:rPr>
                <w:rFonts w:hint="eastAsia" w:ascii="宋体" w:hAnsi="宋体" w:eastAsia="宋体" w:cs="宋体"/>
                <w:i w:val="0"/>
                <w:iCs w:val="0"/>
                <w:color w:val="000000"/>
                <w:kern w:val="0"/>
                <w:sz w:val="13"/>
                <w:szCs w:val="13"/>
                <w:highlight w:val="none"/>
                <w:u w:val="none"/>
                <w:lang w:val="en-US" w:eastAsia="zh-CN" w:bidi="ar"/>
              </w:rPr>
              <w:t>组</w:t>
            </w:r>
          </w:p>
        </w:tc>
        <w:tc>
          <w:tcPr>
            <w:tcW w:w="1470" w:type="dxa"/>
            <w:shd w:val="clear" w:color="auto" w:fill="FFFF00"/>
            <w:noWrap/>
            <w:vAlign w:val="center"/>
          </w:tcPr>
          <w:p w14:paraId="613F0146">
            <w:pPr>
              <w:keepNext w:val="0"/>
              <w:keepLines w:val="0"/>
              <w:widowControl/>
              <w:suppressLineNumbers w:val="0"/>
              <w:jc w:val="center"/>
              <w:textAlignment w:val="center"/>
              <w:rPr>
                <w:rFonts w:hint="eastAsia" w:ascii="宋体" w:hAnsi="宋体" w:eastAsia="宋体" w:cs="宋体"/>
                <w:b w:val="0"/>
                <w:bCs w:val="0"/>
                <w:i w:val="0"/>
                <w:iCs w:val="0"/>
                <w:color w:val="000000"/>
                <w:kern w:val="0"/>
                <w:sz w:val="13"/>
                <w:szCs w:val="13"/>
                <w:highlight w:val="none"/>
                <w:u w:val="none"/>
                <w:bdr w:val="single" w:color="000000" w:sz="4" w:space="0"/>
                <w:shd w:val="clear" w:fill="FFFF00"/>
                <w:lang w:val="en-US" w:eastAsia="zh-CN" w:bidi="ar"/>
              </w:rPr>
            </w:pPr>
            <w:r>
              <w:rPr>
                <w:rFonts w:hint="eastAsia" w:ascii="宋体" w:hAnsi="宋体" w:eastAsia="宋体" w:cs="宋体"/>
                <w:i w:val="0"/>
                <w:iCs w:val="0"/>
                <w:color w:val="000000"/>
                <w:kern w:val="0"/>
                <w:sz w:val="13"/>
                <w:szCs w:val="13"/>
                <w:highlight w:val="none"/>
                <w:u w:val="none"/>
                <w:bdr w:val="single" w:color="000000" w:sz="4" w:space="0"/>
                <w:shd w:val="clear" w:fill="FFFF00"/>
                <w:lang w:val="en-US" w:eastAsia="zh-CN" w:bidi="ar"/>
              </w:rPr>
              <w:drawing>
                <wp:anchor distT="0" distB="0" distL="114300" distR="114300" simplePos="0" relativeHeight="251660288" behindDoc="0" locked="0" layoutInCell="1" allowOverlap="1">
                  <wp:simplePos x="0" y="0"/>
                  <wp:positionH relativeFrom="column">
                    <wp:posOffset>485140</wp:posOffset>
                  </wp:positionH>
                  <wp:positionV relativeFrom="paragraph">
                    <wp:posOffset>476250</wp:posOffset>
                  </wp:positionV>
                  <wp:extent cx="190500" cy="260350"/>
                  <wp:effectExtent l="0" t="0" r="0" b="6350"/>
                  <wp:wrapNone/>
                  <wp:docPr id="40" name="图片_90"/>
                  <wp:cNvGraphicFramePr/>
                  <a:graphic xmlns:a="http://schemas.openxmlformats.org/drawingml/2006/main">
                    <a:graphicData uri="http://schemas.openxmlformats.org/drawingml/2006/picture">
                      <pic:pic xmlns:pic="http://schemas.openxmlformats.org/drawingml/2006/picture">
                        <pic:nvPicPr>
                          <pic:cNvPr id="40" name="图片_90"/>
                          <pic:cNvPicPr/>
                        </pic:nvPicPr>
                        <pic:blipFill>
                          <a:blip r:embed="rId13"/>
                          <a:stretch>
                            <a:fillRect/>
                          </a:stretch>
                        </pic:blipFill>
                        <pic:spPr>
                          <a:xfrm>
                            <a:off x="0" y="0"/>
                            <a:ext cx="190500" cy="260350"/>
                          </a:xfrm>
                          <a:prstGeom prst="rect">
                            <a:avLst/>
                          </a:prstGeom>
                          <a:noFill/>
                          <a:ln>
                            <a:noFill/>
                          </a:ln>
                        </pic:spPr>
                      </pic:pic>
                    </a:graphicData>
                  </a:graphic>
                </wp:anchor>
              </w:drawing>
            </w:r>
            <w:r>
              <w:rPr>
                <w:rFonts w:hint="eastAsia" w:ascii="宋体" w:hAnsi="宋体" w:eastAsia="宋体" w:cs="宋体"/>
                <w:i w:val="0"/>
                <w:iCs w:val="0"/>
                <w:color w:val="000000"/>
                <w:kern w:val="0"/>
                <w:sz w:val="13"/>
                <w:szCs w:val="13"/>
                <w:highlight w:val="none"/>
                <w:u w:val="none"/>
                <w:bdr w:val="single" w:color="000000" w:sz="4" w:space="0"/>
                <w:shd w:val="clear" w:fill="FFFF00"/>
                <w:lang w:val="en-US" w:eastAsia="zh-CN" w:bidi="ar"/>
              </w:rPr>
              <w:drawing>
                <wp:anchor distT="0" distB="0" distL="114300" distR="114300" simplePos="0" relativeHeight="251660288" behindDoc="0" locked="0" layoutInCell="1" allowOverlap="1">
                  <wp:simplePos x="0" y="0"/>
                  <wp:positionH relativeFrom="column">
                    <wp:posOffset>102235</wp:posOffset>
                  </wp:positionH>
                  <wp:positionV relativeFrom="paragraph">
                    <wp:posOffset>453390</wp:posOffset>
                  </wp:positionV>
                  <wp:extent cx="248285" cy="281940"/>
                  <wp:effectExtent l="0" t="0" r="18415" b="3810"/>
                  <wp:wrapNone/>
                  <wp:docPr id="39" name="图片_89"/>
                  <wp:cNvGraphicFramePr/>
                  <a:graphic xmlns:a="http://schemas.openxmlformats.org/drawingml/2006/main">
                    <a:graphicData uri="http://schemas.openxmlformats.org/drawingml/2006/picture">
                      <pic:pic xmlns:pic="http://schemas.openxmlformats.org/drawingml/2006/picture">
                        <pic:nvPicPr>
                          <pic:cNvPr id="39" name="图片_89"/>
                          <pic:cNvPicPr/>
                        </pic:nvPicPr>
                        <pic:blipFill>
                          <a:blip r:embed="rId14"/>
                          <a:stretch>
                            <a:fillRect/>
                          </a:stretch>
                        </pic:blipFill>
                        <pic:spPr>
                          <a:xfrm>
                            <a:off x="0" y="0"/>
                            <a:ext cx="248285" cy="281940"/>
                          </a:xfrm>
                          <a:prstGeom prst="rect">
                            <a:avLst/>
                          </a:prstGeom>
                          <a:noFill/>
                          <a:ln>
                            <a:noFill/>
                          </a:ln>
                        </pic:spPr>
                      </pic:pic>
                    </a:graphicData>
                  </a:graphic>
                </wp:anchor>
              </w:drawing>
            </w:r>
          </w:p>
        </w:tc>
        <w:tc>
          <w:tcPr>
            <w:tcW w:w="4990" w:type="dxa"/>
            <w:shd w:val="clear" w:color="auto" w:fill="FFFF00"/>
            <w:vAlign w:val="center"/>
          </w:tcPr>
          <w:p w14:paraId="3F72508E">
            <w:pPr>
              <w:keepNext w:val="0"/>
              <w:keepLines w:val="0"/>
              <w:widowControl/>
              <w:suppressLineNumbers w:val="0"/>
              <w:jc w:val="left"/>
              <w:textAlignment w:val="center"/>
              <w:rPr>
                <w:rFonts w:hint="eastAsia" w:ascii="宋体" w:hAnsi="宋体" w:eastAsia="宋体" w:cs="宋体"/>
                <w:b w:val="0"/>
                <w:bCs w:val="0"/>
                <w:i w:val="0"/>
                <w:iCs w:val="0"/>
                <w:color w:val="000000"/>
                <w:kern w:val="0"/>
                <w:sz w:val="13"/>
                <w:szCs w:val="13"/>
                <w:highlight w:val="none"/>
                <w:u w:val="none"/>
                <w:lang w:val="en-US" w:eastAsia="zh-CN" w:bidi="ar"/>
              </w:rPr>
            </w:pPr>
            <w:r>
              <w:rPr>
                <w:rFonts w:hint="eastAsia" w:ascii="宋体" w:hAnsi="宋体" w:eastAsia="宋体" w:cs="宋体"/>
                <w:i w:val="0"/>
                <w:iCs w:val="0"/>
                <w:color w:val="000000"/>
                <w:kern w:val="0"/>
                <w:sz w:val="13"/>
                <w:szCs w:val="13"/>
                <w:highlight w:val="none"/>
                <w:u w:val="none"/>
                <w:lang w:val="en-US" w:eastAsia="zh-CN" w:bidi="ar"/>
              </w:rPr>
              <w:t xml:space="preserve">西药（柜）架；需符合GB/T 3325或同类相关检测标准；检测内容包括但不限于：①理化性能金属喷漆（塑）涂层：附着力不低于0级；②金属喷漆(塑)涂层：硬度≥5H；③金属喷漆(塑)涂层耐腐蚀：100h内，无气泡产生，100h后，无锈迹、剥落、起皱、变色和失光等现象；④抗菌性能：抑菌率≥99.96%； </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1.采用冷轧钢板制作，立柱1.2mm，横档1.0mm，托板0.8mm，双面挂斗设计，层板为抽屉式设计，安装三节导轨，每面共7层，可根据需求自由调节宽度和层板之间的高度，带顶板，可有效防止灰尘，每层装有价目条，可放置药品信息标插，中间有钢网隔断，防止药品掉落，抽斗可平挂，斜挂。</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2.所有工件经磨具冲压折弯焊接而成，焊接部分打磨、抛光处理平滑过渡，焊接口表面光滑；每层高度可调，可快速拆卸，日常使用方便。</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3、表面经全自动脱脂，采用静电喷塑，经过严格的九工位处理、加温除油磷；化、表调，使产品防锈能力更强，寿命更长，柜面色泽纯正、柔和。</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冷轧钢板；需符合GB/T 3325或同类相关检测标准；检测内容包括但不限于：</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①金属件外观性能要求/喷涂层:涂层应无漏喷、锈蚀和脱色、掉色现象，涂层应光滑均匀，色泽一致，应无流挂、疙瘩、皱皮、飞漆等缺陷；</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 xml:space="preserve">②金属喷漆(塑)涂层：硬度≥3H，附着力不低于0级，冲击强度：冲击高度 400mm，应无剥落、裂纹、皱纹，耐腐蚀：100h内，观察在溶剂中样板上划道两侧 3mm 以外，应无鼓泡产生，100h后，检查划道两侧3mm以外，应无锈迹、剥落、起皱、变色和失光等现象； </w:t>
            </w:r>
          </w:p>
        </w:tc>
      </w:tr>
      <w:tr w14:paraId="33BCE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635" w:type="dxa"/>
            <w:shd w:val="clear" w:color="auto" w:fill="FFFF00"/>
            <w:noWrap/>
            <w:vAlign w:val="center"/>
          </w:tcPr>
          <w:p w14:paraId="766C4147">
            <w:pPr>
              <w:keepNext w:val="0"/>
              <w:keepLines w:val="0"/>
              <w:widowControl/>
              <w:suppressLineNumbers w:val="0"/>
              <w:jc w:val="center"/>
              <w:textAlignment w:val="center"/>
              <w:rPr>
                <w:rFonts w:hint="eastAsia" w:ascii="宋体" w:hAnsi="宋体" w:eastAsia="宋体" w:cs="宋体"/>
                <w:b w:val="0"/>
                <w:bCs w:val="0"/>
                <w:i w:val="0"/>
                <w:iCs w:val="0"/>
                <w:color w:val="000000"/>
                <w:kern w:val="0"/>
                <w:sz w:val="13"/>
                <w:szCs w:val="13"/>
                <w:highlight w:val="none"/>
                <w:u w:val="none"/>
                <w:lang w:val="en-US" w:eastAsia="zh-CN" w:bidi="ar"/>
              </w:rPr>
            </w:pPr>
            <w:r>
              <w:rPr>
                <w:rFonts w:hint="eastAsia" w:ascii="宋体" w:hAnsi="宋体" w:eastAsia="宋体" w:cs="宋体"/>
                <w:i w:val="0"/>
                <w:iCs w:val="0"/>
                <w:color w:val="000000"/>
                <w:kern w:val="0"/>
                <w:sz w:val="13"/>
                <w:szCs w:val="13"/>
                <w:highlight w:val="none"/>
                <w:u w:val="none"/>
                <w:lang w:val="en-US" w:eastAsia="zh-CN" w:bidi="ar"/>
              </w:rPr>
              <w:t>双面药架</w:t>
            </w:r>
          </w:p>
        </w:tc>
        <w:tc>
          <w:tcPr>
            <w:tcW w:w="772" w:type="dxa"/>
            <w:shd w:val="clear" w:color="auto" w:fill="FFFF00"/>
            <w:vAlign w:val="center"/>
          </w:tcPr>
          <w:p w14:paraId="6A22AE2A">
            <w:pPr>
              <w:keepNext w:val="0"/>
              <w:keepLines w:val="0"/>
              <w:widowControl/>
              <w:suppressLineNumbers w:val="0"/>
              <w:jc w:val="center"/>
              <w:textAlignment w:val="center"/>
              <w:rPr>
                <w:rFonts w:hint="eastAsia" w:ascii="宋体" w:hAnsi="宋体" w:eastAsia="宋体" w:cs="宋体"/>
                <w:b w:val="0"/>
                <w:bCs w:val="0"/>
                <w:i w:val="0"/>
                <w:iCs w:val="0"/>
                <w:color w:val="000000"/>
                <w:kern w:val="0"/>
                <w:sz w:val="13"/>
                <w:szCs w:val="13"/>
                <w:highlight w:val="none"/>
                <w:u w:val="none"/>
                <w:lang w:val="en-US" w:eastAsia="zh-CN" w:bidi="ar"/>
              </w:rPr>
            </w:pPr>
            <w:r>
              <w:rPr>
                <w:rFonts w:hint="eastAsia" w:ascii="宋体" w:hAnsi="宋体" w:eastAsia="宋体" w:cs="宋体"/>
                <w:i w:val="0"/>
                <w:iCs w:val="0"/>
                <w:color w:val="000000"/>
                <w:kern w:val="0"/>
                <w:sz w:val="13"/>
                <w:szCs w:val="13"/>
                <w:highlight w:val="none"/>
                <w:u w:val="none"/>
                <w:lang w:val="en-US" w:eastAsia="zh-CN" w:bidi="ar"/>
              </w:rPr>
              <w:t>800*880*2000</w:t>
            </w:r>
          </w:p>
        </w:tc>
        <w:tc>
          <w:tcPr>
            <w:tcW w:w="866" w:type="dxa"/>
            <w:shd w:val="clear" w:color="auto" w:fill="FFFF00"/>
            <w:noWrap/>
            <w:vAlign w:val="center"/>
          </w:tcPr>
          <w:p w14:paraId="6DAF9936">
            <w:pPr>
              <w:keepNext w:val="0"/>
              <w:keepLines w:val="0"/>
              <w:widowControl/>
              <w:suppressLineNumbers w:val="0"/>
              <w:jc w:val="center"/>
              <w:textAlignment w:val="center"/>
              <w:rPr>
                <w:rFonts w:hint="eastAsia" w:ascii="宋体" w:hAnsi="宋体" w:eastAsia="宋体" w:cs="宋体"/>
                <w:b w:val="0"/>
                <w:bCs w:val="0"/>
                <w:i w:val="0"/>
                <w:iCs w:val="0"/>
                <w:color w:val="000000"/>
                <w:kern w:val="0"/>
                <w:sz w:val="13"/>
                <w:szCs w:val="13"/>
                <w:highlight w:val="none"/>
                <w:u w:val="none"/>
                <w:lang w:val="en-US" w:eastAsia="zh-CN" w:bidi="ar"/>
              </w:rPr>
            </w:pPr>
            <w:r>
              <w:rPr>
                <w:rFonts w:hint="eastAsia" w:ascii="宋体" w:hAnsi="宋体" w:eastAsia="宋体" w:cs="宋体"/>
                <w:i w:val="0"/>
                <w:iCs w:val="0"/>
                <w:color w:val="000000"/>
                <w:kern w:val="0"/>
                <w:sz w:val="13"/>
                <w:szCs w:val="13"/>
                <w:highlight w:val="none"/>
                <w:u w:val="none"/>
                <w:lang w:val="en-US" w:eastAsia="zh-CN" w:bidi="ar"/>
              </w:rPr>
              <w:t>15</w:t>
            </w:r>
          </w:p>
        </w:tc>
        <w:tc>
          <w:tcPr>
            <w:tcW w:w="377" w:type="dxa"/>
            <w:shd w:val="clear" w:color="auto" w:fill="FFFF00"/>
            <w:noWrap/>
            <w:vAlign w:val="center"/>
          </w:tcPr>
          <w:p w14:paraId="79C3DD66">
            <w:pPr>
              <w:keepNext w:val="0"/>
              <w:keepLines w:val="0"/>
              <w:widowControl/>
              <w:suppressLineNumbers w:val="0"/>
              <w:jc w:val="center"/>
              <w:textAlignment w:val="center"/>
              <w:rPr>
                <w:rFonts w:hint="eastAsia" w:ascii="宋体" w:hAnsi="宋体" w:eastAsia="宋体" w:cs="宋体"/>
                <w:b w:val="0"/>
                <w:bCs w:val="0"/>
                <w:i w:val="0"/>
                <w:iCs w:val="0"/>
                <w:color w:val="000000"/>
                <w:kern w:val="0"/>
                <w:sz w:val="13"/>
                <w:szCs w:val="13"/>
                <w:highlight w:val="none"/>
                <w:u w:val="none"/>
                <w:lang w:val="en-US" w:eastAsia="zh-CN" w:bidi="ar"/>
              </w:rPr>
            </w:pPr>
            <w:r>
              <w:rPr>
                <w:rFonts w:hint="eastAsia" w:ascii="宋体" w:hAnsi="宋体" w:eastAsia="宋体" w:cs="宋体"/>
                <w:i w:val="0"/>
                <w:iCs w:val="0"/>
                <w:color w:val="000000"/>
                <w:kern w:val="0"/>
                <w:sz w:val="13"/>
                <w:szCs w:val="13"/>
                <w:highlight w:val="none"/>
                <w:u w:val="none"/>
                <w:lang w:val="en-US" w:eastAsia="zh-CN" w:bidi="ar"/>
              </w:rPr>
              <w:t>组</w:t>
            </w:r>
          </w:p>
        </w:tc>
        <w:tc>
          <w:tcPr>
            <w:tcW w:w="1470" w:type="dxa"/>
            <w:shd w:val="clear" w:color="auto" w:fill="FFFF00"/>
            <w:noWrap/>
            <w:vAlign w:val="center"/>
          </w:tcPr>
          <w:p w14:paraId="24AB4A31">
            <w:pPr>
              <w:keepNext w:val="0"/>
              <w:keepLines w:val="0"/>
              <w:widowControl/>
              <w:suppressLineNumbers w:val="0"/>
              <w:jc w:val="center"/>
              <w:textAlignment w:val="center"/>
              <w:rPr>
                <w:rFonts w:hint="eastAsia" w:ascii="宋体" w:hAnsi="宋体" w:eastAsia="宋体" w:cs="宋体"/>
                <w:b w:val="0"/>
                <w:bCs w:val="0"/>
                <w:i w:val="0"/>
                <w:iCs w:val="0"/>
                <w:color w:val="000000"/>
                <w:kern w:val="0"/>
                <w:sz w:val="13"/>
                <w:szCs w:val="13"/>
                <w:highlight w:val="none"/>
                <w:u w:val="none"/>
                <w:bdr w:val="single" w:color="000000" w:sz="4" w:space="0"/>
                <w:shd w:val="clear" w:fill="FFFF00"/>
                <w:lang w:val="en-US" w:eastAsia="zh-CN" w:bidi="ar"/>
              </w:rPr>
            </w:pPr>
            <w:r>
              <w:rPr>
                <w:rFonts w:hint="eastAsia" w:ascii="宋体" w:hAnsi="宋体" w:eastAsia="宋体" w:cs="宋体"/>
                <w:i w:val="0"/>
                <w:iCs w:val="0"/>
                <w:color w:val="000000"/>
                <w:kern w:val="0"/>
                <w:sz w:val="13"/>
                <w:szCs w:val="13"/>
                <w:highlight w:val="none"/>
                <w:u w:val="none"/>
                <w:bdr w:val="single" w:color="000000" w:sz="4" w:space="0"/>
                <w:shd w:val="clear" w:fill="FFFF00"/>
                <w:lang w:val="en-US" w:eastAsia="zh-CN" w:bidi="ar"/>
              </w:rPr>
              <w:drawing>
                <wp:anchor distT="0" distB="0" distL="114300" distR="114300" simplePos="0" relativeHeight="251661312" behindDoc="0" locked="0" layoutInCell="1" allowOverlap="1">
                  <wp:simplePos x="0" y="0"/>
                  <wp:positionH relativeFrom="column">
                    <wp:posOffset>268605</wp:posOffset>
                  </wp:positionH>
                  <wp:positionV relativeFrom="paragraph">
                    <wp:posOffset>979170</wp:posOffset>
                  </wp:positionV>
                  <wp:extent cx="342265" cy="371475"/>
                  <wp:effectExtent l="0" t="0" r="635" b="9525"/>
                  <wp:wrapNone/>
                  <wp:docPr id="41" name="图片_91"/>
                  <wp:cNvGraphicFramePr/>
                  <a:graphic xmlns:a="http://schemas.openxmlformats.org/drawingml/2006/main">
                    <a:graphicData uri="http://schemas.openxmlformats.org/drawingml/2006/picture">
                      <pic:pic xmlns:pic="http://schemas.openxmlformats.org/drawingml/2006/picture">
                        <pic:nvPicPr>
                          <pic:cNvPr id="41" name="图片_91"/>
                          <pic:cNvPicPr/>
                        </pic:nvPicPr>
                        <pic:blipFill>
                          <a:blip r:embed="rId15"/>
                          <a:stretch>
                            <a:fillRect/>
                          </a:stretch>
                        </pic:blipFill>
                        <pic:spPr>
                          <a:xfrm>
                            <a:off x="0" y="0"/>
                            <a:ext cx="342265" cy="371475"/>
                          </a:xfrm>
                          <a:prstGeom prst="rect">
                            <a:avLst/>
                          </a:prstGeom>
                          <a:noFill/>
                          <a:ln>
                            <a:noFill/>
                          </a:ln>
                        </pic:spPr>
                      </pic:pic>
                    </a:graphicData>
                  </a:graphic>
                </wp:anchor>
              </w:drawing>
            </w:r>
          </w:p>
        </w:tc>
        <w:tc>
          <w:tcPr>
            <w:tcW w:w="4990" w:type="dxa"/>
            <w:shd w:val="clear" w:color="auto" w:fill="FFFF00"/>
            <w:vAlign w:val="center"/>
          </w:tcPr>
          <w:p w14:paraId="3A28C5BC">
            <w:pPr>
              <w:keepNext w:val="0"/>
              <w:keepLines w:val="0"/>
              <w:widowControl/>
              <w:suppressLineNumbers w:val="0"/>
              <w:jc w:val="left"/>
              <w:textAlignment w:val="center"/>
              <w:rPr>
                <w:rFonts w:hint="eastAsia" w:ascii="宋体" w:hAnsi="宋体" w:eastAsia="宋体" w:cs="宋体"/>
                <w:b w:val="0"/>
                <w:bCs w:val="0"/>
                <w:i w:val="0"/>
                <w:iCs w:val="0"/>
                <w:color w:val="000000"/>
                <w:kern w:val="0"/>
                <w:sz w:val="13"/>
                <w:szCs w:val="13"/>
                <w:highlight w:val="none"/>
                <w:u w:val="none"/>
                <w:lang w:val="en-US" w:eastAsia="zh-CN" w:bidi="ar"/>
              </w:rPr>
            </w:pPr>
            <w:r>
              <w:rPr>
                <w:rFonts w:hint="eastAsia" w:ascii="宋体" w:hAnsi="宋体" w:eastAsia="宋体" w:cs="宋体"/>
                <w:i w:val="0"/>
                <w:iCs w:val="0"/>
                <w:color w:val="000000"/>
                <w:kern w:val="0"/>
                <w:sz w:val="13"/>
                <w:szCs w:val="13"/>
                <w:highlight w:val="none"/>
                <w:u w:val="none"/>
                <w:lang w:val="en-US" w:eastAsia="zh-CN" w:bidi="ar"/>
              </w:rPr>
              <w:t xml:space="preserve">西药（柜）架；需符合GB/T 3325或同类相关检测标准；检测内容包括但不限于：①理化性能金属喷漆（塑）涂层：附着力不低于0级；②金属喷漆(塑)涂层：硬度≥5H；③金属喷漆(塑)涂层耐腐蚀：100h内，无气泡产生，100h后，无锈迹、剥落、起皱、变色和失光等现象；④抗菌性能：抑菌率≥99.96%； </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1.采用冷轧钢板制作，立柱1.2mm，横档1.0mm，托板0.8mm，双面挂斗设计，层板为抽屉式设计，安装三节导轨，每面共7层，可根据需求自由调节宽度和层板之间的高度，带顶板，可有效防止灰尘，每层装有价目条，可放置药品信息标插，中间有钢网隔断，防止药品掉落，抽斗可平挂，斜挂。</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2.所有工件经磨具冲压折弯焊接而成，焊接部分打磨、抛光处理平滑过渡，焊接口表面光滑；每层高度可调，可快速拆卸，日常使用方便。</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3、表面经全自动脱脂，采用静电喷塑，经过严格的九工位处理、加温除油磷；化、表调，使产品防锈能力更强，寿命更长，柜面色泽纯正、柔和。</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冷轧钢板；需符合GB/T 3325或同类相关检测标准；检测内容包括但不限于：</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①金属件外观性能要求/喷涂层:涂层应无漏喷、锈蚀和脱色、掉色现象，涂层应光滑均匀，色泽一致，应无流挂、疙瘩、皱皮、飞漆等缺陷；</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 xml:space="preserve">②金属喷漆(塑)涂层：硬度≥3H，附着力不低于0级，冲击强度：冲击高度 400mm，应无剥落、裂纹、皱纹，耐腐蚀：100h内，观察在溶剂中样板上划道两侧 3mm 以外，应无鼓泡产生，100h后，检查划道两侧3mm以外，应无锈迹、剥落、起皱、变色和失光等现象； </w:t>
            </w:r>
          </w:p>
        </w:tc>
      </w:tr>
      <w:tr w14:paraId="38161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635" w:type="dxa"/>
            <w:shd w:val="clear" w:color="auto" w:fill="FFFF00"/>
            <w:noWrap/>
            <w:vAlign w:val="center"/>
          </w:tcPr>
          <w:p w14:paraId="5F0933F5">
            <w:pPr>
              <w:keepNext w:val="0"/>
              <w:keepLines w:val="0"/>
              <w:widowControl/>
              <w:suppressLineNumbers w:val="0"/>
              <w:jc w:val="center"/>
              <w:textAlignment w:val="center"/>
              <w:rPr>
                <w:rFonts w:hint="eastAsia" w:ascii="宋体" w:hAnsi="宋体" w:eastAsia="宋体" w:cs="宋体"/>
                <w:b w:val="0"/>
                <w:bCs w:val="0"/>
                <w:i w:val="0"/>
                <w:iCs w:val="0"/>
                <w:color w:val="000000"/>
                <w:kern w:val="0"/>
                <w:sz w:val="13"/>
                <w:szCs w:val="13"/>
                <w:highlight w:val="none"/>
                <w:u w:val="none"/>
                <w:lang w:val="en-US" w:eastAsia="zh-CN" w:bidi="ar"/>
              </w:rPr>
            </w:pPr>
            <w:r>
              <w:rPr>
                <w:rFonts w:hint="eastAsia" w:ascii="宋体" w:hAnsi="宋体" w:eastAsia="宋体" w:cs="宋体"/>
                <w:i w:val="0"/>
                <w:iCs w:val="0"/>
                <w:color w:val="000000"/>
                <w:kern w:val="0"/>
                <w:sz w:val="13"/>
                <w:szCs w:val="13"/>
                <w:highlight w:val="none"/>
                <w:u w:val="none"/>
                <w:lang w:val="en-US" w:eastAsia="zh-CN" w:bidi="ar"/>
              </w:rPr>
              <w:t>中药药斗</w:t>
            </w:r>
          </w:p>
        </w:tc>
        <w:tc>
          <w:tcPr>
            <w:tcW w:w="772" w:type="dxa"/>
            <w:shd w:val="clear" w:color="auto" w:fill="FFFF00"/>
            <w:vAlign w:val="center"/>
          </w:tcPr>
          <w:p w14:paraId="18D687A2">
            <w:pPr>
              <w:keepNext w:val="0"/>
              <w:keepLines w:val="0"/>
              <w:widowControl/>
              <w:suppressLineNumbers w:val="0"/>
              <w:jc w:val="center"/>
              <w:textAlignment w:val="center"/>
              <w:rPr>
                <w:rFonts w:hint="eastAsia" w:ascii="宋体" w:hAnsi="宋体" w:eastAsia="宋体" w:cs="宋体"/>
                <w:b w:val="0"/>
                <w:bCs w:val="0"/>
                <w:i w:val="0"/>
                <w:iCs w:val="0"/>
                <w:color w:val="000000"/>
                <w:kern w:val="0"/>
                <w:sz w:val="13"/>
                <w:szCs w:val="13"/>
                <w:highlight w:val="none"/>
                <w:u w:val="none"/>
                <w:lang w:val="en-US" w:eastAsia="zh-CN" w:bidi="ar"/>
              </w:rPr>
            </w:pPr>
            <w:r>
              <w:rPr>
                <w:rFonts w:hint="eastAsia" w:ascii="宋体" w:hAnsi="宋体" w:eastAsia="宋体" w:cs="宋体"/>
                <w:i w:val="0"/>
                <w:iCs w:val="0"/>
                <w:color w:val="000000"/>
                <w:kern w:val="0"/>
                <w:sz w:val="13"/>
                <w:szCs w:val="13"/>
                <w:highlight w:val="none"/>
                <w:u w:val="none"/>
                <w:lang w:val="en-US" w:eastAsia="zh-CN" w:bidi="ar"/>
              </w:rPr>
              <w:t>1200*600*2150</w:t>
            </w:r>
          </w:p>
        </w:tc>
        <w:tc>
          <w:tcPr>
            <w:tcW w:w="866" w:type="dxa"/>
            <w:shd w:val="clear" w:color="auto" w:fill="FFFF00"/>
            <w:noWrap/>
            <w:vAlign w:val="center"/>
          </w:tcPr>
          <w:p w14:paraId="5040E9FE">
            <w:pPr>
              <w:keepNext w:val="0"/>
              <w:keepLines w:val="0"/>
              <w:widowControl/>
              <w:suppressLineNumbers w:val="0"/>
              <w:jc w:val="center"/>
              <w:textAlignment w:val="center"/>
              <w:rPr>
                <w:rFonts w:hint="eastAsia" w:ascii="宋体" w:hAnsi="宋体" w:eastAsia="宋体" w:cs="宋体"/>
                <w:b w:val="0"/>
                <w:bCs w:val="0"/>
                <w:i w:val="0"/>
                <w:iCs w:val="0"/>
                <w:color w:val="000000"/>
                <w:kern w:val="0"/>
                <w:sz w:val="13"/>
                <w:szCs w:val="13"/>
                <w:highlight w:val="none"/>
                <w:u w:val="none"/>
                <w:lang w:val="en-US" w:eastAsia="zh-CN" w:bidi="ar"/>
              </w:rPr>
            </w:pPr>
            <w:r>
              <w:rPr>
                <w:rFonts w:hint="eastAsia" w:ascii="宋体" w:hAnsi="宋体" w:eastAsia="宋体" w:cs="宋体"/>
                <w:i w:val="0"/>
                <w:iCs w:val="0"/>
                <w:color w:val="000000"/>
                <w:kern w:val="0"/>
                <w:sz w:val="13"/>
                <w:szCs w:val="13"/>
                <w:highlight w:val="none"/>
                <w:u w:val="none"/>
                <w:lang w:val="en-US" w:eastAsia="zh-CN" w:bidi="ar"/>
              </w:rPr>
              <w:t>8</w:t>
            </w:r>
          </w:p>
        </w:tc>
        <w:tc>
          <w:tcPr>
            <w:tcW w:w="377" w:type="dxa"/>
            <w:shd w:val="clear" w:color="auto" w:fill="FFFF00"/>
            <w:noWrap/>
            <w:vAlign w:val="center"/>
          </w:tcPr>
          <w:p w14:paraId="10D371C8">
            <w:pPr>
              <w:keepNext w:val="0"/>
              <w:keepLines w:val="0"/>
              <w:widowControl/>
              <w:suppressLineNumbers w:val="0"/>
              <w:jc w:val="center"/>
              <w:textAlignment w:val="center"/>
              <w:rPr>
                <w:rFonts w:hint="eastAsia" w:ascii="宋体" w:hAnsi="宋体" w:eastAsia="宋体" w:cs="宋体"/>
                <w:b w:val="0"/>
                <w:bCs w:val="0"/>
                <w:i w:val="0"/>
                <w:iCs w:val="0"/>
                <w:color w:val="000000"/>
                <w:kern w:val="0"/>
                <w:sz w:val="13"/>
                <w:szCs w:val="13"/>
                <w:highlight w:val="none"/>
                <w:u w:val="none"/>
                <w:lang w:val="en-US" w:eastAsia="zh-CN" w:bidi="ar"/>
              </w:rPr>
            </w:pPr>
            <w:r>
              <w:rPr>
                <w:rFonts w:hint="eastAsia" w:ascii="宋体" w:hAnsi="宋体" w:eastAsia="宋体" w:cs="宋体"/>
                <w:i w:val="0"/>
                <w:iCs w:val="0"/>
                <w:color w:val="000000"/>
                <w:kern w:val="0"/>
                <w:sz w:val="13"/>
                <w:szCs w:val="13"/>
                <w:highlight w:val="none"/>
                <w:u w:val="none"/>
                <w:lang w:val="en-US" w:eastAsia="zh-CN" w:bidi="ar"/>
              </w:rPr>
              <w:t>组</w:t>
            </w:r>
          </w:p>
        </w:tc>
        <w:tc>
          <w:tcPr>
            <w:tcW w:w="1470" w:type="dxa"/>
            <w:shd w:val="clear" w:color="auto" w:fill="FFFF00"/>
            <w:noWrap/>
            <w:vAlign w:val="center"/>
          </w:tcPr>
          <w:p w14:paraId="44495F7E">
            <w:pPr>
              <w:keepNext w:val="0"/>
              <w:keepLines w:val="0"/>
              <w:widowControl/>
              <w:suppressLineNumbers w:val="0"/>
              <w:jc w:val="center"/>
              <w:textAlignment w:val="center"/>
              <w:rPr>
                <w:rFonts w:hint="eastAsia" w:ascii="宋体" w:hAnsi="宋体" w:eastAsia="宋体" w:cs="宋体"/>
                <w:b w:val="0"/>
                <w:bCs w:val="0"/>
                <w:i w:val="0"/>
                <w:iCs w:val="0"/>
                <w:color w:val="000000"/>
                <w:kern w:val="0"/>
                <w:sz w:val="13"/>
                <w:szCs w:val="13"/>
                <w:highlight w:val="none"/>
                <w:u w:val="none"/>
                <w:bdr w:val="single" w:color="000000" w:sz="4" w:space="0"/>
                <w:shd w:val="clear" w:fill="FFFF00"/>
                <w:lang w:val="en-US" w:eastAsia="zh-CN" w:bidi="ar"/>
              </w:rPr>
            </w:pPr>
            <w:r>
              <w:rPr>
                <w:rFonts w:hint="eastAsia" w:ascii="宋体" w:hAnsi="宋体" w:eastAsia="宋体" w:cs="宋体"/>
                <w:i w:val="0"/>
                <w:iCs w:val="0"/>
                <w:color w:val="000000"/>
                <w:kern w:val="0"/>
                <w:sz w:val="13"/>
                <w:szCs w:val="13"/>
                <w:highlight w:val="none"/>
                <w:u w:val="none"/>
                <w:bdr w:val="single" w:color="000000" w:sz="4" w:space="0"/>
                <w:shd w:val="clear" w:fill="FFFF00"/>
                <w:lang w:val="en-US" w:eastAsia="zh-CN" w:bidi="ar"/>
              </w:rPr>
              <w:drawing>
                <wp:anchor distT="0" distB="0" distL="114300" distR="114300" simplePos="0" relativeHeight="251662336" behindDoc="0" locked="0" layoutInCell="1" allowOverlap="1">
                  <wp:simplePos x="0" y="0"/>
                  <wp:positionH relativeFrom="column">
                    <wp:posOffset>257175</wp:posOffset>
                  </wp:positionH>
                  <wp:positionV relativeFrom="paragraph">
                    <wp:posOffset>747395</wp:posOffset>
                  </wp:positionV>
                  <wp:extent cx="347980" cy="760730"/>
                  <wp:effectExtent l="0" t="0" r="13970" b="1270"/>
                  <wp:wrapNone/>
                  <wp:docPr id="42" name="图片_62"/>
                  <wp:cNvGraphicFramePr/>
                  <a:graphic xmlns:a="http://schemas.openxmlformats.org/drawingml/2006/main">
                    <a:graphicData uri="http://schemas.openxmlformats.org/drawingml/2006/picture">
                      <pic:pic xmlns:pic="http://schemas.openxmlformats.org/drawingml/2006/picture">
                        <pic:nvPicPr>
                          <pic:cNvPr id="42" name="图片_62"/>
                          <pic:cNvPicPr/>
                        </pic:nvPicPr>
                        <pic:blipFill>
                          <a:blip r:embed="rId16"/>
                          <a:stretch>
                            <a:fillRect/>
                          </a:stretch>
                        </pic:blipFill>
                        <pic:spPr>
                          <a:xfrm>
                            <a:off x="0" y="0"/>
                            <a:ext cx="347980" cy="760730"/>
                          </a:xfrm>
                          <a:prstGeom prst="rect">
                            <a:avLst/>
                          </a:prstGeom>
                          <a:noFill/>
                          <a:ln>
                            <a:noFill/>
                          </a:ln>
                        </pic:spPr>
                      </pic:pic>
                    </a:graphicData>
                  </a:graphic>
                </wp:anchor>
              </w:drawing>
            </w:r>
          </w:p>
        </w:tc>
        <w:tc>
          <w:tcPr>
            <w:tcW w:w="4990" w:type="dxa"/>
            <w:shd w:val="clear" w:color="auto" w:fill="FFFF00"/>
            <w:vAlign w:val="center"/>
          </w:tcPr>
          <w:p w14:paraId="661235BF">
            <w:pPr>
              <w:keepNext w:val="0"/>
              <w:keepLines w:val="0"/>
              <w:widowControl/>
              <w:suppressLineNumbers w:val="0"/>
              <w:jc w:val="left"/>
              <w:textAlignment w:val="center"/>
              <w:rPr>
                <w:rFonts w:hint="eastAsia" w:ascii="宋体" w:hAnsi="宋体" w:eastAsia="宋体" w:cs="宋体"/>
                <w:b w:val="0"/>
                <w:bCs w:val="0"/>
                <w:i w:val="0"/>
                <w:iCs w:val="0"/>
                <w:color w:val="000000"/>
                <w:kern w:val="0"/>
                <w:sz w:val="13"/>
                <w:szCs w:val="13"/>
                <w:highlight w:val="none"/>
                <w:u w:val="none"/>
                <w:lang w:val="en-US" w:eastAsia="zh-CN" w:bidi="ar"/>
              </w:rPr>
            </w:pPr>
            <w:r>
              <w:rPr>
                <w:rFonts w:hint="eastAsia" w:ascii="宋体" w:hAnsi="宋体" w:eastAsia="宋体" w:cs="宋体"/>
                <w:i w:val="0"/>
                <w:iCs w:val="0"/>
                <w:color w:val="000000"/>
                <w:kern w:val="0"/>
                <w:sz w:val="13"/>
                <w:szCs w:val="13"/>
                <w:highlight w:val="none"/>
                <w:u w:val="none"/>
                <w:lang w:val="en-US" w:eastAsia="zh-CN" w:bidi="ar"/>
              </w:rPr>
              <w:t>钢制中药药斗柜，多抽屉设计，抽屉内部带食品级塑料原料制作而成的方盒，颜色和样式可选，抽屉数量和规格可选，中标后按用户需求进行细化设计。</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1、基材：钢板选用0.8mm电解钢板，材质坚固耐用，表面喷粉。</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2、表面经全自动脱脂，采用静电喷塑，经过严格的九工位处理、加温除油磷；化、表调，使产品防锈能力更强，寿命更长，柜面色泽纯正、柔和。</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 xml:space="preserve">3、产品结构：小抽屉独立空间；每门配独立拉手，五金件采用优质五金件，抽屉内配置塑料药盒。拉手；需符合GB/T 3325或同类相关检测标准；检测内容包括但不限于：①金属喷漆(塑)涂层理化性能：附着力不低于0级；耐腐蚀100h内，观察在溶液中样板上划道两侧3mm以外,应无鼓泡产生，100h后，检查划道两侧3mm外，应无锈迹、剥落、起皱、变色和失光等现象，符合要求；②屈服强度≥260N/mm²、抗拉强度≥405~430N/mm²、断后伸长率≥46%； </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4、焊接：采用二氧化碳保护焊，无砂眼、折角处圆滑、无毛刺，各结合部连接合理。</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 xml:space="preserve">电解钢板；需符合GB/T 3325或同类相关检测标准；检测内容包括但不限于：①金属喷漆(塑)涂层理化性能(冲击强度：冲击高度≥400mm，应无剥落、裂纹、皱纹；耐腐蚀：100h内，观察在溶液中样板上划道两侧3mm以外,应无气泡产生，100h后，检查划道两侧3mm外，应无锈迹、剥落、起皱、变色和失光等现象),均符合要求；附着力:0级，合格；②金属喷漆(塑)涂层硬度≥5H，合格；③洛氏硬度≥67；④抗菌性能：抑菌率≥99.9%。⑤中性盐雾试验≥40小时后，涂层本身耐腐蚀等级10级，涂层对基体保护等级10级；乙酸盐雾试验≥24小时后，涂层本身耐腐蚀等级10级，涂层对基体保护等级10级；铜加速乙酸盐雾（CASS）试验≥40小时后，外观评级10级，保护评级10级；⑥抗拉强度（MPa） 300~320；规定塑性延伸强度（MPa）≥260；断后伸长率≥45%；⑦平板状建筑材料及制品燃烧性能B1级：a)燃烧增长指数≤1W/s；b)火焰横向蔓延情况：火焰横向蔓延未到达试样长翼边缘；c)600s 的总放热量≤0.1MJ；d)60s 内焰尖高度 ≤40mm；e)60s 内无燃烧滴落物引燃滤纸现象，均合格；                                                                                                            </w:t>
            </w:r>
          </w:p>
        </w:tc>
      </w:tr>
      <w:tr w14:paraId="1A6CD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635" w:type="dxa"/>
            <w:shd w:val="clear" w:color="auto" w:fill="FFFF00"/>
            <w:noWrap/>
            <w:vAlign w:val="center"/>
          </w:tcPr>
          <w:p w14:paraId="1F39D19B">
            <w:pPr>
              <w:keepNext w:val="0"/>
              <w:keepLines w:val="0"/>
              <w:widowControl/>
              <w:suppressLineNumbers w:val="0"/>
              <w:jc w:val="center"/>
              <w:textAlignment w:val="center"/>
              <w:rPr>
                <w:rFonts w:hint="eastAsia" w:ascii="宋体" w:hAnsi="宋体" w:eastAsia="宋体" w:cs="宋体"/>
                <w:b w:val="0"/>
                <w:bCs w:val="0"/>
                <w:i w:val="0"/>
                <w:iCs w:val="0"/>
                <w:color w:val="000000"/>
                <w:kern w:val="0"/>
                <w:sz w:val="13"/>
                <w:szCs w:val="13"/>
                <w:highlight w:val="none"/>
                <w:u w:val="none"/>
                <w:lang w:val="en-US" w:eastAsia="zh-CN" w:bidi="ar"/>
              </w:rPr>
            </w:pPr>
            <w:r>
              <w:rPr>
                <w:rFonts w:hint="eastAsia" w:ascii="宋体" w:hAnsi="宋体" w:eastAsia="宋体" w:cs="宋体"/>
                <w:i w:val="0"/>
                <w:iCs w:val="0"/>
                <w:color w:val="000000"/>
                <w:kern w:val="0"/>
                <w:sz w:val="13"/>
                <w:szCs w:val="13"/>
                <w:highlight w:val="none"/>
                <w:u w:val="none"/>
                <w:lang w:val="en-US" w:eastAsia="zh-CN" w:bidi="ar"/>
              </w:rPr>
              <w:t>调剂台</w:t>
            </w:r>
          </w:p>
        </w:tc>
        <w:tc>
          <w:tcPr>
            <w:tcW w:w="772" w:type="dxa"/>
            <w:shd w:val="clear" w:color="auto" w:fill="FFFF00"/>
            <w:vAlign w:val="center"/>
          </w:tcPr>
          <w:p w14:paraId="5CB6C0DF">
            <w:pPr>
              <w:keepNext w:val="0"/>
              <w:keepLines w:val="0"/>
              <w:widowControl/>
              <w:suppressLineNumbers w:val="0"/>
              <w:jc w:val="center"/>
              <w:textAlignment w:val="center"/>
              <w:rPr>
                <w:rFonts w:hint="eastAsia" w:ascii="宋体" w:hAnsi="宋体" w:eastAsia="宋体" w:cs="宋体"/>
                <w:b w:val="0"/>
                <w:bCs w:val="0"/>
                <w:i w:val="0"/>
                <w:iCs w:val="0"/>
                <w:color w:val="000000"/>
                <w:kern w:val="0"/>
                <w:sz w:val="13"/>
                <w:szCs w:val="13"/>
                <w:highlight w:val="none"/>
                <w:u w:val="none"/>
                <w:lang w:val="en-US" w:eastAsia="zh-CN" w:bidi="ar"/>
              </w:rPr>
            </w:pPr>
            <w:r>
              <w:rPr>
                <w:rFonts w:hint="eastAsia" w:ascii="宋体" w:hAnsi="宋体" w:eastAsia="宋体" w:cs="宋体"/>
                <w:i w:val="0"/>
                <w:iCs w:val="0"/>
                <w:color w:val="000000"/>
                <w:kern w:val="0"/>
                <w:sz w:val="13"/>
                <w:szCs w:val="13"/>
                <w:highlight w:val="none"/>
                <w:u w:val="none"/>
                <w:lang w:val="en-US" w:eastAsia="zh-CN" w:bidi="ar"/>
              </w:rPr>
              <w:t>750D*800H</w:t>
            </w:r>
          </w:p>
        </w:tc>
        <w:tc>
          <w:tcPr>
            <w:tcW w:w="866" w:type="dxa"/>
            <w:shd w:val="clear" w:color="auto" w:fill="FFFF00"/>
            <w:noWrap/>
            <w:vAlign w:val="center"/>
          </w:tcPr>
          <w:p w14:paraId="09F428A6">
            <w:pPr>
              <w:keepNext w:val="0"/>
              <w:keepLines w:val="0"/>
              <w:widowControl/>
              <w:suppressLineNumbers w:val="0"/>
              <w:jc w:val="center"/>
              <w:textAlignment w:val="center"/>
              <w:rPr>
                <w:rFonts w:hint="eastAsia" w:ascii="宋体" w:hAnsi="宋体" w:eastAsia="宋体" w:cs="宋体"/>
                <w:b w:val="0"/>
                <w:bCs w:val="0"/>
                <w:i w:val="0"/>
                <w:iCs w:val="0"/>
                <w:color w:val="000000"/>
                <w:kern w:val="0"/>
                <w:sz w:val="13"/>
                <w:szCs w:val="13"/>
                <w:highlight w:val="none"/>
                <w:u w:val="none"/>
                <w:lang w:val="en-US" w:eastAsia="zh-CN" w:bidi="ar"/>
              </w:rPr>
            </w:pPr>
            <w:r>
              <w:rPr>
                <w:rFonts w:hint="eastAsia" w:ascii="宋体" w:hAnsi="宋体" w:eastAsia="宋体" w:cs="宋体"/>
                <w:i w:val="0"/>
                <w:iCs w:val="0"/>
                <w:color w:val="000000"/>
                <w:kern w:val="0"/>
                <w:sz w:val="13"/>
                <w:szCs w:val="13"/>
                <w:highlight w:val="none"/>
                <w:u w:val="none"/>
                <w:lang w:val="en-US" w:eastAsia="zh-CN" w:bidi="ar"/>
              </w:rPr>
              <w:t>9.2</w:t>
            </w:r>
          </w:p>
        </w:tc>
        <w:tc>
          <w:tcPr>
            <w:tcW w:w="377" w:type="dxa"/>
            <w:shd w:val="clear" w:color="auto" w:fill="FFFF00"/>
            <w:noWrap/>
            <w:vAlign w:val="center"/>
          </w:tcPr>
          <w:p w14:paraId="6EAC4FA2">
            <w:pPr>
              <w:keepNext w:val="0"/>
              <w:keepLines w:val="0"/>
              <w:widowControl/>
              <w:suppressLineNumbers w:val="0"/>
              <w:jc w:val="center"/>
              <w:textAlignment w:val="center"/>
              <w:rPr>
                <w:rFonts w:hint="eastAsia" w:ascii="宋体" w:hAnsi="宋体" w:eastAsia="宋体" w:cs="宋体"/>
                <w:b w:val="0"/>
                <w:bCs w:val="0"/>
                <w:i w:val="0"/>
                <w:iCs w:val="0"/>
                <w:color w:val="000000"/>
                <w:kern w:val="0"/>
                <w:sz w:val="13"/>
                <w:szCs w:val="13"/>
                <w:highlight w:val="none"/>
                <w:u w:val="none"/>
                <w:lang w:val="en-US" w:eastAsia="zh-CN" w:bidi="ar"/>
              </w:rPr>
            </w:pPr>
            <w:r>
              <w:rPr>
                <w:rFonts w:hint="eastAsia" w:ascii="宋体" w:hAnsi="宋体" w:eastAsia="宋体" w:cs="宋体"/>
                <w:i w:val="0"/>
                <w:iCs w:val="0"/>
                <w:color w:val="000000"/>
                <w:kern w:val="0"/>
                <w:sz w:val="13"/>
                <w:szCs w:val="13"/>
                <w:highlight w:val="none"/>
                <w:u w:val="none"/>
                <w:lang w:val="en-US" w:eastAsia="zh-CN" w:bidi="ar"/>
              </w:rPr>
              <w:t>米</w:t>
            </w:r>
          </w:p>
        </w:tc>
        <w:tc>
          <w:tcPr>
            <w:tcW w:w="1470" w:type="dxa"/>
            <w:shd w:val="clear" w:color="auto" w:fill="FFFF00"/>
            <w:noWrap/>
            <w:vAlign w:val="center"/>
          </w:tcPr>
          <w:p w14:paraId="4018BCF2">
            <w:pPr>
              <w:keepNext w:val="0"/>
              <w:keepLines w:val="0"/>
              <w:widowControl/>
              <w:suppressLineNumbers w:val="0"/>
              <w:jc w:val="center"/>
              <w:textAlignment w:val="center"/>
              <w:rPr>
                <w:rFonts w:hint="eastAsia" w:ascii="宋体" w:hAnsi="宋体" w:eastAsia="宋体" w:cs="宋体"/>
                <w:b w:val="0"/>
                <w:bCs w:val="0"/>
                <w:i w:val="0"/>
                <w:iCs w:val="0"/>
                <w:color w:val="000000"/>
                <w:kern w:val="0"/>
                <w:sz w:val="13"/>
                <w:szCs w:val="13"/>
                <w:highlight w:val="none"/>
                <w:u w:val="none"/>
                <w:bdr w:val="single" w:color="000000" w:sz="4" w:space="0"/>
                <w:shd w:val="clear" w:fill="FFFF00"/>
                <w:lang w:val="en-US" w:eastAsia="zh-CN" w:bidi="ar"/>
              </w:rPr>
            </w:pPr>
            <w:r>
              <w:rPr>
                <w:rFonts w:hint="eastAsia" w:ascii="宋体" w:hAnsi="宋体" w:eastAsia="宋体" w:cs="宋体"/>
                <w:i w:val="0"/>
                <w:iCs w:val="0"/>
                <w:color w:val="000000"/>
                <w:kern w:val="0"/>
                <w:sz w:val="13"/>
                <w:szCs w:val="13"/>
                <w:highlight w:val="none"/>
                <w:u w:val="none"/>
                <w:bdr w:val="single" w:color="000000" w:sz="4" w:space="0"/>
                <w:shd w:val="clear" w:fill="FFFF00"/>
                <w:lang w:val="en-US" w:eastAsia="zh-CN" w:bidi="ar"/>
              </w:rPr>
              <w:drawing>
                <wp:anchor distT="0" distB="0" distL="114300" distR="114300" simplePos="0" relativeHeight="251663360" behindDoc="0" locked="0" layoutInCell="1" allowOverlap="1">
                  <wp:simplePos x="0" y="0"/>
                  <wp:positionH relativeFrom="column">
                    <wp:posOffset>85725</wp:posOffset>
                  </wp:positionH>
                  <wp:positionV relativeFrom="paragraph">
                    <wp:posOffset>1548765</wp:posOffset>
                  </wp:positionV>
                  <wp:extent cx="705485" cy="334010"/>
                  <wp:effectExtent l="0" t="0" r="18415" b="8890"/>
                  <wp:wrapNone/>
                  <wp:docPr id="43" name="图片_94"/>
                  <wp:cNvGraphicFramePr/>
                  <a:graphic xmlns:a="http://schemas.openxmlformats.org/drawingml/2006/main">
                    <a:graphicData uri="http://schemas.openxmlformats.org/drawingml/2006/picture">
                      <pic:pic xmlns:pic="http://schemas.openxmlformats.org/drawingml/2006/picture">
                        <pic:nvPicPr>
                          <pic:cNvPr id="43" name="图片_94"/>
                          <pic:cNvPicPr/>
                        </pic:nvPicPr>
                        <pic:blipFill>
                          <a:blip r:embed="rId17"/>
                          <a:stretch>
                            <a:fillRect/>
                          </a:stretch>
                        </pic:blipFill>
                        <pic:spPr>
                          <a:xfrm>
                            <a:off x="0" y="0"/>
                            <a:ext cx="705485" cy="334010"/>
                          </a:xfrm>
                          <a:prstGeom prst="rect">
                            <a:avLst/>
                          </a:prstGeom>
                          <a:noFill/>
                          <a:ln>
                            <a:noFill/>
                          </a:ln>
                        </pic:spPr>
                      </pic:pic>
                    </a:graphicData>
                  </a:graphic>
                </wp:anchor>
              </w:drawing>
            </w:r>
          </w:p>
        </w:tc>
        <w:tc>
          <w:tcPr>
            <w:tcW w:w="4990" w:type="dxa"/>
            <w:shd w:val="clear" w:color="auto" w:fill="FFFF00"/>
            <w:vAlign w:val="center"/>
          </w:tcPr>
          <w:p w14:paraId="285C59E2">
            <w:pPr>
              <w:keepNext w:val="0"/>
              <w:keepLines w:val="0"/>
              <w:widowControl/>
              <w:suppressLineNumbers w:val="0"/>
              <w:jc w:val="left"/>
              <w:textAlignment w:val="center"/>
              <w:rPr>
                <w:rFonts w:hint="eastAsia" w:ascii="宋体" w:hAnsi="宋体" w:eastAsia="宋体" w:cs="宋体"/>
                <w:b w:val="0"/>
                <w:bCs w:val="0"/>
                <w:i w:val="0"/>
                <w:iCs w:val="0"/>
                <w:color w:val="000000"/>
                <w:kern w:val="0"/>
                <w:sz w:val="13"/>
                <w:szCs w:val="13"/>
                <w:highlight w:val="none"/>
                <w:u w:val="none"/>
                <w:lang w:val="en-US" w:eastAsia="zh-CN" w:bidi="ar"/>
              </w:rPr>
            </w:pPr>
            <w:r>
              <w:rPr>
                <w:rFonts w:hint="eastAsia" w:ascii="宋体" w:hAnsi="宋体" w:eastAsia="宋体" w:cs="宋体"/>
                <w:i w:val="0"/>
                <w:iCs w:val="0"/>
                <w:color w:val="000000"/>
                <w:kern w:val="0"/>
                <w:sz w:val="13"/>
                <w:szCs w:val="13"/>
                <w:highlight w:val="none"/>
                <w:u w:val="none"/>
                <w:lang w:val="en-US" w:eastAsia="zh-CN" w:bidi="ar"/>
              </w:rPr>
              <w:t xml:space="preserve">（1）台面采用医用复合亚克力人造石，厚度12mm，台面周边双层加厚及上下双R5圆角处理。具有抗菌、防霉、耐酸碱、耐磨、耐冲击、易清洁等特性；符合医院环境卫生要求；采用无缝拼接。    </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（2）站     体：采用1.0MM厚医用喷涂电解钢板，龙骨采用2.0mm厚医用喷涂电解钢板。</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（3）表面处理：采用防腐抗菌喷涂粉末，表面光滑无颗粒，涂层膜厚度均匀，抗菌、防霉、耐酸碱、耐磨、耐撞击，抗腐蚀力强。</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 xml:space="preserve">（4）拉手：需符合GB/T 3325或同类相关检测标准；检测内容包括但不限于：①金属喷漆(塑)涂层理化性能：附着力不低于0级；耐腐蚀100h内，观察在溶液中样板上划道两侧3mm以外,应无鼓泡产生，100h后，检查划道两侧3mm外，应无锈迹、剥落、起皱、变色和失光等现象，符合要求；②屈服强度≥260N/mm²、抗拉强度≥405~430N/mm²、断后伸长率≥46%； </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（5）采用304不锈钢缓冲门铰、三节滚珠导轨，静音效果好，开关顺滑，使用寿命长。</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 xml:space="preserve">304不锈钢铰链；需符合QB/T 2189或同类相关检测标准；检测内容包括但不限于：①过载：垂直静载荷:20kg,10次。无缺陷、水平静载荷:60N,10次。无缺陷)，符合要求；②功能：操作力：耐久试验前打开力≤8N、耐久试验前关闭力≤6N、耐久试验后打开力≤7N、耐久试验后关闭力≤5N；垂直静载荷：15kg,10次。无缺陷；下沉量：在使用调整系统前，安装B型试验门时，下沉量不应大于1.2mm；③中性盐雾试验≥40h后，涂层本身耐腐蚀等级10级，涂层对基体保护等级10级；④乙酸盐雾试验≥40小时后，涂层本身耐腐蚀等级10级，涂层对基体保护等级10级；⑤铜加速乙酸盐雾（CASS）试验≥40小时后，外观评级10级，保护评级10级；⑥抗菌性能：抑菌率≥99.95%；  </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 xml:space="preserve">导轨；需符合GB/T 700或同类相关检测标准；检测内容包括但不限于：①功能（垂直向下静载荷：200N，10次。无缺陷；水平侧向静载荷：100N、各5次。无缺陷；拉出安全性：循环加载10次，无缺陷；猛关或猛开，10次，无缺陷）均符合要求；②铜加速乙酸盐雾（CASS）试验≥40小时后，外观评级10级，保护评级10级；中性盐雾试验≥40小时后，涂层本身耐腐蚀等级10级，涂层对基体保护等级10级；③抗菌性能：抑菌率≥99.93%。 </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（6）所有工件经数控激光切割、模具冲压、数控折弯、机器打磨、抛光，整体采用电阻焊接，无外露焊点。</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 xml:space="preserve">复合亚克力人造石；需符合JC/T908或同类相关检测标准；检测内容包括但不限于：①外观质量：样品色泽均匀一致，无明显色差，板边四边平整，无缺棱掉角现象，板面光滑平整、无波纹、方料痕、刮痕等明显缺陷。不合格数:0；②规格尺寸偏差：长度、宽度、厚度均符合；③对角线偏差，边缘不直度，平整度，耐磨性，巴氏硬度，落球冲击，冲击韧性均符合；④耐燃烧性能(香烟燃烧)：未见明火燃烧及阴燃，未见损伤；⑤放射性：内照射指数、外照射指数均符合。 </w:t>
            </w:r>
          </w:p>
        </w:tc>
      </w:tr>
      <w:tr w14:paraId="51D0B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635" w:type="dxa"/>
            <w:shd w:val="clear" w:color="auto" w:fill="FFFF00"/>
            <w:noWrap/>
            <w:vAlign w:val="center"/>
          </w:tcPr>
          <w:p w14:paraId="05220445">
            <w:pPr>
              <w:keepNext w:val="0"/>
              <w:keepLines w:val="0"/>
              <w:widowControl/>
              <w:suppressLineNumbers w:val="0"/>
              <w:jc w:val="center"/>
              <w:textAlignment w:val="center"/>
              <w:rPr>
                <w:rFonts w:hint="eastAsia" w:ascii="宋体" w:hAnsi="宋体" w:eastAsia="宋体" w:cs="宋体"/>
                <w:b w:val="0"/>
                <w:bCs w:val="0"/>
                <w:i w:val="0"/>
                <w:iCs w:val="0"/>
                <w:color w:val="000000"/>
                <w:kern w:val="0"/>
                <w:sz w:val="13"/>
                <w:szCs w:val="13"/>
                <w:highlight w:val="none"/>
                <w:u w:val="none"/>
                <w:lang w:val="en-US" w:eastAsia="zh-CN" w:bidi="ar"/>
              </w:rPr>
            </w:pPr>
            <w:r>
              <w:rPr>
                <w:rFonts w:hint="eastAsia" w:ascii="宋体" w:hAnsi="宋体" w:eastAsia="宋体" w:cs="宋体"/>
                <w:i w:val="0"/>
                <w:iCs w:val="0"/>
                <w:color w:val="000000"/>
                <w:kern w:val="0"/>
                <w:sz w:val="13"/>
                <w:szCs w:val="13"/>
                <w:highlight w:val="none"/>
                <w:u w:val="none"/>
                <w:lang w:val="en-US" w:eastAsia="zh-CN" w:bidi="ar"/>
              </w:rPr>
              <w:t>病历车</w:t>
            </w:r>
          </w:p>
        </w:tc>
        <w:tc>
          <w:tcPr>
            <w:tcW w:w="772" w:type="dxa"/>
            <w:shd w:val="clear" w:color="auto" w:fill="FFFF00"/>
            <w:vAlign w:val="center"/>
          </w:tcPr>
          <w:p w14:paraId="18E1429A">
            <w:pPr>
              <w:keepNext w:val="0"/>
              <w:keepLines w:val="0"/>
              <w:widowControl/>
              <w:suppressLineNumbers w:val="0"/>
              <w:jc w:val="center"/>
              <w:textAlignment w:val="center"/>
              <w:rPr>
                <w:rFonts w:hint="eastAsia" w:ascii="宋体" w:hAnsi="宋体" w:eastAsia="宋体" w:cs="宋体"/>
                <w:b w:val="0"/>
                <w:bCs w:val="0"/>
                <w:i w:val="0"/>
                <w:iCs w:val="0"/>
                <w:color w:val="000000"/>
                <w:kern w:val="0"/>
                <w:sz w:val="13"/>
                <w:szCs w:val="13"/>
                <w:highlight w:val="none"/>
                <w:u w:val="none"/>
                <w:lang w:val="en-US" w:eastAsia="zh-CN" w:bidi="ar"/>
              </w:rPr>
            </w:pPr>
            <w:r>
              <w:rPr>
                <w:rFonts w:hint="eastAsia" w:ascii="宋体" w:hAnsi="宋体" w:eastAsia="宋体" w:cs="宋体"/>
                <w:i w:val="0"/>
                <w:iCs w:val="0"/>
                <w:color w:val="000000"/>
                <w:kern w:val="0"/>
                <w:sz w:val="13"/>
                <w:szCs w:val="13"/>
                <w:highlight w:val="none"/>
                <w:u w:val="none"/>
                <w:lang w:val="en-US" w:eastAsia="zh-CN" w:bidi="ar"/>
              </w:rPr>
              <w:t>690*405*1210</w:t>
            </w:r>
          </w:p>
        </w:tc>
        <w:tc>
          <w:tcPr>
            <w:tcW w:w="866" w:type="dxa"/>
            <w:shd w:val="clear" w:color="auto" w:fill="FFFF00"/>
            <w:noWrap/>
            <w:vAlign w:val="center"/>
          </w:tcPr>
          <w:p w14:paraId="490DDAB3">
            <w:pPr>
              <w:keepNext w:val="0"/>
              <w:keepLines w:val="0"/>
              <w:widowControl/>
              <w:suppressLineNumbers w:val="0"/>
              <w:jc w:val="center"/>
              <w:textAlignment w:val="center"/>
              <w:rPr>
                <w:rFonts w:hint="eastAsia" w:ascii="宋体" w:hAnsi="宋体" w:eastAsia="宋体" w:cs="宋体"/>
                <w:b w:val="0"/>
                <w:bCs w:val="0"/>
                <w:i w:val="0"/>
                <w:iCs w:val="0"/>
                <w:color w:val="000000"/>
                <w:kern w:val="0"/>
                <w:sz w:val="13"/>
                <w:szCs w:val="13"/>
                <w:highlight w:val="none"/>
                <w:u w:val="none"/>
                <w:lang w:val="en-US" w:eastAsia="zh-CN" w:bidi="ar"/>
              </w:rPr>
            </w:pPr>
            <w:r>
              <w:rPr>
                <w:rFonts w:hint="eastAsia" w:ascii="宋体" w:hAnsi="宋体" w:eastAsia="宋体" w:cs="宋体"/>
                <w:i w:val="0"/>
                <w:iCs w:val="0"/>
                <w:color w:val="000000"/>
                <w:kern w:val="0"/>
                <w:sz w:val="13"/>
                <w:szCs w:val="13"/>
                <w:highlight w:val="none"/>
                <w:u w:val="none"/>
                <w:lang w:val="en-US" w:eastAsia="zh-CN" w:bidi="ar"/>
              </w:rPr>
              <w:t>8</w:t>
            </w:r>
          </w:p>
        </w:tc>
        <w:tc>
          <w:tcPr>
            <w:tcW w:w="377" w:type="dxa"/>
            <w:shd w:val="clear" w:color="auto" w:fill="FFFF00"/>
            <w:noWrap/>
            <w:vAlign w:val="center"/>
          </w:tcPr>
          <w:p w14:paraId="21E4E61F">
            <w:pPr>
              <w:keepNext w:val="0"/>
              <w:keepLines w:val="0"/>
              <w:widowControl/>
              <w:suppressLineNumbers w:val="0"/>
              <w:jc w:val="center"/>
              <w:textAlignment w:val="center"/>
              <w:rPr>
                <w:rFonts w:hint="eastAsia" w:ascii="宋体" w:hAnsi="宋体" w:eastAsia="宋体" w:cs="宋体"/>
                <w:b w:val="0"/>
                <w:bCs w:val="0"/>
                <w:i w:val="0"/>
                <w:iCs w:val="0"/>
                <w:color w:val="000000"/>
                <w:kern w:val="0"/>
                <w:sz w:val="13"/>
                <w:szCs w:val="13"/>
                <w:highlight w:val="none"/>
                <w:u w:val="none"/>
                <w:lang w:val="en-US" w:eastAsia="zh-CN" w:bidi="ar"/>
              </w:rPr>
            </w:pPr>
            <w:r>
              <w:rPr>
                <w:rFonts w:hint="eastAsia" w:ascii="宋体" w:hAnsi="宋体" w:eastAsia="宋体" w:cs="宋体"/>
                <w:i w:val="0"/>
                <w:iCs w:val="0"/>
                <w:color w:val="000000"/>
                <w:kern w:val="0"/>
                <w:sz w:val="13"/>
                <w:szCs w:val="13"/>
                <w:highlight w:val="none"/>
                <w:u w:val="none"/>
                <w:lang w:val="en-US" w:eastAsia="zh-CN" w:bidi="ar"/>
              </w:rPr>
              <w:t>个</w:t>
            </w:r>
          </w:p>
        </w:tc>
        <w:tc>
          <w:tcPr>
            <w:tcW w:w="1470" w:type="dxa"/>
            <w:shd w:val="clear" w:color="auto" w:fill="FFFF00"/>
            <w:noWrap/>
            <w:vAlign w:val="center"/>
          </w:tcPr>
          <w:p w14:paraId="4B0E8CCE">
            <w:pPr>
              <w:keepNext w:val="0"/>
              <w:keepLines w:val="0"/>
              <w:widowControl/>
              <w:suppressLineNumbers w:val="0"/>
              <w:jc w:val="center"/>
              <w:textAlignment w:val="center"/>
              <w:rPr>
                <w:rFonts w:hint="eastAsia" w:ascii="宋体" w:hAnsi="宋体" w:eastAsia="宋体" w:cs="宋体"/>
                <w:b w:val="0"/>
                <w:bCs w:val="0"/>
                <w:i w:val="0"/>
                <w:iCs w:val="0"/>
                <w:color w:val="000000"/>
                <w:kern w:val="0"/>
                <w:sz w:val="13"/>
                <w:szCs w:val="13"/>
                <w:highlight w:val="none"/>
                <w:u w:val="none"/>
                <w:bdr w:val="single" w:color="000000" w:sz="4" w:space="0"/>
                <w:shd w:val="clear" w:fill="FFFF00"/>
                <w:lang w:val="en-US" w:eastAsia="zh-CN" w:bidi="ar"/>
              </w:rPr>
            </w:pPr>
            <w:r>
              <w:rPr>
                <w:rFonts w:hint="eastAsia" w:ascii="宋体" w:hAnsi="宋体" w:eastAsia="宋体" w:cs="宋体"/>
                <w:i w:val="0"/>
                <w:iCs w:val="0"/>
                <w:color w:val="000000"/>
                <w:kern w:val="0"/>
                <w:sz w:val="13"/>
                <w:szCs w:val="13"/>
                <w:highlight w:val="none"/>
                <w:u w:val="none"/>
                <w:bdr w:val="single" w:color="000000" w:sz="4" w:space="0"/>
                <w:shd w:val="clear" w:fill="FFFF00"/>
                <w:lang w:val="en-US" w:eastAsia="zh-CN" w:bidi="ar"/>
              </w:rPr>
              <w:drawing>
                <wp:anchor distT="0" distB="0" distL="114300" distR="114300" simplePos="0" relativeHeight="251664384" behindDoc="0" locked="0" layoutInCell="1" allowOverlap="1">
                  <wp:simplePos x="0" y="0"/>
                  <wp:positionH relativeFrom="column">
                    <wp:posOffset>234950</wp:posOffset>
                  </wp:positionH>
                  <wp:positionV relativeFrom="paragraph">
                    <wp:posOffset>606425</wp:posOffset>
                  </wp:positionV>
                  <wp:extent cx="439420" cy="659130"/>
                  <wp:effectExtent l="0" t="0" r="17780" b="7620"/>
                  <wp:wrapNone/>
                  <wp:docPr id="44" name="图片_97"/>
                  <wp:cNvGraphicFramePr/>
                  <a:graphic xmlns:a="http://schemas.openxmlformats.org/drawingml/2006/main">
                    <a:graphicData uri="http://schemas.openxmlformats.org/drawingml/2006/picture">
                      <pic:pic xmlns:pic="http://schemas.openxmlformats.org/drawingml/2006/picture">
                        <pic:nvPicPr>
                          <pic:cNvPr id="44" name="图片_97"/>
                          <pic:cNvPicPr/>
                        </pic:nvPicPr>
                        <pic:blipFill>
                          <a:blip r:embed="rId18"/>
                          <a:stretch>
                            <a:fillRect/>
                          </a:stretch>
                        </pic:blipFill>
                        <pic:spPr>
                          <a:xfrm>
                            <a:off x="0" y="0"/>
                            <a:ext cx="439420" cy="659130"/>
                          </a:xfrm>
                          <a:prstGeom prst="rect">
                            <a:avLst/>
                          </a:prstGeom>
                          <a:noFill/>
                          <a:ln>
                            <a:noFill/>
                          </a:ln>
                        </pic:spPr>
                      </pic:pic>
                    </a:graphicData>
                  </a:graphic>
                </wp:anchor>
              </w:drawing>
            </w:r>
          </w:p>
        </w:tc>
        <w:tc>
          <w:tcPr>
            <w:tcW w:w="4990" w:type="dxa"/>
            <w:shd w:val="clear" w:color="auto" w:fill="FFFF00"/>
            <w:vAlign w:val="center"/>
          </w:tcPr>
          <w:p w14:paraId="2548AE57">
            <w:pPr>
              <w:keepNext w:val="0"/>
              <w:keepLines w:val="0"/>
              <w:widowControl/>
              <w:suppressLineNumbers w:val="0"/>
              <w:jc w:val="left"/>
              <w:textAlignment w:val="center"/>
              <w:rPr>
                <w:rFonts w:hint="eastAsia" w:ascii="宋体" w:hAnsi="宋体" w:eastAsia="宋体" w:cs="宋体"/>
                <w:b w:val="0"/>
                <w:bCs w:val="0"/>
                <w:i w:val="0"/>
                <w:iCs w:val="0"/>
                <w:color w:val="000000"/>
                <w:kern w:val="0"/>
                <w:sz w:val="13"/>
                <w:szCs w:val="13"/>
                <w:highlight w:val="none"/>
                <w:u w:val="none"/>
                <w:lang w:val="en-US" w:eastAsia="zh-CN" w:bidi="ar"/>
              </w:rPr>
            </w:pPr>
            <w:r>
              <w:rPr>
                <w:rFonts w:hint="eastAsia" w:ascii="宋体" w:hAnsi="宋体" w:eastAsia="宋体" w:cs="宋体"/>
                <w:i w:val="0"/>
                <w:iCs w:val="0"/>
                <w:color w:val="000000"/>
                <w:kern w:val="0"/>
                <w:sz w:val="13"/>
                <w:szCs w:val="13"/>
                <w:highlight w:val="none"/>
                <w:u w:val="none"/>
                <w:lang w:val="en-US" w:eastAsia="zh-CN" w:bidi="ar"/>
              </w:rPr>
              <w:t>主体钢喷塑、顶板ABS塑脚，侧部配有钢线制杂物蓝，下部四角配防撞塑胶包角，4寸静音轮4个（对角刹车）,ABS塑胶病例夹，每个60格。</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1、整体以ABS 高级工程塑料材料制作。</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2、台面为模压伸成形，方便病历对号入档；</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3、病历车具设锁装置，排架档锁上后，病历不可以随意抽取、存放，确保了病人病历的保密性。</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4、该病历夹推车为单抽屉优质ABS 高级工程塑料材料制作，整体光滑，美观牢固。</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 xml:space="preserve">静音轮；需符合GB/T 32487或同类相关检测标准；检测内容包括但不限于：①塑料件外观：（应无裂纹、明显变形、缩水、针孔；应无凹陷、飞边、折皱、疙瘩；应无气泡、杂质、伤痕、白印；表面应光洁，应无划痕、毛刺、拉毛、污渍；应无明显色差）符合要求；②塑料件：邵氏D硬度≥HD67；塑料材料理化性能：冲击强度≥46.22kJ/㎡；③邻苯二甲酸酯：（DBP、BBP、DEHP、DNOP、DINP、DIDP）未检出，合格；④滚动阻力，静载荷，符合要求；⑤抗菌性能：抑菌率≥99.92%；                                                                                                    </w:t>
            </w:r>
          </w:p>
        </w:tc>
      </w:tr>
      <w:tr w14:paraId="7ED3D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635" w:type="dxa"/>
            <w:shd w:val="clear" w:color="auto" w:fill="FFFF00"/>
            <w:noWrap/>
            <w:vAlign w:val="center"/>
          </w:tcPr>
          <w:p w14:paraId="076254C9">
            <w:pPr>
              <w:keepNext w:val="0"/>
              <w:keepLines w:val="0"/>
              <w:widowControl/>
              <w:suppressLineNumbers w:val="0"/>
              <w:jc w:val="center"/>
              <w:textAlignment w:val="center"/>
              <w:rPr>
                <w:rFonts w:hint="eastAsia" w:ascii="宋体" w:hAnsi="宋体" w:eastAsia="宋体" w:cs="宋体"/>
                <w:i w:val="0"/>
                <w:iCs w:val="0"/>
                <w:color w:val="000000"/>
                <w:kern w:val="0"/>
                <w:sz w:val="13"/>
                <w:szCs w:val="13"/>
                <w:highlight w:val="none"/>
                <w:u w:val="none"/>
                <w:lang w:val="en-US" w:eastAsia="zh-CN" w:bidi="ar"/>
              </w:rPr>
            </w:pPr>
            <w:r>
              <w:rPr>
                <w:rFonts w:hint="eastAsia" w:ascii="宋体" w:hAnsi="宋体" w:eastAsia="宋体" w:cs="宋体"/>
                <w:i w:val="0"/>
                <w:iCs w:val="0"/>
                <w:color w:val="000000"/>
                <w:kern w:val="0"/>
                <w:sz w:val="13"/>
                <w:szCs w:val="13"/>
                <w:highlight w:val="none"/>
                <w:u w:val="none"/>
                <w:lang w:val="en-US" w:eastAsia="zh-CN" w:bidi="ar"/>
              </w:rPr>
              <w:t>备餐柜</w:t>
            </w:r>
          </w:p>
        </w:tc>
        <w:tc>
          <w:tcPr>
            <w:tcW w:w="772" w:type="dxa"/>
            <w:shd w:val="clear" w:color="auto" w:fill="FFFF00"/>
            <w:vAlign w:val="center"/>
          </w:tcPr>
          <w:p w14:paraId="63E357A8">
            <w:pPr>
              <w:keepNext w:val="0"/>
              <w:keepLines w:val="0"/>
              <w:widowControl/>
              <w:suppressLineNumbers w:val="0"/>
              <w:jc w:val="center"/>
              <w:textAlignment w:val="center"/>
              <w:rPr>
                <w:rFonts w:hint="eastAsia" w:ascii="宋体" w:hAnsi="宋体" w:eastAsia="宋体" w:cs="宋体"/>
                <w:i w:val="0"/>
                <w:iCs w:val="0"/>
                <w:color w:val="000000"/>
                <w:kern w:val="0"/>
                <w:sz w:val="13"/>
                <w:szCs w:val="13"/>
                <w:highlight w:val="none"/>
                <w:u w:val="none"/>
                <w:lang w:val="en-US" w:eastAsia="zh-CN" w:bidi="ar"/>
              </w:rPr>
            </w:pPr>
            <w:r>
              <w:rPr>
                <w:rFonts w:hint="eastAsia" w:ascii="宋体" w:hAnsi="宋体" w:eastAsia="宋体" w:cs="宋体"/>
                <w:i w:val="0"/>
                <w:iCs w:val="0"/>
                <w:color w:val="000000"/>
                <w:kern w:val="0"/>
                <w:sz w:val="13"/>
                <w:szCs w:val="13"/>
                <w:highlight w:val="none"/>
                <w:u w:val="none"/>
                <w:lang w:val="en-US" w:eastAsia="zh-CN" w:bidi="ar"/>
              </w:rPr>
              <w:t>650D*2000H</w:t>
            </w:r>
          </w:p>
        </w:tc>
        <w:tc>
          <w:tcPr>
            <w:tcW w:w="866" w:type="dxa"/>
            <w:shd w:val="clear" w:color="auto" w:fill="FFFF00"/>
            <w:noWrap/>
            <w:vAlign w:val="center"/>
          </w:tcPr>
          <w:p w14:paraId="60015CE9">
            <w:pPr>
              <w:keepNext w:val="0"/>
              <w:keepLines w:val="0"/>
              <w:widowControl/>
              <w:suppressLineNumbers w:val="0"/>
              <w:jc w:val="center"/>
              <w:textAlignment w:val="center"/>
              <w:rPr>
                <w:rFonts w:hint="eastAsia" w:ascii="宋体" w:hAnsi="宋体" w:eastAsia="宋体" w:cs="宋体"/>
                <w:i w:val="0"/>
                <w:iCs w:val="0"/>
                <w:color w:val="000000"/>
                <w:kern w:val="0"/>
                <w:sz w:val="13"/>
                <w:szCs w:val="13"/>
                <w:highlight w:val="none"/>
                <w:u w:val="none"/>
                <w:lang w:val="en-US" w:eastAsia="zh-CN" w:bidi="ar"/>
              </w:rPr>
            </w:pPr>
            <w:r>
              <w:rPr>
                <w:rFonts w:hint="eastAsia" w:ascii="宋体" w:hAnsi="宋体" w:eastAsia="宋体" w:cs="宋体"/>
                <w:i w:val="0"/>
                <w:iCs w:val="0"/>
                <w:color w:val="000000"/>
                <w:kern w:val="0"/>
                <w:sz w:val="13"/>
                <w:szCs w:val="13"/>
                <w:highlight w:val="none"/>
                <w:u w:val="none"/>
                <w:lang w:val="en-US" w:eastAsia="zh-CN" w:bidi="ar"/>
              </w:rPr>
              <w:t>14.4</w:t>
            </w:r>
          </w:p>
        </w:tc>
        <w:tc>
          <w:tcPr>
            <w:tcW w:w="377" w:type="dxa"/>
            <w:shd w:val="clear" w:color="auto" w:fill="FFFF00"/>
            <w:noWrap/>
            <w:vAlign w:val="center"/>
          </w:tcPr>
          <w:p w14:paraId="49EC8F54">
            <w:pPr>
              <w:keepNext w:val="0"/>
              <w:keepLines w:val="0"/>
              <w:widowControl/>
              <w:suppressLineNumbers w:val="0"/>
              <w:jc w:val="center"/>
              <w:textAlignment w:val="center"/>
              <w:rPr>
                <w:rFonts w:hint="eastAsia" w:ascii="宋体" w:hAnsi="宋体" w:eastAsia="宋体" w:cs="宋体"/>
                <w:i w:val="0"/>
                <w:iCs w:val="0"/>
                <w:color w:val="000000"/>
                <w:kern w:val="0"/>
                <w:sz w:val="13"/>
                <w:szCs w:val="13"/>
                <w:highlight w:val="none"/>
                <w:u w:val="none"/>
                <w:lang w:val="en-US" w:eastAsia="zh-CN" w:bidi="ar"/>
              </w:rPr>
            </w:pPr>
            <w:r>
              <w:rPr>
                <w:rFonts w:hint="eastAsia" w:ascii="宋体" w:hAnsi="宋体" w:eastAsia="宋体" w:cs="宋体"/>
                <w:i w:val="0"/>
                <w:iCs w:val="0"/>
                <w:color w:val="000000"/>
                <w:kern w:val="0"/>
                <w:sz w:val="13"/>
                <w:szCs w:val="13"/>
                <w:highlight w:val="none"/>
                <w:u w:val="none"/>
                <w:lang w:val="en-US" w:eastAsia="zh-CN" w:bidi="ar"/>
              </w:rPr>
              <w:t>米</w:t>
            </w:r>
          </w:p>
        </w:tc>
        <w:tc>
          <w:tcPr>
            <w:tcW w:w="1470" w:type="dxa"/>
            <w:shd w:val="clear" w:color="auto" w:fill="FFFF00"/>
            <w:noWrap/>
            <w:vAlign w:val="center"/>
          </w:tcPr>
          <w:p w14:paraId="1DF5FAF3">
            <w:pPr>
              <w:keepNext w:val="0"/>
              <w:keepLines w:val="0"/>
              <w:widowControl/>
              <w:suppressLineNumbers w:val="0"/>
              <w:jc w:val="center"/>
              <w:textAlignment w:val="center"/>
              <w:rPr>
                <w:rFonts w:hint="eastAsia" w:ascii="宋体" w:hAnsi="宋体" w:eastAsia="宋体" w:cs="宋体"/>
                <w:i w:val="0"/>
                <w:iCs w:val="0"/>
                <w:color w:val="000000"/>
                <w:kern w:val="0"/>
                <w:sz w:val="13"/>
                <w:szCs w:val="13"/>
                <w:highlight w:val="none"/>
                <w:u w:val="none"/>
                <w:bdr w:val="single" w:color="000000" w:sz="4" w:space="0"/>
                <w:shd w:val="clear" w:fill="FFFF00"/>
                <w:lang w:val="en-US" w:eastAsia="zh-CN" w:bidi="ar"/>
              </w:rPr>
            </w:pPr>
            <w:r>
              <w:rPr>
                <w:rFonts w:hint="eastAsia" w:ascii="宋体" w:hAnsi="宋体" w:eastAsia="宋体" w:cs="宋体"/>
                <w:i w:val="0"/>
                <w:iCs w:val="0"/>
                <w:color w:val="000000"/>
                <w:kern w:val="0"/>
                <w:sz w:val="13"/>
                <w:szCs w:val="13"/>
                <w:highlight w:val="none"/>
                <w:u w:val="none"/>
                <w:bdr w:val="single" w:color="000000" w:sz="4" w:space="0"/>
                <w:shd w:val="clear" w:fill="FFFF00"/>
                <w:lang w:val="en-US" w:eastAsia="zh-CN" w:bidi="ar"/>
              </w:rPr>
              <w:drawing>
                <wp:anchor distT="0" distB="0" distL="114300" distR="114300" simplePos="0" relativeHeight="251665408" behindDoc="0" locked="0" layoutInCell="1" allowOverlap="1">
                  <wp:simplePos x="0" y="0"/>
                  <wp:positionH relativeFrom="column">
                    <wp:posOffset>161290</wp:posOffset>
                  </wp:positionH>
                  <wp:positionV relativeFrom="paragraph">
                    <wp:posOffset>1259205</wp:posOffset>
                  </wp:positionV>
                  <wp:extent cx="641985" cy="717550"/>
                  <wp:effectExtent l="0" t="0" r="5715" b="6350"/>
                  <wp:wrapNone/>
                  <wp:docPr id="47" name="图片_113"/>
                  <wp:cNvGraphicFramePr/>
                  <a:graphic xmlns:a="http://schemas.openxmlformats.org/drawingml/2006/main">
                    <a:graphicData uri="http://schemas.openxmlformats.org/drawingml/2006/picture">
                      <pic:pic xmlns:pic="http://schemas.openxmlformats.org/drawingml/2006/picture">
                        <pic:nvPicPr>
                          <pic:cNvPr id="47" name="图片_113"/>
                          <pic:cNvPicPr/>
                        </pic:nvPicPr>
                        <pic:blipFill>
                          <a:blip r:embed="rId19"/>
                          <a:stretch>
                            <a:fillRect/>
                          </a:stretch>
                        </pic:blipFill>
                        <pic:spPr>
                          <a:xfrm>
                            <a:off x="0" y="0"/>
                            <a:ext cx="641985" cy="717550"/>
                          </a:xfrm>
                          <a:prstGeom prst="rect">
                            <a:avLst/>
                          </a:prstGeom>
                          <a:noFill/>
                          <a:ln>
                            <a:noFill/>
                          </a:ln>
                        </pic:spPr>
                      </pic:pic>
                    </a:graphicData>
                  </a:graphic>
                </wp:anchor>
              </w:drawing>
            </w:r>
          </w:p>
        </w:tc>
        <w:tc>
          <w:tcPr>
            <w:tcW w:w="4990" w:type="dxa"/>
            <w:shd w:val="clear" w:color="auto" w:fill="FFFF00"/>
            <w:vAlign w:val="center"/>
          </w:tcPr>
          <w:p w14:paraId="34CD3A9B">
            <w:pPr>
              <w:keepNext w:val="0"/>
              <w:keepLines w:val="0"/>
              <w:widowControl/>
              <w:suppressLineNumbers w:val="0"/>
              <w:jc w:val="left"/>
              <w:textAlignment w:val="center"/>
              <w:rPr>
                <w:rFonts w:hint="eastAsia" w:ascii="宋体" w:hAnsi="宋体" w:eastAsia="宋体" w:cs="宋体"/>
                <w:i w:val="0"/>
                <w:iCs w:val="0"/>
                <w:color w:val="000000"/>
                <w:kern w:val="0"/>
                <w:sz w:val="13"/>
                <w:szCs w:val="13"/>
                <w:highlight w:val="none"/>
                <w:u w:val="none"/>
                <w:lang w:val="en-US" w:eastAsia="zh-CN" w:bidi="ar"/>
              </w:rPr>
            </w:pPr>
            <w:r>
              <w:rPr>
                <w:rFonts w:hint="eastAsia" w:ascii="宋体" w:hAnsi="宋体" w:eastAsia="宋体" w:cs="宋体"/>
                <w:i w:val="0"/>
                <w:iCs w:val="0"/>
                <w:color w:val="000000"/>
                <w:kern w:val="0"/>
                <w:sz w:val="13"/>
                <w:szCs w:val="13"/>
                <w:highlight w:val="none"/>
                <w:u w:val="none"/>
                <w:lang w:val="en-US" w:eastAsia="zh-CN" w:bidi="ar"/>
              </w:rPr>
              <w:t>1、产品结构：医用复合亚克力人造石台面，厚度12mm，配置优质水龙头洗手盆套件。中标后按用户需求设计订制。</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2、板材技术要求：选用ENF级环保板材。</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2.1饰面：采用优质三聚氰胺饰面纸,具有耐磨、耐腐蚀、耐高温等特性。</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2.2基材：采用环保刨花板，经耐酸碱，防虫、防腐等处理。</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2.3封边：采用优质ABS激光封边条，封边条厚度2.0mm，不开裂、不翘边、无异味，符合国家标准。</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 xml:space="preserve">医用复合亚克力人造石（台面板）；需符合GB/T 32487或同类相关检测标准；检测内容包括但不限于：①塑料件外观（应无裂纹、明显变形、缩水、针孔；应无凹陷、飞边、折皱、疙瘩；应无气泡、杂质、伤痕、白印；表面应光洁，应无划痕、毛刺、拉毛、污渍；应无明显色差）均符合要求；②生物实验台面耐污染不低于1级；③抗菌性能：抑菌率≥99.99%；④抗紫外线性能(测试时间48h)变色：≤4级；                                                                                                                                    </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 xml:space="preserve">水龙头水盆套件；需符合QB/T 3827或同类相关检测标准；检测内容包括但不限于：①乙酸盐雾试验≥40小时，涂层本身耐腐蚀等级10级，涂层对基体保护等级10级；②铜加速乙酸盐雾（CASS）试验≥40小时，外观评级10级，保护评级10级；③屈服强度≥274N/mm²、抗拉强度≥411~500N/mm²、断后伸长率≥47%，合格；④抗菌性能：抑菌率≥99.95%；⑤耐人工气候老化性24h（变色：1级，失光：1级，有无异常现象：无粉化、起泡、开裂、剥落等异常现象）； </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4、采用304不锈钢缓冲门铰、三节滚珠导轨，静音效果好，开关顺滑，使用寿命长。</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 xml:space="preserve">304不锈钢铰链：符合QB/T 2189或同类相关检测标准；检测内容包括但不限于：①过载：垂直静载荷:20kg,10次。无缺陷、水平静载荷:60N,10次。无缺陷)，符合要求；②功能：操作力：耐久试验前打开力≤8N、耐久试验前关闭力≤6N、耐久试验后打开力≤7N、耐久试验后关闭力≤5N；垂直静载荷：15kg,10次。无缺陷；下沉量：在使用调整系统前，安装B型试验门时，下沉量不应大于1.2mm；③中性盐雾试验≥40h后，涂层本身耐腐蚀等级10级，涂层对基体保护等级10级；④乙酸盐雾试验≥40小时后，涂层本身耐腐蚀等级10级，涂层对基体保护等级10级；⑤铜加速乙酸盐雾（CASS）试验≥40小时后，外观评级10级，保护评级10级；⑥抗菌性能：抑菌率≥99.95%； </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 xml:space="preserve">5、导轨；需符合GB/T 4336或同类相关检测标准；检测内容包括但不限于：①功能（垂直向下静载荷：200N，10次。无缺陷；水平侧向静载荷：100N、各5次。无缺陷；拉出安全性：循环加载10次，无缺陷；猛关或猛开，10次，无缺陷）均符合要求；②铜加速乙酸盐雾（CASS）试验≥40小时后，外观评级10级，保护评级10级；中性盐雾试验≥40小时后，涂层本身耐腐蚀等级10级，涂层对基体保护等级10级；③抗菌性能：抑菌率≥99.93%。 </w:t>
            </w:r>
          </w:p>
        </w:tc>
      </w:tr>
      <w:tr w14:paraId="00A7C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635" w:type="dxa"/>
            <w:shd w:val="clear" w:color="auto" w:fill="FFFF00"/>
            <w:noWrap/>
            <w:vAlign w:val="center"/>
          </w:tcPr>
          <w:p w14:paraId="4914B6F5">
            <w:pPr>
              <w:keepNext w:val="0"/>
              <w:keepLines w:val="0"/>
              <w:widowControl/>
              <w:suppressLineNumbers w:val="0"/>
              <w:jc w:val="center"/>
              <w:textAlignment w:val="center"/>
              <w:rPr>
                <w:rFonts w:hint="eastAsia" w:ascii="宋体" w:hAnsi="宋体" w:eastAsia="宋体" w:cs="宋体"/>
                <w:i w:val="0"/>
                <w:iCs w:val="0"/>
                <w:color w:val="000000"/>
                <w:kern w:val="0"/>
                <w:sz w:val="13"/>
                <w:szCs w:val="13"/>
                <w:highlight w:val="none"/>
                <w:u w:val="none"/>
                <w:lang w:val="en-US" w:eastAsia="zh-CN" w:bidi="ar"/>
              </w:rPr>
            </w:pPr>
            <w:r>
              <w:rPr>
                <w:rFonts w:hint="eastAsia" w:ascii="宋体" w:hAnsi="宋体" w:eastAsia="宋体" w:cs="宋体"/>
                <w:i w:val="0"/>
                <w:iCs w:val="0"/>
                <w:color w:val="000000"/>
                <w:kern w:val="0"/>
                <w:sz w:val="13"/>
                <w:szCs w:val="13"/>
                <w:highlight w:val="none"/>
                <w:u w:val="none"/>
                <w:lang w:val="en-US" w:eastAsia="zh-CN" w:bidi="ar"/>
              </w:rPr>
              <w:t>妇科诊床</w:t>
            </w:r>
          </w:p>
        </w:tc>
        <w:tc>
          <w:tcPr>
            <w:tcW w:w="772" w:type="dxa"/>
            <w:shd w:val="clear" w:color="auto" w:fill="FFFF00"/>
            <w:vAlign w:val="center"/>
          </w:tcPr>
          <w:p w14:paraId="20305733">
            <w:pPr>
              <w:keepNext w:val="0"/>
              <w:keepLines w:val="0"/>
              <w:widowControl/>
              <w:suppressLineNumbers w:val="0"/>
              <w:jc w:val="center"/>
              <w:textAlignment w:val="center"/>
              <w:rPr>
                <w:rFonts w:hint="eastAsia" w:ascii="宋体" w:hAnsi="宋体" w:eastAsia="宋体" w:cs="宋体"/>
                <w:i w:val="0"/>
                <w:iCs w:val="0"/>
                <w:color w:val="000000"/>
                <w:kern w:val="0"/>
                <w:sz w:val="13"/>
                <w:szCs w:val="13"/>
                <w:highlight w:val="none"/>
                <w:u w:val="none"/>
                <w:lang w:val="en-US" w:eastAsia="zh-CN" w:bidi="ar"/>
              </w:rPr>
            </w:pPr>
            <w:r>
              <w:rPr>
                <w:rFonts w:hint="eastAsia" w:ascii="宋体" w:hAnsi="宋体" w:eastAsia="宋体" w:cs="宋体"/>
                <w:i w:val="0"/>
                <w:iCs w:val="0"/>
                <w:color w:val="000000"/>
                <w:kern w:val="0"/>
                <w:sz w:val="13"/>
                <w:szCs w:val="13"/>
                <w:highlight w:val="none"/>
                <w:u w:val="none"/>
                <w:lang w:val="en-US" w:eastAsia="zh-CN" w:bidi="ar"/>
              </w:rPr>
              <w:t>1900*550*800</w:t>
            </w:r>
          </w:p>
        </w:tc>
        <w:tc>
          <w:tcPr>
            <w:tcW w:w="866" w:type="dxa"/>
            <w:shd w:val="clear" w:color="auto" w:fill="FFFF00"/>
            <w:noWrap/>
            <w:vAlign w:val="center"/>
          </w:tcPr>
          <w:p w14:paraId="2CE559AE">
            <w:pPr>
              <w:keepNext w:val="0"/>
              <w:keepLines w:val="0"/>
              <w:widowControl/>
              <w:suppressLineNumbers w:val="0"/>
              <w:jc w:val="center"/>
              <w:textAlignment w:val="center"/>
              <w:rPr>
                <w:rFonts w:hint="eastAsia" w:ascii="宋体" w:hAnsi="宋体" w:eastAsia="宋体" w:cs="宋体"/>
                <w:i w:val="0"/>
                <w:iCs w:val="0"/>
                <w:color w:val="000000"/>
                <w:kern w:val="0"/>
                <w:sz w:val="13"/>
                <w:szCs w:val="13"/>
                <w:highlight w:val="none"/>
                <w:u w:val="none"/>
                <w:lang w:val="en-US" w:eastAsia="zh-CN" w:bidi="ar"/>
              </w:rPr>
            </w:pPr>
            <w:r>
              <w:rPr>
                <w:rFonts w:hint="eastAsia" w:ascii="宋体" w:hAnsi="宋体" w:eastAsia="宋体" w:cs="宋体"/>
                <w:i w:val="0"/>
                <w:iCs w:val="0"/>
                <w:color w:val="000000"/>
                <w:kern w:val="0"/>
                <w:sz w:val="13"/>
                <w:szCs w:val="13"/>
                <w:highlight w:val="none"/>
                <w:u w:val="none"/>
                <w:lang w:val="en-US" w:eastAsia="zh-CN" w:bidi="ar"/>
              </w:rPr>
              <w:t>5</w:t>
            </w:r>
          </w:p>
        </w:tc>
        <w:tc>
          <w:tcPr>
            <w:tcW w:w="377" w:type="dxa"/>
            <w:shd w:val="clear" w:color="auto" w:fill="FFFF00"/>
            <w:noWrap/>
            <w:vAlign w:val="center"/>
          </w:tcPr>
          <w:p w14:paraId="55E4983B">
            <w:pPr>
              <w:keepNext w:val="0"/>
              <w:keepLines w:val="0"/>
              <w:widowControl/>
              <w:suppressLineNumbers w:val="0"/>
              <w:jc w:val="center"/>
              <w:textAlignment w:val="center"/>
              <w:rPr>
                <w:rFonts w:hint="eastAsia" w:ascii="宋体" w:hAnsi="宋体" w:eastAsia="宋体" w:cs="宋体"/>
                <w:i w:val="0"/>
                <w:iCs w:val="0"/>
                <w:color w:val="000000"/>
                <w:kern w:val="0"/>
                <w:sz w:val="13"/>
                <w:szCs w:val="13"/>
                <w:highlight w:val="none"/>
                <w:u w:val="none"/>
                <w:lang w:val="en-US" w:eastAsia="zh-CN" w:bidi="ar"/>
              </w:rPr>
            </w:pPr>
            <w:r>
              <w:rPr>
                <w:rFonts w:hint="eastAsia" w:ascii="宋体" w:hAnsi="宋体" w:eastAsia="宋体" w:cs="宋体"/>
                <w:i w:val="0"/>
                <w:iCs w:val="0"/>
                <w:color w:val="000000"/>
                <w:kern w:val="0"/>
                <w:sz w:val="13"/>
                <w:szCs w:val="13"/>
                <w:highlight w:val="none"/>
                <w:u w:val="none"/>
                <w:lang w:val="en-US" w:eastAsia="zh-CN" w:bidi="ar"/>
              </w:rPr>
              <w:t>张</w:t>
            </w:r>
          </w:p>
        </w:tc>
        <w:tc>
          <w:tcPr>
            <w:tcW w:w="1470" w:type="dxa"/>
            <w:shd w:val="clear" w:color="auto" w:fill="FFFF00"/>
            <w:noWrap/>
            <w:vAlign w:val="center"/>
          </w:tcPr>
          <w:p w14:paraId="6EBE7E6F">
            <w:pPr>
              <w:keepNext w:val="0"/>
              <w:keepLines w:val="0"/>
              <w:widowControl/>
              <w:suppressLineNumbers w:val="0"/>
              <w:jc w:val="center"/>
              <w:textAlignment w:val="center"/>
              <w:rPr>
                <w:rFonts w:hint="eastAsia" w:ascii="宋体" w:hAnsi="宋体" w:eastAsia="宋体" w:cs="宋体"/>
                <w:i w:val="0"/>
                <w:iCs w:val="0"/>
                <w:color w:val="000000"/>
                <w:kern w:val="0"/>
                <w:sz w:val="13"/>
                <w:szCs w:val="13"/>
                <w:highlight w:val="none"/>
                <w:u w:val="none"/>
                <w:bdr w:val="single" w:color="000000" w:sz="4" w:space="0"/>
                <w:shd w:val="clear" w:fill="FFFF00"/>
                <w:lang w:val="en-US" w:eastAsia="zh-CN" w:bidi="ar"/>
              </w:rPr>
            </w:pPr>
            <w:r>
              <w:rPr>
                <w:rFonts w:hint="eastAsia" w:ascii="宋体" w:hAnsi="宋体" w:eastAsia="宋体" w:cs="宋体"/>
                <w:i w:val="0"/>
                <w:iCs w:val="0"/>
                <w:color w:val="000000"/>
                <w:kern w:val="0"/>
                <w:sz w:val="13"/>
                <w:szCs w:val="13"/>
                <w:highlight w:val="none"/>
                <w:u w:val="none"/>
                <w:bdr w:val="single" w:color="000000" w:sz="4" w:space="0"/>
                <w:shd w:val="clear" w:fill="FFFF00"/>
                <w:lang w:val="en-US" w:eastAsia="zh-CN" w:bidi="ar"/>
              </w:rPr>
              <w:drawing>
                <wp:anchor distT="0" distB="0" distL="114300" distR="114300" simplePos="0" relativeHeight="251666432" behindDoc="0" locked="0" layoutInCell="1" allowOverlap="1">
                  <wp:simplePos x="0" y="0"/>
                  <wp:positionH relativeFrom="column">
                    <wp:posOffset>164465</wp:posOffset>
                  </wp:positionH>
                  <wp:positionV relativeFrom="paragraph">
                    <wp:posOffset>781685</wp:posOffset>
                  </wp:positionV>
                  <wp:extent cx="500380" cy="419100"/>
                  <wp:effectExtent l="0" t="0" r="13970" b="0"/>
                  <wp:wrapNone/>
                  <wp:docPr id="48" name="ID_A32F7D0A38A64B68BDD067151623C2B0"/>
                  <wp:cNvGraphicFramePr/>
                  <a:graphic xmlns:a="http://schemas.openxmlformats.org/drawingml/2006/main">
                    <a:graphicData uri="http://schemas.openxmlformats.org/drawingml/2006/picture">
                      <pic:pic xmlns:pic="http://schemas.openxmlformats.org/drawingml/2006/picture">
                        <pic:nvPicPr>
                          <pic:cNvPr id="48" name="ID_A32F7D0A38A64B68BDD067151623C2B0"/>
                          <pic:cNvPicPr/>
                        </pic:nvPicPr>
                        <pic:blipFill>
                          <a:blip r:embed="rId20"/>
                          <a:stretch>
                            <a:fillRect/>
                          </a:stretch>
                        </pic:blipFill>
                        <pic:spPr>
                          <a:xfrm>
                            <a:off x="0" y="0"/>
                            <a:ext cx="500380" cy="419100"/>
                          </a:xfrm>
                          <a:prstGeom prst="rect">
                            <a:avLst/>
                          </a:prstGeom>
                          <a:noFill/>
                          <a:ln>
                            <a:noFill/>
                          </a:ln>
                        </pic:spPr>
                      </pic:pic>
                    </a:graphicData>
                  </a:graphic>
                </wp:anchor>
              </w:drawing>
            </w:r>
          </w:p>
        </w:tc>
        <w:tc>
          <w:tcPr>
            <w:tcW w:w="4990" w:type="dxa"/>
            <w:shd w:val="clear" w:color="auto" w:fill="FFFF00"/>
            <w:vAlign w:val="center"/>
          </w:tcPr>
          <w:p w14:paraId="6B749EC3">
            <w:pPr>
              <w:keepNext w:val="0"/>
              <w:keepLines w:val="0"/>
              <w:widowControl/>
              <w:suppressLineNumbers w:val="0"/>
              <w:jc w:val="left"/>
              <w:textAlignment w:val="center"/>
              <w:rPr>
                <w:rFonts w:hint="eastAsia" w:ascii="宋体" w:hAnsi="宋体" w:eastAsia="宋体" w:cs="宋体"/>
                <w:i w:val="0"/>
                <w:iCs w:val="0"/>
                <w:color w:val="000000"/>
                <w:kern w:val="0"/>
                <w:sz w:val="13"/>
                <w:szCs w:val="13"/>
                <w:highlight w:val="none"/>
                <w:u w:val="none"/>
                <w:lang w:val="en-US" w:eastAsia="zh-CN" w:bidi="ar"/>
              </w:rPr>
            </w:pPr>
            <w:r>
              <w:rPr>
                <w:rFonts w:hint="eastAsia" w:ascii="宋体" w:hAnsi="宋体" w:eastAsia="宋体" w:cs="宋体"/>
                <w:i w:val="0"/>
                <w:iCs w:val="0"/>
                <w:color w:val="000000"/>
                <w:kern w:val="0"/>
                <w:sz w:val="13"/>
                <w:szCs w:val="13"/>
                <w:highlight w:val="none"/>
                <w:u w:val="none"/>
                <w:lang w:val="en-US" w:eastAsia="zh-CN" w:bidi="ar"/>
              </w:rPr>
              <w:t>背板上折≥60°，背板下折≥20°腿板下折≥90°</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 xml:space="preserve">1、选用优质不锈钢板和圆管，经高频焊接而成，背部腿部可调节角度，背部有6档，腿部5档可调，手动调节方式 ，满足手术中所需体位， 两个搁脚托架，采用人体工学设计，可旋转，可升降，全方位贴合人体腿型，还方便医生操作，调整病人体位，椅子下有一块活动搁物板；                     </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 xml:space="preserve">2、座椅面开设有方形收集用槽，可接收手术过程中产生的物体     </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3、外表紧固件采用不锈钢标准件，耐磨抗腐性能更强。</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4、床垫采用4cm高密度海绵外包人造革制成。</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 xml:space="preserve">5、附件垫采用软质人造革包覆，均耐磨损抗老化，可使用消毒液或紫外线消毒。                                   </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6、床腿装有塑胶套脚，防止与地面摩擦而产生噪音，床垫采用优质医用人造革发泡成型，清洁保养容易，防污防静电性能；</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配置：主床1台，拉手架2件，托腿架2件，排污漏斗1只，床垫（含附件套）1套</w:t>
            </w:r>
          </w:p>
        </w:tc>
      </w:tr>
      <w:tr w14:paraId="53163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635" w:type="dxa"/>
            <w:shd w:val="clear" w:color="auto" w:fill="FFFF00"/>
            <w:noWrap/>
            <w:vAlign w:val="center"/>
          </w:tcPr>
          <w:p w14:paraId="30DB7717">
            <w:pPr>
              <w:keepNext w:val="0"/>
              <w:keepLines w:val="0"/>
              <w:widowControl/>
              <w:suppressLineNumbers w:val="0"/>
              <w:jc w:val="center"/>
              <w:textAlignment w:val="center"/>
              <w:rPr>
                <w:rFonts w:hint="eastAsia" w:ascii="宋体" w:hAnsi="宋体" w:eastAsia="宋体" w:cs="宋体"/>
                <w:i w:val="0"/>
                <w:iCs w:val="0"/>
                <w:color w:val="000000"/>
                <w:kern w:val="0"/>
                <w:sz w:val="13"/>
                <w:szCs w:val="13"/>
                <w:highlight w:val="none"/>
                <w:u w:val="none"/>
                <w:lang w:val="en-US" w:eastAsia="zh-CN" w:bidi="ar"/>
              </w:rPr>
            </w:pPr>
            <w:r>
              <w:rPr>
                <w:rFonts w:hint="eastAsia" w:ascii="宋体" w:hAnsi="宋体" w:eastAsia="宋体" w:cs="宋体"/>
                <w:i w:val="0"/>
                <w:iCs w:val="0"/>
                <w:color w:val="000000"/>
                <w:kern w:val="0"/>
                <w:sz w:val="13"/>
                <w:szCs w:val="13"/>
                <w:highlight w:val="none"/>
                <w:u w:val="none"/>
                <w:lang w:val="en-US" w:eastAsia="zh-CN" w:bidi="ar"/>
              </w:rPr>
              <w:t>分诊台</w:t>
            </w:r>
          </w:p>
        </w:tc>
        <w:tc>
          <w:tcPr>
            <w:tcW w:w="772" w:type="dxa"/>
            <w:shd w:val="clear" w:color="auto" w:fill="FFFF00"/>
            <w:vAlign w:val="center"/>
          </w:tcPr>
          <w:p w14:paraId="56CD3725">
            <w:pPr>
              <w:keepNext w:val="0"/>
              <w:keepLines w:val="0"/>
              <w:widowControl/>
              <w:suppressLineNumbers w:val="0"/>
              <w:jc w:val="center"/>
              <w:textAlignment w:val="center"/>
              <w:rPr>
                <w:rFonts w:hint="eastAsia" w:ascii="宋体" w:hAnsi="宋体" w:eastAsia="宋体" w:cs="宋体"/>
                <w:i w:val="0"/>
                <w:iCs w:val="0"/>
                <w:color w:val="000000"/>
                <w:kern w:val="0"/>
                <w:sz w:val="13"/>
                <w:szCs w:val="13"/>
                <w:highlight w:val="none"/>
                <w:u w:val="none"/>
                <w:lang w:val="en-US" w:eastAsia="zh-CN" w:bidi="ar"/>
              </w:rPr>
            </w:pPr>
            <w:r>
              <w:rPr>
                <w:rFonts w:hint="eastAsia" w:ascii="宋体" w:hAnsi="宋体" w:eastAsia="宋体" w:cs="宋体"/>
                <w:i w:val="0"/>
                <w:iCs w:val="0"/>
                <w:color w:val="000000"/>
                <w:kern w:val="0"/>
                <w:sz w:val="13"/>
                <w:szCs w:val="13"/>
                <w:highlight w:val="none"/>
                <w:u w:val="none"/>
                <w:lang w:val="en-US" w:eastAsia="zh-CN" w:bidi="ar"/>
              </w:rPr>
              <w:t>600D*1050H</w:t>
            </w:r>
          </w:p>
        </w:tc>
        <w:tc>
          <w:tcPr>
            <w:tcW w:w="866" w:type="dxa"/>
            <w:shd w:val="clear" w:color="auto" w:fill="FFFF00"/>
            <w:noWrap/>
            <w:vAlign w:val="center"/>
          </w:tcPr>
          <w:p w14:paraId="28C46EAE">
            <w:pPr>
              <w:keepNext w:val="0"/>
              <w:keepLines w:val="0"/>
              <w:widowControl/>
              <w:suppressLineNumbers w:val="0"/>
              <w:jc w:val="center"/>
              <w:textAlignment w:val="center"/>
              <w:rPr>
                <w:rFonts w:hint="eastAsia" w:ascii="宋体" w:hAnsi="宋体" w:eastAsia="宋体" w:cs="宋体"/>
                <w:i w:val="0"/>
                <w:iCs w:val="0"/>
                <w:color w:val="000000"/>
                <w:kern w:val="0"/>
                <w:sz w:val="13"/>
                <w:szCs w:val="13"/>
                <w:highlight w:val="none"/>
                <w:u w:val="none"/>
                <w:lang w:val="en-US" w:eastAsia="zh-CN" w:bidi="ar"/>
              </w:rPr>
            </w:pPr>
            <w:r>
              <w:rPr>
                <w:rFonts w:hint="eastAsia" w:ascii="宋体" w:hAnsi="宋体" w:eastAsia="宋体" w:cs="宋体"/>
                <w:i w:val="0"/>
                <w:iCs w:val="0"/>
                <w:color w:val="000000"/>
                <w:kern w:val="0"/>
                <w:sz w:val="13"/>
                <w:szCs w:val="13"/>
                <w:highlight w:val="none"/>
                <w:u w:val="none"/>
                <w:lang w:val="en-US" w:eastAsia="zh-CN" w:bidi="ar"/>
              </w:rPr>
              <w:t>9.6</w:t>
            </w:r>
          </w:p>
        </w:tc>
        <w:tc>
          <w:tcPr>
            <w:tcW w:w="377" w:type="dxa"/>
            <w:shd w:val="clear" w:color="auto" w:fill="FFFF00"/>
            <w:noWrap/>
            <w:vAlign w:val="center"/>
          </w:tcPr>
          <w:p w14:paraId="0C9BF3B5">
            <w:pPr>
              <w:keepNext w:val="0"/>
              <w:keepLines w:val="0"/>
              <w:widowControl/>
              <w:suppressLineNumbers w:val="0"/>
              <w:jc w:val="center"/>
              <w:textAlignment w:val="center"/>
              <w:rPr>
                <w:rFonts w:hint="eastAsia" w:ascii="宋体" w:hAnsi="宋体" w:eastAsia="宋体" w:cs="宋体"/>
                <w:i w:val="0"/>
                <w:iCs w:val="0"/>
                <w:color w:val="000000"/>
                <w:kern w:val="0"/>
                <w:sz w:val="13"/>
                <w:szCs w:val="13"/>
                <w:highlight w:val="none"/>
                <w:u w:val="none"/>
                <w:lang w:val="en-US" w:eastAsia="zh-CN" w:bidi="ar"/>
              </w:rPr>
            </w:pPr>
            <w:r>
              <w:rPr>
                <w:rFonts w:hint="eastAsia" w:ascii="宋体" w:hAnsi="宋体" w:eastAsia="宋体" w:cs="宋体"/>
                <w:i w:val="0"/>
                <w:iCs w:val="0"/>
                <w:color w:val="000000"/>
                <w:kern w:val="0"/>
                <w:sz w:val="13"/>
                <w:szCs w:val="13"/>
                <w:highlight w:val="none"/>
                <w:u w:val="none"/>
                <w:lang w:val="en-US" w:eastAsia="zh-CN" w:bidi="ar"/>
              </w:rPr>
              <w:t>米</w:t>
            </w:r>
          </w:p>
        </w:tc>
        <w:tc>
          <w:tcPr>
            <w:tcW w:w="1470" w:type="dxa"/>
            <w:shd w:val="clear" w:color="auto" w:fill="FFFF00"/>
            <w:noWrap/>
            <w:vAlign w:val="center"/>
          </w:tcPr>
          <w:p w14:paraId="6DAE681F">
            <w:pPr>
              <w:keepNext w:val="0"/>
              <w:keepLines w:val="0"/>
              <w:widowControl/>
              <w:suppressLineNumbers w:val="0"/>
              <w:jc w:val="center"/>
              <w:textAlignment w:val="center"/>
              <w:rPr>
                <w:rFonts w:hint="eastAsia" w:ascii="宋体" w:hAnsi="宋体" w:eastAsia="宋体" w:cs="宋体"/>
                <w:i w:val="0"/>
                <w:iCs w:val="0"/>
                <w:color w:val="000000"/>
                <w:kern w:val="0"/>
                <w:sz w:val="13"/>
                <w:szCs w:val="13"/>
                <w:highlight w:val="none"/>
                <w:u w:val="none"/>
                <w:bdr w:val="single" w:color="000000" w:sz="4" w:space="0"/>
                <w:shd w:val="clear" w:fill="FFFF00"/>
                <w:lang w:val="en-US" w:eastAsia="zh-CN" w:bidi="ar"/>
              </w:rPr>
            </w:pPr>
            <w:r>
              <w:rPr>
                <w:rFonts w:hint="eastAsia" w:ascii="宋体" w:hAnsi="宋体" w:eastAsia="宋体" w:cs="宋体"/>
                <w:i w:val="0"/>
                <w:iCs w:val="0"/>
                <w:color w:val="000000"/>
                <w:kern w:val="0"/>
                <w:sz w:val="13"/>
                <w:szCs w:val="13"/>
                <w:highlight w:val="none"/>
                <w:u w:val="none"/>
                <w:bdr w:val="single" w:color="000000" w:sz="4" w:space="0"/>
                <w:shd w:val="clear" w:fill="FFFF00"/>
                <w:lang w:val="en-US" w:eastAsia="zh-CN" w:bidi="ar"/>
              </w:rPr>
              <w:drawing>
                <wp:anchor distT="0" distB="0" distL="114300" distR="114300" simplePos="0" relativeHeight="251667456" behindDoc="0" locked="0" layoutInCell="1" allowOverlap="1">
                  <wp:simplePos x="0" y="0"/>
                  <wp:positionH relativeFrom="column">
                    <wp:posOffset>148590</wp:posOffset>
                  </wp:positionH>
                  <wp:positionV relativeFrom="paragraph">
                    <wp:posOffset>706120</wp:posOffset>
                  </wp:positionV>
                  <wp:extent cx="563880" cy="395605"/>
                  <wp:effectExtent l="0" t="0" r="7620" b="4445"/>
                  <wp:wrapNone/>
                  <wp:docPr id="53" name="图片_128"/>
                  <wp:cNvGraphicFramePr/>
                  <a:graphic xmlns:a="http://schemas.openxmlformats.org/drawingml/2006/main">
                    <a:graphicData uri="http://schemas.openxmlformats.org/drawingml/2006/picture">
                      <pic:pic xmlns:pic="http://schemas.openxmlformats.org/drawingml/2006/picture">
                        <pic:nvPicPr>
                          <pic:cNvPr id="53" name="图片_128"/>
                          <pic:cNvPicPr/>
                        </pic:nvPicPr>
                        <pic:blipFill>
                          <a:blip r:embed="rId21"/>
                          <a:stretch>
                            <a:fillRect/>
                          </a:stretch>
                        </pic:blipFill>
                        <pic:spPr>
                          <a:xfrm>
                            <a:off x="0" y="0"/>
                            <a:ext cx="563880" cy="395605"/>
                          </a:xfrm>
                          <a:prstGeom prst="rect">
                            <a:avLst/>
                          </a:prstGeom>
                          <a:noFill/>
                          <a:ln>
                            <a:noFill/>
                          </a:ln>
                        </pic:spPr>
                      </pic:pic>
                    </a:graphicData>
                  </a:graphic>
                </wp:anchor>
              </w:drawing>
            </w:r>
          </w:p>
        </w:tc>
        <w:tc>
          <w:tcPr>
            <w:tcW w:w="4990" w:type="dxa"/>
            <w:shd w:val="clear" w:color="auto" w:fill="FFFF00"/>
            <w:vAlign w:val="center"/>
          </w:tcPr>
          <w:p w14:paraId="6F1ABF2A">
            <w:pPr>
              <w:keepNext w:val="0"/>
              <w:keepLines w:val="0"/>
              <w:widowControl/>
              <w:suppressLineNumbers w:val="0"/>
              <w:jc w:val="left"/>
              <w:textAlignment w:val="center"/>
              <w:rPr>
                <w:rFonts w:hint="eastAsia" w:ascii="宋体" w:hAnsi="宋体" w:eastAsia="宋体" w:cs="宋体"/>
                <w:i w:val="0"/>
                <w:iCs w:val="0"/>
                <w:color w:val="000000"/>
                <w:kern w:val="0"/>
                <w:sz w:val="13"/>
                <w:szCs w:val="13"/>
                <w:highlight w:val="none"/>
                <w:u w:val="none"/>
                <w:lang w:val="en-US" w:eastAsia="zh-CN" w:bidi="ar"/>
              </w:rPr>
            </w:pPr>
            <w:r>
              <w:rPr>
                <w:rFonts w:hint="eastAsia" w:ascii="宋体" w:hAnsi="宋体" w:eastAsia="宋体" w:cs="宋体"/>
                <w:i w:val="0"/>
                <w:iCs w:val="0"/>
                <w:color w:val="000000"/>
                <w:kern w:val="0"/>
                <w:sz w:val="13"/>
                <w:szCs w:val="13"/>
                <w:highlight w:val="none"/>
                <w:u w:val="none"/>
                <w:lang w:val="en-US" w:eastAsia="zh-CN" w:bidi="ar"/>
              </w:rPr>
              <w:t>电解钢板柜体，医用复合亚克力人造石台面，304#不锈钢踢脚线，配置主机柜、键盘架、三抽柜、开门柜。主机柜及其它柜门带锁。中标后按用户需求设计订制。</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1、台面采用医用复合亚克力人造石，厚度12mm，台面周边双层加厚及上下双R5圆角处理。具有抗菌、防霉、耐酸碱、耐磨、耐冲击、易清洁等特性；符合医院环境卫生要求；采用无缝拼接工艺。</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 xml:space="preserve">台面板需符合GB/T 32487或同类相关检测标准标准；检测内容包括但不限于：①塑料件外观（应无裂纹、明显变形、缩水、针孔；应无凹陷、飞边、折皱、疙瘩；应无气泡、杂质、伤痕、白印；表面应光洁，应无划痕、毛刺、拉毛、污渍；应无明显色差）均符合要求；②生物实验台面耐污染不低于1级；③抗菌性能：抑菌率≥99.99%；④抗紫外线性能(测试时间48h)变色：≤4级；                                                                                                                                    </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2、站体：采用1.0MM厚医用喷涂电解钢板。龙骨采用2.0mm厚医用喷涂电解钢板，配加强筋(承重覆盖件结构连接件如筋、梁厚度≥1.2mm厚，立柱厚度≥1.2mm)焊接成700mm-1200mm大小模块，单个模块分上(看台)、中(站体)、下(1.0mm厚304#不锈钢模具冲压整体成型踢脚线)三段，模块间用螺杆串联使得结构稳固，站体上中段可任意喷涂与装修风格相近的颜色；模块中段内部装配活动可拆卸钢挂板，内设强弱电线槽，集中走线，线路明朗不杂乱，便于安装和维护强弱电线路，每个电脑位台面下配5孔插座孔和网络电话插座孔，台面上配5孔插座孔，满足方便工作使用。</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 xml:space="preserve">电解钢板；需符合GB/T 3325或同类相关标准；检测内容包括但不限于：①金属喷漆(塑)涂层理化性能(冲击强度：冲击高度≥400mm，应无剥落、裂纹、皱纹；耐腐蚀：100h内，观察在溶液中样板上划道两侧3mm以外,应无气泡产生，100h后，检查划道两侧3mm外，应无锈迹、剥落、起皱、变色和失光等现象),均符合要求；附着力:0级，合格；②金属喷漆(塑)涂层硬度≥5H，合格；③洛氏硬度≥67；④抗菌性能：抑菌率≥99.9%。⑤中性盐雾试验≥40小时后，涂层本身耐腐蚀等级10级，涂层对基体保护等级10级；乙酸盐雾试验≥24小时后，涂层本身耐腐蚀等级10级，涂层对基体保护等级10级；铜加速乙酸盐雾（CASS）试验≥40小时后，外观评级10级，保护评级10级；⑥抗拉强度（MPa） 300~320；规定塑性延伸强度（MPa）≥260；断后伸长率≥45%；⑦平板状建筑材料及制品燃烧性能B1级：a)燃烧增长指数≤1W/s；b)火焰横向蔓延情况：火焰横向蔓延未到达试样长翼边缘；c)600s 的总放热量≤0.1MJ；d)60s 内焰尖高度 ≤40mm；e)60s 内无燃烧滴落物引燃滤纸现象，均合格；                                                                                                            </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3、表面处理：采用防腐抗菌喷涂粉末，表面光滑无颗粒，涂层膜厚度均匀，抗菌、防霉、耐酸碱、耐磨、耐撞击，抗腐蚀力强。</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 xml:space="preserve">塑粉；需符合HG/T2006或同类相关检测标准；检测内容包括但不限于：①外观:搅拌混合后无硬块，呈均匀状态；筛余物:全部通过；涂膜外观：正常；胶化时间：≤32S；铅笔硬度≥H，附着力≤0级；耐冲击性：50cm 冲击试验，漆膜无异常；弯曲试验≤3mm；杯突≥5mm；光泽≤45，耐酸性240h 无异常；耐碱性168h无异常；耐沸水性2h 无异常；结论均符合。②抗菌性能：抗细菌率≥99.99%；  </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4、主台+高看台+医用人造石+304#不锈钢踢脚线+主机位+键盘架+三抽柜。（根据实际情况选配）每个抽屉和门板上配标签塑胶卡槽。</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5、采用304不锈钢缓冲门铰、三节滚珠导轨，静音效果好，开关顺滑，使用寿命长。</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 xml:space="preserve">304不锈钢铰链；需符合QB/T 2189或同类相关标准；检测内容包括但不限于：①过载：垂直静载荷:20kg,10次。无缺陷、水平静载荷:60N,10次。无缺陷)，符合要求；②功能：操作力：耐久试验前打开力≤8N、耐久试验前关闭力≤6N、耐久试验后打开力≤7N、耐久试验后关闭力≤5N；垂直静载荷：15kg,10次。无缺陷；下沉量：在使用调整系统前，安装B型试验门时，下沉量不应大于1.2mm；③中性盐雾试验≥40h后，涂层本身耐腐蚀等级10级，涂层对基体保护等级10级；④乙酸盐雾试验≥40小时后，涂层本身耐腐蚀等级10级，涂层对基体保护等级10级；⑤铜加速乙酸盐雾（CASS）试验≥40小时后，外观评级10级，保护评级10级；⑥抗菌性能：抑菌率≥99.95%； </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 xml:space="preserve">导轨；需符合GB/T 700或同类相关标准；检测内容包括但不限于：①功能（垂直向下静载荷：200N，10次。无缺陷；水平侧向静载荷：100N、各5次。无缺陷；拉出安全性：循环加载10次，无缺陷；猛关或猛开，10次，无缺陷）均符合要求；②铜加速乙酸盐雾（CASS）试验≥40小时后，外观评级10级，保护评级10级；中性盐雾试验≥40小时后，涂层本身耐腐蚀等级10级，涂层对基体保护等级10级；③抗菌性能：抑菌率≥99.93%。 </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 xml:space="preserve">6、所有工件经数控激光切割、模具冲压、数控折弯、机器打磨、抛光，整体采用电阻焊接工艺，无外露焊点。中标后按用户需求设计订制。                                                                     </w:t>
            </w:r>
          </w:p>
        </w:tc>
      </w:tr>
      <w:tr w14:paraId="1E0E4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635" w:type="dxa"/>
            <w:shd w:val="clear" w:color="auto" w:fill="FFFF00"/>
            <w:noWrap/>
            <w:vAlign w:val="center"/>
          </w:tcPr>
          <w:p w14:paraId="7C1F7D0A">
            <w:pPr>
              <w:keepNext w:val="0"/>
              <w:keepLines w:val="0"/>
              <w:widowControl/>
              <w:suppressLineNumbers w:val="0"/>
              <w:jc w:val="center"/>
              <w:textAlignment w:val="center"/>
              <w:rPr>
                <w:rFonts w:hint="eastAsia" w:ascii="宋体" w:hAnsi="宋体" w:eastAsia="宋体" w:cs="宋体"/>
                <w:i w:val="0"/>
                <w:iCs w:val="0"/>
                <w:color w:val="000000"/>
                <w:kern w:val="0"/>
                <w:sz w:val="13"/>
                <w:szCs w:val="13"/>
                <w:highlight w:val="none"/>
                <w:u w:val="none"/>
                <w:lang w:val="en-US" w:eastAsia="zh-CN" w:bidi="ar"/>
              </w:rPr>
            </w:pPr>
            <w:r>
              <w:rPr>
                <w:rFonts w:hint="eastAsia" w:ascii="宋体" w:hAnsi="宋体" w:eastAsia="宋体" w:cs="宋体"/>
                <w:i w:val="0"/>
                <w:iCs w:val="0"/>
                <w:color w:val="000000"/>
                <w:kern w:val="0"/>
                <w:sz w:val="13"/>
                <w:szCs w:val="13"/>
                <w:highlight w:val="none"/>
                <w:u w:val="none"/>
                <w:lang w:val="en-US" w:eastAsia="zh-CN" w:bidi="ar"/>
              </w:rPr>
              <w:t>分诊台</w:t>
            </w:r>
          </w:p>
        </w:tc>
        <w:tc>
          <w:tcPr>
            <w:tcW w:w="772" w:type="dxa"/>
            <w:shd w:val="clear" w:color="auto" w:fill="FFFF00"/>
            <w:vAlign w:val="center"/>
          </w:tcPr>
          <w:p w14:paraId="2AAB1FE7">
            <w:pPr>
              <w:keepNext w:val="0"/>
              <w:keepLines w:val="0"/>
              <w:widowControl/>
              <w:suppressLineNumbers w:val="0"/>
              <w:jc w:val="center"/>
              <w:textAlignment w:val="center"/>
              <w:rPr>
                <w:rFonts w:hint="eastAsia" w:ascii="宋体" w:hAnsi="宋体" w:eastAsia="宋体" w:cs="宋体"/>
                <w:i w:val="0"/>
                <w:iCs w:val="0"/>
                <w:color w:val="000000"/>
                <w:kern w:val="0"/>
                <w:sz w:val="13"/>
                <w:szCs w:val="13"/>
                <w:highlight w:val="none"/>
                <w:u w:val="none"/>
                <w:lang w:val="en-US" w:eastAsia="zh-CN" w:bidi="ar"/>
              </w:rPr>
            </w:pPr>
            <w:r>
              <w:rPr>
                <w:rFonts w:hint="eastAsia" w:ascii="宋体" w:hAnsi="宋体" w:eastAsia="宋体" w:cs="宋体"/>
                <w:i w:val="0"/>
                <w:iCs w:val="0"/>
                <w:color w:val="000000"/>
                <w:kern w:val="0"/>
                <w:sz w:val="13"/>
                <w:szCs w:val="13"/>
                <w:highlight w:val="none"/>
                <w:u w:val="none"/>
                <w:lang w:val="en-US" w:eastAsia="zh-CN" w:bidi="ar"/>
              </w:rPr>
              <w:t>1800*600D*1050H</w:t>
            </w:r>
          </w:p>
        </w:tc>
        <w:tc>
          <w:tcPr>
            <w:tcW w:w="866" w:type="dxa"/>
            <w:shd w:val="clear" w:color="auto" w:fill="FFFF00"/>
            <w:noWrap/>
            <w:vAlign w:val="center"/>
          </w:tcPr>
          <w:p w14:paraId="61F0EA43">
            <w:pPr>
              <w:keepNext w:val="0"/>
              <w:keepLines w:val="0"/>
              <w:widowControl/>
              <w:suppressLineNumbers w:val="0"/>
              <w:jc w:val="center"/>
              <w:textAlignment w:val="center"/>
              <w:rPr>
                <w:rFonts w:hint="eastAsia" w:ascii="宋体" w:hAnsi="宋体" w:eastAsia="宋体" w:cs="宋体"/>
                <w:i w:val="0"/>
                <w:iCs w:val="0"/>
                <w:color w:val="000000"/>
                <w:kern w:val="0"/>
                <w:sz w:val="13"/>
                <w:szCs w:val="13"/>
                <w:highlight w:val="none"/>
                <w:u w:val="none"/>
                <w:lang w:val="en-US" w:eastAsia="zh-CN" w:bidi="ar"/>
              </w:rPr>
            </w:pPr>
            <w:r>
              <w:rPr>
                <w:rFonts w:hint="eastAsia" w:ascii="宋体" w:hAnsi="宋体" w:eastAsia="宋体" w:cs="宋体"/>
                <w:i w:val="0"/>
                <w:iCs w:val="0"/>
                <w:color w:val="000000"/>
                <w:kern w:val="0"/>
                <w:sz w:val="13"/>
                <w:szCs w:val="13"/>
                <w:highlight w:val="none"/>
                <w:u w:val="none"/>
                <w:lang w:val="en-US" w:eastAsia="zh-CN" w:bidi="ar"/>
              </w:rPr>
              <w:t>4</w:t>
            </w:r>
          </w:p>
        </w:tc>
        <w:tc>
          <w:tcPr>
            <w:tcW w:w="377" w:type="dxa"/>
            <w:shd w:val="clear" w:color="auto" w:fill="FFFF00"/>
            <w:noWrap/>
            <w:vAlign w:val="center"/>
          </w:tcPr>
          <w:p w14:paraId="3B3CA7AC">
            <w:pPr>
              <w:keepNext w:val="0"/>
              <w:keepLines w:val="0"/>
              <w:widowControl/>
              <w:suppressLineNumbers w:val="0"/>
              <w:jc w:val="center"/>
              <w:textAlignment w:val="center"/>
              <w:rPr>
                <w:rFonts w:hint="eastAsia" w:ascii="宋体" w:hAnsi="宋体" w:eastAsia="宋体" w:cs="宋体"/>
                <w:i w:val="0"/>
                <w:iCs w:val="0"/>
                <w:color w:val="000000"/>
                <w:kern w:val="0"/>
                <w:sz w:val="13"/>
                <w:szCs w:val="13"/>
                <w:highlight w:val="none"/>
                <w:u w:val="none"/>
                <w:lang w:val="en-US" w:eastAsia="zh-CN" w:bidi="ar"/>
              </w:rPr>
            </w:pPr>
            <w:r>
              <w:rPr>
                <w:rFonts w:hint="eastAsia" w:ascii="宋体" w:hAnsi="宋体" w:eastAsia="宋体" w:cs="宋体"/>
                <w:i w:val="0"/>
                <w:iCs w:val="0"/>
                <w:color w:val="000000"/>
                <w:kern w:val="0"/>
                <w:sz w:val="13"/>
                <w:szCs w:val="13"/>
                <w:highlight w:val="none"/>
                <w:u w:val="none"/>
                <w:lang w:val="en-US" w:eastAsia="zh-CN" w:bidi="ar"/>
              </w:rPr>
              <w:t>个</w:t>
            </w:r>
          </w:p>
        </w:tc>
        <w:tc>
          <w:tcPr>
            <w:tcW w:w="1470" w:type="dxa"/>
            <w:shd w:val="clear" w:color="auto" w:fill="FFFF00"/>
            <w:noWrap/>
            <w:vAlign w:val="center"/>
          </w:tcPr>
          <w:p w14:paraId="1BD2B95D">
            <w:pPr>
              <w:keepNext w:val="0"/>
              <w:keepLines w:val="0"/>
              <w:widowControl/>
              <w:suppressLineNumbers w:val="0"/>
              <w:jc w:val="center"/>
              <w:textAlignment w:val="center"/>
              <w:rPr>
                <w:rFonts w:hint="eastAsia" w:ascii="宋体" w:hAnsi="宋体" w:eastAsia="宋体" w:cs="宋体"/>
                <w:i w:val="0"/>
                <w:iCs w:val="0"/>
                <w:color w:val="000000"/>
                <w:kern w:val="0"/>
                <w:sz w:val="13"/>
                <w:szCs w:val="13"/>
                <w:highlight w:val="none"/>
                <w:u w:val="none"/>
                <w:bdr w:val="single" w:color="000000" w:sz="4" w:space="0"/>
                <w:shd w:val="clear" w:fill="FFFF00"/>
                <w:lang w:val="en-US" w:eastAsia="zh-CN" w:bidi="ar"/>
              </w:rPr>
            </w:pPr>
            <w:r>
              <w:rPr>
                <w:rFonts w:hint="eastAsia" w:ascii="宋体" w:hAnsi="宋体" w:eastAsia="宋体" w:cs="宋体"/>
                <w:i w:val="0"/>
                <w:iCs w:val="0"/>
                <w:color w:val="000000"/>
                <w:kern w:val="0"/>
                <w:sz w:val="13"/>
                <w:szCs w:val="13"/>
                <w:highlight w:val="none"/>
                <w:u w:val="none"/>
                <w:bdr w:val="single" w:color="000000" w:sz="4" w:space="0"/>
                <w:shd w:val="clear" w:fill="FFFF00"/>
                <w:lang w:val="en-US" w:eastAsia="zh-CN" w:bidi="ar"/>
              </w:rPr>
              <w:drawing>
                <wp:anchor distT="0" distB="0" distL="114300" distR="114300" simplePos="0" relativeHeight="251668480" behindDoc="0" locked="0" layoutInCell="1" allowOverlap="1">
                  <wp:simplePos x="0" y="0"/>
                  <wp:positionH relativeFrom="column">
                    <wp:posOffset>152400</wp:posOffset>
                  </wp:positionH>
                  <wp:positionV relativeFrom="paragraph">
                    <wp:posOffset>2309495</wp:posOffset>
                  </wp:positionV>
                  <wp:extent cx="563880" cy="395605"/>
                  <wp:effectExtent l="0" t="0" r="7620" b="4445"/>
                  <wp:wrapNone/>
                  <wp:docPr id="54" name="图片_33"/>
                  <wp:cNvGraphicFramePr/>
                  <a:graphic xmlns:a="http://schemas.openxmlformats.org/drawingml/2006/main">
                    <a:graphicData uri="http://schemas.openxmlformats.org/drawingml/2006/picture">
                      <pic:pic xmlns:pic="http://schemas.openxmlformats.org/drawingml/2006/picture">
                        <pic:nvPicPr>
                          <pic:cNvPr id="54" name="图片_33"/>
                          <pic:cNvPicPr/>
                        </pic:nvPicPr>
                        <pic:blipFill>
                          <a:blip r:embed="rId21"/>
                          <a:stretch>
                            <a:fillRect/>
                          </a:stretch>
                        </pic:blipFill>
                        <pic:spPr>
                          <a:xfrm>
                            <a:off x="0" y="0"/>
                            <a:ext cx="563880" cy="395605"/>
                          </a:xfrm>
                          <a:prstGeom prst="rect">
                            <a:avLst/>
                          </a:prstGeom>
                          <a:noFill/>
                          <a:ln>
                            <a:noFill/>
                          </a:ln>
                        </pic:spPr>
                      </pic:pic>
                    </a:graphicData>
                  </a:graphic>
                </wp:anchor>
              </w:drawing>
            </w:r>
          </w:p>
        </w:tc>
        <w:tc>
          <w:tcPr>
            <w:tcW w:w="4990" w:type="dxa"/>
            <w:shd w:val="clear" w:color="auto" w:fill="FFFF00"/>
            <w:vAlign w:val="center"/>
          </w:tcPr>
          <w:p w14:paraId="5675D689">
            <w:pPr>
              <w:keepNext w:val="0"/>
              <w:keepLines w:val="0"/>
              <w:widowControl/>
              <w:suppressLineNumbers w:val="0"/>
              <w:jc w:val="left"/>
              <w:textAlignment w:val="center"/>
              <w:rPr>
                <w:rFonts w:hint="eastAsia" w:ascii="宋体" w:hAnsi="宋体" w:eastAsia="宋体" w:cs="宋体"/>
                <w:i w:val="0"/>
                <w:iCs w:val="0"/>
                <w:color w:val="000000"/>
                <w:kern w:val="0"/>
                <w:sz w:val="13"/>
                <w:szCs w:val="13"/>
                <w:highlight w:val="none"/>
                <w:u w:val="none"/>
                <w:lang w:val="en-US" w:eastAsia="zh-CN" w:bidi="ar"/>
              </w:rPr>
            </w:pPr>
            <w:r>
              <w:rPr>
                <w:rFonts w:hint="eastAsia" w:ascii="宋体" w:hAnsi="宋体" w:eastAsia="宋体" w:cs="宋体"/>
                <w:i w:val="0"/>
                <w:iCs w:val="0"/>
                <w:color w:val="000000"/>
                <w:kern w:val="0"/>
                <w:sz w:val="13"/>
                <w:szCs w:val="13"/>
                <w:highlight w:val="none"/>
                <w:u w:val="none"/>
                <w:lang w:val="en-US" w:eastAsia="zh-CN" w:bidi="ar"/>
              </w:rPr>
              <w:t>1、台面采用医用复合亚克力人造石，厚度12mm，台面周边双层加厚及上下双R5圆角处理。具有抗菌、防霉、耐酸碱、耐磨、耐冲击、易清洁等特性；符合医院环境卫生要求；采用无缝拼接工艺。</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 xml:space="preserve">台面板需符合GB/T 32487或同类相关检测标准标准；检测内容包括但不限于：①塑料件外观（应无裂纹、明显变形、缩水、针孔；应无凹陷、飞边、折皱、疙瘩；应无气泡、杂质、伤痕、白印；表面应光洁，应无划痕、毛刺、拉毛、污渍；应无明显色差）均符合要求；②生物实验台面耐污染不低于1级；③抗菌性能：抑菌率≥99.99%；④抗紫外线性能(测试时间48h)变色：≤4级；                                                                                                                                    </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2、站体：采用1.0MM厚医用喷涂电解钢板。龙骨采用2.0mm厚医用喷涂电解钢板，配加强筋(承重覆盖件结构连接件如筋、梁厚度≥1.2mm厚，立柱厚度≥1.2mm)焊接成700mm-1200mm大小模块，单个模块分上(看台)、中(站体)、下(1.0mm厚304#不锈钢模具冲压整体成型踢脚线)三段，模块间用螺杆串联使得结构稳固，站体上中段可任意喷涂与装修风格相近的颜色；模块中段内部装配活动可拆卸钢挂板，内设强弱电线槽，集中走线，线路明朗不杂乱，便于安装和维护强弱电线路，每个电脑位台面下配5孔插座孔和网络电话插座孔，台面上配5孔插座孔，满足方便工作使用。</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 xml:space="preserve">电解钢板；需符合GB/T 3325或同类相关标准；检测内容包括但不限于：①金属喷漆(塑)涂层理化性能(冲击强度：冲击高度≥400mm，应无剥落、裂纹、皱纹；耐腐蚀：100h内，观察在溶液中样板上划道两侧3mm以外,应无气泡产生，100h后，检查划道两侧3mm外，应无锈迹、剥落、起皱、变色和失光等现象),均符合要求；附着力:0级，合格；②金属喷漆(塑)涂层硬度≥5H，合格；③洛氏硬度≥67；④抗菌性能：抑菌率≥99.9%。⑤中性盐雾试验≥40小时后，涂层本身耐腐蚀等级10级，涂层对基体保护等级10级；乙酸盐雾试验≥24小时后，涂层本身耐腐蚀等级10级，涂层对基体保护等级10级；铜加速乙酸盐雾（CASS）试验≥40小时后，外观评级10级，保护评级10级；⑥抗拉强度（MPa） 300~320；规定塑性延伸强度（MPa）≥260；断后伸长率≥45%；⑦平板状建筑材料及制品燃烧性能B1级：a)燃烧增长指数≤1W/s；b)火焰横向蔓延情况：火焰横向蔓延未到达试样长翼边缘；c)600s 的总放热量≤0.1MJ；d)60s 内焰尖高度 ≤40mm；e)60s 内无燃烧滴落物引燃滤纸现象，均合格；                                                                                                            </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3、表面处理：采用防腐抗菌喷涂粉末，表面光滑无颗粒，涂层膜厚度均匀，抗菌、防霉、耐酸碱、耐磨、耐撞击，抗腐蚀力强。</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 xml:space="preserve">塑粉；需符合HG/T2006或同类相关检测标准；检测内容包括但不限于：①外观:搅拌混合后无硬块，呈均匀状态；筛余物:全部通过；涂膜外观：正常；胶化时间：≤32S；铅笔硬度≥H，附着力≤0级；耐冲击性：50cm 冲击试验，漆膜无异常；弯曲试验≤3mm；杯突≥5mm；光泽≤45，耐酸性240h 无异常；耐碱性168h无异常；耐沸水性2h 无异常；结论均符合。②抗菌性能：抗细菌率≥99.99%；  </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4、主台+高看台+医用人造石+304#不锈钢踢脚线+主机位+键盘架+三抽柜。（根据实际情况选配）每个抽屉和门板上配标签塑胶卡槽。</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5、采用304不锈钢缓冲门铰、三节滚珠导轨，静音效果好，开关顺滑，使用寿命长。</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 xml:space="preserve">304不锈钢铰链；需符合QB/T 2189或同类相关标准；检测内容包括但不限于：①过载：垂直静载荷:20kg,10次。无缺陷、水平静载荷:60N,10次。无缺陷)，符合要求；②功能：操作力：耐久试验前打开力≤8N、耐久试验前关闭力≤6N、耐久试验后打开力≤7N、耐久试验后关闭力≤5N；垂直静载荷：15kg,10次。无缺陷；下沉量：在使用调整系统前，安装B型试验门时，下沉量不应大于1.2mm；③中性盐雾试验≥40h后，涂层本身耐腐蚀等级10级，涂层对基体保护等级10级；④乙酸盐雾试验≥40小时后，涂层本身耐腐蚀等级10级，涂层对基体保护等级10级；⑤铜加速乙酸盐雾（CASS）试验≥40小时后，外观评级10级，保护评级10级；⑥抗菌性能：抑菌率≥99.95%； </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 xml:space="preserve">导轨；需符合GB/T 700或同类相关标准；检测内容包括但不限于：①功能（垂直向下静载荷：200N，10次。无缺陷；水平侧向静载荷：100N、各5次。无缺陷；拉出安全性：循环加载10次，无缺陷；猛关或猛开，10次，无缺陷）均符合要求；②铜加速乙酸盐雾（CASS）试验≥40小时后，外观评级10级，保护评级10级；中性盐雾试验≥40小时后，涂层本身耐腐蚀等级10级，涂层对基体保护等级10级；③抗菌性能：抑菌率≥99.93%。 </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 xml:space="preserve">6、所有工件经数控激光切割、模具冲压、数控折弯、机器打磨、抛光，整体采用电阻焊接工艺，无外露焊点。中标后按用户需求设计订制。                                                                     </w:t>
            </w:r>
          </w:p>
        </w:tc>
      </w:tr>
      <w:tr w14:paraId="74E3C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635" w:type="dxa"/>
            <w:shd w:val="clear" w:color="auto" w:fill="FFFF00"/>
            <w:noWrap/>
            <w:vAlign w:val="center"/>
          </w:tcPr>
          <w:p w14:paraId="71FB388C">
            <w:pPr>
              <w:keepNext w:val="0"/>
              <w:keepLines w:val="0"/>
              <w:widowControl/>
              <w:suppressLineNumbers w:val="0"/>
              <w:jc w:val="center"/>
              <w:textAlignment w:val="center"/>
              <w:rPr>
                <w:rFonts w:hint="eastAsia" w:ascii="宋体" w:hAnsi="宋体" w:eastAsia="宋体" w:cs="宋体"/>
                <w:i w:val="0"/>
                <w:iCs w:val="0"/>
                <w:color w:val="000000"/>
                <w:kern w:val="0"/>
                <w:sz w:val="13"/>
                <w:szCs w:val="13"/>
                <w:highlight w:val="none"/>
                <w:u w:val="none"/>
                <w:lang w:val="en-US" w:eastAsia="zh-CN" w:bidi="ar"/>
              </w:rPr>
            </w:pPr>
            <w:r>
              <w:rPr>
                <w:rFonts w:hint="eastAsia" w:ascii="宋体" w:hAnsi="宋体" w:eastAsia="宋体" w:cs="宋体"/>
                <w:i w:val="0"/>
                <w:iCs w:val="0"/>
                <w:color w:val="000000"/>
                <w:kern w:val="0"/>
                <w:sz w:val="13"/>
                <w:szCs w:val="13"/>
                <w:highlight w:val="none"/>
                <w:u w:val="none"/>
                <w:lang w:val="en-US" w:eastAsia="zh-CN" w:bidi="ar"/>
              </w:rPr>
              <w:t>病房衣柜</w:t>
            </w:r>
          </w:p>
        </w:tc>
        <w:tc>
          <w:tcPr>
            <w:tcW w:w="772" w:type="dxa"/>
            <w:shd w:val="clear" w:color="auto" w:fill="FFFF00"/>
            <w:vAlign w:val="center"/>
          </w:tcPr>
          <w:p w14:paraId="0186E3E9">
            <w:pPr>
              <w:keepNext w:val="0"/>
              <w:keepLines w:val="0"/>
              <w:widowControl/>
              <w:suppressLineNumbers w:val="0"/>
              <w:jc w:val="center"/>
              <w:textAlignment w:val="center"/>
              <w:rPr>
                <w:rFonts w:hint="eastAsia" w:ascii="宋体" w:hAnsi="宋体" w:eastAsia="宋体" w:cs="宋体"/>
                <w:i w:val="0"/>
                <w:iCs w:val="0"/>
                <w:color w:val="000000"/>
                <w:kern w:val="0"/>
                <w:sz w:val="13"/>
                <w:szCs w:val="13"/>
                <w:highlight w:val="none"/>
                <w:u w:val="none"/>
                <w:lang w:val="en-US" w:eastAsia="zh-CN" w:bidi="ar"/>
              </w:rPr>
            </w:pPr>
            <w:r>
              <w:rPr>
                <w:rFonts w:hint="eastAsia" w:ascii="宋体" w:hAnsi="宋体" w:eastAsia="宋体" w:cs="宋体"/>
                <w:i w:val="0"/>
                <w:iCs w:val="0"/>
                <w:color w:val="000000"/>
                <w:kern w:val="0"/>
                <w:sz w:val="13"/>
                <w:szCs w:val="13"/>
                <w:highlight w:val="none"/>
                <w:u w:val="none"/>
                <w:lang w:val="en-US" w:eastAsia="zh-CN" w:bidi="ar"/>
              </w:rPr>
              <w:t>1200*400*1900</w:t>
            </w:r>
          </w:p>
        </w:tc>
        <w:tc>
          <w:tcPr>
            <w:tcW w:w="866" w:type="dxa"/>
            <w:shd w:val="clear" w:color="auto" w:fill="FFFF00"/>
            <w:noWrap/>
            <w:vAlign w:val="center"/>
          </w:tcPr>
          <w:p w14:paraId="3AC786F4">
            <w:pPr>
              <w:keepNext w:val="0"/>
              <w:keepLines w:val="0"/>
              <w:widowControl/>
              <w:suppressLineNumbers w:val="0"/>
              <w:jc w:val="center"/>
              <w:textAlignment w:val="center"/>
              <w:rPr>
                <w:rFonts w:hint="eastAsia" w:ascii="宋体" w:hAnsi="宋体" w:eastAsia="宋体" w:cs="宋体"/>
                <w:i w:val="0"/>
                <w:iCs w:val="0"/>
                <w:color w:val="000000"/>
                <w:kern w:val="0"/>
                <w:sz w:val="13"/>
                <w:szCs w:val="13"/>
                <w:highlight w:val="none"/>
                <w:u w:val="none"/>
                <w:lang w:val="en-US" w:eastAsia="zh-CN" w:bidi="ar"/>
              </w:rPr>
            </w:pPr>
            <w:r>
              <w:rPr>
                <w:rFonts w:hint="eastAsia" w:ascii="宋体" w:hAnsi="宋体" w:eastAsia="宋体" w:cs="宋体"/>
                <w:i w:val="0"/>
                <w:iCs w:val="0"/>
                <w:color w:val="000000"/>
                <w:kern w:val="0"/>
                <w:sz w:val="13"/>
                <w:szCs w:val="13"/>
                <w:highlight w:val="none"/>
                <w:u w:val="none"/>
                <w:lang w:val="en-US" w:eastAsia="zh-CN" w:bidi="ar"/>
              </w:rPr>
              <w:t>75</w:t>
            </w:r>
          </w:p>
        </w:tc>
        <w:tc>
          <w:tcPr>
            <w:tcW w:w="377" w:type="dxa"/>
            <w:shd w:val="clear" w:color="auto" w:fill="FFFF00"/>
            <w:noWrap/>
            <w:vAlign w:val="center"/>
          </w:tcPr>
          <w:p w14:paraId="5609C53E">
            <w:pPr>
              <w:keepNext w:val="0"/>
              <w:keepLines w:val="0"/>
              <w:widowControl/>
              <w:suppressLineNumbers w:val="0"/>
              <w:jc w:val="center"/>
              <w:textAlignment w:val="center"/>
              <w:rPr>
                <w:rFonts w:hint="eastAsia" w:ascii="宋体" w:hAnsi="宋体" w:eastAsia="宋体" w:cs="宋体"/>
                <w:i w:val="0"/>
                <w:iCs w:val="0"/>
                <w:color w:val="000000"/>
                <w:kern w:val="0"/>
                <w:sz w:val="13"/>
                <w:szCs w:val="13"/>
                <w:highlight w:val="none"/>
                <w:u w:val="none"/>
                <w:lang w:val="en-US" w:eastAsia="zh-CN" w:bidi="ar"/>
              </w:rPr>
            </w:pPr>
            <w:r>
              <w:rPr>
                <w:rFonts w:hint="eastAsia" w:ascii="宋体" w:hAnsi="宋体" w:eastAsia="宋体" w:cs="宋体"/>
                <w:i w:val="0"/>
                <w:iCs w:val="0"/>
                <w:color w:val="000000"/>
                <w:kern w:val="0"/>
                <w:sz w:val="13"/>
                <w:szCs w:val="13"/>
                <w:highlight w:val="none"/>
                <w:u w:val="none"/>
                <w:lang w:val="en-US" w:eastAsia="zh-CN" w:bidi="ar"/>
              </w:rPr>
              <w:t>组</w:t>
            </w:r>
          </w:p>
        </w:tc>
        <w:tc>
          <w:tcPr>
            <w:tcW w:w="1470" w:type="dxa"/>
            <w:shd w:val="clear" w:color="auto" w:fill="FFFF00"/>
            <w:noWrap/>
            <w:vAlign w:val="center"/>
          </w:tcPr>
          <w:p w14:paraId="2FA34BD5">
            <w:pPr>
              <w:keepNext w:val="0"/>
              <w:keepLines w:val="0"/>
              <w:widowControl/>
              <w:suppressLineNumbers w:val="0"/>
              <w:jc w:val="center"/>
              <w:textAlignment w:val="center"/>
              <w:rPr>
                <w:rFonts w:hint="eastAsia" w:ascii="宋体" w:hAnsi="宋体" w:eastAsia="宋体" w:cs="宋体"/>
                <w:i w:val="0"/>
                <w:iCs w:val="0"/>
                <w:color w:val="000000"/>
                <w:kern w:val="0"/>
                <w:sz w:val="13"/>
                <w:szCs w:val="13"/>
                <w:highlight w:val="none"/>
                <w:u w:val="none"/>
                <w:bdr w:val="single" w:color="000000" w:sz="4" w:space="0"/>
                <w:shd w:val="clear" w:fill="FFFF00"/>
                <w:lang w:val="en-US" w:eastAsia="zh-CN" w:bidi="ar"/>
              </w:rPr>
            </w:pPr>
            <w:r>
              <w:rPr>
                <w:rFonts w:hint="eastAsia" w:ascii="宋体" w:hAnsi="宋体" w:eastAsia="宋体" w:cs="宋体"/>
                <w:i w:val="0"/>
                <w:iCs w:val="0"/>
                <w:color w:val="000000"/>
                <w:kern w:val="0"/>
                <w:sz w:val="13"/>
                <w:szCs w:val="13"/>
                <w:highlight w:val="none"/>
                <w:u w:val="none"/>
                <w:shd w:val="clear" w:fill="FFFF00"/>
                <w:lang w:val="en-US" w:eastAsia="zh-CN" w:bidi="ar"/>
              </w:rPr>
              <w:drawing>
                <wp:anchor distT="0" distB="0" distL="114300" distR="114300" simplePos="0" relativeHeight="251669504" behindDoc="0" locked="0" layoutInCell="1" allowOverlap="1">
                  <wp:simplePos x="0" y="0"/>
                  <wp:positionH relativeFrom="column">
                    <wp:posOffset>149225</wp:posOffset>
                  </wp:positionH>
                  <wp:positionV relativeFrom="paragraph">
                    <wp:posOffset>483235</wp:posOffset>
                  </wp:positionV>
                  <wp:extent cx="509905" cy="892175"/>
                  <wp:effectExtent l="0" t="0" r="4445" b="3175"/>
                  <wp:wrapNone/>
                  <wp:docPr id="55" name="图片_46"/>
                  <wp:cNvGraphicFramePr/>
                  <a:graphic xmlns:a="http://schemas.openxmlformats.org/drawingml/2006/main">
                    <a:graphicData uri="http://schemas.openxmlformats.org/drawingml/2006/picture">
                      <pic:pic xmlns:pic="http://schemas.openxmlformats.org/drawingml/2006/picture">
                        <pic:nvPicPr>
                          <pic:cNvPr id="55" name="图片_46"/>
                          <pic:cNvPicPr/>
                        </pic:nvPicPr>
                        <pic:blipFill>
                          <a:blip r:embed="rId22"/>
                          <a:stretch>
                            <a:fillRect/>
                          </a:stretch>
                        </pic:blipFill>
                        <pic:spPr>
                          <a:xfrm>
                            <a:off x="0" y="0"/>
                            <a:ext cx="509905" cy="892175"/>
                          </a:xfrm>
                          <a:prstGeom prst="rect">
                            <a:avLst/>
                          </a:prstGeom>
                          <a:noFill/>
                          <a:ln>
                            <a:noFill/>
                          </a:ln>
                        </pic:spPr>
                      </pic:pic>
                    </a:graphicData>
                  </a:graphic>
                </wp:anchor>
              </w:drawing>
            </w:r>
          </w:p>
        </w:tc>
        <w:tc>
          <w:tcPr>
            <w:tcW w:w="4990" w:type="dxa"/>
            <w:shd w:val="clear" w:color="auto" w:fill="FFFF00"/>
            <w:vAlign w:val="center"/>
          </w:tcPr>
          <w:p w14:paraId="3757E194">
            <w:pPr>
              <w:keepNext w:val="0"/>
              <w:keepLines w:val="0"/>
              <w:widowControl/>
              <w:suppressLineNumbers w:val="0"/>
              <w:jc w:val="left"/>
              <w:textAlignment w:val="center"/>
              <w:rPr>
                <w:rFonts w:hint="eastAsia" w:ascii="宋体" w:hAnsi="宋体" w:eastAsia="宋体" w:cs="宋体"/>
                <w:i w:val="0"/>
                <w:iCs w:val="0"/>
                <w:color w:val="000000"/>
                <w:kern w:val="0"/>
                <w:sz w:val="13"/>
                <w:szCs w:val="13"/>
                <w:highlight w:val="none"/>
                <w:u w:val="none"/>
                <w:lang w:val="en-US" w:eastAsia="zh-CN" w:bidi="ar"/>
              </w:rPr>
            </w:pPr>
            <w:r>
              <w:rPr>
                <w:rFonts w:hint="eastAsia" w:ascii="宋体" w:hAnsi="宋体" w:eastAsia="宋体" w:cs="宋体"/>
                <w:i w:val="0"/>
                <w:iCs w:val="0"/>
                <w:color w:val="000000"/>
                <w:kern w:val="0"/>
                <w:sz w:val="13"/>
                <w:szCs w:val="13"/>
                <w:highlight w:val="none"/>
                <w:u w:val="none"/>
                <w:lang w:val="en-US" w:eastAsia="zh-CN" w:bidi="ar"/>
              </w:rPr>
              <w:t>木质六门更衣柜，木质结构。板材厚度18mm。每门内设活动层板一块。中标后按用户需求设计订制。</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1、板材技术要求：选用ENF级环保板材。</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1.1饰面：采用优质三聚氰胺饰面纸,具有耐磨、耐腐蚀、耐高温等特性。</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1.2基材：采用环保刨花板，经耐酸碱，防虫、防腐等处理。</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1.3封边：采用优质ABS激光封边条，封边条厚度2.0mm，不开裂、不翘边、无异味，符合国家标准。</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1.4配置：分上下两部分，门内带一块活动层板。</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更衣柜；需符合GB/T 3324或同类相关检测标准；检测内容包括但不限于：</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①木工要求，五金件外观均符合；</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②软、硬质覆面理化性能：耐冷热循环无裂缝、开裂、起皱、鼓泡现象，耐湿热不低于5级，耐干热不低于5级，表面耐磨性符合；</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③拉门垂直加载试验、拉门水平加载试验、拉门耐久性试验8万次、拉门猛关试验、活动部件关闭时的空载稳定性、活动部件打开时的空载稳定性、均符合；</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 xml:space="preserve"> </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2、采用304不锈钢缓冲门铰、三节滚珠导轨，静音效果好，开关顺滑，使用寿命长。</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 xml:space="preserve">304不锈钢铰链：符合QB/T 2189或同类相关检测标准；检测内容包括但不限于：①过载：垂直静载荷:20kg,10次。无缺陷、水平静载荷:60N,10次。无缺陷)，符合要求；②功能：操作力：耐久试验前打开力≤8N、耐久试验前关闭力≤6N、耐久试验后打开力≤7N、耐久试验后关闭力≤5N；垂直静载荷：15kg,10次。无缺陷；下沉量：在使用调整系统前，安装B型试验门时，下沉量不应大于1.2mm；③中性盐雾试验≥40h后，涂层本身耐腐蚀等级10级，涂层对基体保护等级10级；④乙酸盐雾试验≥40小时后，涂层本身耐腐蚀等级10级，涂层对基体保护等级10级；⑤铜加速乙酸盐雾（CASS）试验≥40小时后，外观评级10级，保护评级10级；⑥抗菌性能：抑菌率≥99.95%； </w:t>
            </w:r>
          </w:p>
        </w:tc>
      </w:tr>
      <w:tr w14:paraId="05536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635" w:type="dxa"/>
            <w:shd w:val="clear" w:color="auto" w:fill="FFFF00"/>
            <w:noWrap/>
            <w:vAlign w:val="center"/>
          </w:tcPr>
          <w:p w14:paraId="07BB82EE">
            <w:pPr>
              <w:keepNext w:val="0"/>
              <w:keepLines w:val="0"/>
              <w:widowControl/>
              <w:suppressLineNumbers w:val="0"/>
              <w:jc w:val="center"/>
              <w:textAlignment w:val="center"/>
              <w:rPr>
                <w:rFonts w:hint="eastAsia" w:ascii="宋体" w:hAnsi="宋体" w:eastAsia="宋体" w:cs="宋体"/>
                <w:i w:val="0"/>
                <w:iCs w:val="0"/>
                <w:color w:val="000000"/>
                <w:kern w:val="0"/>
                <w:sz w:val="13"/>
                <w:szCs w:val="13"/>
                <w:highlight w:val="none"/>
                <w:u w:val="none"/>
                <w:lang w:val="en-US" w:eastAsia="zh-CN" w:bidi="ar"/>
              </w:rPr>
            </w:pPr>
            <w:r>
              <w:rPr>
                <w:rFonts w:hint="eastAsia" w:ascii="宋体" w:hAnsi="宋体" w:eastAsia="宋体" w:cs="宋体"/>
                <w:i w:val="0"/>
                <w:iCs w:val="0"/>
                <w:color w:val="000000"/>
                <w:kern w:val="0"/>
                <w:sz w:val="13"/>
                <w:szCs w:val="13"/>
                <w:highlight w:val="none"/>
                <w:u w:val="none"/>
                <w:lang w:val="en-US" w:eastAsia="zh-CN" w:bidi="ar"/>
              </w:rPr>
              <w:t>高床头柜</w:t>
            </w:r>
          </w:p>
        </w:tc>
        <w:tc>
          <w:tcPr>
            <w:tcW w:w="772" w:type="dxa"/>
            <w:shd w:val="clear" w:color="auto" w:fill="FFFF00"/>
            <w:vAlign w:val="center"/>
          </w:tcPr>
          <w:p w14:paraId="4969BF51">
            <w:pPr>
              <w:keepNext w:val="0"/>
              <w:keepLines w:val="0"/>
              <w:widowControl/>
              <w:suppressLineNumbers w:val="0"/>
              <w:jc w:val="center"/>
              <w:textAlignment w:val="center"/>
              <w:rPr>
                <w:rFonts w:hint="eastAsia" w:ascii="宋体" w:hAnsi="宋体" w:eastAsia="宋体" w:cs="宋体"/>
                <w:i w:val="0"/>
                <w:iCs w:val="0"/>
                <w:color w:val="000000"/>
                <w:kern w:val="0"/>
                <w:sz w:val="13"/>
                <w:szCs w:val="13"/>
                <w:highlight w:val="none"/>
                <w:u w:val="none"/>
                <w:lang w:val="en-US" w:eastAsia="zh-CN" w:bidi="ar"/>
              </w:rPr>
            </w:pPr>
            <w:r>
              <w:rPr>
                <w:rFonts w:hint="eastAsia" w:ascii="宋体" w:hAnsi="宋体" w:eastAsia="宋体" w:cs="宋体"/>
                <w:i w:val="0"/>
                <w:iCs w:val="0"/>
                <w:color w:val="000000"/>
                <w:kern w:val="0"/>
                <w:sz w:val="13"/>
                <w:szCs w:val="13"/>
                <w:highlight w:val="none"/>
                <w:u w:val="none"/>
                <w:lang w:val="en-US" w:eastAsia="zh-CN" w:bidi="ar"/>
              </w:rPr>
              <w:t>650*500*2000</w:t>
            </w:r>
          </w:p>
        </w:tc>
        <w:tc>
          <w:tcPr>
            <w:tcW w:w="866" w:type="dxa"/>
            <w:shd w:val="clear" w:color="auto" w:fill="FFFF00"/>
            <w:noWrap/>
            <w:vAlign w:val="center"/>
          </w:tcPr>
          <w:p w14:paraId="036E9E7D">
            <w:pPr>
              <w:keepNext w:val="0"/>
              <w:keepLines w:val="0"/>
              <w:widowControl/>
              <w:suppressLineNumbers w:val="0"/>
              <w:jc w:val="center"/>
              <w:textAlignment w:val="center"/>
              <w:rPr>
                <w:rFonts w:hint="eastAsia" w:ascii="宋体" w:hAnsi="宋体" w:eastAsia="宋体" w:cs="宋体"/>
                <w:i w:val="0"/>
                <w:iCs w:val="0"/>
                <w:color w:val="000000"/>
                <w:kern w:val="0"/>
                <w:sz w:val="13"/>
                <w:szCs w:val="13"/>
                <w:highlight w:val="none"/>
                <w:u w:val="none"/>
                <w:lang w:val="en-US" w:eastAsia="zh-CN" w:bidi="ar"/>
              </w:rPr>
            </w:pPr>
            <w:r>
              <w:rPr>
                <w:rFonts w:hint="eastAsia" w:ascii="宋体" w:hAnsi="宋体" w:eastAsia="宋体" w:cs="宋体"/>
                <w:i w:val="0"/>
                <w:iCs w:val="0"/>
                <w:color w:val="000000"/>
                <w:kern w:val="0"/>
                <w:sz w:val="13"/>
                <w:szCs w:val="13"/>
                <w:highlight w:val="none"/>
                <w:u w:val="none"/>
                <w:lang w:val="en-US" w:eastAsia="zh-CN" w:bidi="ar"/>
              </w:rPr>
              <w:t>20</w:t>
            </w:r>
          </w:p>
        </w:tc>
        <w:tc>
          <w:tcPr>
            <w:tcW w:w="377" w:type="dxa"/>
            <w:shd w:val="clear" w:color="auto" w:fill="FFFF00"/>
            <w:noWrap/>
            <w:vAlign w:val="center"/>
          </w:tcPr>
          <w:p w14:paraId="26E13B29">
            <w:pPr>
              <w:keepNext w:val="0"/>
              <w:keepLines w:val="0"/>
              <w:widowControl/>
              <w:suppressLineNumbers w:val="0"/>
              <w:jc w:val="center"/>
              <w:textAlignment w:val="center"/>
              <w:rPr>
                <w:rFonts w:hint="eastAsia" w:ascii="宋体" w:hAnsi="宋体" w:eastAsia="宋体" w:cs="宋体"/>
                <w:i w:val="0"/>
                <w:iCs w:val="0"/>
                <w:color w:val="000000"/>
                <w:kern w:val="0"/>
                <w:sz w:val="13"/>
                <w:szCs w:val="13"/>
                <w:highlight w:val="none"/>
                <w:u w:val="none"/>
                <w:lang w:val="en-US" w:eastAsia="zh-CN" w:bidi="ar"/>
              </w:rPr>
            </w:pPr>
            <w:r>
              <w:rPr>
                <w:rFonts w:hint="eastAsia" w:ascii="宋体" w:hAnsi="宋体" w:eastAsia="宋体" w:cs="宋体"/>
                <w:i w:val="0"/>
                <w:iCs w:val="0"/>
                <w:color w:val="000000"/>
                <w:kern w:val="0"/>
                <w:sz w:val="13"/>
                <w:szCs w:val="13"/>
                <w:highlight w:val="none"/>
                <w:u w:val="none"/>
                <w:lang w:val="en-US" w:eastAsia="zh-CN" w:bidi="ar"/>
              </w:rPr>
              <w:t>组</w:t>
            </w:r>
          </w:p>
        </w:tc>
        <w:tc>
          <w:tcPr>
            <w:tcW w:w="1470" w:type="dxa"/>
            <w:shd w:val="clear" w:color="auto" w:fill="FFFF00"/>
            <w:noWrap/>
            <w:vAlign w:val="center"/>
          </w:tcPr>
          <w:p w14:paraId="13C1BA13">
            <w:pPr>
              <w:keepNext w:val="0"/>
              <w:keepLines w:val="0"/>
              <w:widowControl/>
              <w:suppressLineNumbers w:val="0"/>
              <w:jc w:val="center"/>
              <w:textAlignment w:val="center"/>
              <w:rPr>
                <w:rFonts w:hint="eastAsia" w:ascii="宋体" w:hAnsi="宋体" w:eastAsia="宋体" w:cs="宋体"/>
                <w:i w:val="0"/>
                <w:iCs w:val="0"/>
                <w:color w:val="000000"/>
                <w:kern w:val="0"/>
                <w:sz w:val="13"/>
                <w:szCs w:val="13"/>
                <w:highlight w:val="none"/>
                <w:u w:val="none"/>
                <w:bdr w:val="single" w:color="000000" w:sz="4" w:space="0"/>
                <w:shd w:val="clear" w:fill="FFFF00"/>
                <w:lang w:val="en-US" w:eastAsia="zh-CN" w:bidi="ar"/>
              </w:rPr>
            </w:pPr>
            <w:r>
              <w:rPr>
                <w:rFonts w:hint="eastAsia" w:ascii="宋体" w:hAnsi="宋体" w:eastAsia="宋体" w:cs="宋体"/>
                <w:i w:val="0"/>
                <w:iCs w:val="0"/>
                <w:color w:val="000000"/>
                <w:kern w:val="0"/>
                <w:sz w:val="13"/>
                <w:szCs w:val="13"/>
                <w:highlight w:val="none"/>
                <w:u w:val="none"/>
                <w:shd w:val="clear" w:fill="FFFF00"/>
                <w:lang w:val="en-US" w:eastAsia="zh-CN" w:bidi="ar"/>
              </w:rPr>
              <w:drawing>
                <wp:anchor distT="0" distB="0" distL="114300" distR="114300" simplePos="0" relativeHeight="251670528" behindDoc="0" locked="0" layoutInCell="1" allowOverlap="1">
                  <wp:simplePos x="0" y="0"/>
                  <wp:positionH relativeFrom="column">
                    <wp:posOffset>237490</wp:posOffset>
                  </wp:positionH>
                  <wp:positionV relativeFrom="paragraph">
                    <wp:posOffset>1040765</wp:posOffset>
                  </wp:positionV>
                  <wp:extent cx="485140" cy="1083310"/>
                  <wp:effectExtent l="0" t="0" r="10160" b="2540"/>
                  <wp:wrapNone/>
                  <wp:docPr id="56" name="图片_39"/>
                  <wp:cNvGraphicFramePr/>
                  <a:graphic xmlns:a="http://schemas.openxmlformats.org/drawingml/2006/main">
                    <a:graphicData uri="http://schemas.openxmlformats.org/drawingml/2006/picture">
                      <pic:pic xmlns:pic="http://schemas.openxmlformats.org/drawingml/2006/picture">
                        <pic:nvPicPr>
                          <pic:cNvPr id="56" name="图片_39"/>
                          <pic:cNvPicPr/>
                        </pic:nvPicPr>
                        <pic:blipFill>
                          <a:blip r:embed="rId23"/>
                          <a:stretch>
                            <a:fillRect/>
                          </a:stretch>
                        </pic:blipFill>
                        <pic:spPr>
                          <a:xfrm>
                            <a:off x="0" y="0"/>
                            <a:ext cx="485140" cy="1083310"/>
                          </a:xfrm>
                          <a:prstGeom prst="rect">
                            <a:avLst/>
                          </a:prstGeom>
                          <a:noFill/>
                          <a:ln>
                            <a:noFill/>
                          </a:ln>
                        </pic:spPr>
                      </pic:pic>
                    </a:graphicData>
                  </a:graphic>
                </wp:anchor>
              </w:drawing>
            </w:r>
          </w:p>
        </w:tc>
        <w:tc>
          <w:tcPr>
            <w:tcW w:w="4990" w:type="dxa"/>
            <w:shd w:val="clear" w:color="auto" w:fill="FFFF00"/>
            <w:vAlign w:val="center"/>
          </w:tcPr>
          <w:p w14:paraId="339994CA">
            <w:pPr>
              <w:keepNext w:val="0"/>
              <w:keepLines w:val="0"/>
              <w:widowControl/>
              <w:suppressLineNumbers w:val="0"/>
              <w:jc w:val="left"/>
              <w:textAlignment w:val="center"/>
              <w:rPr>
                <w:rFonts w:hint="eastAsia" w:ascii="宋体" w:hAnsi="宋体" w:eastAsia="宋体" w:cs="宋体"/>
                <w:i w:val="0"/>
                <w:iCs w:val="0"/>
                <w:color w:val="000000"/>
                <w:kern w:val="0"/>
                <w:sz w:val="13"/>
                <w:szCs w:val="13"/>
                <w:highlight w:val="none"/>
                <w:u w:val="none"/>
                <w:lang w:val="en-US" w:eastAsia="zh-CN" w:bidi="ar"/>
              </w:rPr>
            </w:pPr>
            <w:r>
              <w:rPr>
                <w:rFonts w:hint="eastAsia" w:ascii="宋体" w:hAnsi="宋体" w:eastAsia="宋体" w:cs="宋体"/>
                <w:i w:val="0"/>
                <w:iCs w:val="0"/>
                <w:color w:val="000000"/>
                <w:kern w:val="0"/>
                <w:sz w:val="13"/>
                <w:szCs w:val="13"/>
                <w:highlight w:val="none"/>
                <w:u w:val="none"/>
                <w:lang w:val="en-US" w:eastAsia="zh-CN" w:bidi="ar"/>
              </w:rPr>
              <w:t>木质多功能高床头柜，木质结构。可操作台面厚度25mm，其它板材厚度18mm。左侧为多功能置物区，由开门柜和抽屉柜组成，右侧为衣柜，内设挂衣杆、穿衣镜、两块托板。中标后按用户需求设计订制。</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1、板材技术要求：选用ENF级环保板材。</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1.1饰面：采用优质三聚氰胺饰面纸,具有耐磨、耐腐蚀、耐高温等特性。</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1.2基材：采用环保刨花板，经耐酸碱，防虫、防腐等处理。</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1.3封边：采用优质ABS激光封边条，封边条厚度2.0mm，不开裂、不翘边、无异味，符合国家标准。</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1.4配置：分上下两部分，门内带一块活动层板。</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更衣柜；需符合GB/T 3324或同类相关检测标准；检测内容包括但不限于：</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①木工要求，五金件外观均符合；</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②软、硬质覆面理化性能：耐冷热循环无裂缝、开裂、起皱、鼓泡现象，耐湿热不低于5级，耐干热不低于5级，表面耐磨性符合；</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③拉门垂直加载试验、拉门水平加载试验、拉门耐久性试验8万次、拉门猛关试验、活动部件关闭时的空载稳定性、活动部件打开时的空载稳定性、均符合；</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 xml:space="preserve"> </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2、采用304不锈钢缓冲门铰、三节滚珠导轨，静音效果好，开关顺滑，使用寿命长。</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 xml:space="preserve">304不锈钢铰链：符合QB/T 2189或同类相关检测标准；检测内容包括但不限于：①过载：垂直静载荷:20kg,10次。无缺陷、水平静载荷:60N,10次。无缺陷)，符合要求；②功能：操作力：耐久试验前打开力≤8N、耐久试验前关闭力≤6N、耐久试验后打开力≤7N、耐久试验后关闭力≤5N；垂直静载荷：15kg,10次。无缺陷；下沉量：在使用调整系统前，安装B型试验门时，下沉量不应大于1.2mm；③中性盐雾试验≥40h后，涂层本身耐腐蚀等级10级，涂层对基体保护等级10级；④乙酸盐雾试验≥40小时后，涂层本身耐腐蚀等级10级，涂层对基体保护等级10级；⑤铜加速乙酸盐雾（CASS）试验≥40小时后，外观评级10级，保护评级10级；⑥抗菌性能：抑菌率≥99.95%； </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 xml:space="preserve">3、导轨；需符合GB/T 4336或同类相关检测标准；检测内容包括但不限于：①功能（垂直向下静载荷：200N，10次。无缺陷；水平侧向静载荷：100N、各5次。无缺陷；拉出安全性：循环加载10次，无缺陷；猛关或猛开，10次，无缺陷）均符合要求；②铜加速乙酸盐雾（CASS）试验≥40小时后，外观评级10级，保护评级10级；中性盐雾试验≥40小时后，涂层本身耐腐蚀等级10级，涂层对基体保护等级10级；③抗菌性能：抑菌率≥99.93%。 </w:t>
            </w:r>
          </w:p>
        </w:tc>
      </w:tr>
      <w:tr w14:paraId="34EA5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635" w:type="dxa"/>
            <w:shd w:val="clear" w:color="auto" w:fill="FFFF00"/>
            <w:noWrap/>
            <w:vAlign w:val="center"/>
          </w:tcPr>
          <w:p w14:paraId="0BE401FF">
            <w:pPr>
              <w:keepNext w:val="0"/>
              <w:keepLines w:val="0"/>
              <w:widowControl/>
              <w:suppressLineNumbers w:val="0"/>
              <w:jc w:val="center"/>
              <w:textAlignment w:val="center"/>
              <w:rPr>
                <w:rFonts w:hint="eastAsia" w:ascii="宋体" w:hAnsi="宋体" w:eastAsia="宋体" w:cs="宋体"/>
                <w:i w:val="0"/>
                <w:iCs w:val="0"/>
                <w:color w:val="000000"/>
                <w:kern w:val="0"/>
                <w:sz w:val="13"/>
                <w:szCs w:val="13"/>
                <w:highlight w:val="none"/>
                <w:u w:val="none"/>
                <w:lang w:val="en-US" w:eastAsia="zh-CN" w:bidi="ar"/>
              </w:rPr>
            </w:pPr>
            <w:r>
              <w:rPr>
                <w:rFonts w:hint="eastAsia" w:ascii="宋体" w:hAnsi="宋体" w:eastAsia="宋体" w:cs="宋体"/>
                <w:i w:val="0"/>
                <w:iCs w:val="0"/>
                <w:color w:val="000000"/>
                <w:kern w:val="0"/>
                <w:sz w:val="13"/>
                <w:szCs w:val="13"/>
                <w:highlight w:val="none"/>
                <w:u w:val="none"/>
                <w:lang w:val="en-US" w:eastAsia="zh-CN" w:bidi="ar"/>
              </w:rPr>
              <w:t>儿童诊床</w:t>
            </w:r>
          </w:p>
        </w:tc>
        <w:tc>
          <w:tcPr>
            <w:tcW w:w="772" w:type="dxa"/>
            <w:shd w:val="clear" w:color="auto" w:fill="FFFF00"/>
            <w:vAlign w:val="center"/>
          </w:tcPr>
          <w:p w14:paraId="7C4FFE4F">
            <w:pPr>
              <w:keepNext w:val="0"/>
              <w:keepLines w:val="0"/>
              <w:widowControl/>
              <w:suppressLineNumbers w:val="0"/>
              <w:jc w:val="center"/>
              <w:textAlignment w:val="center"/>
              <w:rPr>
                <w:rFonts w:hint="eastAsia" w:ascii="宋体" w:hAnsi="宋体" w:eastAsia="宋体" w:cs="宋体"/>
                <w:i w:val="0"/>
                <w:iCs w:val="0"/>
                <w:color w:val="000000"/>
                <w:kern w:val="0"/>
                <w:sz w:val="13"/>
                <w:szCs w:val="13"/>
                <w:highlight w:val="none"/>
                <w:u w:val="none"/>
                <w:lang w:val="en-US" w:eastAsia="zh-CN" w:bidi="ar"/>
              </w:rPr>
            </w:pPr>
            <w:r>
              <w:rPr>
                <w:rFonts w:hint="eastAsia" w:ascii="宋体" w:hAnsi="宋体" w:eastAsia="宋体" w:cs="宋体"/>
                <w:i w:val="0"/>
                <w:iCs w:val="0"/>
                <w:color w:val="000000"/>
                <w:kern w:val="0"/>
                <w:sz w:val="13"/>
                <w:szCs w:val="13"/>
                <w:highlight w:val="none"/>
                <w:u w:val="none"/>
                <w:lang w:val="en-US" w:eastAsia="zh-CN" w:bidi="ar"/>
              </w:rPr>
              <w:t>1200*600*650</w:t>
            </w:r>
          </w:p>
        </w:tc>
        <w:tc>
          <w:tcPr>
            <w:tcW w:w="866" w:type="dxa"/>
            <w:shd w:val="clear" w:color="auto" w:fill="FFFF00"/>
            <w:noWrap/>
            <w:vAlign w:val="center"/>
          </w:tcPr>
          <w:p w14:paraId="557B9329">
            <w:pPr>
              <w:keepNext w:val="0"/>
              <w:keepLines w:val="0"/>
              <w:widowControl/>
              <w:suppressLineNumbers w:val="0"/>
              <w:jc w:val="center"/>
              <w:textAlignment w:val="center"/>
              <w:rPr>
                <w:rFonts w:hint="eastAsia" w:ascii="宋体" w:hAnsi="宋体" w:eastAsia="宋体" w:cs="宋体"/>
                <w:i w:val="0"/>
                <w:iCs w:val="0"/>
                <w:color w:val="000000"/>
                <w:kern w:val="0"/>
                <w:sz w:val="13"/>
                <w:szCs w:val="13"/>
                <w:highlight w:val="none"/>
                <w:u w:val="none"/>
                <w:lang w:val="en-US" w:eastAsia="zh-CN" w:bidi="ar"/>
              </w:rPr>
            </w:pPr>
            <w:r>
              <w:rPr>
                <w:rFonts w:hint="eastAsia" w:ascii="宋体" w:hAnsi="宋体" w:eastAsia="宋体" w:cs="宋体"/>
                <w:i w:val="0"/>
                <w:iCs w:val="0"/>
                <w:color w:val="000000"/>
                <w:kern w:val="0"/>
                <w:sz w:val="13"/>
                <w:szCs w:val="13"/>
                <w:highlight w:val="none"/>
                <w:u w:val="none"/>
                <w:lang w:val="en-US" w:eastAsia="zh-CN" w:bidi="ar"/>
              </w:rPr>
              <w:t>5</w:t>
            </w:r>
          </w:p>
        </w:tc>
        <w:tc>
          <w:tcPr>
            <w:tcW w:w="377" w:type="dxa"/>
            <w:shd w:val="clear" w:color="auto" w:fill="FFFF00"/>
            <w:noWrap/>
            <w:vAlign w:val="center"/>
          </w:tcPr>
          <w:p w14:paraId="1691EE5F">
            <w:pPr>
              <w:keepNext w:val="0"/>
              <w:keepLines w:val="0"/>
              <w:widowControl/>
              <w:suppressLineNumbers w:val="0"/>
              <w:jc w:val="center"/>
              <w:textAlignment w:val="center"/>
              <w:rPr>
                <w:rFonts w:hint="eastAsia" w:ascii="宋体" w:hAnsi="宋体" w:eastAsia="宋体" w:cs="宋体"/>
                <w:i w:val="0"/>
                <w:iCs w:val="0"/>
                <w:color w:val="000000"/>
                <w:kern w:val="0"/>
                <w:sz w:val="13"/>
                <w:szCs w:val="13"/>
                <w:highlight w:val="none"/>
                <w:u w:val="none"/>
                <w:lang w:val="en-US" w:eastAsia="zh-CN" w:bidi="ar"/>
              </w:rPr>
            </w:pPr>
            <w:r>
              <w:rPr>
                <w:rFonts w:hint="eastAsia" w:ascii="宋体" w:hAnsi="宋体" w:eastAsia="宋体" w:cs="宋体"/>
                <w:i w:val="0"/>
                <w:iCs w:val="0"/>
                <w:color w:val="000000"/>
                <w:kern w:val="0"/>
                <w:sz w:val="13"/>
                <w:szCs w:val="13"/>
                <w:highlight w:val="none"/>
                <w:u w:val="none"/>
                <w:lang w:val="en-US" w:eastAsia="zh-CN" w:bidi="ar"/>
              </w:rPr>
              <w:t>张</w:t>
            </w:r>
          </w:p>
        </w:tc>
        <w:tc>
          <w:tcPr>
            <w:tcW w:w="1470" w:type="dxa"/>
            <w:shd w:val="clear" w:color="auto" w:fill="FFFF00"/>
            <w:noWrap/>
            <w:vAlign w:val="center"/>
          </w:tcPr>
          <w:p w14:paraId="4B02788C">
            <w:pPr>
              <w:keepNext w:val="0"/>
              <w:keepLines w:val="0"/>
              <w:widowControl/>
              <w:suppressLineNumbers w:val="0"/>
              <w:jc w:val="center"/>
              <w:textAlignment w:val="center"/>
              <w:rPr>
                <w:rFonts w:hint="eastAsia" w:ascii="宋体" w:hAnsi="宋体" w:eastAsia="宋体" w:cs="宋体"/>
                <w:i w:val="0"/>
                <w:iCs w:val="0"/>
                <w:color w:val="000000"/>
                <w:kern w:val="0"/>
                <w:sz w:val="13"/>
                <w:szCs w:val="13"/>
                <w:highlight w:val="none"/>
                <w:u w:val="none"/>
                <w:shd w:val="clear" w:fill="FFFF00"/>
                <w:lang w:val="en-US" w:eastAsia="zh-CN" w:bidi="ar"/>
              </w:rPr>
            </w:pPr>
            <w:r>
              <w:rPr>
                <w:rFonts w:hint="eastAsia" w:ascii="宋体" w:hAnsi="宋体" w:eastAsia="宋体" w:cs="宋体"/>
                <w:i w:val="0"/>
                <w:iCs w:val="0"/>
                <w:color w:val="000000"/>
                <w:kern w:val="0"/>
                <w:sz w:val="13"/>
                <w:szCs w:val="13"/>
                <w:highlight w:val="none"/>
                <w:u w:val="none"/>
                <w:bdr w:val="single" w:color="000000" w:sz="4" w:space="0"/>
                <w:shd w:val="clear" w:fill="FFFF00"/>
                <w:lang w:val="en-US" w:eastAsia="zh-CN" w:bidi="ar"/>
              </w:rPr>
              <w:drawing>
                <wp:anchor distT="0" distB="0" distL="114300" distR="114300" simplePos="0" relativeHeight="251671552" behindDoc="0" locked="0" layoutInCell="1" allowOverlap="1">
                  <wp:simplePos x="0" y="0"/>
                  <wp:positionH relativeFrom="column">
                    <wp:posOffset>129540</wp:posOffset>
                  </wp:positionH>
                  <wp:positionV relativeFrom="paragraph">
                    <wp:posOffset>624840</wp:posOffset>
                  </wp:positionV>
                  <wp:extent cx="718820" cy="688340"/>
                  <wp:effectExtent l="0" t="0" r="5080" b="16510"/>
                  <wp:wrapNone/>
                  <wp:docPr id="60" name="图片_35"/>
                  <wp:cNvGraphicFramePr/>
                  <a:graphic xmlns:a="http://schemas.openxmlformats.org/drawingml/2006/main">
                    <a:graphicData uri="http://schemas.openxmlformats.org/drawingml/2006/picture">
                      <pic:pic xmlns:pic="http://schemas.openxmlformats.org/drawingml/2006/picture">
                        <pic:nvPicPr>
                          <pic:cNvPr id="60" name="图片_35"/>
                          <pic:cNvPicPr/>
                        </pic:nvPicPr>
                        <pic:blipFill>
                          <a:blip r:embed="rId24"/>
                          <a:stretch>
                            <a:fillRect/>
                          </a:stretch>
                        </pic:blipFill>
                        <pic:spPr>
                          <a:xfrm>
                            <a:off x="0" y="0"/>
                            <a:ext cx="718820" cy="688340"/>
                          </a:xfrm>
                          <a:prstGeom prst="rect">
                            <a:avLst/>
                          </a:prstGeom>
                          <a:noFill/>
                          <a:ln>
                            <a:noFill/>
                          </a:ln>
                        </pic:spPr>
                      </pic:pic>
                    </a:graphicData>
                  </a:graphic>
                </wp:anchor>
              </w:drawing>
            </w:r>
          </w:p>
        </w:tc>
        <w:tc>
          <w:tcPr>
            <w:tcW w:w="4990" w:type="dxa"/>
            <w:shd w:val="clear" w:color="auto" w:fill="FFFF00"/>
            <w:vAlign w:val="center"/>
          </w:tcPr>
          <w:p w14:paraId="77D756E9">
            <w:pPr>
              <w:keepNext w:val="0"/>
              <w:keepLines w:val="0"/>
              <w:widowControl/>
              <w:suppressLineNumbers w:val="0"/>
              <w:jc w:val="left"/>
              <w:textAlignment w:val="center"/>
              <w:rPr>
                <w:rFonts w:hint="eastAsia" w:ascii="宋体" w:hAnsi="宋体" w:eastAsia="宋体" w:cs="宋体"/>
                <w:i w:val="0"/>
                <w:iCs w:val="0"/>
                <w:color w:val="000000"/>
                <w:kern w:val="0"/>
                <w:sz w:val="13"/>
                <w:szCs w:val="13"/>
                <w:highlight w:val="none"/>
                <w:u w:val="none"/>
                <w:lang w:val="en-US" w:eastAsia="zh-CN" w:bidi="ar"/>
              </w:rPr>
            </w:pPr>
            <w:r>
              <w:rPr>
                <w:rFonts w:hint="eastAsia" w:ascii="宋体" w:hAnsi="宋体" w:eastAsia="宋体" w:cs="宋体"/>
                <w:i w:val="0"/>
                <w:iCs w:val="0"/>
                <w:color w:val="000000"/>
                <w:kern w:val="0"/>
                <w:sz w:val="13"/>
                <w:szCs w:val="13"/>
                <w:highlight w:val="none"/>
                <w:u w:val="none"/>
                <w:lang w:val="en-US" w:eastAsia="zh-CN" w:bidi="ar"/>
              </w:rPr>
              <w:t>1、木质儿童诊床，软包造型桌垫。中标后按用户需求设计订制。</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2、基材：采用E0级中密度纤维板，经过防虫、防腐等化学处理，持久不变形。</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3、油漆（面漆、底漆）：采用优质水性漆，五底三面十二道工序，安全环保无害。</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 xml:space="preserve">中密度纤维板；需符合GB 18580或同类相关检测标准；检测内容包括但不限于：①规格尺寸及其偏差：长度偏差、宽度偏差、厚度偏差、垂直度偏差、板内密度偏差、密度、含水率、静曲强度、弹性模量、内胶合强度、24h吸水厚度膨胀率，均合格；②甲醛释放量≤0.065mg/m³；③挥发性有机化合物 (72h)：（苯未检出、 甲苯≤8ug/m³、 二甲苯≤8ug/m³、总挥发性有机化合物（TVOC）≤73ug/m³）均合格；④萘释放浓度≤2.8ug/m³；⑤气味等级，1级；⑥净化效率(甲醛)≥88.7%；⑦抗菌性能，抗菌率≥99.99% 涂料；需符合GB 18581或同类相关检测标准，内容包括但不限于：①乙二醇醚及醚酯总和含量≤100mg/kg；②抗流挂性≥250um，附着力(拉开法)≥1.8MPa，耐热性(23℃±2℃，16h)涂膜无开裂、无脱落允许轻微变色，净化效率(甲醛)≥81.3%，流出时间≥177s；③密度≥1.333g/mL，漆膜硬度≥0.24，耐弯曲性：3mm试验后，试板1漆膜无开裂，无从底板上剥落;试板2漆膜无开裂，无从底板上剥落，耐液体介质(水2d)无异常，对比率≥0.96；                                                             </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 xml:space="preserve"> </w:t>
            </w:r>
          </w:p>
        </w:tc>
      </w:tr>
      <w:tr w14:paraId="7F3AA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635" w:type="dxa"/>
            <w:shd w:val="clear" w:color="auto" w:fill="FFFF00"/>
            <w:noWrap/>
            <w:vAlign w:val="center"/>
          </w:tcPr>
          <w:p w14:paraId="3DECD33A">
            <w:pPr>
              <w:keepNext w:val="0"/>
              <w:keepLines w:val="0"/>
              <w:widowControl/>
              <w:suppressLineNumbers w:val="0"/>
              <w:jc w:val="center"/>
              <w:textAlignment w:val="center"/>
              <w:rPr>
                <w:rFonts w:hint="eastAsia" w:ascii="宋体" w:hAnsi="宋体" w:eastAsia="宋体" w:cs="宋体"/>
                <w:i w:val="0"/>
                <w:iCs w:val="0"/>
                <w:color w:val="000000"/>
                <w:kern w:val="0"/>
                <w:sz w:val="13"/>
                <w:szCs w:val="13"/>
                <w:highlight w:val="none"/>
                <w:u w:val="none"/>
                <w:lang w:val="en-US" w:eastAsia="zh-CN" w:bidi="ar"/>
              </w:rPr>
            </w:pPr>
            <w:r>
              <w:rPr>
                <w:rFonts w:hint="eastAsia" w:ascii="宋体" w:hAnsi="宋体" w:eastAsia="宋体" w:cs="宋体"/>
                <w:i w:val="0"/>
                <w:iCs w:val="0"/>
                <w:color w:val="000000"/>
                <w:kern w:val="0"/>
                <w:sz w:val="13"/>
                <w:szCs w:val="13"/>
                <w:highlight w:val="none"/>
                <w:u w:val="none"/>
                <w:lang w:val="en-US" w:eastAsia="zh-CN" w:bidi="ar"/>
              </w:rPr>
              <w:t>儿童输液床</w:t>
            </w:r>
          </w:p>
        </w:tc>
        <w:tc>
          <w:tcPr>
            <w:tcW w:w="772" w:type="dxa"/>
            <w:shd w:val="clear" w:color="auto" w:fill="FFFF00"/>
            <w:vAlign w:val="center"/>
          </w:tcPr>
          <w:p w14:paraId="564ECBB3">
            <w:pPr>
              <w:keepNext w:val="0"/>
              <w:keepLines w:val="0"/>
              <w:widowControl/>
              <w:suppressLineNumbers w:val="0"/>
              <w:jc w:val="center"/>
              <w:textAlignment w:val="center"/>
              <w:rPr>
                <w:rFonts w:hint="eastAsia" w:ascii="宋体" w:hAnsi="宋体" w:eastAsia="宋体" w:cs="宋体"/>
                <w:i w:val="0"/>
                <w:iCs w:val="0"/>
                <w:color w:val="000000"/>
                <w:kern w:val="0"/>
                <w:sz w:val="13"/>
                <w:szCs w:val="13"/>
                <w:highlight w:val="none"/>
                <w:u w:val="none"/>
                <w:lang w:val="en-US" w:eastAsia="zh-CN" w:bidi="ar"/>
              </w:rPr>
            </w:pPr>
            <w:r>
              <w:rPr>
                <w:rFonts w:hint="eastAsia" w:ascii="宋体" w:hAnsi="宋体" w:eastAsia="宋体" w:cs="宋体"/>
                <w:i w:val="0"/>
                <w:iCs w:val="0"/>
                <w:color w:val="000000"/>
                <w:kern w:val="0"/>
                <w:sz w:val="13"/>
                <w:szCs w:val="13"/>
                <w:highlight w:val="none"/>
                <w:u w:val="none"/>
                <w:lang w:val="en-US" w:eastAsia="zh-CN" w:bidi="ar"/>
              </w:rPr>
              <w:t>1400*700*1100</w:t>
            </w:r>
          </w:p>
        </w:tc>
        <w:tc>
          <w:tcPr>
            <w:tcW w:w="866" w:type="dxa"/>
            <w:shd w:val="clear" w:color="auto" w:fill="FFFF00"/>
            <w:noWrap/>
            <w:vAlign w:val="center"/>
          </w:tcPr>
          <w:p w14:paraId="558EC89F">
            <w:pPr>
              <w:keepNext w:val="0"/>
              <w:keepLines w:val="0"/>
              <w:widowControl/>
              <w:suppressLineNumbers w:val="0"/>
              <w:jc w:val="center"/>
              <w:textAlignment w:val="center"/>
              <w:rPr>
                <w:rFonts w:hint="eastAsia" w:ascii="宋体" w:hAnsi="宋体" w:eastAsia="宋体" w:cs="宋体"/>
                <w:i w:val="0"/>
                <w:iCs w:val="0"/>
                <w:color w:val="000000"/>
                <w:kern w:val="0"/>
                <w:sz w:val="13"/>
                <w:szCs w:val="13"/>
                <w:highlight w:val="none"/>
                <w:u w:val="none"/>
                <w:lang w:val="en-US" w:eastAsia="zh-CN" w:bidi="ar"/>
              </w:rPr>
            </w:pPr>
            <w:r>
              <w:rPr>
                <w:rFonts w:hint="eastAsia" w:ascii="宋体" w:hAnsi="宋体" w:eastAsia="宋体" w:cs="宋体"/>
                <w:i w:val="0"/>
                <w:iCs w:val="0"/>
                <w:color w:val="000000"/>
                <w:kern w:val="0"/>
                <w:sz w:val="13"/>
                <w:szCs w:val="13"/>
                <w:highlight w:val="none"/>
                <w:u w:val="none"/>
                <w:lang w:val="en-US" w:eastAsia="zh-CN" w:bidi="ar"/>
              </w:rPr>
              <w:t>12</w:t>
            </w:r>
          </w:p>
        </w:tc>
        <w:tc>
          <w:tcPr>
            <w:tcW w:w="377" w:type="dxa"/>
            <w:shd w:val="clear" w:color="auto" w:fill="FFFF00"/>
            <w:noWrap/>
            <w:vAlign w:val="center"/>
          </w:tcPr>
          <w:p w14:paraId="59765046">
            <w:pPr>
              <w:keepNext w:val="0"/>
              <w:keepLines w:val="0"/>
              <w:widowControl/>
              <w:suppressLineNumbers w:val="0"/>
              <w:jc w:val="center"/>
              <w:textAlignment w:val="center"/>
              <w:rPr>
                <w:rFonts w:hint="eastAsia" w:ascii="宋体" w:hAnsi="宋体" w:eastAsia="宋体" w:cs="宋体"/>
                <w:i w:val="0"/>
                <w:iCs w:val="0"/>
                <w:color w:val="000000"/>
                <w:kern w:val="0"/>
                <w:sz w:val="13"/>
                <w:szCs w:val="13"/>
                <w:highlight w:val="none"/>
                <w:u w:val="none"/>
                <w:lang w:val="en-US" w:eastAsia="zh-CN" w:bidi="ar"/>
              </w:rPr>
            </w:pPr>
            <w:r>
              <w:rPr>
                <w:rFonts w:hint="eastAsia" w:ascii="宋体" w:hAnsi="宋体" w:eastAsia="宋体" w:cs="宋体"/>
                <w:i w:val="0"/>
                <w:iCs w:val="0"/>
                <w:color w:val="000000"/>
                <w:kern w:val="0"/>
                <w:sz w:val="13"/>
                <w:szCs w:val="13"/>
                <w:highlight w:val="none"/>
                <w:u w:val="none"/>
                <w:lang w:val="en-US" w:eastAsia="zh-CN" w:bidi="ar"/>
              </w:rPr>
              <w:t>组</w:t>
            </w:r>
          </w:p>
        </w:tc>
        <w:tc>
          <w:tcPr>
            <w:tcW w:w="1470" w:type="dxa"/>
            <w:shd w:val="clear" w:color="auto" w:fill="FFFF00"/>
            <w:noWrap/>
            <w:vAlign w:val="center"/>
          </w:tcPr>
          <w:p w14:paraId="5F68D23A">
            <w:pPr>
              <w:keepNext w:val="0"/>
              <w:keepLines w:val="0"/>
              <w:widowControl/>
              <w:suppressLineNumbers w:val="0"/>
              <w:jc w:val="center"/>
              <w:textAlignment w:val="center"/>
              <w:rPr>
                <w:rFonts w:hint="eastAsia" w:ascii="宋体" w:hAnsi="宋体" w:eastAsia="宋体" w:cs="宋体"/>
                <w:i w:val="0"/>
                <w:iCs w:val="0"/>
                <w:color w:val="000000"/>
                <w:kern w:val="0"/>
                <w:sz w:val="13"/>
                <w:szCs w:val="13"/>
                <w:highlight w:val="none"/>
                <w:u w:val="none"/>
                <w:shd w:val="clear" w:fill="FFFF00"/>
                <w:lang w:val="en-US" w:eastAsia="zh-CN" w:bidi="ar"/>
              </w:rPr>
            </w:pPr>
            <w:r>
              <w:rPr>
                <w:rFonts w:hint="eastAsia" w:ascii="宋体" w:hAnsi="宋体" w:eastAsia="宋体" w:cs="宋体"/>
                <w:i w:val="0"/>
                <w:iCs w:val="0"/>
                <w:color w:val="000000"/>
                <w:kern w:val="0"/>
                <w:sz w:val="13"/>
                <w:szCs w:val="13"/>
                <w:highlight w:val="none"/>
                <w:u w:val="none"/>
                <w:bdr w:val="single" w:color="000000" w:sz="4" w:space="0"/>
                <w:shd w:val="clear" w:fill="FFFF00"/>
                <w:lang w:val="en-US" w:eastAsia="zh-CN" w:bidi="ar"/>
              </w:rPr>
              <w:drawing>
                <wp:anchor distT="0" distB="0" distL="114300" distR="114300" simplePos="0" relativeHeight="251672576" behindDoc="0" locked="0" layoutInCell="1" allowOverlap="1">
                  <wp:simplePos x="0" y="0"/>
                  <wp:positionH relativeFrom="column">
                    <wp:posOffset>144780</wp:posOffset>
                  </wp:positionH>
                  <wp:positionV relativeFrom="paragraph">
                    <wp:posOffset>422910</wp:posOffset>
                  </wp:positionV>
                  <wp:extent cx="647700" cy="811530"/>
                  <wp:effectExtent l="0" t="0" r="0" b="7620"/>
                  <wp:wrapNone/>
                  <wp:docPr id="61" name="图片_34"/>
                  <wp:cNvGraphicFramePr/>
                  <a:graphic xmlns:a="http://schemas.openxmlformats.org/drawingml/2006/main">
                    <a:graphicData uri="http://schemas.openxmlformats.org/drawingml/2006/picture">
                      <pic:pic xmlns:pic="http://schemas.openxmlformats.org/drawingml/2006/picture">
                        <pic:nvPicPr>
                          <pic:cNvPr id="61" name="图片_34"/>
                          <pic:cNvPicPr/>
                        </pic:nvPicPr>
                        <pic:blipFill>
                          <a:blip r:embed="rId25"/>
                          <a:stretch>
                            <a:fillRect/>
                          </a:stretch>
                        </pic:blipFill>
                        <pic:spPr>
                          <a:xfrm>
                            <a:off x="0" y="0"/>
                            <a:ext cx="647700" cy="811530"/>
                          </a:xfrm>
                          <a:prstGeom prst="rect">
                            <a:avLst/>
                          </a:prstGeom>
                          <a:noFill/>
                          <a:ln>
                            <a:noFill/>
                          </a:ln>
                        </pic:spPr>
                      </pic:pic>
                    </a:graphicData>
                  </a:graphic>
                </wp:anchor>
              </w:drawing>
            </w:r>
          </w:p>
        </w:tc>
        <w:tc>
          <w:tcPr>
            <w:tcW w:w="4990" w:type="dxa"/>
            <w:shd w:val="clear" w:color="auto" w:fill="FFFF00"/>
            <w:vAlign w:val="center"/>
          </w:tcPr>
          <w:p w14:paraId="77F449C2">
            <w:pPr>
              <w:keepNext w:val="0"/>
              <w:keepLines w:val="0"/>
              <w:widowControl/>
              <w:suppressLineNumbers w:val="0"/>
              <w:jc w:val="left"/>
              <w:textAlignment w:val="center"/>
              <w:rPr>
                <w:rFonts w:hint="eastAsia" w:ascii="宋体" w:hAnsi="宋体" w:eastAsia="宋体" w:cs="宋体"/>
                <w:i w:val="0"/>
                <w:iCs w:val="0"/>
                <w:color w:val="000000"/>
                <w:kern w:val="0"/>
                <w:sz w:val="13"/>
                <w:szCs w:val="13"/>
                <w:highlight w:val="none"/>
                <w:u w:val="none"/>
                <w:lang w:val="en-US" w:eastAsia="zh-CN" w:bidi="ar"/>
              </w:rPr>
            </w:pPr>
            <w:r>
              <w:rPr>
                <w:rFonts w:hint="eastAsia" w:ascii="宋体" w:hAnsi="宋体" w:eastAsia="宋体" w:cs="宋体"/>
                <w:i w:val="0"/>
                <w:iCs w:val="0"/>
                <w:color w:val="000000"/>
                <w:kern w:val="0"/>
                <w:sz w:val="13"/>
                <w:szCs w:val="13"/>
                <w:highlight w:val="none"/>
                <w:u w:val="none"/>
                <w:lang w:val="en-US" w:eastAsia="zh-CN" w:bidi="ar"/>
              </w:rPr>
              <w:t>1、木质儿童输液床，软包床垫及三面床围，配置输液杆、家长陪护凳及储物抽屉。中标后按用户需求设计订制。</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2、基材：采用E0级中密度纤维板，经过防虫、防腐等化学处理，持久不变形。</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3、油漆（面漆、底漆）：采用优质水性漆，五底三面十二道工序，安全环保无害。</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 xml:space="preserve">中密度纤维板；需符合GB 18580或同类相关检测标准；检测内容包括但不限于：①规格尺寸及其偏差：长度偏差、宽度偏差、厚度偏差、垂直度偏差、板内密度偏差、密度、含水率、静曲强度、弹性模量、内胶合强度、24h吸水厚度膨胀率，均合格；②甲醛释放量≤0.065mg/m³；③挥发性有机化合物 (72h)：（苯未检出、 甲苯≤8ug/m³、 二甲苯≤8ug/m³、总挥发性有机化合物（TVOC）≤73ug/m³）均合格；④萘释放浓度≤2.8ug/m³；⑤气味等级，1级；⑥净化效率(甲醛)≥88.7%；⑦抗菌性能，抗菌率≥99.99%；                                                                                         涂料；需符合GB 18581或同类相关检测标准，检测内容包括但不限于：①乙二醇醚及醚酯总和含量≤100mg/kg；②抗流挂性≥250um，附着力(拉开法)≥1.8MPa，耐热性(23℃±2℃，16h)涂膜无开裂、无脱落允许轻微变色，净化效率(甲醛)≥81.3%，流出时间≥177s；③密度≥1.333g/mL，漆膜硬度≥0.24，耐弯曲性：3mm试验后，试板1漆膜无开裂，无从底板上剥落;试板2漆膜无开裂，无从底板上剥落，耐液体介质(水2d)无异常，对比率≥0.96；                                                             </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 xml:space="preserve"> </w:t>
            </w:r>
          </w:p>
        </w:tc>
      </w:tr>
      <w:tr w14:paraId="571AB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635" w:type="dxa"/>
            <w:shd w:val="clear" w:color="auto" w:fill="FFFF00"/>
            <w:noWrap/>
            <w:vAlign w:val="center"/>
          </w:tcPr>
          <w:p w14:paraId="5E01552A">
            <w:pPr>
              <w:keepNext w:val="0"/>
              <w:keepLines w:val="0"/>
              <w:widowControl/>
              <w:suppressLineNumbers w:val="0"/>
              <w:jc w:val="center"/>
              <w:textAlignment w:val="center"/>
              <w:rPr>
                <w:rFonts w:hint="eastAsia" w:ascii="宋体" w:hAnsi="宋体" w:eastAsia="宋体" w:cs="宋体"/>
                <w:i w:val="0"/>
                <w:iCs w:val="0"/>
                <w:color w:val="000000"/>
                <w:kern w:val="0"/>
                <w:sz w:val="13"/>
                <w:szCs w:val="13"/>
                <w:highlight w:val="none"/>
                <w:u w:val="none"/>
                <w:lang w:val="en-US" w:eastAsia="zh-CN" w:bidi="ar"/>
              </w:rPr>
            </w:pPr>
            <w:r>
              <w:rPr>
                <w:rFonts w:hint="eastAsia" w:ascii="宋体" w:hAnsi="宋体" w:eastAsia="宋体" w:cs="宋体"/>
                <w:i w:val="0"/>
                <w:iCs w:val="0"/>
                <w:color w:val="000000"/>
                <w:kern w:val="0"/>
                <w:sz w:val="13"/>
                <w:szCs w:val="13"/>
                <w:highlight w:val="none"/>
                <w:u w:val="none"/>
                <w:lang w:val="en-US" w:eastAsia="zh-CN" w:bidi="ar"/>
              </w:rPr>
              <w:t>雾化桌</w:t>
            </w:r>
          </w:p>
        </w:tc>
        <w:tc>
          <w:tcPr>
            <w:tcW w:w="772" w:type="dxa"/>
            <w:shd w:val="clear" w:color="auto" w:fill="FFFF00"/>
            <w:vAlign w:val="center"/>
          </w:tcPr>
          <w:p w14:paraId="0779142C">
            <w:pPr>
              <w:keepNext w:val="0"/>
              <w:keepLines w:val="0"/>
              <w:widowControl/>
              <w:suppressLineNumbers w:val="0"/>
              <w:jc w:val="center"/>
              <w:textAlignment w:val="center"/>
              <w:rPr>
                <w:rFonts w:hint="eastAsia" w:ascii="宋体" w:hAnsi="宋体" w:eastAsia="宋体" w:cs="宋体"/>
                <w:i w:val="0"/>
                <w:iCs w:val="0"/>
                <w:color w:val="000000"/>
                <w:kern w:val="0"/>
                <w:sz w:val="13"/>
                <w:szCs w:val="13"/>
                <w:highlight w:val="none"/>
                <w:u w:val="none"/>
                <w:lang w:val="en-US" w:eastAsia="zh-CN" w:bidi="ar"/>
              </w:rPr>
            </w:pPr>
            <w:r>
              <w:rPr>
                <w:rFonts w:hint="eastAsia" w:ascii="宋体" w:hAnsi="宋体" w:eastAsia="宋体" w:cs="宋体"/>
                <w:i w:val="0"/>
                <w:iCs w:val="0"/>
                <w:color w:val="000000"/>
                <w:kern w:val="0"/>
                <w:sz w:val="13"/>
                <w:szCs w:val="13"/>
                <w:highlight w:val="none"/>
                <w:u w:val="none"/>
                <w:lang w:val="en-US" w:eastAsia="zh-CN" w:bidi="ar"/>
              </w:rPr>
              <w:t>800*600*1800</w:t>
            </w:r>
          </w:p>
        </w:tc>
        <w:tc>
          <w:tcPr>
            <w:tcW w:w="866" w:type="dxa"/>
            <w:shd w:val="clear" w:color="auto" w:fill="FFFF00"/>
            <w:noWrap/>
            <w:vAlign w:val="center"/>
          </w:tcPr>
          <w:p w14:paraId="0761D23C">
            <w:pPr>
              <w:keepNext w:val="0"/>
              <w:keepLines w:val="0"/>
              <w:widowControl/>
              <w:suppressLineNumbers w:val="0"/>
              <w:jc w:val="center"/>
              <w:textAlignment w:val="center"/>
              <w:rPr>
                <w:rFonts w:hint="eastAsia" w:ascii="宋体" w:hAnsi="宋体" w:eastAsia="宋体" w:cs="宋体"/>
                <w:i w:val="0"/>
                <w:iCs w:val="0"/>
                <w:color w:val="000000"/>
                <w:kern w:val="0"/>
                <w:sz w:val="13"/>
                <w:szCs w:val="13"/>
                <w:highlight w:val="none"/>
                <w:u w:val="none"/>
                <w:lang w:val="en-US" w:eastAsia="zh-CN" w:bidi="ar"/>
              </w:rPr>
            </w:pPr>
            <w:r>
              <w:rPr>
                <w:rFonts w:hint="eastAsia" w:ascii="宋体" w:hAnsi="宋体" w:eastAsia="宋体" w:cs="宋体"/>
                <w:i w:val="0"/>
                <w:iCs w:val="0"/>
                <w:color w:val="000000"/>
                <w:kern w:val="0"/>
                <w:sz w:val="13"/>
                <w:szCs w:val="13"/>
                <w:highlight w:val="none"/>
                <w:u w:val="none"/>
                <w:lang w:val="en-US" w:eastAsia="zh-CN" w:bidi="ar"/>
              </w:rPr>
              <w:t>12</w:t>
            </w:r>
          </w:p>
        </w:tc>
        <w:tc>
          <w:tcPr>
            <w:tcW w:w="377" w:type="dxa"/>
            <w:shd w:val="clear" w:color="auto" w:fill="FFFF00"/>
            <w:noWrap/>
            <w:vAlign w:val="center"/>
          </w:tcPr>
          <w:p w14:paraId="21924DDF">
            <w:pPr>
              <w:keepNext w:val="0"/>
              <w:keepLines w:val="0"/>
              <w:widowControl/>
              <w:suppressLineNumbers w:val="0"/>
              <w:jc w:val="center"/>
              <w:textAlignment w:val="center"/>
              <w:rPr>
                <w:rFonts w:hint="eastAsia" w:ascii="宋体" w:hAnsi="宋体" w:eastAsia="宋体" w:cs="宋体"/>
                <w:i w:val="0"/>
                <w:iCs w:val="0"/>
                <w:color w:val="000000"/>
                <w:kern w:val="0"/>
                <w:sz w:val="13"/>
                <w:szCs w:val="13"/>
                <w:highlight w:val="none"/>
                <w:u w:val="none"/>
                <w:lang w:val="en-US" w:eastAsia="zh-CN" w:bidi="ar"/>
              </w:rPr>
            </w:pPr>
            <w:r>
              <w:rPr>
                <w:rFonts w:hint="eastAsia" w:ascii="宋体" w:hAnsi="宋体" w:eastAsia="宋体" w:cs="宋体"/>
                <w:i w:val="0"/>
                <w:iCs w:val="0"/>
                <w:color w:val="000000"/>
                <w:kern w:val="0"/>
                <w:sz w:val="13"/>
                <w:szCs w:val="13"/>
                <w:highlight w:val="none"/>
                <w:u w:val="none"/>
                <w:lang w:val="en-US" w:eastAsia="zh-CN" w:bidi="ar"/>
              </w:rPr>
              <w:t>张</w:t>
            </w:r>
          </w:p>
        </w:tc>
        <w:tc>
          <w:tcPr>
            <w:tcW w:w="1470" w:type="dxa"/>
            <w:shd w:val="clear" w:color="auto" w:fill="FFFF00"/>
            <w:noWrap/>
            <w:vAlign w:val="center"/>
          </w:tcPr>
          <w:p w14:paraId="15385249">
            <w:pPr>
              <w:keepNext w:val="0"/>
              <w:keepLines w:val="0"/>
              <w:widowControl/>
              <w:suppressLineNumbers w:val="0"/>
              <w:jc w:val="center"/>
              <w:textAlignment w:val="center"/>
              <w:rPr>
                <w:rFonts w:hint="eastAsia" w:ascii="宋体" w:hAnsi="宋体" w:eastAsia="宋体" w:cs="宋体"/>
                <w:i w:val="0"/>
                <w:iCs w:val="0"/>
                <w:color w:val="000000"/>
                <w:kern w:val="0"/>
                <w:sz w:val="13"/>
                <w:szCs w:val="13"/>
                <w:highlight w:val="none"/>
                <w:u w:val="none"/>
                <w:shd w:val="clear" w:fill="FFFF00"/>
                <w:lang w:val="en-US" w:eastAsia="zh-CN" w:bidi="ar"/>
              </w:rPr>
            </w:pPr>
            <w:r>
              <w:rPr>
                <w:rFonts w:hint="eastAsia" w:ascii="宋体" w:hAnsi="宋体" w:eastAsia="宋体" w:cs="宋体"/>
                <w:i w:val="0"/>
                <w:iCs w:val="0"/>
                <w:color w:val="000000"/>
                <w:kern w:val="0"/>
                <w:sz w:val="13"/>
                <w:szCs w:val="13"/>
                <w:highlight w:val="none"/>
                <w:u w:val="none"/>
                <w:bdr w:val="single" w:color="000000" w:sz="4" w:space="0"/>
                <w:shd w:val="clear" w:fill="FFFF00"/>
                <w:lang w:val="en-US" w:eastAsia="zh-CN" w:bidi="ar"/>
              </w:rPr>
              <w:drawing>
                <wp:anchor distT="0" distB="0" distL="114300" distR="114300" simplePos="0" relativeHeight="251673600" behindDoc="0" locked="0" layoutInCell="1" allowOverlap="1">
                  <wp:simplePos x="0" y="0"/>
                  <wp:positionH relativeFrom="column">
                    <wp:posOffset>121920</wp:posOffset>
                  </wp:positionH>
                  <wp:positionV relativeFrom="paragraph">
                    <wp:posOffset>706755</wp:posOffset>
                  </wp:positionV>
                  <wp:extent cx="771525" cy="619125"/>
                  <wp:effectExtent l="0" t="0" r="9525" b="9525"/>
                  <wp:wrapNone/>
                  <wp:docPr id="62" name="图片_24"/>
                  <wp:cNvGraphicFramePr/>
                  <a:graphic xmlns:a="http://schemas.openxmlformats.org/drawingml/2006/main">
                    <a:graphicData uri="http://schemas.openxmlformats.org/drawingml/2006/picture">
                      <pic:pic xmlns:pic="http://schemas.openxmlformats.org/drawingml/2006/picture">
                        <pic:nvPicPr>
                          <pic:cNvPr id="62" name="图片_24"/>
                          <pic:cNvPicPr/>
                        </pic:nvPicPr>
                        <pic:blipFill>
                          <a:blip r:embed="rId26"/>
                          <a:stretch>
                            <a:fillRect/>
                          </a:stretch>
                        </pic:blipFill>
                        <pic:spPr>
                          <a:xfrm>
                            <a:off x="0" y="0"/>
                            <a:ext cx="771525" cy="619125"/>
                          </a:xfrm>
                          <a:prstGeom prst="rect">
                            <a:avLst/>
                          </a:prstGeom>
                          <a:noFill/>
                          <a:ln>
                            <a:noFill/>
                          </a:ln>
                        </pic:spPr>
                      </pic:pic>
                    </a:graphicData>
                  </a:graphic>
                </wp:anchor>
              </w:drawing>
            </w:r>
          </w:p>
        </w:tc>
        <w:tc>
          <w:tcPr>
            <w:tcW w:w="4990" w:type="dxa"/>
            <w:shd w:val="clear" w:color="auto" w:fill="FFFF00"/>
            <w:vAlign w:val="center"/>
          </w:tcPr>
          <w:p w14:paraId="0E5452A1">
            <w:pPr>
              <w:keepNext w:val="0"/>
              <w:keepLines w:val="0"/>
              <w:widowControl/>
              <w:suppressLineNumbers w:val="0"/>
              <w:jc w:val="left"/>
              <w:textAlignment w:val="center"/>
              <w:rPr>
                <w:rFonts w:hint="eastAsia" w:ascii="宋体" w:hAnsi="宋体" w:eastAsia="宋体" w:cs="宋体"/>
                <w:i w:val="0"/>
                <w:iCs w:val="0"/>
                <w:color w:val="000000"/>
                <w:kern w:val="0"/>
                <w:sz w:val="13"/>
                <w:szCs w:val="13"/>
                <w:highlight w:val="none"/>
                <w:u w:val="none"/>
                <w:lang w:val="en-US" w:eastAsia="zh-CN" w:bidi="ar"/>
              </w:rPr>
            </w:pPr>
            <w:r>
              <w:rPr>
                <w:rFonts w:hint="eastAsia" w:ascii="宋体" w:hAnsi="宋体" w:eastAsia="宋体" w:cs="宋体"/>
                <w:i w:val="0"/>
                <w:iCs w:val="0"/>
                <w:color w:val="000000"/>
                <w:kern w:val="0"/>
                <w:sz w:val="13"/>
                <w:szCs w:val="13"/>
                <w:highlight w:val="none"/>
                <w:u w:val="none"/>
                <w:lang w:val="en-US" w:eastAsia="zh-CN" w:bidi="ar"/>
              </w:rPr>
              <w:t>1、木质雾化桌，造型设计，桌面厚度25mm，其它部位厚度按造型适合设计，含配套凳子，不含设备/设备带，电子屏。中标后按用户需求设计订制。</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2、基材：采用E0级中密度纤维板，经过防虫、防腐等化学处理，持久不变形。</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3、油漆（面漆、底漆）：采用优质水性漆，五底三面十二道工序，安全环保无害。</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 xml:space="preserve">中密度纤维板；需符合GB 18580或同类相关检测标准；检测内容包括但不限于：①规格尺寸及其偏差：长度偏差、宽度偏差、厚度偏差、垂直度偏差、板内密度偏差、密度、含水率、静曲强度、弹性模量、内胶合强度、24h吸水厚度膨胀率，均合格；②甲醛释放量≤0.065mg/m³；③挥发性有机化合物 (72h)：（苯未检出、 甲苯≤8ug/m³、 二甲苯≤8ug/m³、总挥发性有机化合物（TVOC）≤73ug/m³）均合格；④萘释放浓度≤2.8ug/m³；⑤气味等级，1级；⑥净化效率(甲醛)≥88.7%；⑦抗菌性能，抗菌率≥99.99%；                                                                                        涂料；需符合GB 18581或同类相关检测标准；检测内容包括但不限于：①乙二醇醚及醚酯总和含量≤100mg/kg；②抗流挂性≥250um，附着力(拉开法)≥1.8MPa，耐热性(23℃±2℃，16h)涂膜无开裂、无脱落允许轻微变色，净化效率(甲醛)≥81.3%，流出时间≥177s；③密度≥1.333g/mL，漆膜硬度≥0.24，耐弯曲性：3mm试验后，试板1漆膜无开裂，无从底板上剥落;试板2漆膜无开裂，无从底板上剥落，耐液体介质(水2d)无异常，对比率≥0.96；                                                             </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 xml:space="preserve"> </w:t>
            </w:r>
          </w:p>
        </w:tc>
      </w:tr>
      <w:tr w14:paraId="5D02D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635" w:type="dxa"/>
            <w:shd w:val="clear" w:color="auto" w:fill="FFFF00"/>
            <w:noWrap/>
            <w:vAlign w:val="center"/>
          </w:tcPr>
          <w:p w14:paraId="6FC14841">
            <w:pPr>
              <w:keepNext w:val="0"/>
              <w:keepLines w:val="0"/>
              <w:widowControl/>
              <w:suppressLineNumbers w:val="0"/>
              <w:jc w:val="center"/>
              <w:textAlignment w:val="center"/>
              <w:rPr>
                <w:rFonts w:hint="eastAsia" w:ascii="宋体" w:hAnsi="宋体" w:eastAsia="宋体" w:cs="宋体"/>
                <w:i w:val="0"/>
                <w:iCs w:val="0"/>
                <w:color w:val="000000"/>
                <w:kern w:val="0"/>
                <w:sz w:val="13"/>
                <w:szCs w:val="13"/>
                <w:highlight w:val="none"/>
                <w:u w:val="none"/>
                <w:lang w:val="en-US" w:eastAsia="zh-CN" w:bidi="ar"/>
              </w:rPr>
            </w:pPr>
            <w:r>
              <w:rPr>
                <w:rFonts w:hint="eastAsia" w:ascii="宋体" w:hAnsi="宋体" w:eastAsia="宋体" w:cs="宋体"/>
                <w:i w:val="0"/>
                <w:iCs w:val="0"/>
                <w:color w:val="000000"/>
                <w:kern w:val="0"/>
                <w:sz w:val="13"/>
                <w:szCs w:val="13"/>
                <w:highlight w:val="none"/>
                <w:u w:val="none"/>
                <w:lang w:val="en-US" w:eastAsia="zh-CN" w:bidi="ar"/>
              </w:rPr>
              <w:t>导医台</w:t>
            </w:r>
          </w:p>
        </w:tc>
        <w:tc>
          <w:tcPr>
            <w:tcW w:w="772" w:type="dxa"/>
            <w:shd w:val="clear" w:color="auto" w:fill="FFFF00"/>
            <w:vAlign w:val="center"/>
          </w:tcPr>
          <w:p w14:paraId="6FC222E1">
            <w:pPr>
              <w:keepNext w:val="0"/>
              <w:keepLines w:val="0"/>
              <w:widowControl/>
              <w:suppressLineNumbers w:val="0"/>
              <w:jc w:val="center"/>
              <w:textAlignment w:val="center"/>
              <w:rPr>
                <w:rFonts w:hint="eastAsia" w:ascii="宋体" w:hAnsi="宋体" w:eastAsia="宋体" w:cs="宋体"/>
                <w:i w:val="0"/>
                <w:iCs w:val="0"/>
                <w:color w:val="000000"/>
                <w:kern w:val="0"/>
                <w:sz w:val="13"/>
                <w:szCs w:val="13"/>
                <w:highlight w:val="none"/>
                <w:u w:val="none"/>
                <w:lang w:val="en-US" w:eastAsia="zh-CN" w:bidi="ar"/>
              </w:rPr>
            </w:pPr>
            <w:r>
              <w:rPr>
                <w:rFonts w:hint="eastAsia" w:ascii="宋体" w:hAnsi="宋体" w:eastAsia="宋体" w:cs="宋体"/>
                <w:i w:val="0"/>
                <w:iCs w:val="0"/>
                <w:color w:val="000000"/>
                <w:kern w:val="0"/>
                <w:sz w:val="13"/>
                <w:szCs w:val="13"/>
                <w:highlight w:val="none"/>
                <w:u w:val="none"/>
                <w:lang w:val="en-US" w:eastAsia="zh-CN" w:bidi="ar"/>
              </w:rPr>
              <w:t>750D*1050H</w:t>
            </w:r>
          </w:p>
        </w:tc>
        <w:tc>
          <w:tcPr>
            <w:tcW w:w="866" w:type="dxa"/>
            <w:shd w:val="clear" w:color="auto" w:fill="FFFF00"/>
            <w:noWrap/>
            <w:vAlign w:val="center"/>
          </w:tcPr>
          <w:p w14:paraId="714C920C">
            <w:pPr>
              <w:keepNext w:val="0"/>
              <w:keepLines w:val="0"/>
              <w:widowControl/>
              <w:suppressLineNumbers w:val="0"/>
              <w:jc w:val="center"/>
              <w:textAlignment w:val="center"/>
              <w:rPr>
                <w:rFonts w:hint="eastAsia" w:ascii="宋体" w:hAnsi="宋体" w:eastAsia="宋体" w:cs="宋体"/>
                <w:i w:val="0"/>
                <w:iCs w:val="0"/>
                <w:color w:val="000000"/>
                <w:kern w:val="0"/>
                <w:sz w:val="13"/>
                <w:szCs w:val="13"/>
                <w:highlight w:val="none"/>
                <w:u w:val="none"/>
                <w:lang w:val="en-US" w:eastAsia="zh-CN" w:bidi="ar"/>
              </w:rPr>
            </w:pPr>
            <w:r>
              <w:rPr>
                <w:rFonts w:hint="eastAsia" w:ascii="宋体" w:hAnsi="宋体" w:eastAsia="宋体" w:cs="宋体"/>
                <w:i w:val="0"/>
                <w:iCs w:val="0"/>
                <w:color w:val="000000"/>
                <w:kern w:val="0"/>
                <w:sz w:val="13"/>
                <w:szCs w:val="13"/>
                <w:highlight w:val="none"/>
                <w:u w:val="none"/>
                <w:lang w:val="en-US" w:eastAsia="zh-CN" w:bidi="ar"/>
              </w:rPr>
              <w:t>13.6</w:t>
            </w:r>
          </w:p>
        </w:tc>
        <w:tc>
          <w:tcPr>
            <w:tcW w:w="377" w:type="dxa"/>
            <w:shd w:val="clear" w:color="auto" w:fill="FFFF00"/>
            <w:noWrap/>
            <w:vAlign w:val="center"/>
          </w:tcPr>
          <w:p w14:paraId="7E6C25BE">
            <w:pPr>
              <w:keepNext w:val="0"/>
              <w:keepLines w:val="0"/>
              <w:widowControl/>
              <w:suppressLineNumbers w:val="0"/>
              <w:jc w:val="center"/>
              <w:textAlignment w:val="center"/>
              <w:rPr>
                <w:rFonts w:hint="eastAsia" w:ascii="宋体" w:hAnsi="宋体" w:eastAsia="宋体" w:cs="宋体"/>
                <w:i w:val="0"/>
                <w:iCs w:val="0"/>
                <w:color w:val="000000"/>
                <w:kern w:val="0"/>
                <w:sz w:val="13"/>
                <w:szCs w:val="13"/>
                <w:highlight w:val="none"/>
                <w:u w:val="none"/>
                <w:lang w:val="en-US" w:eastAsia="zh-CN" w:bidi="ar"/>
              </w:rPr>
            </w:pPr>
            <w:r>
              <w:rPr>
                <w:rFonts w:hint="eastAsia" w:ascii="宋体" w:hAnsi="宋体" w:eastAsia="宋体" w:cs="宋体"/>
                <w:i w:val="0"/>
                <w:iCs w:val="0"/>
                <w:color w:val="000000"/>
                <w:kern w:val="0"/>
                <w:sz w:val="13"/>
                <w:szCs w:val="13"/>
                <w:highlight w:val="none"/>
                <w:u w:val="none"/>
                <w:lang w:val="en-US" w:eastAsia="zh-CN" w:bidi="ar"/>
              </w:rPr>
              <w:t>米</w:t>
            </w:r>
          </w:p>
        </w:tc>
        <w:tc>
          <w:tcPr>
            <w:tcW w:w="1470" w:type="dxa"/>
            <w:shd w:val="clear" w:color="auto" w:fill="FFFF00"/>
            <w:noWrap/>
            <w:vAlign w:val="center"/>
          </w:tcPr>
          <w:p w14:paraId="56323739">
            <w:pPr>
              <w:keepNext w:val="0"/>
              <w:keepLines w:val="0"/>
              <w:widowControl/>
              <w:suppressLineNumbers w:val="0"/>
              <w:jc w:val="center"/>
              <w:textAlignment w:val="center"/>
              <w:rPr>
                <w:rFonts w:hint="eastAsia" w:ascii="宋体" w:hAnsi="宋体" w:eastAsia="宋体" w:cs="宋体"/>
                <w:i w:val="0"/>
                <w:iCs w:val="0"/>
                <w:color w:val="000000"/>
                <w:kern w:val="0"/>
                <w:sz w:val="13"/>
                <w:szCs w:val="13"/>
                <w:highlight w:val="none"/>
                <w:u w:val="none"/>
                <w:bdr w:val="single" w:color="000000" w:sz="4" w:space="0"/>
                <w:shd w:val="clear" w:fill="FFFF00"/>
                <w:lang w:val="en-US" w:eastAsia="zh-CN" w:bidi="ar"/>
              </w:rPr>
            </w:pPr>
            <w:r>
              <w:rPr>
                <w:rFonts w:hint="eastAsia" w:ascii="宋体" w:hAnsi="宋体" w:eastAsia="宋体" w:cs="宋体"/>
                <w:i w:val="0"/>
                <w:iCs w:val="0"/>
                <w:color w:val="000000"/>
                <w:kern w:val="0"/>
                <w:sz w:val="13"/>
                <w:szCs w:val="13"/>
                <w:highlight w:val="none"/>
                <w:u w:val="none"/>
                <w:bdr w:val="single" w:color="000000" w:sz="4" w:space="0"/>
                <w:shd w:val="clear" w:fill="FFFF00"/>
                <w:lang w:val="en-US" w:eastAsia="zh-CN" w:bidi="ar"/>
              </w:rPr>
              <w:drawing>
                <wp:anchor distT="0" distB="0" distL="114300" distR="114300" simplePos="0" relativeHeight="251674624" behindDoc="0" locked="0" layoutInCell="1" allowOverlap="1">
                  <wp:simplePos x="0" y="0"/>
                  <wp:positionH relativeFrom="column">
                    <wp:posOffset>149225</wp:posOffset>
                  </wp:positionH>
                  <wp:positionV relativeFrom="paragraph">
                    <wp:posOffset>1975485</wp:posOffset>
                  </wp:positionV>
                  <wp:extent cx="645160" cy="436245"/>
                  <wp:effectExtent l="0" t="0" r="2540" b="1905"/>
                  <wp:wrapNone/>
                  <wp:docPr id="69" name="图片_143"/>
                  <wp:cNvGraphicFramePr/>
                  <a:graphic xmlns:a="http://schemas.openxmlformats.org/drawingml/2006/main">
                    <a:graphicData uri="http://schemas.openxmlformats.org/drawingml/2006/picture">
                      <pic:pic xmlns:pic="http://schemas.openxmlformats.org/drawingml/2006/picture">
                        <pic:nvPicPr>
                          <pic:cNvPr id="69" name="图片_143"/>
                          <pic:cNvPicPr/>
                        </pic:nvPicPr>
                        <pic:blipFill>
                          <a:blip r:embed="rId27"/>
                          <a:stretch>
                            <a:fillRect/>
                          </a:stretch>
                        </pic:blipFill>
                        <pic:spPr>
                          <a:xfrm>
                            <a:off x="0" y="0"/>
                            <a:ext cx="645160" cy="436245"/>
                          </a:xfrm>
                          <a:prstGeom prst="rect">
                            <a:avLst/>
                          </a:prstGeom>
                          <a:noFill/>
                          <a:ln>
                            <a:noFill/>
                          </a:ln>
                        </pic:spPr>
                      </pic:pic>
                    </a:graphicData>
                  </a:graphic>
                </wp:anchor>
              </w:drawing>
            </w:r>
          </w:p>
        </w:tc>
        <w:tc>
          <w:tcPr>
            <w:tcW w:w="4990" w:type="dxa"/>
            <w:shd w:val="clear" w:color="auto" w:fill="FFFF00"/>
            <w:vAlign w:val="center"/>
          </w:tcPr>
          <w:p w14:paraId="408B1730">
            <w:pPr>
              <w:keepNext w:val="0"/>
              <w:keepLines w:val="0"/>
              <w:widowControl/>
              <w:suppressLineNumbers w:val="0"/>
              <w:jc w:val="left"/>
              <w:textAlignment w:val="center"/>
              <w:rPr>
                <w:rFonts w:hint="eastAsia" w:ascii="宋体" w:hAnsi="宋体" w:eastAsia="宋体" w:cs="宋体"/>
                <w:i w:val="0"/>
                <w:iCs w:val="0"/>
                <w:color w:val="000000"/>
                <w:kern w:val="0"/>
                <w:sz w:val="13"/>
                <w:szCs w:val="13"/>
                <w:highlight w:val="none"/>
                <w:u w:val="none"/>
                <w:lang w:val="en-US" w:eastAsia="zh-CN" w:bidi="ar"/>
              </w:rPr>
            </w:pPr>
            <w:r>
              <w:rPr>
                <w:rFonts w:hint="eastAsia" w:ascii="宋体" w:hAnsi="宋体" w:eastAsia="宋体" w:cs="宋体"/>
                <w:i w:val="0"/>
                <w:iCs w:val="0"/>
                <w:color w:val="000000"/>
                <w:kern w:val="0"/>
                <w:sz w:val="13"/>
                <w:szCs w:val="13"/>
                <w:highlight w:val="none"/>
                <w:u w:val="none"/>
                <w:lang w:val="en-US" w:eastAsia="zh-CN" w:bidi="ar"/>
              </w:rPr>
              <w:t>电解钢板柜体，医用复合亚克力人造石台面，304#不锈钢踢脚线，配置主机柜、键盘架、三抽柜、开门柜。主机柜及其它柜门带锁。中标后按用户需求设计订制。</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1、台面采用医用复合亚克力人造石，厚度12mm，台面周边双层加厚及上下双R5圆角处理。具有抗菌、防霉、耐酸碱、耐磨、耐冲击、易清洁等特性；符合医院环境卫生要求；采用无缝拼接工艺。</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 xml:space="preserve">台面板：符合GB/T 32487或同类相同检测标准；检测内容包括但不限于：①塑料件外观（应无裂纹、明显变形、缩水、针孔；应无凹陷、飞边、折皱、疙瘩；应无气泡、杂质、伤痕、白印；表面应光洁，应无划痕、毛刺、拉毛、污渍；应无明显色差）均符合要求；②生物实验台面耐污染不低于1级；③抗菌性能：抑菌率≥99.99%；④抗紫外线性能(测试时间48h)变色：≤4级；                                                                                                                                    </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2、站体：采用1.0MM厚医用喷涂电解钢板。龙骨采用2.0mm厚医用喷涂电解钢板，配加强筋(承重覆盖件结构连接件如筋、梁厚度≥1.2mm厚，立柱厚度≥1.2mm)焊接成700mm-1200mm大小模块，单个模块分上(看台)、中(站体)、下(1.0mm厚304#不锈钢模具冲压整体成型踢脚线)三段，模块间用螺杆串联使得结构稳固，站体上中段可任意喷涂与装修风格相近的颜色；模块中段内部装配活动可拆卸钢挂板，内设强弱电线槽，集中走线，线路明朗不杂乱，便于安装和维护强弱电线路，每个电脑位台面下配5孔插座孔和网络电话插座孔，台面上配5孔插座孔，满足方便工作使用。</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 xml:space="preserve">电解钢板：符合GB/T 3325或同类相关检测标准；检测内容包括但不限于：①金属喷漆(塑)涂层理化性能(冲击强度：冲击高度≥400mm，应无剥落、裂纹、皱纹；耐腐蚀：100h内，观察在溶液中样板上划道两侧3mm以外,应无气泡产生，100h后，检查划道两侧3mm外，应无锈迹、剥落、起皱、变色和失光等现象),均符合要求；附着力:0级，合格；②金属喷漆(塑)涂层硬度≥5H，合格；③洛氏硬度≥67；④抗菌性能：抑菌率≥99.9%。⑤中性盐雾试验≥40小时后，涂层本身耐腐蚀等级10级，涂层对基体保护等级10级；乙酸盐雾试验≥24小时后，涂层本身耐腐蚀等级10级，涂层对基体保护等级10级；铜加速乙酸盐雾（CASS）试验≥40小时后，外观评级10级，保护评级10级；⑥抗拉强度（MPa） 300~320；规定塑性延伸强度（MPa）≥260；断后伸长率≥45%；  </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3、表面处理：采用防腐抗菌喷涂粉末，表面光滑无颗粒，涂层膜厚度均匀，抗菌、防霉、耐酸碱、耐磨、耐撞击，抗腐蚀力强。</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 xml:space="preserve">塑粉：符合HG/T2006、或同类相关检测标准；检测内容包括但不限于：①外观:搅拌混合后无硬块，呈均匀状态；筛余物:全部通过；涂膜外观：正常；胶化时间：≤32S；铅笔硬度≥H，附着力≤0级；耐冲击性：50cm 冲击试验，漆膜无异常；弯曲试验≤3mm；杯突≥5mm；光泽≤45，耐酸性240h 无异常；耐碱性168h无异常；耐沸水性2h 无异常；结论均符合。②抗菌性能：抗细菌率≥99.99%；  </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4、采用304不锈钢缓冲门铰、三节滚珠导轨，静音效果好，开关顺滑，使用寿命长。</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 xml:space="preserve">304不锈钢铰链：符合QB/T 2189或同类相关检测标准；检测内容包括但不限于：①过载：垂直静载荷:20kg,10次。无缺陷、水平静载荷:60N,10次。无缺陷)，符合要求；②功能：操作力：耐久试验前打开力≤8N、耐久试验前关闭力≤6N、耐久试验后打开力≤7N、耐久试验后关闭力≤5N；垂直静载荷：15kg,10次。无缺陷；下沉量：在使用调整系统前，安装B型试验门时，下沉量不应大于1.2mm；③中性盐雾试验≥40h后，涂层本身耐腐蚀等级10级，涂层对基体保护等级10级；④乙酸盐雾试验≥40小时后，涂层本身耐腐蚀等级10级，涂层对基体保护等级10级；⑤铜加速乙酸盐雾（CASS）试验≥40小时后，外观评级10级，保护评级10级；⑥抗菌性能：抑菌率≥99.95%； </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 xml:space="preserve">5、导轨；需符合GB/T 4336或同类相关检测标准；检测内容包括但不限于：①功能（垂直向下静载荷：200N，10次。无缺陷；水平侧向静载荷：100N、各5次。无缺陷；拉出安全性：循环加载10次，无缺陷；猛关或猛开，10次，无缺陷）均符合要求；②铜加速乙酸盐雾（CASS）试验≥40小时后，外观评级10级，保护评级10级；中性盐雾试验≥40小时后，涂层本身耐腐蚀等级10级，涂层对基体保护等级10级；③抗菌性能：抑菌率≥99.93%。 </w:t>
            </w:r>
          </w:p>
        </w:tc>
      </w:tr>
      <w:tr w14:paraId="67D37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635" w:type="dxa"/>
            <w:shd w:val="clear" w:color="auto" w:fill="FFFF00"/>
            <w:noWrap/>
            <w:vAlign w:val="center"/>
          </w:tcPr>
          <w:p w14:paraId="5676F3D3">
            <w:pPr>
              <w:keepNext w:val="0"/>
              <w:keepLines w:val="0"/>
              <w:widowControl/>
              <w:suppressLineNumbers w:val="0"/>
              <w:jc w:val="center"/>
              <w:textAlignment w:val="center"/>
              <w:rPr>
                <w:rFonts w:hint="eastAsia" w:ascii="宋体" w:hAnsi="宋体" w:eastAsia="宋体" w:cs="宋体"/>
                <w:i w:val="0"/>
                <w:iCs w:val="0"/>
                <w:color w:val="000000"/>
                <w:kern w:val="0"/>
                <w:sz w:val="13"/>
                <w:szCs w:val="13"/>
                <w:highlight w:val="none"/>
                <w:u w:val="none"/>
                <w:lang w:val="en-US" w:eastAsia="zh-CN" w:bidi="ar"/>
              </w:rPr>
            </w:pPr>
            <w:r>
              <w:rPr>
                <w:rFonts w:hint="eastAsia" w:ascii="宋体" w:hAnsi="宋体" w:eastAsia="宋体" w:cs="宋体"/>
                <w:i w:val="0"/>
                <w:iCs w:val="0"/>
                <w:color w:val="000000"/>
                <w:kern w:val="0"/>
                <w:sz w:val="13"/>
                <w:szCs w:val="13"/>
                <w:highlight w:val="none"/>
                <w:u w:val="none"/>
                <w:lang w:val="en-US" w:eastAsia="zh-CN" w:bidi="ar"/>
              </w:rPr>
              <w:t>护士站</w:t>
            </w:r>
          </w:p>
        </w:tc>
        <w:tc>
          <w:tcPr>
            <w:tcW w:w="772" w:type="dxa"/>
            <w:shd w:val="clear" w:color="auto" w:fill="FFFF00"/>
            <w:vAlign w:val="center"/>
          </w:tcPr>
          <w:p w14:paraId="13958D4F">
            <w:pPr>
              <w:keepNext w:val="0"/>
              <w:keepLines w:val="0"/>
              <w:widowControl/>
              <w:suppressLineNumbers w:val="0"/>
              <w:jc w:val="center"/>
              <w:textAlignment w:val="center"/>
              <w:rPr>
                <w:rFonts w:hint="eastAsia" w:ascii="宋体" w:hAnsi="宋体" w:eastAsia="宋体" w:cs="宋体"/>
                <w:i w:val="0"/>
                <w:iCs w:val="0"/>
                <w:color w:val="000000"/>
                <w:kern w:val="0"/>
                <w:sz w:val="13"/>
                <w:szCs w:val="13"/>
                <w:highlight w:val="none"/>
                <w:u w:val="none"/>
                <w:lang w:val="en-US" w:eastAsia="zh-CN" w:bidi="ar"/>
              </w:rPr>
            </w:pPr>
            <w:r>
              <w:rPr>
                <w:rFonts w:hint="eastAsia" w:ascii="宋体" w:hAnsi="宋体" w:eastAsia="宋体" w:cs="宋体"/>
                <w:i w:val="0"/>
                <w:iCs w:val="0"/>
                <w:color w:val="000000"/>
                <w:kern w:val="0"/>
                <w:sz w:val="13"/>
                <w:szCs w:val="13"/>
                <w:highlight w:val="none"/>
                <w:u w:val="none"/>
                <w:lang w:val="en-US" w:eastAsia="zh-CN" w:bidi="ar"/>
              </w:rPr>
              <w:t>750D*1050H</w:t>
            </w:r>
          </w:p>
        </w:tc>
        <w:tc>
          <w:tcPr>
            <w:tcW w:w="866" w:type="dxa"/>
            <w:shd w:val="clear" w:color="auto" w:fill="FFFF00"/>
            <w:noWrap/>
            <w:vAlign w:val="center"/>
          </w:tcPr>
          <w:p w14:paraId="4A79DC69">
            <w:pPr>
              <w:keepNext w:val="0"/>
              <w:keepLines w:val="0"/>
              <w:widowControl/>
              <w:suppressLineNumbers w:val="0"/>
              <w:jc w:val="center"/>
              <w:textAlignment w:val="center"/>
              <w:rPr>
                <w:rFonts w:hint="eastAsia" w:ascii="宋体" w:hAnsi="宋体" w:eastAsia="宋体" w:cs="宋体"/>
                <w:i w:val="0"/>
                <w:iCs w:val="0"/>
                <w:color w:val="000000"/>
                <w:kern w:val="0"/>
                <w:sz w:val="13"/>
                <w:szCs w:val="13"/>
                <w:highlight w:val="none"/>
                <w:u w:val="none"/>
                <w:lang w:val="en-US" w:eastAsia="zh-CN" w:bidi="ar"/>
              </w:rPr>
            </w:pPr>
            <w:r>
              <w:rPr>
                <w:rFonts w:hint="eastAsia" w:ascii="宋体" w:hAnsi="宋体" w:eastAsia="宋体" w:cs="宋体"/>
                <w:i w:val="0"/>
                <w:iCs w:val="0"/>
                <w:color w:val="000000"/>
                <w:kern w:val="0"/>
                <w:sz w:val="13"/>
                <w:szCs w:val="13"/>
                <w:highlight w:val="none"/>
                <w:u w:val="none"/>
                <w:lang w:val="en-US" w:eastAsia="zh-CN" w:bidi="ar"/>
              </w:rPr>
              <w:t>63.97</w:t>
            </w:r>
          </w:p>
        </w:tc>
        <w:tc>
          <w:tcPr>
            <w:tcW w:w="377" w:type="dxa"/>
            <w:shd w:val="clear" w:color="auto" w:fill="FFFF00"/>
            <w:noWrap/>
            <w:vAlign w:val="center"/>
          </w:tcPr>
          <w:p w14:paraId="41121F2D">
            <w:pPr>
              <w:keepNext w:val="0"/>
              <w:keepLines w:val="0"/>
              <w:widowControl/>
              <w:suppressLineNumbers w:val="0"/>
              <w:jc w:val="center"/>
              <w:textAlignment w:val="center"/>
              <w:rPr>
                <w:rFonts w:hint="eastAsia" w:ascii="宋体" w:hAnsi="宋体" w:eastAsia="宋体" w:cs="宋体"/>
                <w:i w:val="0"/>
                <w:iCs w:val="0"/>
                <w:color w:val="000000"/>
                <w:kern w:val="0"/>
                <w:sz w:val="13"/>
                <w:szCs w:val="13"/>
                <w:highlight w:val="none"/>
                <w:u w:val="none"/>
                <w:lang w:val="en-US" w:eastAsia="zh-CN" w:bidi="ar"/>
              </w:rPr>
            </w:pPr>
            <w:r>
              <w:rPr>
                <w:rFonts w:hint="eastAsia" w:ascii="宋体" w:hAnsi="宋体" w:eastAsia="宋体" w:cs="宋体"/>
                <w:i w:val="0"/>
                <w:iCs w:val="0"/>
                <w:color w:val="000000"/>
                <w:kern w:val="0"/>
                <w:sz w:val="13"/>
                <w:szCs w:val="13"/>
                <w:highlight w:val="none"/>
                <w:u w:val="none"/>
                <w:lang w:val="en-US" w:eastAsia="zh-CN" w:bidi="ar"/>
              </w:rPr>
              <w:t>米</w:t>
            </w:r>
          </w:p>
        </w:tc>
        <w:tc>
          <w:tcPr>
            <w:tcW w:w="1470" w:type="dxa"/>
            <w:shd w:val="clear" w:color="auto" w:fill="FFFF00"/>
            <w:noWrap/>
            <w:vAlign w:val="center"/>
          </w:tcPr>
          <w:p w14:paraId="2CAA2FAB">
            <w:pPr>
              <w:keepNext w:val="0"/>
              <w:keepLines w:val="0"/>
              <w:widowControl/>
              <w:suppressLineNumbers w:val="0"/>
              <w:jc w:val="center"/>
              <w:textAlignment w:val="center"/>
              <w:rPr>
                <w:rFonts w:hint="eastAsia" w:ascii="宋体" w:hAnsi="宋体" w:eastAsia="宋体" w:cs="宋体"/>
                <w:i w:val="0"/>
                <w:iCs w:val="0"/>
                <w:color w:val="000000"/>
                <w:kern w:val="0"/>
                <w:sz w:val="13"/>
                <w:szCs w:val="13"/>
                <w:highlight w:val="none"/>
                <w:u w:val="none"/>
                <w:bdr w:val="single" w:color="000000" w:sz="4" w:space="0"/>
                <w:shd w:val="clear" w:fill="FFFF00"/>
                <w:lang w:val="en-US" w:eastAsia="zh-CN" w:bidi="ar"/>
              </w:rPr>
            </w:pPr>
            <w:r>
              <w:rPr>
                <w:rFonts w:hint="eastAsia" w:ascii="宋体" w:hAnsi="宋体" w:eastAsia="宋体" w:cs="宋体"/>
                <w:i w:val="0"/>
                <w:iCs w:val="0"/>
                <w:color w:val="000000"/>
                <w:kern w:val="0"/>
                <w:sz w:val="13"/>
                <w:szCs w:val="13"/>
                <w:highlight w:val="none"/>
                <w:u w:val="none"/>
                <w:bdr w:val="single" w:color="000000" w:sz="4" w:space="0"/>
                <w:shd w:val="clear" w:fill="FFFF00"/>
                <w:lang w:val="en-US" w:eastAsia="zh-CN" w:bidi="ar"/>
              </w:rPr>
              <w:drawing>
                <wp:anchor distT="0" distB="0" distL="114300" distR="114300" simplePos="0" relativeHeight="251675648" behindDoc="0" locked="0" layoutInCell="1" allowOverlap="1">
                  <wp:simplePos x="0" y="0"/>
                  <wp:positionH relativeFrom="column">
                    <wp:posOffset>133985</wp:posOffset>
                  </wp:positionH>
                  <wp:positionV relativeFrom="paragraph">
                    <wp:posOffset>2049780</wp:posOffset>
                  </wp:positionV>
                  <wp:extent cx="704850" cy="205740"/>
                  <wp:effectExtent l="0" t="0" r="0" b="3810"/>
                  <wp:wrapNone/>
                  <wp:docPr id="70" name="图片_144"/>
                  <wp:cNvGraphicFramePr/>
                  <a:graphic xmlns:a="http://schemas.openxmlformats.org/drawingml/2006/main">
                    <a:graphicData uri="http://schemas.openxmlformats.org/drawingml/2006/picture">
                      <pic:pic xmlns:pic="http://schemas.openxmlformats.org/drawingml/2006/picture">
                        <pic:nvPicPr>
                          <pic:cNvPr id="70" name="图片_144"/>
                          <pic:cNvPicPr/>
                        </pic:nvPicPr>
                        <pic:blipFill>
                          <a:blip r:embed="rId28"/>
                          <a:stretch>
                            <a:fillRect/>
                          </a:stretch>
                        </pic:blipFill>
                        <pic:spPr>
                          <a:xfrm>
                            <a:off x="0" y="0"/>
                            <a:ext cx="704850" cy="205740"/>
                          </a:xfrm>
                          <a:prstGeom prst="rect">
                            <a:avLst/>
                          </a:prstGeom>
                          <a:noFill/>
                          <a:ln>
                            <a:noFill/>
                          </a:ln>
                        </pic:spPr>
                      </pic:pic>
                    </a:graphicData>
                  </a:graphic>
                </wp:anchor>
              </w:drawing>
            </w:r>
          </w:p>
        </w:tc>
        <w:tc>
          <w:tcPr>
            <w:tcW w:w="4990" w:type="dxa"/>
            <w:shd w:val="clear" w:color="auto" w:fill="FFFF00"/>
            <w:vAlign w:val="center"/>
          </w:tcPr>
          <w:p w14:paraId="38AAD904">
            <w:pPr>
              <w:keepNext w:val="0"/>
              <w:keepLines w:val="0"/>
              <w:widowControl/>
              <w:suppressLineNumbers w:val="0"/>
              <w:jc w:val="left"/>
              <w:textAlignment w:val="center"/>
              <w:rPr>
                <w:rFonts w:hint="eastAsia" w:ascii="宋体" w:hAnsi="宋体" w:eastAsia="宋体" w:cs="宋体"/>
                <w:i w:val="0"/>
                <w:iCs w:val="0"/>
                <w:color w:val="000000"/>
                <w:kern w:val="0"/>
                <w:sz w:val="13"/>
                <w:szCs w:val="13"/>
                <w:highlight w:val="none"/>
                <w:u w:val="none"/>
                <w:lang w:val="en-US" w:eastAsia="zh-CN" w:bidi="ar"/>
              </w:rPr>
            </w:pPr>
            <w:r>
              <w:rPr>
                <w:rFonts w:hint="eastAsia" w:ascii="宋体" w:hAnsi="宋体" w:eastAsia="宋体" w:cs="宋体"/>
                <w:i w:val="0"/>
                <w:iCs w:val="0"/>
                <w:color w:val="000000"/>
                <w:kern w:val="0"/>
                <w:sz w:val="13"/>
                <w:szCs w:val="13"/>
                <w:highlight w:val="none"/>
                <w:u w:val="none"/>
                <w:lang w:val="en-US" w:eastAsia="zh-CN" w:bidi="ar"/>
              </w:rPr>
              <w:t>电解钢板柜体，医用复合亚克力人造石台面，304#不锈钢踢脚线，配置主机柜、键盘架、三抽柜、开门柜。主机柜及其它柜门带锁。中标后按用户需求设计订制。</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1、台面采用医用复合亚克力人造石，厚度12mm，台面周边双层加厚及上下双R5圆角处理。具有抗菌、防霉、耐酸碱、耐磨、耐冲击、易清洁等特性；符合医院环境卫生要求；采用无缝拼接工艺。</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 xml:space="preserve">台面板：符合GB/T 32487或同类相同检测标准；检测内容包括但不限于：①塑料件外观（应无裂纹、明显变形、缩水、针孔；应无凹陷、飞边、折皱、疙瘩；应无气泡、杂质、伤痕、白印；表面应光洁，应无划痕、毛刺、拉毛、污渍；应无明显色差）均符合要求；②生物实验台面耐污染不低于1级；③抗菌性能：抑菌率≥99.99%；④抗紫外线性能(测试时间48h)变色：≤4级；                                                                                                                                    </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2、站体：采用1.0MM厚医用喷涂电解钢板。龙骨采用2.0mm厚医用喷涂电解钢板，配加强筋(承重覆盖件结构连接件如筋、梁厚度≥1.2mm厚，立柱厚度≥1.2mm)焊接成700mm-1200mm大小模块，单个模块分上(看台)、中(站体)、下(1.0mm厚304#不锈钢模具冲压整体成型踢脚线)三段，模块间用螺杆串联使得结构稳固，站体上中段可任意喷涂与装修风格相近的颜色；模块中段内部装配活动可拆卸钢挂板，内设强弱电线槽，集中走线，线路明朗不杂乱，便于安装和维护强弱电线路，每个电脑位台面下配5孔插座孔和网络电话插座孔，台面上配5孔插座孔，满足方便工作使用。</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 xml:space="preserve">电解钢板：符合GB/T 3325或同类相关检测标准；检测内容包括但不限于：①金属喷漆(塑)涂层理化性能(冲击强度：冲击高度≥400mm，应无剥落、裂纹、皱纹；耐腐蚀：100h内，观察在溶液中样板上划道两侧3mm以外,应无气泡产生，100h后，检查划道两侧3mm外，应无锈迹、剥落、起皱、变色和失光等现象),均符合要求；附着力:0级，合格；②金属喷漆(塑)涂层硬度≥5H，合格；③洛氏硬度≥67；④抗菌性能：抑菌率≥99.9%。⑤中性盐雾试验≥40小时后，涂层本身耐腐蚀等级10级，涂层对基体保护等级10级；乙酸盐雾试验≥24小时后，涂层本身耐腐蚀等级10级，涂层对基体保护等级10级；铜加速乙酸盐雾（CASS）试验≥40小时后，外观评级10级，保护评级10级；⑥抗拉强度（MPa） 300~320；规定塑性延伸强度（MPa）≥260；断后伸长率≥45%；  </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3、表面处理：采用防腐抗菌喷涂粉末，表面光滑无颗粒，涂层膜厚度均匀，抗菌、防霉、耐酸碱、耐磨、耐撞击，抗腐蚀力强。</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 xml:space="preserve">塑粉：符合HG/T2006、或同类相关检测标准；检测内容包括但不限于：①外观:搅拌混合后无硬块，呈均匀状态；筛余物:全部通过；涂膜外观：正常；胶化时间：≤32S；铅笔硬度≥H，附着力≤0级；耐冲击性：50cm 冲击试验，漆膜无异常；弯曲试验≤3mm；杯突≥5mm；光泽≤45，耐酸性240h 无异常；耐碱性168h无异常；耐沸水性2h 无异常；结论均符合。②抗菌性能：抗细菌率≥99.99%；  </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4、采用304不锈钢缓冲门铰、三节滚珠导轨，静音效果好，开关顺滑，使用寿命长。</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 xml:space="preserve">304不锈钢铰链：符合QB/T 2189或同类相关检测标准；检测内容包括但不限于：①过载：垂直静载荷:20kg,10次。无缺陷、水平静载荷:60N,10次。无缺陷)，符合要求；②功能：操作力：耐久试验前打开力≤8N、耐久试验前关闭力≤6N、耐久试验后打开力≤7N、耐久试验后关闭力≤5N；垂直静载荷：15kg,10次。无缺陷；下沉量：在使用调整系统前，安装B型试验门时，下沉量不应大于1.2mm；③中性盐雾试验≥40h后，涂层本身耐腐蚀等级10级，涂层对基体保护等级10级；④乙酸盐雾试验≥40小时后，涂层本身耐腐蚀等级10级，涂层对基体保护等级10级；⑤铜加速乙酸盐雾（CASS）试验≥40小时后，外观评级10级，保护评级10级；⑥抗菌性能：抑菌率≥99.95%； </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 xml:space="preserve">5、导轨；需符合GB/T 4336或同类相关检测标准；检测内容包括但不限于：①功能（垂直向下静载荷：200N，10次。无缺陷；水平侧向静载荷：100N、各5次。无缺陷；拉出安全性：循环加载10次，无缺陷；猛关或猛开，10次，无缺陷）均符合要求；②铜加速乙酸盐雾（CASS）试验≥40小时后，外观评级10级，保护评级10级；中性盐雾试验≥40小时后，涂层本身耐腐蚀等级10级，涂层对基体保护等级10级；③抗菌性能：抑菌率≥99.93%。 </w:t>
            </w:r>
          </w:p>
        </w:tc>
      </w:tr>
      <w:tr w14:paraId="4E841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635" w:type="dxa"/>
            <w:shd w:val="clear" w:color="auto" w:fill="FFFF00"/>
            <w:noWrap/>
            <w:vAlign w:val="center"/>
          </w:tcPr>
          <w:p w14:paraId="73A98B9F">
            <w:pPr>
              <w:keepNext w:val="0"/>
              <w:keepLines w:val="0"/>
              <w:widowControl/>
              <w:suppressLineNumbers w:val="0"/>
              <w:jc w:val="center"/>
              <w:textAlignment w:val="center"/>
              <w:rPr>
                <w:rFonts w:hint="eastAsia" w:ascii="宋体" w:hAnsi="宋体" w:eastAsia="宋体" w:cs="宋体"/>
                <w:i w:val="0"/>
                <w:iCs w:val="0"/>
                <w:color w:val="000000"/>
                <w:kern w:val="0"/>
                <w:sz w:val="13"/>
                <w:szCs w:val="13"/>
                <w:highlight w:val="none"/>
                <w:u w:val="none"/>
                <w:lang w:val="en-US" w:eastAsia="zh-CN" w:bidi="ar"/>
              </w:rPr>
            </w:pPr>
            <w:r>
              <w:rPr>
                <w:rFonts w:hint="eastAsia" w:ascii="宋体" w:hAnsi="宋体" w:eastAsia="宋体" w:cs="宋体"/>
                <w:i w:val="0"/>
                <w:iCs w:val="0"/>
                <w:color w:val="000000"/>
                <w:kern w:val="0"/>
                <w:sz w:val="13"/>
                <w:szCs w:val="13"/>
                <w:highlight w:val="none"/>
                <w:u w:val="none"/>
                <w:lang w:val="en-US" w:eastAsia="zh-CN" w:bidi="ar"/>
              </w:rPr>
              <w:t>护士站</w:t>
            </w:r>
          </w:p>
        </w:tc>
        <w:tc>
          <w:tcPr>
            <w:tcW w:w="772" w:type="dxa"/>
            <w:shd w:val="clear" w:color="auto" w:fill="FFFF00"/>
            <w:vAlign w:val="center"/>
          </w:tcPr>
          <w:p w14:paraId="565C85F0">
            <w:pPr>
              <w:keepNext w:val="0"/>
              <w:keepLines w:val="0"/>
              <w:widowControl/>
              <w:suppressLineNumbers w:val="0"/>
              <w:jc w:val="center"/>
              <w:textAlignment w:val="center"/>
              <w:rPr>
                <w:rFonts w:hint="eastAsia" w:ascii="宋体" w:hAnsi="宋体" w:eastAsia="宋体" w:cs="宋体"/>
                <w:i w:val="0"/>
                <w:iCs w:val="0"/>
                <w:color w:val="000000"/>
                <w:kern w:val="0"/>
                <w:sz w:val="13"/>
                <w:szCs w:val="13"/>
                <w:highlight w:val="none"/>
                <w:u w:val="none"/>
                <w:lang w:val="en-US" w:eastAsia="zh-CN" w:bidi="ar"/>
              </w:rPr>
            </w:pPr>
            <w:r>
              <w:rPr>
                <w:rFonts w:hint="eastAsia" w:ascii="宋体" w:hAnsi="宋体" w:eastAsia="宋体" w:cs="宋体"/>
                <w:i w:val="0"/>
                <w:iCs w:val="0"/>
                <w:color w:val="000000"/>
                <w:kern w:val="0"/>
                <w:sz w:val="13"/>
                <w:szCs w:val="13"/>
                <w:highlight w:val="none"/>
                <w:u w:val="none"/>
                <w:lang w:val="en-US" w:eastAsia="zh-CN" w:bidi="ar"/>
              </w:rPr>
              <w:t>750D*1050H</w:t>
            </w:r>
          </w:p>
        </w:tc>
        <w:tc>
          <w:tcPr>
            <w:tcW w:w="866" w:type="dxa"/>
            <w:shd w:val="clear" w:color="auto" w:fill="FFFF00"/>
            <w:noWrap/>
            <w:vAlign w:val="center"/>
          </w:tcPr>
          <w:p w14:paraId="674100B3">
            <w:pPr>
              <w:keepNext w:val="0"/>
              <w:keepLines w:val="0"/>
              <w:widowControl/>
              <w:suppressLineNumbers w:val="0"/>
              <w:jc w:val="center"/>
              <w:textAlignment w:val="center"/>
              <w:rPr>
                <w:rFonts w:hint="eastAsia" w:ascii="宋体" w:hAnsi="宋体" w:eastAsia="宋体" w:cs="宋体"/>
                <w:i w:val="0"/>
                <w:iCs w:val="0"/>
                <w:color w:val="000000"/>
                <w:kern w:val="0"/>
                <w:sz w:val="13"/>
                <w:szCs w:val="13"/>
                <w:highlight w:val="none"/>
                <w:u w:val="none"/>
                <w:lang w:val="en-US" w:eastAsia="zh-CN" w:bidi="ar"/>
              </w:rPr>
            </w:pPr>
            <w:r>
              <w:rPr>
                <w:rFonts w:hint="eastAsia" w:ascii="宋体" w:hAnsi="宋体" w:eastAsia="宋体" w:cs="宋体"/>
                <w:i w:val="0"/>
                <w:iCs w:val="0"/>
                <w:color w:val="000000"/>
                <w:kern w:val="0"/>
                <w:sz w:val="13"/>
                <w:szCs w:val="13"/>
                <w:highlight w:val="none"/>
                <w:u w:val="none"/>
                <w:lang w:val="en-US" w:eastAsia="zh-CN" w:bidi="ar"/>
              </w:rPr>
              <w:t>3.6</w:t>
            </w:r>
          </w:p>
        </w:tc>
        <w:tc>
          <w:tcPr>
            <w:tcW w:w="377" w:type="dxa"/>
            <w:shd w:val="clear" w:color="auto" w:fill="FFFF00"/>
            <w:noWrap/>
            <w:vAlign w:val="center"/>
          </w:tcPr>
          <w:p w14:paraId="781714E0">
            <w:pPr>
              <w:keepNext w:val="0"/>
              <w:keepLines w:val="0"/>
              <w:widowControl/>
              <w:suppressLineNumbers w:val="0"/>
              <w:jc w:val="center"/>
              <w:textAlignment w:val="center"/>
              <w:rPr>
                <w:rFonts w:hint="eastAsia" w:ascii="宋体" w:hAnsi="宋体" w:eastAsia="宋体" w:cs="宋体"/>
                <w:i w:val="0"/>
                <w:iCs w:val="0"/>
                <w:color w:val="000000"/>
                <w:kern w:val="0"/>
                <w:sz w:val="13"/>
                <w:szCs w:val="13"/>
                <w:highlight w:val="none"/>
                <w:u w:val="none"/>
                <w:lang w:val="en-US" w:eastAsia="zh-CN" w:bidi="ar"/>
              </w:rPr>
            </w:pPr>
            <w:r>
              <w:rPr>
                <w:rFonts w:hint="eastAsia" w:ascii="宋体" w:hAnsi="宋体" w:eastAsia="宋体" w:cs="宋体"/>
                <w:i w:val="0"/>
                <w:iCs w:val="0"/>
                <w:color w:val="000000"/>
                <w:kern w:val="0"/>
                <w:sz w:val="13"/>
                <w:szCs w:val="13"/>
                <w:highlight w:val="none"/>
                <w:u w:val="none"/>
                <w:lang w:val="en-US" w:eastAsia="zh-CN" w:bidi="ar"/>
              </w:rPr>
              <w:t>米</w:t>
            </w:r>
          </w:p>
        </w:tc>
        <w:tc>
          <w:tcPr>
            <w:tcW w:w="1470" w:type="dxa"/>
            <w:shd w:val="clear" w:color="auto" w:fill="FFFF00"/>
            <w:noWrap/>
            <w:vAlign w:val="center"/>
          </w:tcPr>
          <w:p w14:paraId="6C9E9B51">
            <w:pPr>
              <w:keepNext w:val="0"/>
              <w:keepLines w:val="0"/>
              <w:widowControl/>
              <w:suppressLineNumbers w:val="0"/>
              <w:jc w:val="center"/>
              <w:textAlignment w:val="center"/>
              <w:rPr>
                <w:rFonts w:hint="eastAsia" w:ascii="宋体" w:hAnsi="宋体" w:eastAsia="宋体" w:cs="宋体"/>
                <w:i w:val="0"/>
                <w:iCs w:val="0"/>
                <w:color w:val="000000"/>
                <w:kern w:val="0"/>
                <w:sz w:val="13"/>
                <w:szCs w:val="13"/>
                <w:highlight w:val="none"/>
                <w:u w:val="none"/>
                <w:bdr w:val="single" w:color="000000" w:sz="4" w:space="0"/>
                <w:shd w:val="clear" w:fill="FFFF00"/>
                <w:lang w:val="en-US" w:eastAsia="zh-CN" w:bidi="ar"/>
              </w:rPr>
            </w:pPr>
            <w:r>
              <w:rPr>
                <w:rFonts w:hint="eastAsia" w:ascii="宋体" w:hAnsi="宋体" w:eastAsia="宋体" w:cs="宋体"/>
                <w:i w:val="0"/>
                <w:iCs w:val="0"/>
                <w:color w:val="000000"/>
                <w:kern w:val="0"/>
                <w:sz w:val="13"/>
                <w:szCs w:val="13"/>
                <w:highlight w:val="none"/>
                <w:u w:val="none"/>
                <w:bdr w:val="single" w:color="000000" w:sz="4" w:space="0"/>
                <w:shd w:val="clear" w:fill="FFFF00"/>
                <w:lang w:val="en-US" w:eastAsia="zh-CN" w:bidi="ar"/>
              </w:rPr>
              <w:drawing>
                <wp:anchor distT="0" distB="0" distL="114300" distR="114300" simplePos="0" relativeHeight="251676672" behindDoc="0" locked="0" layoutInCell="1" allowOverlap="1">
                  <wp:simplePos x="0" y="0"/>
                  <wp:positionH relativeFrom="column">
                    <wp:posOffset>152400</wp:posOffset>
                  </wp:positionH>
                  <wp:positionV relativeFrom="paragraph">
                    <wp:posOffset>2051685</wp:posOffset>
                  </wp:positionV>
                  <wp:extent cx="658495" cy="475615"/>
                  <wp:effectExtent l="0" t="0" r="8255" b="635"/>
                  <wp:wrapNone/>
                  <wp:docPr id="71" name="图片_2"/>
                  <wp:cNvGraphicFramePr/>
                  <a:graphic xmlns:a="http://schemas.openxmlformats.org/drawingml/2006/main">
                    <a:graphicData uri="http://schemas.openxmlformats.org/drawingml/2006/picture">
                      <pic:pic xmlns:pic="http://schemas.openxmlformats.org/drawingml/2006/picture">
                        <pic:nvPicPr>
                          <pic:cNvPr id="71" name="图片_2"/>
                          <pic:cNvPicPr/>
                        </pic:nvPicPr>
                        <pic:blipFill>
                          <a:blip r:embed="rId29"/>
                          <a:stretch>
                            <a:fillRect/>
                          </a:stretch>
                        </pic:blipFill>
                        <pic:spPr>
                          <a:xfrm>
                            <a:off x="0" y="0"/>
                            <a:ext cx="658495" cy="475615"/>
                          </a:xfrm>
                          <a:prstGeom prst="rect">
                            <a:avLst/>
                          </a:prstGeom>
                          <a:noFill/>
                          <a:ln>
                            <a:noFill/>
                          </a:ln>
                        </pic:spPr>
                      </pic:pic>
                    </a:graphicData>
                  </a:graphic>
                </wp:anchor>
              </w:drawing>
            </w:r>
          </w:p>
        </w:tc>
        <w:tc>
          <w:tcPr>
            <w:tcW w:w="4990" w:type="dxa"/>
            <w:shd w:val="clear" w:color="auto" w:fill="FFFF00"/>
            <w:vAlign w:val="center"/>
          </w:tcPr>
          <w:p w14:paraId="6D6C430B">
            <w:pPr>
              <w:keepNext w:val="0"/>
              <w:keepLines w:val="0"/>
              <w:widowControl/>
              <w:suppressLineNumbers w:val="0"/>
              <w:jc w:val="left"/>
              <w:textAlignment w:val="center"/>
              <w:rPr>
                <w:rFonts w:hint="eastAsia" w:ascii="宋体" w:hAnsi="宋体" w:eastAsia="宋体" w:cs="宋体"/>
                <w:i w:val="0"/>
                <w:iCs w:val="0"/>
                <w:color w:val="000000"/>
                <w:kern w:val="0"/>
                <w:sz w:val="13"/>
                <w:szCs w:val="13"/>
                <w:highlight w:val="none"/>
                <w:u w:val="none"/>
                <w:lang w:val="en-US" w:eastAsia="zh-CN" w:bidi="ar"/>
              </w:rPr>
            </w:pPr>
            <w:r>
              <w:rPr>
                <w:rFonts w:hint="eastAsia" w:ascii="宋体" w:hAnsi="宋体" w:eastAsia="宋体" w:cs="宋体"/>
                <w:i w:val="0"/>
                <w:iCs w:val="0"/>
                <w:color w:val="000000"/>
                <w:kern w:val="0"/>
                <w:sz w:val="13"/>
                <w:szCs w:val="13"/>
                <w:highlight w:val="none"/>
                <w:u w:val="none"/>
                <w:lang w:val="en-US" w:eastAsia="zh-CN" w:bidi="ar"/>
              </w:rPr>
              <w:t>电解钢板柜体，医用复合亚克力人造石台面，304#不锈钢踢脚线，配置主机柜、键盘架、三抽柜、开门柜。主机柜及其它柜门带锁。中标后按用户需求设计订制。</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1、台面采用医用复合亚克力人造石，厚度12mm，台面周边双层加厚及上下双R5圆角处理。具有抗菌、防霉、耐酸碱、耐磨、耐冲击、易清洁等特性；符合医院环境卫生要求；采用无缝拼接工艺。</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 xml:space="preserve">台面板：符合GB/T 32487或同类相同检测标准；检测内容包括但不限于：①塑料件外观（应无裂纹、明显变形、缩水、针孔；应无凹陷、飞边、折皱、疙瘩；应无气泡、杂质、伤痕、白印；表面应光洁，应无划痕、毛刺、拉毛、污渍；应无明显色差）均符合要求；②生物实验台面耐污染不低于1级；③抗菌性能：抑菌率≥99.99%；④抗紫外线性能(测试时间48h)变色：≤4级；                                                                                                                                    </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2、站体：采用1.0MM厚医用喷涂电解钢板。龙骨采用2.0mm厚医用喷涂电解钢板，配加强筋(承重覆盖件结构连接件如筋、梁厚度≥1.2mm厚，立柱厚度≥1.2mm)焊接成700mm-1200mm大小模块，单个模块分上(看台)、中(站体)、下(1.0mm厚304#不锈钢模具冲压整体成型踢脚线)三段，模块间用螺杆串联使得结构稳固，站体上中段可任意喷涂与装修风格相近的颜色；模块中段内部装配活动可拆卸钢挂板，内设强弱电线槽，集中走线，线路明朗不杂乱，便于安装和维护强弱电线路，每个电脑位台面下配5孔插座孔和网络电话插座孔，台面上配5孔插座孔，满足方便工作使用。</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 xml:space="preserve">电解钢板：符合GB/T 3325或同类相关检测标准；检测内容包括但不限于：①金属喷漆(塑)涂层理化性能(冲击强度：冲击高度≥400mm，应无剥落、裂纹、皱纹；耐腐蚀：100h内，观察在溶液中样板上划道两侧3mm以外,应无气泡产生，100h后，检查划道两侧3mm外，应无锈迹、剥落、起皱、变色和失光等现象),均符合要求；附着力:0级，合格；②金属喷漆(塑)涂层硬度≥5H，合格；③洛氏硬度≥67；④抗菌性能：抑菌率≥99.9%。⑤中性盐雾试验≥40小时后，涂层本身耐腐蚀等级10级，涂层对基体保护等级10级；乙酸盐雾试验≥24小时后，涂层本身耐腐蚀等级10级，涂层对基体保护等级10级；铜加速乙酸盐雾（CASS）试验≥40小时后，外观评级10级，保护评级10级；⑥抗拉强度（MPa） 300~320；规定塑性延伸强度（MPa）≥260；断后伸长率≥45%；  </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3、表面处理：采用防腐抗菌喷涂粉末，表面光滑无颗粒，涂层膜厚度均匀，抗菌、防霉、耐酸碱、耐磨、耐撞击，抗腐蚀力强。</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 xml:space="preserve">塑粉：符合HG/T2006、或同类相关检测标准；检测内容包括但不限于：①外观:搅拌混合后无硬块，呈均匀状态；筛余物:全部通过；涂膜外观：正常；胶化时间：≤32S；铅笔硬度≥H，附着力≤0级；耐冲击性：50cm 冲击试验，漆膜无异常；弯曲试验≤3mm；杯突≥5mm；光泽≤45，耐酸性240h 无异常；耐碱性168h无异常；耐沸水性2h 无异常；结论均符合。②抗菌性能：抗细菌率≥99.99%；  </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4、采用304不锈钢缓冲门铰、三节滚珠导轨，静音效果好，开关顺滑，使用寿命长。</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 xml:space="preserve">304不锈钢铰链：符合QB/T 2189或同类相关检测标准；检测内容包括但不限于：①过载：垂直静载荷:20kg,10次。无缺陷、水平静载荷:60N,10次。无缺陷)，符合要求；②功能：操作力：耐久试验前打开力≤8N、耐久试验前关闭力≤6N、耐久试验后打开力≤7N、耐久试验后关闭力≤5N；垂直静载荷：15kg,10次。无缺陷；下沉量：在使用调整系统前，安装B型试验门时，下沉量不应大于1.2mm；③中性盐雾试验≥40h后，涂层本身耐腐蚀等级10级，涂层对基体保护等级10级；④乙酸盐雾试验≥40小时后，涂层本身耐腐蚀等级10级，涂层对基体保护等级10级；⑤铜加速乙酸盐雾（CASS）试验≥40小时后，外观评级10级，保护评级10级；⑥抗菌性能：抑菌率≥99.95%； </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 xml:space="preserve">5、导轨；需符合GB/T 4336或同类相关检测标准；检测内容包括但不限于：①功能（垂直向下静载荷：200N，10次。无缺陷；水平侧向静载荷：100N、各5次。无缺陷；拉出安全性：循环加载10次，无缺陷；猛关或猛开，10次，无缺陷）均符合要求；②铜加速乙酸盐雾（CASS）试验≥40小时后，外观评级10级，保护评级10级；中性盐雾试验≥40小时后，涂层本身耐腐蚀等级10级，涂层对基体保护等级10级；③抗菌性能：抑菌率≥99.93%。 </w:t>
            </w:r>
          </w:p>
        </w:tc>
      </w:tr>
      <w:tr w14:paraId="08E49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35" w:type="dxa"/>
            <w:shd w:val="clear" w:color="auto" w:fill="FFFF00"/>
            <w:noWrap/>
            <w:vAlign w:val="center"/>
          </w:tcPr>
          <w:p w14:paraId="580FFA5D">
            <w:pPr>
              <w:keepNext w:val="0"/>
              <w:keepLines w:val="0"/>
              <w:widowControl/>
              <w:suppressLineNumbers w:val="0"/>
              <w:jc w:val="center"/>
              <w:textAlignment w:val="center"/>
              <w:rPr>
                <w:rFonts w:hint="eastAsia" w:ascii="宋体" w:hAnsi="宋体" w:eastAsia="宋体" w:cs="宋体"/>
                <w:i w:val="0"/>
                <w:iCs w:val="0"/>
                <w:color w:val="000000"/>
                <w:kern w:val="0"/>
                <w:sz w:val="13"/>
                <w:szCs w:val="13"/>
                <w:highlight w:val="none"/>
                <w:u w:val="none"/>
                <w:lang w:val="en-US" w:eastAsia="zh-CN" w:bidi="ar"/>
              </w:rPr>
            </w:pPr>
            <w:r>
              <w:rPr>
                <w:rFonts w:hint="eastAsia" w:ascii="宋体" w:hAnsi="宋体" w:eastAsia="宋体" w:cs="宋体"/>
                <w:i w:val="0"/>
                <w:iCs w:val="0"/>
                <w:color w:val="000000"/>
                <w:kern w:val="0"/>
                <w:sz w:val="13"/>
                <w:szCs w:val="13"/>
                <w:highlight w:val="none"/>
                <w:u w:val="none"/>
                <w:lang w:val="en-US" w:eastAsia="zh-CN" w:bidi="ar"/>
              </w:rPr>
              <w:t>隐私帘</w:t>
            </w:r>
          </w:p>
        </w:tc>
        <w:tc>
          <w:tcPr>
            <w:tcW w:w="772" w:type="dxa"/>
            <w:shd w:val="clear" w:color="auto" w:fill="FFFF00"/>
            <w:vAlign w:val="center"/>
          </w:tcPr>
          <w:p w14:paraId="490A931B">
            <w:pPr>
              <w:keepNext w:val="0"/>
              <w:keepLines w:val="0"/>
              <w:widowControl/>
              <w:suppressLineNumbers w:val="0"/>
              <w:jc w:val="center"/>
              <w:textAlignment w:val="center"/>
              <w:rPr>
                <w:rFonts w:hint="eastAsia" w:ascii="宋体" w:hAnsi="宋体" w:eastAsia="宋体" w:cs="宋体"/>
                <w:i w:val="0"/>
                <w:iCs w:val="0"/>
                <w:color w:val="000000"/>
                <w:kern w:val="0"/>
                <w:sz w:val="13"/>
                <w:szCs w:val="13"/>
                <w:highlight w:val="none"/>
                <w:u w:val="none"/>
                <w:lang w:val="en-US" w:eastAsia="zh-CN" w:bidi="ar"/>
              </w:rPr>
            </w:pPr>
            <w:r>
              <w:rPr>
                <w:rFonts w:hint="eastAsia" w:ascii="宋体" w:hAnsi="宋体" w:eastAsia="宋体" w:cs="宋体"/>
                <w:i w:val="0"/>
                <w:iCs w:val="0"/>
                <w:color w:val="000000"/>
                <w:kern w:val="0"/>
                <w:sz w:val="13"/>
                <w:szCs w:val="13"/>
                <w:highlight w:val="none"/>
                <w:u w:val="none"/>
                <w:lang w:val="en-US" w:eastAsia="zh-CN" w:bidi="ar"/>
              </w:rPr>
              <w:t>布帘离地30-50mm</w:t>
            </w:r>
          </w:p>
        </w:tc>
        <w:tc>
          <w:tcPr>
            <w:tcW w:w="866" w:type="dxa"/>
            <w:shd w:val="clear" w:color="auto" w:fill="FFFF00"/>
            <w:noWrap/>
            <w:vAlign w:val="center"/>
          </w:tcPr>
          <w:p w14:paraId="379A20E3">
            <w:pPr>
              <w:keepNext w:val="0"/>
              <w:keepLines w:val="0"/>
              <w:widowControl/>
              <w:suppressLineNumbers w:val="0"/>
              <w:jc w:val="center"/>
              <w:textAlignment w:val="center"/>
              <w:rPr>
                <w:rFonts w:hint="eastAsia" w:ascii="宋体" w:hAnsi="宋体" w:eastAsia="宋体" w:cs="宋体"/>
                <w:i w:val="0"/>
                <w:iCs w:val="0"/>
                <w:color w:val="000000"/>
                <w:kern w:val="0"/>
                <w:sz w:val="13"/>
                <w:szCs w:val="13"/>
                <w:highlight w:val="none"/>
                <w:u w:val="none"/>
                <w:lang w:val="en-US" w:eastAsia="zh-CN" w:bidi="ar"/>
              </w:rPr>
            </w:pPr>
            <w:r>
              <w:rPr>
                <w:rFonts w:hint="eastAsia" w:ascii="宋体" w:hAnsi="宋体" w:eastAsia="宋体" w:cs="宋体"/>
                <w:i w:val="0"/>
                <w:iCs w:val="0"/>
                <w:color w:val="000000"/>
                <w:kern w:val="0"/>
                <w:sz w:val="13"/>
                <w:szCs w:val="13"/>
                <w:highlight w:val="none"/>
                <w:u w:val="none"/>
                <w:lang w:val="en-US" w:eastAsia="zh-CN" w:bidi="ar"/>
              </w:rPr>
              <w:t>1552.4</w:t>
            </w:r>
          </w:p>
        </w:tc>
        <w:tc>
          <w:tcPr>
            <w:tcW w:w="377" w:type="dxa"/>
            <w:shd w:val="clear" w:color="auto" w:fill="FFFF00"/>
            <w:noWrap/>
            <w:vAlign w:val="center"/>
          </w:tcPr>
          <w:p w14:paraId="60DED6E9">
            <w:pPr>
              <w:keepNext w:val="0"/>
              <w:keepLines w:val="0"/>
              <w:widowControl/>
              <w:suppressLineNumbers w:val="0"/>
              <w:jc w:val="center"/>
              <w:textAlignment w:val="center"/>
              <w:rPr>
                <w:rFonts w:hint="eastAsia" w:ascii="宋体" w:hAnsi="宋体" w:eastAsia="宋体" w:cs="宋体"/>
                <w:i w:val="0"/>
                <w:iCs w:val="0"/>
                <w:color w:val="000000"/>
                <w:kern w:val="0"/>
                <w:sz w:val="13"/>
                <w:szCs w:val="13"/>
                <w:highlight w:val="none"/>
                <w:u w:val="none"/>
                <w:lang w:val="en-US" w:eastAsia="zh-CN" w:bidi="ar"/>
              </w:rPr>
            </w:pPr>
            <w:r>
              <w:rPr>
                <w:rFonts w:hint="eastAsia" w:ascii="宋体" w:hAnsi="宋体" w:eastAsia="宋体" w:cs="宋体"/>
                <w:i w:val="0"/>
                <w:iCs w:val="0"/>
                <w:color w:val="000000"/>
                <w:kern w:val="0"/>
                <w:sz w:val="13"/>
                <w:szCs w:val="13"/>
                <w:highlight w:val="none"/>
                <w:u w:val="none"/>
                <w:lang w:val="en-US" w:eastAsia="zh-CN" w:bidi="ar"/>
              </w:rPr>
              <w:t>米</w:t>
            </w:r>
          </w:p>
        </w:tc>
        <w:tc>
          <w:tcPr>
            <w:tcW w:w="1470" w:type="dxa"/>
            <w:shd w:val="clear" w:color="auto" w:fill="FFFF00"/>
            <w:noWrap/>
            <w:vAlign w:val="center"/>
          </w:tcPr>
          <w:p w14:paraId="37A3FFC3">
            <w:pPr>
              <w:keepNext w:val="0"/>
              <w:keepLines w:val="0"/>
              <w:widowControl/>
              <w:suppressLineNumbers w:val="0"/>
              <w:jc w:val="center"/>
              <w:textAlignment w:val="center"/>
              <w:rPr>
                <w:rFonts w:hint="eastAsia" w:ascii="宋体" w:hAnsi="宋体" w:eastAsia="宋体" w:cs="宋体"/>
                <w:i w:val="0"/>
                <w:iCs w:val="0"/>
                <w:color w:val="000000"/>
                <w:kern w:val="0"/>
                <w:sz w:val="13"/>
                <w:szCs w:val="13"/>
                <w:highlight w:val="none"/>
                <w:u w:val="none"/>
                <w:bdr w:val="single" w:color="000000" w:sz="4" w:space="0"/>
                <w:shd w:val="clear" w:fill="FFFF00"/>
                <w:lang w:val="en-US" w:eastAsia="zh-CN" w:bidi="ar"/>
              </w:rPr>
            </w:pPr>
            <w:r>
              <w:rPr>
                <w:rFonts w:hint="eastAsia" w:ascii="宋体" w:hAnsi="宋体" w:eastAsia="宋体" w:cs="宋体"/>
                <w:i w:val="0"/>
                <w:iCs w:val="0"/>
                <w:color w:val="000000"/>
                <w:kern w:val="0"/>
                <w:sz w:val="13"/>
                <w:szCs w:val="13"/>
                <w:highlight w:val="none"/>
                <w:u w:val="none"/>
                <w:bdr w:val="single" w:color="000000" w:sz="4" w:space="0"/>
                <w:shd w:val="clear" w:fill="FFFF00"/>
                <w:lang w:val="en-US" w:eastAsia="zh-CN" w:bidi="ar"/>
              </w:rPr>
              <w:drawing>
                <wp:anchor distT="0" distB="0" distL="114300" distR="114300" simplePos="0" relativeHeight="251677696" behindDoc="0" locked="0" layoutInCell="1" allowOverlap="1">
                  <wp:simplePos x="0" y="0"/>
                  <wp:positionH relativeFrom="column">
                    <wp:posOffset>152400</wp:posOffset>
                  </wp:positionH>
                  <wp:positionV relativeFrom="paragraph">
                    <wp:posOffset>201295</wp:posOffset>
                  </wp:positionV>
                  <wp:extent cx="475615" cy="476250"/>
                  <wp:effectExtent l="0" t="0" r="635" b="0"/>
                  <wp:wrapNone/>
                  <wp:docPr id="72" name="ID_23BB57042A644B58A06F4A79D088CABA"/>
                  <wp:cNvGraphicFramePr/>
                  <a:graphic xmlns:a="http://schemas.openxmlformats.org/drawingml/2006/main">
                    <a:graphicData uri="http://schemas.openxmlformats.org/drawingml/2006/picture">
                      <pic:pic xmlns:pic="http://schemas.openxmlformats.org/drawingml/2006/picture">
                        <pic:nvPicPr>
                          <pic:cNvPr id="72" name="ID_23BB57042A644B58A06F4A79D088CABA"/>
                          <pic:cNvPicPr/>
                        </pic:nvPicPr>
                        <pic:blipFill>
                          <a:blip r:embed="rId30"/>
                          <a:stretch>
                            <a:fillRect/>
                          </a:stretch>
                        </pic:blipFill>
                        <pic:spPr>
                          <a:xfrm>
                            <a:off x="0" y="0"/>
                            <a:ext cx="475615" cy="476250"/>
                          </a:xfrm>
                          <a:prstGeom prst="rect">
                            <a:avLst/>
                          </a:prstGeom>
                          <a:noFill/>
                          <a:ln>
                            <a:noFill/>
                          </a:ln>
                        </pic:spPr>
                      </pic:pic>
                    </a:graphicData>
                  </a:graphic>
                </wp:anchor>
              </w:drawing>
            </w:r>
          </w:p>
        </w:tc>
        <w:tc>
          <w:tcPr>
            <w:tcW w:w="4990" w:type="dxa"/>
            <w:shd w:val="clear" w:color="auto" w:fill="FFFF00"/>
            <w:vAlign w:val="center"/>
          </w:tcPr>
          <w:p w14:paraId="6A9CEB61">
            <w:pPr>
              <w:keepNext w:val="0"/>
              <w:keepLines w:val="0"/>
              <w:widowControl/>
              <w:suppressLineNumbers w:val="0"/>
              <w:jc w:val="left"/>
              <w:textAlignment w:val="center"/>
              <w:rPr>
                <w:rFonts w:hint="eastAsia" w:ascii="宋体" w:hAnsi="宋体" w:eastAsia="宋体" w:cs="宋体"/>
                <w:i w:val="0"/>
                <w:iCs w:val="0"/>
                <w:color w:val="000000"/>
                <w:kern w:val="0"/>
                <w:sz w:val="13"/>
                <w:szCs w:val="13"/>
                <w:highlight w:val="none"/>
                <w:u w:val="none"/>
                <w:lang w:val="en-US" w:eastAsia="zh-CN" w:bidi="ar"/>
              </w:rPr>
            </w:pPr>
            <w:r>
              <w:rPr>
                <w:rFonts w:hint="eastAsia" w:ascii="宋体" w:hAnsi="宋体" w:eastAsia="宋体" w:cs="宋体"/>
                <w:i w:val="0"/>
                <w:iCs w:val="0"/>
                <w:color w:val="000000"/>
                <w:kern w:val="0"/>
                <w:sz w:val="13"/>
                <w:szCs w:val="13"/>
                <w:highlight w:val="none"/>
                <w:u w:val="none"/>
                <w:lang w:val="en-US" w:eastAsia="zh-CN" w:bidi="ar"/>
              </w:rPr>
              <w:t>隐私帘含轨道安装及调试，垂感强，具有环保、阻燃性。</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1、纤维含量：100%聚酯纤维；</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2、单位面积质量：230-240g/m²；</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3、厚度/㎜：0.70-0.80，纬密6纬每厘米，经密6.5每厘米；</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4、甲醛含量：未检出；</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5、PH 值： 4.0-8.5；</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6、异味：无</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7、可分解致癌芳香胺染料：禁用；</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 xml:space="preserve">医用隔帘：需符合GB 18401-2010检测标准；检验项目符合以下要求：①甲醛含量未检出，合格。 </w:t>
            </w:r>
          </w:p>
        </w:tc>
      </w:tr>
      <w:tr w14:paraId="33BCA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35" w:type="dxa"/>
            <w:shd w:val="clear" w:color="auto" w:fill="FFFF00"/>
            <w:noWrap/>
            <w:vAlign w:val="center"/>
          </w:tcPr>
          <w:p w14:paraId="168F1932">
            <w:pPr>
              <w:keepNext w:val="0"/>
              <w:keepLines w:val="0"/>
              <w:widowControl/>
              <w:suppressLineNumbers w:val="0"/>
              <w:jc w:val="center"/>
              <w:textAlignment w:val="center"/>
              <w:rPr>
                <w:rFonts w:hint="eastAsia" w:ascii="宋体" w:hAnsi="宋体" w:eastAsia="宋体" w:cs="宋体"/>
                <w:i w:val="0"/>
                <w:iCs w:val="0"/>
                <w:color w:val="000000"/>
                <w:kern w:val="0"/>
                <w:sz w:val="13"/>
                <w:szCs w:val="13"/>
                <w:highlight w:val="none"/>
                <w:u w:val="none"/>
                <w:lang w:val="en-US" w:eastAsia="zh-CN" w:bidi="ar"/>
              </w:rPr>
            </w:pPr>
            <w:r>
              <w:rPr>
                <w:rFonts w:hint="eastAsia" w:ascii="宋体" w:hAnsi="宋体" w:eastAsia="宋体" w:cs="宋体"/>
                <w:i w:val="0"/>
                <w:iCs w:val="0"/>
                <w:color w:val="000000"/>
                <w:kern w:val="0"/>
                <w:sz w:val="13"/>
                <w:szCs w:val="13"/>
                <w:highlight w:val="none"/>
                <w:u w:val="none"/>
                <w:lang w:val="en-US" w:eastAsia="zh-CN" w:bidi="ar"/>
              </w:rPr>
              <w:t>输液轨道</w:t>
            </w:r>
          </w:p>
        </w:tc>
        <w:tc>
          <w:tcPr>
            <w:tcW w:w="772" w:type="dxa"/>
            <w:shd w:val="clear" w:color="auto" w:fill="FFFF00"/>
            <w:vAlign w:val="center"/>
          </w:tcPr>
          <w:p w14:paraId="28B49DFA">
            <w:pPr>
              <w:keepNext w:val="0"/>
              <w:keepLines w:val="0"/>
              <w:widowControl/>
              <w:suppressLineNumbers w:val="0"/>
              <w:jc w:val="center"/>
              <w:textAlignment w:val="center"/>
              <w:rPr>
                <w:rFonts w:hint="eastAsia" w:ascii="宋体" w:hAnsi="宋体" w:eastAsia="宋体" w:cs="宋体"/>
                <w:i w:val="0"/>
                <w:iCs w:val="0"/>
                <w:color w:val="000000"/>
                <w:kern w:val="0"/>
                <w:sz w:val="13"/>
                <w:szCs w:val="13"/>
                <w:highlight w:val="none"/>
                <w:u w:val="none"/>
                <w:lang w:val="en-US" w:eastAsia="zh-CN" w:bidi="ar"/>
              </w:rPr>
            </w:pPr>
            <w:r>
              <w:rPr>
                <w:rFonts w:hint="eastAsia" w:ascii="宋体" w:hAnsi="宋体" w:eastAsia="宋体" w:cs="宋体"/>
                <w:i w:val="0"/>
                <w:iCs w:val="0"/>
                <w:color w:val="000000"/>
                <w:kern w:val="0"/>
                <w:sz w:val="13"/>
                <w:szCs w:val="13"/>
                <w:highlight w:val="none"/>
                <w:u w:val="none"/>
                <w:lang w:val="en-US" w:eastAsia="zh-CN" w:bidi="ar"/>
              </w:rPr>
              <w:t>直型与U型</w:t>
            </w:r>
          </w:p>
        </w:tc>
        <w:tc>
          <w:tcPr>
            <w:tcW w:w="866" w:type="dxa"/>
            <w:shd w:val="clear" w:color="auto" w:fill="FFFF00"/>
            <w:noWrap/>
            <w:vAlign w:val="center"/>
          </w:tcPr>
          <w:p w14:paraId="162E1DD5">
            <w:pPr>
              <w:keepNext w:val="0"/>
              <w:keepLines w:val="0"/>
              <w:widowControl/>
              <w:suppressLineNumbers w:val="0"/>
              <w:jc w:val="center"/>
              <w:textAlignment w:val="center"/>
              <w:rPr>
                <w:rFonts w:hint="eastAsia" w:ascii="宋体" w:hAnsi="宋体" w:eastAsia="宋体" w:cs="宋体"/>
                <w:i w:val="0"/>
                <w:iCs w:val="0"/>
                <w:color w:val="000000"/>
                <w:kern w:val="0"/>
                <w:sz w:val="13"/>
                <w:szCs w:val="13"/>
                <w:highlight w:val="none"/>
                <w:u w:val="none"/>
                <w:lang w:val="en-US" w:eastAsia="zh-CN" w:bidi="ar"/>
              </w:rPr>
            </w:pPr>
            <w:r>
              <w:rPr>
                <w:rFonts w:hint="eastAsia" w:ascii="宋体" w:hAnsi="宋体" w:eastAsia="宋体" w:cs="宋体"/>
                <w:i w:val="0"/>
                <w:iCs w:val="0"/>
                <w:color w:val="000000"/>
                <w:kern w:val="0"/>
                <w:sz w:val="13"/>
                <w:szCs w:val="13"/>
                <w:highlight w:val="none"/>
                <w:u w:val="none"/>
                <w:lang w:val="en-US" w:eastAsia="zh-CN" w:bidi="ar"/>
              </w:rPr>
              <w:t>1560</w:t>
            </w:r>
          </w:p>
        </w:tc>
        <w:tc>
          <w:tcPr>
            <w:tcW w:w="377" w:type="dxa"/>
            <w:shd w:val="clear" w:color="auto" w:fill="FFFF00"/>
            <w:noWrap/>
            <w:vAlign w:val="center"/>
          </w:tcPr>
          <w:p w14:paraId="2A58FF2F">
            <w:pPr>
              <w:keepNext w:val="0"/>
              <w:keepLines w:val="0"/>
              <w:widowControl/>
              <w:suppressLineNumbers w:val="0"/>
              <w:jc w:val="center"/>
              <w:textAlignment w:val="center"/>
              <w:rPr>
                <w:rFonts w:hint="eastAsia" w:ascii="宋体" w:hAnsi="宋体" w:eastAsia="宋体" w:cs="宋体"/>
                <w:i w:val="0"/>
                <w:iCs w:val="0"/>
                <w:color w:val="000000"/>
                <w:kern w:val="0"/>
                <w:sz w:val="13"/>
                <w:szCs w:val="13"/>
                <w:highlight w:val="none"/>
                <w:u w:val="none"/>
                <w:lang w:val="en-US" w:eastAsia="zh-CN" w:bidi="ar"/>
              </w:rPr>
            </w:pPr>
            <w:r>
              <w:rPr>
                <w:rFonts w:hint="eastAsia" w:ascii="宋体" w:hAnsi="宋体" w:eastAsia="宋体" w:cs="宋体"/>
                <w:i w:val="0"/>
                <w:iCs w:val="0"/>
                <w:color w:val="000000"/>
                <w:kern w:val="0"/>
                <w:sz w:val="13"/>
                <w:szCs w:val="13"/>
                <w:highlight w:val="none"/>
                <w:u w:val="none"/>
                <w:lang w:val="en-US" w:eastAsia="zh-CN" w:bidi="ar"/>
              </w:rPr>
              <w:t>米</w:t>
            </w:r>
          </w:p>
        </w:tc>
        <w:tc>
          <w:tcPr>
            <w:tcW w:w="1470" w:type="dxa"/>
            <w:shd w:val="clear" w:color="auto" w:fill="FFFF00"/>
            <w:noWrap/>
            <w:vAlign w:val="center"/>
          </w:tcPr>
          <w:p w14:paraId="0056FE66">
            <w:pPr>
              <w:keepNext w:val="0"/>
              <w:keepLines w:val="0"/>
              <w:widowControl/>
              <w:suppressLineNumbers w:val="0"/>
              <w:jc w:val="center"/>
              <w:textAlignment w:val="center"/>
              <w:rPr>
                <w:rFonts w:hint="eastAsia" w:ascii="宋体" w:hAnsi="宋体" w:eastAsia="宋体" w:cs="宋体"/>
                <w:i w:val="0"/>
                <w:iCs w:val="0"/>
                <w:color w:val="000000"/>
                <w:kern w:val="0"/>
                <w:sz w:val="13"/>
                <w:szCs w:val="13"/>
                <w:highlight w:val="none"/>
                <w:u w:val="none"/>
                <w:bdr w:val="single" w:color="000000" w:sz="4" w:space="0"/>
                <w:shd w:val="clear" w:fill="FFFF00"/>
                <w:lang w:val="en-US" w:eastAsia="zh-CN" w:bidi="ar"/>
              </w:rPr>
            </w:pPr>
            <w:r>
              <w:rPr>
                <w:rFonts w:hint="eastAsia" w:ascii="宋体" w:hAnsi="宋体" w:eastAsia="宋体" w:cs="宋体"/>
                <w:i w:val="0"/>
                <w:iCs w:val="0"/>
                <w:color w:val="000000"/>
                <w:kern w:val="0"/>
                <w:sz w:val="13"/>
                <w:szCs w:val="13"/>
                <w:highlight w:val="none"/>
                <w:u w:val="none"/>
                <w:bdr w:val="single" w:color="000000" w:sz="4" w:space="0"/>
                <w:shd w:val="clear" w:fill="FFFF00"/>
                <w:lang w:val="en-US" w:eastAsia="zh-CN" w:bidi="ar"/>
              </w:rPr>
              <w:drawing>
                <wp:anchor distT="0" distB="0" distL="114300" distR="114300" simplePos="0" relativeHeight="251678720" behindDoc="0" locked="0" layoutInCell="1" allowOverlap="1">
                  <wp:simplePos x="0" y="0"/>
                  <wp:positionH relativeFrom="column">
                    <wp:posOffset>205105</wp:posOffset>
                  </wp:positionH>
                  <wp:positionV relativeFrom="paragraph">
                    <wp:posOffset>73660</wp:posOffset>
                  </wp:positionV>
                  <wp:extent cx="501015" cy="711200"/>
                  <wp:effectExtent l="0" t="0" r="13335" b="12700"/>
                  <wp:wrapNone/>
                  <wp:docPr id="73" name="ID_168E460D0A414CF991892822CCB8A429"/>
                  <wp:cNvGraphicFramePr/>
                  <a:graphic xmlns:a="http://schemas.openxmlformats.org/drawingml/2006/main">
                    <a:graphicData uri="http://schemas.openxmlformats.org/drawingml/2006/picture">
                      <pic:pic xmlns:pic="http://schemas.openxmlformats.org/drawingml/2006/picture">
                        <pic:nvPicPr>
                          <pic:cNvPr id="73" name="ID_168E460D0A414CF991892822CCB8A429"/>
                          <pic:cNvPicPr/>
                        </pic:nvPicPr>
                        <pic:blipFill>
                          <a:blip r:embed="rId31"/>
                          <a:stretch>
                            <a:fillRect/>
                          </a:stretch>
                        </pic:blipFill>
                        <pic:spPr>
                          <a:xfrm>
                            <a:off x="0" y="0"/>
                            <a:ext cx="501015" cy="711200"/>
                          </a:xfrm>
                          <a:prstGeom prst="rect">
                            <a:avLst/>
                          </a:prstGeom>
                          <a:noFill/>
                          <a:ln>
                            <a:noFill/>
                          </a:ln>
                        </pic:spPr>
                      </pic:pic>
                    </a:graphicData>
                  </a:graphic>
                </wp:anchor>
              </w:drawing>
            </w:r>
          </w:p>
        </w:tc>
        <w:tc>
          <w:tcPr>
            <w:tcW w:w="4990" w:type="dxa"/>
            <w:shd w:val="clear" w:color="auto" w:fill="FFFF00"/>
            <w:vAlign w:val="center"/>
          </w:tcPr>
          <w:p w14:paraId="16E6B144">
            <w:pPr>
              <w:keepNext w:val="0"/>
              <w:keepLines w:val="0"/>
              <w:widowControl/>
              <w:suppressLineNumbers w:val="0"/>
              <w:jc w:val="left"/>
              <w:textAlignment w:val="center"/>
              <w:rPr>
                <w:rFonts w:hint="eastAsia" w:ascii="宋体" w:hAnsi="宋体" w:eastAsia="宋体" w:cs="宋体"/>
                <w:i w:val="0"/>
                <w:iCs w:val="0"/>
                <w:color w:val="000000"/>
                <w:kern w:val="0"/>
                <w:sz w:val="13"/>
                <w:szCs w:val="13"/>
                <w:highlight w:val="none"/>
                <w:u w:val="none"/>
                <w:lang w:val="en-US" w:eastAsia="zh-CN" w:bidi="ar"/>
              </w:rPr>
            </w:pPr>
            <w:r>
              <w:rPr>
                <w:rFonts w:hint="eastAsia" w:ascii="宋体" w:hAnsi="宋体" w:eastAsia="宋体" w:cs="宋体"/>
                <w:i w:val="0"/>
                <w:iCs w:val="0"/>
                <w:color w:val="000000"/>
                <w:kern w:val="0"/>
                <w:sz w:val="13"/>
                <w:szCs w:val="13"/>
                <w:highlight w:val="none"/>
                <w:u w:val="none"/>
                <w:lang w:val="en-US" w:eastAsia="zh-CN" w:bidi="ar"/>
              </w:rPr>
              <w:t>轨道：优质铝合材质，表面经过氧化处理，横截面20*30mm，铝材厚度≥1.2mm,承重能力≥5kg,顺滑耐磨不生锈，优质静音滑轨；</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滑轮：轨道滑轮采用优质塑钢材质，直径30mm,运行噪音需控制在40分贝一下，使用寿命5-10年，拆装清洗方便，与轨道相辅相成收拉流畅。</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注意：需同时配备300个吊杆，可伸缩吊杆长度700-1150mm，吊杆承重能力≥5kg。</w:t>
            </w:r>
          </w:p>
        </w:tc>
      </w:tr>
      <w:tr w14:paraId="1FD04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635" w:type="dxa"/>
            <w:shd w:val="clear" w:color="auto" w:fill="FFFF00"/>
            <w:noWrap/>
            <w:vAlign w:val="center"/>
          </w:tcPr>
          <w:p w14:paraId="66183E82">
            <w:pPr>
              <w:keepNext w:val="0"/>
              <w:keepLines w:val="0"/>
              <w:widowControl/>
              <w:suppressLineNumbers w:val="0"/>
              <w:jc w:val="center"/>
              <w:textAlignment w:val="center"/>
              <w:rPr>
                <w:rFonts w:hint="eastAsia" w:ascii="宋体" w:hAnsi="宋体" w:eastAsia="宋体" w:cs="宋体"/>
                <w:i w:val="0"/>
                <w:iCs w:val="0"/>
                <w:color w:val="000000"/>
                <w:kern w:val="0"/>
                <w:sz w:val="13"/>
                <w:szCs w:val="13"/>
                <w:highlight w:val="none"/>
                <w:u w:val="none"/>
                <w:lang w:val="en-US" w:eastAsia="zh-CN" w:bidi="ar"/>
              </w:rPr>
            </w:pPr>
            <w:r>
              <w:rPr>
                <w:rFonts w:hint="eastAsia" w:ascii="宋体" w:hAnsi="宋体" w:eastAsia="宋体" w:cs="宋体"/>
                <w:i w:val="0"/>
                <w:iCs w:val="0"/>
                <w:color w:val="000000"/>
                <w:kern w:val="0"/>
                <w:sz w:val="13"/>
                <w:szCs w:val="13"/>
                <w:highlight w:val="none"/>
                <w:u w:val="none"/>
                <w:lang w:val="en-US" w:eastAsia="zh-CN" w:bidi="ar"/>
              </w:rPr>
              <w:t>订制透析柜</w:t>
            </w:r>
          </w:p>
        </w:tc>
        <w:tc>
          <w:tcPr>
            <w:tcW w:w="772" w:type="dxa"/>
            <w:shd w:val="clear" w:color="auto" w:fill="FFFF00"/>
            <w:vAlign w:val="center"/>
          </w:tcPr>
          <w:p w14:paraId="49B8746C">
            <w:pPr>
              <w:keepNext w:val="0"/>
              <w:keepLines w:val="0"/>
              <w:widowControl/>
              <w:suppressLineNumbers w:val="0"/>
              <w:jc w:val="center"/>
              <w:textAlignment w:val="center"/>
              <w:rPr>
                <w:rFonts w:hint="eastAsia" w:ascii="宋体" w:hAnsi="宋体" w:eastAsia="宋体" w:cs="宋体"/>
                <w:i w:val="0"/>
                <w:iCs w:val="0"/>
                <w:color w:val="000000"/>
                <w:kern w:val="0"/>
                <w:sz w:val="13"/>
                <w:szCs w:val="13"/>
                <w:highlight w:val="none"/>
                <w:u w:val="none"/>
                <w:lang w:val="en-US" w:eastAsia="zh-CN" w:bidi="ar"/>
              </w:rPr>
            </w:pPr>
            <w:r>
              <w:rPr>
                <w:rFonts w:hint="eastAsia" w:ascii="宋体" w:hAnsi="宋体" w:eastAsia="宋体" w:cs="宋体"/>
                <w:i w:val="0"/>
                <w:iCs w:val="0"/>
                <w:color w:val="000000"/>
                <w:kern w:val="0"/>
                <w:sz w:val="13"/>
                <w:szCs w:val="13"/>
                <w:highlight w:val="none"/>
                <w:u w:val="none"/>
                <w:lang w:val="en-US" w:eastAsia="zh-CN" w:bidi="ar"/>
              </w:rPr>
              <w:t>680D*1500H</w:t>
            </w:r>
          </w:p>
        </w:tc>
        <w:tc>
          <w:tcPr>
            <w:tcW w:w="866" w:type="dxa"/>
            <w:shd w:val="clear" w:color="auto" w:fill="FFFF00"/>
            <w:noWrap/>
            <w:vAlign w:val="center"/>
          </w:tcPr>
          <w:p w14:paraId="3F975E28">
            <w:pPr>
              <w:keepNext w:val="0"/>
              <w:keepLines w:val="0"/>
              <w:widowControl/>
              <w:suppressLineNumbers w:val="0"/>
              <w:jc w:val="center"/>
              <w:textAlignment w:val="center"/>
              <w:rPr>
                <w:rFonts w:hint="eastAsia" w:ascii="宋体" w:hAnsi="宋体" w:eastAsia="宋体" w:cs="宋体"/>
                <w:i w:val="0"/>
                <w:iCs w:val="0"/>
                <w:color w:val="000000"/>
                <w:kern w:val="0"/>
                <w:sz w:val="13"/>
                <w:szCs w:val="13"/>
                <w:highlight w:val="none"/>
                <w:u w:val="none"/>
                <w:lang w:val="en-US" w:eastAsia="zh-CN" w:bidi="ar"/>
              </w:rPr>
            </w:pPr>
            <w:r>
              <w:rPr>
                <w:rFonts w:hint="eastAsia" w:ascii="宋体" w:hAnsi="宋体" w:eastAsia="宋体" w:cs="宋体"/>
                <w:i w:val="0"/>
                <w:iCs w:val="0"/>
                <w:color w:val="000000"/>
                <w:kern w:val="0"/>
                <w:sz w:val="13"/>
                <w:szCs w:val="13"/>
                <w:highlight w:val="none"/>
                <w:u w:val="none"/>
                <w:lang w:val="en-US" w:eastAsia="zh-CN" w:bidi="ar"/>
              </w:rPr>
              <w:t>63</w:t>
            </w:r>
          </w:p>
        </w:tc>
        <w:tc>
          <w:tcPr>
            <w:tcW w:w="377" w:type="dxa"/>
            <w:shd w:val="clear" w:color="auto" w:fill="FFFF00"/>
            <w:noWrap/>
            <w:vAlign w:val="center"/>
          </w:tcPr>
          <w:p w14:paraId="74261FAD">
            <w:pPr>
              <w:keepNext w:val="0"/>
              <w:keepLines w:val="0"/>
              <w:widowControl/>
              <w:suppressLineNumbers w:val="0"/>
              <w:jc w:val="center"/>
              <w:textAlignment w:val="center"/>
              <w:rPr>
                <w:rFonts w:hint="eastAsia" w:ascii="宋体" w:hAnsi="宋体" w:eastAsia="宋体" w:cs="宋体"/>
                <w:i w:val="0"/>
                <w:iCs w:val="0"/>
                <w:color w:val="000000"/>
                <w:kern w:val="0"/>
                <w:sz w:val="13"/>
                <w:szCs w:val="13"/>
                <w:highlight w:val="none"/>
                <w:u w:val="none"/>
                <w:lang w:val="en-US" w:eastAsia="zh-CN" w:bidi="ar"/>
              </w:rPr>
            </w:pPr>
            <w:r>
              <w:rPr>
                <w:rFonts w:hint="eastAsia" w:ascii="宋体" w:hAnsi="宋体" w:eastAsia="宋体" w:cs="宋体"/>
                <w:i w:val="0"/>
                <w:iCs w:val="0"/>
                <w:color w:val="000000"/>
                <w:kern w:val="0"/>
                <w:sz w:val="13"/>
                <w:szCs w:val="13"/>
                <w:highlight w:val="none"/>
                <w:u w:val="none"/>
                <w:lang w:val="en-US" w:eastAsia="zh-CN" w:bidi="ar"/>
              </w:rPr>
              <w:t>米</w:t>
            </w:r>
          </w:p>
        </w:tc>
        <w:tc>
          <w:tcPr>
            <w:tcW w:w="1470" w:type="dxa"/>
            <w:shd w:val="clear" w:color="auto" w:fill="FFFF00"/>
            <w:noWrap/>
            <w:vAlign w:val="center"/>
          </w:tcPr>
          <w:p w14:paraId="48FBD475">
            <w:pPr>
              <w:keepNext w:val="0"/>
              <w:keepLines w:val="0"/>
              <w:widowControl/>
              <w:suppressLineNumbers w:val="0"/>
              <w:jc w:val="center"/>
              <w:textAlignment w:val="center"/>
              <w:rPr>
                <w:rFonts w:hint="eastAsia" w:ascii="宋体" w:hAnsi="宋体" w:eastAsia="宋体" w:cs="宋体"/>
                <w:i w:val="0"/>
                <w:iCs w:val="0"/>
                <w:color w:val="000000"/>
                <w:kern w:val="0"/>
                <w:sz w:val="13"/>
                <w:szCs w:val="13"/>
                <w:highlight w:val="none"/>
                <w:u w:val="none"/>
                <w:bdr w:val="single" w:color="000000" w:sz="4" w:space="0"/>
                <w:shd w:val="clear" w:fill="FFFF00"/>
                <w:lang w:val="en-US" w:eastAsia="zh-CN" w:bidi="ar"/>
              </w:rPr>
            </w:pPr>
            <w:r>
              <w:rPr>
                <w:rFonts w:hint="eastAsia" w:ascii="宋体" w:hAnsi="宋体" w:eastAsia="宋体" w:cs="宋体"/>
                <w:i w:val="0"/>
                <w:iCs w:val="0"/>
                <w:color w:val="000000"/>
                <w:kern w:val="0"/>
                <w:sz w:val="13"/>
                <w:szCs w:val="13"/>
                <w:highlight w:val="none"/>
                <w:u w:val="none"/>
                <w:bdr w:val="single" w:color="000000" w:sz="4" w:space="0"/>
                <w:shd w:val="clear" w:fill="FFFF00"/>
                <w:lang w:val="en-US" w:eastAsia="zh-CN" w:bidi="ar"/>
              </w:rPr>
              <w:drawing>
                <wp:anchor distT="0" distB="0" distL="114300" distR="114300" simplePos="0" relativeHeight="251679744" behindDoc="0" locked="0" layoutInCell="1" allowOverlap="1">
                  <wp:simplePos x="0" y="0"/>
                  <wp:positionH relativeFrom="column">
                    <wp:posOffset>137160</wp:posOffset>
                  </wp:positionH>
                  <wp:positionV relativeFrom="paragraph">
                    <wp:posOffset>615315</wp:posOffset>
                  </wp:positionV>
                  <wp:extent cx="741045" cy="352425"/>
                  <wp:effectExtent l="0" t="0" r="1905" b="9525"/>
                  <wp:wrapNone/>
                  <wp:docPr id="74" name="图片_3"/>
                  <wp:cNvGraphicFramePr/>
                  <a:graphic xmlns:a="http://schemas.openxmlformats.org/drawingml/2006/main">
                    <a:graphicData uri="http://schemas.openxmlformats.org/drawingml/2006/picture">
                      <pic:pic xmlns:pic="http://schemas.openxmlformats.org/drawingml/2006/picture">
                        <pic:nvPicPr>
                          <pic:cNvPr id="74" name="图片_3"/>
                          <pic:cNvPicPr/>
                        </pic:nvPicPr>
                        <pic:blipFill>
                          <a:blip r:embed="rId32"/>
                          <a:stretch>
                            <a:fillRect/>
                          </a:stretch>
                        </pic:blipFill>
                        <pic:spPr>
                          <a:xfrm>
                            <a:off x="0" y="0"/>
                            <a:ext cx="741045" cy="352425"/>
                          </a:xfrm>
                          <a:prstGeom prst="rect">
                            <a:avLst/>
                          </a:prstGeom>
                          <a:noFill/>
                          <a:ln>
                            <a:noFill/>
                          </a:ln>
                        </pic:spPr>
                      </pic:pic>
                    </a:graphicData>
                  </a:graphic>
                </wp:anchor>
              </w:drawing>
            </w:r>
          </w:p>
        </w:tc>
        <w:tc>
          <w:tcPr>
            <w:tcW w:w="4990" w:type="dxa"/>
            <w:shd w:val="clear" w:color="auto" w:fill="FFFF00"/>
            <w:vAlign w:val="center"/>
          </w:tcPr>
          <w:p w14:paraId="6C63F0F9">
            <w:pPr>
              <w:keepNext w:val="0"/>
              <w:keepLines w:val="0"/>
              <w:widowControl/>
              <w:suppressLineNumbers w:val="0"/>
              <w:jc w:val="left"/>
              <w:textAlignment w:val="center"/>
              <w:rPr>
                <w:rFonts w:hint="eastAsia" w:ascii="宋体" w:hAnsi="宋体" w:eastAsia="宋体" w:cs="宋体"/>
                <w:i w:val="0"/>
                <w:iCs w:val="0"/>
                <w:color w:val="000000"/>
                <w:kern w:val="0"/>
                <w:sz w:val="13"/>
                <w:szCs w:val="13"/>
                <w:highlight w:val="none"/>
                <w:u w:val="none"/>
                <w:lang w:val="en-US" w:eastAsia="zh-CN" w:bidi="ar"/>
              </w:rPr>
            </w:pPr>
            <w:r>
              <w:rPr>
                <w:rFonts w:hint="eastAsia" w:ascii="宋体" w:hAnsi="宋体" w:eastAsia="宋体" w:cs="宋体"/>
                <w:i w:val="0"/>
                <w:iCs w:val="0"/>
                <w:color w:val="000000"/>
                <w:kern w:val="0"/>
                <w:sz w:val="13"/>
                <w:szCs w:val="13"/>
                <w:highlight w:val="none"/>
                <w:u w:val="none"/>
                <w:lang w:val="en-US" w:eastAsia="zh-CN" w:bidi="ar"/>
              </w:rPr>
              <w:t>1、产品结构：全木结构，带背板，顶板厚度25mm，其它板材厚度18mm，按上下水位置预留检修口，预留水管及过线孔位，柜子顶部可安装氧气带等设备。中标后按用户需求设计订制。</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2、板材技术要求：选用ENF级环保板材。</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2.1饰面：采用优质三聚氰胺饰面纸,具有耐磨、耐腐蚀、耐高温等特性。</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2.2基材：采用环保刨花板，经耐酸碱，防虫、防腐等处理。吸水厚度膨胀率≤2%，弹性模量≥2200Mpa，内胶合强度≥0.5Mpa,表面胶合强度≥1Mpa，板面握螺钉力≥1000N，板边握螺钉力≥700N，TVOC≤20</w:t>
            </w:r>
            <w:r>
              <w:rPr>
                <w:rStyle w:val="40"/>
                <w:rFonts w:eastAsia="宋体"/>
                <w:sz w:val="13"/>
                <w:szCs w:val="13"/>
                <w:highlight w:val="none"/>
                <w:lang w:val="en-US" w:eastAsia="zh-CN" w:bidi="ar"/>
              </w:rPr>
              <w:t>μ</w:t>
            </w:r>
            <w:r>
              <w:rPr>
                <w:rFonts w:hint="eastAsia" w:ascii="宋体" w:hAnsi="宋体" w:eastAsia="宋体" w:cs="宋体"/>
                <w:i w:val="0"/>
                <w:iCs w:val="0"/>
                <w:color w:val="000000"/>
                <w:kern w:val="0"/>
                <w:sz w:val="13"/>
                <w:szCs w:val="13"/>
                <w:highlight w:val="none"/>
                <w:u w:val="none"/>
                <w:lang w:val="en-US" w:eastAsia="zh-CN" w:bidi="ar"/>
              </w:rPr>
              <w:t>g/m³，苯、甲苯、二甲苯均未检出。</w:t>
            </w:r>
            <w:r>
              <w:rPr>
                <w:rFonts w:hint="eastAsia" w:ascii="宋体" w:hAnsi="宋体" w:eastAsia="宋体" w:cs="宋体"/>
                <w:i w:val="0"/>
                <w:iCs w:val="0"/>
                <w:color w:val="000000"/>
                <w:kern w:val="0"/>
                <w:sz w:val="13"/>
                <w:szCs w:val="13"/>
                <w:highlight w:val="none"/>
                <w:u w:val="none"/>
                <w:lang w:val="en-US" w:eastAsia="zh-CN" w:bidi="ar"/>
              </w:rPr>
              <w:br w:type="textWrapping"/>
            </w:r>
            <w:r>
              <w:rPr>
                <w:rFonts w:hint="eastAsia" w:ascii="宋体" w:hAnsi="宋体" w:eastAsia="宋体" w:cs="宋体"/>
                <w:i w:val="0"/>
                <w:iCs w:val="0"/>
                <w:color w:val="000000"/>
                <w:kern w:val="0"/>
                <w:sz w:val="13"/>
                <w:szCs w:val="13"/>
                <w:highlight w:val="none"/>
                <w:u w:val="none"/>
                <w:lang w:val="en-US" w:eastAsia="zh-CN" w:bidi="ar"/>
              </w:rPr>
              <w:t>2.3封边：采用优质ABS激光封边条，封边条厚度2.0mm，不开裂、不翘边、无异味，符合国家标准。</w:t>
            </w:r>
          </w:p>
        </w:tc>
      </w:tr>
    </w:tbl>
    <w:p w14:paraId="20B7A896">
      <w:pPr>
        <w:pStyle w:val="9"/>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hAnsi="宋体" w:cs="宋体"/>
          <w:b w:val="0"/>
          <w:bCs w:val="0"/>
          <w:color w:val="auto"/>
          <w:highlight w:val="none"/>
          <w:lang w:val="en-US" w:eastAsia="zh-CN"/>
        </w:rPr>
      </w:pPr>
    </w:p>
    <w:p w14:paraId="6138D7E8">
      <w:pPr>
        <w:rPr>
          <w:rFonts w:hint="eastAsia" w:ascii="微软雅黑" w:hAnsi="微软雅黑" w:eastAsia="微软雅黑" w:cs="微软雅黑"/>
          <w:color w:val="868686"/>
          <w:spacing w:val="14"/>
          <w:sz w:val="33"/>
          <w:szCs w:val="33"/>
          <w:lang w:eastAsia="zh-CN"/>
        </w:rPr>
      </w:pPr>
    </w:p>
    <w:p w14:paraId="1C551C01">
      <w:pPr>
        <w:rPr>
          <w:rFonts w:hint="eastAsia"/>
          <w:color w:val="000000"/>
          <w:sz w:val="36"/>
          <w:szCs w:val="36"/>
          <w:highlight w:val="none"/>
          <w:lang w:val="zh-CN"/>
        </w:rPr>
      </w:pPr>
      <w:bookmarkStart w:id="43" w:name="_Toc21815"/>
      <w:r>
        <w:rPr>
          <w:rFonts w:hint="eastAsia"/>
          <w:color w:val="000000"/>
          <w:sz w:val="36"/>
          <w:szCs w:val="36"/>
          <w:highlight w:val="none"/>
          <w:lang w:val="zh-CN"/>
        </w:rPr>
        <w:br w:type="page"/>
      </w:r>
    </w:p>
    <w:p w14:paraId="72919B90">
      <w:pPr>
        <w:pStyle w:val="18"/>
        <w:jc w:val="center"/>
        <w:outlineLvl w:val="0"/>
        <w:rPr>
          <w:rFonts w:hint="eastAsia"/>
          <w:color w:val="000000"/>
          <w:sz w:val="32"/>
          <w:szCs w:val="32"/>
          <w:highlight w:val="none"/>
          <w:lang w:val="zh-CN"/>
        </w:rPr>
      </w:pPr>
      <w:bookmarkStart w:id="44" w:name="_Toc5334"/>
      <w:r>
        <w:rPr>
          <w:rFonts w:hint="eastAsia"/>
          <w:color w:val="000000"/>
          <w:sz w:val="32"/>
          <w:szCs w:val="32"/>
          <w:highlight w:val="none"/>
          <w:lang w:val="zh-CN"/>
        </w:rPr>
        <w:t>第六章 投标文件格式</w:t>
      </w:r>
      <w:bookmarkEnd w:id="43"/>
      <w:bookmarkEnd w:id="44"/>
    </w:p>
    <w:p w14:paraId="31D5FC1E">
      <w:pPr>
        <w:rPr>
          <w:rFonts w:hint="eastAsia"/>
          <w:color w:val="000000"/>
          <w:sz w:val="32"/>
          <w:szCs w:val="32"/>
          <w:highlight w:val="none"/>
          <w:lang w:val="zh-CN"/>
        </w:rPr>
      </w:pPr>
      <w:r>
        <w:rPr>
          <w:rFonts w:hint="eastAsia"/>
          <w:color w:val="000000"/>
          <w:sz w:val="32"/>
          <w:szCs w:val="32"/>
          <w:highlight w:val="none"/>
          <w:lang w:val="zh-CN"/>
        </w:rPr>
        <w:br w:type="page"/>
      </w:r>
    </w:p>
    <w:p w14:paraId="7939EF18">
      <w:pPr>
        <w:rPr>
          <w:lang w:val="zh-CN"/>
        </w:rPr>
      </w:pPr>
    </w:p>
    <w:p w14:paraId="08B67BE8">
      <w:pPr>
        <w:snapToGrid w:val="0"/>
        <w:spacing w:line="360" w:lineRule="auto"/>
        <w:jc w:val="center"/>
        <w:rPr>
          <w:rFonts w:hint="eastAsia" w:ascii="宋体" w:cs="宋体-18030"/>
          <w:color w:val="000000"/>
          <w:kern w:val="0"/>
          <w:highlight w:val="none"/>
        </w:rPr>
      </w:pPr>
    </w:p>
    <w:p w14:paraId="69EF74D9">
      <w:pPr>
        <w:pStyle w:val="16"/>
        <w:snapToGrid w:val="0"/>
        <w:spacing w:line="360" w:lineRule="auto"/>
        <w:jc w:val="right"/>
        <w:outlineLvl w:val="0"/>
        <w:rPr>
          <w:rFonts w:hint="eastAsia" w:ascii="宋体"/>
          <w:b/>
          <w:bCs/>
          <w:color w:val="000000"/>
          <w:sz w:val="32"/>
          <w:szCs w:val="32"/>
          <w:highlight w:val="none"/>
        </w:rPr>
      </w:pPr>
      <w:bookmarkStart w:id="45" w:name="_Toc14160"/>
      <w:bookmarkStart w:id="46" w:name="_Toc1921"/>
      <w:r>
        <w:rPr>
          <w:rFonts w:hint="eastAsia" w:ascii="宋体"/>
          <w:b/>
          <w:bCs/>
          <w:color w:val="000000"/>
          <w:sz w:val="32"/>
          <w:szCs w:val="32"/>
          <w:highlight w:val="none"/>
        </w:rPr>
        <w:t>正本或副本</w:t>
      </w:r>
      <w:bookmarkEnd w:id="45"/>
      <w:bookmarkEnd w:id="46"/>
    </w:p>
    <w:p w14:paraId="2ED30E41">
      <w:pPr>
        <w:bidi w:val="0"/>
        <w:rPr>
          <w:rFonts w:hint="eastAsia"/>
        </w:rPr>
      </w:pPr>
    </w:p>
    <w:p w14:paraId="08705203">
      <w:pPr>
        <w:pStyle w:val="16"/>
        <w:snapToGrid w:val="0"/>
        <w:spacing w:line="360" w:lineRule="auto"/>
        <w:jc w:val="center"/>
        <w:outlineLvl w:val="0"/>
        <w:rPr>
          <w:rFonts w:hint="eastAsia" w:ascii="宋体"/>
          <w:b/>
          <w:bCs/>
          <w:color w:val="000000"/>
          <w:sz w:val="44"/>
          <w:szCs w:val="44"/>
          <w:highlight w:val="none"/>
        </w:rPr>
      </w:pPr>
      <w:bookmarkStart w:id="47" w:name="_Toc25716"/>
      <w:r>
        <w:rPr>
          <w:rFonts w:hint="eastAsia" w:ascii="宋体"/>
          <w:b/>
          <w:bCs/>
          <w:color w:val="000000"/>
          <w:sz w:val="36"/>
          <w:szCs w:val="36"/>
          <w:highlight w:val="none"/>
          <w:u w:val="single"/>
        </w:rPr>
        <w:t>（项目名称）</w:t>
      </w:r>
      <w:bookmarkEnd w:id="47"/>
    </w:p>
    <w:p w14:paraId="69643DAE">
      <w:pPr>
        <w:pStyle w:val="16"/>
        <w:snapToGrid w:val="0"/>
        <w:spacing w:line="360" w:lineRule="auto"/>
        <w:jc w:val="center"/>
        <w:rPr>
          <w:rFonts w:hint="eastAsia" w:ascii="宋体"/>
          <w:color w:val="000000"/>
          <w:highlight w:val="none"/>
        </w:rPr>
      </w:pPr>
    </w:p>
    <w:p w14:paraId="754F93F2">
      <w:pPr>
        <w:bidi w:val="0"/>
        <w:rPr>
          <w:rFonts w:hint="eastAsia"/>
        </w:rPr>
      </w:pPr>
    </w:p>
    <w:p w14:paraId="677324C4">
      <w:pPr>
        <w:pStyle w:val="16"/>
        <w:snapToGrid w:val="0"/>
        <w:spacing w:line="360" w:lineRule="auto"/>
        <w:jc w:val="center"/>
        <w:outlineLvl w:val="0"/>
        <w:rPr>
          <w:rFonts w:hint="eastAsia" w:ascii="宋体"/>
          <w:b/>
          <w:bCs/>
          <w:color w:val="000000"/>
          <w:sz w:val="52"/>
          <w:szCs w:val="52"/>
          <w:highlight w:val="none"/>
        </w:rPr>
      </w:pPr>
      <w:bookmarkStart w:id="48" w:name="_Toc26466"/>
      <w:bookmarkStart w:id="49" w:name="_Toc5700"/>
      <w:r>
        <w:rPr>
          <w:rFonts w:hint="eastAsia" w:ascii="宋体"/>
          <w:b/>
          <w:bCs/>
          <w:color w:val="000000"/>
          <w:sz w:val="44"/>
          <w:szCs w:val="44"/>
          <w:highlight w:val="none"/>
        </w:rPr>
        <w:t>投 标 文 件</w:t>
      </w:r>
      <w:bookmarkEnd w:id="48"/>
      <w:bookmarkEnd w:id="49"/>
    </w:p>
    <w:p w14:paraId="5F5513B4">
      <w:pPr>
        <w:pStyle w:val="16"/>
        <w:snapToGrid w:val="0"/>
        <w:spacing w:line="360" w:lineRule="auto"/>
        <w:rPr>
          <w:rFonts w:hint="eastAsia" w:ascii="宋体"/>
          <w:color w:val="000000"/>
          <w:sz w:val="24"/>
          <w:szCs w:val="24"/>
          <w:highlight w:val="none"/>
        </w:rPr>
      </w:pPr>
    </w:p>
    <w:p w14:paraId="40E6AD1A">
      <w:pPr>
        <w:pStyle w:val="16"/>
        <w:snapToGrid w:val="0"/>
        <w:spacing w:line="360" w:lineRule="auto"/>
        <w:jc w:val="center"/>
        <w:rPr>
          <w:rFonts w:hint="eastAsia" w:ascii="宋体" w:eastAsia="宋体"/>
          <w:color w:val="000000"/>
          <w:highlight w:val="none"/>
          <w:lang w:eastAsia="zh-CN"/>
        </w:rPr>
      </w:pPr>
      <w:r>
        <w:rPr>
          <w:rFonts w:hint="eastAsia" w:ascii="宋体" w:hAnsi="宋体" w:eastAsia="宋体" w:cs="宋体"/>
          <w:sz w:val="28"/>
          <w:szCs w:val="44"/>
          <w:lang w:val="en-US" w:eastAsia="zh-CN"/>
        </w:rPr>
        <w:t>项目</w:t>
      </w:r>
      <w:r>
        <w:rPr>
          <w:rFonts w:hint="eastAsia" w:ascii="宋体" w:hAnsi="宋体" w:eastAsia="宋体" w:cs="宋体"/>
          <w:sz w:val="28"/>
          <w:szCs w:val="44"/>
        </w:rPr>
        <w:t>编号</w:t>
      </w:r>
      <w:r>
        <w:rPr>
          <w:rFonts w:hint="eastAsia" w:ascii="宋体" w:hAnsi="宋体" w:eastAsia="宋体" w:cs="宋体"/>
          <w:sz w:val="28"/>
          <w:szCs w:val="44"/>
          <w:lang w:eastAsia="zh-CN"/>
        </w:rPr>
        <w:t>：</w:t>
      </w:r>
    </w:p>
    <w:p w14:paraId="15C6C8F1">
      <w:pPr>
        <w:snapToGrid w:val="0"/>
        <w:spacing w:line="360" w:lineRule="auto"/>
        <w:rPr>
          <w:rFonts w:hint="eastAsia" w:ascii="宋体"/>
          <w:color w:val="000000"/>
          <w:highlight w:val="none"/>
        </w:rPr>
      </w:pPr>
    </w:p>
    <w:p w14:paraId="368FCF04">
      <w:pPr>
        <w:bidi w:val="0"/>
        <w:rPr>
          <w:rFonts w:hint="eastAsia"/>
        </w:rPr>
      </w:pPr>
      <w:bookmarkStart w:id="50" w:name="_Toc11848"/>
    </w:p>
    <w:p w14:paraId="222FFEAF">
      <w:pPr>
        <w:bidi w:val="0"/>
        <w:rPr>
          <w:rFonts w:hint="eastAsia"/>
        </w:rPr>
      </w:pPr>
    </w:p>
    <w:p w14:paraId="19AA7DB6">
      <w:pPr>
        <w:bidi w:val="0"/>
        <w:rPr>
          <w:rFonts w:hint="eastAsia"/>
        </w:rPr>
      </w:pPr>
    </w:p>
    <w:p w14:paraId="768AD5D6">
      <w:pPr>
        <w:bidi w:val="0"/>
        <w:rPr>
          <w:rFonts w:hint="eastAsia"/>
        </w:rPr>
      </w:pPr>
    </w:p>
    <w:p w14:paraId="48E42DAA">
      <w:pPr>
        <w:bidi w:val="0"/>
        <w:rPr>
          <w:rFonts w:hint="eastAsia"/>
        </w:rPr>
      </w:pPr>
    </w:p>
    <w:p w14:paraId="6AA5BC60">
      <w:pPr>
        <w:bidi w:val="0"/>
        <w:rPr>
          <w:rFonts w:hint="eastAsia"/>
        </w:rPr>
      </w:pPr>
    </w:p>
    <w:p w14:paraId="43C53FE8">
      <w:pPr>
        <w:bidi w:val="0"/>
        <w:rPr>
          <w:rFonts w:hint="eastAsia"/>
        </w:rPr>
      </w:pPr>
    </w:p>
    <w:p w14:paraId="1EC4EB6B">
      <w:pPr>
        <w:bidi w:val="0"/>
        <w:rPr>
          <w:rFonts w:hint="eastAsia"/>
        </w:rPr>
      </w:pPr>
    </w:p>
    <w:p w14:paraId="53EE22A0">
      <w:pPr>
        <w:bidi w:val="0"/>
        <w:rPr>
          <w:rFonts w:hint="eastAsia"/>
        </w:rPr>
      </w:pPr>
    </w:p>
    <w:p w14:paraId="42EB066E">
      <w:pPr>
        <w:bidi w:val="0"/>
        <w:rPr>
          <w:rFonts w:hint="eastAsia"/>
        </w:rPr>
      </w:pPr>
    </w:p>
    <w:p w14:paraId="2404AE90">
      <w:pPr>
        <w:bidi w:val="0"/>
        <w:rPr>
          <w:rFonts w:hint="eastAsia"/>
        </w:rPr>
      </w:pPr>
    </w:p>
    <w:p w14:paraId="69DBA776">
      <w:pPr>
        <w:snapToGrid w:val="0"/>
        <w:spacing w:line="360" w:lineRule="auto"/>
        <w:jc w:val="left"/>
        <w:outlineLvl w:val="0"/>
        <w:rPr>
          <w:rFonts w:hint="eastAsia" w:ascii="宋体"/>
          <w:color w:val="000000"/>
          <w:sz w:val="28"/>
          <w:szCs w:val="28"/>
          <w:highlight w:val="none"/>
        </w:rPr>
      </w:pPr>
      <w:bookmarkStart w:id="51" w:name="_Toc12364"/>
      <w:r>
        <w:rPr>
          <w:rFonts w:hint="eastAsia" w:ascii="宋体"/>
          <w:color w:val="000000"/>
          <w:sz w:val="28"/>
          <w:szCs w:val="28"/>
          <w:highlight w:val="none"/>
        </w:rPr>
        <w:t>投标人名称：(盖公章)</w:t>
      </w:r>
      <w:bookmarkEnd w:id="50"/>
      <w:bookmarkEnd w:id="51"/>
    </w:p>
    <w:p w14:paraId="504F4D54">
      <w:pPr>
        <w:snapToGrid w:val="0"/>
        <w:spacing w:line="360" w:lineRule="auto"/>
        <w:ind w:firstLine="957" w:firstLineChars="342"/>
        <w:rPr>
          <w:rFonts w:hint="eastAsia" w:ascii="宋体"/>
          <w:color w:val="000000"/>
          <w:sz w:val="28"/>
          <w:szCs w:val="28"/>
          <w:highlight w:val="none"/>
          <w:u w:val="single"/>
        </w:rPr>
      </w:pPr>
    </w:p>
    <w:p w14:paraId="2596D4AA">
      <w:pPr>
        <w:snapToGrid w:val="0"/>
        <w:spacing w:line="360" w:lineRule="auto"/>
        <w:outlineLvl w:val="0"/>
        <w:rPr>
          <w:rFonts w:hint="eastAsia" w:ascii="宋体"/>
          <w:color w:val="000000"/>
          <w:sz w:val="28"/>
          <w:szCs w:val="28"/>
          <w:highlight w:val="none"/>
        </w:rPr>
      </w:pPr>
      <w:bookmarkStart w:id="52" w:name="_Toc571"/>
      <w:bookmarkStart w:id="53" w:name="_Toc7977"/>
      <w:r>
        <w:rPr>
          <w:rFonts w:hint="eastAsia" w:ascii="宋体"/>
          <w:color w:val="000000"/>
          <w:sz w:val="28"/>
          <w:szCs w:val="28"/>
          <w:highlight w:val="none"/>
        </w:rPr>
        <w:t>法定代表人或其授权委托代理人：(签字或盖章)</w:t>
      </w:r>
      <w:bookmarkEnd w:id="52"/>
      <w:bookmarkEnd w:id="53"/>
    </w:p>
    <w:p w14:paraId="33F2D65D">
      <w:pPr>
        <w:pStyle w:val="7"/>
        <w:rPr>
          <w:highlight w:val="none"/>
        </w:rPr>
      </w:pPr>
    </w:p>
    <w:p w14:paraId="51ABD27B">
      <w:pPr>
        <w:snapToGrid w:val="0"/>
        <w:spacing w:line="360" w:lineRule="auto"/>
        <w:jc w:val="center"/>
        <w:outlineLvl w:val="0"/>
        <w:rPr>
          <w:rFonts w:hint="eastAsia" w:ascii="宋体"/>
          <w:color w:val="000000"/>
          <w:sz w:val="28"/>
          <w:szCs w:val="28"/>
          <w:highlight w:val="none"/>
        </w:rPr>
      </w:pPr>
      <w:bookmarkStart w:id="54" w:name="_Toc24846"/>
      <w:bookmarkStart w:id="55" w:name="_Toc27899"/>
      <w:r>
        <w:rPr>
          <w:rFonts w:hint="eastAsia" w:ascii="宋体"/>
          <w:color w:val="000000"/>
          <w:sz w:val="28"/>
          <w:szCs w:val="28"/>
          <w:highlight w:val="none"/>
        </w:rPr>
        <w:t>年    月    日</w:t>
      </w:r>
      <w:bookmarkEnd w:id="54"/>
      <w:bookmarkEnd w:id="55"/>
    </w:p>
    <w:p w14:paraId="08CA29D2">
      <w:pPr>
        <w:snapToGrid w:val="0"/>
        <w:spacing w:line="360" w:lineRule="auto"/>
        <w:jc w:val="center"/>
        <w:rPr>
          <w:rFonts w:hint="eastAsia" w:ascii="宋体"/>
          <w:color w:val="000000"/>
          <w:sz w:val="28"/>
          <w:szCs w:val="28"/>
          <w:highlight w:val="none"/>
        </w:rPr>
      </w:pPr>
    </w:p>
    <w:p w14:paraId="5A5FBFE8">
      <w:pPr>
        <w:snapToGrid w:val="0"/>
        <w:spacing w:line="360" w:lineRule="auto"/>
        <w:jc w:val="center"/>
        <w:rPr>
          <w:rFonts w:hint="eastAsia" w:ascii="宋体"/>
          <w:sz w:val="28"/>
          <w:szCs w:val="28"/>
          <w:highlight w:val="none"/>
        </w:rPr>
      </w:pPr>
    </w:p>
    <w:p w14:paraId="628A46A3">
      <w:pPr>
        <w:snapToGrid w:val="0"/>
        <w:spacing w:line="360" w:lineRule="auto"/>
        <w:jc w:val="center"/>
        <w:rPr>
          <w:rFonts w:hint="eastAsia" w:ascii="宋体"/>
          <w:b/>
          <w:bCs/>
          <w:color w:val="000000"/>
          <w:sz w:val="36"/>
          <w:szCs w:val="36"/>
          <w:highlight w:val="none"/>
        </w:rPr>
      </w:pPr>
      <w:r>
        <w:rPr>
          <w:rFonts w:hint="eastAsia" w:ascii="宋体"/>
          <w:sz w:val="28"/>
          <w:szCs w:val="28"/>
          <w:highlight w:val="none"/>
        </w:rPr>
        <w:br w:type="page"/>
      </w:r>
      <w:r>
        <w:rPr>
          <w:rFonts w:hint="eastAsia" w:ascii="宋体"/>
          <w:b/>
          <w:bCs/>
          <w:color w:val="000000"/>
          <w:sz w:val="36"/>
          <w:szCs w:val="36"/>
          <w:highlight w:val="none"/>
        </w:rPr>
        <w:t>目   录</w:t>
      </w:r>
    </w:p>
    <w:p w14:paraId="1EF25CF1">
      <w:pPr>
        <w:pStyle w:val="19"/>
        <w:ind w:firstLine="240"/>
        <w:rPr>
          <w:highlight w:val="none"/>
        </w:rPr>
      </w:pPr>
    </w:p>
    <w:p w14:paraId="54400A20">
      <w:pPr>
        <w:numPr>
          <w:ilvl w:val="0"/>
          <w:numId w:val="6"/>
        </w:numPr>
        <w:snapToGrid w:val="0"/>
        <w:spacing w:line="360" w:lineRule="auto"/>
        <w:ind w:firstLine="480" w:firstLineChars="200"/>
        <w:outlineLvl w:val="0"/>
        <w:rPr>
          <w:rFonts w:hint="eastAsia" w:ascii="宋体" w:cs="宋体-18030"/>
          <w:color w:val="000000"/>
          <w:kern w:val="0"/>
          <w:sz w:val="24"/>
          <w:szCs w:val="24"/>
          <w:highlight w:val="none"/>
        </w:rPr>
      </w:pPr>
      <w:bookmarkStart w:id="56" w:name="_Toc9875"/>
      <w:bookmarkStart w:id="57" w:name="_Toc26789"/>
      <w:r>
        <w:rPr>
          <w:rFonts w:hint="eastAsia" w:ascii="宋体" w:cs="宋体-18030"/>
          <w:color w:val="000000"/>
          <w:kern w:val="0"/>
          <w:sz w:val="24"/>
          <w:szCs w:val="24"/>
          <w:highlight w:val="none"/>
        </w:rPr>
        <w:t>投标函及投标函附录</w:t>
      </w:r>
      <w:bookmarkEnd w:id="56"/>
      <w:bookmarkEnd w:id="57"/>
    </w:p>
    <w:p w14:paraId="2C07A0DD">
      <w:pPr>
        <w:numPr>
          <w:ilvl w:val="0"/>
          <w:numId w:val="6"/>
        </w:numPr>
        <w:snapToGrid w:val="0"/>
        <w:spacing w:line="360" w:lineRule="auto"/>
        <w:ind w:firstLine="480" w:firstLineChars="200"/>
        <w:outlineLvl w:val="0"/>
        <w:rPr>
          <w:rFonts w:hint="eastAsia" w:ascii="宋体" w:cs="宋体-18030"/>
          <w:color w:val="000000"/>
          <w:kern w:val="0"/>
          <w:sz w:val="24"/>
          <w:szCs w:val="24"/>
          <w:highlight w:val="none"/>
        </w:rPr>
      </w:pPr>
      <w:bookmarkStart w:id="58" w:name="_Toc17236"/>
      <w:bookmarkStart w:id="59" w:name="_Toc16350"/>
      <w:r>
        <w:rPr>
          <w:rFonts w:hint="eastAsia" w:ascii="宋体" w:cs="宋体-18030"/>
          <w:color w:val="000000"/>
          <w:kern w:val="0"/>
          <w:sz w:val="24"/>
          <w:szCs w:val="24"/>
          <w:highlight w:val="none"/>
        </w:rPr>
        <w:t>开标一览表</w:t>
      </w:r>
      <w:bookmarkEnd w:id="58"/>
      <w:bookmarkEnd w:id="59"/>
    </w:p>
    <w:p w14:paraId="5A6DFEF8">
      <w:pPr>
        <w:snapToGrid w:val="0"/>
        <w:spacing w:line="360" w:lineRule="auto"/>
        <w:ind w:firstLine="480" w:firstLineChars="200"/>
        <w:outlineLvl w:val="0"/>
        <w:rPr>
          <w:rFonts w:hint="eastAsia" w:ascii="宋体" w:cs="宋体-18030"/>
          <w:color w:val="000000"/>
          <w:kern w:val="0"/>
          <w:sz w:val="24"/>
          <w:szCs w:val="24"/>
          <w:highlight w:val="none"/>
        </w:rPr>
      </w:pPr>
      <w:bookmarkStart w:id="60" w:name="_Toc8617"/>
      <w:bookmarkStart w:id="61" w:name="_Toc14437"/>
      <w:r>
        <w:rPr>
          <w:rFonts w:hint="eastAsia" w:ascii="宋体" w:cs="宋体-18030"/>
          <w:color w:val="000000"/>
          <w:kern w:val="0"/>
          <w:sz w:val="24"/>
          <w:szCs w:val="24"/>
          <w:highlight w:val="none"/>
        </w:rPr>
        <w:t>三、法定代表人身份证明及授权委托书</w:t>
      </w:r>
      <w:bookmarkEnd w:id="60"/>
      <w:bookmarkEnd w:id="61"/>
    </w:p>
    <w:p w14:paraId="1E512033">
      <w:pPr>
        <w:snapToGrid w:val="0"/>
        <w:spacing w:line="360" w:lineRule="auto"/>
        <w:ind w:firstLine="480" w:firstLineChars="200"/>
        <w:outlineLvl w:val="0"/>
        <w:rPr>
          <w:rFonts w:hint="eastAsia" w:ascii="宋体" w:cs="宋体-18030"/>
          <w:color w:val="000000"/>
          <w:kern w:val="0"/>
          <w:sz w:val="24"/>
          <w:szCs w:val="24"/>
          <w:highlight w:val="none"/>
        </w:rPr>
      </w:pPr>
      <w:bookmarkStart w:id="62" w:name="_Toc16231"/>
      <w:bookmarkStart w:id="63" w:name="_Toc29073"/>
      <w:r>
        <w:rPr>
          <w:rFonts w:hint="eastAsia" w:ascii="宋体" w:cs="宋体-18030"/>
          <w:color w:val="000000"/>
          <w:kern w:val="0"/>
          <w:sz w:val="24"/>
          <w:szCs w:val="24"/>
          <w:highlight w:val="none"/>
        </w:rPr>
        <w:t>四、投标保证金</w:t>
      </w:r>
      <w:bookmarkEnd w:id="62"/>
      <w:bookmarkEnd w:id="63"/>
    </w:p>
    <w:p w14:paraId="78604E9C">
      <w:pPr>
        <w:snapToGrid w:val="0"/>
        <w:spacing w:line="360" w:lineRule="auto"/>
        <w:ind w:firstLine="480" w:firstLineChars="200"/>
        <w:outlineLvl w:val="0"/>
        <w:rPr>
          <w:rFonts w:hint="eastAsia" w:ascii="宋体" w:cs="宋体-18030"/>
          <w:color w:val="000000"/>
          <w:kern w:val="0"/>
          <w:sz w:val="24"/>
          <w:szCs w:val="24"/>
          <w:highlight w:val="none"/>
        </w:rPr>
      </w:pPr>
      <w:bookmarkStart w:id="64" w:name="_Toc24375"/>
      <w:bookmarkStart w:id="65" w:name="_Toc24298"/>
      <w:r>
        <w:rPr>
          <w:rFonts w:hint="eastAsia" w:ascii="宋体" w:cs="宋体-18030"/>
          <w:color w:val="000000"/>
          <w:kern w:val="0"/>
          <w:sz w:val="24"/>
          <w:szCs w:val="24"/>
          <w:highlight w:val="none"/>
        </w:rPr>
        <w:t>五、</w:t>
      </w:r>
      <w:bookmarkEnd w:id="64"/>
      <w:r>
        <w:rPr>
          <w:rFonts w:hint="eastAsia" w:ascii="宋体" w:cs="宋体-18030"/>
          <w:color w:val="000000"/>
          <w:kern w:val="0"/>
          <w:sz w:val="24"/>
          <w:szCs w:val="24"/>
          <w:highlight w:val="none"/>
        </w:rPr>
        <w:t>资格审查资料</w:t>
      </w:r>
      <w:bookmarkEnd w:id="65"/>
    </w:p>
    <w:p w14:paraId="301C436A">
      <w:pPr>
        <w:snapToGrid w:val="0"/>
        <w:spacing w:line="360" w:lineRule="auto"/>
        <w:ind w:firstLine="480" w:firstLineChars="200"/>
        <w:outlineLvl w:val="0"/>
        <w:rPr>
          <w:rFonts w:hint="eastAsia" w:ascii="宋体" w:cs="宋体-18030"/>
          <w:color w:val="000000"/>
          <w:kern w:val="0"/>
          <w:sz w:val="24"/>
          <w:szCs w:val="24"/>
          <w:highlight w:val="none"/>
        </w:rPr>
      </w:pPr>
      <w:bookmarkStart w:id="66" w:name="_Toc27378"/>
      <w:bookmarkStart w:id="67" w:name="_Toc2271"/>
      <w:r>
        <w:rPr>
          <w:rFonts w:hint="eastAsia" w:ascii="宋体" w:cs="宋体-18030"/>
          <w:color w:val="000000"/>
          <w:kern w:val="0"/>
          <w:sz w:val="24"/>
          <w:szCs w:val="24"/>
          <w:highlight w:val="none"/>
        </w:rPr>
        <w:t>六、</w:t>
      </w:r>
      <w:bookmarkEnd w:id="66"/>
      <w:r>
        <w:rPr>
          <w:rFonts w:hint="eastAsia" w:ascii="宋体" w:cs="宋体-18030"/>
          <w:color w:val="000000"/>
          <w:kern w:val="0"/>
          <w:sz w:val="24"/>
          <w:szCs w:val="24"/>
          <w:highlight w:val="none"/>
          <w:lang w:val="en-US" w:eastAsia="zh-CN"/>
        </w:rPr>
        <w:t>技术</w:t>
      </w:r>
      <w:r>
        <w:rPr>
          <w:rFonts w:hint="eastAsia" w:ascii="宋体" w:cs="宋体-18030"/>
          <w:bCs/>
          <w:color w:val="000000"/>
          <w:kern w:val="0"/>
          <w:sz w:val="24"/>
          <w:szCs w:val="24"/>
          <w:highlight w:val="none"/>
        </w:rPr>
        <w:t>方案</w:t>
      </w:r>
      <w:bookmarkEnd w:id="67"/>
    </w:p>
    <w:p w14:paraId="3B46C67F">
      <w:pPr>
        <w:snapToGrid w:val="0"/>
        <w:spacing w:line="360" w:lineRule="auto"/>
        <w:ind w:firstLine="480" w:firstLineChars="200"/>
        <w:outlineLvl w:val="0"/>
        <w:rPr>
          <w:rFonts w:hint="eastAsia" w:ascii="宋体" w:cs="宋体-18030"/>
          <w:color w:val="000000"/>
          <w:kern w:val="0"/>
          <w:sz w:val="24"/>
          <w:szCs w:val="24"/>
          <w:highlight w:val="none"/>
        </w:rPr>
      </w:pPr>
      <w:bookmarkStart w:id="68" w:name="_Toc10542"/>
      <w:bookmarkStart w:id="69" w:name="_Toc22900"/>
      <w:r>
        <w:rPr>
          <w:rFonts w:hint="eastAsia" w:ascii="宋体" w:cs="宋体-18030"/>
          <w:color w:val="000000"/>
          <w:kern w:val="0"/>
          <w:sz w:val="24"/>
          <w:szCs w:val="24"/>
          <w:highlight w:val="none"/>
        </w:rPr>
        <w:t>七、</w:t>
      </w:r>
      <w:bookmarkEnd w:id="68"/>
      <w:bookmarkStart w:id="70" w:name="_Toc8548"/>
      <w:bookmarkEnd w:id="70"/>
      <w:bookmarkStart w:id="71" w:name="_Toc23151"/>
      <w:r>
        <w:rPr>
          <w:rFonts w:hint="eastAsia" w:ascii="宋体" w:cs="宋体-18030"/>
          <w:color w:val="000000"/>
          <w:kern w:val="0"/>
          <w:sz w:val="24"/>
          <w:szCs w:val="24"/>
          <w:highlight w:val="none"/>
        </w:rPr>
        <w:t>其他资料</w:t>
      </w:r>
      <w:bookmarkEnd w:id="69"/>
      <w:bookmarkEnd w:id="71"/>
    </w:p>
    <w:p w14:paraId="394EFE56">
      <w:pPr>
        <w:pStyle w:val="5"/>
        <w:snapToGrid w:val="0"/>
        <w:spacing w:line="360" w:lineRule="auto"/>
        <w:rPr>
          <w:rFonts w:hint="eastAsia" w:ascii="宋体"/>
          <w:color w:val="000000"/>
          <w:sz w:val="24"/>
          <w:szCs w:val="24"/>
          <w:highlight w:val="none"/>
        </w:rPr>
      </w:pPr>
    </w:p>
    <w:p w14:paraId="59BA493E">
      <w:pPr>
        <w:pStyle w:val="5"/>
        <w:snapToGrid w:val="0"/>
        <w:spacing w:line="360" w:lineRule="auto"/>
        <w:outlineLvl w:val="0"/>
        <w:rPr>
          <w:rFonts w:hint="eastAsia" w:ascii="宋体"/>
          <w:b/>
          <w:bCs/>
          <w:color w:val="000000"/>
          <w:sz w:val="24"/>
          <w:szCs w:val="24"/>
          <w:highlight w:val="none"/>
        </w:rPr>
      </w:pPr>
      <w:bookmarkStart w:id="72" w:name="_Toc20231"/>
      <w:bookmarkStart w:id="73" w:name="_Toc23289"/>
      <w:r>
        <w:rPr>
          <w:rFonts w:hint="eastAsia" w:ascii="宋体"/>
          <w:b/>
          <w:bCs/>
          <w:color w:val="000000"/>
          <w:sz w:val="24"/>
          <w:szCs w:val="24"/>
          <w:highlight w:val="none"/>
        </w:rPr>
        <w:t>注：投标人可依据自身情况增加目录内容，且须编制页码</w:t>
      </w:r>
      <w:bookmarkEnd w:id="72"/>
      <w:bookmarkEnd w:id="73"/>
    </w:p>
    <w:p w14:paraId="427B5A39">
      <w:pPr>
        <w:pStyle w:val="5"/>
        <w:snapToGrid w:val="0"/>
        <w:spacing w:line="360" w:lineRule="auto"/>
        <w:rPr>
          <w:rFonts w:hint="eastAsia" w:ascii="宋体"/>
          <w:color w:val="000000"/>
          <w:sz w:val="24"/>
          <w:szCs w:val="24"/>
          <w:highlight w:val="none"/>
        </w:rPr>
      </w:pPr>
    </w:p>
    <w:p w14:paraId="5EF8C0BE">
      <w:pPr>
        <w:pStyle w:val="5"/>
        <w:snapToGrid w:val="0"/>
        <w:spacing w:line="360" w:lineRule="auto"/>
        <w:rPr>
          <w:rFonts w:hint="eastAsia" w:ascii="宋体"/>
          <w:color w:val="000000"/>
          <w:sz w:val="21"/>
          <w:szCs w:val="21"/>
          <w:highlight w:val="none"/>
        </w:rPr>
      </w:pPr>
    </w:p>
    <w:p w14:paraId="445E25D5">
      <w:pPr>
        <w:pStyle w:val="5"/>
        <w:snapToGrid w:val="0"/>
        <w:spacing w:line="360" w:lineRule="auto"/>
        <w:rPr>
          <w:rFonts w:hint="eastAsia" w:ascii="宋体"/>
          <w:color w:val="000000"/>
          <w:sz w:val="21"/>
          <w:szCs w:val="21"/>
          <w:highlight w:val="none"/>
        </w:rPr>
      </w:pPr>
    </w:p>
    <w:p w14:paraId="48254DDC">
      <w:pPr>
        <w:pStyle w:val="5"/>
        <w:snapToGrid w:val="0"/>
        <w:spacing w:line="360" w:lineRule="auto"/>
        <w:rPr>
          <w:rFonts w:hint="eastAsia" w:ascii="宋体"/>
          <w:color w:val="000000"/>
          <w:sz w:val="21"/>
          <w:szCs w:val="21"/>
          <w:highlight w:val="none"/>
        </w:rPr>
      </w:pPr>
    </w:p>
    <w:p w14:paraId="79A95C33">
      <w:pPr>
        <w:pStyle w:val="5"/>
        <w:snapToGrid w:val="0"/>
        <w:spacing w:line="360" w:lineRule="auto"/>
        <w:rPr>
          <w:rFonts w:hint="eastAsia" w:ascii="宋体"/>
          <w:color w:val="000000"/>
          <w:sz w:val="21"/>
          <w:szCs w:val="21"/>
          <w:highlight w:val="none"/>
        </w:rPr>
      </w:pPr>
    </w:p>
    <w:p w14:paraId="0C308BC0">
      <w:pPr>
        <w:pStyle w:val="5"/>
        <w:snapToGrid w:val="0"/>
        <w:spacing w:line="360" w:lineRule="auto"/>
        <w:rPr>
          <w:rFonts w:hint="eastAsia" w:ascii="宋体"/>
          <w:color w:val="000000"/>
          <w:sz w:val="21"/>
          <w:szCs w:val="21"/>
          <w:highlight w:val="none"/>
        </w:rPr>
      </w:pPr>
    </w:p>
    <w:p w14:paraId="64ACB935">
      <w:pPr>
        <w:pStyle w:val="5"/>
        <w:snapToGrid w:val="0"/>
        <w:spacing w:line="360" w:lineRule="auto"/>
        <w:rPr>
          <w:rFonts w:hint="eastAsia" w:ascii="宋体"/>
          <w:color w:val="000000"/>
          <w:sz w:val="21"/>
          <w:szCs w:val="21"/>
          <w:highlight w:val="none"/>
        </w:rPr>
      </w:pPr>
    </w:p>
    <w:p w14:paraId="588B754A">
      <w:pPr>
        <w:pStyle w:val="5"/>
        <w:snapToGrid w:val="0"/>
        <w:spacing w:line="360" w:lineRule="auto"/>
        <w:rPr>
          <w:rFonts w:hint="eastAsia" w:ascii="宋体"/>
          <w:color w:val="000000"/>
          <w:sz w:val="21"/>
          <w:szCs w:val="21"/>
          <w:highlight w:val="none"/>
        </w:rPr>
      </w:pPr>
    </w:p>
    <w:p w14:paraId="239FB4A6">
      <w:pPr>
        <w:pStyle w:val="5"/>
        <w:snapToGrid w:val="0"/>
        <w:spacing w:line="360" w:lineRule="auto"/>
        <w:rPr>
          <w:rFonts w:hint="eastAsia" w:ascii="宋体"/>
          <w:color w:val="000000"/>
          <w:sz w:val="21"/>
          <w:szCs w:val="21"/>
          <w:highlight w:val="none"/>
        </w:rPr>
      </w:pPr>
    </w:p>
    <w:p w14:paraId="4DA6F68E">
      <w:pPr>
        <w:autoSpaceDE w:val="0"/>
        <w:autoSpaceDN w:val="0"/>
        <w:adjustRightInd w:val="0"/>
        <w:snapToGrid w:val="0"/>
        <w:spacing w:line="360" w:lineRule="auto"/>
        <w:jc w:val="center"/>
        <w:outlineLvl w:val="0"/>
        <w:rPr>
          <w:rFonts w:hint="eastAsia" w:ascii="宋体" w:cs="宋体-18030"/>
          <w:b/>
          <w:bCs/>
          <w:color w:val="000000"/>
          <w:kern w:val="0"/>
          <w:sz w:val="30"/>
          <w:szCs w:val="30"/>
          <w:highlight w:val="none"/>
        </w:rPr>
      </w:pPr>
      <w:r>
        <w:rPr>
          <w:rFonts w:hint="eastAsia" w:ascii="宋体" w:cs="宋体-18030"/>
          <w:color w:val="000000"/>
          <w:kern w:val="0"/>
          <w:sz w:val="24"/>
          <w:szCs w:val="24"/>
          <w:highlight w:val="none"/>
        </w:rPr>
        <w:br w:type="page"/>
      </w:r>
      <w:bookmarkStart w:id="74" w:name="_Toc75"/>
      <w:bookmarkStart w:id="75" w:name="_Toc25676"/>
      <w:r>
        <w:rPr>
          <w:rFonts w:hint="eastAsia" w:ascii="宋体" w:cs="宋体-18030"/>
          <w:b/>
          <w:bCs/>
          <w:color w:val="000000"/>
          <w:kern w:val="0"/>
          <w:sz w:val="30"/>
          <w:szCs w:val="30"/>
          <w:highlight w:val="none"/>
        </w:rPr>
        <w:t>一、投标函及投标函附录</w:t>
      </w:r>
      <w:bookmarkEnd w:id="74"/>
      <w:bookmarkEnd w:id="75"/>
    </w:p>
    <w:p w14:paraId="2EC03E62">
      <w:pPr>
        <w:autoSpaceDE w:val="0"/>
        <w:autoSpaceDN w:val="0"/>
        <w:adjustRightInd w:val="0"/>
        <w:snapToGrid w:val="0"/>
        <w:spacing w:line="360" w:lineRule="auto"/>
        <w:jc w:val="center"/>
        <w:rPr>
          <w:rFonts w:hint="eastAsia" w:ascii="宋体" w:cs="宋体-18030"/>
          <w:color w:val="000000"/>
          <w:kern w:val="0"/>
          <w:sz w:val="24"/>
          <w:szCs w:val="24"/>
          <w:highlight w:val="none"/>
          <w:u w:val="single"/>
        </w:rPr>
      </w:pPr>
      <w:r>
        <w:rPr>
          <w:rFonts w:hint="eastAsia" w:ascii="宋体" w:cs="宋体-18030"/>
          <w:b/>
          <w:bCs/>
          <w:color w:val="000000"/>
          <w:kern w:val="0"/>
          <w:sz w:val="30"/>
          <w:szCs w:val="30"/>
          <w:highlight w:val="none"/>
        </w:rPr>
        <w:t>（一）投标函</w:t>
      </w:r>
    </w:p>
    <w:p w14:paraId="11B09658">
      <w:pPr>
        <w:autoSpaceDE w:val="0"/>
        <w:autoSpaceDN w:val="0"/>
        <w:adjustRightInd w:val="0"/>
        <w:snapToGrid w:val="0"/>
        <w:spacing w:line="360" w:lineRule="auto"/>
        <w:ind w:firstLine="210" w:firstLineChars="100"/>
        <w:jc w:val="left"/>
        <w:rPr>
          <w:rFonts w:hint="eastAsia" w:ascii="宋体" w:cs="宋体-18030"/>
          <w:color w:val="000000"/>
          <w:kern w:val="0"/>
          <w:highlight w:val="none"/>
          <w:u w:val="single"/>
        </w:rPr>
      </w:pPr>
      <w:r>
        <w:rPr>
          <w:rFonts w:hint="eastAsia" w:ascii="宋体" w:cs="宋体-18030"/>
          <w:color w:val="000000"/>
          <w:kern w:val="0"/>
          <w:highlight w:val="none"/>
          <w:u w:val="single"/>
        </w:rPr>
        <w:t>(</w:t>
      </w:r>
      <w:r>
        <w:rPr>
          <w:rFonts w:hint="eastAsia" w:ascii="宋体" w:cs="宋体-18030"/>
          <w:color w:val="000000"/>
          <w:kern w:val="0"/>
          <w:highlight w:val="none"/>
          <w:u w:val="single"/>
          <w:lang w:eastAsia="zh-CN"/>
        </w:rPr>
        <w:t>采购人</w:t>
      </w:r>
      <w:r>
        <w:rPr>
          <w:rFonts w:hint="eastAsia" w:ascii="宋体" w:cs="宋体-18030"/>
          <w:color w:val="000000"/>
          <w:kern w:val="0"/>
          <w:highlight w:val="none"/>
          <w:u w:val="single"/>
        </w:rPr>
        <w:t>名称)：</w:t>
      </w:r>
    </w:p>
    <w:p w14:paraId="0EBA41A6">
      <w:pPr>
        <w:snapToGrid w:val="0"/>
        <w:spacing w:line="360" w:lineRule="auto"/>
        <w:ind w:left="210" w:leftChars="100" w:firstLine="210" w:firstLineChars="100"/>
        <w:rPr>
          <w:rFonts w:hint="eastAsia" w:ascii="宋体"/>
          <w:color w:val="000000"/>
          <w:highlight w:val="none"/>
        </w:rPr>
      </w:pPr>
      <w:r>
        <w:rPr>
          <w:rFonts w:hint="eastAsia" w:ascii="宋体" w:cs="宋体-18030"/>
          <w:color w:val="000000"/>
          <w:kern w:val="0"/>
          <w:highlight w:val="none"/>
        </w:rPr>
        <w:t>1.我方已仔细研究了</w:t>
      </w:r>
      <w:r>
        <w:rPr>
          <w:rFonts w:hint="eastAsia" w:ascii="宋体" w:cs="宋体-18030"/>
          <w:color w:val="000000"/>
          <w:kern w:val="0"/>
          <w:highlight w:val="none"/>
          <w:u w:val="single"/>
        </w:rPr>
        <w:t xml:space="preserve"> </w:t>
      </w:r>
      <w:r>
        <w:rPr>
          <w:rFonts w:hint="eastAsia" w:ascii="宋体" w:hAnsi="宋体" w:eastAsia="宋体" w:cs="Arial"/>
          <w:color w:val="auto"/>
          <w:kern w:val="0"/>
          <w:szCs w:val="21"/>
          <w:highlight w:val="none"/>
          <w:u w:val="single"/>
        </w:rPr>
        <w:t xml:space="preserve"> (项目名称)</w:t>
      </w:r>
      <w:r>
        <w:rPr>
          <w:rFonts w:hint="eastAsia" w:ascii="宋体" w:hAnsi="宋体" w:eastAsia="宋体" w:cs="Arial"/>
          <w:color w:val="auto"/>
          <w:kern w:val="0"/>
          <w:szCs w:val="21"/>
          <w:highlight w:val="none"/>
          <w:u w:val="single"/>
          <w:lang w:val="en-US" w:eastAsia="zh-CN"/>
        </w:rPr>
        <w:t xml:space="preserve">  </w:t>
      </w:r>
      <w:r>
        <w:rPr>
          <w:rFonts w:hint="eastAsia" w:ascii="宋体" w:cs="宋体-18030"/>
          <w:color w:val="000000"/>
          <w:kern w:val="0"/>
          <w:highlight w:val="none"/>
          <w:u w:val="single"/>
        </w:rPr>
        <w:t xml:space="preserve">  </w:t>
      </w:r>
      <w:r>
        <w:rPr>
          <w:rFonts w:hint="eastAsia" w:ascii="宋体" w:cs="宋体-18030"/>
          <w:color w:val="000000"/>
          <w:kern w:val="0"/>
          <w:highlight w:val="none"/>
        </w:rPr>
        <w:t>招标文件的全部内容，我方愿按的合同方式，以</w:t>
      </w:r>
      <w:r>
        <w:rPr>
          <w:rFonts w:hint="eastAsia" w:ascii="宋体" w:cs="宋体-18030"/>
          <w:color w:val="000000"/>
          <w:kern w:val="0"/>
          <w:highlight w:val="none"/>
          <w:u w:val="single"/>
        </w:rPr>
        <w:t xml:space="preserve">        </w:t>
      </w:r>
      <w:r>
        <w:rPr>
          <w:rFonts w:hint="eastAsia" w:ascii="宋体" w:cs="宋体-18030"/>
          <w:color w:val="000000"/>
          <w:kern w:val="0"/>
          <w:highlight w:val="none"/>
        </w:rPr>
        <w:t xml:space="preserve"> (</w:t>
      </w:r>
      <w:r>
        <w:rPr>
          <w:rFonts w:hint="eastAsia" w:ascii="宋体" w:cs="宋体-18030"/>
          <w:color w:val="000000"/>
          <w:kern w:val="0"/>
          <w:highlight w:val="none"/>
          <w:u w:val="single"/>
        </w:rPr>
        <w:t xml:space="preserve">         </w:t>
      </w:r>
      <w:r>
        <w:rPr>
          <w:rFonts w:hint="eastAsia" w:ascii="宋体" w:cs="宋体-18030"/>
          <w:color w:val="000000"/>
          <w:kern w:val="0"/>
          <w:highlight w:val="none"/>
        </w:rPr>
        <w:t>)元的投标总价报价，合同履行期限为</w:t>
      </w:r>
      <w:r>
        <w:rPr>
          <w:rFonts w:hint="eastAsia" w:ascii="宋体" w:cs="宋体-18030"/>
          <w:color w:val="000000"/>
          <w:kern w:val="0"/>
          <w:highlight w:val="none"/>
          <w:u w:val="single"/>
        </w:rPr>
        <w:t xml:space="preserve">        </w:t>
      </w:r>
      <w:r>
        <w:rPr>
          <w:rFonts w:hint="eastAsia" w:ascii="宋体" w:cs="宋体-18030"/>
          <w:color w:val="000000"/>
          <w:kern w:val="0"/>
          <w:highlight w:val="none"/>
        </w:rPr>
        <w:t>，按合同约定实施和完成承包上述招标项目。</w:t>
      </w:r>
    </w:p>
    <w:p w14:paraId="3A3F1E67">
      <w:pPr>
        <w:autoSpaceDE w:val="0"/>
        <w:autoSpaceDN w:val="0"/>
        <w:adjustRightInd w:val="0"/>
        <w:snapToGrid w:val="0"/>
        <w:spacing w:line="360" w:lineRule="auto"/>
        <w:ind w:firstLine="420" w:firstLineChars="200"/>
        <w:jc w:val="left"/>
        <w:rPr>
          <w:rFonts w:hint="eastAsia" w:ascii="宋体" w:cs="宋体-18030"/>
          <w:color w:val="000000"/>
          <w:kern w:val="0"/>
          <w:highlight w:val="none"/>
        </w:rPr>
      </w:pPr>
      <w:r>
        <w:rPr>
          <w:rFonts w:hint="eastAsia" w:ascii="宋体" w:cs="宋体-18030"/>
          <w:color w:val="000000"/>
          <w:kern w:val="0"/>
          <w:highlight w:val="none"/>
        </w:rPr>
        <w:t>2.我方承诺在投标有效期</w:t>
      </w:r>
      <w:r>
        <w:rPr>
          <w:rFonts w:hint="eastAsia" w:ascii="宋体" w:cs="宋体-18030"/>
          <w:color w:val="000000"/>
          <w:kern w:val="0"/>
          <w:highlight w:val="none"/>
          <w:u w:val="single"/>
        </w:rPr>
        <w:t>90</w:t>
      </w:r>
      <w:r>
        <w:rPr>
          <w:rFonts w:hint="eastAsia" w:ascii="宋体" w:cs="宋体-18030"/>
          <w:color w:val="000000"/>
          <w:kern w:val="0"/>
          <w:highlight w:val="none"/>
        </w:rPr>
        <w:t>日内不修改、撤销投标文件。</w:t>
      </w:r>
    </w:p>
    <w:p w14:paraId="174997E3">
      <w:pPr>
        <w:autoSpaceDE w:val="0"/>
        <w:autoSpaceDN w:val="0"/>
        <w:adjustRightInd w:val="0"/>
        <w:snapToGrid w:val="0"/>
        <w:spacing w:line="360" w:lineRule="auto"/>
        <w:ind w:firstLine="420" w:firstLineChars="200"/>
        <w:jc w:val="left"/>
        <w:rPr>
          <w:rFonts w:hint="eastAsia" w:ascii="宋体" w:cs="宋体-18030"/>
          <w:color w:val="000000"/>
          <w:kern w:val="0"/>
          <w:highlight w:val="none"/>
        </w:rPr>
      </w:pPr>
      <w:r>
        <w:rPr>
          <w:rFonts w:hint="eastAsia" w:ascii="宋体" w:cs="宋体-18030"/>
          <w:color w:val="000000"/>
          <w:kern w:val="0"/>
          <w:highlight w:val="none"/>
        </w:rPr>
        <w:t>3.随同本投标函提交投标保证金一份，金额为人民币(大写)</w:t>
      </w:r>
      <w:r>
        <w:rPr>
          <w:rFonts w:hint="eastAsia" w:ascii="宋体" w:cs="宋体-18030"/>
          <w:color w:val="000000"/>
          <w:kern w:val="0"/>
          <w:highlight w:val="none"/>
          <w:u w:val="single"/>
          <w:lang w:val="en-US" w:eastAsia="zh-CN"/>
        </w:rPr>
        <w:t xml:space="preserve">  </w:t>
      </w:r>
      <w:r>
        <w:rPr>
          <w:rFonts w:hint="eastAsia" w:ascii="宋体" w:cs="宋体-18030"/>
          <w:color w:val="000000"/>
          <w:kern w:val="0"/>
          <w:highlight w:val="none"/>
        </w:rPr>
        <w:t>元(¥)。</w:t>
      </w:r>
    </w:p>
    <w:p w14:paraId="535ED818">
      <w:pPr>
        <w:autoSpaceDE w:val="0"/>
        <w:autoSpaceDN w:val="0"/>
        <w:adjustRightInd w:val="0"/>
        <w:snapToGrid w:val="0"/>
        <w:spacing w:line="360" w:lineRule="auto"/>
        <w:ind w:firstLine="420" w:firstLineChars="200"/>
        <w:jc w:val="left"/>
        <w:rPr>
          <w:rFonts w:hint="eastAsia" w:ascii="宋体" w:cs="宋体-18030"/>
          <w:color w:val="000000"/>
          <w:kern w:val="0"/>
          <w:highlight w:val="none"/>
        </w:rPr>
      </w:pPr>
      <w:r>
        <w:rPr>
          <w:rFonts w:hint="eastAsia" w:ascii="宋体" w:cs="宋体-18030"/>
          <w:color w:val="000000"/>
          <w:kern w:val="0"/>
          <w:highlight w:val="none"/>
        </w:rPr>
        <w:t>4.如我方中标：</w:t>
      </w:r>
    </w:p>
    <w:p w14:paraId="45D89F9B">
      <w:pPr>
        <w:autoSpaceDE w:val="0"/>
        <w:autoSpaceDN w:val="0"/>
        <w:adjustRightInd w:val="0"/>
        <w:snapToGrid w:val="0"/>
        <w:spacing w:line="360" w:lineRule="auto"/>
        <w:ind w:firstLine="420" w:firstLineChars="200"/>
        <w:jc w:val="both"/>
        <w:rPr>
          <w:rFonts w:hint="eastAsia" w:ascii="宋体" w:hAnsi="宋体" w:eastAsia="宋体" w:cs="宋体"/>
          <w:color w:val="000000"/>
          <w:kern w:val="0"/>
          <w:highlight w:val="none"/>
        </w:rPr>
      </w:pPr>
      <w:r>
        <w:rPr>
          <w:rFonts w:hint="eastAsia" w:ascii="宋体" w:hAnsi="宋体" w:eastAsia="宋体" w:cs="宋体"/>
          <w:color w:val="000000"/>
          <w:kern w:val="0"/>
          <w:highlight w:val="none"/>
          <w:lang w:eastAsia="zh-CN"/>
        </w:rPr>
        <w:t>（</w:t>
      </w:r>
      <w:r>
        <w:rPr>
          <w:rFonts w:hint="eastAsia" w:ascii="宋体" w:hAnsi="宋体" w:eastAsia="宋体" w:cs="宋体"/>
          <w:color w:val="000000"/>
          <w:kern w:val="0"/>
          <w:highlight w:val="none"/>
          <w:lang w:val="en-US" w:eastAsia="zh-CN"/>
        </w:rPr>
        <w:t>1</w:t>
      </w:r>
      <w:r>
        <w:rPr>
          <w:rFonts w:hint="eastAsia" w:ascii="宋体" w:hAnsi="宋体" w:eastAsia="宋体" w:cs="宋体"/>
          <w:color w:val="000000"/>
          <w:kern w:val="0"/>
          <w:highlight w:val="none"/>
          <w:lang w:eastAsia="zh-CN"/>
        </w:rPr>
        <w:t>）</w:t>
      </w:r>
      <w:r>
        <w:rPr>
          <w:rFonts w:hint="eastAsia" w:ascii="宋体" w:hAnsi="宋体" w:eastAsia="宋体" w:cs="宋体"/>
          <w:color w:val="000000"/>
          <w:kern w:val="0"/>
          <w:highlight w:val="none"/>
        </w:rPr>
        <w:t>我方承诺在收到中标通知书后，在中标通知书规定的期限内与你方签订合同，并遵守合同中关于权利和义务的约定；并按照招标文件中采购需求的要求执行。</w:t>
      </w:r>
    </w:p>
    <w:p w14:paraId="5E0A9B05">
      <w:pPr>
        <w:autoSpaceDE w:val="0"/>
        <w:autoSpaceDN w:val="0"/>
        <w:adjustRightInd w:val="0"/>
        <w:snapToGrid w:val="0"/>
        <w:spacing w:line="360" w:lineRule="auto"/>
        <w:ind w:firstLine="380" w:firstLineChars="200"/>
        <w:jc w:val="both"/>
        <w:rPr>
          <w:rFonts w:hint="eastAsia" w:ascii="宋体" w:hAnsi="宋体" w:eastAsia="宋体" w:cs="宋体"/>
          <w:color w:val="000000"/>
          <w:kern w:val="0"/>
          <w:highlight w:val="none"/>
        </w:rPr>
      </w:pPr>
      <w:r>
        <w:rPr>
          <w:rFonts w:hint="eastAsia" w:ascii="宋体" w:hAnsi="宋体" w:eastAsia="宋体" w:cs="宋体"/>
          <w:color w:val="000000"/>
          <w:spacing w:val="-10"/>
          <w:kern w:val="0"/>
          <w:highlight w:val="none"/>
          <w:lang w:eastAsia="zh-CN"/>
        </w:rPr>
        <w:t>（</w:t>
      </w:r>
      <w:r>
        <w:rPr>
          <w:rFonts w:hint="eastAsia" w:ascii="宋体" w:hAnsi="宋体" w:eastAsia="宋体" w:cs="宋体"/>
          <w:color w:val="000000"/>
          <w:spacing w:val="-10"/>
          <w:kern w:val="0"/>
          <w:highlight w:val="none"/>
          <w:lang w:val="en-US" w:eastAsia="zh-CN"/>
        </w:rPr>
        <w:t>2</w:t>
      </w:r>
      <w:r>
        <w:rPr>
          <w:rFonts w:hint="eastAsia" w:ascii="宋体" w:hAnsi="宋体" w:eastAsia="宋体" w:cs="宋体"/>
          <w:color w:val="000000"/>
          <w:spacing w:val="-10"/>
          <w:kern w:val="0"/>
          <w:highlight w:val="none"/>
          <w:lang w:eastAsia="zh-CN"/>
        </w:rPr>
        <w:t>）</w:t>
      </w:r>
      <w:r>
        <w:rPr>
          <w:rFonts w:hint="eastAsia" w:ascii="宋体" w:hAnsi="宋体" w:eastAsia="宋体" w:cs="宋体"/>
          <w:color w:val="000000"/>
          <w:kern w:val="0"/>
          <w:highlight w:val="none"/>
        </w:rPr>
        <w:t>按照招标文件中采购需求的要求执行，如我方违约，承担一切责任。</w:t>
      </w:r>
    </w:p>
    <w:p w14:paraId="25BC9153">
      <w:pPr>
        <w:autoSpaceDE w:val="0"/>
        <w:autoSpaceDN w:val="0"/>
        <w:adjustRightInd w:val="0"/>
        <w:snapToGrid w:val="0"/>
        <w:spacing w:line="360" w:lineRule="auto"/>
        <w:ind w:firstLine="380" w:firstLineChars="200"/>
        <w:jc w:val="both"/>
        <w:rPr>
          <w:rFonts w:hint="eastAsia" w:ascii="宋体" w:hAnsi="宋体" w:eastAsia="宋体" w:cs="宋体"/>
          <w:color w:val="000000"/>
          <w:kern w:val="0"/>
          <w:highlight w:val="none"/>
        </w:rPr>
      </w:pPr>
      <w:r>
        <w:rPr>
          <w:rFonts w:hint="eastAsia" w:ascii="宋体" w:hAnsi="宋体" w:eastAsia="宋体" w:cs="宋体"/>
          <w:color w:val="000000"/>
          <w:spacing w:val="-10"/>
          <w:kern w:val="0"/>
          <w:highlight w:val="none"/>
          <w:lang w:eastAsia="zh-CN"/>
        </w:rPr>
        <w:t>（</w:t>
      </w:r>
      <w:r>
        <w:rPr>
          <w:rFonts w:hint="eastAsia" w:ascii="宋体" w:hAnsi="宋体" w:eastAsia="宋体" w:cs="宋体"/>
          <w:color w:val="000000"/>
          <w:spacing w:val="-10"/>
          <w:kern w:val="0"/>
          <w:highlight w:val="none"/>
          <w:lang w:val="en-US" w:eastAsia="zh-CN"/>
        </w:rPr>
        <w:t>3</w:t>
      </w:r>
      <w:r>
        <w:rPr>
          <w:rFonts w:hint="eastAsia" w:ascii="宋体" w:hAnsi="宋体" w:eastAsia="宋体" w:cs="宋体"/>
          <w:color w:val="000000"/>
          <w:spacing w:val="-10"/>
          <w:kern w:val="0"/>
          <w:highlight w:val="none"/>
          <w:lang w:eastAsia="zh-CN"/>
        </w:rPr>
        <w:t>）</w:t>
      </w:r>
      <w:r>
        <w:rPr>
          <w:rFonts w:hint="eastAsia" w:ascii="宋体" w:hAnsi="宋体" w:eastAsia="宋体" w:cs="宋体"/>
          <w:color w:val="000000"/>
          <w:kern w:val="0"/>
          <w:highlight w:val="none"/>
        </w:rPr>
        <w:t>如我方中标，将按照采购文件规定的收费标准缴纳采购代理服务费。</w:t>
      </w:r>
    </w:p>
    <w:p w14:paraId="3F8CCC47">
      <w:pPr>
        <w:autoSpaceDE w:val="0"/>
        <w:autoSpaceDN w:val="0"/>
        <w:adjustRightInd w:val="0"/>
        <w:snapToGrid w:val="0"/>
        <w:spacing w:line="360" w:lineRule="auto"/>
        <w:ind w:firstLine="420" w:firstLineChars="200"/>
        <w:jc w:val="both"/>
        <w:rPr>
          <w:rFonts w:hint="eastAsia" w:ascii="宋体" w:hAnsi="宋体" w:eastAsia="宋体" w:cs="宋体"/>
          <w:color w:val="000000"/>
          <w:kern w:val="0"/>
          <w:highlight w:val="none"/>
        </w:rPr>
      </w:pPr>
      <w:r>
        <w:rPr>
          <w:rFonts w:hint="eastAsia" w:ascii="宋体" w:hAnsi="宋体" w:eastAsia="宋体" w:cs="宋体"/>
          <w:color w:val="000000"/>
          <w:kern w:val="0"/>
          <w:highlight w:val="none"/>
          <w:lang w:eastAsia="zh-CN"/>
        </w:rPr>
        <w:t>（</w:t>
      </w:r>
      <w:r>
        <w:rPr>
          <w:rFonts w:hint="eastAsia" w:ascii="宋体" w:hAnsi="宋体" w:eastAsia="宋体" w:cs="宋体"/>
          <w:color w:val="000000"/>
          <w:kern w:val="0"/>
          <w:highlight w:val="none"/>
          <w:lang w:val="en-US" w:eastAsia="zh-CN"/>
        </w:rPr>
        <w:t>4</w:t>
      </w:r>
      <w:r>
        <w:rPr>
          <w:rFonts w:hint="eastAsia" w:ascii="宋体" w:hAnsi="宋体" w:eastAsia="宋体" w:cs="宋体"/>
          <w:color w:val="000000"/>
          <w:kern w:val="0"/>
          <w:highlight w:val="none"/>
          <w:lang w:eastAsia="zh-CN"/>
        </w:rPr>
        <w:t>）</w:t>
      </w:r>
      <w:r>
        <w:rPr>
          <w:rFonts w:hint="eastAsia" w:ascii="宋体" w:hAnsi="宋体" w:eastAsia="宋体" w:cs="宋体"/>
          <w:color w:val="000000"/>
          <w:kern w:val="0"/>
          <w:highlight w:val="none"/>
        </w:rPr>
        <w:t>我</w:t>
      </w:r>
      <w:r>
        <w:rPr>
          <w:rFonts w:hint="eastAsia" w:ascii="宋体" w:hAnsi="宋体" w:eastAsia="宋体" w:cs="宋体"/>
          <w:color w:val="000000"/>
          <w:kern w:val="0"/>
          <w:highlight w:val="none"/>
          <w:lang w:eastAsia="zh-CN"/>
        </w:rPr>
        <w:t>方</w:t>
      </w:r>
      <w:r>
        <w:rPr>
          <w:rFonts w:hint="eastAsia" w:ascii="宋体" w:hAnsi="宋体" w:eastAsia="宋体" w:cs="宋体"/>
          <w:color w:val="000000"/>
          <w:kern w:val="0"/>
          <w:highlight w:val="none"/>
        </w:rPr>
        <w:t>完全理解贵方不一定要接受最低报价的投标或收到的任何投标。</w:t>
      </w:r>
    </w:p>
    <w:p w14:paraId="6B9BCB03">
      <w:pPr>
        <w:autoSpaceDE w:val="0"/>
        <w:autoSpaceDN w:val="0"/>
        <w:adjustRightInd w:val="0"/>
        <w:snapToGrid w:val="0"/>
        <w:spacing w:line="360" w:lineRule="auto"/>
        <w:ind w:firstLine="420" w:firstLineChars="200"/>
        <w:jc w:val="both"/>
        <w:rPr>
          <w:rFonts w:hint="eastAsia" w:ascii="宋体" w:hAnsi="宋体" w:eastAsia="宋体" w:cs="宋体"/>
          <w:color w:val="000000"/>
          <w:kern w:val="0"/>
          <w:highlight w:val="none"/>
        </w:rPr>
      </w:pPr>
      <w:r>
        <w:rPr>
          <w:rFonts w:hint="eastAsia" w:ascii="宋体" w:hAnsi="宋体" w:eastAsia="宋体" w:cs="宋体"/>
          <w:color w:val="000000"/>
          <w:kern w:val="0"/>
          <w:highlight w:val="none"/>
          <w:lang w:eastAsia="zh-CN"/>
        </w:rPr>
        <w:t>（</w:t>
      </w:r>
      <w:r>
        <w:rPr>
          <w:rFonts w:hint="eastAsia" w:ascii="宋体" w:hAnsi="宋体" w:eastAsia="宋体" w:cs="宋体"/>
          <w:color w:val="000000"/>
          <w:kern w:val="0"/>
          <w:highlight w:val="none"/>
          <w:lang w:val="en-US" w:eastAsia="zh-CN"/>
        </w:rPr>
        <w:t>5</w:t>
      </w:r>
      <w:r>
        <w:rPr>
          <w:rFonts w:hint="eastAsia" w:ascii="宋体" w:hAnsi="宋体" w:eastAsia="宋体" w:cs="宋体"/>
          <w:color w:val="000000"/>
          <w:kern w:val="0"/>
          <w:highlight w:val="none"/>
          <w:lang w:eastAsia="zh-CN"/>
        </w:rPr>
        <w:t>）</w:t>
      </w:r>
      <w:r>
        <w:rPr>
          <w:rFonts w:hint="eastAsia" w:ascii="宋体" w:hAnsi="宋体" w:eastAsia="宋体" w:cs="宋体"/>
          <w:color w:val="000000"/>
          <w:kern w:val="0"/>
          <w:highlight w:val="none"/>
        </w:rPr>
        <w:t>我</w:t>
      </w:r>
      <w:r>
        <w:rPr>
          <w:rFonts w:hint="eastAsia" w:ascii="宋体" w:hAnsi="宋体" w:eastAsia="宋体" w:cs="宋体"/>
          <w:color w:val="000000"/>
          <w:kern w:val="0"/>
          <w:highlight w:val="none"/>
          <w:lang w:eastAsia="zh-CN"/>
        </w:rPr>
        <w:t>方</w:t>
      </w:r>
      <w:r>
        <w:rPr>
          <w:rFonts w:hint="eastAsia" w:ascii="宋体" w:hAnsi="宋体" w:eastAsia="宋体" w:cs="宋体"/>
          <w:color w:val="000000"/>
          <w:kern w:val="0"/>
          <w:highlight w:val="none"/>
        </w:rPr>
        <w:t>如果在规定的投标有效期内撤回投标，则我们的投标保证金可被贵方没收。</w:t>
      </w:r>
    </w:p>
    <w:p w14:paraId="5C1AF548">
      <w:pPr>
        <w:autoSpaceDE w:val="0"/>
        <w:autoSpaceDN w:val="0"/>
        <w:adjustRightInd w:val="0"/>
        <w:snapToGrid w:val="0"/>
        <w:spacing w:line="360" w:lineRule="auto"/>
        <w:ind w:firstLine="420" w:firstLineChars="200"/>
        <w:jc w:val="both"/>
        <w:rPr>
          <w:rFonts w:hint="eastAsia" w:ascii="宋体" w:hAnsi="Times New Roman" w:eastAsia="宋体" w:cs="宋体-18030"/>
          <w:color w:val="000000"/>
          <w:kern w:val="0"/>
          <w:highlight w:val="none"/>
        </w:rPr>
      </w:pPr>
      <w:r>
        <w:rPr>
          <w:rFonts w:hint="eastAsia" w:ascii="宋体" w:hAnsi="宋体" w:eastAsia="宋体" w:cs="宋体"/>
          <w:color w:val="000000"/>
          <w:kern w:val="0"/>
          <w:highlight w:val="none"/>
          <w:lang w:eastAsia="zh-CN"/>
        </w:rPr>
        <w:t>（</w:t>
      </w:r>
      <w:r>
        <w:rPr>
          <w:rFonts w:hint="eastAsia" w:ascii="宋体" w:hAnsi="宋体" w:eastAsia="宋体" w:cs="宋体"/>
          <w:color w:val="000000"/>
          <w:kern w:val="0"/>
          <w:highlight w:val="none"/>
          <w:lang w:val="en-US" w:eastAsia="zh-CN"/>
        </w:rPr>
        <w:t>6</w:t>
      </w:r>
      <w:r>
        <w:rPr>
          <w:rFonts w:hint="eastAsia" w:ascii="宋体" w:hAnsi="宋体" w:eastAsia="宋体" w:cs="宋体"/>
          <w:color w:val="000000"/>
          <w:kern w:val="0"/>
          <w:highlight w:val="none"/>
          <w:lang w:eastAsia="zh-CN"/>
        </w:rPr>
        <w:t>）</w:t>
      </w:r>
      <w:r>
        <w:rPr>
          <w:rFonts w:hint="eastAsia" w:ascii="宋体" w:hAnsi="宋体" w:eastAsia="宋体" w:cs="宋体"/>
          <w:color w:val="000000"/>
          <w:kern w:val="0"/>
          <w:highlight w:val="none"/>
        </w:rPr>
        <w:t>我</w:t>
      </w:r>
      <w:r>
        <w:rPr>
          <w:rFonts w:hint="eastAsia" w:ascii="宋体" w:hAnsi="宋体" w:eastAsia="宋体" w:cs="宋体"/>
          <w:color w:val="000000"/>
          <w:kern w:val="0"/>
          <w:highlight w:val="none"/>
          <w:lang w:eastAsia="zh-CN"/>
        </w:rPr>
        <w:t>方</w:t>
      </w:r>
      <w:r>
        <w:rPr>
          <w:rFonts w:hint="eastAsia" w:ascii="宋体" w:hAnsi="宋体" w:eastAsia="宋体" w:cs="宋体"/>
          <w:color w:val="000000"/>
          <w:kern w:val="0"/>
          <w:highlight w:val="none"/>
        </w:rPr>
        <w:t>同</w:t>
      </w:r>
      <w:r>
        <w:rPr>
          <w:rFonts w:hint="eastAsia" w:ascii="宋体" w:hAnsi="Times New Roman" w:eastAsia="宋体" w:cs="宋体-18030"/>
          <w:color w:val="000000"/>
          <w:kern w:val="0"/>
          <w:highlight w:val="none"/>
        </w:rPr>
        <w:t xml:space="preserve">意向贵方提供贵方可能要求的与本投标有关的任何证据或资料。  </w:t>
      </w:r>
    </w:p>
    <w:p w14:paraId="4F4A6D61">
      <w:pPr>
        <w:autoSpaceDE w:val="0"/>
        <w:autoSpaceDN w:val="0"/>
        <w:adjustRightInd w:val="0"/>
        <w:snapToGrid w:val="0"/>
        <w:spacing w:line="360" w:lineRule="auto"/>
        <w:ind w:firstLine="420" w:firstLineChars="200"/>
        <w:jc w:val="left"/>
        <w:rPr>
          <w:rFonts w:hint="eastAsia" w:ascii="宋体" w:cs="宋体-18030"/>
          <w:color w:val="000000"/>
          <w:kern w:val="0"/>
          <w:highlight w:val="none"/>
        </w:rPr>
      </w:pPr>
      <w:r>
        <w:rPr>
          <w:rFonts w:hint="eastAsia" w:ascii="宋体" w:cs="宋体-18030"/>
          <w:color w:val="000000"/>
          <w:kern w:val="0"/>
          <w:highlight w:val="none"/>
        </w:rPr>
        <w:t>5.我方在此声明，所递交的投标文件及有关资料内容完整、真实和准确。</w:t>
      </w:r>
    </w:p>
    <w:p w14:paraId="44B2F55F">
      <w:pPr>
        <w:autoSpaceDE w:val="0"/>
        <w:autoSpaceDN w:val="0"/>
        <w:adjustRightInd w:val="0"/>
        <w:snapToGrid w:val="0"/>
        <w:spacing w:line="360" w:lineRule="auto"/>
        <w:ind w:firstLine="420" w:firstLineChars="200"/>
        <w:jc w:val="left"/>
        <w:rPr>
          <w:rFonts w:hint="eastAsia" w:ascii="宋体" w:cs="宋体-18030"/>
          <w:color w:val="000000"/>
          <w:kern w:val="0"/>
          <w:highlight w:val="none"/>
        </w:rPr>
      </w:pPr>
      <w:r>
        <w:rPr>
          <w:rFonts w:hint="eastAsia" w:ascii="宋体" w:cs="宋体-18030"/>
          <w:color w:val="000000"/>
          <w:kern w:val="0"/>
          <w:highlight w:val="none"/>
        </w:rPr>
        <w:t>6．</w:t>
      </w:r>
      <w:r>
        <w:rPr>
          <w:rFonts w:hint="eastAsia" w:ascii="宋体" w:cs="宋体-18030"/>
          <w:color w:val="000000"/>
          <w:kern w:val="0"/>
          <w:highlight w:val="none"/>
          <w:u w:val="single"/>
        </w:rPr>
        <w:t>(其他补充说明)</w:t>
      </w:r>
      <w:r>
        <w:rPr>
          <w:rFonts w:hint="eastAsia" w:ascii="宋体" w:cs="宋体-18030"/>
          <w:color w:val="000000"/>
          <w:kern w:val="0"/>
          <w:highlight w:val="none"/>
          <w:u w:val="single"/>
          <w:lang w:val="en-US" w:eastAsia="zh-CN"/>
        </w:rPr>
        <w:t xml:space="preserve">       </w:t>
      </w:r>
      <w:r>
        <w:rPr>
          <w:rFonts w:hint="eastAsia" w:ascii="宋体" w:cs="宋体-18030"/>
          <w:color w:val="000000"/>
          <w:kern w:val="0"/>
          <w:highlight w:val="none"/>
          <w:lang w:val="en-US" w:eastAsia="zh-CN"/>
        </w:rPr>
        <w:t xml:space="preserve"> </w:t>
      </w:r>
      <w:r>
        <w:rPr>
          <w:rFonts w:hint="eastAsia" w:ascii="宋体" w:cs="宋体-18030"/>
          <w:color w:val="000000"/>
          <w:kern w:val="0"/>
          <w:highlight w:val="none"/>
        </w:rPr>
        <w:t>。</w:t>
      </w:r>
    </w:p>
    <w:p w14:paraId="277AD7E2">
      <w:pPr>
        <w:autoSpaceDE w:val="0"/>
        <w:autoSpaceDN w:val="0"/>
        <w:adjustRightInd w:val="0"/>
        <w:snapToGrid w:val="0"/>
        <w:spacing w:line="360" w:lineRule="auto"/>
        <w:ind w:firstLine="420" w:firstLineChars="200"/>
        <w:jc w:val="left"/>
        <w:rPr>
          <w:rFonts w:hint="eastAsia" w:ascii="宋体" w:cs="宋体-18030"/>
          <w:color w:val="000000"/>
          <w:kern w:val="0"/>
          <w:highlight w:val="none"/>
        </w:rPr>
      </w:pPr>
    </w:p>
    <w:p w14:paraId="49A14A2D">
      <w:pPr>
        <w:autoSpaceDE w:val="0"/>
        <w:autoSpaceDN w:val="0"/>
        <w:adjustRightInd w:val="0"/>
        <w:snapToGrid w:val="0"/>
        <w:spacing w:line="360" w:lineRule="auto"/>
        <w:ind w:firstLine="2730" w:firstLineChars="1300"/>
        <w:jc w:val="left"/>
        <w:rPr>
          <w:rFonts w:hint="eastAsia" w:ascii="宋体" w:cs="宋体-18030"/>
          <w:color w:val="000000"/>
          <w:kern w:val="0"/>
          <w:highlight w:val="none"/>
        </w:rPr>
      </w:pPr>
      <w:r>
        <w:rPr>
          <w:rFonts w:hint="eastAsia" w:ascii="宋体" w:cs="宋体-18030"/>
          <w:color w:val="000000"/>
          <w:kern w:val="0"/>
          <w:highlight w:val="none"/>
        </w:rPr>
        <w:t>投 标 人：(盖单位章)</w:t>
      </w:r>
    </w:p>
    <w:p w14:paraId="3647B50E">
      <w:pPr>
        <w:autoSpaceDE w:val="0"/>
        <w:autoSpaceDN w:val="0"/>
        <w:adjustRightInd w:val="0"/>
        <w:snapToGrid w:val="0"/>
        <w:spacing w:line="360" w:lineRule="auto"/>
        <w:ind w:firstLine="2730" w:firstLineChars="1300"/>
        <w:jc w:val="left"/>
        <w:rPr>
          <w:rFonts w:hint="eastAsia" w:ascii="宋体" w:cs="宋体-18030"/>
          <w:color w:val="000000"/>
          <w:kern w:val="0"/>
          <w:highlight w:val="none"/>
        </w:rPr>
      </w:pPr>
      <w:r>
        <w:rPr>
          <w:rFonts w:hint="eastAsia" w:ascii="宋体" w:cs="宋体-18030"/>
          <w:color w:val="000000"/>
          <w:kern w:val="0"/>
          <w:highlight w:val="none"/>
        </w:rPr>
        <w:t>法定代表人</w:t>
      </w:r>
      <w:r>
        <w:rPr>
          <w:rFonts w:hint="eastAsia" w:ascii="宋体" w:cs="宋体-18030"/>
          <w:color w:val="000000"/>
          <w:kern w:val="0"/>
          <w:highlight w:val="none"/>
          <w:lang w:val="en-US" w:eastAsia="zh-CN"/>
        </w:rPr>
        <w:t>或</w:t>
      </w:r>
      <w:r>
        <w:rPr>
          <w:rFonts w:hint="eastAsia" w:ascii="宋体" w:cs="宋体-18030"/>
          <w:color w:val="000000"/>
          <w:kern w:val="0"/>
          <w:highlight w:val="none"/>
        </w:rPr>
        <w:t>其授权委托代理人：(签字)</w:t>
      </w:r>
    </w:p>
    <w:p w14:paraId="580CDE0B">
      <w:pPr>
        <w:autoSpaceDE w:val="0"/>
        <w:autoSpaceDN w:val="0"/>
        <w:adjustRightInd w:val="0"/>
        <w:snapToGrid w:val="0"/>
        <w:spacing w:line="360" w:lineRule="auto"/>
        <w:ind w:firstLine="2730" w:firstLineChars="1300"/>
        <w:jc w:val="left"/>
        <w:rPr>
          <w:rFonts w:hint="eastAsia" w:ascii="宋体" w:cs="宋体-18030"/>
          <w:color w:val="000000"/>
          <w:kern w:val="0"/>
          <w:highlight w:val="none"/>
        </w:rPr>
      </w:pPr>
      <w:r>
        <w:rPr>
          <w:rFonts w:hint="eastAsia" w:ascii="宋体" w:cs="宋体-18030"/>
          <w:color w:val="000000"/>
          <w:kern w:val="0"/>
          <w:highlight w:val="none"/>
        </w:rPr>
        <w:t>地    址：</w:t>
      </w:r>
    </w:p>
    <w:p w14:paraId="1EC58B90">
      <w:pPr>
        <w:autoSpaceDE w:val="0"/>
        <w:autoSpaceDN w:val="0"/>
        <w:adjustRightInd w:val="0"/>
        <w:snapToGrid w:val="0"/>
        <w:spacing w:line="360" w:lineRule="auto"/>
        <w:ind w:firstLine="2730" w:firstLineChars="1300"/>
        <w:jc w:val="left"/>
        <w:rPr>
          <w:rFonts w:hint="eastAsia" w:ascii="宋体" w:cs="宋体-18030"/>
          <w:color w:val="000000"/>
          <w:kern w:val="0"/>
          <w:highlight w:val="none"/>
        </w:rPr>
      </w:pPr>
      <w:r>
        <w:rPr>
          <w:rFonts w:hint="eastAsia" w:ascii="宋体" w:cs="宋体-18030"/>
          <w:color w:val="000000"/>
          <w:kern w:val="0"/>
          <w:highlight w:val="none"/>
        </w:rPr>
        <w:t>网    址：</w:t>
      </w:r>
    </w:p>
    <w:p w14:paraId="07DAE9FC">
      <w:pPr>
        <w:autoSpaceDE w:val="0"/>
        <w:autoSpaceDN w:val="0"/>
        <w:adjustRightInd w:val="0"/>
        <w:snapToGrid w:val="0"/>
        <w:spacing w:line="360" w:lineRule="auto"/>
        <w:ind w:firstLine="2730" w:firstLineChars="1300"/>
        <w:jc w:val="left"/>
        <w:rPr>
          <w:rFonts w:hint="eastAsia" w:ascii="宋体" w:cs="宋体-18030"/>
          <w:color w:val="000000"/>
          <w:kern w:val="0"/>
          <w:highlight w:val="none"/>
        </w:rPr>
      </w:pPr>
      <w:r>
        <w:rPr>
          <w:rFonts w:hint="eastAsia" w:ascii="宋体" w:cs="宋体-18030"/>
          <w:color w:val="000000"/>
          <w:kern w:val="0"/>
          <w:highlight w:val="none"/>
        </w:rPr>
        <w:t>电    话：</w:t>
      </w:r>
    </w:p>
    <w:p w14:paraId="586DF02C">
      <w:pPr>
        <w:autoSpaceDE w:val="0"/>
        <w:autoSpaceDN w:val="0"/>
        <w:adjustRightInd w:val="0"/>
        <w:snapToGrid w:val="0"/>
        <w:spacing w:line="360" w:lineRule="auto"/>
        <w:ind w:firstLine="2730" w:firstLineChars="1300"/>
        <w:jc w:val="left"/>
        <w:rPr>
          <w:rFonts w:hint="eastAsia" w:ascii="宋体" w:cs="宋体-18030"/>
          <w:color w:val="000000"/>
          <w:kern w:val="0"/>
          <w:highlight w:val="none"/>
        </w:rPr>
      </w:pPr>
      <w:r>
        <w:rPr>
          <w:rFonts w:hint="eastAsia" w:ascii="宋体" w:cs="宋体-18030"/>
          <w:color w:val="000000"/>
          <w:kern w:val="0"/>
          <w:highlight w:val="none"/>
        </w:rPr>
        <w:t>传    真：</w:t>
      </w:r>
    </w:p>
    <w:p w14:paraId="1794EDA2">
      <w:pPr>
        <w:autoSpaceDE w:val="0"/>
        <w:autoSpaceDN w:val="0"/>
        <w:adjustRightInd w:val="0"/>
        <w:snapToGrid w:val="0"/>
        <w:spacing w:line="360" w:lineRule="auto"/>
        <w:ind w:firstLine="2730" w:firstLineChars="1300"/>
        <w:jc w:val="left"/>
        <w:rPr>
          <w:rFonts w:hint="eastAsia" w:ascii="宋体" w:cs="宋体-18030"/>
          <w:color w:val="000000"/>
          <w:kern w:val="0"/>
          <w:highlight w:val="none"/>
        </w:rPr>
      </w:pPr>
      <w:r>
        <w:rPr>
          <w:rFonts w:hint="eastAsia" w:ascii="宋体" w:cs="宋体-18030"/>
          <w:color w:val="000000"/>
          <w:kern w:val="0"/>
          <w:highlight w:val="none"/>
        </w:rPr>
        <w:t>邮政编码：</w:t>
      </w:r>
    </w:p>
    <w:p w14:paraId="04A302C3">
      <w:pPr>
        <w:snapToGrid w:val="0"/>
        <w:spacing w:line="360" w:lineRule="auto"/>
        <w:jc w:val="center"/>
        <w:rPr>
          <w:rFonts w:hint="eastAsia" w:ascii="宋体" w:cs="宋体-18030"/>
          <w:color w:val="000000"/>
          <w:kern w:val="0"/>
          <w:highlight w:val="none"/>
          <w:u w:val="single"/>
        </w:rPr>
      </w:pPr>
    </w:p>
    <w:p w14:paraId="0FAEFC52">
      <w:pPr>
        <w:snapToGrid w:val="0"/>
        <w:spacing w:line="360" w:lineRule="auto"/>
        <w:jc w:val="center"/>
        <w:rPr>
          <w:rFonts w:hint="eastAsia" w:ascii="宋体" w:cs="宋体-18030"/>
          <w:color w:val="000000"/>
          <w:kern w:val="0"/>
          <w:sz w:val="24"/>
          <w:szCs w:val="24"/>
          <w:highlight w:val="none"/>
        </w:rPr>
      </w:pPr>
      <w:r>
        <w:rPr>
          <w:rFonts w:hint="eastAsia" w:ascii="宋体" w:cs="宋体-18030"/>
          <w:color w:val="000000"/>
          <w:kern w:val="0"/>
          <w:highlight w:val="none"/>
        </w:rPr>
        <w:t>年   月   日</w:t>
      </w:r>
    </w:p>
    <w:p w14:paraId="13D297FC">
      <w:pPr>
        <w:autoSpaceDE w:val="0"/>
        <w:autoSpaceDN w:val="0"/>
        <w:adjustRightInd w:val="0"/>
        <w:snapToGrid w:val="0"/>
        <w:spacing w:line="360" w:lineRule="auto"/>
        <w:jc w:val="center"/>
        <w:rPr>
          <w:rFonts w:hint="eastAsia" w:ascii="宋体" w:cs="宋体-18030"/>
          <w:b/>
          <w:bCs/>
          <w:color w:val="000000"/>
          <w:kern w:val="0"/>
          <w:sz w:val="24"/>
          <w:szCs w:val="24"/>
          <w:highlight w:val="none"/>
        </w:rPr>
      </w:pPr>
      <w:r>
        <w:rPr>
          <w:rFonts w:hint="eastAsia" w:ascii="宋体" w:cs="宋体-18030"/>
          <w:color w:val="000000"/>
          <w:kern w:val="0"/>
          <w:sz w:val="24"/>
          <w:szCs w:val="24"/>
          <w:highlight w:val="none"/>
        </w:rPr>
        <w:br w:type="page"/>
      </w:r>
      <w:bookmarkStart w:id="76" w:name="_Toc152045790"/>
      <w:bookmarkEnd w:id="76"/>
      <w:bookmarkStart w:id="77" w:name="_Toc247085876"/>
      <w:bookmarkEnd w:id="77"/>
      <w:bookmarkStart w:id="78" w:name="_Toc144974859"/>
      <w:bookmarkEnd w:id="78"/>
      <w:bookmarkStart w:id="79" w:name="_Toc152042579"/>
      <w:bookmarkEnd w:id="79"/>
      <w:bookmarkStart w:id="80" w:name="_Toc246996358"/>
      <w:bookmarkEnd w:id="80"/>
      <w:bookmarkStart w:id="81" w:name="_Toc179632810"/>
      <w:bookmarkEnd w:id="81"/>
      <w:bookmarkStart w:id="82" w:name="_Toc246997101"/>
      <w:bookmarkEnd w:id="82"/>
      <w:bookmarkStart w:id="83" w:name="_Toc363457205"/>
      <w:r>
        <w:rPr>
          <w:rFonts w:hint="eastAsia" w:ascii="宋体" w:cs="宋体-18030"/>
          <w:b/>
          <w:bCs/>
          <w:color w:val="000000"/>
          <w:kern w:val="0"/>
          <w:sz w:val="30"/>
          <w:szCs w:val="30"/>
          <w:highlight w:val="none"/>
        </w:rPr>
        <w:t>（二）投标函附录</w:t>
      </w:r>
      <w:bookmarkEnd w:id="83"/>
    </w:p>
    <w:p w14:paraId="191782AD">
      <w:pPr>
        <w:snapToGrid w:val="0"/>
        <w:spacing w:line="360" w:lineRule="auto"/>
        <w:rPr>
          <w:rFonts w:hint="eastAsia" w:ascii="宋体"/>
          <w:color w:val="000000"/>
          <w:sz w:val="20"/>
          <w:szCs w:val="20"/>
          <w:highlight w:val="none"/>
        </w:rPr>
      </w:pPr>
    </w:p>
    <w:tbl>
      <w:tblPr>
        <w:tblStyle w:val="21"/>
        <w:tblW w:w="9377" w:type="dxa"/>
        <w:jc w:val="center"/>
        <w:tblLayout w:type="fixed"/>
        <w:tblCellMar>
          <w:top w:w="0" w:type="dxa"/>
          <w:left w:w="108" w:type="dxa"/>
          <w:bottom w:w="0" w:type="dxa"/>
          <w:right w:w="108" w:type="dxa"/>
        </w:tblCellMar>
      </w:tblPr>
      <w:tblGrid>
        <w:gridCol w:w="1001"/>
        <w:gridCol w:w="1701"/>
        <w:gridCol w:w="5103"/>
        <w:gridCol w:w="1572"/>
      </w:tblGrid>
      <w:tr w14:paraId="52DC77BB">
        <w:tblPrEx>
          <w:tblCellMar>
            <w:top w:w="0" w:type="dxa"/>
            <w:left w:w="108" w:type="dxa"/>
            <w:bottom w:w="0" w:type="dxa"/>
            <w:right w:w="108" w:type="dxa"/>
          </w:tblCellMar>
        </w:tblPrEx>
        <w:trPr>
          <w:trHeight w:val="590" w:hRule="atLeast"/>
          <w:jc w:val="center"/>
        </w:trPr>
        <w:tc>
          <w:tcPr>
            <w:tcW w:w="1001" w:type="dxa"/>
            <w:tcBorders>
              <w:top w:val="single" w:color="auto" w:sz="4" w:space="0"/>
              <w:left w:val="single" w:color="auto" w:sz="4" w:space="0"/>
              <w:bottom w:val="single" w:color="auto" w:sz="4" w:space="0"/>
              <w:right w:val="single" w:color="auto" w:sz="4" w:space="0"/>
            </w:tcBorders>
            <w:noWrap w:val="0"/>
            <w:vAlign w:val="center"/>
          </w:tcPr>
          <w:p w14:paraId="6278C40F">
            <w:pPr>
              <w:jc w:val="center"/>
              <w:rPr>
                <w:rFonts w:hint="eastAsia" w:ascii="宋体" w:cs="宋体"/>
                <w:b/>
                <w:bCs/>
                <w:color w:val="000000"/>
                <w:sz w:val="24"/>
                <w:szCs w:val="24"/>
                <w:highlight w:val="none"/>
                <w:lang w:val="zh-CN"/>
              </w:rPr>
            </w:pPr>
            <w:r>
              <w:rPr>
                <w:rFonts w:hint="eastAsia" w:ascii="宋体" w:cs="宋体"/>
                <w:b/>
                <w:bCs/>
                <w:color w:val="000000"/>
                <w:sz w:val="24"/>
                <w:szCs w:val="24"/>
                <w:highlight w:val="none"/>
                <w:lang w:val="zh-CN"/>
              </w:rPr>
              <w:t>序号</w:t>
            </w:r>
          </w:p>
        </w:tc>
        <w:tc>
          <w:tcPr>
            <w:tcW w:w="1701" w:type="dxa"/>
            <w:tcBorders>
              <w:top w:val="single" w:color="auto" w:sz="4" w:space="0"/>
              <w:left w:val="nil"/>
              <w:bottom w:val="single" w:color="auto" w:sz="4" w:space="0"/>
              <w:right w:val="single" w:color="auto" w:sz="4" w:space="0"/>
            </w:tcBorders>
            <w:noWrap w:val="0"/>
            <w:vAlign w:val="center"/>
          </w:tcPr>
          <w:p w14:paraId="2BCE1C84">
            <w:pPr>
              <w:jc w:val="center"/>
              <w:rPr>
                <w:rFonts w:hint="eastAsia" w:ascii="宋体" w:cs="宋体"/>
                <w:b/>
                <w:bCs/>
                <w:color w:val="000000"/>
                <w:sz w:val="24"/>
                <w:szCs w:val="24"/>
                <w:highlight w:val="none"/>
                <w:lang w:val="zh-CN"/>
              </w:rPr>
            </w:pPr>
            <w:r>
              <w:rPr>
                <w:rFonts w:hint="eastAsia" w:ascii="宋体" w:cs="宋体"/>
                <w:b/>
                <w:bCs/>
                <w:color w:val="000000"/>
                <w:sz w:val="24"/>
                <w:szCs w:val="24"/>
                <w:highlight w:val="none"/>
                <w:lang w:val="zh-CN"/>
              </w:rPr>
              <w:t>条款名称</w:t>
            </w:r>
          </w:p>
        </w:tc>
        <w:tc>
          <w:tcPr>
            <w:tcW w:w="5103" w:type="dxa"/>
            <w:tcBorders>
              <w:top w:val="single" w:color="auto" w:sz="4" w:space="0"/>
              <w:left w:val="nil"/>
              <w:bottom w:val="single" w:color="auto" w:sz="4" w:space="0"/>
              <w:right w:val="single" w:color="auto" w:sz="4" w:space="0"/>
            </w:tcBorders>
            <w:noWrap w:val="0"/>
            <w:vAlign w:val="center"/>
          </w:tcPr>
          <w:p w14:paraId="453D82AA">
            <w:pPr>
              <w:jc w:val="center"/>
              <w:rPr>
                <w:rFonts w:hint="eastAsia" w:ascii="宋体" w:cs="宋体"/>
                <w:b/>
                <w:bCs/>
                <w:color w:val="000000"/>
                <w:sz w:val="24"/>
                <w:szCs w:val="24"/>
                <w:highlight w:val="none"/>
                <w:lang w:val="zh-CN"/>
              </w:rPr>
            </w:pPr>
            <w:r>
              <w:rPr>
                <w:rFonts w:hint="eastAsia" w:ascii="宋体" w:cs="宋体"/>
                <w:b/>
                <w:bCs/>
                <w:color w:val="000000"/>
                <w:sz w:val="24"/>
                <w:szCs w:val="24"/>
                <w:highlight w:val="none"/>
                <w:lang w:val="zh-CN"/>
              </w:rPr>
              <w:t>约定内容</w:t>
            </w:r>
          </w:p>
        </w:tc>
        <w:tc>
          <w:tcPr>
            <w:tcW w:w="1572" w:type="dxa"/>
            <w:tcBorders>
              <w:top w:val="single" w:color="auto" w:sz="4" w:space="0"/>
              <w:left w:val="nil"/>
              <w:bottom w:val="single" w:color="auto" w:sz="4" w:space="0"/>
              <w:right w:val="single" w:color="auto" w:sz="4" w:space="0"/>
            </w:tcBorders>
            <w:noWrap w:val="0"/>
            <w:vAlign w:val="center"/>
          </w:tcPr>
          <w:p w14:paraId="5AA137D7">
            <w:pPr>
              <w:jc w:val="center"/>
              <w:rPr>
                <w:rFonts w:hint="eastAsia" w:ascii="宋体" w:cs="宋体"/>
                <w:b/>
                <w:bCs/>
                <w:color w:val="000000"/>
                <w:sz w:val="24"/>
                <w:szCs w:val="24"/>
                <w:highlight w:val="none"/>
                <w:lang w:val="zh-CN"/>
              </w:rPr>
            </w:pPr>
            <w:r>
              <w:rPr>
                <w:rFonts w:hint="eastAsia" w:ascii="宋体" w:cs="宋体"/>
                <w:b/>
                <w:bCs/>
                <w:color w:val="000000"/>
                <w:sz w:val="24"/>
                <w:szCs w:val="24"/>
                <w:highlight w:val="none"/>
                <w:lang w:val="zh-CN"/>
              </w:rPr>
              <w:t>是否响应</w:t>
            </w:r>
          </w:p>
        </w:tc>
      </w:tr>
      <w:tr w14:paraId="7679BD73">
        <w:tblPrEx>
          <w:tblCellMar>
            <w:top w:w="0" w:type="dxa"/>
            <w:left w:w="108" w:type="dxa"/>
            <w:bottom w:w="0" w:type="dxa"/>
            <w:right w:w="108" w:type="dxa"/>
          </w:tblCellMar>
        </w:tblPrEx>
        <w:trPr>
          <w:trHeight w:val="605" w:hRule="atLeast"/>
          <w:jc w:val="center"/>
        </w:trPr>
        <w:tc>
          <w:tcPr>
            <w:tcW w:w="1001" w:type="dxa"/>
            <w:tcBorders>
              <w:top w:val="single" w:color="auto" w:sz="4" w:space="0"/>
              <w:left w:val="single" w:color="auto" w:sz="4" w:space="0"/>
              <w:bottom w:val="single" w:color="auto" w:sz="4" w:space="0"/>
              <w:right w:val="single" w:color="auto" w:sz="4" w:space="0"/>
            </w:tcBorders>
            <w:noWrap w:val="0"/>
            <w:vAlign w:val="center"/>
          </w:tcPr>
          <w:p w14:paraId="7355745A">
            <w:pPr>
              <w:jc w:val="center"/>
              <w:rPr>
                <w:rFonts w:hint="eastAsia" w:ascii="宋体" w:cs="宋体"/>
                <w:color w:val="000000"/>
                <w:highlight w:val="none"/>
                <w:lang w:val="zh-CN"/>
              </w:rPr>
            </w:pPr>
            <w:r>
              <w:rPr>
                <w:rFonts w:hint="eastAsia" w:ascii="宋体" w:cs="宋体"/>
                <w:color w:val="000000"/>
                <w:highlight w:val="none"/>
                <w:lang w:val="zh-CN"/>
              </w:rPr>
              <w:t>1</w:t>
            </w:r>
          </w:p>
        </w:tc>
        <w:tc>
          <w:tcPr>
            <w:tcW w:w="1701" w:type="dxa"/>
            <w:tcBorders>
              <w:top w:val="single" w:color="auto" w:sz="4" w:space="0"/>
              <w:left w:val="nil"/>
              <w:bottom w:val="single" w:color="auto" w:sz="4" w:space="0"/>
              <w:right w:val="single" w:color="auto" w:sz="4" w:space="0"/>
            </w:tcBorders>
            <w:noWrap w:val="0"/>
            <w:vAlign w:val="center"/>
          </w:tcPr>
          <w:p w14:paraId="17D1CDD8">
            <w:pPr>
              <w:ind w:left="210" w:leftChars="100" w:firstLine="0" w:firstLineChars="0"/>
              <w:jc w:val="left"/>
              <w:rPr>
                <w:rFonts w:hint="eastAsia" w:ascii="宋体" w:hAnsi="宋体"/>
                <w:color w:val="000000"/>
                <w:highlight w:val="none"/>
                <w:lang w:val="zh-CN" w:eastAsia="zh-CN"/>
              </w:rPr>
            </w:pPr>
            <w:r>
              <w:rPr>
                <w:rFonts w:hint="eastAsia" w:ascii="宋体" w:hAnsi="宋体"/>
                <w:color w:val="000000"/>
                <w:highlight w:val="none"/>
                <w:lang w:val="zh-CN" w:eastAsia="zh-CN"/>
              </w:rPr>
              <w:t>合同履行期限(交货期限)</w:t>
            </w:r>
          </w:p>
        </w:tc>
        <w:tc>
          <w:tcPr>
            <w:tcW w:w="5103" w:type="dxa"/>
            <w:tcBorders>
              <w:top w:val="single" w:color="auto" w:sz="4" w:space="0"/>
              <w:left w:val="nil"/>
              <w:bottom w:val="single" w:color="auto" w:sz="4" w:space="0"/>
              <w:right w:val="single" w:color="auto" w:sz="4" w:space="0"/>
            </w:tcBorders>
            <w:noWrap w:val="0"/>
            <w:vAlign w:val="center"/>
          </w:tcPr>
          <w:p w14:paraId="3103EC4E">
            <w:pPr>
              <w:jc w:val="left"/>
              <w:rPr>
                <w:rFonts w:hint="eastAsia" w:ascii="宋体" w:hAnsi="宋体"/>
                <w:color w:val="auto"/>
                <w:highlight w:val="none"/>
                <w:lang w:val="zh-CN"/>
              </w:rPr>
            </w:pPr>
            <w:r>
              <w:rPr>
                <w:rFonts w:hint="eastAsia" w:ascii="宋体" w:hAnsi="宋体"/>
                <w:color w:val="auto"/>
                <w:highlight w:val="none"/>
                <w:lang w:val="zh-CN"/>
              </w:rPr>
              <w:t>合同订立后</w:t>
            </w:r>
            <w:r>
              <w:rPr>
                <w:rFonts w:hint="eastAsia" w:ascii="宋体" w:hAnsi="宋体"/>
                <w:color w:val="auto"/>
                <w:highlight w:val="none"/>
                <w:lang w:val="en-US" w:eastAsia="zh-CN"/>
              </w:rPr>
              <w:t>30</w:t>
            </w:r>
            <w:r>
              <w:rPr>
                <w:rFonts w:hint="eastAsia" w:ascii="宋体" w:hAnsi="宋体"/>
                <w:color w:val="auto"/>
                <w:highlight w:val="none"/>
                <w:lang w:val="zh-CN"/>
              </w:rPr>
              <w:t>天内交货</w:t>
            </w:r>
            <w:r>
              <w:rPr>
                <w:rFonts w:hint="eastAsia" w:ascii="宋体" w:hAnsi="宋体"/>
                <w:color w:val="auto"/>
                <w:highlight w:val="none"/>
                <w:lang w:val="zh-CN" w:eastAsia="zh-CN"/>
              </w:rPr>
              <w:t>，并安装完毕</w:t>
            </w:r>
            <w:r>
              <w:rPr>
                <w:rFonts w:hint="eastAsia" w:ascii="宋体" w:hAnsi="宋体"/>
                <w:color w:val="auto"/>
                <w:highlight w:val="none"/>
                <w:lang w:val="zh-CN"/>
              </w:rPr>
              <w:t>。</w:t>
            </w:r>
          </w:p>
        </w:tc>
        <w:tc>
          <w:tcPr>
            <w:tcW w:w="1572" w:type="dxa"/>
            <w:tcBorders>
              <w:top w:val="single" w:color="auto" w:sz="4" w:space="0"/>
              <w:left w:val="nil"/>
              <w:bottom w:val="single" w:color="auto" w:sz="4" w:space="0"/>
              <w:right w:val="single" w:color="auto" w:sz="4" w:space="0"/>
            </w:tcBorders>
            <w:noWrap w:val="0"/>
            <w:vAlign w:val="center"/>
          </w:tcPr>
          <w:p w14:paraId="7856102D">
            <w:pPr>
              <w:jc w:val="center"/>
              <w:rPr>
                <w:rFonts w:hint="eastAsia" w:ascii="宋体" w:cs="宋体"/>
                <w:color w:val="000000"/>
                <w:highlight w:val="none"/>
                <w:lang w:val="zh-CN"/>
              </w:rPr>
            </w:pPr>
          </w:p>
        </w:tc>
      </w:tr>
      <w:tr w14:paraId="6FB55272">
        <w:tblPrEx>
          <w:tblCellMar>
            <w:top w:w="0" w:type="dxa"/>
            <w:left w:w="108" w:type="dxa"/>
            <w:bottom w:w="0" w:type="dxa"/>
            <w:right w:w="108" w:type="dxa"/>
          </w:tblCellMar>
        </w:tblPrEx>
        <w:trPr>
          <w:trHeight w:val="633" w:hRule="atLeast"/>
          <w:jc w:val="center"/>
        </w:trPr>
        <w:tc>
          <w:tcPr>
            <w:tcW w:w="1001" w:type="dxa"/>
            <w:tcBorders>
              <w:top w:val="single" w:color="auto" w:sz="4" w:space="0"/>
              <w:left w:val="single" w:color="auto" w:sz="4" w:space="0"/>
              <w:bottom w:val="single" w:color="auto" w:sz="4" w:space="0"/>
              <w:right w:val="single" w:color="auto" w:sz="4" w:space="0"/>
            </w:tcBorders>
            <w:noWrap w:val="0"/>
            <w:vAlign w:val="center"/>
          </w:tcPr>
          <w:p w14:paraId="2534B7CE">
            <w:pPr>
              <w:jc w:val="center"/>
              <w:rPr>
                <w:rFonts w:hint="eastAsia" w:ascii="宋体" w:cs="宋体"/>
                <w:color w:val="000000"/>
                <w:highlight w:val="none"/>
                <w:lang w:val="zh-CN"/>
              </w:rPr>
            </w:pPr>
            <w:r>
              <w:rPr>
                <w:rFonts w:hint="eastAsia" w:ascii="宋体" w:cs="宋体"/>
                <w:color w:val="000000"/>
                <w:highlight w:val="none"/>
                <w:lang w:val="zh-CN"/>
              </w:rPr>
              <w:t>2</w:t>
            </w:r>
          </w:p>
        </w:tc>
        <w:tc>
          <w:tcPr>
            <w:tcW w:w="1701" w:type="dxa"/>
            <w:tcBorders>
              <w:top w:val="single" w:color="auto" w:sz="4" w:space="0"/>
              <w:left w:val="nil"/>
              <w:bottom w:val="single" w:color="auto" w:sz="4" w:space="0"/>
              <w:right w:val="single" w:color="auto" w:sz="4" w:space="0"/>
            </w:tcBorders>
            <w:noWrap w:val="0"/>
            <w:vAlign w:val="center"/>
          </w:tcPr>
          <w:p w14:paraId="21FA1A3C">
            <w:pPr>
              <w:jc w:val="center"/>
              <w:rPr>
                <w:rFonts w:hint="eastAsia" w:ascii="宋体" w:cs="宋体"/>
                <w:color w:val="000000"/>
                <w:highlight w:val="none"/>
                <w:lang w:val="zh-CN"/>
              </w:rPr>
            </w:pPr>
            <w:r>
              <w:rPr>
                <w:rFonts w:hint="eastAsia" w:ascii="宋体" w:cs="宋体"/>
                <w:color w:val="000000"/>
                <w:highlight w:val="none"/>
                <w:lang w:val="zh-CN"/>
              </w:rPr>
              <w:t>质量要求</w:t>
            </w:r>
          </w:p>
        </w:tc>
        <w:tc>
          <w:tcPr>
            <w:tcW w:w="5103" w:type="dxa"/>
            <w:tcBorders>
              <w:top w:val="single" w:color="auto" w:sz="4" w:space="0"/>
              <w:left w:val="nil"/>
              <w:bottom w:val="single" w:color="auto" w:sz="4" w:space="0"/>
              <w:right w:val="single" w:color="auto" w:sz="4" w:space="0"/>
            </w:tcBorders>
            <w:noWrap w:val="0"/>
            <w:vAlign w:val="center"/>
          </w:tcPr>
          <w:p w14:paraId="07C701FC">
            <w:pPr>
              <w:jc w:val="left"/>
              <w:rPr>
                <w:rFonts w:hint="eastAsia" w:ascii="宋体" w:cs="宋体"/>
                <w:color w:val="auto"/>
                <w:highlight w:val="none"/>
                <w:lang w:val="zh-CN"/>
              </w:rPr>
            </w:pPr>
            <w:r>
              <w:rPr>
                <w:rFonts w:hint="eastAsia" w:ascii="宋体" w:hAnsi="宋体"/>
                <w:color w:val="auto"/>
                <w:highlight w:val="none"/>
              </w:rPr>
              <w:t>符合现行国家、行业、地方或者其他相关标准的合格要求</w:t>
            </w:r>
          </w:p>
        </w:tc>
        <w:tc>
          <w:tcPr>
            <w:tcW w:w="1572" w:type="dxa"/>
            <w:tcBorders>
              <w:top w:val="single" w:color="auto" w:sz="4" w:space="0"/>
              <w:left w:val="nil"/>
              <w:bottom w:val="single" w:color="auto" w:sz="4" w:space="0"/>
              <w:right w:val="single" w:color="auto" w:sz="4" w:space="0"/>
            </w:tcBorders>
            <w:noWrap w:val="0"/>
            <w:vAlign w:val="center"/>
          </w:tcPr>
          <w:p w14:paraId="6ECA2CD0">
            <w:pPr>
              <w:jc w:val="center"/>
              <w:rPr>
                <w:rFonts w:hint="eastAsia" w:ascii="宋体" w:cs="宋体"/>
                <w:color w:val="000000"/>
                <w:highlight w:val="none"/>
                <w:lang w:val="zh-CN"/>
              </w:rPr>
            </w:pPr>
          </w:p>
        </w:tc>
      </w:tr>
      <w:tr w14:paraId="31423286">
        <w:tblPrEx>
          <w:tblCellMar>
            <w:top w:w="0" w:type="dxa"/>
            <w:left w:w="108" w:type="dxa"/>
            <w:bottom w:w="0" w:type="dxa"/>
            <w:right w:w="108" w:type="dxa"/>
          </w:tblCellMar>
        </w:tblPrEx>
        <w:trPr>
          <w:trHeight w:val="633" w:hRule="atLeast"/>
          <w:jc w:val="center"/>
        </w:trPr>
        <w:tc>
          <w:tcPr>
            <w:tcW w:w="1001" w:type="dxa"/>
            <w:tcBorders>
              <w:top w:val="single" w:color="auto" w:sz="4" w:space="0"/>
              <w:left w:val="single" w:color="auto" w:sz="4" w:space="0"/>
              <w:bottom w:val="single" w:color="auto" w:sz="4" w:space="0"/>
              <w:right w:val="single" w:color="auto" w:sz="4" w:space="0"/>
            </w:tcBorders>
            <w:noWrap w:val="0"/>
            <w:vAlign w:val="center"/>
          </w:tcPr>
          <w:p w14:paraId="09B5DC5A">
            <w:pPr>
              <w:jc w:val="center"/>
              <w:rPr>
                <w:rFonts w:hint="eastAsia" w:ascii="宋体" w:cs="宋体"/>
                <w:color w:val="000000"/>
                <w:highlight w:val="none"/>
                <w:lang w:val="zh-CN"/>
              </w:rPr>
            </w:pPr>
            <w:r>
              <w:rPr>
                <w:rFonts w:hint="eastAsia" w:ascii="宋体" w:cs="宋体"/>
                <w:color w:val="000000"/>
                <w:highlight w:val="none"/>
                <w:lang w:val="zh-CN"/>
              </w:rPr>
              <w:t>3</w:t>
            </w:r>
          </w:p>
        </w:tc>
        <w:tc>
          <w:tcPr>
            <w:tcW w:w="1701" w:type="dxa"/>
            <w:tcBorders>
              <w:top w:val="single" w:color="auto" w:sz="4" w:space="0"/>
              <w:left w:val="nil"/>
              <w:bottom w:val="single" w:color="auto" w:sz="4" w:space="0"/>
              <w:right w:val="single" w:color="auto" w:sz="4" w:space="0"/>
            </w:tcBorders>
            <w:noWrap w:val="0"/>
            <w:vAlign w:val="center"/>
          </w:tcPr>
          <w:p w14:paraId="0ECBD95E">
            <w:pPr>
              <w:jc w:val="center"/>
              <w:rPr>
                <w:rFonts w:hint="eastAsia" w:ascii="宋体" w:cs="宋体"/>
                <w:color w:val="000000"/>
                <w:highlight w:val="none"/>
                <w:lang w:val="zh-CN"/>
              </w:rPr>
            </w:pPr>
            <w:r>
              <w:rPr>
                <w:rFonts w:hint="eastAsia" w:ascii="宋体" w:cs="宋体"/>
                <w:color w:val="000000"/>
                <w:highlight w:val="none"/>
                <w:lang w:val="zh-CN"/>
              </w:rPr>
              <w:t>投标有效期</w:t>
            </w:r>
          </w:p>
        </w:tc>
        <w:tc>
          <w:tcPr>
            <w:tcW w:w="5103" w:type="dxa"/>
            <w:tcBorders>
              <w:top w:val="single" w:color="auto" w:sz="4" w:space="0"/>
              <w:left w:val="nil"/>
              <w:bottom w:val="single" w:color="auto" w:sz="4" w:space="0"/>
              <w:right w:val="single" w:color="auto" w:sz="4" w:space="0"/>
            </w:tcBorders>
            <w:noWrap w:val="0"/>
            <w:vAlign w:val="center"/>
          </w:tcPr>
          <w:p w14:paraId="111659D5">
            <w:pPr>
              <w:jc w:val="left"/>
              <w:rPr>
                <w:rFonts w:hint="eastAsia" w:ascii="宋体" w:cs="宋体"/>
                <w:color w:val="auto"/>
                <w:highlight w:val="none"/>
                <w:lang w:val="zh-CN"/>
              </w:rPr>
            </w:pPr>
            <w:r>
              <w:rPr>
                <w:rFonts w:hint="eastAsia" w:ascii="宋体" w:cs="宋体"/>
                <w:color w:val="auto"/>
                <w:highlight w:val="none"/>
                <w:lang w:val="zh-CN"/>
              </w:rPr>
              <w:t>90日</w:t>
            </w:r>
          </w:p>
        </w:tc>
        <w:tc>
          <w:tcPr>
            <w:tcW w:w="1572" w:type="dxa"/>
            <w:tcBorders>
              <w:top w:val="single" w:color="auto" w:sz="4" w:space="0"/>
              <w:left w:val="nil"/>
              <w:bottom w:val="single" w:color="auto" w:sz="4" w:space="0"/>
              <w:right w:val="single" w:color="auto" w:sz="4" w:space="0"/>
            </w:tcBorders>
            <w:noWrap w:val="0"/>
            <w:vAlign w:val="center"/>
          </w:tcPr>
          <w:p w14:paraId="5518A226">
            <w:pPr>
              <w:jc w:val="center"/>
              <w:rPr>
                <w:rFonts w:hint="eastAsia" w:ascii="宋体" w:cs="宋体"/>
                <w:color w:val="000000"/>
                <w:highlight w:val="none"/>
                <w:lang w:val="zh-CN"/>
              </w:rPr>
            </w:pPr>
          </w:p>
        </w:tc>
      </w:tr>
      <w:tr w14:paraId="7A70A5D0">
        <w:tblPrEx>
          <w:tblCellMar>
            <w:top w:w="0" w:type="dxa"/>
            <w:left w:w="108" w:type="dxa"/>
            <w:bottom w:w="0" w:type="dxa"/>
            <w:right w:w="108" w:type="dxa"/>
          </w:tblCellMar>
        </w:tblPrEx>
        <w:trPr>
          <w:trHeight w:val="531" w:hRule="atLeast"/>
          <w:jc w:val="center"/>
        </w:trPr>
        <w:tc>
          <w:tcPr>
            <w:tcW w:w="1001" w:type="dxa"/>
            <w:tcBorders>
              <w:top w:val="single" w:color="auto" w:sz="4" w:space="0"/>
              <w:left w:val="single" w:color="auto" w:sz="4" w:space="0"/>
              <w:bottom w:val="single" w:color="auto" w:sz="4" w:space="0"/>
              <w:right w:val="single" w:color="auto" w:sz="4" w:space="0"/>
            </w:tcBorders>
            <w:noWrap w:val="0"/>
            <w:vAlign w:val="center"/>
          </w:tcPr>
          <w:p w14:paraId="590D3885">
            <w:pPr>
              <w:jc w:val="center"/>
              <w:rPr>
                <w:rFonts w:hint="eastAsia" w:ascii="宋体" w:cs="宋体"/>
                <w:color w:val="000000"/>
                <w:highlight w:val="none"/>
                <w:lang w:val="zh-CN"/>
              </w:rPr>
            </w:pPr>
            <w:r>
              <w:rPr>
                <w:rFonts w:hint="eastAsia" w:ascii="宋体" w:cs="宋体"/>
                <w:color w:val="000000"/>
                <w:highlight w:val="none"/>
              </w:rPr>
              <w:t>4</w:t>
            </w:r>
          </w:p>
        </w:tc>
        <w:tc>
          <w:tcPr>
            <w:tcW w:w="1701" w:type="dxa"/>
            <w:tcBorders>
              <w:top w:val="single" w:color="auto" w:sz="4" w:space="0"/>
              <w:left w:val="nil"/>
              <w:bottom w:val="single" w:color="auto" w:sz="4" w:space="0"/>
              <w:right w:val="single" w:color="auto" w:sz="4" w:space="0"/>
            </w:tcBorders>
            <w:noWrap w:val="0"/>
            <w:vAlign w:val="center"/>
          </w:tcPr>
          <w:p w14:paraId="43B82B6B">
            <w:pPr>
              <w:jc w:val="center"/>
              <w:rPr>
                <w:rFonts w:hint="eastAsia" w:ascii="宋体" w:cs="宋体"/>
                <w:color w:val="000000"/>
                <w:highlight w:val="none"/>
                <w:lang w:val="zh-CN"/>
              </w:rPr>
            </w:pPr>
            <w:r>
              <w:rPr>
                <w:rFonts w:hint="eastAsia" w:ascii="宋体" w:cs="宋体"/>
                <w:color w:val="000000"/>
                <w:highlight w:val="none"/>
                <w:lang w:val="zh-CN"/>
              </w:rPr>
              <w:t>权利义务</w:t>
            </w:r>
          </w:p>
        </w:tc>
        <w:tc>
          <w:tcPr>
            <w:tcW w:w="5103" w:type="dxa"/>
            <w:tcBorders>
              <w:top w:val="single" w:color="auto" w:sz="4" w:space="0"/>
              <w:left w:val="nil"/>
              <w:bottom w:val="single" w:color="auto" w:sz="4" w:space="0"/>
              <w:right w:val="single" w:color="auto" w:sz="4" w:space="0"/>
            </w:tcBorders>
            <w:noWrap w:val="0"/>
            <w:vAlign w:val="center"/>
          </w:tcPr>
          <w:p w14:paraId="6FFE5F4E">
            <w:pPr>
              <w:jc w:val="left"/>
              <w:rPr>
                <w:rFonts w:hint="eastAsia" w:ascii="宋体" w:cs="宋体"/>
                <w:color w:val="auto"/>
                <w:highlight w:val="none"/>
                <w:lang w:val="zh-CN"/>
              </w:rPr>
            </w:pPr>
            <w:r>
              <w:rPr>
                <w:rFonts w:hint="eastAsia" w:ascii="宋体" w:cs="宋体"/>
                <w:color w:val="auto"/>
                <w:highlight w:val="none"/>
                <w:lang w:val="zh-CN"/>
              </w:rPr>
              <w:t>符合第四章“合同条款及格式”规定</w:t>
            </w:r>
          </w:p>
        </w:tc>
        <w:tc>
          <w:tcPr>
            <w:tcW w:w="1572" w:type="dxa"/>
            <w:tcBorders>
              <w:top w:val="single" w:color="auto" w:sz="4" w:space="0"/>
              <w:left w:val="nil"/>
              <w:bottom w:val="single" w:color="auto" w:sz="4" w:space="0"/>
              <w:right w:val="single" w:color="auto" w:sz="4" w:space="0"/>
            </w:tcBorders>
            <w:noWrap w:val="0"/>
            <w:vAlign w:val="center"/>
          </w:tcPr>
          <w:p w14:paraId="0405F271">
            <w:pPr>
              <w:jc w:val="center"/>
              <w:rPr>
                <w:rFonts w:hint="eastAsia" w:ascii="宋体" w:cs="宋体"/>
                <w:color w:val="000000"/>
                <w:highlight w:val="none"/>
                <w:lang w:val="zh-CN"/>
              </w:rPr>
            </w:pPr>
          </w:p>
        </w:tc>
      </w:tr>
      <w:tr w14:paraId="5DE9AA91">
        <w:tblPrEx>
          <w:tblCellMar>
            <w:top w:w="0" w:type="dxa"/>
            <w:left w:w="108" w:type="dxa"/>
            <w:bottom w:w="0" w:type="dxa"/>
            <w:right w:w="108" w:type="dxa"/>
          </w:tblCellMar>
        </w:tblPrEx>
        <w:trPr>
          <w:trHeight w:val="577" w:hRule="atLeast"/>
          <w:jc w:val="center"/>
        </w:trPr>
        <w:tc>
          <w:tcPr>
            <w:tcW w:w="1001" w:type="dxa"/>
            <w:tcBorders>
              <w:top w:val="single" w:color="auto" w:sz="4" w:space="0"/>
              <w:left w:val="single" w:color="auto" w:sz="4" w:space="0"/>
              <w:bottom w:val="single" w:color="auto" w:sz="4" w:space="0"/>
              <w:right w:val="single" w:color="auto" w:sz="4" w:space="0"/>
            </w:tcBorders>
            <w:noWrap w:val="0"/>
            <w:vAlign w:val="center"/>
          </w:tcPr>
          <w:p w14:paraId="38E95359">
            <w:pPr>
              <w:jc w:val="center"/>
              <w:rPr>
                <w:rFonts w:hint="eastAsia" w:ascii="宋体" w:cs="宋体"/>
                <w:color w:val="000000"/>
                <w:highlight w:val="none"/>
                <w:lang w:val="zh-CN"/>
              </w:rPr>
            </w:pPr>
            <w:r>
              <w:rPr>
                <w:rFonts w:hint="eastAsia" w:ascii="宋体" w:cs="宋体"/>
                <w:color w:val="000000"/>
                <w:highlight w:val="none"/>
              </w:rPr>
              <w:t>5</w:t>
            </w:r>
          </w:p>
        </w:tc>
        <w:tc>
          <w:tcPr>
            <w:tcW w:w="1701" w:type="dxa"/>
            <w:tcBorders>
              <w:top w:val="single" w:color="auto" w:sz="4" w:space="0"/>
              <w:left w:val="nil"/>
              <w:bottom w:val="single" w:color="auto" w:sz="4" w:space="0"/>
              <w:right w:val="single" w:color="auto" w:sz="4" w:space="0"/>
            </w:tcBorders>
            <w:noWrap w:val="0"/>
            <w:vAlign w:val="center"/>
          </w:tcPr>
          <w:p w14:paraId="30372518">
            <w:pPr>
              <w:jc w:val="center"/>
              <w:rPr>
                <w:rFonts w:hint="eastAsia" w:ascii="宋体" w:cs="宋体"/>
                <w:color w:val="000000"/>
                <w:highlight w:val="yellow"/>
                <w:lang w:val="zh-CN"/>
              </w:rPr>
            </w:pPr>
            <w:r>
              <w:rPr>
                <w:rFonts w:hint="eastAsia" w:ascii="宋体" w:hAnsi="宋体" w:cs="宋体"/>
                <w:bCs/>
                <w:highlight w:val="none"/>
              </w:rPr>
              <w:t>技术标准与要求</w:t>
            </w:r>
          </w:p>
        </w:tc>
        <w:tc>
          <w:tcPr>
            <w:tcW w:w="5103" w:type="dxa"/>
            <w:tcBorders>
              <w:top w:val="single" w:color="auto" w:sz="4" w:space="0"/>
              <w:left w:val="nil"/>
              <w:bottom w:val="single" w:color="auto" w:sz="4" w:space="0"/>
              <w:right w:val="single" w:color="auto" w:sz="4" w:space="0"/>
            </w:tcBorders>
            <w:noWrap w:val="0"/>
            <w:vAlign w:val="center"/>
          </w:tcPr>
          <w:p w14:paraId="693FDE1C">
            <w:pPr>
              <w:jc w:val="left"/>
              <w:rPr>
                <w:rFonts w:hint="eastAsia" w:ascii="宋体" w:cs="宋体"/>
                <w:color w:val="auto"/>
                <w:highlight w:val="yellow"/>
                <w:lang w:val="zh-CN"/>
              </w:rPr>
            </w:pPr>
            <w:r>
              <w:rPr>
                <w:rFonts w:hint="eastAsia" w:ascii="宋体" w:hAnsi="宋体" w:cs="宋体"/>
                <w:bCs/>
                <w:color w:val="auto"/>
                <w:highlight w:val="none"/>
              </w:rPr>
              <w:t>符合采购需求</w:t>
            </w:r>
            <w:r>
              <w:rPr>
                <w:rFonts w:hint="eastAsia" w:ascii="宋体" w:hAnsi="宋体" w:cs="宋体"/>
                <w:bCs/>
                <w:color w:val="auto"/>
                <w:highlight w:val="none"/>
                <w:lang w:val="zh-CN"/>
              </w:rPr>
              <w:t>要求</w:t>
            </w:r>
            <w:r>
              <w:rPr>
                <w:rFonts w:hint="eastAsia" w:ascii="宋体" w:hAnsi="宋体" w:cs="宋体"/>
                <w:bCs/>
                <w:color w:val="auto"/>
                <w:highlight w:val="none"/>
              </w:rPr>
              <w:t>规定</w:t>
            </w:r>
          </w:p>
        </w:tc>
        <w:tc>
          <w:tcPr>
            <w:tcW w:w="1572" w:type="dxa"/>
            <w:tcBorders>
              <w:top w:val="single" w:color="auto" w:sz="4" w:space="0"/>
              <w:left w:val="nil"/>
              <w:bottom w:val="single" w:color="auto" w:sz="4" w:space="0"/>
              <w:right w:val="single" w:color="auto" w:sz="4" w:space="0"/>
            </w:tcBorders>
            <w:noWrap w:val="0"/>
            <w:vAlign w:val="center"/>
          </w:tcPr>
          <w:p w14:paraId="64DD20C4">
            <w:pPr>
              <w:jc w:val="center"/>
              <w:rPr>
                <w:rFonts w:hint="eastAsia" w:ascii="宋体" w:cs="宋体"/>
                <w:color w:val="000000"/>
                <w:highlight w:val="none"/>
                <w:lang w:val="zh-CN"/>
              </w:rPr>
            </w:pPr>
          </w:p>
        </w:tc>
      </w:tr>
      <w:tr w14:paraId="069B4BC5">
        <w:tblPrEx>
          <w:tblCellMar>
            <w:top w:w="0" w:type="dxa"/>
            <w:left w:w="108" w:type="dxa"/>
            <w:bottom w:w="0" w:type="dxa"/>
            <w:right w:w="108" w:type="dxa"/>
          </w:tblCellMar>
        </w:tblPrEx>
        <w:trPr>
          <w:trHeight w:val="737" w:hRule="atLeast"/>
          <w:jc w:val="center"/>
        </w:trPr>
        <w:tc>
          <w:tcPr>
            <w:tcW w:w="1001" w:type="dxa"/>
            <w:tcBorders>
              <w:top w:val="single" w:color="auto" w:sz="4" w:space="0"/>
              <w:left w:val="single" w:color="auto" w:sz="4" w:space="0"/>
              <w:bottom w:val="single" w:color="auto" w:sz="4" w:space="0"/>
              <w:right w:val="single" w:color="auto" w:sz="4" w:space="0"/>
            </w:tcBorders>
            <w:noWrap w:val="0"/>
            <w:vAlign w:val="center"/>
          </w:tcPr>
          <w:p w14:paraId="5425766A">
            <w:pPr>
              <w:jc w:val="center"/>
              <w:rPr>
                <w:rFonts w:hint="eastAsia" w:ascii="宋体" w:cs="宋体"/>
                <w:color w:val="000000"/>
                <w:highlight w:val="none"/>
                <w:lang w:val="zh-CN"/>
              </w:rPr>
            </w:pPr>
            <w:r>
              <w:rPr>
                <w:rFonts w:hint="eastAsia" w:ascii="宋体" w:cs="宋体"/>
                <w:color w:val="000000"/>
                <w:highlight w:val="none"/>
                <w:lang w:val="zh-CN"/>
              </w:rPr>
              <w:t>……</w:t>
            </w:r>
          </w:p>
        </w:tc>
        <w:tc>
          <w:tcPr>
            <w:tcW w:w="1701" w:type="dxa"/>
            <w:tcBorders>
              <w:top w:val="single" w:color="auto" w:sz="4" w:space="0"/>
              <w:left w:val="nil"/>
              <w:bottom w:val="single" w:color="auto" w:sz="4" w:space="0"/>
              <w:right w:val="single" w:color="auto" w:sz="4" w:space="0"/>
            </w:tcBorders>
            <w:noWrap w:val="0"/>
            <w:vAlign w:val="center"/>
          </w:tcPr>
          <w:p w14:paraId="6A66E959">
            <w:pPr>
              <w:jc w:val="center"/>
              <w:rPr>
                <w:rFonts w:hint="eastAsia" w:ascii="宋体" w:cs="宋体"/>
                <w:color w:val="000000"/>
                <w:highlight w:val="none"/>
                <w:lang w:val="zh-CN"/>
              </w:rPr>
            </w:pPr>
            <w:r>
              <w:rPr>
                <w:rFonts w:hint="eastAsia" w:ascii="宋体" w:cs="宋体"/>
                <w:color w:val="000000"/>
                <w:highlight w:val="none"/>
                <w:lang w:val="zh-CN"/>
              </w:rPr>
              <w:t>……</w:t>
            </w:r>
          </w:p>
        </w:tc>
        <w:tc>
          <w:tcPr>
            <w:tcW w:w="5103" w:type="dxa"/>
            <w:tcBorders>
              <w:top w:val="single" w:color="auto" w:sz="4" w:space="0"/>
              <w:left w:val="nil"/>
              <w:bottom w:val="single" w:color="auto" w:sz="4" w:space="0"/>
              <w:right w:val="single" w:color="auto" w:sz="4" w:space="0"/>
            </w:tcBorders>
            <w:noWrap w:val="0"/>
            <w:vAlign w:val="center"/>
          </w:tcPr>
          <w:p w14:paraId="1A9D6782">
            <w:pPr>
              <w:jc w:val="left"/>
              <w:rPr>
                <w:rFonts w:hint="eastAsia" w:ascii="宋体" w:cs="宋体"/>
                <w:color w:val="auto"/>
                <w:highlight w:val="none"/>
                <w:lang w:val="zh-CN"/>
              </w:rPr>
            </w:pPr>
            <w:r>
              <w:rPr>
                <w:rFonts w:hint="eastAsia" w:ascii="宋体" w:cs="宋体"/>
                <w:color w:val="auto"/>
                <w:highlight w:val="none"/>
                <w:lang w:val="zh-CN"/>
              </w:rPr>
              <w:t>……</w:t>
            </w:r>
          </w:p>
        </w:tc>
        <w:tc>
          <w:tcPr>
            <w:tcW w:w="1572" w:type="dxa"/>
            <w:tcBorders>
              <w:top w:val="single" w:color="auto" w:sz="4" w:space="0"/>
              <w:left w:val="nil"/>
              <w:bottom w:val="single" w:color="auto" w:sz="4" w:space="0"/>
              <w:right w:val="single" w:color="auto" w:sz="4" w:space="0"/>
            </w:tcBorders>
            <w:noWrap w:val="0"/>
            <w:vAlign w:val="center"/>
          </w:tcPr>
          <w:p w14:paraId="38A897A7">
            <w:pPr>
              <w:jc w:val="center"/>
              <w:rPr>
                <w:rFonts w:hint="eastAsia" w:ascii="宋体" w:cs="宋体"/>
                <w:color w:val="000000"/>
                <w:highlight w:val="none"/>
                <w:lang w:val="zh-CN"/>
              </w:rPr>
            </w:pPr>
          </w:p>
        </w:tc>
      </w:tr>
    </w:tbl>
    <w:p w14:paraId="2330FD37">
      <w:pPr>
        <w:snapToGrid w:val="0"/>
        <w:spacing w:line="360" w:lineRule="auto"/>
        <w:jc w:val="right"/>
        <w:rPr>
          <w:rFonts w:hint="eastAsia" w:ascii="宋体" w:cs="宋体-18030"/>
          <w:color w:val="000000"/>
          <w:kern w:val="0"/>
          <w:sz w:val="24"/>
          <w:szCs w:val="24"/>
          <w:highlight w:val="none"/>
        </w:rPr>
      </w:pPr>
    </w:p>
    <w:p w14:paraId="4F3F3E22">
      <w:pPr>
        <w:autoSpaceDE w:val="0"/>
        <w:autoSpaceDN w:val="0"/>
        <w:adjustRightInd w:val="0"/>
        <w:snapToGrid w:val="0"/>
        <w:spacing w:line="360" w:lineRule="auto"/>
        <w:jc w:val="left"/>
        <w:rPr>
          <w:rFonts w:hint="eastAsia" w:ascii="宋体" w:cs="宋体-18030"/>
          <w:color w:val="000000"/>
          <w:kern w:val="0"/>
          <w:highlight w:val="none"/>
        </w:rPr>
      </w:pPr>
    </w:p>
    <w:p w14:paraId="7B15701E">
      <w:pPr>
        <w:autoSpaceDE w:val="0"/>
        <w:autoSpaceDN w:val="0"/>
        <w:adjustRightInd w:val="0"/>
        <w:snapToGrid w:val="0"/>
        <w:spacing w:line="360" w:lineRule="auto"/>
        <w:jc w:val="center"/>
        <w:rPr>
          <w:rFonts w:hint="eastAsia" w:ascii="宋体" w:cs="宋体-18030"/>
          <w:color w:val="000000"/>
          <w:kern w:val="0"/>
          <w:sz w:val="24"/>
          <w:szCs w:val="24"/>
          <w:highlight w:val="none"/>
        </w:rPr>
      </w:pPr>
    </w:p>
    <w:p w14:paraId="70FC162A">
      <w:pPr>
        <w:autoSpaceDE w:val="0"/>
        <w:autoSpaceDN w:val="0"/>
        <w:adjustRightInd w:val="0"/>
        <w:snapToGrid w:val="0"/>
        <w:spacing w:line="360" w:lineRule="auto"/>
        <w:jc w:val="center"/>
        <w:rPr>
          <w:rFonts w:hint="eastAsia" w:ascii="宋体" w:cs="宋体-18030"/>
          <w:color w:val="000000"/>
          <w:kern w:val="0"/>
          <w:sz w:val="24"/>
          <w:szCs w:val="24"/>
          <w:highlight w:val="none"/>
        </w:rPr>
      </w:pPr>
    </w:p>
    <w:p w14:paraId="2D7B5EB2">
      <w:pPr>
        <w:autoSpaceDE w:val="0"/>
        <w:autoSpaceDN w:val="0"/>
        <w:adjustRightInd w:val="0"/>
        <w:snapToGrid w:val="0"/>
        <w:spacing w:line="360" w:lineRule="auto"/>
        <w:jc w:val="center"/>
        <w:rPr>
          <w:rFonts w:hint="eastAsia" w:ascii="宋体" w:cs="宋体-18030"/>
          <w:color w:val="000000"/>
          <w:kern w:val="0"/>
          <w:sz w:val="24"/>
          <w:szCs w:val="24"/>
          <w:highlight w:val="none"/>
        </w:rPr>
      </w:pPr>
    </w:p>
    <w:p w14:paraId="4EE0998F">
      <w:pPr>
        <w:autoSpaceDE w:val="0"/>
        <w:autoSpaceDN w:val="0"/>
        <w:adjustRightInd w:val="0"/>
        <w:snapToGrid w:val="0"/>
        <w:spacing w:line="360" w:lineRule="auto"/>
        <w:jc w:val="center"/>
        <w:rPr>
          <w:rFonts w:hint="eastAsia" w:ascii="宋体" w:cs="宋体-18030"/>
          <w:color w:val="000000"/>
          <w:kern w:val="0"/>
          <w:sz w:val="24"/>
          <w:szCs w:val="24"/>
          <w:highlight w:val="none"/>
        </w:rPr>
      </w:pPr>
    </w:p>
    <w:p w14:paraId="5801D27B">
      <w:pPr>
        <w:autoSpaceDE w:val="0"/>
        <w:autoSpaceDN w:val="0"/>
        <w:adjustRightInd w:val="0"/>
        <w:snapToGrid w:val="0"/>
        <w:spacing w:line="360" w:lineRule="auto"/>
        <w:jc w:val="center"/>
        <w:rPr>
          <w:rFonts w:hint="eastAsia" w:ascii="宋体" w:cs="宋体-18030"/>
          <w:color w:val="000000"/>
          <w:kern w:val="0"/>
          <w:sz w:val="24"/>
          <w:szCs w:val="24"/>
          <w:highlight w:val="none"/>
        </w:rPr>
      </w:pPr>
    </w:p>
    <w:p w14:paraId="6B8DA937">
      <w:pPr>
        <w:autoSpaceDE w:val="0"/>
        <w:autoSpaceDN w:val="0"/>
        <w:adjustRightInd w:val="0"/>
        <w:snapToGrid w:val="0"/>
        <w:spacing w:line="360" w:lineRule="auto"/>
        <w:jc w:val="center"/>
        <w:rPr>
          <w:rFonts w:hint="eastAsia" w:ascii="宋体" w:cs="宋体-18030"/>
          <w:color w:val="000000"/>
          <w:kern w:val="0"/>
          <w:sz w:val="24"/>
          <w:szCs w:val="24"/>
          <w:highlight w:val="none"/>
        </w:rPr>
      </w:pPr>
    </w:p>
    <w:p w14:paraId="55D1B8CA">
      <w:pPr>
        <w:autoSpaceDE w:val="0"/>
        <w:autoSpaceDN w:val="0"/>
        <w:adjustRightInd w:val="0"/>
        <w:snapToGrid w:val="0"/>
        <w:spacing w:line="360" w:lineRule="auto"/>
        <w:jc w:val="center"/>
        <w:rPr>
          <w:rFonts w:hint="eastAsia" w:ascii="宋体" w:cs="宋体-18030"/>
          <w:color w:val="000000"/>
          <w:kern w:val="0"/>
          <w:sz w:val="24"/>
          <w:szCs w:val="24"/>
          <w:highlight w:val="none"/>
        </w:rPr>
      </w:pPr>
    </w:p>
    <w:p w14:paraId="63936F88">
      <w:pPr>
        <w:autoSpaceDE w:val="0"/>
        <w:autoSpaceDN w:val="0"/>
        <w:adjustRightInd w:val="0"/>
        <w:snapToGrid w:val="0"/>
        <w:spacing w:line="360" w:lineRule="auto"/>
        <w:jc w:val="center"/>
        <w:rPr>
          <w:rFonts w:hint="eastAsia" w:ascii="宋体" w:cs="宋体-18030"/>
          <w:color w:val="000000"/>
          <w:kern w:val="0"/>
          <w:sz w:val="24"/>
          <w:szCs w:val="24"/>
          <w:highlight w:val="none"/>
        </w:rPr>
      </w:pPr>
    </w:p>
    <w:p w14:paraId="10EF572C">
      <w:pPr>
        <w:autoSpaceDE w:val="0"/>
        <w:autoSpaceDN w:val="0"/>
        <w:adjustRightInd w:val="0"/>
        <w:snapToGrid w:val="0"/>
        <w:spacing w:line="360" w:lineRule="auto"/>
        <w:jc w:val="center"/>
        <w:rPr>
          <w:rFonts w:hint="eastAsia" w:ascii="宋体" w:cs="宋体-18030"/>
          <w:color w:val="000000"/>
          <w:kern w:val="0"/>
          <w:sz w:val="24"/>
          <w:szCs w:val="24"/>
          <w:highlight w:val="none"/>
        </w:rPr>
      </w:pPr>
    </w:p>
    <w:p w14:paraId="009E2261">
      <w:pPr>
        <w:autoSpaceDE w:val="0"/>
        <w:autoSpaceDN w:val="0"/>
        <w:adjustRightInd w:val="0"/>
        <w:snapToGrid w:val="0"/>
        <w:spacing w:line="360" w:lineRule="auto"/>
        <w:jc w:val="center"/>
        <w:rPr>
          <w:rFonts w:hint="eastAsia" w:ascii="宋体" w:cs="宋体-18030"/>
          <w:color w:val="000000"/>
          <w:kern w:val="0"/>
          <w:sz w:val="24"/>
          <w:szCs w:val="24"/>
          <w:highlight w:val="none"/>
        </w:rPr>
      </w:pPr>
    </w:p>
    <w:p w14:paraId="5E43BC3B">
      <w:pPr>
        <w:autoSpaceDE w:val="0"/>
        <w:autoSpaceDN w:val="0"/>
        <w:adjustRightInd w:val="0"/>
        <w:snapToGrid w:val="0"/>
        <w:spacing w:line="360" w:lineRule="auto"/>
        <w:jc w:val="center"/>
        <w:rPr>
          <w:rFonts w:hint="eastAsia" w:ascii="宋体" w:cs="宋体-18030"/>
          <w:color w:val="000000"/>
          <w:kern w:val="0"/>
          <w:sz w:val="24"/>
          <w:szCs w:val="24"/>
          <w:highlight w:val="none"/>
        </w:rPr>
      </w:pPr>
    </w:p>
    <w:p w14:paraId="5DFD8BA7">
      <w:pPr>
        <w:autoSpaceDE w:val="0"/>
        <w:autoSpaceDN w:val="0"/>
        <w:adjustRightInd w:val="0"/>
        <w:snapToGrid w:val="0"/>
        <w:spacing w:line="360" w:lineRule="auto"/>
        <w:jc w:val="center"/>
        <w:rPr>
          <w:rFonts w:hint="eastAsia" w:ascii="宋体" w:cs="宋体-18030"/>
          <w:color w:val="000000"/>
          <w:kern w:val="0"/>
          <w:sz w:val="24"/>
          <w:szCs w:val="24"/>
          <w:highlight w:val="none"/>
        </w:rPr>
      </w:pPr>
    </w:p>
    <w:p w14:paraId="7F0FE0DE">
      <w:pPr>
        <w:pStyle w:val="19"/>
        <w:ind w:firstLine="240"/>
        <w:rPr>
          <w:rFonts w:hint="eastAsia" w:ascii="宋体" w:cs="宋体-18030"/>
          <w:color w:val="000000"/>
          <w:kern w:val="0"/>
          <w:highlight w:val="none"/>
        </w:rPr>
      </w:pPr>
    </w:p>
    <w:p w14:paraId="78F3AF57">
      <w:pPr>
        <w:pStyle w:val="19"/>
        <w:ind w:firstLine="240"/>
        <w:rPr>
          <w:rFonts w:hint="eastAsia" w:ascii="宋体" w:cs="宋体-18030"/>
          <w:color w:val="000000"/>
          <w:kern w:val="0"/>
          <w:highlight w:val="none"/>
        </w:rPr>
      </w:pPr>
    </w:p>
    <w:p w14:paraId="4F41954F">
      <w:pPr>
        <w:pStyle w:val="19"/>
        <w:ind w:firstLine="240"/>
        <w:rPr>
          <w:rFonts w:hint="eastAsia" w:ascii="宋体" w:cs="宋体-18030"/>
          <w:color w:val="000000"/>
          <w:kern w:val="0"/>
          <w:highlight w:val="none"/>
        </w:rPr>
      </w:pPr>
    </w:p>
    <w:p w14:paraId="269DD82B">
      <w:pPr>
        <w:autoSpaceDE w:val="0"/>
        <w:autoSpaceDN w:val="0"/>
        <w:adjustRightInd w:val="0"/>
        <w:snapToGrid w:val="0"/>
        <w:spacing w:line="360" w:lineRule="auto"/>
        <w:jc w:val="center"/>
        <w:outlineLvl w:val="0"/>
        <w:rPr>
          <w:rFonts w:hint="eastAsia" w:ascii="宋体" w:cs="宋体-18030"/>
          <w:b/>
          <w:bCs/>
          <w:color w:val="000000"/>
          <w:kern w:val="0"/>
          <w:sz w:val="30"/>
          <w:szCs w:val="30"/>
          <w:highlight w:val="none"/>
        </w:rPr>
      </w:pPr>
      <w:bookmarkStart w:id="84" w:name="_Toc15795"/>
      <w:bookmarkStart w:id="85" w:name="_Toc7866"/>
      <w:r>
        <w:rPr>
          <w:rFonts w:hint="eastAsia" w:ascii="宋体" w:cs="宋体-18030"/>
          <w:b/>
          <w:bCs/>
          <w:color w:val="000000"/>
          <w:kern w:val="0"/>
          <w:sz w:val="30"/>
          <w:szCs w:val="30"/>
          <w:highlight w:val="none"/>
        </w:rPr>
        <w:t>二、开标一览表</w:t>
      </w:r>
      <w:bookmarkEnd w:id="84"/>
      <w:bookmarkEnd w:id="85"/>
    </w:p>
    <w:p w14:paraId="250372A8">
      <w:pPr>
        <w:autoSpaceDE w:val="0"/>
        <w:autoSpaceDN w:val="0"/>
        <w:adjustRightInd w:val="0"/>
        <w:snapToGrid w:val="0"/>
        <w:spacing w:line="360" w:lineRule="auto"/>
        <w:jc w:val="center"/>
        <w:rPr>
          <w:rFonts w:hint="eastAsia" w:ascii="宋体" w:cs="宋体-18030"/>
          <w:color w:val="000000"/>
          <w:kern w:val="0"/>
          <w:sz w:val="24"/>
          <w:szCs w:val="24"/>
          <w:highlight w:val="none"/>
        </w:rPr>
      </w:pPr>
    </w:p>
    <w:p w14:paraId="5B6D807E">
      <w:pPr>
        <w:autoSpaceDE w:val="0"/>
        <w:autoSpaceDN w:val="0"/>
        <w:rPr>
          <w:rFonts w:hint="eastAsia" w:ascii="宋体"/>
          <w:color w:val="000000"/>
          <w:highlight w:val="none"/>
          <w:u w:val="single"/>
          <w:lang w:val="zh-CN"/>
        </w:rPr>
      </w:pPr>
      <w:r>
        <w:rPr>
          <w:rFonts w:hint="eastAsia" w:ascii="宋体"/>
          <w:color w:val="000000"/>
          <w:highlight w:val="none"/>
          <w:u w:val="single"/>
          <w:lang w:val="zh-CN"/>
        </w:rPr>
        <w:t xml:space="preserve"> (项目名称)</w:t>
      </w:r>
      <w:r>
        <w:rPr>
          <w:rFonts w:hint="eastAsia" w:ascii="宋体"/>
          <w:color w:val="000000"/>
          <w:highlight w:val="none"/>
          <w:u w:val="single"/>
          <w:lang w:val="zh-CN" w:eastAsia="zh-CN"/>
        </w:rPr>
        <w:t xml:space="preserve">  </w:t>
      </w:r>
    </w:p>
    <w:tbl>
      <w:tblPr>
        <w:tblStyle w:val="21"/>
        <w:tblW w:w="4998" w:type="pct"/>
        <w:tblInd w:w="0" w:type="dxa"/>
        <w:tblLayout w:type="autofit"/>
        <w:tblCellMar>
          <w:top w:w="0" w:type="dxa"/>
          <w:left w:w="108" w:type="dxa"/>
          <w:bottom w:w="0" w:type="dxa"/>
          <w:right w:w="108" w:type="dxa"/>
        </w:tblCellMar>
      </w:tblPr>
      <w:tblGrid>
        <w:gridCol w:w="2364"/>
        <w:gridCol w:w="1911"/>
        <w:gridCol w:w="1800"/>
        <w:gridCol w:w="1225"/>
        <w:gridCol w:w="1213"/>
      </w:tblGrid>
      <w:tr w14:paraId="747A319D">
        <w:tblPrEx>
          <w:tblCellMar>
            <w:top w:w="0" w:type="dxa"/>
            <w:left w:w="108" w:type="dxa"/>
            <w:bottom w:w="0" w:type="dxa"/>
            <w:right w:w="108" w:type="dxa"/>
          </w:tblCellMar>
        </w:tblPrEx>
        <w:trPr>
          <w:trHeight w:val="1502" w:hRule="atLeast"/>
        </w:trPr>
        <w:tc>
          <w:tcPr>
            <w:tcW w:w="1388" w:type="pct"/>
            <w:tcBorders>
              <w:top w:val="single" w:color="auto" w:sz="6" w:space="0"/>
              <w:left w:val="single" w:color="auto" w:sz="6" w:space="0"/>
              <w:bottom w:val="single" w:color="auto" w:sz="6" w:space="0"/>
              <w:right w:val="single" w:color="auto" w:sz="6" w:space="0"/>
            </w:tcBorders>
            <w:noWrap w:val="0"/>
            <w:vAlign w:val="center"/>
          </w:tcPr>
          <w:p w14:paraId="561E263A">
            <w:pPr>
              <w:autoSpaceDE w:val="0"/>
              <w:autoSpaceDN w:val="0"/>
              <w:jc w:val="center"/>
              <w:rPr>
                <w:rFonts w:hint="eastAsia" w:ascii="宋体"/>
                <w:color w:val="000000"/>
                <w:highlight w:val="none"/>
                <w:lang w:val="zh-CN"/>
              </w:rPr>
            </w:pPr>
            <w:r>
              <w:rPr>
                <w:rFonts w:hint="eastAsia" w:ascii="宋体"/>
                <w:color w:val="000000"/>
                <w:highlight w:val="none"/>
              </w:rPr>
              <w:t>单位名称</w:t>
            </w:r>
          </w:p>
        </w:tc>
        <w:tc>
          <w:tcPr>
            <w:tcW w:w="1122" w:type="pct"/>
            <w:tcBorders>
              <w:top w:val="single" w:color="auto" w:sz="6" w:space="0"/>
              <w:left w:val="single" w:color="auto" w:sz="6" w:space="0"/>
              <w:bottom w:val="single" w:color="auto" w:sz="6" w:space="0"/>
              <w:right w:val="single" w:color="auto" w:sz="6" w:space="0"/>
            </w:tcBorders>
            <w:noWrap w:val="0"/>
            <w:vAlign w:val="center"/>
          </w:tcPr>
          <w:p w14:paraId="5DB81B13">
            <w:pPr>
              <w:autoSpaceDE w:val="0"/>
              <w:autoSpaceDN w:val="0"/>
              <w:jc w:val="center"/>
              <w:rPr>
                <w:rFonts w:hint="eastAsia" w:ascii="宋体"/>
                <w:color w:val="000000"/>
                <w:highlight w:val="none"/>
                <w:lang w:val="zh-CN"/>
              </w:rPr>
            </w:pPr>
            <w:r>
              <w:rPr>
                <w:rFonts w:hint="eastAsia" w:ascii="宋体"/>
                <w:color w:val="000000"/>
                <w:highlight w:val="none"/>
                <w:lang w:val="zh-CN"/>
              </w:rPr>
              <w:t>投标</w:t>
            </w:r>
            <w:r>
              <w:rPr>
                <w:rFonts w:hint="eastAsia" w:ascii="宋体"/>
                <w:color w:val="000000"/>
                <w:highlight w:val="none"/>
              </w:rPr>
              <w:t>报</w:t>
            </w:r>
            <w:r>
              <w:rPr>
                <w:rFonts w:hint="eastAsia" w:ascii="宋体"/>
                <w:color w:val="000000"/>
                <w:highlight w:val="none"/>
                <w:lang w:val="zh-CN"/>
              </w:rPr>
              <w:t>价</w:t>
            </w:r>
          </w:p>
          <w:p w14:paraId="04E80F43">
            <w:pPr>
              <w:autoSpaceDE w:val="0"/>
              <w:autoSpaceDN w:val="0"/>
              <w:jc w:val="center"/>
              <w:rPr>
                <w:rFonts w:hint="eastAsia" w:ascii="宋体"/>
                <w:color w:val="000000"/>
                <w:highlight w:val="none"/>
                <w:lang w:val="zh-CN"/>
              </w:rPr>
            </w:pPr>
            <w:r>
              <w:rPr>
                <w:rFonts w:hint="eastAsia" w:ascii="宋体"/>
                <w:color w:val="000000"/>
                <w:highlight w:val="none"/>
                <w:lang w:val="zh-CN"/>
              </w:rPr>
              <w:t>（</w:t>
            </w:r>
            <w:r>
              <w:rPr>
                <w:rFonts w:hint="eastAsia" w:ascii="宋体"/>
                <w:color w:val="000000"/>
                <w:highlight w:val="none"/>
              </w:rPr>
              <w:t>元</w:t>
            </w:r>
            <w:r>
              <w:rPr>
                <w:rFonts w:hint="eastAsia" w:ascii="宋体"/>
                <w:color w:val="000000"/>
                <w:highlight w:val="none"/>
                <w:lang w:val="zh-CN"/>
              </w:rPr>
              <w:t>）</w:t>
            </w:r>
          </w:p>
        </w:tc>
        <w:tc>
          <w:tcPr>
            <w:tcW w:w="1057" w:type="pct"/>
            <w:tcBorders>
              <w:top w:val="single" w:color="auto" w:sz="6" w:space="0"/>
              <w:left w:val="single" w:color="auto" w:sz="6" w:space="0"/>
              <w:bottom w:val="single" w:color="auto" w:sz="6" w:space="0"/>
              <w:right w:val="single" w:color="auto" w:sz="6" w:space="0"/>
            </w:tcBorders>
            <w:noWrap w:val="0"/>
            <w:vAlign w:val="center"/>
          </w:tcPr>
          <w:p w14:paraId="523F82A7">
            <w:pPr>
              <w:autoSpaceDE w:val="0"/>
              <w:autoSpaceDN w:val="0"/>
              <w:jc w:val="center"/>
              <w:rPr>
                <w:rFonts w:hint="eastAsia" w:ascii="宋体" w:eastAsiaTheme="minorEastAsia"/>
                <w:b w:val="0"/>
                <w:bCs w:val="0"/>
                <w:color w:val="000000"/>
                <w:highlight w:val="none"/>
                <w:lang w:val="zh-CN" w:eastAsia="zh-CN"/>
              </w:rPr>
            </w:pPr>
            <w:r>
              <w:rPr>
                <w:rFonts w:hint="eastAsia" w:ascii="宋体" w:eastAsiaTheme="minorEastAsia"/>
                <w:b w:val="0"/>
                <w:bCs w:val="0"/>
                <w:color w:val="000000"/>
                <w:highlight w:val="none"/>
                <w:lang w:val="zh-CN" w:eastAsia="zh-CN"/>
              </w:rPr>
              <w:t>合同履行期限</w:t>
            </w:r>
          </w:p>
          <w:p w14:paraId="4B771B03">
            <w:pPr>
              <w:autoSpaceDE w:val="0"/>
              <w:autoSpaceDN w:val="0"/>
              <w:jc w:val="center"/>
              <w:rPr>
                <w:rFonts w:hint="eastAsia" w:ascii="宋体" w:eastAsiaTheme="minorEastAsia"/>
                <w:b/>
                <w:bCs/>
                <w:color w:val="000000"/>
                <w:highlight w:val="none"/>
                <w:lang w:val="zh-CN" w:eastAsia="zh-CN"/>
              </w:rPr>
            </w:pPr>
            <w:r>
              <w:rPr>
                <w:rFonts w:hint="eastAsia" w:ascii="宋体" w:eastAsiaTheme="minorEastAsia"/>
                <w:b w:val="0"/>
                <w:bCs w:val="0"/>
                <w:color w:val="000000"/>
                <w:highlight w:val="none"/>
                <w:lang w:val="zh-CN" w:eastAsia="zh-CN"/>
              </w:rPr>
              <w:t>(交货期限)</w:t>
            </w:r>
          </w:p>
        </w:tc>
        <w:tc>
          <w:tcPr>
            <w:tcW w:w="719" w:type="pct"/>
            <w:tcBorders>
              <w:top w:val="single" w:color="auto" w:sz="6" w:space="0"/>
              <w:left w:val="single" w:color="auto" w:sz="4" w:space="0"/>
              <w:bottom w:val="single" w:color="auto" w:sz="6" w:space="0"/>
              <w:right w:val="single" w:color="auto" w:sz="6" w:space="0"/>
            </w:tcBorders>
            <w:noWrap w:val="0"/>
            <w:vAlign w:val="center"/>
          </w:tcPr>
          <w:p w14:paraId="50A03995">
            <w:pPr>
              <w:autoSpaceDE w:val="0"/>
              <w:autoSpaceDN w:val="0"/>
              <w:jc w:val="center"/>
              <w:rPr>
                <w:rFonts w:hint="eastAsia" w:ascii="宋体" w:eastAsia="宋体"/>
                <w:color w:val="000000"/>
                <w:highlight w:val="none"/>
                <w:lang w:eastAsia="zh-CN"/>
              </w:rPr>
            </w:pPr>
            <w:r>
              <w:rPr>
                <w:rFonts w:hint="eastAsia" w:ascii="宋体" w:cs="宋体"/>
                <w:color w:val="000000"/>
                <w:highlight w:val="none"/>
                <w:lang w:val="zh-CN"/>
              </w:rPr>
              <w:t>质量</w:t>
            </w:r>
            <w:r>
              <w:rPr>
                <w:rFonts w:hint="eastAsia" w:ascii="宋体" w:cs="宋体"/>
                <w:color w:val="000000"/>
                <w:highlight w:val="none"/>
                <w:lang w:val="en-US" w:eastAsia="zh-CN"/>
              </w:rPr>
              <w:t>要求</w:t>
            </w:r>
          </w:p>
        </w:tc>
        <w:tc>
          <w:tcPr>
            <w:tcW w:w="712" w:type="pct"/>
            <w:tcBorders>
              <w:top w:val="single" w:color="auto" w:sz="6" w:space="0"/>
              <w:left w:val="single" w:color="auto" w:sz="4" w:space="0"/>
              <w:bottom w:val="single" w:color="auto" w:sz="6" w:space="0"/>
              <w:right w:val="single" w:color="auto" w:sz="6" w:space="0"/>
            </w:tcBorders>
            <w:noWrap w:val="0"/>
            <w:vAlign w:val="center"/>
          </w:tcPr>
          <w:p w14:paraId="7B8C66D0">
            <w:pPr>
              <w:autoSpaceDE w:val="0"/>
              <w:autoSpaceDN w:val="0"/>
              <w:ind w:firstLine="210" w:firstLineChars="100"/>
              <w:rPr>
                <w:rFonts w:hint="eastAsia" w:ascii="宋体"/>
                <w:color w:val="000000"/>
                <w:highlight w:val="none"/>
                <w:lang w:val="zh-CN"/>
              </w:rPr>
            </w:pPr>
            <w:r>
              <w:rPr>
                <w:rFonts w:hint="eastAsia" w:ascii="宋体"/>
                <w:color w:val="000000"/>
                <w:highlight w:val="none"/>
                <w:lang w:val="zh-CN"/>
              </w:rPr>
              <w:t>备注</w:t>
            </w:r>
          </w:p>
        </w:tc>
      </w:tr>
      <w:tr w14:paraId="632FF42E">
        <w:tblPrEx>
          <w:tblCellMar>
            <w:top w:w="0" w:type="dxa"/>
            <w:left w:w="108" w:type="dxa"/>
            <w:bottom w:w="0" w:type="dxa"/>
            <w:right w:w="108" w:type="dxa"/>
          </w:tblCellMar>
        </w:tblPrEx>
        <w:trPr>
          <w:trHeight w:val="1062" w:hRule="exact"/>
        </w:trPr>
        <w:tc>
          <w:tcPr>
            <w:tcW w:w="1388" w:type="pct"/>
            <w:tcBorders>
              <w:top w:val="single" w:color="auto" w:sz="6" w:space="0"/>
              <w:left w:val="single" w:color="auto" w:sz="6" w:space="0"/>
              <w:bottom w:val="single" w:color="auto" w:sz="6" w:space="0"/>
              <w:right w:val="single" w:color="auto" w:sz="6" w:space="0"/>
            </w:tcBorders>
            <w:noWrap w:val="0"/>
            <w:vAlign w:val="top"/>
          </w:tcPr>
          <w:p w14:paraId="0DBC6B39">
            <w:pPr>
              <w:autoSpaceDE w:val="0"/>
              <w:autoSpaceDN w:val="0"/>
              <w:rPr>
                <w:rFonts w:hint="eastAsia" w:ascii="宋体"/>
                <w:b/>
                <w:bCs/>
                <w:color w:val="000000"/>
                <w:highlight w:val="none"/>
                <w:lang w:val="zh-CN"/>
              </w:rPr>
            </w:pPr>
          </w:p>
        </w:tc>
        <w:tc>
          <w:tcPr>
            <w:tcW w:w="1122" w:type="pct"/>
            <w:tcBorders>
              <w:top w:val="single" w:color="auto" w:sz="6" w:space="0"/>
              <w:left w:val="single" w:color="auto" w:sz="6" w:space="0"/>
              <w:bottom w:val="single" w:color="auto" w:sz="6" w:space="0"/>
              <w:right w:val="single" w:color="auto" w:sz="6" w:space="0"/>
            </w:tcBorders>
            <w:noWrap w:val="0"/>
            <w:vAlign w:val="top"/>
          </w:tcPr>
          <w:p w14:paraId="362C59AF">
            <w:pPr>
              <w:autoSpaceDE w:val="0"/>
              <w:autoSpaceDN w:val="0"/>
              <w:rPr>
                <w:rFonts w:hint="eastAsia" w:ascii="宋体"/>
                <w:b/>
                <w:bCs/>
                <w:color w:val="000000"/>
                <w:highlight w:val="none"/>
                <w:lang w:val="zh-CN"/>
              </w:rPr>
            </w:pPr>
          </w:p>
        </w:tc>
        <w:tc>
          <w:tcPr>
            <w:tcW w:w="1057" w:type="pct"/>
            <w:tcBorders>
              <w:top w:val="single" w:color="auto" w:sz="6" w:space="0"/>
              <w:left w:val="single" w:color="auto" w:sz="6" w:space="0"/>
              <w:bottom w:val="single" w:color="auto" w:sz="6" w:space="0"/>
              <w:right w:val="single" w:color="auto" w:sz="6" w:space="0"/>
            </w:tcBorders>
            <w:noWrap w:val="0"/>
            <w:vAlign w:val="top"/>
          </w:tcPr>
          <w:p w14:paraId="1F8DC72B">
            <w:pPr>
              <w:autoSpaceDE w:val="0"/>
              <w:autoSpaceDN w:val="0"/>
              <w:rPr>
                <w:rFonts w:hint="eastAsia" w:ascii="宋体"/>
                <w:b/>
                <w:bCs/>
                <w:color w:val="000000"/>
                <w:highlight w:val="none"/>
                <w:lang w:val="zh-CN"/>
              </w:rPr>
            </w:pPr>
          </w:p>
        </w:tc>
        <w:tc>
          <w:tcPr>
            <w:tcW w:w="719" w:type="pct"/>
            <w:tcBorders>
              <w:top w:val="single" w:color="auto" w:sz="6" w:space="0"/>
              <w:left w:val="single" w:color="auto" w:sz="4" w:space="0"/>
              <w:bottom w:val="single" w:color="auto" w:sz="6" w:space="0"/>
              <w:right w:val="single" w:color="auto" w:sz="6" w:space="0"/>
            </w:tcBorders>
            <w:noWrap w:val="0"/>
            <w:vAlign w:val="top"/>
          </w:tcPr>
          <w:p w14:paraId="42861CF2">
            <w:pPr>
              <w:autoSpaceDE w:val="0"/>
              <w:autoSpaceDN w:val="0"/>
              <w:rPr>
                <w:rFonts w:hint="eastAsia" w:ascii="宋体"/>
                <w:b/>
                <w:bCs/>
                <w:color w:val="000000"/>
                <w:highlight w:val="none"/>
                <w:lang w:val="zh-CN"/>
              </w:rPr>
            </w:pPr>
          </w:p>
        </w:tc>
        <w:tc>
          <w:tcPr>
            <w:tcW w:w="712" w:type="pct"/>
            <w:tcBorders>
              <w:top w:val="single" w:color="auto" w:sz="6" w:space="0"/>
              <w:left w:val="single" w:color="auto" w:sz="4" w:space="0"/>
              <w:bottom w:val="single" w:color="auto" w:sz="6" w:space="0"/>
              <w:right w:val="single" w:color="auto" w:sz="6" w:space="0"/>
            </w:tcBorders>
            <w:noWrap w:val="0"/>
            <w:vAlign w:val="top"/>
          </w:tcPr>
          <w:p w14:paraId="15DF8A32">
            <w:pPr>
              <w:autoSpaceDE w:val="0"/>
              <w:autoSpaceDN w:val="0"/>
              <w:rPr>
                <w:rFonts w:hint="eastAsia" w:ascii="宋体"/>
                <w:b/>
                <w:bCs/>
                <w:color w:val="000000"/>
                <w:highlight w:val="none"/>
                <w:lang w:val="zh-CN"/>
              </w:rPr>
            </w:pPr>
          </w:p>
        </w:tc>
      </w:tr>
    </w:tbl>
    <w:p w14:paraId="609D4AEF">
      <w:pPr>
        <w:autoSpaceDE w:val="0"/>
        <w:autoSpaceDN w:val="0"/>
        <w:rPr>
          <w:rFonts w:hint="eastAsia" w:ascii="宋体"/>
          <w:b/>
          <w:bCs/>
          <w:color w:val="000000"/>
          <w:highlight w:val="none"/>
          <w:lang w:val="zh-CN"/>
        </w:rPr>
      </w:pPr>
    </w:p>
    <w:p w14:paraId="5107D1D7">
      <w:pPr>
        <w:autoSpaceDE w:val="0"/>
        <w:autoSpaceDN w:val="0"/>
        <w:spacing w:line="360" w:lineRule="auto"/>
        <w:ind w:firstLine="480"/>
        <w:rPr>
          <w:rFonts w:hint="eastAsia" w:ascii="宋体"/>
          <w:color w:val="000000"/>
          <w:highlight w:val="none"/>
          <w:lang w:val="zh-CN"/>
        </w:rPr>
      </w:pPr>
    </w:p>
    <w:p w14:paraId="403ACEAC">
      <w:pPr>
        <w:autoSpaceDE w:val="0"/>
        <w:autoSpaceDN w:val="0"/>
        <w:spacing w:line="360" w:lineRule="auto"/>
        <w:ind w:firstLine="480"/>
        <w:rPr>
          <w:rFonts w:hint="eastAsia" w:ascii="宋体"/>
          <w:color w:val="000000"/>
          <w:highlight w:val="none"/>
          <w:lang w:val="zh-CN"/>
        </w:rPr>
      </w:pPr>
      <w:r>
        <w:rPr>
          <w:rFonts w:hint="eastAsia" w:ascii="宋体"/>
          <w:color w:val="000000"/>
          <w:highlight w:val="none"/>
        </w:rPr>
        <w:t>1、</w:t>
      </w:r>
      <w:r>
        <w:rPr>
          <w:rFonts w:hint="eastAsia" w:ascii="宋体"/>
          <w:color w:val="000000"/>
          <w:highlight w:val="none"/>
          <w:lang w:val="zh-CN"/>
        </w:rPr>
        <w:t>“开标一览表”的内容应与“投标函”以及投标文件的其他相关内容一致。如果“开标一览表”的内容与“投标函”以及投标文件的其他相关内容不一致，则以“开标一览表”的内容为准。</w:t>
      </w:r>
    </w:p>
    <w:p w14:paraId="01CF78AB">
      <w:pPr>
        <w:autoSpaceDE w:val="0"/>
        <w:autoSpaceDN w:val="0"/>
        <w:spacing w:line="360" w:lineRule="auto"/>
        <w:ind w:firstLine="480"/>
        <w:rPr>
          <w:rFonts w:hint="eastAsia" w:ascii="宋体"/>
          <w:color w:val="000000"/>
          <w:highlight w:val="none"/>
          <w:lang w:val="zh-CN"/>
        </w:rPr>
      </w:pPr>
      <w:r>
        <w:rPr>
          <w:rFonts w:hint="eastAsia" w:ascii="宋体"/>
          <w:color w:val="000000"/>
          <w:highlight w:val="none"/>
        </w:rPr>
        <w:t>2</w:t>
      </w:r>
      <w:r>
        <w:rPr>
          <w:rFonts w:hint="eastAsia" w:ascii="宋体"/>
          <w:color w:val="000000"/>
          <w:highlight w:val="none"/>
          <w:lang w:val="zh-CN"/>
        </w:rPr>
        <w:t>、“开标一览表”中各个栏目都必须完整、准确填写。开标时，“开标一览表”的所有内容都不允许补充或者修改。</w:t>
      </w:r>
    </w:p>
    <w:p w14:paraId="6A0AA503">
      <w:pPr>
        <w:autoSpaceDE w:val="0"/>
        <w:autoSpaceDN w:val="0"/>
        <w:spacing w:line="360" w:lineRule="auto"/>
        <w:rPr>
          <w:rFonts w:hint="eastAsia" w:ascii="宋体"/>
          <w:color w:val="000000"/>
          <w:highlight w:val="none"/>
          <w:lang w:val="zh-CN"/>
        </w:rPr>
      </w:pPr>
    </w:p>
    <w:p w14:paraId="36A6E467">
      <w:pPr>
        <w:autoSpaceDE w:val="0"/>
        <w:autoSpaceDN w:val="0"/>
        <w:rPr>
          <w:rFonts w:hint="eastAsia" w:ascii="宋体"/>
          <w:b/>
          <w:bCs/>
          <w:color w:val="000000"/>
          <w:highlight w:val="none"/>
          <w:lang w:val="zh-CN"/>
        </w:rPr>
      </w:pPr>
    </w:p>
    <w:p w14:paraId="273C3BBE">
      <w:pPr>
        <w:autoSpaceDE w:val="0"/>
        <w:autoSpaceDN w:val="0"/>
        <w:rPr>
          <w:rFonts w:hint="eastAsia" w:ascii="宋体"/>
          <w:b/>
          <w:bCs/>
          <w:color w:val="000000"/>
          <w:highlight w:val="none"/>
          <w:lang w:val="zh-CN"/>
        </w:rPr>
      </w:pPr>
    </w:p>
    <w:p w14:paraId="5721F1A7">
      <w:pPr>
        <w:autoSpaceDE w:val="0"/>
        <w:autoSpaceDN w:val="0"/>
        <w:rPr>
          <w:rFonts w:hint="eastAsia" w:ascii="宋体"/>
          <w:b/>
          <w:bCs/>
          <w:color w:val="000000"/>
          <w:highlight w:val="none"/>
          <w:lang w:val="zh-CN"/>
        </w:rPr>
      </w:pPr>
    </w:p>
    <w:p w14:paraId="02C58ECD">
      <w:pPr>
        <w:autoSpaceDE w:val="0"/>
        <w:autoSpaceDN w:val="0"/>
        <w:rPr>
          <w:rFonts w:hint="eastAsia" w:ascii="宋体"/>
          <w:b/>
          <w:bCs/>
          <w:color w:val="000000"/>
          <w:highlight w:val="none"/>
          <w:lang w:val="zh-CN"/>
        </w:rPr>
      </w:pPr>
    </w:p>
    <w:p w14:paraId="3D61D90C">
      <w:pPr>
        <w:autoSpaceDE w:val="0"/>
        <w:autoSpaceDN w:val="0"/>
        <w:rPr>
          <w:rFonts w:hint="eastAsia" w:ascii="宋体"/>
          <w:b/>
          <w:bCs/>
          <w:color w:val="000000"/>
          <w:highlight w:val="none"/>
          <w:lang w:val="zh-CN"/>
        </w:rPr>
      </w:pPr>
    </w:p>
    <w:p w14:paraId="6C8E1A38">
      <w:pPr>
        <w:autoSpaceDE w:val="0"/>
        <w:autoSpaceDN w:val="0"/>
        <w:rPr>
          <w:rFonts w:hint="eastAsia" w:ascii="宋体"/>
          <w:b/>
          <w:bCs/>
          <w:color w:val="000000"/>
          <w:highlight w:val="none"/>
          <w:lang w:val="zh-CN"/>
        </w:rPr>
      </w:pPr>
    </w:p>
    <w:p w14:paraId="6EE5AB7C">
      <w:pPr>
        <w:autoSpaceDE w:val="0"/>
        <w:autoSpaceDN w:val="0"/>
        <w:rPr>
          <w:rFonts w:hint="eastAsia" w:ascii="宋体"/>
          <w:b/>
          <w:bCs/>
          <w:color w:val="000000"/>
          <w:highlight w:val="none"/>
          <w:lang w:val="zh-CN"/>
        </w:rPr>
      </w:pPr>
    </w:p>
    <w:p w14:paraId="42C7F422">
      <w:pPr>
        <w:autoSpaceDE w:val="0"/>
        <w:autoSpaceDN w:val="0"/>
        <w:ind w:firstLine="3388" w:firstLineChars="1607"/>
        <w:rPr>
          <w:rFonts w:hint="eastAsia" w:ascii="宋体"/>
          <w:b/>
          <w:color w:val="000000"/>
          <w:highlight w:val="none"/>
          <w:lang w:val="zh-CN"/>
        </w:rPr>
      </w:pPr>
    </w:p>
    <w:p w14:paraId="713CDC01">
      <w:pPr>
        <w:autoSpaceDE w:val="0"/>
        <w:autoSpaceDN w:val="0"/>
        <w:ind w:firstLine="3388" w:firstLineChars="1607"/>
        <w:rPr>
          <w:rFonts w:hint="eastAsia" w:ascii="宋体"/>
          <w:b/>
          <w:color w:val="000000"/>
          <w:highlight w:val="none"/>
          <w:lang w:val="zh-CN"/>
        </w:rPr>
      </w:pPr>
    </w:p>
    <w:p w14:paraId="1651E065">
      <w:pPr>
        <w:autoSpaceDE w:val="0"/>
        <w:autoSpaceDN w:val="0"/>
        <w:ind w:firstLine="3388" w:firstLineChars="1607"/>
        <w:rPr>
          <w:rFonts w:hint="eastAsia" w:ascii="宋体"/>
          <w:b/>
          <w:color w:val="000000"/>
          <w:highlight w:val="none"/>
          <w:lang w:val="zh-CN"/>
        </w:rPr>
      </w:pPr>
    </w:p>
    <w:p w14:paraId="46CCDED6">
      <w:pPr>
        <w:autoSpaceDE w:val="0"/>
        <w:autoSpaceDN w:val="0"/>
        <w:ind w:firstLine="3388" w:firstLineChars="1607"/>
        <w:rPr>
          <w:rFonts w:hint="eastAsia" w:ascii="宋体"/>
          <w:b/>
          <w:color w:val="000000"/>
          <w:highlight w:val="none"/>
          <w:lang w:val="zh-CN"/>
        </w:rPr>
      </w:pPr>
    </w:p>
    <w:p w14:paraId="444CF9F3">
      <w:pPr>
        <w:autoSpaceDE w:val="0"/>
        <w:autoSpaceDN w:val="0"/>
        <w:ind w:firstLine="3374" w:firstLineChars="1607"/>
        <w:rPr>
          <w:rFonts w:hint="eastAsia" w:ascii="宋体"/>
          <w:bCs/>
          <w:color w:val="000000"/>
          <w:highlight w:val="none"/>
          <w:lang w:val="zh-CN"/>
        </w:rPr>
      </w:pPr>
    </w:p>
    <w:p w14:paraId="7B9DF7C6">
      <w:pPr>
        <w:autoSpaceDE w:val="0"/>
        <w:autoSpaceDN w:val="0"/>
        <w:ind w:firstLine="3374" w:firstLineChars="1607"/>
        <w:rPr>
          <w:rFonts w:hint="eastAsia" w:ascii="宋体"/>
          <w:bCs/>
          <w:color w:val="000000"/>
          <w:highlight w:val="none"/>
          <w:lang w:val="zh-CN"/>
        </w:rPr>
      </w:pPr>
      <w:r>
        <w:rPr>
          <w:rFonts w:hint="eastAsia" w:ascii="宋体"/>
          <w:bCs/>
          <w:color w:val="000000"/>
          <w:highlight w:val="none"/>
          <w:lang w:val="zh-CN"/>
        </w:rPr>
        <w:t>投标人名称（加盖公章）：</w:t>
      </w:r>
    </w:p>
    <w:p w14:paraId="0DB9780A">
      <w:pPr>
        <w:autoSpaceDE w:val="0"/>
        <w:autoSpaceDN w:val="0"/>
        <w:ind w:firstLine="1701"/>
        <w:rPr>
          <w:rFonts w:hint="eastAsia" w:ascii="宋体"/>
          <w:bCs/>
          <w:color w:val="000000"/>
          <w:highlight w:val="none"/>
          <w:lang w:val="zh-CN"/>
        </w:rPr>
      </w:pPr>
    </w:p>
    <w:p w14:paraId="0498FFC7">
      <w:pPr>
        <w:autoSpaceDE w:val="0"/>
        <w:autoSpaceDN w:val="0"/>
        <w:ind w:firstLine="3374" w:firstLineChars="1607"/>
        <w:rPr>
          <w:rFonts w:hint="eastAsia" w:ascii="宋体"/>
          <w:bCs/>
          <w:color w:val="000000"/>
          <w:highlight w:val="none"/>
          <w:lang w:val="zh-CN"/>
        </w:rPr>
      </w:pPr>
      <w:r>
        <w:rPr>
          <w:rFonts w:hint="eastAsia" w:ascii="宋体" w:cs="宋体-18030"/>
          <w:color w:val="000000"/>
          <w:kern w:val="0"/>
          <w:highlight w:val="none"/>
        </w:rPr>
        <w:t>法定代表人</w:t>
      </w:r>
      <w:r>
        <w:rPr>
          <w:rFonts w:hint="eastAsia" w:ascii="宋体" w:cs="宋体-18030"/>
          <w:color w:val="000000"/>
          <w:kern w:val="0"/>
          <w:highlight w:val="none"/>
          <w:lang w:val="en-US" w:eastAsia="zh-CN"/>
        </w:rPr>
        <w:t>或</w:t>
      </w:r>
      <w:r>
        <w:rPr>
          <w:rFonts w:hint="eastAsia" w:ascii="宋体" w:cs="宋体-18030"/>
          <w:color w:val="000000"/>
          <w:kern w:val="0"/>
          <w:highlight w:val="none"/>
        </w:rPr>
        <w:t>其授权委托代理人</w:t>
      </w:r>
      <w:r>
        <w:rPr>
          <w:rFonts w:hint="eastAsia" w:ascii="宋体"/>
          <w:bCs/>
          <w:color w:val="000000"/>
          <w:highlight w:val="none"/>
          <w:lang w:val="zh-CN"/>
        </w:rPr>
        <w:t>姓名（手书签名）：</w:t>
      </w:r>
    </w:p>
    <w:p w14:paraId="7326F0CD">
      <w:pPr>
        <w:autoSpaceDE w:val="0"/>
        <w:autoSpaceDN w:val="0"/>
        <w:ind w:firstLine="1701"/>
        <w:rPr>
          <w:rFonts w:hint="eastAsia" w:ascii="宋体"/>
          <w:bCs/>
          <w:color w:val="000000"/>
          <w:highlight w:val="none"/>
          <w:lang w:val="zh-CN"/>
        </w:rPr>
      </w:pPr>
    </w:p>
    <w:p w14:paraId="22C3324C">
      <w:pPr>
        <w:autoSpaceDE w:val="0"/>
        <w:autoSpaceDN w:val="0"/>
        <w:ind w:firstLine="3374" w:firstLineChars="1607"/>
        <w:rPr>
          <w:rFonts w:hint="eastAsia" w:ascii="宋体"/>
          <w:bCs/>
          <w:color w:val="000000"/>
          <w:highlight w:val="none"/>
          <w:lang w:val="zh-CN"/>
        </w:rPr>
      </w:pPr>
      <w:r>
        <w:rPr>
          <w:rFonts w:hint="eastAsia" w:ascii="宋体"/>
          <w:bCs/>
          <w:color w:val="000000"/>
          <w:highlight w:val="none"/>
          <w:lang w:val="zh-CN"/>
        </w:rPr>
        <w:t xml:space="preserve">日期：  年 </w:t>
      </w:r>
      <w:r>
        <w:rPr>
          <w:rFonts w:hint="eastAsia" w:ascii="宋体"/>
          <w:bCs/>
          <w:color w:val="000000"/>
          <w:highlight w:val="none"/>
          <w:lang w:val="en-US" w:eastAsia="zh-CN"/>
        </w:rPr>
        <w:t xml:space="preserve"> </w:t>
      </w:r>
      <w:r>
        <w:rPr>
          <w:rFonts w:hint="eastAsia" w:ascii="宋体"/>
          <w:bCs/>
          <w:color w:val="000000"/>
          <w:highlight w:val="none"/>
          <w:lang w:val="zh-CN"/>
        </w:rPr>
        <w:t xml:space="preserve"> 月   日</w:t>
      </w:r>
    </w:p>
    <w:p w14:paraId="537696C6">
      <w:pPr>
        <w:autoSpaceDE w:val="0"/>
        <w:autoSpaceDN w:val="0"/>
        <w:ind w:firstLine="2415" w:firstLineChars="1150"/>
        <w:rPr>
          <w:rFonts w:hint="eastAsia" w:ascii="宋体"/>
          <w:bCs/>
          <w:color w:val="000000"/>
          <w:highlight w:val="none"/>
          <w:lang w:val="zh-CN"/>
        </w:rPr>
        <w:sectPr>
          <w:pgSz w:w="11906" w:h="16838"/>
          <w:pgMar w:top="1440" w:right="1803" w:bottom="1440" w:left="1803" w:header="708" w:footer="964" w:gutter="0"/>
          <w:pgNumType w:fmt="decimal"/>
          <w:cols w:space="720" w:num="1"/>
          <w:docGrid w:linePitch="360" w:charSpace="0"/>
        </w:sectPr>
      </w:pPr>
    </w:p>
    <w:p w14:paraId="54A69C7F">
      <w:pPr>
        <w:pStyle w:val="9"/>
        <w:tabs>
          <w:tab w:val="left" w:pos="5580"/>
        </w:tabs>
        <w:spacing w:line="360" w:lineRule="auto"/>
        <w:jc w:val="center"/>
        <w:rPr>
          <w:rFonts w:hint="eastAsia" w:cs="宋体"/>
          <w:b/>
          <w:sz w:val="30"/>
          <w:szCs w:val="30"/>
          <w:highlight w:val="none"/>
          <w:u w:val="single"/>
        </w:rPr>
      </w:pPr>
      <w:bookmarkStart w:id="86" w:name="_Toc105378620"/>
      <w:r>
        <w:rPr>
          <w:rFonts w:hint="eastAsia" w:cs="宋体"/>
          <w:b/>
          <w:sz w:val="30"/>
          <w:szCs w:val="30"/>
          <w:highlight w:val="none"/>
        </w:rPr>
        <w:t>投标分项报价表</w:t>
      </w:r>
      <w:bookmarkEnd w:id="86"/>
    </w:p>
    <w:p w14:paraId="0FE3BFEC">
      <w:pPr>
        <w:pStyle w:val="5"/>
        <w:ind w:firstLine="0"/>
        <w:rPr>
          <w:rFonts w:hint="eastAsia" w:ascii="宋体" w:cs="宋体"/>
          <w:szCs w:val="21"/>
          <w:highlight w:val="none"/>
        </w:rPr>
      </w:pPr>
      <w:r>
        <w:rPr>
          <w:rFonts w:hint="eastAsia" w:ascii="宋体" w:cs="宋体"/>
          <w:highlight w:val="none"/>
        </w:rPr>
        <w:t xml:space="preserve"> (项目名称)</w:t>
      </w:r>
      <w:r>
        <w:rPr>
          <w:rFonts w:hint="eastAsia" w:ascii="宋体" w:cs="宋体"/>
          <w:highlight w:val="none"/>
          <w:lang w:val="en-US" w:eastAsia="zh-CN"/>
        </w:rPr>
        <w:t xml:space="preserve">    </w:t>
      </w:r>
      <w:r>
        <w:rPr>
          <w:rFonts w:hint="eastAsia" w:ascii="宋体" w:cs="宋体"/>
          <w:highlight w:val="none"/>
        </w:rPr>
        <w:t xml:space="preserve">                                                  项目编号： </w:t>
      </w:r>
    </w:p>
    <w:tbl>
      <w:tblPr>
        <w:tblStyle w:val="21"/>
        <w:tblW w:w="498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2"/>
        <w:gridCol w:w="2247"/>
        <w:gridCol w:w="1465"/>
        <w:gridCol w:w="935"/>
        <w:gridCol w:w="1350"/>
        <w:gridCol w:w="507"/>
        <w:gridCol w:w="583"/>
        <w:gridCol w:w="599"/>
        <w:gridCol w:w="915"/>
        <w:gridCol w:w="787"/>
      </w:tblGrid>
      <w:tr w14:paraId="62FE9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exact"/>
          <w:jc w:val="center"/>
        </w:trPr>
        <w:tc>
          <w:tcPr>
            <w:tcW w:w="278" w:type="pct"/>
            <w:noWrap w:val="0"/>
            <w:vAlign w:val="center"/>
          </w:tcPr>
          <w:p w14:paraId="7CEBBB03">
            <w:pPr>
              <w:spacing w:line="500" w:lineRule="exact"/>
              <w:jc w:val="center"/>
              <w:rPr>
                <w:rFonts w:hint="eastAsia" w:ascii="宋体" w:hAnsi="宋体" w:cs="宋体"/>
                <w:sz w:val="21"/>
                <w:szCs w:val="21"/>
                <w:highlight w:val="none"/>
              </w:rPr>
            </w:pPr>
            <w:r>
              <w:rPr>
                <w:rFonts w:hint="eastAsia" w:ascii="宋体" w:hAnsi="宋体" w:cs="宋体"/>
                <w:sz w:val="21"/>
                <w:szCs w:val="21"/>
                <w:highlight w:val="none"/>
              </w:rPr>
              <w:t>序号</w:t>
            </w:r>
          </w:p>
        </w:tc>
        <w:tc>
          <w:tcPr>
            <w:tcW w:w="1130" w:type="pct"/>
            <w:noWrap w:val="0"/>
            <w:vAlign w:val="center"/>
          </w:tcPr>
          <w:p w14:paraId="6CBCEFC1">
            <w:pPr>
              <w:spacing w:line="500" w:lineRule="exact"/>
              <w:jc w:val="center"/>
              <w:rPr>
                <w:rFonts w:hint="eastAsia" w:ascii="宋体" w:hAnsi="宋体" w:cs="宋体"/>
                <w:sz w:val="21"/>
                <w:szCs w:val="21"/>
                <w:highlight w:val="none"/>
              </w:rPr>
            </w:pPr>
            <w:r>
              <w:rPr>
                <w:rFonts w:hint="eastAsia" w:ascii="宋体" w:hAnsi="宋体" w:cs="宋体"/>
                <w:sz w:val="21"/>
                <w:szCs w:val="21"/>
                <w:highlight w:val="none"/>
              </w:rPr>
              <w:t>产品名称</w:t>
            </w:r>
          </w:p>
        </w:tc>
        <w:tc>
          <w:tcPr>
            <w:tcW w:w="737" w:type="pct"/>
            <w:noWrap w:val="0"/>
            <w:vAlign w:val="center"/>
          </w:tcPr>
          <w:p w14:paraId="4F73AB71">
            <w:pPr>
              <w:spacing w:line="500" w:lineRule="exact"/>
              <w:jc w:val="center"/>
              <w:rPr>
                <w:rFonts w:hint="eastAsia" w:ascii="宋体" w:hAnsi="宋体" w:cs="宋体"/>
                <w:sz w:val="21"/>
                <w:szCs w:val="21"/>
                <w:highlight w:val="none"/>
              </w:rPr>
            </w:pPr>
            <w:r>
              <w:rPr>
                <w:rFonts w:hint="eastAsia" w:ascii="宋体" w:hAnsi="宋体" w:cs="宋体"/>
                <w:sz w:val="21"/>
                <w:szCs w:val="21"/>
                <w:highlight w:val="none"/>
              </w:rPr>
              <w:t>规格型号</w:t>
            </w:r>
          </w:p>
        </w:tc>
        <w:tc>
          <w:tcPr>
            <w:tcW w:w="470" w:type="pct"/>
            <w:noWrap w:val="0"/>
            <w:vAlign w:val="center"/>
          </w:tcPr>
          <w:p w14:paraId="1693B8AB">
            <w:pPr>
              <w:spacing w:line="500" w:lineRule="exact"/>
              <w:jc w:val="center"/>
              <w:rPr>
                <w:rFonts w:hint="eastAsia" w:ascii="宋体" w:hAnsi="宋体" w:cs="宋体"/>
                <w:sz w:val="21"/>
                <w:szCs w:val="21"/>
                <w:highlight w:val="none"/>
              </w:rPr>
            </w:pPr>
            <w:r>
              <w:rPr>
                <w:rFonts w:hint="eastAsia" w:ascii="宋体" w:hAnsi="宋体" w:cs="宋体"/>
                <w:sz w:val="21"/>
                <w:szCs w:val="21"/>
                <w:highlight w:val="none"/>
              </w:rPr>
              <w:t>品牌</w:t>
            </w:r>
          </w:p>
        </w:tc>
        <w:tc>
          <w:tcPr>
            <w:tcW w:w="679" w:type="pct"/>
            <w:noWrap w:val="0"/>
            <w:vAlign w:val="center"/>
          </w:tcPr>
          <w:p w14:paraId="1FD8C3E0">
            <w:pPr>
              <w:spacing w:line="500" w:lineRule="exact"/>
              <w:jc w:val="center"/>
              <w:rPr>
                <w:rFonts w:hint="eastAsia" w:ascii="宋体" w:hAnsi="宋体" w:cs="宋体"/>
                <w:sz w:val="21"/>
                <w:szCs w:val="21"/>
                <w:highlight w:val="none"/>
              </w:rPr>
            </w:pPr>
            <w:r>
              <w:rPr>
                <w:rFonts w:hint="eastAsia" w:ascii="宋体" w:hAnsi="宋体" w:cs="宋体"/>
                <w:sz w:val="21"/>
                <w:szCs w:val="21"/>
                <w:highlight w:val="none"/>
              </w:rPr>
              <w:t>制造商名称</w:t>
            </w:r>
          </w:p>
        </w:tc>
        <w:tc>
          <w:tcPr>
            <w:tcW w:w="255" w:type="pct"/>
            <w:noWrap w:val="0"/>
            <w:vAlign w:val="center"/>
          </w:tcPr>
          <w:p w14:paraId="52A31E02">
            <w:pPr>
              <w:spacing w:line="500" w:lineRule="exact"/>
              <w:jc w:val="center"/>
              <w:rPr>
                <w:rFonts w:hint="eastAsia" w:ascii="宋体" w:hAnsi="宋体" w:cs="宋体"/>
                <w:sz w:val="21"/>
                <w:szCs w:val="21"/>
                <w:highlight w:val="none"/>
              </w:rPr>
            </w:pPr>
            <w:r>
              <w:rPr>
                <w:rFonts w:hint="eastAsia" w:ascii="宋体" w:hAnsi="宋体" w:cs="宋体"/>
                <w:sz w:val="21"/>
                <w:szCs w:val="21"/>
                <w:highlight w:val="none"/>
              </w:rPr>
              <w:t>单位</w:t>
            </w:r>
          </w:p>
        </w:tc>
        <w:tc>
          <w:tcPr>
            <w:tcW w:w="293" w:type="pct"/>
            <w:noWrap w:val="0"/>
            <w:vAlign w:val="center"/>
          </w:tcPr>
          <w:p w14:paraId="52244089">
            <w:pPr>
              <w:spacing w:line="500" w:lineRule="exact"/>
              <w:jc w:val="center"/>
              <w:rPr>
                <w:rFonts w:hint="eastAsia" w:ascii="宋体" w:hAnsi="宋体" w:cs="宋体"/>
                <w:sz w:val="21"/>
                <w:szCs w:val="21"/>
                <w:highlight w:val="none"/>
              </w:rPr>
            </w:pPr>
            <w:r>
              <w:rPr>
                <w:rFonts w:hint="eastAsia" w:ascii="宋体" w:hAnsi="宋体" w:cs="宋体"/>
                <w:sz w:val="21"/>
                <w:szCs w:val="21"/>
                <w:highlight w:val="none"/>
              </w:rPr>
              <w:t>数量</w:t>
            </w:r>
          </w:p>
        </w:tc>
        <w:tc>
          <w:tcPr>
            <w:tcW w:w="301" w:type="pct"/>
            <w:noWrap w:val="0"/>
            <w:vAlign w:val="center"/>
          </w:tcPr>
          <w:p w14:paraId="6202E87B">
            <w:pPr>
              <w:spacing w:line="500" w:lineRule="exact"/>
              <w:jc w:val="center"/>
              <w:rPr>
                <w:rFonts w:hint="eastAsia" w:ascii="宋体" w:hAnsi="宋体" w:cs="宋体"/>
                <w:sz w:val="21"/>
                <w:szCs w:val="21"/>
                <w:highlight w:val="none"/>
              </w:rPr>
            </w:pPr>
            <w:r>
              <w:rPr>
                <w:rFonts w:hint="eastAsia" w:ascii="宋体" w:hAnsi="宋体" w:cs="宋体"/>
                <w:sz w:val="21"/>
                <w:szCs w:val="21"/>
                <w:highlight w:val="none"/>
              </w:rPr>
              <w:t>单价</w:t>
            </w:r>
          </w:p>
        </w:tc>
        <w:tc>
          <w:tcPr>
            <w:tcW w:w="460" w:type="pct"/>
            <w:noWrap w:val="0"/>
            <w:vAlign w:val="center"/>
          </w:tcPr>
          <w:p w14:paraId="2CC6C5CD">
            <w:pPr>
              <w:spacing w:line="500" w:lineRule="exact"/>
              <w:jc w:val="center"/>
              <w:rPr>
                <w:rFonts w:hint="eastAsia" w:ascii="宋体" w:hAnsi="宋体" w:cs="宋体"/>
                <w:sz w:val="21"/>
                <w:szCs w:val="21"/>
                <w:highlight w:val="none"/>
              </w:rPr>
            </w:pPr>
            <w:r>
              <w:rPr>
                <w:rFonts w:hint="eastAsia" w:ascii="宋体" w:hAnsi="宋体" w:cs="宋体"/>
                <w:sz w:val="21"/>
                <w:szCs w:val="21"/>
                <w:highlight w:val="none"/>
                <w:lang w:val="en-US" w:eastAsia="zh-CN"/>
              </w:rPr>
              <w:t>总</w:t>
            </w:r>
            <w:r>
              <w:rPr>
                <w:rFonts w:hint="eastAsia" w:ascii="宋体" w:hAnsi="宋体" w:cs="宋体"/>
                <w:sz w:val="21"/>
                <w:szCs w:val="21"/>
                <w:highlight w:val="none"/>
              </w:rPr>
              <w:t>价</w:t>
            </w:r>
          </w:p>
        </w:tc>
        <w:tc>
          <w:tcPr>
            <w:tcW w:w="393" w:type="pct"/>
            <w:noWrap w:val="0"/>
            <w:vAlign w:val="center"/>
          </w:tcPr>
          <w:p w14:paraId="3D95AB40">
            <w:pPr>
              <w:spacing w:line="500" w:lineRule="exact"/>
              <w:jc w:val="center"/>
              <w:rPr>
                <w:rFonts w:hint="eastAsia" w:ascii="宋体" w:hAnsi="宋体" w:cs="宋体"/>
                <w:sz w:val="21"/>
                <w:szCs w:val="21"/>
                <w:highlight w:val="none"/>
              </w:rPr>
            </w:pPr>
            <w:r>
              <w:rPr>
                <w:rFonts w:hint="eastAsia" w:ascii="宋体" w:hAnsi="宋体" w:cs="宋体"/>
                <w:sz w:val="21"/>
                <w:szCs w:val="21"/>
                <w:highlight w:val="none"/>
              </w:rPr>
              <w:t>备注</w:t>
            </w:r>
          </w:p>
        </w:tc>
      </w:tr>
      <w:tr w14:paraId="3D9BA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78" w:type="pct"/>
            <w:noWrap w:val="0"/>
            <w:vAlign w:val="center"/>
          </w:tcPr>
          <w:p w14:paraId="4C67ECCE">
            <w:pPr>
              <w:spacing w:line="500" w:lineRule="exact"/>
              <w:jc w:val="center"/>
              <w:rPr>
                <w:rFonts w:hint="eastAsia" w:ascii="宋体" w:hAnsi="宋体" w:cs="宋体"/>
                <w:sz w:val="21"/>
                <w:szCs w:val="21"/>
                <w:highlight w:val="none"/>
              </w:rPr>
            </w:pPr>
            <w:r>
              <w:rPr>
                <w:rFonts w:hint="eastAsia" w:ascii="宋体" w:hAnsi="宋体" w:cs="宋体"/>
                <w:sz w:val="21"/>
                <w:szCs w:val="21"/>
                <w:highlight w:val="none"/>
              </w:rPr>
              <w:t>1</w:t>
            </w:r>
          </w:p>
        </w:tc>
        <w:tc>
          <w:tcPr>
            <w:tcW w:w="1130" w:type="pct"/>
            <w:noWrap w:val="0"/>
            <w:vAlign w:val="center"/>
          </w:tcPr>
          <w:p w14:paraId="779F1F7A">
            <w:pPr>
              <w:spacing w:line="500" w:lineRule="exact"/>
              <w:jc w:val="center"/>
              <w:rPr>
                <w:rFonts w:hint="eastAsia" w:ascii="宋体" w:hAnsi="宋体" w:cs="宋体"/>
                <w:sz w:val="21"/>
                <w:szCs w:val="21"/>
                <w:highlight w:val="none"/>
              </w:rPr>
            </w:pPr>
          </w:p>
        </w:tc>
        <w:tc>
          <w:tcPr>
            <w:tcW w:w="737" w:type="pct"/>
            <w:noWrap w:val="0"/>
            <w:vAlign w:val="center"/>
          </w:tcPr>
          <w:p w14:paraId="7C701498">
            <w:pPr>
              <w:spacing w:line="500" w:lineRule="exact"/>
              <w:jc w:val="center"/>
              <w:rPr>
                <w:rFonts w:hint="eastAsia" w:ascii="宋体" w:hAnsi="宋体" w:cs="宋体"/>
                <w:sz w:val="21"/>
                <w:szCs w:val="21"/>
                <w:highlight w:val="none"/>
              </w:rPr>
            </w:pPr>
          </w:p>
        </w:tc>
        <w:tc>
          <w:tcPr>
            <w:tcW w:w="470" w:type="pct"/>
            <w:noWrap w:val="0"/>
            <w:vAlign w:val="center"/>
          </w:tcPr>
          <w:p w14:paraId="587CB36C">
            <w:pPr>
              <w:spacing w:line="500" w:lineRule="exact"/>
              <w:jc w:val="center"/>
              <w:rPr>
                <w:rFonts w:hint="eastAsia" w:ascii="宋体" w:hAnsi="宋体" w:cs="宋体"/>
                <w:sz w:val="21"/>
                <w:szCs w:val="21"/>
                <w:highlight w:val="none"/>
              </w:rPr>
            </w:pPr>
          </w:p>
        </w:tc>
        <w:tc>
          <w:tcPr>
            <w:tcW w:w="679" w:type="pct"/>
            <w:noWrap w:val="0"/>
            <w:vAlign w:val="center"/>
          </w:tcPr>
          <w:p w14:paraId="74FD5CE6">
            <w:pPr>
              <w:spacing w:line="500" w:lineRule="exact"/>
              <w:jc w:val="center"/>
              <w:rPr>
                <w:rFonts w:hint="eastAsia" w:ascii="宋体" w:hAnsi="宋体" w:cs="宋体"/>
                <w:sz w:val="21"/>
                <w:szCs w:val="21"/>
                <w:highlight w:val="none"/>
              </w:rPr>
            </w:pPr>
          </w:p>
        </w:tc>
        <w:tc>
          <w:tcPr>
            <w:tcW w:w="255" w:type="pct"/>
            <w:noWrap w:val="0"/>
            <w:vAlign w:val="center"/>
          </w:tcPr>
          <w:p w14:paraId="2C57A0EF">
            <w:pPr>
              <w:spacing w:line="500" w:lineRule="exact"/>
              <w:jc w:val="center"/>
              <w:rPr>
                <w:rFonts w:hint="eastAsia" w:ascii="宋体" w:hAnsi="宋体" w:cs="宋体"/>
                <w:sz w:val="21"/>
                <w:szCs w:val="21"/>
                <w:highlight w:val="none"/>
              </w:rPr>
            </w:pPr>
          </w:p>
        </w:tc>
        <w:tc>
          <w:tcPr>
            <w:tcW w:w="293" w:type="pct"/>
            <w:noWrap w:val="0"/>
            <w:vAlign w:val="center"/>
          </w:tcPr>
          <w:p w14:paraId="1C36EFB6">
            <w:pPr>
              <w:spacing w:line="500" w:lineRule="exact"/>
              <w:jc w:val="center"/>
              <w:rPr>
                <w:rFonts w:hint="eastAsia" w:ascii="宋体" w:hAnsi="宋体" w:cs="宋体"/>
                <w:sz w:val="21"/>
                <w:szCs w:val="21"/>
                <w:highlight w:val="none"/>
              </w:rPr>
            </w:pPr>
          </w:p>
        </w:tc>
        <w:tc>
          <w:tcPr>
            <w:tcW w:w="301" w:type="pct"/>
            <w:noWrap w:val="0"/>
            <w:vAlign w:val="center"/>
          </w:tcPr>
          <w:p w14:paraId="5164C054">
            <w:pPr>
              <w:spacing w:line="500" w:lineRule="exact"/>
              <w:jc w:val="center"/>
              <w:rPr>
                <w:rFonts w:hint="eastAsia" w:ascii="宋体" w:hAnsi="宋体" w:cs="宋体"/>
                <w:sz w:val="21"/>
                <w:szCs w:val="21"/>
                <w:highlight w:val="none"/>
              </w:rPr>
            </w:pPr>
          </w:p>
        </w:tc>
        <w:tc>
          <w:tcPr>
            <w:tcW w:w="460" w:type="pct"/>
            <w:noWrap w:val="0"/>
            <w:vAlign w:val="center"/>
          </w:tcPr>
          <w:p w14:paraId="1C70376E">
            <w:pPr>
              <w:spacing w:line="500" w:lineRule="exact"/>
              <w:jc w:val="center"/>
              <w:rPr>
                <w:rFonts w:hint="eastAsia" w:ascii="宋体" w:hAnsi="宋体" w:cs="宋体"/>
                <w:sz w:val="21"/>
                <w:szCs w:val="21"/>
                <w:highlight w:val="none"/>
              </w:rPr>
            </w:pPr>
          </w:p>
        </w:tc>
        <w:tc>
          <w:tcPr>
            <w:tcW w:w="393" w:type="pct"/>
            <w:noWrap w:val="0"/>
            <w:vAlign w:val="center"/>
          </w:tcPr>
          <w:p w14:paraId="6EF8987E">
            <w:pPr>
              <w:spacing w:line="500" w:lineRule="exact"/>
              <w:jc w:val="center"/>
              <w:rPr>
                <w:rFonts w:hint="eastAsia" w:ascii="宋体" w:hAnsi="宋体" w:cs="宋体"/>
                <w:sz w:val="21"/>
                <w:szCs w:val="21"/>
                <w:highlight w:val="none"/>
              </w:rPr>
            </w:pPr>
          </w:p>
        </w:tc>
      </w:tr>
      <w:tr w14:paraId="197DE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278" w:type="pct"/>
            <w:noWrap w:val="0"/>
            <w:vAlign w:val="center"/>
          </w:tcPr>
          <w:p w14:paraId="59741440">
            <w:pPr>
              <w:spacing w:line="500" w:lineRule="exact"/>
              <w:jc w:val="center"/>
              <w:rPr>
                <w:rFonts w:hint="eastAsia" w:ascii="宋体" w:hAnsi="宋体" w:cs="宋体"/>
                <w:sz w:val="21"/>
                <w:szCs w:val="21"/>
                <w:highlight w:val="none"/>
              </w:rPr>
            </w:pPr>
            <w:r>
              <w:rPr>
                <w:rFonts w:hint="eastAsia" w:ascii="宋体" w:hAnsi="宋体" w:cs="宋体"/>
                <w:sz w:val="21"/>
                <w:szCs w:val="21"/>
                <w:highlight w:val="none"/>
              </w:rPr>
              <w:t>2</w:t>
            </w:r>
          </w:p>
        </w:tc>
        <w:tc>
          <w:tcPr>
            <w:tcW w:w="1130" w:type="pct"/>
            <w:noWrap w:val="0"/>
            <w:vAlign w:val="center"/>
          </w:tcPr>
          <w:p w14:paraId="56118A8B">
            <w:pPr>
              <w:spacing w:line="500" w:lineRule="exact"/>
              <w:jc w:val="center"/>
              <w:rPr>
                <w:rFonts w:hint="eastAsia" w:ascii="宋体" w:hAnsi="宋体" w:cs="宋体"/>
                <w:sz w:val="21"/>
                <w:szCs w:val="21"/>
                <w:highlight w:val="none"/>
              </w:rPr>
            </w:pPr>
          </w:p>
        </w:tc>
        <w:tc>
          <w:tcPr>
            <w:tcW w:w="737" w:type="pct"/>
            <w:noWrap w:val="0"/>
            <w:vAlign w:val="center"/>
          </w:tcPr>
          <w:p w14:paraId="55879D59">
            <w:pPr>
              <w:spacing w:line="500" w:lineRule="exact"/>
              <w:jc w:val="center"/>
              <w:rPr>
                <w:rFonts w:hint="eastAsia" w:ascii="宋体" w:hAnsi="宋体" w:cs="宋体"/>
                <w:sz w:val="21"/>
                <w:szCs w:val="21"/>
                <w:highlight w:val="none"/>
              </w:rPr>
            </w:pPr>
          </w:p>
        </w:tc>
        <w:tc>
          <w:tcPr>
            <w:tcW w:w="470" w:type="pct"/>
            <w:noWrap w:val="0"/>
            <w:vAlign w:val="center"/>
          </w:tcPr>
          <w:p w14:paraId="4DC11201">
            <w:pPr>
              <w:spacing w:line="500" w:lineRule="exact"/>
              <w:jc w:val="center"/>
              <w:rPr>
                <w:rFonts w:hint="eastAsia" w:ascii="宋体" w:hAnsi="宋体" w:cs="宋体"/>
                <w:sz w:val="21"/>
                <w:szCs w:val="21"/>
                <w:highlight w:val="none"/>
              </w:rPr>
            </w:pPr>
          </w:p>
        </w:tc>
        <w:tc>
          <w:tcPr>
            <w:tcW w:w="679" w:type="pct"/>
            <w:noWrap w:val="0"/>
            <w:vAlign w:val="center"/>
          </w:tcPr>
          <w:p w14:paraId="48DB205D">
            <w:pPr>
              <w:spacing w:line="500" w:lineRule="exact"/>
              <w:jc w:val="center"/>
              <w:rPr>
                <w:rFonts w:hint="eastAsia" w:ascii="宋体" w:hAnsi="宋体" w:cs="宋体"/>
                <w:sz w:val="21"/>
                <w:szCs w:val="21"/>
                <w:highlight w:val="none"/>
              </w:rPr>
            </w:pPr>
          </w:p>
        </w:tc>
        <w:tc>
          <w:tcPr>
            <w:tcW w:w="255" w:type="pct"/>
            <w:noWrap w:val="0"/>
            <w:vAlign w:val="center"/>
          </w:tcPr>
          <w:p w14:paraId="7A24C8A4">
            <w:pPr>
              <w:spacing w:line="500" w:lineRule="exact"/>
              <w:jc w:val="center"/>
              <w:rPr>
                <w:rFonts w:hint="eastAsia" w:ascii="宋体" w:hAnsi="宋体" w:cs="宋体"/>
                <w:sz w:val="21"/>
                <w:szCs w:val="21"/>
                <w:highlight w:val="none"/>
              </w:rPr>
            </w:pPr>
          </w:p>
        </w:tc>
        <w:tc>
          <w:tcPr>
            <w:tcW w:w="293" w:type="pct"/>
            <w:noWrap w:val="0"/>
            <w:vAlign w:val="center"/>
          </w:tcPr>
          <w:p w14:paraId="0179D57B">
            <w:pPr>
              <w:spacing w:line="500" w:lineRule="exact"/>
              <w:jc w:val="center"/>
              <w:rPr>
                <w:rFonts w:hint="eastAsia" w:ascii="宋体" w:hAnsi="宋体" w:cs="宋体"/>
                <w:sz w:val="21"/>
                <w:szCs w:val="21"/>
                <w:highlight w:val="none"/>
              </w:rPr>
            </w:pPr>
          </w:p>
        </w:tc>
        <w:tc>
          <w:tcPr>
            <w:tcW w:w="301" w:type="pct"/>
            <w:noWrap w:val="0"/>
            <w:vAlign w:val="center"/>
          </w:tcPr>
          <w:p w14:paraId="18EDC2E3">
            <w:pPr>
              <w:spacing w:line="500" w:lineRule="exact"/>
              <w:jc w:val="center"/>
              <w:rPr>
                <w:rFonts w:hint="eastAsia" w:ascii="宋体" w:hAnsi="宋体" w:cs="宋体"/>
                <w:sz w:val="21"/>
                <w:szCs w:val="21"/>
                <w:highlight w:val="none"/>
              </w:rPr>
            </w:pPr>
          </w:p>
        </w:tc>
        <w:tc>
          <w:tcPr>
            <w:tcW w:w="460" w:type="pct"/>
            <w:noWrap w:val="0"/>
            <w:vAlign w:val="center"/>
          </w:tcPr>
          <w:p w14:paraId="760A9F2A">
            <w:pPr>
              <w:spacing w:line="500" w:lineRule="exact"/>
              <w:jc w:val="center"/>
              <w:rPr>
                <w:rFonts w:hint="eastAsia" w:ascii="宋体" w:hAnsi="宋体" w:cs="宋体"/>
                <w:sz w:val="21"/>
                <w:szCs w:val="21"/>
                <w:highlight w:val="none"/>
              </w:rPr>
            </w:pPr>
          </w:p>
        </w:tc>
        <w:tc>
          <w:tcPr>
            <w:tcW w:w="393" w:type="pct"/>
            <w:noWrap w:val="0"/>
            <w:vAlign w:val="center"/>
          </w:tcPr>
          <w:p w14:paraId="6F68907F">
            <w:pPr>
              <w:spacing w:line="500" w:lineRule="exact"/>
              <w:jc w:val="center"/>
              <w:rPr>
                <w:rFonts w:hint="eastAsia" w:ascii="宋体" w:hAnsi="宋体" w:cs="宋体"/>
                <w:sz w:val="21"/>
                <w:szCs w:val="21"/>
                <w:highlight w:val="none"/>
              </w:rPr>
            </w:pPr>
          </w:p>
        </w:tc>
      </w:tr>
      <w:tr w14:paraId="200EC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278" w:type="pct"/>
            <w:noWrap w:val="0"/>
            <w:vAlign w:val="center"/>
          </w:tcPr>
          <w:p w14:paraId="18833637">
            <w:pPr>
              <w:spacing w:line="500" w:lineRule="exact"/>
              <w:jc w:val="center"/>
              <w:rPr>
                <w:rFonts w:hint="eastAsia" w:ascii="宋体" w:hAnsi="宋体" w:cs="宋体"/>
                <w:sz w:val="21"/>
                <w:szCs w:val="21"/>
                <w:highlight w:val="none"/>
              </w:rPr>
            </w:pPr>
            <w:r>
              <w:rPr>
                <w:rFonts w:hint="eastAsia" w:ascii="宋体" w:hAnsi="宋体" w:cs="宋体"/>
                <w:sz w:val="21"/>
                <w:szCs w:val="21"/>
                <w:highlight w:val="none"/>
              </w:rPr>
              <w:t>3</w:t>
            </w:r>
          </w:p>
        </w:tc>
        <w:tc>
          <w:tcPr>
            <w:tcW w:w="1130" w:type="pct"/>
            <w:noWrap w:val="0"/>
            <w:vAlign w:val="center"/>
          </w:tcPr>
          <w:p w14:paraId="27080F06">
            <w:pPr>
              <w:spacing w:line="500" w:lineRule="exact"/>
              <w:jc w:val="center"/>
              <w:rPr>
                <w:rFonts w:hint="eastAsia" w:ascii="宋体" w:hAnsi="宋体" w:cs="宋体"/>
                <w:sz w:val="21"/>
                <w:szCs w:val="21"/>
                <w:highlight w:val="none"/>
              </w:rPr>
            </w:pPr>
          </w:p>
        </w:tc>
        <w:tc>
          <w:tcPr>
            <w:tcW w:w="737" w:type="pct"/>
            <w:noWrap w:val="0"/>
            <w:vAlign w:val="center"/>
          </w:tcPr>
          <w:p w14:paraId="4549D36A">
            <w:pPr>
              <w:spacing w:line="500" w:lineRule="exact"/>
              <w:jc w:val="center"/>
              <w:rPr>
                <w:rFonts w:hint="eastAsia" w:ascii="宋体" w:hAnsi="宋体" w:cs="宋体"/>
                <w:sz w:val="21"/>
                <w:szCs w:val="21"/>
                <w:highlight w:val="none"/>
              </w:rPr>
            </w:pPr>
          </w:p>
        </w:tc>
        <w:tc>
          <w:tcPr>
            <w:tcW w:w="470" w:type="pct"/>
            <w:noWrap w:val="0"/>
            <w:vAlign w:val="center"/>
          </w:tcPr>
          <w:p w14:paraId="16E7DAE0">
            <w:pPr>
              <w:spacing w:line="500" w:lineRule="exact"/>
              <w:jc w:val="center"/>
              <w:rPr>
                <w:rFonts w:hint="eastAsia" w:ascii="宋体" w:hAnsi="宋体" w:cs="宋体"/>
                <w:sz w:val="21"/>
                <w:szCs w:val="21"/>
                <w:highlight w:val="none"/>
              </w:rPr>
            </w:pPr>
          </w:p>
        </w:tc>
        <w:tc>
          <w:tcPr>
            <w:tcW w:w="679" w:type="pct"/>
            <w:noWrap w:val="0"/>
            <w:vAlign w:val="center"/>
          </w:tcPr>
          <w:p w14:paraId="72A0B747">
            <w:pPr>
              <w:spacing w:line="500" w:lineRule="exact"/>
              <w:jc w:val="center"/>
              <w:rPr>
                <w:rFonts w:hint="eastAsia" w:ascii="宋体" w:hAnsi="宋体" w:cs="宋体"/>
                <w:sz w:val="21"/>
                <w:szCs w:val="21"/>
                <w:highlight w:val="none"/>
              </w:rPr>
            </w:pPr>
          </w:p>
        </w:tc>
        <w:tc>
          <w:tcPr>
            <w:tcW w:w="255" w:type="pct"/>
            <w:noWrap w:val="0"/>
            <w:vAlign w:val="center"/>
          </w:tcPr>
          <w:p w14:paraId="4A821797">
            <w:pPr>
              <w:spacing w:line="500" w:lineRule="exact"/>
              <w:jc w:val="center"/>
              <w:rPr>
                <w:rFonts w:hint="eastAsia" w:ascii="宋体" w:hAnsi="宋体" w:cs="宋体"/>
                <w:sz w:val="21"/>
                <w:szCs w:val="21"/>
                <w:highlight w:val="none"/>
              </w:rPr>
            </w:pPr>
          </w:p>
        </w:tc>
        <w:tc>
          <w:tcPr>
            <w:tcW w:w="293" w:type="pct"/>
            <w:noWrap w:val="0"/>
            <w:vAlign w:val="center"/>
          </w:tcPr>
          <w:p w14:paraId="78715916">
            <w:pPr>
              <w:spacing w:line="500" w:lineRule="exact"/>
              <w:jc w:val="center"/>
              <w:rPr>
                <w:rFonts w:hint="eastAsia" w:ascii="宋体" w:hAnsi="宋体" w:cs="宋体"/>
                <w:sz w:val="21"/>
                <w:szCs w:val="21"/>
                <w:highlight w:val="none"/>
              </w:rPr>
            </w:pPr>
          </w:p>
        </w:tc>
        <w:tc>
          <w:tcPr>
            <w:tcW w:w="301" w:type="pct"/>
            <w:noWrap w:val="0"/>
            <w:vAlign w:val="center"/>
          </w:tcPr>
          <w:p w14:paraId="3E86B599">
            <w:pPr>
              <w:spacing w:line="500" w:lineRule="exact"/>
              <w:jc w:val="center"/>
              <w:rPr>
                <w:rFonts w:hint="eastAsia" w:ascii="宋体" w:hAnsi="宋体" w:cs="宋体"/>
                <w:sz w:val="21"/>
                <w:szCs w:val="21"/>
                <w:highlight w:val="none"/>
              </w:rPr>
            </w:pPr>
          </w:p>
        </w:tc>
        <w:tc>
          <w:tcPr>
            <w:tcW w:w="460" w:type="pct"/>
            <w:noWrap w:val="0"/>
            <w:vAlign w:val="center"/>
          </w:tcPr>
          <w:p w14:paraId="5F9DB0E8">
            <w:pPr>
              <w:spacing w:line="500" w:lineRule="exact"/>
              <w:jc w:val="center"/>
              <w:rPr>
                <w:rFonts w:hint="eastAsia" w:ascii="宋体" w:hAnsi="宋体" w:cs="宋体"/>
                <w:sz w:val="21"/>
                <w:szCs w:val="21"/>
                <w:highlight w:val="none"/>
              </w:rPr>
            </w:pPr>
          </w:p>
        </w:tc>
        <w:tc>
          <w:tcPr>
            <w:tcW w:w="393" w:type="pct"/>
            <w:noWrap w:val="0"/>
            <w:vAlign w:val="center"/>
          </w:tcPr>
          <w:p w14:paraId="7AA95C07">
            <w:pPr>
              <w:spacing w:line="500" w:lineRule="exact"/>
              <w:jc w:val="center"/>
              <w:rPr>
                <w:rFonts w:hint="eastAsia" w:ascii="宋体" w:hAnsi="宋体" w:cs="宋体"/>
                <w:sz w:val="21"/>
                <w:szCs w:val="21"/>
                <w:highlight w:val="none"/>
              </w:rPr>
            </w:pPr>
          </w:p>
        </w:tc>
      </w:tr>
      <w:tr w14:paraId="6F3C1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278" w:type="pct"/>
            <w:noWrap w:val="0"/>
            <w:vAlign w:val="center"/>
          </w:tcPr>
          <w:p w14:paraId="4C2AC143">
            <w:pPr>
              <w:spacing w:line="500" w:lineRule="exact"/>
              <w:jc w:val="center"/>
              <w:rPr>
                <w:rFonts w:hint="eastAsia" w:ascii="宋体" w:hAnsi="宋体" w:cs="宋体"/>
                <w:sz w:val="21"/>
                <w:szCs w:val="21"/>
                <w:highlight w:val="none"/>
              </w:rPr>
            </w:pPr>
            <w:r>
              <w:rPr>
                <w:rFonts w:hint="eastAsia" w:ascii="宋体" w:hAnsi="宋体" w:cs="宋体"/>
                <w:sz w:val="21"/>
                <w:szCs w:val="21"/>
                <w:highlight w:val="none"/>
              </w:rPr>
              <w:t>4</w:t>
            </w:r>
          </w:p>
        </w:tc>
        <w:tc>
          <w:tcPr>
            <w:tcW w:w="1130" w:type="pct"/>
            <w:noWrap w:val="0"/>
            <w:vAlign w:val="center"/>
          </w:tcPr>
          <w:p w14:paraId="5A73DA36">
            <w:pPr>
              <w:spacing w:line="500" w:lineRule="exact"/>
              <w:jc w:val="center"/>
              <w:rPr>
                <w:rFonts w:hint="eastAsia" w:ascii="宋体" w:hAnsi="宋体" w:cs="宋体"/>
                <w:sz w:val="21"/>
                <w:szCs w:val="21"/>
                <w:highlight w:val="none"/>
              </w:rPr>
            </w:pPr>
          </w:p>
        </w:tc>
        <w:tc>
          <w:tcPr>
            <w:tcW w:w="737" w:type="pct"/>
            <w:noWrap w:val="0"/>
            <w:vAlign w:val="center"/>
          </w:tcPr>
          <w:p w14:paraId="27F6B026">
            <w:pPr>
              <w:spacing w:line="500" w:lineRule="exact"/>
              <w:jc w:val="center"/>
              <w:rPr>
                <w:rFonts w:hint="eastAsia" w:ascii="宋体" w:hAnsi="宋体" w:cs="宋体"/>
                <w:sz w:val="21"/>
                <w:szCs w:val="21"/>
                <w:highlight w:val="none"/>
              </w:rPr>
            </w:pPr>
          </w:p>
        </w:tc>
        <w:tc>
          <w:tcPr>
            <w:tcW w:w="470" w:type="pct"/>
            <w:noWrap w:val="0"/>
            <w:vAlign w:val="center"/>
          </w:tcPr>
          <w:p w14:paraId="148D7E1B">
            <w:pPr>
              <w:spacing w:line="500" w:lineRule="exact"/>
              <w:jc w:val="center"/>
              <w:rPr>
                <w:rFonts w:hint="eastAsia" w:ascii="宋体" w:hAnsi="宋体" w:cs="宋体"/>
                <w:sz w:val="21"/>
                <w:szCs w:val="21"/>
                <w:highlight w:val="none"/>
              </w:rPr>
            </w:pPr>
          </w:p>
        </w:tc>
        <w:tc>
          <w:tcPr>
            <w:tcW w:w="679" w:type="pct"/>
            <w:noWrap w:val="0"/>
            <w:vAlign w:val="center"/>
          </w:tcPr>
          <w:p w14:paraId="27F8CDF3">
            <w:pPr>
              <w:spacing w:line="500" w:lineRule="exact"/>
              <w:jc w:val="center"/>
              <w:rPr>
                <w:rFonts w:hint="eastAsia" w:ascii="宋体" w:hAnsi="宋体" w:cs="宋体"/>
                <w:sz w:val="21"/>
                <w:szCs w:val="21"/>
                <w:highlight w:val="none"/>
              </w:rPr>
            </w:pPr>
          </w:p>
        </w:tc>
        <w:tc>
          <w:tcPr>
            <w:tcW w:w="255" w:type="pct"/>
            <w:noWrap w:val="0"/>
            <w:vAlign w:val="center"/>
          </w:tcPr>
          <w:p w14:paraId="0E3F2771">
            <w:pPr>
              <w:spacing w:line="500" w:lineRule="exact"/>
              <w:jc w:val="center"/>
              <w:rPr>
                <w:rFonts w:hint="eastAsia" w:ascii="宋体" w:hAnsi="宋体" w:cs="宋体"/>
                <w:sz w:val="21"/>
                <w:szCs w:val="21"/>
                <w:highlight w:val="none"/>
              </w:rPr>
            </w:pPr>
          </w:p>
        </w:tc>
        <w:tc>
          <w:tcPr>
            <w:tcW w:w="293" w:type="pct"/>
            <w:noWrap w:val="0"/>
            <w:vAlign w:val="center"/>
          </w:tcPr>
          <w:p w14:paraId="0221A83D">
            <w:pPr>
              <w:spacing w:line="500" w:lineRule="exact"/>
              <w:jc w:val="center"/>
              <w:rPr>
                <w:rFonts w:hint="eastAsia" w:ascii="宋体" w:hAnsi="宋体" w:cs="宋体"/>
                <w:sz w:val="21"/>
                <w:szCs w:val="21"/>
                <w:highlight w:val="none"/>
              </w:rPr>
            </w:pPr>
          </w:p>
        </w:tc>
        <w:tc>
          <w:tcPr>
            <w:tcW w:w="301" w:type="pct"/>
            <w:noWrap w:val="0"/>
            <w:vAlign w:val="center"/>
          </w:tcPr>
          <w:p w14:paraId="460501B6">
            <w:pPr>
              <w:spacing w:line="500" w:lineRule="exact"/>
              <w:jc w:val="center"/>
              <w:rPr>
                <w:rFonts w:hint="eastAsia" w:ascii="宋体" w:hAnsi="宋体" w:cs="宋体"/>
                <w:sz w:val="21"/>
                <w:szCs w:val="21"/>
                <w:highlight w:val="none"/>
              </w:rPr>
            </w:pPr>
          </w:p>
        </w:tc>
        <w:tc>
          <w:tcPr>
            <w:tcW w:w="460" w:type="pct"/>
            <w:noWrap w:val="0"/>
            <w:vAlign w:val="center"/>
          </w:tcPr>
          <w:p w14:paraId="081A93B4">
            <w:pPr>
              <w:spacing w:line="500" w:lineRule="exact"/>
              <w:jc w:val="center"/>
              <w:rPr>
                <w:rFonts w:hint="eastAsia" w:ascii="宋体" w:hAnsi="宋体" w:cs="宋体"/>
                <w:sz w:val="21"/>
                <w:szCs w:val="21"/>
                <w:highlight w:val="none"/>
              </w:rPr>
            </w:pPr>
          </w:p>
        </w:tc>
        <w:tc>
          <w:tcPr>
            <w:tcW w:w="393" w:type="pct"/>
            <w:noWrap w:val="0"/>
            <w:vAlign w:val="center"/>
          </w:tcPr>
          <w:p w14:paraId="48118CC1">
            <w:pPr>
              <w:spacing w:line="500" w:lineRule="exact"/>
              <w:jc w:val="center"/>
              <w:rPr>
                <w:rFonts w:hint="eastAsia" w:ascii="宋体" w:hAnsi="宋体" w:cs="宋体"/>
                <w:sz w:val="21"/>
                <w:szCs w:val="21"/>
                <w:highlight w:val="none"/>
              </w:rPr>
            </w:pPr>
          </w:p>
        </w:tc>
      </w:tr>
      <w:tr w14:paraId="2FF5D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278" w:type="pct"/>
            <w:noWrap w:val="0"/>
            <w:vAlign w:val="center"/>
          </w:tcPr>
          <w:p w14:paraId="38430E03">
            <w:pPr>
              <w:spacing w:line="500" w:lineRule="exact"/>
              <w:jc w:val="center"/>
              <w:rPr>
                <w:rFonts w:ascii="宋体" w:hAnsi="宋体" w:cs="宋体"/>
                <w:sz w:val="21"/>
                <w:szCs w:val="21"/>
                <w:highlight w:val="none"/>
              </w:rPr>
            </w:pPr>
            <w:r>
              <w:rPr>
                <w:rFonts w:hint="eastAsia" w:ascii="宋体" w:hAnsi="宋体" w:cs="宋体"/>
                <w:sz w:val="21"/>
                <w:szCs w:val="21"/>
                <w:highlight w:val="none"/>
              </w:rPr>
              <w:t>5</w:t>
            </w:r>
          </w:p>
        </w:tc>
        <w:tc>
          <w:tcPr>
            <w:tcW w:w="1130" w:type="pct"/>
            <w:noWrap w:val="0"/>
            <w:vAlign w:val="center"/>
          </w:tcPr>
          <w:p w14:paraId="16B84811">
            <w:pPr>
              <w:spacing w:line="500" w:lineRule="exact"/>
              <w:jc w:val="center"/>
              <w:rPr>
                <w:rFonts w:hint="eastAsia" w:ascii="宋体" w:hAnsi="宋体" w:cs="宋体"/>
                <w:sz w:val="21"/>
                <w:szCs w:val="21"/>
                <w:highlight w:val="none"/>
              </w:rPr>
            </w:pPr>
          </w:p>
        </w:tc>
        <w:tc>
          <w:tcPr>
            <w:tcW w:w="737" w:type="pct"/>
            <w:noWrap w:val="0"/>
            <w:vAlign w:val="center"/>
          </w:tcPr>
          <w:p w14:paraId="4A453434">
            <w:pPr>
              <w:spacing w:line="500" w:lineRule="exact"/>
              <w:jc w:val="center"/>
              <w:rPr>
                <w:rFonts w:hint="eastAsia" w:ascii="宋体" w:hAnsi="宋体" w:cs="宋体"/>
                <w:sz w:val="21"/>
                <w:szCs w:val="21"/>
                <w:highlight w:val="none"/>
              </w:rPr>
            </w:pPr>
          </w:p>
        </w:tc>
        <w:tc>
          <w:tcPr>
            <w:tcW w:w="470" w:type="pct"/>
            <w:noWrap w:val="0"/>
            <w:vAlign w:val="center"/>
          </w:tcPr>
          <w:p w14:paraId="6ED6DA3B">
            <w:pPr>
              <w:spacing w:line="500" w:lineRule="exact"/>
              <w:jc w:val="center"/>
              <w:rPr>
                <w:rFonts w:hint="eastAsia" w:ascii="宋体" w:hAnsi="宋体" w:cs="宋体"/>
                <w:sz w:val="21"/>
                <w:szCs w:val="21"/>
                <w:highlight w:val="none"/>
              </w:rPr>
            </w:pPr>
          </w:p>
        </w:tc>
        <w:tc>
          <w:tcPr>
            <w:tcW w:w="679" w:type="pct"/>
            <w:noWrap w:val="0"/>
            <w:vAlign w:val="center"/>
          </w:tcPr>
          <w:p w14:paraId="4D002B05">
            <w:pPr>
              <w:spacing w:line="500" w:lineRule="exact"/>
              <w:jc w:val="center"/>
              <w:rPr>
                <w:rFonts w:hint="eastAsia" w:ascii="宋体" w:hAnsi="宋体" w:cs="宋体"/>
                <w:sz w:val="21"/>
                <w:szCs w:val="21"/>
                <w:highlight w:val="none"/>
              </w:rPr>
            </w:pPr>
          </w:p>
        </w:tc>
        <w:tc>
          <w:tcPr>
            <w:tcW w:w="255" w:type="pct"/>
            <w:noWrap w:val="0"/>
            <w:vAlign w:val="center"/>
          </w:tcPr>
          <w:p w14:paraId="38073752">
            <w:pPr>
              <w:spacing w:line="500" w:lineRule="exact"/>
              <w:jc w:val="center"/>
              <w:rPr>
                <w:rFonts w:hint="eastAsia" w:ascii="宋体" w:hAnsi="宋体" w:cs="宋体"/>
                <w:sz w:val="21"/>
                <w:szCs w:val="21"/>
                <w:highlight w:val="none"/>
              </w:rPr>
            </w:pPr>
          </w:p>
        </w:tc>
        <w:tc>
          <w:tcPr>
            <w:tcW w:w="293" w:type="pct"/>
            <w:noWrap w:val="0"/>
            <w:vAlign w:val="center"/>
          </w:tcPr>
          <w:p w14:paraId="2AEAC1C8">
            <w:pPr>
              <w:spacing w:line="500" w:lineRule="exact"/>
              <w:jc w:val="center"/>
              <w:rPr>
                <w:rFonts w:hint="eastAsia" w:ascii="宋体" w:hAnsi="宋体" w:cs="宋体"/>
                <w:sz w:val="21"/>
                <w:szCs w:val="21"/>
                <w:highlight w:val="none"/>
              </w:rPr>
            </w:pPr>
          </w:p>
        </w:tc>
        <w:tc>
          <w:tcPr>
            <w:tcW w:w="301" w:type="pct"/>
            <w:noWrap w:val="0"/>
            <w:vAlign w:val="center"/>
          </w:tcPr>
          <w:p w14:paraId="0332207A">
            <w:pPr>
              <w:spacing w:line="500" w:lineRule="exact"/>
              <w:jc w:val="center"/>
              <w:rPr>
                <w:rFonts w:hint="eastAsia" w:ascii="宋体" w:hAnsi="宋体" w:cs="宋体"/>
                <w:sz w:val="21"/>
                <w:szCs w:val="21"/>
                <w:highlight w:val="none"/>
              </w:rPr>
            </w:pPr>
          </w:p>
        </w:tc>
        <w:tc>
          <w:tcPr>
            <w:tcW w:w="460" w:type="pct"/>
            <w:noWrap w:val="0"/>
            <w:vAlign w:val="center"/>
          </w:tcPr>
          <w:p w14:paraId="199E3B62">
            <w:pPr>
              <w:spacing w:line="500" w:lineRule="exact"/>
              <w:jc w:val="center"/>
              <w:rPr>
                <w:rFonts w:hint="eastAsia" w:ascii="宋体" w:hAnsi="宋体" w:cs="宋体"/>
                <w:sz w:val="21"/>
                <w:szCs w:val="21"/>
                <w:highlight w:val="none"/>
              </w:rPr>
            </w:pPr>
          </w:p>
        </w:tc>
        <w:tc>
          <w:tcPr>
            <w:tcW w:w="393" w:type="pct"/>
            <w:noWrap w:val="0"/>
            <w:vAlign w:val="center"/>
          </w:tcPr>
          <w:p w14:paraId="7A24659C">
            <w:pPr>
              <w:spacing w:line="500" w:lineRule="exact"/>
              <w:jc w:val="center"/>
              <w:rPr>
                <w:rFonts w:hint="eastAsia" w:ascii="宋体" w:hAnsi="宋体" w:cs="宋体"/>
                <w:sz w:val="21"/>
                <w:szCs w:val="21"/>
                <w:highlight w:val="none"/>
              </w:rPr>
            </w:pPr>
          </w:p>
        </w:tc>
      </w:tr>
      <w:tr w14:paraId="60C92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278" w:type="pct"/>
            <w:noWrap w:val="0"/>
            <w:vAlign w:val="center"/>
          </w:tcPr>
          <w:p w14:paraId="2196B3F0">
            <w:pPr>
              <w:spacing w:line="500" w:lineRule="exact"/>
              <w:jc w:val="center"/>
              <w:rPr>
                <w:rFonts w:ascii="宋体" w:hAnsi="宋体" w:cs="宋体"/>
                <w:sz w:val="21"/>
                <w:szCs w:val="21"/>
                <w:highlight w:val="none"/>
              </w:rPr>
            </w:pPr>
            <w:r>
              <w:rPr>
                <w:rFonts w:hint="eastAsia" w:ascii="宋体" w:hAnsi="宋体" w:cs="宋体"/>
                <w:sz w:val="21"/>
                <w:szCs w:val="21"/>
                <w:highlight w:val="none"/>
              </w:rPr>
              <w:t>6</w:t>
            </w:r>
          </w:p>
        </w:tc>
        <w:tc>
          <w:tcPr>
            <w:tcW w:w="1130" w:type="pct"/>
            <w:noWrap w:val="0"/>
            <w:vAlign w:val="center"/>
          </w:tcPr>
          <w:p w14:paraId="4AE9DEB1">
            <w:pPr>
              <w:spacing w:line="500" w:lineRule="exact"/>
              <w:jc w:val="center"/>
              <w:rPr>
                <w:rFonts w:hint="eastAsia" w:ascii="宋体" w:hAnsi="宋体" w:cs="宋体"/>
                <w:sz w:val="21"/>
                <w:szCs w:val="21"/>
                <w:highlight w:val="none"/>
              </w:rPr>
            </w:pPr>
          </w:p>
        </w:tc>
        <w:tc>
          <w:tcPr>
            <w:tcW w:w="737" w:type="pct"/>
            <w:noWrap w:val="0"/>
            <w:vAlign w:val="center"/>
          </w:tcPr>
          <w:p w14:paraId="23E57B50">
            <w:pPr>
              <w:spacing w:line="500" w:lineRule="exact"/>
              <w:jc w:val="center"/>
              <w:rPr>
                <w:rFonts w:hint="eastAsia" w:ascii="宋体" w:hAnsi="宋体" w:cs="宋体"/>
                <w:sz w:val="21"/>
                <w:szCs w:val="21"/>
                <w:highlight w:val="none"/>
              </w:rPr>
            </w:pPr>
          </w:p>
        </w:tc>
        <w:tc>
          <w:tcPr>
            <w:tcW w:w="470" w:type="pct"/>
            <w:noWrap w:val="0"/>
            <w:vAlign w:val="center"/>
          </w:tcPr>
          <w:p w14:paraId="4C0E9161">
            <w:pPr>
              <w:spacing w:line="500" w:lineRule="exact"/>
              <w:jc w:val="center"/>
              <w:rPr>
                <w:rFonts w:hint="eastAsia" w:ascii="宋体" w:hAnsi="宋体" w:cs="宋体"/>
                <w:sz w:val="21"/>
                <w:szCs w:val="21"/>
                <w:highlight w:val="none"/>
              </w:rPr>
            </w:pPr>
          </w:p>
        </w:tc>
        <w:tc>
          <w:tcPr>
            <w:tcW w:w="679" w:type="pct"/>
            <w:noWrap w:val="0"/>
            <w:vAlign w:val="center"/>
          </w:tcPr>
          <w:p w14:paraId="0A43366C">
            <w:pPr>
              <w:spacing w:line="500" w:lineRule="exact"/>
              <w:jc w:val="center"/>
              <w:rPr>
                <w:rFonts w:hint="eastAsia" w:ascii="宋体" w:hAnsi="宋体" w:cs="宋体"/>
                <w:sz w:val="21"/>
                <w:szCs w:val="21"/>
                <w:highlight w:val="none"/>
              </w:rPr>
            </w:pPr>
          </w:p>
        </w:tc>
        <w:tc>
          <w:tcPr>
            <w:tcW w:w="255" w:type="pct"/>
            <w:noWrap w:val="0"/>
            <w:vAlign w:val="center"/>
          </w:tcPr>
          <w:p w14:paraId="6BA61516">
            <w:pPr>
              <w:spacing w:line="500" w:lineRule="exact"/>
              <w:jc w:val="center"/>
              <w:rPr>
                <w:rFonts w:hint="eastAsia" w:ascii="宋体" w:hAnsi="宋体" w:cs="宋体"/>
                <w:sz w:val="21"/>
                <w:szCs w:val="21"/>
                <w:highlight w:val="none"/>
              </w:rPr>
            </w:pPr>
          </w:p>
        </w:tc>
        <w:tc>
          <w:tcPr>
            <w:tcW w:w="293" w:type="pct"/>
            <w:noWrap w:val="0"/>
            <w:vAlign w:val="center"/>
          </w:tcPr>
          <w:p w14:paraId="5797558C">
            <w:pPr>
              <w:spacing w:line="500" w:lineRule="exact"/>
              <w:jc w:val="center"/>
              <w:rPr>
                <w:rFonts w:hint="eastAsia" w:ascii="宋体" w:hAnsi="宋体" w:cs="宋体"/>
                <w:sz w:val="21"/>
                <w:szCs w:val="21"/>
                <w:highlight w:val="none"/>
              </w:rPr>
            </w:pPr>
          </w:p>
        </w:tc>
        <w:tc>
          <w:tcPr>
            <w:tcW w:w="301" w:type="pct"/>
            <w:noWrap w:val="0"/>
            <w:vAlign w:val="center"/>
          </w:tcPr>
          <w:p w14:paraId="2F7CD7B8">
            <w:pPr>
              <w:spacing w:line="500" w:lineRule="exact"/>
              <w:jc w:val="center"/>
              <w:rPr>
                <w:rFonts w:hint="eastAsia" w:ascii="宋体" w:hAnsi="宋体" w:cs="宋体"/>
                <w:sz w:val="21"/>
                <w:szCs w:val="21"/>
                <w:highlight w:val="none"/>
              </w:rPr>
            </w:pPr>
          </w:p>
        </w:tc>
        <w:tc>
          <w:tcPr>
            <w:tcW w:w="460" w:type="pct"/>
            <w:noWrap w:val="0"/>
            <w:vAlign w:val="center"/>
          </w:tcPr>
          <w:p w14:paraId="79BD3D82">
            <w:pPr>
              <w:spacing w:line="500" w:lineRule="exact"/>
              <w:jc w:val="center"/>
              <w:rPr>
                <w:rFonts w:hint="eastAsia" w:ascii="宋体" w:hAnsi="宋体" w:cs="宋体"/>
                <w:sz w:val="21"/>
                <w:szCs w:val="21"/>
                <w:highlight w:val="none"/>
              </w:rPr>
            </w:pPr>
          </w:p>
        </w:tc>
        <w:tc>
          <w:tcPr>
            <w:tcW w:w="393" w:type="pct"/>
            <w:noWrap w:val="0"/>
            <w:vAlign w:val="center"/>
          </w:tcPr>
          <w:p w14:paraId="4CB6D58A">
            <w:pPr>
              <w:spacing w:line="500" w:lineRule="exact"/>
              <w:jc w:val="center"/>
              <w:rPr>
                <w:rFonts w:hint="eastAsia" w:ascii="宋体" w:hAnsi="宋体" w:cs="宋体"/>
                <w:sz w:val="21"/>
                <w:szCs w:val="21"/>
                <w:highlight w:val="none"/>
              </w:rPr>
            </w:pPr>
          </w:p>
        </w:tc>
      </w:tr>
      <w:tr w14:paraId="62F86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278" w:type="pct"/>
            <w:noWrap w:val="0"/>
            <w:vAlign w:val="center"/>
          </w:tcPr>
          <w:p w14:paraId="1E727E65">
            <w:pPr>
              <w:spacing w:line="500" w:lineRule="exact"/>
              <w:jc w:val="center"/>
              <w:rPr>
                <w:rFonts w:ascii="宋体" w:hAnsi="宋体" w:cs="宋体"/>
                <w:sz w:val="21"/>
                <w:szCs w:val="21"/>
                <w:highlight w:val="none"/>
              </w:rPr>
            </w:pPr>
            <w:r>
              <w:rPr>
                <w:rFonts w:hint="eastAsia" w:ascii="宋体" w:hAnsi="宋体" w:cs="宋体"/>
                <w:sz w:val="21"/>
                <w:szCs w:val="21"/>
                <w:highlight w:val="none"/>
              </w:rPr>
              <w:t>7</w:t>
            </w:r>
          </w:p>
        </w:tc>
        <w:tc>
          <w:tcPr>
            <w:tcW w:w="1130" w:type="pct"/>
            <w:noWrap w:val="0"/>
            <w:vAlign w:val="center"/>
          </w:tcPr>
          <w:p w14:paraId="77BE9C55">
            <w:pPr>
              <w:spacing w:line="500" w:lineRule="exact"/>
              <w:jc w:val="center"/>
              <w:rPr>
                <w:rFonts w:hint="eastAsia" w:ascii="宋体" w:hAnsi="宋体" w:cs="宋体"/>
                <w:sz w:val="21"/>
                <w:szCs w:val="21"/>
                <w:highlight w:val="none"/>
              </w:rPr>
            </w:pPr>
          </w:p>
        </w:tc>
        <w:tc>
          <w:tcPr>
            <w:tcW w:w="737" w:type="pct"/>
            <w:noWrap w:val="0"/>
            <w:vAlign w:val="center"/>
          </w:tcPr>
          <w:p w14:paraId="06E1D5AD">
            <w:pPr>
              <w:spacing w:line="500" w:lineRule="exact"/>
              <w:jc w:val="center"/>
              <w:rPr>
                <w:rFonts w:hint="eastAsia" w:ascii="宋体" w:hAnsi="宋体" w:cs="宋体"/>
                <w:sz w:val="21"/>
                <w:szCs w:val="21"/>
                <w:highlight w:val="none"/>
              </w:rPr>
            </w:pPr>
          </w:p>
        </w:tc>
        <w:tc>
          <w:tcPr>
            <w:tcW w:w="470" w:type="pct"/>
            <w:noWrap w:val="0"/>
            <w:vAlign w:val="center"/>
          </w:tcPr>
          <w:p w14:paraId="4B04209C">
            <w:pPr>
              <w:spacing w:line="500" w:lineRule="exact"/>
              <w:jc w:val="center"/>
              <w:rPr>
                <w:rFonts w:hint="eastAsia" w:ascii="宋体" w:hAnsi="宋体" w:cs="宋体"/>
                <w:sz w:val="21"/>
                <w:szCs w:val="21"/>
                <w:highlight w:val="none"/>
              </w:rPr>
            </w:pPr>
          </w:p>
        </w:tc>
        <w:tc>
          <w:tcPr>
            <w:tcW w:w="679" w:type="pct"/>
            <w:noWrap w:val="0"/>
            <w:vAlign w:val="center"/>
          </w:tcPr>
          <w:p w14:paraId="08AF9501">
            <w:pPr>
              <w:spacing w:line="500" w:lineRule="exact"/>
              <w:jc w:val="center"/>
              <w:rPr>
                <w:rFonts w:hint="eastAsia" w:ascii="宋体" w:hAnsi="宋体" w:cs="宋体"/>
                <w:sz w:val="21"/>
                <w:szCs w:val="21"/>
                <w:highlight w:val="none"/>
              </w:rPr>
            </w:pPr>
          </w:p>
        </w:tc>
        <w:tc>
          <w:tcPr>
            <w:tcW w:w="255" w:type="pct"/>
            <w:noWrap w:val="0"/>
            <w:vAlign w:val="center"/>
          </w:tcPr>
          <w:p w14:paraId="4731891E">
            <w:pPr>
              <w:spacing w:line="500" w:lineRule="exact"/>
              <w:jc w:val="center"/>
              <w:rPr>
                <w:rFonts w:hint="eastAsia" w:ascii="宋体" w:hAnsi="宋体" w:cs="宋体"/>
                <w:sz w:val="21"/>
                <w:szCs w:val="21"/>
                <w:highlight w:val="none"/>
              </w:rPr>
            </w:pPr>
          </w:p>
        </w:tc>
        <w:tc>
          <w:tcPr>
            <w:tcW w:w="293" w:type="pct"/>
            <w:noWrap w:val="0"/>
            <w:vAlign w:val="center"/>
          </w:tcPr>
          <w:p w14:paraId="6856C886">
            <w:pPr>
              <w:spacing w:line="500" w:lineRule="exact"/>
              <w:jc w:val="center"/>
              <w:rPr>
                <w:rFonts w:hint="eastAsia" w:ascii="宋体" w:hAnsi="宋体" w:cs="宋体"/>
                <w:sz w:val="21"/>
                <w:szCs w:val="21"/>
                <w:highlight w:val="none"/>
              </w:rPr>
            </w:pPr>
          </w:p>
        </w:tc>
        <w:tc>
          <w:tcPr>
            <w:tcW w:w="301" w:type="pct"/>
            <w:noWrap w:val="0"/>
            <w:vAlign w:val="center"/>
          </w:tcPr>
          <w:p w14:paraId="775327AC">
            <w:pPr>
              <w:spacing w:line="500" w:lineRule="exact"/>
              <w:jc w:val="center"/>
              <w:rPr>
                <w:rFonts w:hint="eastAsia" w:ascii="宋体" w:hAnsi="宋体" w:cs="宋体"/>
                <w:sz w:val="21"/>
                <w:szCs w:val="21"/>
                <w:highlight w:val="none"/>
              </w:rPr>
            </w:pPr>
          </w:p>
        </w:tc>
        <w:tc>
          <w:tcPr>
            <w:tcW w:w="460" w:type="pct"/>
            <w:noWrap w:val="0"/>
            <w:vAlign w:val="center"/>
          </w:tcPr>
          <w:p w14:paraId="45192866">
            <w:pPr>
              <w:spacing w:line="500" w:lineRule="exact"/>
              <w:jc w:val="center"/>
              <w:rPr>
                <w:rFonts w:hint="eastAsia" w:ascii="宋体" w:hAnsi="宋体" w:cs="宋体"/>
                <w:sz w:val="21"/>
                <w:szCs w:val="21"/>
                <w:highlight w:val="none"/>
              </w:rPr>
            </w:pPr>
          </w:p>
        </w:tc>
        <w:tc>
          <w:tcPr>
            <w:tcW w:w="393" w:type="pct"/>
            <w:noWrap w:val="0"/>
            <w:vAlign w:val="center"/>
          </w:tcPr>
          <w:p w14:paraId="39F642C7">
            <w:pPr>
              <w:spacing w:line="500" w:lineRule="exact"/>
              <w:jc w:val="center"/>
              <w:rPr>
                <w:rFonts w:hint="eastAsia" w:ascii="宋体" w:hAnsi="宋体" w:cs="宋体"/>
                <w:sz w:val="21"/>
                <w:szCs w:val="21"/>
                <w:highlight w:val="none"/>
              </w:rPr>
            </w:pPr>
          </w:p>
        </w:tc>
      </w:tr>
      <w:tr w14:paraId="3C28E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278" w:type="pct"/>
            <w:noWrap w:val="0"/>
            <w:vAlign w:val="center"/>
          </w:tcPr>
          <w:p w14:paraId="3BED5FD5">
            <w:pPr>
              <w:spacing w:line="500" w:lineRule="exact"/>
              <w:jc w:val="center"/>
              <w:rPr>
                <w:rFonts w:hint="eastAsia" w:ascii="宋体" w:hAnsi="宋体" w:cs="宋体"/>
                <w:sz w:val="21"/>
                <w:szCs w:val="21"/>
                <w:highlight w:val="none"/>
              </w:rPr>
            </w:pPr>
            <w:r>
              <w:rPr>
                <w:rFonts w:hint="eastAsia" w:ascii="宋体" w:hAnsi="宋体" w:cs="宋体"/>
                <w:sz w:val="21"/>
                <w:szCs w:val="21"/>
                <w:highlight w:val="none"/>
              </w:rPr>
              <w:t>…</w:t>
            </w:r>
          </w:p>
        </w:tc>
        <w:tc>
          <w:tcPr>
            <w:tcW w:w="1130" w:type="pct"/>
            <w:noWrap w:val="0"/>
            <w:vAlign w:val="center"/>
          </w:tcPr>
          <w:p w14:paraId="7E24C92E">
            <w:pPr>
              <w:spacing w:line="500" w:lineRule="exact"/>
              <w:jc w:val="center"/>
              <w:rPr>
                <w:rFonts w:hint="eastAsia" w:ascii="宋体" w:hAnsi="宋体" w:cs="宋体"/>
                <w:sz w:val="21"/>
                <w:szCs w:val="21"/>
                <w:highlight w:val="none"/>
              </w:rPr>
            </w:pPr>
          </w:p>
        </w:tc>
        <w:tc>
          <w:tcPr>
            <w:tcW w:w="737" w:type="pct"/>
            <w:noWrap w:val="0"/>
            <w:vAlign w:val="center"/>
          </w:tcPr>
          <w:p w14:paraId="1E81729F">
            <w:pPr>
              <w:spacing w:line="500" w:lineRule="exact"/>
              <w:jc w:val="center"/>
              <w:rPr>
                <w:rFonts w:hint="eastAsia" w:ascii="宋体" w:hAnsi="宋体" w:cs="宋体"/>
                <w:sz w:val="21"/>
                <w:szCs w:val="21"/>
                <w:highlight w:val="none"/>
              </w:rPr>
            </w:pPr>
          </w:p>
        </w:tc>
        <w:tc>
          <w:tcPr>
            <w:tcW w:w="470" w:type="pct"/>
            <w:noWrap w:val="0"/>
            <w:vAlign w:val="center"/>
          </w:tcPr>
          <w:p w14:paraId="265DBD3F">
            <w:pPr>
              <w:spacing w:line="500" w:lineRule="exact"/>
              <w:jc w:val="center"/>
              <w:rPr>
                <w:rFonts w:hint="eastAsia" w:ascii="宋体" w:hAnsi="宋体" w:cs="宋体"/>
                <w:sz w:val="21"/>
                <w:szCs w:val="21"/>
                <w:highlight w:val="none"/>
              </w:rPr>
            </w:pPr>
          </w:p>
        </w:tc>
        <w:tc>
          <w:tcPr>
            <w:tcW w:w="679" w:type="pct"/>
            <w:noWrap w:val="0"/>
            <w:vAlign w:val="center"/>
          </w:tcPr>
          <w:p w14:paraId="7D95FD5D">
            <w:pPr>
              <w:spacing w:line="500" w:lineRule="exact"/>
              <w:jc w:val="center"/>
              <w:rPr>
                <w:rFonts w:hint="eastAsia" w:ascii="宋体" w:hAnsi="宋体" w:cs="宋体"/>
                <w:sz w:val="21"/>
                <w:szCs w:val="21"/>
                <w:highlight w:val="none"/>
              </w:rPr>
            </w:pPr>
          </w:p>
        </w:tc>
        <w:tc>
          <w:tcPr>
            <w:tcW w:w="255" w:type="pct"/>
            <w:noWrap w:val="0"/>
            <w:vAlign w:val="center"/>
          </w:tcPr>
          <w:p w14:paraId="1ACA53FF">
            <w:pPr>
              <w:spacing w:line="500" w:lineRule="exact"/>
              <w:jc w:val="center"/>
              <w:rPr>
                <w:rFonts w:hint="eastAsia" w:ascii="宋体" w:hAnsi="宋体" w:cs="宋体"/>
                <w:sz w:val="21"/>
                <w:szCs w:val="21"/>
                <w:highlight w:val="none"/>
              </w:rPr>
            </w:pPr>
          </w:p>
        </w:tc>
        <w:tc>
          <w:tcPr>
            <w:tcW w:w="293" w:type="pct"/>
            <w:noWrap w:val="0"/>
            <w:vAlign w:val="center"/>
          </w:tcPr>
          <w:p w14:paraId="0EEDB937">
            <w:pPr>
              <w:spacing w:line="500" w:lineRule="exact"/>
              <w:jc w:val="center"/>
              <w:rPr>
                <w:rFonts w:hint="eastAsia" w:ascii="宋体" w:hAnsi="宋体" w:cs="宋体"/>
                <w:sz w:val="21"/>
                <w:szCs w:val="21"/>
                <w:highlight w:val="none"/>
              </w:rPr>
            </w:pPr>
          </w:p>
        </w:tc>
        <w:tc>
          <w:tcPr>
            <w:tcW w:w="301" w:type="pct"/>
            <w:noWrap w:val="0"/>
            <w:vAlign w:val="center"/>
          </w:tcPr>
          <w:p w14:paraId="7CBFA8C7">
            <w:pPr>
              <w:spacing w:line="500" w:lineRule="exact"/>
              <w:jc w:val="center"/>
              <w:rPr>
                <w:rFonts w:hint="eastAsia" w:ascii="宋体" w:hAnsi="宋体" w:cs="宋体"/>
                <w:sz w:val="21"/>
                <w:szCs w:val="21"/>
                <w:highlight w:val="none"/>
              </w:rPr>
            </w:pPr>
          </w:p>
        </w:tc>
        <w:tc>
          <w:tcPr>
            <w:tcW w:w="460" w:type="pct"/>
            <w:noWrap w:val="0"/>
            <w:vAlign w:val="center"/>
          </w:tcPr>
          <w:p w14:paraId="76E156B0">
            <w:pPr>
              <w:spacing w:line="500" w:lineRule="exact"/>
              <w:jc w:val="center"/>
              <w:rPr>
                <w:rFonts w:hint="eastAsia" w:ascii="宋体" w:hAnsi="宋体" w:cs="宋体"/>
                <w:sz w:val="21"/>
                <w:szCs w:val="21"/>
                <w:highlight w:val="none"/>
              </w:rPr>
            </w:pPr>
          </w:p>
        </w:tc>
        <w:tc>
          <w:tcPr>
            <w:tcW w:w="393" w:type="pct"/>
            <w:noWrap w:val="0"/>
            <w:vAlign w:val="center"/>
          </w:tcPr>
          <w:p w14:paraId="33F0D8C0">
            <w:pPr>
              <w:spacing w:line="500" w:lineRule="exact"/>
              <w:jc w:val="center"/>
              <w:rPr>
                <w:rFonts w:hint="eastAsia" w:ascii="宋体" w:hAnsi="宋体" w:cs="宋体"/>
                <w:sz w:val="21"/>
                <w:szCs w:val="21"/>
                <w:highlight w:val="none"/>
              </w:rPr>
            </w:pPr>
          </w:p>
        </w:tc>
      </w:tr>
      <w:tr w14:paraId="0DAEB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78" w:type="pct"/>
            <w:tcBorders>
              <w:top w:val="single" w:color="auto" w:sz="4" w:space="0"/>
              <w:bottom w:val="single" w:color="auto" w:sz="4" w:space="0"/>
            </w:tcBorders>
            <w:noWrap w:val="0"/>
            <w:vAlign w:val="center"/>
          </w:tcPr>
          <w:p w14:paraId="2350BAD0">
            <w:pPr>
              <w:spacing w:line="500" w:lineRule="exact"/>
              <w:rPr>
                <w:rFonts w:hint="eastAsia" w:ascii="宋体" w:hAnsi="宋体" w:cs="宋体"/>
                <w:sz w:val="21"/>
                <w:szCs w:val="21"/>
                <w:highlight w:val="none"/>
              </w:rPr>
            </w:pPr>
          </w:p>
        </w:tc>
        <w:tc>
          <w:tcPr>
            <w:tcW w:w="4721" w:type="pct"/>
            <w:gridSpan w:val="9"/>
            <w:tcBorders>
              <w:top w:val="single" w:color="auto" w:sz="4" w:space="0"/>
              <w:bottom w:val="single" w:color="auto" w:sz="4" w:space="0"/>
            </w:tcBorders>
            <w:noWrap w:val="0"/>
            <w:vAlign w:val="center"/>
          </w:tcPr>
          <w:p w14:paraId="58322D4C">
            <w:pPr>
              <w:spacing w:line="500" w:lineRule="exact"/>
              <w:rPr>
                <w:rFonts w:hint="eastAsia" w:ascii="宋体" w:hAnsi="宋体" w:cs="宋体"/>
                <w:sz w:val="21"/>
                <w:szCs w:val="21"/>
                <w:highlight w:val="none"/>
              </w:rPr>
            </w:pPr>
            <w:r>
              <w:rPr>
                <w:rFonts w:hint="eastAsia" w:ascii="宋体" w:hAnsi="宋体" w:cs="宋体"/>
                <w:sz w:val="21"/>
                <w:szCs w:val="21"/>
                <w:highlight w:val="none"/>
              </w:rPr>
              <w:t>报价合计（元）：             大写：</w:t>
            </w:r>
          </w:p>
        </w:tc>
      </w:tr>
      <w:tr w14:paraId="458BC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78" w:type="pct"/>
            <w:tcBorders>
              <w:top w:val="single" w:color="auto" w:sz="4" w:space="0"/>
              <w:bottom w:val="single" w:color="auto" w:sz="4" w:space="0"/>
            </w:tcBorders>
            <w:noWrap w:val="0"/>
            <w:vAlign w:val="center"/>
          </w:tcPr>
          <w:p w14:paraId="62663FB3">
            <w:pPr>
              <w:spacing w:line="500" w:lineRule="exact"/>
              <w:rPr>
                <w:rFonts w:hint="eastAsia" w:ascii="宋体" w:hAnsi="宋体" w:cs="宋体"/>
                <w:sz w:val="21"/>
                <w:szCs w:val="21"/>
                <w:highlight w:val="none"/>
              </w:rPr>
            </w:pPr>
          </w:p>
        </w:tc>
        <w:tc>
          <w:tcPr>
            <w:tcW w:w="4721" w:type="pct"/>
            <w:gridSpan w:val="9"/>
            <w:tcBorders>
              <w:top w:val="single" w:color="auto" w:sz="4" w:space="0"/>
              <w:bottom w:val="single" w:color="auto" w:sz="4" w:space="0"/>
            </w:tcBorders>
            <w:noWrap w:val="0"/>
            <w:vAlign w:val="center"/>
          </w:tcPr>
          <w:p w14:paraId="73693CB4">
            <w:pPr>
              <w:spacing w:line="500" w:lineRule="exact"/>
              <w:rPr>
                <w:rFonts w:hint="eastAsia" w:ascii="宋体" w:hAnsi="宋体" w:cs="宋体"/>
                <w:sz w:val="21"/>
                <w:szCs w:val="21"/>
                <w:highlight w:val="none"/>
              </w:rPr>
            </w:pPr>
          </w:p>
        </w:tc>
      </w:tr>
    </w:tbl>
    <w:p w14:paraId="1745E883">
      <w:pPr>
        <w:pStyle w:val="9"/>
        <w:spacing w:line="360" w:lineRule="auto"/>
        <w:ind w:firstLine="240" w:firstLineChars="100"/>
        <w:rPr>
          <w:rFonts w:hint="eastAsia" w:cs="宋体"/>
          <w:sz w:val="24"/>
          <w:highlight w:val="none"/>
        </w:rPr>
      </w:pPr>
    </w:p>
    <w:p w14:paraId="638C7327">
      <w:pPr>
        <w:pStyle w:val="9"/>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s="宋体"/>
          <w:highlight w:val="none"/>
        </w:rPr>
      </w:pPr>
      <w:r>
        <w:rPr>
          <w:rFonts w:hint="eastAsia" w:cs="宋体"/>
          <w:highlight w:val="none"/>
        </w:rPr>
        <w:t>注:</w:t>
      </w:r>
    </w:p>
    <w:p w14:paraId="2ADED024">
      <w:pPr>
        <w:pStyle w:val="9"/>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s="宋体"/>
          <w:color w:val="auto"/>
          <w:highlight w:val="none"/>
        </w:rPr>
      </w:pPr>
      <w:r>
        <w:rPr>
          <w:rFonts w:hint="eastAsia" w:cs="宋体"/>
          <w:highlight w:val="none"/>
        </w:rPr>
        <w:t>1.</w:t>
      </w:r>
      <w:r>
        <w:rPr>
          <w:rFonts w:hint="eastAsia" w:ascii="宋体" w:hAnsi="宋体" w:cs="宋体"/>
          <w:b w:val="0"/>
          <w:bCs w:val="0"/>
          <w:color w:val="auto"/>
          <w:highlight w:val="none"/>
          <w:lang w:val="en-US" w:eastAsia="zh-CN"/>
        </w:rPr>
        <w:t>投标人按采购需求逐项列示</w:t>
      </w:r>
      <w:r>
        <w:rPr>
          <w:rFonts w:hint="eastAsia" w:hAnsi="宋体" w:cs="宋体"/>
          <w:b w:val="0"/>
          <w:bCs w:val="0"/>
          <w:color w:val="auto"/>
          <w:highlight w:val="none"/>
          <w:lang w:val="en-US" w:eastAsia="zh-CN"/>
        </w:rPr>
        <w:t>且不可漏项</w:t>
      </w:r>
      <w:r>
        <w:rPr>
          <w:rFonts w:hint="eastAsia" w:ascii="宋体" w:hAnsi="宋体" w:cs="宋体"/>
          <w:b w:val="0"/>
          <w:bCs w:val="0"/>
          <w:color w:val="auto"/>
          <w:highlight w:val="none"/>
          <w:lang w:val="en-US" w:eastAsia="zh-CN"/>
        </w:rPr>
        <w:t>，</w:t>
      </w:r>
      <w:r>
        <w:rPr>
          <w:rFonts w:hint="eastAsia" w:hAnsi="宋体" w:cs="宋体"/>
          <w:b w:val="0"/>
          <w:bCs w:val="0"/>
          <w:color w:val="auto"/>
          <w:highlight w:val="none"/>
          <w:lang w:val="en-US" w:eastAsia="zh-CN"/>
        </w:rPr>
        <w:t>投标报价</w:t>
      </w:r>
      <w:r>
        <w:rPr>
          <w:rFonts w:hint="eastAsia" w:ascii="宋体" w:hAnsi="宋体" w:cs="宋体"/>
          <w:b w:val="0"/>
          <w:bCs w:val="0"/>
          <w:color w:val="auto"/>
          <w:highlight w:val="none"/>
          <w:lang w:val="en-US" w:eastAsia="zh-CN"/>
        </w:rPr>
        <w:t>总价不得超过采购预算</w:t>
      </w:r>
      <w:r>
        <w:rPr>
          <w:rFonts w:hint="eastAsia" w:hAnsi="宋体" w:cs="宋体"/>
          <w:b w:val="0"/>
          <w:bCs w:val="0"/>
          <w:color w:val="auto"/>
          <w:highlight w:val="none"/>
          <w:lang w:val="en-US" w:eastAsia="zh-CN"/>
        </w:rPr>
        <w:t>最高投标限价，各分项报价不得超过采购人提供各分项报价最高投标限价</w:t>
      </w:r>
      <w:r>
        <w:rPr>
          <w:rFonts w:hint="eastAsia" w:ascii="宋体" w:hAnsi="宋体" w:cs="宋体"/>
          <w:b w:val="0"/>
          <w:bCs w:val="0"/>
          <w:color w:val="auto"/>
          <w:highlight w:val="none"/>
          <w:lang w:val="en-US" w:eastAsia="zh-CN"/>
        </w:rPr>
        <w:t>，</w:t>
      </w:r>
      <w:r>
        <w:rPr>
          <w:rFonts w:hint="eastAsia" w:hAnsi="宋体" w:cs="宋体"/>
          <w:b w:val="0"/>
          <w:bCs w:val="0"/>
          <w:color w:val="auto"/>
          <w:highlight w:val="none"/>
          <w:lang w:val="en-US" w:eastAsia="zh-CN"/>
        </w:rPr>
        <w:t>总价</w:t>
      </w:r>
      <w:r>
        <w:rPr>
          <w:rFonts w:hint="eastAsia" w:ascii="宋体" w:hAnsi="宋体" w:cs="宋体"/>
          <w:b w:val="0"/>
          <w:bCs w:val="0"/>
          <w:color w:val="auto"/>
          <w:highlight w:val="none"/>
          <w:lang w:val="en-US" w:eastAsia="zh-CN"/>
        </w:rPr>
        <w:t>与《开标一览表》保持一致。</w:t>
      </w:r>
      <w:r>
        <w:rPr>
          <w:rFonts w:hint="eastAsia" w:cs="宋体"/>
          <w:color w:val="auto"/>
          <w:highlight w:val="none"/>
        </w:rPr>
        <w:t>如果按单价计算的结果与总价不一致,以单价为准修正总价。</w:t>
      </w:r>
    </w:p>
    <w:p w14:paraId="3AF68401">
      <w:pPr>
        <w:pStyle w:val="9"/>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cs="宋体"/>
          <w:color w:val="auto"/>
          <w:highlight w:val="none"/>
        </w:rPr>
      </w:pPr>
      <w:r>
        <w:rPr>
          <w:rFonts w:hint="eastAsia" w:cs="宋体"/>
          <w:color w:val="auto"/>
          <w:kern w:val="2"/>
          <w:sz w:val="21"/>
          <w:szCs w:val="24"/>
          <w:lang w:val="en-US" w:eastAsia="zh-CN" w:bidi="ar-SA"/>
        </w:rPr>
        <w:t>2</w:t>
      </w:r>
      <w:r>
        <w:rPr>
          <w:rFonts w:hint="eastAsia" w:ascii="宋体" w:cs="宋体" w:hAnsiTheme="minorHAnsi" w:eastAsiaTheme="minorEastAsia"/>
          <w:color w:val="auto"/>
          <w:kern w:val="2"/>
          <w:sz w:val="21"/>
          <w:szCs w:val="24"/>
          <w:lang w:val="en-US" w:eastAsia="zh-CN" w:bidi="ar-SA"/>
        </w:rPr>
        <w:t>.</w:t>
      </w:r>
      <w:r>
        <w:rPr>
          <w:rFonts w:hint="eastAsia" w:cs="宋体"/>
          <w:color w:val="auto"/>
          <w:highlight w:val="none"/>
        </w:rPr>
        <w:t>如果不提供详细分项报价将视为没有实质性响应招标文件。</w:t>
      </w:r>
    </w:p>
    <w:p w14:paraId="2EF000D2">
      <w:pPr>
        <w:pStyle w:val="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default" w:cs="宋体"/>
          <w:color w:val="auto"/>
          <w:highlight w:val="none"/>
          <w:lang w:val="en-US"/>
        </w:rPr>
      </w:pPr>
      <w:r>
        <w:rPr>
          <w:rFonts w:hint="eastAsia" w:hAnsi="宋体" w:cs="宋体"/>
          <w:b w:val="0"/>
          <w:bCs w:val="0"/>
          <w:color w:val="auto"/>
          <w:highlight w:val="none"/>
          <w:lang w:val="en-US" w:eastAsia="zh-CN"/>
        </w:rPr>
        <w:t>3.暂列金、税金须包含在报价中，不作为竞争费用，暂列金额应按照本项目工程量清单中列出的金额填写，不得变动。</w:t>
      </w:r>
    </w:p>
    <w:p w14:paraId="0A451385">
      <w:pPr>
        <w:pStyle w:val="9"/>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Times New Roman" w:eastAsia="宋体" w:cs="宋体"/>
          <w:highlight w:val="yellow"/>
          <w:lang w:val="en-US"/>
        </w:rPr>
      </w:pPr>
      <w:r>
        <w:rPr>
          <w:rFonts w:hint="eastAsia" w:cs="宋体"/>
          <w:highlight w:val="none"/>
          <w:lang w:val="en-US" w:eastAsia="zh-CN"/>
        </w:rPr>
        <w:t>4</w:t>
      </w:r>
      <w:r>
        <w:rPr>
          <w:rFonts w:hint="eastAsia" w:cs="宋体"/>
          <w:highlight w:val="none"/>
        </w:rPr>
        <w:t>.</w:t>
      </w:r>
      <w:r>
        <w:rPr>
          <w:rFonts w:hint="eastAsia" w:ascii="宋体" w:hAnsi="宋体" w:cs="宋体"/>
          <w:b w:val="0"/>
          <w:bCs w:val="0"/>
          <w:highlight w:val="none"/>
          <w:lang w:val="en-US" w:eastAsia="zh-CN"/>
        </w:rPr>
        <w:t>以上报价含生产制作、包装、运输、保险、安装调试、利润、税金、专利技术、培训、技术支持等一切费用。</w:t>
      </w:r>
    </w:p>
    <w:p w14:paraId="329BDE34">
      <w:pPr>
        <w:pStyle w:val="9"/>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Times New Roman" w:eastAsia="宋体" w:cs="宋体"/>
          <w:highlight w:val="none"/>
          <w:lang w:val="en-US" w:eastAsia="zh-CN"/>
        </w:rPr>
      </w:pPr>
      <w:r>
        <w:rPr>
          <w:rFonts w:hint="eastAsia" w:hAnsi="Times New Roman" w:eastAsia="宋体" w:cs="宋体"/>
          <w:highlight w:val="none"/>
          <w:lang w:val="en-US" w:eastAsia="zh-CN"/>
        </w:rPr>
        <w:t>5</w:t>
      </w:r>
      <w:r>
        <w:rPr>
          <w:rFonts w:hint="eastAsia" w:ascii="宋体" w:hAnsi="Times New Roman" w:eastAsia="宋体" w:cs="宋体"/>
          <w:highlight w:val="none"/>
          <w:lang w:val="en-US" w:eastAsia="zh-CN"/>
        </w:rPr>
        <w:t>.此表可自行扩展。</w:t>
      </w:r>
    </w:p>
    <w:p w14:paraId="17AE17D6">
      <w:pPr>
        <w:rPr>
          <w:rFonts w:hint="eastAsia" w:ascii="宋体" w:hAnsi="Times New Roman" w:eastAsia="宋体" w:cs="宋体"/>
          <w:highlight w:val="none"/>
          <w:lang w:val="en-US" w:eastAsia="zh-CN"/>
        </w:rPr>
      </w:pPr>
      <w:r>
        <w:rPr>
          <w:rFonts w:hint="eastAsia" w:ascii="宋体" w:hAnsi="Times New Roman" w:eastAsia="宋体" w:cs="宋体"/>
          <w:highlight w:val="none"/>
          <w:lang w:val="en-US" w:eastAsia="zh-CN"/>
        </w:rPr>
        <w:br w:type="page"/>
      </w:r>
    </w:p>
    <w:p w14:paraId="66D0EF77">
      <w:pPr>
        <w:numPr>
          <w:ilvl w:val="0"/>
          <w:numId w:val="0"/>
        </w:numPr>
        <w:autoSpaceDE w:val="0"/>
        <w:autoSpaceDN w:val="0"/>
        <w:adjustRightInd w:val="0"/>
        <w:spacing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纳入节能产品政府采购清单的投标产品及纳入环境标志产品</w:t>
      </w:r>
    </w:p>
    <w:p w14:paraId="52879710">
      <w:pPr>
        <w:numPr>
          <w:ilvl w:val="0"/>
          <w:numId w:val="0"/>
        </w:numPr>
        <w:autoSpaceDE w:val="0"/>
        <w:autoSpaceDN w:val="0"/>
        <w:adjustRightInd w:val="0"/>
        <w:spacing w:line="360" w:lineRule="auto"/>
        <w:jc w:val="center"/>
        <w:rPr>
          <w:rFonts w:hint="eastAsia" w:ascii="宋体" w:hAnsi="宋体" w:eastAsia="宋体" w:cs="宋体"/>
          <w:b/>
          <w:bCs/>
          <w:color w:val="auto"/>
          <w:kern w:val="0"/>
          <w:sz w:val="24"/>
          <w:szCs w:val="24"/>
          <w:highlight w:val="none"/>
          <w:lang w:eastAsia="zh-CN"/>
        </w:rPr>
      </w:pPr>
      <w:r>
        <w:rPr>
          <w:rFonts w:hint="eastAsia" w:ascii="宋体" w:hAnsi="宋体" w:eastAsia="宋体" w:cs="宋体"/>
          <w:b/>
          <w:bCs/>
          <w:color w:val="auto"/>
          <w:kern w:val="0"/>
          <w:sz w:val="24"/>
          <w:szCs w:val="24"/>
          <w:highlight w:val="none"/>
        </w:rPr>
        <w:t>政府采购清单的投标产品的证明材料</w:t>
      </w:r>
      <w:r>
        <w:rPr>
          <w:rFonts w:hint="eastAsia" w:ascii="宋体" w:hAnsi="宋体" w:eastAsia="宋体" w:cs="宋体"/>
          <w:b/>
          <w:bCs/>
          <w:color w:val="auto"/>
          <w:kern w:val="0"/>
          <w:sz w:val="24"/>
          <w:szCs w:val="24"/>
          <w:highlight w:val="none"/>
          <w:lang w:eastAsia="zh-CN"/>
        </w:rPr>
        <w:t>（如是，请提供）</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185"/>
        <w:gridCol w:w="2387"/>
        <w:gridCol w:w="1075"/>
        <w:gridCol w:w="2644"/>
        <w:gridCol w:w="884"/>
      </w:tblGrid>
      <w:tr w14:paraId="4BCFC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8" w:type="dxa"/>
            <w:noWrap w:val="0"/>
            <w:vAlign w:val="center"/>
          </w:tcPr>
          <w:p w14:paraId="3940914F">
            <w:pPr>
              <w:autoSpaceDE w:val="0"/>
              <w:autoSpaceDN w:val="0"/>
              <w:adjustRightIn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项目名称</w:t>
            </w:r>
          </w:p>
        </w:tc>
        <w:tc>
          <w:tcPr>
            <w:tcW w:w="1185" w:type="dxa"/>
            <w:noWrap w:val="0"/>
            <w:vAlign w:val="center"/>
          </w:tcPr>
          <w:p w14:paraId="4CE313F4">
            <w:pPr>
              <w:autoSpaceDE w:val="0"/>
              <w:autoSpaceDN w:val="0"/>
              <w:adjustRightIn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项目编码</w:t>
            </w:r>
          </w:p>
        </w:tc>
        <w:tc>
          <w:tcPr>
            <w:tcW w:w="2387" w:type="dxa"/>
            <w:noWrap w:val="0"/>
            <w:vAlign w:val="center"/>
          </w:tcPr>
          <w:p w14:paraId="2089CF05">
            <w:pPr>
              <w:autoSpaceDE w:val="0"/>
              <w:autoSpaceDN w:val="0"/>
              <w:adjustRightIn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是否纳入节能产品政府采购清单的投标产品</w:t>
            </w:r>
          </w:p>
        </w:tc>
        <w:tc>
          <w:tcPr>
            <w:tcW w:w="1075" w:type="dxa"/>
            <w:noWrap w:val="0"/>
            <w:vAlign w:val="center"/>
          </w:tcPr>
          <w:p w14:paraId="39B40DD3">
            <w:pPr>
              <w:autoSpaceDE w:val="0"/>
              <w:autoSpaceDN w:val="0"/>
              <w:adjustRightIn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金额（元）</w:t>
            </w:r>
          </w:p>
        </w:tc>
        <w:tc>
          <w:tcPr>
            <w:tcW w:w="2644" w:type="dxa"/>
            <w:noWrap w:val="0"/>
            <w:vAlign w:val="center"/>
          </w:tcPr>
          <w:p w14:paraId="3A992454">
            <w:pPr>
              <w:autoSpaceDE w:val="0"/>
              <w:autoSpaceDN w:val="0"/>
              <w:adjustRightIn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是否纳入环境标志产品政府采购清单的投标产品</w:t>
            </w:r>
          </w:p>
        </w:tc>
        <w:tc>
          <w:tcPr>
            <w:tcW w:w="884" w:type="dxa"/>
            <w:noWrap w:val="0"/>
            <w:vAlign w:val="center"/>
          </w:tcPr>
          <w:p w14:paraId="593903EF">
            <w:pPr>
              <w:autoSpaceDE w:val="0"/>
              <w:autoSpaceDN w:val="0"/>
              <w:adjustRightIn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金额（元）</w:t>
            </w:r>
          </w:p>
        </w:tc>
      </w:tr>
      <w:tr w14:paraId="10FCF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8" w:type="dxa"/>
            <w:noWrap w:val="0"/>
            <w:vAlign w:val="top"/>
          </w:tcPr>
          <w:p w14:paraId="0AA63D64">
            <w:pPr>
              <w:autoSpaceDE w:val="0"/>
              <w:autoSpaceDN w:val="0"/>
              <w:adjustRightIn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185" w:type="dxa"/>
            <w:noWrap w:val="0"/>
            <w:vAlign w:val="top"/>
          </w:tcPr>
          <w:p w14:paraId="52BB8C43">
            <w:pPr>
              <w:autoSpaceDE w:val="0"/>
              <w:autoSpaceDN w:val="0"/>
              <w:adjustRightInd w:val="0"/>
              <w:spacing w:line="360" w:lineRule="auto"/>
              <w:rPr>
                <w:rFonts w:hint="eastAsia" w:ascii="宋体" w:hAnsi="宋体" w:eastAsia="宋体" w:cs="宋体"/>
                <w:color w:val="auto"/>
                <w:kern w:val="0"/>
                <w:sz w:val="21"/>
                <w:szCs w:val="21"/>
                <w:highlight w:val="none"/>
              </w:rPr>
            </w:pPr>
          </w:p>
        </w:tc>
        <w:tc>
          <w:tcPr>
            <w:tcW w:w="2387" w:type="dxa"/>
            <w:noWrap w:val="0"/>
            <w:vAlign w:val="top"/>
          </w:tcPr>
          <w:p w14:paraId="0E3D999E">
            <w:pPr>
              <w:autoSpaceDE w:val="0"/>
              <w:autoSpaceDN w:val="0"/>
              <w:adjustRightInd w:val="0"/>
              <w:spacing w:line="360" w:lineRule="auto"/>
              <w:rPr>
                <w:rFonts w:hint="eastAsia" w:ascii="宋体" w:hAnsi="宋体" w:eastAsia="宋体" w:cs="宋体"/>
                <w:color w:val="auto"/>
                <w:kern w:val="0"/>
                <w:sz w:val="21"/>
                <w:szCs w:val="21"/>
                <w:highlight w:val="none"/>
              </w:rPr>
            </w:pPr>
          </w:p>
        </w:tc>
        <w:tc>
          <w:tcPr>
            <w:tcW w:w="1075" w:type="dxa"/>
            <w:noWrap w:val="0"/>
            <w:vAlign w:val="top"/>
          </w:tcPr>
          <w:p w14:paraId="72D782A8">
            <w:pPr>
              <w:autoSpaceDE w:val="0"/>
              <w:autoSpaceDN w:val="0"/>
              <w:adjustRightInd w:val="0"/>
              <w:spacing w:line="360" w:lineRule="auto"/>
              <w:rPr>
                <w:rFonts w:hint="eastAsia" w:ascii="宋体" w:hAnsi="宋体" w:eastAsia="宋体" w:cs="宋体"/>
                <w:color w:val="auto"/>
                <w:kern w:val="0"/>
                <w:sz w:val="21"/>
                <w:szCs w:val="21"/>
                <w:highlight w:val="none"/>
              </w:rPr>
            </w:pPr>
          </w:p>
        </w:tc>
        <w:tc>
          <w:tcPr>
            <w:tcW w:w="2644" w:type="dxa"/>
            <w:noWrap w:val="0"/>
            <w:vAlign w:val="top"/>
          </w:tcPr>
          <w:p w14:paraId="5BCE34AE">
            <w:pPr>
              <w:autoSpaceDE w:val="0"/>
              <w:autoSpaceDN w:val="0"/>
              <w:adjustRightInd w:val="0"/>
              <w:spacing w:line="360" w:lineRule="auto"/>
              <w:rPr>
                <w:rFonts w:hint="eastAsia" w:ascii="宋体" w:hAnsi="宋体" w:eastAsia="宋体" w:cs="宋体"/>
                <w:color w:val="auto"/>
                <w:kern w:val="0"/>
                <w:sz w:val="21"/>
                <w:szCs w:val="21"/>
                <w:highlight w:val="none"/>
              </w:rPr>
            </w:pPr>
          </w:p>
        </w:tc>
        <w:tc>
          <w:tcPr>
            <w:tcW w:w="884" w:type="dxa"/>
            <w:noWrap w:val="0"/>
            <w:vAlign w:val="top"/>
          </w:tcPr>
          <w:p w14:paraId="3FF810EE">
            <w:pPr>
              <w:autoSpaceDE w:val="0"/>
              <w:autoSpaceDN w:val="0"/>
              <w:adjustRightInd w:val="0"/>
              <w:spacing w:line="360" w:lineRule="auto"/>
              <w:rPr>
                <w:rFonts w:hint="eastAsia" w:ascii="宋体" w:hAnsi="宋体" w:eastAsia="宋体" w:cs="宋体"/>
                <w:color w:val="auto"/>
                <w:kern w:val="0"/>
                <w:sz w:val="21"/>
                <w:szCs w:val="21"/>
                <w:highlight w:val="none"/>
              </w:rPr>
            </w:pPr>
          </w:p>
        </w:tc>
      </w:tr>
      <w:tr w14:paraId="060F9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8" w:type="dxa"/>
            <w:noWrap w:val="0"/>
            <w:vAlign w:val="top"/>
          </w:tcPr>
          <w:p w14:paraId="1565E0BE">
            <w:pPr>
              <w:autoSpaceDE w:val="0"/>
              <w:autoSpaceDN w:val="0"/>
              <w:adjustRightIn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1185" w:type="dxa"/>
            <w:noWrap w:val="0"/>
            <w:vAlign w:val="top"/>
          </w:tcPr>
          <w:p w14:paraId="7F409E97">
            <w:pPr>
              <w:autoSpaceDE w:val="0"/>
              <w:autoSpaceDN w:val="0"/>
              <w:adjustRightInd w:val="0"/>
              <w:spacing w:line="360" w:lineRule="auto"/>
              <w:rPr>
                <w:rFonts w:hint="eastAsia" w:ascii="宋体" w:hAnsi="宋体" w:eastAsia="宋体" w:cs="宋体"/>
                <w:color w:val="auto"/>
                <w:kern w:val="0"/>
                <w:sz w:val="21"/>
                <w:szCs w:val="21"/>
                <w:highlight w:val="none"/>
              </w:rPr>
            </w:pPr>
          </w:p>
        </w:tc>
        <w:tc>
          <w:tcPr>
            <w:tcW w:w="2387" w:type="dxa"/>
            <w:noWrap w:val="0"/>
            <w:vAlign w:val="top"/>
          </w:tcPr>
          <w:p w14:paraId="6259F833">
            <w:pPr>
              <w:autoSpaceDE w:val="0"/>
              <w:autoSpaceDN w:val="0"/>
              <w:adjustRightInd w:val="0"/>
              <w:spacing w:line="360" w:lineRule="auto"/>
              <w:rPr>
                <w:rFonts w:hint="eastAsia" w:ascii="宋体" w:hAnsi="宋体" w:eastAsia="宋体" w:cs="宋体"/>
                <w:color w:val="auto"/>
                <w:kern w:val="0"/>
                <w:sz w:val="21"/>
                <w:szCs w:val="21"/>
                <w:highlight w:val="none"/>
              </w:rPr>
            </w:pPr>
          </w:p>
        </w:tc>
        <w:tc>
          <w:tcPr>
            <w:tcW w:w="1075" w:type="dxa"/>
            <w:noWrap w:val="0"/>
            <w:vAlign w:val="top"/>
          </w:tcPr>
          <w:p w14:paraId="12CCC11D">
            <w:pPr>
              <w:autoSpaceDE w:val="0"/>
              <w:autoSpaceDN w:val="0"/>
              <w:adjustRightInd w:val="0"/>
              <w:spacing w:line="360" w:lineRule="auto"/>
              <w:rPr>
                <w:rFonts w:hint="eastAsia" w:ascii="宋体" w:hAnsi="宋体" w:eastAsia="宋体" w:cs="宋体"/>
                <w:color w:val="auto"/>
                <w:kern w:val="0"/>
                <w:sz w:val="21"/>
                <w:szCs w:val="21"/>
                <w:highlight w:val="none"/>
              </w:rPr>
            </w:pPr>
          </w:p>
        </w:tc>
        <w:tc>
          <w:tcPr>
            <w:tcW w:w="2644" w:type="dxa"/>
            <w:noWrap w:val="0"/>
            <w:vAlign w:val="top"/>
          </w:tcPr>
          <w:p w14:paraId="7A11C5D7">
            <w:pPr>
              <w:autoSpaceDE w:val="0"/>
              <w:autoSpaceDN w:val="0"/>
              <w:adjustRightInd w:val="0"/>
              <w:spacing w:line="360" w:lineRule="auto"/>
              <w:rPr>
                <w:rFonts w:hint="eastAsia" w:ascii="宋体" w:hAnsi="宋体" w:eastAsia="宋体" w:cs="宋体"/>
                <w:color w:val="auto"/>
                <w:kern w:val="0"/>
                <w:sz w:val="21"/>
                <w:szCs w:val="21"/>
                <w:highlight w:val="none"/>
              </w:rPr>
            </w:pPr>
          </w:p>
        </w:tc>
        <w:tc>
          <w:tcPr>
            <w:tcW w:w="884" w:type="dxa"/>
            <w:noWrap w:val="0"/>
            <w:vAlign w:val="top"/>
          </w:tcPr>
          <w:p w14:paraId="4323F1F8">
            <w:pPr>
              <w:autoSpaceDE w:val="0"/>
              <w:autoSpaceDN w:val="0"/>
              <w:adjustRightInd w:val="0"/>
              <w:spacing w:line="360" w:lineRule="auto"/>
              <w:rPr>
                <w:rFonts w:hint="eastAsia" w:ascii="宋体" w:hAnsi="宋体" w:eastAsia="宋体" w:cs="宋体"/>
                <w:color w:val="auto"/>
                <w:kern w:val="0"/>
                <w:sz w:val="21"/>
                <w:szCs w:val="21"/>
                <w:highlight w:val="none"/>
              </w:rPr>
            </w:pPr>
          </w:p>
        </w:tc>
      </w:tr>
      <w:tr w14:paraId="23B51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8" w:type="dxa"/>
            <w:noWrap w:val="0"/>
            <w:vAlign w:val="top"/>
          </w:tcPr>
          <w:p w14:paraId="3692AB82">
            <w:pPr>
              <w:autoSpaceDE w:val="0"/>
              <w:autoSpaceDN w:val="0"/>
              <w:adjustRightIn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1185" w:type="dxa"/>
            <w:noWrap w:val="0"/>
            <w:vAlign w:val="top"/>
          </w:tcPr>
          <w:p w14:paraId="3C7ACB7E">
            <w:pPr>
              <w:autoSpaceDE w:val="0"/>
              <w:autoSpaceDN w:val="0"/>
              <w:adjustRightInd w:val="0"/>
              <w:spacing w:line="360" w:lineRule="auto"/>
              <w:rPr>
                <w:rFonts w:hint="eastAsia" w:ascii="宋体" w:hAnsi="宋体" w:eastAsia="宋体" w:cs="宋体"/>
                <w:color w:val="auto"/>
                <w:kern w:val="0"/>
                <w:sz w:val="21"/>
                <w:szCs w:val="21"/>
                <w:highlight w:val="none"/>
              </w:rPr>
            </w:pPr>
          </w:p>
        </w:tc>
        <w:tc>
          <w:tcPr>
            <w:tcW w:w="2387" w:type="dxa"/>
            <w:noWrap w:val="0"/>
            <w:vAlign w:val="top"/>
          </w:tcPr>
          <w:p w14:paraId="239EBDC0">
            <w:pPr>
              <w:autoSpaceDE w:val="0"/>
              <w:autoSpaceDN w:val="0"/>
              <w:adjustRightInd w:val="0"/>
              <w:spacing w:line="360" w:lineRule="auto"/>
              <w:rPr>
                <w:rFonts w:hint="eastAsia" w:ascii="宋体" w:hAnsi="宋体" w:eastAsia="宋体" w:cs="宋体"/>
                <w:color w:val="auto"/>
                <w:kern w:val="0"/>
                <w:sz w:val="21"/>
                <w:szCs w:val="21"/>
                <w:highlight w:val="none"/>
              </w:rPr>
            </w:pPr>
          </w:p>
        </w:tc>
        <w:tc>
          <w:tcPr>
            <w:tcW w:w="1075" w:type="dxa"/>
            <w:noWrap w:val="0"/>
            <w:vAlign w:val="top"/>
          </w:tcPr>
          <w:p w14:paraId="1125F2F1">
            <w:pPr>
              <w:autoSpaceDE w:val="0"/>
              <w:autoSpaceDN w:val="0"/>
              <w:adjustRightInd w:val="0"/>
              <w:spacing w:line="360" w:lineRule="auto"/>
              <w:rPr>
                <w:rFonts w:hint="eastAsia" w:ascii="宋体" w:hAnsi="宋体" w:eastAsia="宋体" w:cs="宋体"/>
                <w:color w:val="auto"/>
                <w:kern w:val="0"/>
                <w:sz w:val="21"/>
                <w:szCs w:val="21"/>
                <w:highlight w:val="none"/>
              </w:rPr>
            </w:pPr>
          </w:p>
        </w:tc>
        <w:tc>
          <w:tcPr>
            <w:tcW w:w="2644" w:type="dxa"/>
            <w:noWrap w:val="0"/>
            <w:vAlign w:val="top"/>
          </w:tcPr>
          <w:p w14:paraId="64B5B1FD">
            <w:pPr>
              <w:autoSpaceDE w:val="0"/>
              <w:autoSpaceDN w:val="0"/>
              <w:adjustRightInd w:val="0"/>
              <w:spacing w:line="360" w:lineRule="auto"/>
              <w:rPr>
                <w:rFonts w:hint="eastAsia" w:ascii="宋体" w:hAnsi="宋体" w:eastAsia="宋体" w:cs="宋体"/>
                <w:color w:val="auto"/>
                <w:kern w:val="0"/>
                <w:sz w:val="21"/>
                <w:szCs w:val="21"/>
                <w:highlight w:val="none"/>
              </w:rPr>
            </w:pPr>
          </w:p>
        </w:tc>
        <w:tc>
          <w:tcPr>
            <w:tcW w:w="884" w:type="dxa"/>
            <w:noWrap w:val="0"/>
            <w:vAlign w:val="top"/>
          </w:tcPr>
          <w:p w14:paraId="416D3BBB">
            <w:pPr>
              <w:autoSpaceDE w:val="0"/>
              <w:autoSpaceDN w:val="0"/>
              <w:adjustRightInd w:val="0"/>
              <w:spacing w:line="360" w:lineRule="auto"/>
              <w:rPr>
                <w:rFonts w:hint="eastAsia" w:ascii="宋体" w:hAnsi="宋体" w:eastAsia="宋体" w:cs="宋体"/>
                <w:color w:val="auto"/>
                <w:kern w:val="0"/>
                <w:sz w:val="21"/>
                <w:szCs w:val="21"/>
                <w:highlight w:val="none"/>
              </w:rPr>
            </w:pPr>
          </w:p>
        </w:tc>
      </w:tr>
      <w:tr w14:paraId="620B3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8" w:type="dxa"/>
            <w:noWrap w:val="0"/>
            <w:vAlign w:val="top"/>
          </w:tcPr>
          <w:p w14:paraId="0A940677">
            <w:pPr>
              <w:autoSpaceDE w:val="0"/>
              <w:autoSpaceDN w:val="0"/>
              <w:adjustRightIn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1185" w:type="dxa"/>
            <w:noWrap w:val="0"/>
            <w:vAlign w:val="top"/>
          </w:tcPr>
          <w:p w14:paraId="1DE7D0C1">
            <w:pPr>
              <w:autoSpaceDE w:val="0"/>
              <w:autoSpaceDN w:val="0"/>
              <w:adjustRightInd w:val="0"/>
              <w:spacing w:line="360" w:lineRule="auto"/>
              <w:rPr>
                <w:rFonts w:hint="eastAsia" w:ascii="宋体" w:hAnsi="宋体" w:eastAsia="宋体" w:cs="宋体"/>
                <w:color w:val="auto"/>
                <w:kern w:val="0"/>
                <w:sz w:val="21"/>
                <w:szCs w:val="21"/>
                <w:highlight w:val="none"/>
              </w:rPr>
            </w:pPr>
          </w:p>
        </w:tc>
        <w:tc>
          <w:tcPr>
            <w:tcW w:w="2387" w:type="dxa"/>
            <w:noWrap w:val="0"/>
            <w:vAlign w:val="top"/>
          </w:tcPr>
          <w:p w14:paraId="22C5ADDA">
            <w:pPr>
              <w:autoSpaceDE w:val="0"/>
              <w:autoSpaceDN w:val="0"/>
              <w:adjustRightInd w:val="0"/>
              <w:spacing w:line="360" w:lineRule="auto"/>
              <w:rPr>
                <w:rFonts w:hint="eastAsia" w:ascii="宋体" w:hAnsi="宋体" w:eastAsia="宋体" w:cs="宋体"/>
                <w:color w:val="auto"/>
                <w:kern w:val="0"/>
                <w:sz w:val="21"/>
                <w:szCs w:val="21"/>
                <w:highlight w:val="none"/>
              </w:rPr>
            </w:pPr>
          </w:p>
        </w:tc>
        <w:tc>
          <w:tcPr>
            <w:tcW w:w="1075" w:type="dxa"/>
            <w:noWrap w:val="0"/>
            <w:vAlign w:val="top"/>
          </w:tcPr>
          <w:p w14:paraId="24484FA1">
            <w:pPr>
              <w:autoSpaceDE w:val="0"/>
              <w:autoSpaceDN w:val="0"/>
              <w:adjustRightInd w:val="0"/>
              <w:spacing w:line="360" w:lineRule="auto"/>
              <w:rPr>
                <w:rFonts w:hint="eastAsia" w:ascii="宋体" w:hAnsi="宋体" w:eastAsia="宋体" w:cs="宋体"/>
                <w:color w:val="auto"/>
                <w:kern w:val="0"/>
                <w:sz w:val="21"/>
                <w:szCs w:val="21"/>
                <w:highlight w:val="none"/>
              </w:rPr>
            </w:pPr>
          </w:p>
        </w:tc>
        <w:tc>
          <w:tcPr>
            <w:tcW w:w="2644" w:type="dxa"/>
            <w:noWrap w:val="0"/>
            <w:vAlign w:val="top"/>
          </w:tcPr>
          <w:p w14:paraId="582E83ED">
            <w:pPr>
              <w:autoSpaceDE w:val="0"/>
              <w:autoSpaceDN w:val="0"/>
              <w:adjustRightInd w:val="0"/>
              <w:spacing w:line="360" w:lineRule="auto"/>
              <w:rPr>
                <w:rFonts w:hint="eastAsia" w:ascii="宋体" w:hAnsi="宋体" w:eastAsia="宋体" w:cs="宋体"/>
                <w:color w:val="auto"/>
                <w:kern w:val="0"/>
                <w:sz w:val="21"/>
                <w:szCs w:val="21"/>
                <w:highlight w:val="none"/>
              </w:rPr>
            </w:pPr>
          </w:p>
        </w:tc>
        <w:tc>
          <w:tcPr>
            <w:tcW w:w="884" w:type="dxa"/>
            <w:noWrap w:val="0"/>
            <w:vAlign w:val="top"/>
          </w:tcPr>
          <w:p w14:paraId="5ADB3C4B">
            <w:pPr>
              <w:autoSpaceDE w:val="0"/>
              <w:autoSpaceDN w:val="0"/>
              <w:adjustRightInd w:val="0"/>
              <w:spacing w:line="360" w:lineRule="auto"/>
              <w:rPr>
                <w:rFonts w:hint="eastAsia" w:ascii="宋体" w:hAnsi="宋体" w:eastAsia="宋体" w:cs="宋体"/>
                <w:color w:val="auto"/>
                <w:kern w:val="0"/>
                <w:sz w:val="21"/>
                <w:szCs w:val="21"/>
                <w:highlight w:val="none"/>
              </w:rPr>
            </w:pPr>
          </w:p>
        </w:tc>
      </w:tr>
      <w:tr w14:paraId="69260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8" w:type="dxa"/>
            <w:noWrap w:val="0"/>
            <w:vAlign w:val="top"/>
          </w:tcPr>
          <w:p w14:paraId="14734226">
            <w:pPr>
              <w:autoSpaceDE w:val="0"/>
              <w:autoSpaceDN w:val="0"/>
              <w:adjustRightIn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p>
        </w:tc>
        <w:tc>
          <w:tcPr>
            <w:tcW w:w="1185" w:type="dxa"/>
            <w:noWrap w:val="0"/>
            <w:vAlign w:val="top"/>
          </w:tcPr>
          <w:p w14:paraId="5BE0D7C6">
            <w:pPr>
              <w:autoSpaceDE w:val="0"/>
              <w:autoSpaceDN w:val="0"/>
              <w:adjustRightInd w:val="0"/>
              <w:spacing w:line="360" w:lineRule="auto"/>
              <w:rPr>
                <w:rFonts w:hint="eastAsia" w:ascii="宋体" w:hAnsi="宋体" w:eastAsia="宋体" w:cs="宋体"/>
                <w:color w:val="auto"/>
                <w:kern w:val="0"/>
                <w:sz w:val="21"/>
                <w:szCs w:val="21"/>
                <w:highlight w:val="none"/>
              </w:rPr>
            </w:pPr>
          </w:p>
        </w:tc>
        <w:tc>
          <w:tcPr>
            <w:tcW w:w="2387" w:type="dxa"/>
            <w:noWrap w:val="0"/>
            <w:vAlign w:val="top"/>
          </w:tcPr>
          <w:p w14:paraId="6755CE2C">
            <w:pPr>
              <w:autoSpaceDE w:val="0"/>
              <w:autoSpaceDN w:val="0"/>
              <w:adjustRightInd w:val="0"/>
              <w:spacing w:line="360" w:lineRule="auto"/>
              <w:rPr>
                <w:rFonts w:hint="eastAsia" w:ascii="宋体" w:hAnsi="宋体" w:eastAsia="宋体" w:cs="宋体"/>
                <w:color w:val="auto"/>
                <w:kern w:val="0"/>
                <w:sz w:val="21"/>
                <w:szCs w:val="21"/>
                <w:highlight w:val="none"/>
              </w:rPr>
            </w:pPr>
          </w:p>
        </w:tc>
        <w:tc>
          <w:tcPr>
            <w:tcW w:w="1075" w:type="dxa"/>
            <w:noWrap w:val="0"/>
            <w:vAlign w:val="top"/>
          </w:tcPr>
          <w:p w14:paraId="5F8C268A">
            <w:pPr>
              <w:autoSpaceDE w:val="0"/>
              <w:autoSpaceDN w:val="0"/>
              <w:adjustRightInd w:val="0"/>
              <w:spacing w:line="360" w:lineRule="auto"/>
              <w:rPr>
                <w:rFonts w:hint="eastAsia" w:ascii="宋体" w:hAnsi="宋体" w:eastAsia="宋体" w:cs="宋体"/>
                <w:color w:val="auto"/>
                <w:kern w:val="0"/>
                <w:sz w:val="21"/>
                <w:szCs w:val="21"/>
                <w:highlight w:val="none"/>
              </w:rPr>
            </w:pPr>
          </w:p>
        </w:tc>
        <w:tc>
          <w:tcPr>
            <w:tcW w:w="2644" w:type="dxa"/>
            <w:noWrap w:val="0"/>
            <w:vAlign w:val="top"/>
          </w:tcPr>
          <w:p w14:paraId="5F794570">
            <w:pPr>
              <w:autoSpaceDE w:val="0"/>
              <w:autoSpaceDN w:val="0"/>
              <w:adjustRightInd w:val="0"/>
              <w:spacing w:line="360" w:lineRule="auto"/>
              <w:rPr>
                <w:rFonts w:hint="eastAsia" w:ascii="宋体" w:hAnsi="宋体" w:eastAsia="宋体" w:cs="宋体"/>
                <w:color w:val="auto"/>
                <w:kern w:val="0"/>
                <w:sz w:val="21"/>
                <w:szCs w:val="21"/>
                <w:highlight w:val="none"/>
              </w:rPr>
            </w:pPr>
          </w:p>
        </w:tc>
        <w:tc>
          <w:tcPr>
            <w:tcW w:w="884" w:type="dxa"/>
            <w:noWrap w:val="0"/>
            <w:vAlign w:val="top"/>
          </w:tcPr>
          <w:p w14:paraId="7A471025">
            <w:pPr>
              <w:autoSpaceDE w:val="0"/>
              <w:autoSpaceDN w:val="0"/>
              <w:adjustRightInd w:val="0"/>
              <w:spacing w:line="360" w:lineRule="auto"/>
              <w:rPr>
                <w:rFonts w:hint="eastAsia" w:ascii="宋体" w:hAnsi="宋体" w:eastAsia="宋体" w:cs="宋体"/>
                <w:color w:val="auto"/>
                <w:kern w:val="0"/>
                <w:sz w:val="21"/>
                <w:szCs w:val="21"/>
                <w:highlight w:val="none"/>
              </w:rPr>
            </w:pPr>
          </w:p>
        </w:tc>
      </w:tr>
      <w:tr w14:paraId="38533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8" w:type="dxa"/>
            <w:noWrap w:val="0"/>
            <w:vAlign w:val="top"/>
          </w:tcPr>
          <w:p w14:paraId="2E1978AC">
            <w:pPr>
              <w:autoSpaceDE w:val="0"/>
              <w:autoSpaceDN w:val="0"/>
              <w:adjustRightIn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w:t>
            </w:r>
          </w:p>
        </w:tc>
        <w:tc>
          <w:tcPr>
            <w:tcW w:w="1185" w:type="dxa"/>
            <w:noWrap w:val="0"/>
            <w:vAlign w:val="top"/>
          </w:tcPr>
          <w:p w14:paraId="79B244FD">
            <w:pPr>
              <w:autoSpaceDE w:val="0"/>
              <w:autoSpaceDN w:val="0"/>
              <w:adjustRightInd w:val="0"/>
              <w:spacing w:line="360" w:lineRule="auto"/>
              <w:rPr>
                <w:rFonts w:hint="eastAsia" w:ascii="宋体" w:hAnsi="宋体" w:eastAsia="宋体" w:cs="宋体"/>
                <w:color w:val="auto"/>
                <w:kern w:val="0"/>
                <w:sz w:val="21"/>
                <w:szCs w:val="21"/>
                <w:highlight w:val="none"/>
              </w:rPr>
            </w:pPr>
          </w:p>
        </w:tc>
        <w:tc>
          <w:tcPr>
            <w:tcW w:w="2387" w:type="dxa"/>
            <w:noWrap w:val="0"/>
            <w:vAlign w:val="top"/>
          </w:tcPr>
          <w:p w14:paraId="00D2019F">
            <w:pPr>
              <w:autoSpaceDE w:val="0"/>
              <w:autoSpaceDN w:val="0"/>
              <w:adjustRightInd w:val="0"/>
              <w:spacing w:line="360" w:lineRule="auto"/>
              <w:rPr>
                <w:rFonts w:hint="eastAsia" w:ascii="宋体" w:hAnsi="宋体" w:eastAsia="宋体" w:cs="宋体"/>
                <w:color w:val="auto"/>
                <w:kern w:val="0"/>
                <w:sz w:val="21"/>
                <w:szCs w:val="21"/>
                <w:highlight w:val="none"/>
              </w:rPr>
            </w:pPr>
          </w:p>
        </w:tc>
        <w:tc>
          <w:tcPr>
            <w:tcW w:w="1075" w:type="dxa"/>
            <w:noWrap w:val="0"/>
            <w:vAlign w:val="top"/>
          </w:tcPr>
          <w:p w14:paraId="5465DC9C">
            <w:pPr>
              <w:autoSpaceDE w:val="0"/>
              <w:autoSpaceDN w:val="0"/>
              <w:adjustRightInd w:val="0"/>
              <w:spacing w:line="360" w:lineRule="auto"/>
              <w:rPr>
                <w:rFonts w:hint="eastAsia" w:ascii="宋体" w:hAnsi="宋体" w:eastAsia="宋体" w:cs="宋体"/>
                <w:color w:val="auto"/>
                <w:kern w:val="0"/>
                <w:sz w:val="21"/>
                <w:szCs w:val="21"/>
                <w:highlight w:val="none"/>
              </w:rPr>
            </w:pPr>
          </w:p>
        </w:tc>
        <w:tc>
          <w:tcPr>
            <w:tcW w:w="2644" w:type="dxa"/>
            <w:noWrap w:val="0"/>
            <w:vAlign w:val="top"/>
          </w:tcPr>
          <w:p w14:paraId="52445A26">
            <w:pPr>
              <w:autoSpaceDE w:val="0"/>
              <w:autoSpaceDN w:val="0"/>
              <w:adjustRightInd w:val="0"/>
              <w:spacing w:line="360" w:lineRule="auto"/>
              <w:rPr>
                <w:rFonts w:hint="eastAsia" w:ascii="宋体" w:hAnsi="宋体" w:eastAsia="宋体" w:cs="宋体"/>
                <w:color w:val="auto"/>
                <w:kern w:val="0"/>
                <w:sz w:val="21"/>
                <w:szCs w:val="21"/>
                <w:highlight w:val="none"/>
              </w:rPr>
            </w:pPr>
          </w:p>
        </w:tc>
        <w:tc>
          <w:tcPr>
            <w:tcW w:w="884" w:type="dxa"/>
            <w:noWrap w:val="0"/>
            <w:vAlign w:val="top"/>
          </w:tcPr>
          <w:p w14:paraId="3B348C0D">
            <w:pPr>
              <w:autoSpaceDE w:val="0"/>
              <w:autoSpaceDN w:val="0"/>
              <w:adjustRightInd w:val="0"/>
              <w:spacing w:line="360" w:lineRule="auto"/>
              <w:rPr>
                <w:rFonts w:hint="eastAsia" w:ascii="宋体" w:hAnsi="宋体" w:eastAsia="宋体" w:cs="宋体"/>
                <w:color w:val="auto"/>
                <w:kern w:val="0"/>
                <w:sz w:val="21"/>
                <w:szCs w:val="21"/>
                <w:highlight w:val="none"/>
              </w:rPr>
            </w:pPr>
          </w:p>
        </w:tc>
      </w:tr>
      <w:tr w14:paraId="744CF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8" w:type="dxa"/>
            <w:noWrap w:val="0"/>
            <w:vAlign w:val="top"/>
          </w:tcPr>
          <w:p w14:paraId="7AE02381">
            <w:pPr>
              <w:autoSpaceDE w:val="0"/>
              <w:autoSpaceDN w:val="0"/>
              <w:adjustRightIn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w:t>
            </w:r>
          </w:p>
        </w:tc>
        <w:tc>
          <w:tcPr>
            <w:tcW w:w="1185" w:type="dxa"/>
            <w:noWrap w:val="0"/>
            <w:vAlign w:val="top"/>
          </w:tcPr>
          <w:p w14:paraId="435B2376">
            <w:pPr>
              <w:autoSpaceDE w:val="0"/>
              <w:autoSpaceDN w:val="0"/>
              <w:adjustRightInd w:val="0"/>
              <w:spacing w:line="360" w:lineRule="auto"/>
              <w:rPr>
                <w:rFonts w:hint="eastAsia" w:ascii="宋体" w:hAnsi="宋体" w:eastAsia="宋体" w:cs="宋体"/>
                <w:color w:val="auto"/>
                <w:kern w:val="0"/>
                <w:sz w:val="21"/>
                <w:szCs w:val="21"/>
                <w:highlight w:val="none"/>
              </w:rPr>
            </w:pPr>
          </w:p>
        </w:tc>
        <w:tc>
          <w:tcPr>
            <w:tcW w:w="2387" w:type="dxa"/>
            <w:noWrap w:val="0"/>
            <w:vAlign w:val="top"/>
          </w:tcPr>
          <w:p w14:paraId="3E5AF916">
            <w:pPr>
              <w:autoSpaceDE w:val="0"/>
              <w:autoSpaceDN w:val="0"/>
              <w:adjustRightInd w:val="0"/>
              <w:spacing w:line="360" w:lineRule="auto"/>
              <w:rPr>
                <w:rFonts w:hint="eastAsia" w:ascii="宋体" w:hAnsi="宋体" w:eastAsia="宋体" w:cs="宋体"/>
                <w:color w:val="auto"/>
                <w:kern w:val="0"/>
                <w:sz w:val="21"/>
                <w:szCs w:val="21"/>
                <w:highlight w:val="none"/>
              </w:rPr>
            </w:pPr>
          </w:p>
        </w:tc>
        <w:tc>
          <w:tcPr>
            <w:tcW w:w="1075" w:type="dxa"/>
            <w:noWrap w:val="0"/>
            <w:vAlign w:val="top"/>
          </w:tcPr>
          <w:p w14:paraId="34DFE620">
            <w:pPr>
              <w:autoSpaceDE w:val="0"/>
              <w:autoSpaceDN w:val="0"/>
              <w:adjustRightInd w:val="0"/>
              <w:spacing w:line="360" w:lineRule="auto"/>
              <w:rPr>
                <w:rFonts w:hint="eastAsia" w:ascii="宋体" w:hAnsi="宋体" w:eastAsia="宋体" w:cs="宋体"/>
                <w:color w:val="auto"/>
                <w:kern w:val="0"/>
                <w:sz w:val="21"/>
                <w:szCs w:val="21"/>
                <w:highlight w:val="none"/>
              </w:rPr>
            </w:pPr>
          </w:p>
        </w:tc>
        <w:tc>
          <w:tcPr>
            <w:tcW w:w="2644" w:type="dxa"/>
            <w:noWrap w:val="0"/>
            <w:vAlign w:val="top"/>
          </w:tcPr>
          <w:p w14:paraId="7A9AFEF3">
            <w:pPr>
              <w:autoSpaceDE w:val="0"/>
              <w:autoSpaceDN w:val="0"/>
              <w:adjustRightInd w:val="0"/>
              <w:spacing w:line="360" w:lineRule="auto"/>
              <w:rPr>
                <w:rFonts w:hint="eastAsia" w:ascii="宋体" w:hAnsi="宋体" w:eastAsia="宋体" w:cs="宋体"/>
                <w:color w:val="auto"/>
                <w:kern w:val="0"/>
                <w:sz w:val="21"/>
                <w:szCs w:val="21"/>
                <w:highlight w:val="none"/>
              </w:rPr>
            </w:pPr>
          </w:p>
        </w:tc>
        <w:tc>
          <w:tcPr>
            <w:tcW w:w="884" w:type="dxa"/>
            <w:noWrap w:val="0"/>
            <w:vAlign w:val="top"/>
          </w:tcPr>
          <w:p w14:paraId="6D6FE3A6">
            <w:pPr>
              <w:autoSpaceDE w:val="0"/>
              <w:autoSpaceDN w:val="0"/>
              <w:adjustRightInd w:val="0"/>
              <w:spacing w:line="360" w:lineRule="auto"/>
              <w:rPr>
                <w:rFonts w:hint="eastAsia" w:ascii="宋体" w:hAnsi="宋体" w:eastAsia="宋体" w:cs="宋体"/>
                <w:color w:val="auto"/>
                <w:kern w:val="0"/>
                <w:sz w:val="21"/>
                <w:szCs w:val="21"/>
                <w:highlight w:val="none"/>
              </w:rPr>
            </w:pPr>
          </w:p>
        </w:tc>
      </w:tr>
      <w:tr w14:paraId="4B15C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8" w:type="dxa"/>
            <w:noWrap w:val="0"/>
            <w:vAlign w:val="top"/>
          </w:tcPr>
          <w:p w14:paraId="50A04FFE">
            <w:pPr>
              <w:autoSpaceDE w:val="0"/>
              <w:autoSpaceDN w:val="0"/>
              <w:adjustRightIn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1185" w:type="dxa"/>
            <w:noWrap w:val="0"/>
            <w:vAlign w:val="top"/>
          </w:tcPr>
          <w:p w14:paraId="60D15130">
            <w:pPr>
              <w:autoSpaceDE w:val="0"/>
              <w:autoSpaceDN w:val="0"/>
              <w:adjustRightInd w:val="0"/>
              <w:spacing w:line="360" w:lineRule="auto"/>
              <w:rPr>
                <w:rFonts w:hint="eastAsia" w:ascii="宋体" w:hAnsi="宋体" w:eastAsia="宋体" w:cs="宋体"/>
                <w:color w:val="auto"/>
                <w:kern w:val="0"/>
                <w:sz w:val="21"/>
                <w:szCs w:val="21"/>
                <w:highlight w:val="none"/>
              </w:rPr>
            </w:pPr>
          </w:p>
        </w:tc>
        <w:tc>
          <w:tcPr>
            <w:tcW w:w="2387" w:type="dxa"/>
            <w:noWrap w:val="0"/>
            <w:vAlign w:val="top"/>
          </w:tcPr>
          <w:p w14:paraId="2C134F86">
            <w:pPr>
              <w:autoSpaceDE w:val="0"/>
              <w:autoSpaceDN w:val="0"/>
              <w:adjustRightInd w:val="0"/>
              <w:spacing w:line="360" w:lineRule="auto"/>
              <w:rPr>
                <w:rFonts w:hint="eastAsia" w:ascii="宋体" w:hAnsi="宋体" w:eastAsia="宋体" w:cs="宋体"/>
                <w:color w:val="auto"/>
                <w:kern w:val="0"/>
                <w:sz w:val="21"/>
                <w:szCs w:val="21"/>
                <w:highlight w:val="none"/>
              </w:rPr>
            </w:pPr>
          </w:p>
        </w:tc>
        <w:tc>
          <w:tcPr>
            <w:tcW w:w="1075" w:type="dxa"/>
            <w:noWrap w:val="0"/>
            <w:vAlign w:val="top"/>
          </w:tcPr>
          <w:p w14:paraId="12C937A8">
            <w:pPr>
              <w:autoSpaceDE w:val="0"/>
              <w:autoSpaceDN w:val="0"/>
              <w:adjustRightInd w:val="0"/>
              <w:spacing w:line="360" w:lineRule="auto"/>
              <w:rPr>
                <w:rFonts w:hint="eastAsia" w:ascii="宋体" w:hAnsi="宋体" w:eastAsia="宋体" w:cs="宋体"/>
                <w:color w:val="auto"/>
                <w:kern w:val="0"/>
                <w:sz w:val="21"/>
                <w:szCs w:val="21"/>
                <w:highlight w:val="none"/>
              </w:rPr>
            </w:pPr>
          </w:p>
        </w:tc>
        <w:tc>
          <w:tcPr>
            <w:tcW w:w="2644" w:type="dxa"/>
            <w:noWrap w:val="0"/>
            <w:vAlign w:val="top"/>
          </w:tcPr>
          <w:p w14:paraId="30CF412A">
            <w:pPr>
              <w:autoSpaceDE w:val="0"/>
              <w:autoSpaceDN w:val="0"/>
              <w:adjustRightInd w:val="0"/>
              <w:spacing w:line="360" w:lineRule="auto"/>
              <w:rPr>
                <w:rFonts w:hint="eastAsia" w:ascii="宋体" w:hAnsi="宋体" w:eastAsia="宋体" w:cs="宋体"/>
                <w:color w:val="auto"/>
                <w:kern w:val="0"/>
                <w:sz w:val="21"/>
                <w:szCs w:val="21"/>
                <w:highlight w:val="none"/>
              </w:rPr>
            </w:pPr>
          </w:p>
        </w:tc>
        <w:tc>
          <w:tcPr>
            <w:tcW w:w="884" w:type="dxa"/>
            <w:noWrap w:val="0"/>
            <w:vAlign w:val="top"/>
          </w:tcPr>
          <w:p w14:paraId="107A6634">
            <w:pPr>
              <w:autoSpaceDE w:val="0"/>
              <w:autoSpaceDN w:val="0"/>
              <w:adjustRightInd w:val="0"/>
              <w:spacing w:line="360" w:lineRule="auto"/>
              <w:rPr>
                <w:rFonts w:hint="eastAsia" w:ascii="宋体" w:hAnsi="宋体" w:eastAsia="宋体" w:cs="宋体"/>
                <w:color w:val="auto"/>
                <w:kern w:val="0"/>
                <w:sz w:val="21"/>
                <w:szCs w:val="21"/>
                <w:highlight w:val="none"/>
              </w:rPr>
            </w:pPr>
          </w:p>
        </w:tc>
      </w:tr>
      <w:tr w14:paraId="25304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8" w:type="dxa"/>
            <w:noWrap w:val="0"/>
            <w:vAlign w:val="top"/>
          </w:tcPr>
          <w:p w14:paraId="25B2DA0F">
            <w:pPr>
              <w:autoSpaceDE w:val="0"/>
              <w:autoSpaceDN w:val="0"/>
              <w:adjustRightIn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合计</w:t>
            </w:r>
          </w:p>
        </w:tc>
        <w:tc>
          <w:tcPr>
            <w:tcW w:w="1185" w:type="dxa"/>
            <w:noWrap w:val="0"/>
            <w:vAlign w:val="top"/>
          </w:tcPr>
          <w:p w14:paraId="298668F6">
            <w:pPr>
              <w:autoSpaceDE w:val="0"/>
              <w:autoSpaceDN w:val="0"/>
              <w:adjustRightInd w:val="0"/>
              <w:spacing w:line="360" w:lineRule="auto"/>
              <w:rPr>
                <w:rFonts w:hint="eastAsia" w:ascii="宋体" w:hAnsi="宋体" w:eastAsia="宋体" w:cs="宋体"/>
                <w:color w:val="auto"/>
                <w:kern w:val="0"/>
                <w:sz w:val="21"/>
                <w:szCs w:val="21"/>
                <w:highlight w:val="none"/>
              </w:rPr>
            </w:pPr>
          </w:p>
        </w:tc>
        <w:tc>
          <w:tcPr>
            <w:tcW w:w="2387" w:type="dxa"/>
            <w:noWrap w:val="0"/>
            <w:vAlign w:val="top"/>
          </w:tcPr>
          <w:p w14:paraId="0F90EABB">
            <w:pPr>
              <w:autoSpaceDE w:val="0"/>
              <w:autoSpaceDN w:val="0"/>
              <w:adjustRightInd w:val="0"/>
              <w:spacing w:line="360" w:lineRule="auto"/>
              <w:rPr>
                <w:rFonts w:hint="eastAsia" w:ascii="宋体" w:hAnsi="宋体" w:eastAsia="宋体" w:cs="宋体"/>
                <w:color w:val="auto"/>
                <w:kern w:val="0"/>
                <w:sz w:val="21"/>
                <w:szCs w:val="21"/>
                <w:highlight w:val="none"/>
              </w:rPr>
            </w:pPr>
          </w:p>
        </w:tc>
        <w:tc>
          <w:tcPr>
            <w:tcW w:w="1075" w:type="dxa"/>
            <w:noWrap w:val="0"/>
            <w:vAlign w:val="top"/>
          </w:tcPr>
          <w:p w14:paraId="1F48C782">
            <w:pPr>
              <w:autoSpaceDE w:val="0"/>
              <w:autoSpaceDN w:val="0"/>
              <w:adjustRightInd w:val="0"/>
              <w:spacing w:line="360" w:lineRule="auto"/>
              <w:jc w:val="righ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元</w:t>
            </w:r>
          </w:p>
        </w:tc>
        <w:tc>
          <w:tcPr>
            <w:tcW w:w="2644" w:type="dxa"/>
            <w:noWrap w:val="0"/>
            <w:vAlign w:val="top"/>
          </w:tcPr>
          <w:p w14:paraId="6A3ADB8D">
            <w:pPr>
              <w:autoSpaceDE w:val="0"/>
              <w:autoSpaceDN w:val="0"/>
              <w:adjustRightInd w:val="0"/>
              <w:spacing w:line="360" w:lineRule="auto"/>
              <w:rPr>
                <w:rFonts w:hint="eastAsia" w:ascii="宋体" w:hAnsi="宋体" w:eastAsia="宋体" w:cs="宋体"/>
                <w:color w:val="auto"/>
                <w:kern w:val="0"/>
                <w:sz w:val="21"/>
                <w:szCs w:val="21"/>
                <w:highlight w:val="none"/>
              </w:rPr>
            </w:pPr>
          </w:p>
        </w:tc>
        <w:tc>
          <w:tcPr>
            <w:tcW w:w="884" w:type="dxa"/>
            <w:noWrap w:val="0"/>
            <w:vAlign w:val="top"/>
          </w:tcPr>
          <w:p w14:paraId="531AB626">
            <w:pPr>
              <w:autoSpaceDE w:val="0"/>
              <w:autoSpaceDN w:val="0"/>
              <w:adjustRightInd w:val="0"/>
              <w:spacing w:line="360" w:lineRule="auto"/>
              <w:jc w:val="righ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元</w:t>
            </w:r>
          </w:p>
        </w:tc>
      </w:tr>
    </w:tbl>
    <w:p w14:paraId="6B42B0BA">
      <w:pPr>
        <w:bidi w:val="0"/>
        <w:jc w:val="center"/>
        <w:rPr>
          <w:rFonts w:hint="eastAsia"/>
          <w:lang w:val="en-US" w:eastAsia="zh-CN"/>
        </w:rPr>
      </w:pPr>
    </w:p>
    <w:p w14:paraId="2A519C05">
      <w:pPr>
        <w:rPr>
          <w:rFonts w:hint="eastAsia"/>
          <w:lang w:val="zh-CN"/>
        </w:rPr>
        <w:sectPr>
          <w:pgSz w:w="11906" w:h="16838"/>
          <w:pgMar w:top="1440" w:right="1080" w:bottom="1440" w:left="1080" w:header="708" w:footer="708" w:gutter="0"/>
          <w:pgNumType w:fmt="decimal"/>
          <w:cols w:space="720" w:num="1"/>
          <w:docGrid w:linePitch="360" w:charSpace="0"/>
        </w:sectPr>
      </w:pPr>
    </w:p>
    <w:p w14:paraId="6AEE1AAB">
      <w:pPr>
        <w:autoSpaceDE w:val="0"/>
        <w:autoSpaceDN w:val="0"/>
        <w:adjustRightInd w:val="0"/>
        <w:snapToGrid w:val="0"/>
        <w:spacing w:line="360" w:lineRule="auto"/>
        <w:jc w:val="center"/>
        <w:outlineLvl w:val="0"/>
        <w:rPr>
          <w:rFonts w:hint="eastAsia" w:ascii="宋体" w:cs="宋体-18030"/>
          <w:b/>
          <w:bCs/>
          <w:color w:val="000000"/>
          <w:kern w:val="0"/>
          <w:sz w:val="30"/>
          <w:szCs w:val="30"/>
          <w:highlight w:val="none"/>
        </w:rPr>
      </w:pPr>
      <w:bookmarkStart w:id="87" w:name="_Toc20173"/>
      <w:bookmarkStart w:id="88" w:name="_Toc13353"/>
      <w:r>
        <w:rPr>
          <w:rFonts w:hint="eastAsia" w:ascii="宋体" w:cs="宋体-18030"/>
          <w:b/>
          <w:bCs/>
          <w:color w:val="000000"/>
          <w:kern w:val="0"/>
          <w:sz w:val="30"/>
          <w:szCs w:val="30"/>
          <w:highlight w:val="none"/>
        </w:rPr>
        <w:t>三、法定代表人身份证明及授权委托书</w:t>
      </w:r>
      <w:bookmarkEnd w:id="87"/>
      <w:bookmarkEnd w:id="88"/>
    </w:p>
    <w:p w14:paraId="335A9788">
      <w:pPr>
        <w:autoSpaceDE w:val="0"/>
        <w:autoSpaceDN w:val="0"/>
        <w:adjustRightInd w:val="0"/>
        <w:snapToGrid w:val="0"/>
        <w:spacing w:line="360" w:lineRule="auto"/>
        <w:jc w:val="center"/>
        <w:rPr>
          <w:rFonts w:hint="eastAsia" w:ascii="宋体" w:cs="宋体-18030"/>
          <w:b/>
          <w:bCs/>
          <w:color w:val="000000"/>
          <w:kern w:val="0"/>
          <w:sz w:val="28"/>
          <w:szCs w:val="28"/>
          <w:highlight w:val="none"/>
        </w:rPr>
      </w:pPr>
      <w:r>
        <w:rPr>
          <w:rFonts w:hint="eastAsia" w:ascii="宋体" w:cs="宋体-18030"/>
          <w:b/>
          <w:bCs/>
          <w:color w:val="000000"/>
          <w:kern w:val="0"/>
          <w:sz w:val="24"/>
          <w:szCs w:val="24"/>
          <w:highlight w:val="none"/>
        </w:rPr>
        <w:t>(一) 法定代表人身份证明</w:t>
      </w:r>
    </w:p>
    <w:p w14:paraId="358BBFA6">
      <w:pPr>
        <w:autoSpaceDE w:val="0"/>
        <w:autoSpaceDN w:val="0"/>
        <w:adjustRightInd w:val="0"/>
        <w:snapToGrid w:val="0"/>
        <w:spacing w:line="360" w:lineRule="auto"/>
        <w:ind w:left="718" w:leftChars="342"/>
        <w:jc w:val="left"/>
        <w:rPr>
          <w:rFonts w:hint="eastAsia" w:ascii="宋体" w:cs="宋体-18030"/>
          <w:color w:val="000000"/>
          <w:kern w:val="0"/>
          <w:highlight w:val="none"/>
        </w:rPr>
      </w:pPr>
    </w:p>
    <w:p w14:paraId="28D94576">
      <w:pPr>
        <w:autoSpaceDE w:val="0"/>
        <w:autoSpaceDN w:val="0"/>
        <w:adjustRightInd w:val="0"/>
        <w:snapToGrid w:val="0"/>
        <w:spacing w:line="360" w:lineRule="auto"/>
        <w:ind w:left="718" w:leftChars="342"/>
        <w:jc w:val="left"/>
        <w:rPr>
          <w:rFonts w:hint="eastAsia" w:ascii="宋体" w:cs="宋体-18030"/>
          <w:color w:val="000000"/>
          <w:kern w:val="0"/>
          <w:highlight w:val="none"/>
          <w:u w:val="single"/>
        </w:rPr>
      </w:pPr>
      <w:r>
        <w:rPr>
          <w:rFonts w:hint="eastAsia" w:ascii="宋体" w:cs="宋体-18030"/>
          <w:color w:val="000000"/>
          <w:kern w:val="0"/>
          <w:highlight w:val="none"/>
        </w:rPr>
        <w:t>投标人名称：</w:t>
      </w:r>
    </w:p>
    <w:p w14:paraId="09A56A05">
      <w:pPr>
        <w:autoSpaceDE w:val="0"/>
        <w:autoSpaceDN w:val="0"/>
        <w:adjustRightInd w:val="0"/>
        <w:snapToGrid w:val="0"/>
        <w:spacing w:line="360" w:lineRule="auto"/>
        <w:ind w:left="718" w:leftChars="342"/>
        <w:jc w:val="left"/>
        <w:rPr>
          <w:rFonts w:hint="eastAsia" w:ascii="宋体" w:cs="宋体-18030"/>
          <w:color w:val="000000"/>
          <w:kern w:val="0"/>
          <w:highlight w:val="none"/>
          <w:u w:val="single"/>
        </w:rPr>
      </w:pPr>
      <w:r>
        <w:rPr>
          <w:rFonts w:hint="eastAsia" w:ascii="宋体" w:cs="宋体-18030"/>
          <w:color w:val="000000"/>
          <w:kern w:val="0"/>
          <w:highlight w:val="none"/>
        </w:rPr>
        <w:t>单位性质：</w:t>
      </w:r>
    </w:p>
    <w:p w14:paraId="4780745C">
      <w:pPr>
        <w:autoSpaceDE w:val="0"/>
        <w:autoSpaceDN w:val="0"/>
        <w:adjustRightInd w:val="0"/>
        <w:snapToGrid w:val="0"/>
        <w:spacing w:line="360" w:lineRule="auto"/>
        <w:ind w:left="718" w:leftChars="342"/>
        <w:jc w:val="left"/>
        <w:rPr>
          <w:rFonts w:hint="eastAsia" w:ascii="宋体" w:cs="宋体-18030"/>
          <w:color w:val="000000"/>
          <w:kern w:val="0"/>
          <w:highlight w:val="none"/>
          <w:u w:val="single"/>
        </w:rPr>
      </w:pPr>
      <w:r>
        <w:rPr>
          <w:rFonts w:hint="eastAsia" w:ascii="宋体" w:cs="宋体-18030"/>
          <w:color w:val="000000"/>
          <w:kern w:val="0"/>
          <w:highlight w:val="none"/>
        </w:rPr>
        <w:t>地址：</w:t>
      </w:r>
    </w:p>
    <w:p w14:paraId="4E570F61">
      <w:pPr>
        <w:autoSpaceDE w:val="0"/>
        <w:autoSpaceDN w:val="0"/>
        <w:adjustRightInd w:val="0"/>
        <w:snapToGrid w:val="0"/>
        <w:spacing w:line="360" w:lineRule="auto"/>
        <w:ind w:left="718" w:leftChars="342"/>
        <w:jc w:val="left"/>
        <w:rPr>
          <w:rFonts w:hint="eastAsia" w:ascii="宋体" w:cs="宋体-18030"/>
          <w:color w:val="000000"/>
          <w:kern w:val="0"/>
          <w:highlight w:val="none"/>
        </w:rPr>
      </w:pPr>
      <w:r>
        <w:rPr>
          <w:rFonts w:hint="eastAsia" w:ascii="宋体" w:cs="宋体-18030"/>
          <w:color w:val="000000"/>
          <w:kern w:val="0"/>
          <w:highlight w:val="none"/>
        </w:rPr>
        <w:t>成立时间：</w:t>
      </w:r>
      <w:r>
        <w:rPr>
          <w:rFonts w:hint="eastAsia" w:ascii="宋体" w:cs="宋体-18030"/>
          <w:color w:val="000000"/>
          <w:kern w:val="0"/>
          <w:highlight w:val="none"/>
          <w:lang w:val="en-US" w:eastAsia="zh-CN"/>
        </w:rPr>
        <w:t xml:space="preserve">   </w:t>
      </w:r>
      <w:r>
        <w:rPr>
          <w:rFonts w:hint="eastAsia" w:ascii="宋体" w:cs="宋体-18030"/>
          <w:color w:val="000000"/>
          <w:kern w:val="0"/>
          <w:highlight w:val="none"/>
        </w:rPr>
        <w:t>年</w:t>
      </w:r>
      <w:r>
        <w:rPr>
          <w:rFonts w:hint="eastAsia" w:ascii="宋体" w:cs="宋体-18030"/>
          <w:color w:val="000000"/>
          <w:kern w:val="0"/>
          <w:highlight w:val="none"/>
          <w:lang w:val="en-US" w:eastAsia="zh-CN"/>
        </w:rPr>
        <w:t xml:space="preserve">   </w:t>
      </w:r>
      <w:r>
        <w:rPr>
          <w:rFonts w:hint="eastAsia" w:ascii="宋体" w:cs="宋体-18030"/>
          <w:color w:val="000000"/>
          <w:kern w:val="0"/>
          <w:highlight w:val="none"/>
        </w:rPr>
        <w:t>月</w:t>
      </w:r>
      <w:r>
        <w:rPr>
          <w:rFonts w:hint="eastAsia" w:ascii="宋体" w:cs="宋体-18030"/>
          <w:color w:val="000000"/>
          <w:kern w:val="0"/>
          <w:highlight w:val="none"/>
          <w:lang w:val="en-US" w:eastAsia="zh-CN"/>
        </w:rPr>
        <w:t xml:space="preserve">      </w:t>
      </w:r>
      <w:r>
        <w:rPr>
          <w:rFonts w:hint="eastAsia" w:ascii="宋体" w:cs="宋体-18030"/>
          <w:color w:val="000000"/>
          <w:kern w:val="0"/>
          <w:highlight w:val="none"/>
        </w:rPr>
        <w:t>日</w:t>
      </w:r>
    </w:p>
    <w:p w14:paraId="4CB56594">
      <w:pPr>
        <w:autoSpaceDE w:val="0"/>
        <w:autoSpaceDN w:val="0"/>
        <w:adjustRightInd w:val="0"/>
        <w:snapToGrid w:val="0"/>
        <w:spacing w:line="360" w:lineRule="auto"/>
        <w:ind w:left="718" w:leftChars="342"/>
        <w:jc w:val="left"/>
        <w:rPr>
          <w:rFonts w:hint="eastAsia" w:ascii="宋体" w:cs="宋体-18030"/>
          <w:color w:val="000000"/>
          <w:kern w:val="0"/>
          <w:highlight w:val="none"/>
          <w:u w:val="single"/>
        </w:rPr>
      </w:pPr>
      <w:r>
        <w:rPr>
          <w:rFonts w:hint="eastAsia" w:ascii="宋体" w:cs="宋体-18030"/>
          <w:color w:val="000000"/>
          <w:kern w:val="0"/>
          <w:highlight w:val="none"/>
        </w:rPr>
        <w:t xml:space="preserve">经营期限： </w:t>
      </w:r>
    </w:p>
    <w:p w14:paraId="066C97A7">
      <w:pPr>
        <w:autoSpaceDE w:val="0"/>
        <w:autoSpaceDN w:val="0"/>
        <w:adjustRightInd w:val="0"/>
        <w:snapToGrid w:val="0"/>
        <w:spacing w:line="360" w:lineRule="auto"/>
        <w:ind w:left="718" w:leftChars="342"/>
        <w:jc w:val="left"/>
        <w:rPr>
          <w:rFonts w:hint="eastAsia" w:ascii="宋体" w:cs="宋体-18030"/>
          <w:color w:val="000000"/>
          <w:kern w:val="0"/>
          <w:highlight w:val="none"/>
          <w:u w:val="single"/>
        </w:rPr>
      </w:pPr>
      <w:r>
        <w:rPr>
          <w:rFonts w:hint="eastAsia" w:ascii="宋体" w:cs="宋体-18030"/>
          <w:color w:val="000000"/>
          <w:kern w:val="0"/>
          <w:highlight w:val="none"/>
        </w:rPr>
        <w:t>姓名：性别：年龄：职务：</w:t>
      </w:r>
    </w:p>
    <w:p w14:paraId="176F04E3">
      <w:pPr>
        <w:autoSpaceDE w:val="0"/>
        <w:autoSpaceDN w:val="0"/>
        <w:adjustRightInd w:val="0"/>
        <w:snapToGrid w:val="0"/>
        <w:spacing w:line="360" w:lineRule="auto"/>
        <w:ind w:left="718" w:leftChars="342"/>
        <w:jc w:val="left"/>
        <w:rPr>
          <w:rFonts w:hint="eastAsia" w:ascii="宋体" w:cs="宋体-18030"/>
          <w:color w:val="000000"/>
          <w:kern w:val="0"/>
          <w:highlight w:val="none"/>
        </w:rPr>
      </w:pPr>
      <w:r>
        <w:rPr>
          <w:rFonts w:hint="eastAsia" w:ascii="宋体" w:cs="宋体-18030"/>
          <w:color w:val="000000"/>
          <w:kern w:val="0"/>
          <w:highlight w:val="none"/>
        </w:rPr>
        <w:t>系</w:t>
      </w:r>
      <w:r>
        <w:rPr>
          <w:rFonts w:hint="eastAsia" w:ascii="宋体" w:cs="宋体-18030"/>
          <w:color w:val="000000"/>
          <w:kern w:val="0"/>
          <w:highlight w:val="none"/>
          <w:u w:val="single"/>
        </w:rPr>
        <w:t xml:space="preserve">       (投标人名称)       </w:t>
      </w:r>
      <w:r>
        <w:rPr>
          <w:rFonts w:hint="eastAsia" w:ascii="宋体" w:cs="宋体-18030"/>
          <w:color w:val="000000"/>
          <w:kern w:val="0"/>
          <w:highlight w:val="none"/>
        </w:rPr>
        <w:t>的法定代表人。</w:t>
      </w:r>
    </w:p>
    <w:p w14:paraId="102D3A02">
      <w:pPr>
        <w:autoSpaceDE w:val="0"/>
        <w:autoSpaceDN w:val="0"/>
        <w:adjustRightInd w:val="0"/>
        <w:snapToGrid w:val="0"/>
        <w:spacing w:line="360" w:lineRule="auto"/>
        <w:ind w:left="718" w:leftChars="342"/>
        <w:jc w:val="left"/>
        <w:rPr>
          <w:rFonts w:hint="eastAsia" w:ascii="宋体" w:cs="宋体-18030"/>
          <w:color w:val="000000"/>
          <w:kern w:val="0"/>
          <w:highlight w:val="none"/>
        </w:rPr>
      </w:pPr>
    </w:p>
    <w:p w14:paraId="37C70E33">
      <w:pPr>
        <w:autoSpaceDE w:val="0"/>
        <w:autoSpaceDN w:val="0"/>
        <w:adjustRightInd w:val="0"/>
        <w:snapToGrid w:val="0"/>
        <w:spacing w:line="360" w:lineRule="auto"/>
        <w:ind w:left="718" w:leftChars="342"/>
        <w:jc w:val="left"/>
        <w:rPr>
          <w:rFonts w:hint="eastAsia" w:ascii="宋体" w:cs="宋体-18030"/>
          <w:color w:val="000000"/>
          <w:kern w:val="0"/>
          <w:highlight w:val="none"/>
        </w:rPr>
      </w:pPr>
      <w:r>
        <w:rPr>
          <w:rFonts w:hint="eastAsia" w:ascii="宋体" w:cs="宋体-18030"/>
          <w:color w:val="000000"/>
          <w:kern w:val="0"/>
          <w:highlight w:val="none"/>
        </w:rPr>
        <w:t>特此证明。</w:t>
      </w:r>
    </w:p>
    <w:p w14:paraId="56932D53">
      <w:pPr>
        <w:jc w:val="center"/>
        <w:rPr>
          <w:color w:val="000000"/>
          <w:highlight w:val="none"/>
        </w:rPr>
      </w:pPr>
    </w:p>
    <w:tbl>
      <w:tblPr>
        <w:tblStyle w:val="21"/>
        <w:tblW w:w="3496" w:type="dxa"/>
        <w:tblInd w:w="3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96"/>
      </w:tblGrid>
      <w:tr w14:paraId="57DE5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4" w:hRule="atLeast"/>
        </w:trPr>
        <w:tc>
          <w:tcPr>
            <w:tcW w:w="3496" w:type="dxa"/>
            <w:noWrap w:val="0"/>
            <w:vAlign w:val="top"/>
          </w:tcPr>
          <w:p w14:paraId="7DC7BB0E">
            <w:pPr>
              <w:jc w:val="center"/>
              <w:rPr>
                <w:color w:val="000000"/>
                <w:highlight w:val="none"/>
              </w:rPr>
            </w:pPr>
          </w:p>
          <w:p w14:paraId="6691F2FF">
            <w:pPr>
              <w:jc w:val="center"/>
              <w:rPr>
                <w:color w:val="000000"/>
                <w:highlight w:val="none"/>
              </w:rPr>
            </w:pPr>
          </w:p>
          <w:p w14:paraId="3B3D55B0">
            <w:pPr>
              <w:jc w:val="center"/>
              <w:rPr>
                <w:color w:val="000000"/>
                <w:highlight w:val="none"/>
              </w:rPr>
            </w:pPr>
          </w:p>
          <w:p w14:paraId="1F8789F9">
            <w:pPr>
              <w:jc w:val="center"/>
              <w:rPr>
                <w:color w:val="000000"/>
                <w:highlight w:val="none"/>
              </w:rPr>
            </w:pPr>
          </w:p>
          <w:p w14:paraId="6983FFCE">
            <w:pPr>
              <w:jc w:val="center"/>
              <w:rPr>
                <w:rFonts w:hint="eastAsia"/>
                <w:color w:val="000000"/>
                <w:highlight w:val="none"/>
              </w:rPr>
            </w:pPr>
            <w:r>
              <w:rPr>
                <w:rFonts w:hint="eastAsia"/>
                <w:color w:val="000000"/>
                <w:highlight w:val="none"/>
              </w:rPr>
              <w:t>法定代表人身份证复印件正反面</w:t>
            </w:r>
          </w:p>
          <w:p w14:paraId="1635CBC8">
            <w:pPr>
              <w:jc w:val="center"/>
              <w:rPr>
                <w:color w:val="000000"/>
                <w:highlight w:val="none"/>
              </w:rPr>
            </w:pPr>
          </w:p>
        </w:tc>
      </w:tr>
    </w:tbl>
    <w:p w14:paraId="517C1B0F">
      <w:pPr>
        <w:jc w:val="center"/>
        <w:rPr>
          <w:color w:val="000000"/>
          <w:highlight w:val="none"/>
        </w:rPr>
      </w:pPr>
    </w:p>
    <w:p w14:paraId="68A60EF0">
      <w:pPr>
        <w:autoSpaceDE w:val="0"/>
        <w:autoSpaceDN w:val="0"/>
        <w:adjustRightInd w:val="0"/>
        <w:snapToGrid w:val="0"/>
        <w:spacing w:line="360" w:lineRule="auto"/>
        <w:ind w:left="718" w:leftChars="342"/>
        <w:jc w:val="right"/>
        <w:rPr>
          <w:rFonts w:hint="eastAsia" w:ascii="宋体" w:cs="宋体-18030"/>
          <w:color w:val="000000"/>
          <w:kern w:val="0"/>
          <w:highlight w:val="none"/>
        </w:rPr>
      </w:pPr>
    </w:p>
    <w:p w14:paraId="2BFFC48A">
      <w:pPr>
        <w:autoSpaceDE w:val="0"/>
        <w:autoSpaceDN w:val="0"/>
        <w:adjustRightInd w:val="0"/>
        <w:snapToGrid w:val="0"/>
        <w:spacing w:line="360" w:lineRule="auto"/>
        <w:ind w:left="718" w:leftChars="342"/>
        <w:jc w:val="right"/>
        <w:rPr>
          <w:rFonts w:hint="eastAsia" w:ascii="宋体" w:cs="宋体-18030"/>
          <w:color w:val="000000"/>
          <w:kern w:val="0"/>
          <w:highlight w:val="none"/>
        </w:rPr>
      </w:pPr>
    </w:p>
    <w:p w14:paraId="07860517">
      <w:pPr>
        <w:autoSpaceDE w:val="0"/>
        <w:autoSpaceDN w:val="0"/>
        <w:adjustRightInd w:val="0"/>
        <w:snapToGrid w:val="0"/>
        <w:spacing w:line="360" w:lineRule="auto"/>
        <w:ind w:left="718" w:leftChars="342"/>
        <w:jc w:val="right"/>
        <w:rPr>
          <w:rFonts w:hint="eastAsia" w:ascii="宋体" w:cs="宋体-18030"/>
          <w:color w:val="000000"/>
          <w:kern w:val="0"/>
          <w:highlight w:val="none"/>
        </w:rPr>
      </w:pPr>
    </w:p>
    <w:p w14:paraId="4BF45FF3">
      <w:pPr>
        <w:autoSpaceDE w:val="0"/>
        <w:autoSpaceDN w:val="0"/>
        <w:adjustRightInd w:val="0"/>
        <w:snapToGrid w:val="0"/>
        <w:spacing w:line="360" w:lineRule="auto"/>
        <w:ind w:left="718" w:leftChars="342"/>
        <w:jc w:val="right"/>
        <w:rPr>
          <w:rFonts w:hint="eastAsia" w:ascii="宋体" w:cs="宋体-18030"/>
          <w:color w:val="000000"/>
          <w:kern w:val="0"/>
          <w:highlight w:val="none"/>
        </w:rPr>
      </w:pPr>
    </w:p>
    <w:p w14:paraId="6D2115AB">
      <w:pPr>
        <w:wordWrap w:val="0"/>
        <w:autoSpaceDE w:val="0"/>
        <w:autoSpaceDN w:val="0"/>
        <w:adjustRightInd w:val="0"/>
        <w:snapToGrid w:val="0"/>
        <w:spacing w:line="360" w:lineRule="auto"/>
        <w:ind w:left="718" w:leftChars="342"/>
        <w:jc w:val="right"/>
        <w:rPr>
          <w:rFonts w:hint="eastAsia" w:ascii="宋体" w:cs="宋体-18030"/>
          <w:color w:val="000000"/>
          <w:kern w:val="0"/>
          <w:highlight w:val="none"/>
        </w:rPr>
      </w:pPr>
      <w:r>
        <w:rPr>
          <w:rFonts w:hint="eastAsia" w:ascii="宋体" w:cs="宋体-18030"/>
          <w:color w:val="000000"/>
          <w:kern w:val="0"/>
          <w:highlight w:val="none"/>
        </w:rPr>
        <w:t>投标人：</w:t>
      </w:r>
      <w:r>
        <w:rPr>
          <w:rFonts w:hint="eastAsia" w:ascii="宋体" w:cs="宋体-18030"/>
          <w:color w:val="000000"/>
          <w:kern w:val="0"/>
          <w:highlight w:val="none"/>
          <w:u w:val="single"/>
        </w:rPr>
        <w:t xml:space="preserve">                     </w:t>
      </w:r>
      <w:r>
        <w:rPr>
          <w:rFonts w:hint="eastAsia" w:ascii="宋体" w:cs="宋体-18030"/>
          <w:color w:val="000000"/>
          <w:kern w:val="0"/>
          <w:highlight w:val="none"/>
        </w:rPr>
        <w:t>(盖单位章)</w:t>
      </w:r>
    </w:p>
    <w:p w14:paraId="661CEC1A">
      <w:pPr>
        <w:autoSpaceDE w:val="0"/>
        <w:autoSpaceDN w:val="0"/>
        <w:adjustRightInd w:val="0"/>
        <w:snapToGrid w:val="0"/>
        <w:spacing w:line="360" w:lineRule="auto"/>
        <w:ind w:left="718" w:leftChars="342"/>
        <w:jc w:val="right"/>
        <w:rPr>
          <w:rFonts w:hint="eastAsia" w:ascii="宋体" w:cs="宋体-18030"/>
          <w:color w:val="000000"/>
          <w:kern w:val="0"/>
          <w:highlight w:val="none"/>
        </w:rPr>
      </w:pPr>
    </w:p>
    <w:p w14:paraId="5219DAF0">
      <w:pPr>
        <w:wordWrap w:val="0"/>
        <w:autoSpaceDE w:val="0"/>
        <w:autoSpaceDN w:val="0"/>
        <w:adjustRightInd w:val="0"/>
        <w:snapToGrid w:val="0"/>
        <w:spacing w:line="360" w:lineRule="auto"/>
        <w:ind w:left="928" w:leftChars="442"/>
        <w:jc w:val="right"/>
        <w:rPr>
          <w:rFonts w:hint="eastAsia" w:ascii="宋体" w:cs="宋体-18030"/>
          <w:color w:val="000000"/>
          <w:kern w:val="0"/>
          <w:highlight w:val="none"/>
          <w:u w:val="single"/>
        </w:rPr>
      </w:pPr>
      <w:r>
        <w:rPr>
          <w:rFonts w:hint="eastAsia" w:ascii="宋体" w:cs="宋体-18030"/>
          <w:color w:val="000000"/>
          <w:kern w:val="0"/>
          <w:highlight w:val="none"/>
        </w:rPr>
        <w:t>法定代表人：</w:t>
      </w:r>
      <w:r>
        <w:rPr>
          <w:rFonts w:hint="eastAsia" w:ascii="宋体" w:cs="宋体-18030"/>
          <w:color w:val="000000"/>
          <w:kern w:val="0"/>
          <w:highlight w:val="none"/>
          <w:u w:val="single"/>
        </w:rPr>
        <w:t xml:space="preserve">                     </w:t>
      </w:r>
      <w:r>
        <w:rPr>
          <w:rFonts w:hint="eastAsia" w:ascii="宋体" w:cs="宋体-18030"/>
          <w:color w:val="000000"/>
          <w:kern w:val="0"/>
          <w:highlight w:val="none"/>
        </w:rPr>
        <w:t>(签字)</w:t>
      </w:r>
    </w:p>
    <w:p w14:paraId="0B626DA2">
      <w:pPr>
        <w:autoSpaceDE w:val="0"/>
        <w:autoSpaceDN w:val="0"/>
        <w:adjustRightInd w:val="0"/>
        <w:snapToGrid w:val="0"/>
        <w:spacing w:line="360" w:lineRule="auto"/>
        <w:ind w:left="928" w:leftChars="442"/>
        <w:jc w:val="right"/>
        <w:rPr>
          <w:rFonts w:hint="eastAsia" w:ascii="宋体" w:cs="宋体-18030"/>
          <w:color w:val="000000"/>
          <w:kern w:val="0"/>
          <w:highlight w:val="none"/>
        </w:rPr>
      </w:pPr>
    </w:p>
    <w:p w14:paraId="08E73627">
      <w:pPr>
        <w:snapToGrid w:val="0"/>
        <w:spacing w:line="360" w:lineRule="auto"/>
        <w:ind w:left="210" w:leftChars="100" w:firstLine="2520" w:firstLineChars="1200"/>
        <w:jc w:val="right"/>
        <w:rPr>
          <w:rFonts w:hint="eastAsia" w:ascii="宋体" w:cs="宋体-18030"/>
          <w:color w:val="000000"/>
          <w:kern w:val="0"/>
          <w:highlight w:val="none"/>
        </w:rPr>
      </w:pPr>
      <w:r>
        <w:rPr>
          <w:rFonts w:hint="eastAsia" w:ascii="宋体" w:cs="宋体-18030"/>
          <w:color w:val="000000"/>
          <w:kern w:val="0"/>
          <w:highlight w:val="none"/>
        </w:rPr>
        <w:t>年   月    日</w:t>
      </w:r>
    </w:p>
    <w:p w14:paraId="5DA96508">
      <w:pPr>
        <w:snapToGrid w:val="0"/>
        <w:spacing w:line="360" w:lineRule="auto"/>
        <w:ind w:firstLine="2880" w:firstLineChars="1200"/>
        <w:jc w:val="right"/>
        <w:rPr>
          <w:rFonts w:hint="eastAsia" w:ascii="宋体" w:cs="宋体-18030"/>
          <w:color w:val="000000"/>
          <w:kern w:val="0"/>
          <w:sz w:val="24"/>
          <w:szCs w:val="24"/>
          <w:highlight w:val="none"/>
        </w:rPr>
      </w:pPr>
    </w:p>
    <w:p w14:paraId="4BA431BF">
      <w:pPr>
        <w:snapToGrid w:val="0"/>
        <w:spacing w:line="360" w:lineRule="auto"/>
        <w:ind w:firstLine="2520" w:firstLineChars="1200"/>
        <w:jc w:val="right"/>
        <w:rPr>
          <w:rFonts w:hint="eastAsia" w:ascii="宋体" w:cs="宋体-18030"/>
          <w:color w:val="000000"/>
          <w:kern w:val="0"/>
          <w:highlight w:val="none"/>
        </w:rPr>
      </w:pPr>
    </w:p>
    <w:p w14:paraId="22297FD7">
      <w:pPr>
        <w:snapToGrid w:val="0"/>
        <w:spacing w:line="360" w:lineRule="auto"/>
        <w:ind w:firstLine="2520" w:firstLineChars="1200"/>
        <w:jc w:val="right"/>
        <w:rPr>
          <w:rFonts w:hint="eastAsia" w:ascii="宋体" w:cs="宋体-18030"/>
          <w:color w:val="000000"/>
          <w:kern w:val="0"/>
          <w:highlight w:val="none"/>
        </w:rPr>
      </w:pPr>
    </w:p>
    <w:p w14:paraId="270C08F6">
      <w:pPr>
        <w:snapToGrid w:val="0"/>
        <w:spacing w:line="360" w:lineRule="auto"/>
        <w:jc w:val="center"/>
        <w:rPr>
          <w:rFonts w:hint="eastAsia" w:ascii="宋体" w:cs="宋体-18030"/>
          <w:b/>
          <w:bCs/>
          <w:color w:val="000000"/>
          <w:kern w:val="0"/>
          <w:sz w:val="28"/>
          <w:szCs w:val="28"/>
          <w:highlight w:val="none"/>
        </w:rPr>
      </w:pPr>
      <w:r>
        <w:rPr>
          <w:rFonts w:hint="eastAsia" w:ascii="宋体" w:cs="宋体-18030"/>
          <w:b/>
          <w:bCs/>
          <w:color w:val="000000"/>
          <w:kern w:val="0"/>
          <w:sz w:val="28"/>
          <w:szCs w:val="28"/>
          <w:highlight w:val="none"/>
        </w:rPr>
        <w:br w:type="page"/>
      </w:r>
      <w:r>
        <w:rPr>
          <w:rFonts w:hint="eastAsia" w:ascii="宋体" w:cs="宋体-18030"/>
          <w:b/>
          <w:bCs/>
          <w:color w:val="000000"/>
          <w:kern w:val="0"/>
          <w:sz w:val="30"/>
          <w:szCs w:val="30"/>
          <w:highlight w:val="none"/>
        </w:rPr>
        <w:t>(二)授权委托书</w:t>
      </w:r>
    </w:p>
    <w:p w14:paraId="3611C84F">
      <w:pPr>
        <w:autoSpaceDE w:val="0"/>
        <w:autoSpaceDN w:val="0"/>
        <w:adjustRightInd w:val="0"/>
        <w:snapToGrid w:val="0"/>
        <w:spacing w:line="360" w:lineRule="auto"/>
        <w:jc w:val="left"/>
        <w:rPr>
          <w:rFonts w:hint="eastAsia" w:ascii="宋体" w:cs="宋体-18030"/>
          <w:color w:val="000000"/>
          <w:kern w:val="0"/>
          <w:highlight w:val="none"/>
        </w:rPr>
      </w:pPr>
    </w:p>
    <w:p w14:paraId="084D3B9D">
      <w:pPr>
        <w:autoSpaceDE w:val="0"/>
        <w:autoSpaceDN w:val="0"/>
        <w:adjustRightInd w:val="0"/>
        <w:snapToGrid w:val="0"/>
        <w:spacing w:line="360" w:lineRule="auto"/>
        <w:ind w:firstLine="420" w:firstLineChars="200"/>
        <w:jc w:val="left"/>
        <w:rPr>
          <w:rFonts w:hint="eastAsia" w:ascii="宋体" w:cs="宋体-18030"/>
          <w:color w:val="000000"/>
          <w:kern w:val="0"/>
          <w:highlight w:val="none"/>
        </w:rPr>
      </w:pPr>
      <w:r>
        <w:rPr>
          <w:rFonts w:hint="eastAsia" w:ascii="宋体" w:cs="宋体-18030"/>
          <w:color w:val="000000"/>
          <w:kern w:val="0"/>
          <w:highlight w:val="none"/>
        </w:rPr>
        <w:t>本人</w:t>
      </w:r>
      <w:r>
        <w:rPr>
          <w:rFonts w:hint="eastAsia" w:ascii="宋体" w:cs="宋体-18030"/>
          <w:color w:val="000000"/>
          <w:kern w:val="0"/>
          <w:highlight w:val="none"/>
          <w:u w:val="single"/>
        </w:rPr>
        <w:t xml:space="preserve">  (姓名)   </w:t>
      </w:r>
      <w:r>
        <w:rPr>
          <w:rFonts w:hint="eastAsia" w:ascii="宋体" w:cs="宋体-18030"/>
          <w:color w:val="000000"/>
          <w:kern w:val="0"/>
          <w:highlight w:val="none"/>
        </w:rPr>
        <w:t>系</w:t>
      </w:r>
      <w:r>
        <w:rPr>
          <w:rFonts w:hint="eastAsia" w:ascii="宋体" w:cs="宋体-18030"/>
          <w:color w:val="000000"/>
          <w:kern w:val="0"/>
          <w:highlight w:val="none"/>
          <w:u w:val="single"/>
        </w:rPr>
        <w:t xml:space="preserve">    (投标人名称)    </w:t>
      </w:r>
      <w:r>
        <w:rPr>
          <w:rFonts w:hint="eastAsia" w:ascii="宋体" w:cs="宋体-18030"/>
          <w:color w:val="000000"/>
          <w:kern w:val="0"/>
          <w:highlight w:val="none"/>
        </w:rPr>
        <w:t>的法定代表人，现委托</w:t>
      </w:r>
      <w:r>
        <w:rPr>
          <w:rFonts w:hint="eastAsia" w:ascii="宋体" w:cs="宋体-18030"/>
          <w:color w:val="000000"/>
          <w:kern w:val="0"/>
          <w:highlight w:val="none"/>
          <w:u w:val="single"/>
        </w:rPr>
        <w:t xml:space="preserve">   (姓名)  </w:t>
      </w:r>
      <w:r>
        <w:rPr>
          <w:rFonts w:hint="eastAsia" w:ascii="宋体" w:cs="宋体-18030"/>
          <w:color w:val="000000"/>
          <w:kern w:val="0"/>
          <w:highlight w:val="none"/>
        </w:rPr>
        <w:t>为我方代理人。代理人根据授权，以我方名义签署、澄清、说明、补正、递交、撤回、修改</w:t>
      </w:r>
      <w:r>
        <w:rPr>
          <w:rFonts w:hint="eastAsia" w:ascii="宋体" w:cs="宋体-18030"/>
          <w:color w:val="000000"/>
          <w:kern w:val="0"/>
          <w:highlight w:val="none"/>
          <w:u w:val="single"/>
        </w:rPr>
        <w:t xml:space="preserve">  </w:t>
      </w:r>
      <w:r>
        <w:rPr>
          <w:rFonts w:hint="eastAsia" w:ascii="宋体" w:hAnsi="宋体" w:eastAsia="宋体" w:cs="Arial"/>
          <w:color w:val="auto"/>
          <w:kern w:val="0"/>
          <w:szCs w:val="21"/>
          <w:highlight w:val="none"/>
          <w:u w:val="single"/>
        </w:rPr>
        <w:t xml:space="preserve"> (项目名称)</w:t>
      </w:r>
      <w:r>
        <w:rPr>
          <w:rFonts w:hint="eastAsia" w:ascii="宋体" w:hAnsi="宋体" w:eastAsia="宋体" w:cs="Arial"/>
          <w:color w:val="auto"/>
          <w:kern w:val="0"/>
          <w:szCs w:val="21"/>
          <w:highlight w:val="none"/>
          <w:u w:val="single"/>
          <w:lang w:val="en-US" w:eastAsia="zh-CN"/>
        </w:rPr>
        <w:t xml:space="preserve">  </w:t>
      </w:r>
      <w:r>
        <w:rPr>
          <w:rFonts w:hint="eastAsia" w:ascii="宋体" w:cs="宋体-18030"/>
          <w:color w:val="000000"/>
          <w:kern w:val="0"/>
          <w:highlight w:val="none"/>
          <w:u w:val="single"/>
        </w:rPr>
        <w:t xml:space="preserve">   </w:t>
      </w:r>
      <w:r>
        <w:rPr>
          <w:rFonts w:hint="eastAsia" w:ascii="宋体" w:cs="宋体-18030"/>
          <w:color w:val="000000"/>
          <w:kern w:val="0"/>
          <w:highlight w:val="none"/>
        </w:rPr>
        <w:t>投标文件、签订合同和处理有关事宜，其法律后果由我方承担。</w:t>
      </w:r>
    </w:p>
    <w:p w14:paraId="4C2361A8">
      <w:pPr>
        <w:autoSpaceDE w:val="0"/>
        <w:autoSpaceDN w:val="0"/>
        <w:adjustRightInd w:val="0"/>
        <w:snapToGrid w:val="0"/>
        <w:spacing w:line="360" w:lineRule="auto"/>
        <w:ind w:firstLine="420" w:firstLineChars="200"/>
        <w:jc w:val="left"/>
        <w:rPr>
          <w:rFonts w:hint="eastAsia" w:ascii="宋体" w:cs="宋体-18030"/>
          <w:color w:val="000000"/>
          <w:kern w:val="0"/>
          <w:highlight w:val="none"/>
        </w:rPr>
      </w:pPr>
      <w:r>
        <w:rPr>
          <w:rFonts w:hint="eastAsia" w:ascii="宋体" w:cs="宋体-18030"/>
          <w:color w:val="000000"/>
          <w:kern w:val="0"/>
          <w:highlight w:val="none"/>
        </w:rPr>
        <w:t>委托期限：     。</w:t>
      </w:r>
    </w:p>
    <w:p w14:paraId="3C0B75C7">
      <w:pPr>
        <w:autoSpaceDE w:val="0"/>
        <w:autoSpaceDN w:val="0"/>
        <w:adjustRightInd w:val="0"/>
        <w:snapToGrid w:val="0"/>
        <w:spacing w:line="360" w:lineRule="auto"/>
        <w:ind w:firstLine="420" w:firstLineChars="200"/>
        <w:jc w:val="left"/>
        <w:rPr>
          <w:rFonts w:hint="eastAsia" w:ascii="宋体" w:cs="宋体-18030"/>
          <w:color w:val="000000"/>
          <w:kern w:val="0"/>
          <w:highlight w:val="none"/>
        </w:rPr>
      </w:pPr>
      <w:r>
        <w:rPr>
          <w:rFonts w:hint="eastAsia" w:ascii="宋体" w:cs="宋体-18030"/>
          <w:color w:val="000000"/>
          <w:kern w:val="0"/>
          <w:highlight w:val="none"/>
        </w:rPr>
        <w:t>代理人无转委托权。</w:t>
      </w:r>
    </w:p>
    <w:p w14:paraId="2104C821">
      <w:pPr>
        <w:snapToGrid w:val="0"/>
        <w:spacing w:line="360" w:lineRule="auto"/>
        <w:ind w:firstLine="420" w:firstLineChars="200"/>
        <w:jc w:val="left"/>
        <w:rPr>
          <w:rFonts w:hint="eastAsia" w:ascii="宋体" w:cs="宋体-18030"/>
          <w:color w:val="000000"/>
          <w:kern w:val="0"/>
          <w:highlight w:val="none"/>
        </w:rPr>
      </w:pPr>
      <w:r>
        <w:rPr>
          <w:rFonts w:hint="eastAsia" w:ascii="宋体" w:cs="宋体-18030"/>
          <w:color w:val="000000"/>
          <w:kern w:val="0"/>
          <w:highlight w:val="none"/>
        </w:rPr>
        <w:t>附：法定代表人身份证；被授权人身份证。</w:t>
      </w:r>
    </w:p>
    <w:p w14:paraId="65AAE460">
      <w:pPr>
        <w:autoSpaceDE w:val="0"/>
        <w:autoSpaceDN w:val="0"/>
        <w:adjustRightInd w:val="0"/>
        <w:snapToGrid w:val="0"/>
        <w:spacing w:line="360" w:lineRule="auto"/>
        <w:ind w:left="540" w:leftChars="257"/>
        <w:jc w:val="left"/>
        <w:rPr>
          <w:rFonts w:hint="eastAsia" w:ascii="宋体" w:cs="宋体-18030"/>
          <w:color w:val="000000"/>
          <w:kern w:val="0"/>
          <w:highlight w:val="none"/>
        </w:rPr>
      </w:pPr>
    </w:p>
    <w:tbl>
      <w:tblPr>
        <w:tblStyle w:val="21"/>
        <w:tblpPr w:leftFromText="180" w:rightFromText="180" w:vertAnchor="text" w:horzAnchor="page" w:tblpX="1509" w:tblpY="529"/>
        <w:tblOverlap w:val="never"/>
        <w:tblW w:w="90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60"/>
        <w:gridCol w:w="687"/>
        <w:gridCol w:w="4156"/>
      </w:tblGrid>
      <w:tr w14:paraId="72F64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7" w:hRule="atLeast"/>
        </w:trPr>
        <w:tc>
          <w:tcPr>
            <w:tcW w:w="4160" w:type="dxa"/>
            <w:tcBorders>
              <w:top w:val="single" w:color="auto" w:sz="4" w:space="0"/>
              <w:left w:val="single" w:color="auto" w:sz="4" w:space="0"/>
              <w:bottom w:val="single" w:color="auto" w:sz="4" w:space="0"/>
              <w:right w:val="single" w:color="auto" w:sz="4" w:space="0"/>
            </w:tcBorders>
            <w:noWrap w:val="0"/>
            <w:vAlign w:val="top"/>
          </w:tcPr>
          <w:p w14:paraId="063B2345">
            <w:pPr>
              <w:spacing w:line="480" w:lineRule="auto"/>
              <w:jc w:val="center"/>
              <w:rPr>
                <w:color w:val="000000"/>
                <w:highlight w:val="none"/>
              </w:rPr>
            </w:pPr>
          </w:p>
          <w:p w14:paraId="5C63C4AE">
            <w:pPr>
              <w:spacing w:line="480" w:lineRule="auto"/>
              <w:jc w:val="center"/>
              <w:rPr>
                <w:color w:val="000000"/>
                <w:highlight w:val="none"/>
              </w:rPr>
            </w:pPr>
            <w:r>
              <w:rPr>
                <w:rFonts w:hint="eastAsia"/>
                <w:color w:val="000000"/>
                <w:highlight w:val="none"/>
              </w:rPr>
              <w:t>法定代表人身份证正反面复印件</w:t>
            </w:r>
          </w:p>
        </w:tc>
        <w:tc>
          <w:tcPr>
            <w:tcW w:w="687" w:type="dxa"/>
            <w:tcBorders>
              <w:top w:val="nil"/>
              <w:left w:val="single" w:color="auto" w:sz="4" w:space="0"/>
              <w:bottom w:val="nil"/>
              <w:right w:val="single" w:color="auto" w:sz="4" w:space="0"/>
            </w:tcBorders>
            <w:noWrap w:val="0"/>
            <w:vAlign w:val="top"/>
          </w:tcPr>
          <w:p w14:paraId="09AF9F91">
            <w:pPr>
              <w:spacing w:line="480" w:lineRule="auto"/>
              <w:jc w:val="center"/>
              <w:rPr>
                <w:color w:val="000000"/>
                <w:highlight w:val="none"/>
              </w:rPr>
            </w:pPr>
          </w:p>
        </w:tc>
        <w:tc>
          <w:tcPr>
            <w:tcW w:w="4156" w:type="dxa"/>
            <w:tcBorders>
              <w:top w:val="single" w:color="auto" w:sz="4" w:space="0"/>
              <w:left w:val="single" w:color="auto" w:sz="4" w:space="0"/>
              <w:bottom w:val="single" w:color="auto" w:sz="4" w:space="0"/>
              <w:right w:val="single" w:color="auto" w:sz="4" w:space="0"/>
            </w:tcBorders>
            <w:noWrap w:val="0"/>
            <w:vAlign w:val="top"/>
          </w:tcPr>
          <w:p w14:paraId="534CF334">
            <w:pPr>
              <w:spacing w:line="480" w:lineRule="auto"/>
              <w:jc w:val="center"/>
              <w:rPr>
                <w:color w:val="000000"/>
                <w:highlight w:val="none"/>
              </w:rPr>
            </w:pPr>
          </w:p>
          <w:p w14:paraId="1132009A">
            <w:pPr>
              <w:spacing w:line="480" w:lineRule="auto"/>
              <w:jc w:val="center"/>
              <w:rPr>
                <w:color w:val="000000"/>
                <w:highlight w:val="none"/>
              </w:rPr>
            </w:pPr>
            <w:r>
              <w:rPr>
                <w:rFonts w:hint="eastAsia"/>
                <w:color w:val="000000"/>
                <w:highlight w:val="none"/>
              </w:rPr>
              <w:t>授权委托人身份证正反面复印件</w:t>
            </w:r>
          </w:p>
        </w:tc>
      </w:tr>
    </w:tbl>
    <w:p w14:paraId="22FDFBCF">
      <w:pPr>
        <w:autoSpaceDE w:val="0"/>
        <w:autoSpaceDN w:val="0"/>
        <w:adjustRightInd w:val="0"/>
        <w:snapToGrid w:val="0"/>
        <w:spacing w:line="360" w:lineRule="auto"/>
        <w:jc w:val="left"/>
        <w:rPr>
          <w:rFonts w:hint="eastAsia" w:ascii="宋体" w:cs="宋体-18030"/>
          <w:color w:val="000000"/>
          <w:kern w:val="0"/>
          <w:highlight w:val="none"/>
        </w:rPr>
      </w:pPr>
    </w:p>
    <w:p w14:paraId="089CB932">
      <w:pPr>
        <w:autoSpaceDE w:val="0"/>
        <w:autoSpaceDN w:val="0"/>
        <w:adjustRightInd w:val="0"/>
        <w:snapToGrid w:val="0"/>
        <w:spacing w:line="480" w:lineRule="auto"/>
        <w:jc w:val="left"/>
        <w:rPr>
          <w:rFonts w:hint="eastAsia" w:ascii="宋体" w:cs="宋体-18030"/>
          <w:color w:val="000000"/>
          <w:kern w:val="0"/>
          <w:highlight w:val="none"/>
        </w:rPr>
      </w:pPr>
    </w:p>
    <w:p w14:paraId="0B9AC1FA">
      <w:pPr>
        <w:wordWrap w:val="0"/>
        <w:autoSpaceDE w:val="0"/>
        <w:autoSpaceDN w:val="0"/>
        <w:adjustRightInd w:val="0"/>
        <w:snapToGrid w:val="0"/>
        <w:spacing w:line="480" w:lineRule="auto"/>
        <w:ind w:left="718" w:leftChars="342"/>
        <w:jc w:val="right"/>
        <w:rPr>
          <w:rFonts w:hint="eastAsia" w:ascii="宋体" w:cs="宋体-18030"/>
          <w:color w:val="000000"/>
          <w:kern w:val="0"/>
          <w:highlight w:val="none"/>
        </w:rPr>
      </w:pPr>
      <w:r>
        <w:rPr>
          <w:rFonts w:hint="eastAsia" w:ascii="宋体" w:cs="宋体-18030"/>
          <w:color w:val="000000"/>
          <w:kern w:val="0"/>
          <w:highlight w:val="none"/>
        </w:rPr>
        <w:t>投标人：</w:t>
      </w:r>
      <w:r>
        <w:rPr>
          <w:rFonts w:hint="eastAsia" w:ascii="宋体" w:cs="宋体-18030"/>
          <w:color w:val="000000"/>
          <w:kern w:val="0"/>
          <w:highlight w:val="none"/>
          <w:u w:val="single"/>
        </w:rPr>
        <w:t xml:space="preserve">            </w:t>
      </w:r>
      <w:r>
        <w:rPr>
          <w:rFonts w:hint="eastAsia" w:ascii="宋体" w:cs="宋体-18030"/>
          <w:color w:val="000000"/>
          <w:kern w:val="0"/>
          <w:highlight w:val="none"/>
        </w:rPr>
        <w:t>(盖单位章)</w:t>
      </w:r>
    </w:p>
    <w:p w14:paraId="00EF84E7">
      <w:pPr>
        <w:wordWrap w:val="0"/>
        <w:autoSpaceDE w:val="0"/>
        <w:autoSpaceDN w:val="0"/>
        <w:adjustRightInd w:val="0"/>
        <w:snapToGrid w:val="0"/>
        <w:spacing w:line="480" w:lineRule="auto"/>
        <w:ind w:left="718" w:leftChars="342"/>
        <w:jc w:val="right"/>
        <w:rPr>
          <w:rFonts w:hint="eastAsia" w:ascii="宋体" w:cs="宋体-18030"/>
          <w:color w:val="000000"/>
          <w:kern w:val="0"/>
          <w:highlight w:val="none"/>
        </w:rPr>
      </w:pPr>
      <w:r>
        <w:rPr>
          <w:rFonts w:hint="eastAsia" w:ascii="宋体" w:cs="宋体-18030"/>
          <w:color w:val="000000"/>
          <w:kern w:val="0"/>
          <w:highlight w:val="none"/>
        </w:rPr>
        <w:t>法定代表人：</w:t>
      </w:r>
      <w:r>
        <w:rPr>
          <w:rFonts w:hint="eastAsia" w:ascii="宋体" w:cs="宋体-18030"/>
          <w:color w:val="000000"/>
          <w:kern w:val="0"/>
          <w:highlight w:val="none"/>
          <w:u w:val="single"/>
        </w:rPr>
        <w:t xml:space="preserve">            </w:t>
      </w:r>
      <w:r>
        <w:rPr>
          <w:rFonts w:hint="eastAsia" w:ascii="宋体" w:cs="宋体-18030"/>
          <w:color w:val="000000"/>
          <w:kern w:val="0"/>
          <w:highlight w:val="none"/>
        </w:rPr>
        <w:t>(签字)</w:t>
      </w:r>
    </w:p>
    <w:p w14:paraId="782FC1C5">
      <w:pPr>
        <w:wordWrap w:val="0"/>
        <w:autoSpaceDE w:val="0"/>
        <w:autoSpaceDN w:val="0"/>
        <w:adjustRightInd w:val="0"/>
        <w:snapToGrid w:val="0"/>
        <w:spacing w:line="480" w:lineRule="auto"/>
        <w:ind w:left="718" w:leftChars="342"/>
        <w:jc w:val="right"/>
        <w:rPr>
          <w:rFonts w:hint="eastAsia" w:ascii="宋体" w:cs="宋体-18030"/>
          <w:color w:val="000000"/>
          <w:kern w:val="0"/>
          <w:highlight w:val="none"/>
          <w:u w:val="single"/>
        </w:rPr>
      </w:pPr>
      <w:r>
        <w:rPr>
          <w:rFonts w:hint="eastAsia" w:ascii="宋体" w:cs="宋体-18030"/>
          <w:color w:val="000000"/>
          <w:kern w:val="0"/>
          <w:highlight w:val="none"/>
        </w:rPr>
        <w:t>身份证号码：</w:t>
      </w:r>
      <w:r>
        <w:rPr>
          <w:rFonts w:hint="eastAsia" w:ascii="宋体" w:cs="宋体-18030"/>
          <w:color w:val="000000"/>
          <w:kern w:val="0"/>
          <w:highlight w:val="none"/>
          <w:u w:val="single"/>
        </w:rPr>
        <w:t xml:space="preserve">                  </w:t>
      </w:r>
    </w:p>
    <w:p w14:paraId="79E6BAD2">
      <w:pPr>
        <w:wordWrap w:val="0"/>
        <w:autoSpaceDE w:val="0"/>
        <w:autoSpaceDN w:val="0"/>
        <w:adjustRightInd w:val="0"/>
        <w:snapToGrid w:val="0"/>
        <w:spacing w:line="480" w:lineRule="auto"/>
        <w:ind w:left="718" w:leftChars="342"/>
        <w:jc w:val="right"/>
        <w:rPr>
          <w:rFonts w:hint="eastAsia" w:ascii="宋体" w:cs="宋体-18030"/>
          <w:color w:val="000000"/>
          <w:kern w:val="0"/>
          <w:highlight w:val="none"/>
        </w:rPr>
      </w:pPr>
      <w:r>
        <w:rPr>
          <w:rFonts w:hint="eastAsia" w:ascii="宋体" w:cs="宋体-18030"/>
          <w:color w:val="000000"/>
          <w:kern w:val="0"/>
          <w:highlight w:val="none"/>
        </w:rPr>
        <w:t>委托代理人：</w:t>
      </w:r>
      <w:r>
        <w:rPr>
          <w:rFonts w:hint="eastAsia" w:ascii="宋体" w:cs="宋体-18030"/>
          <w:color w:val="000000"/>
          <w:kern w:val="0"/>
          <w:highlight w:val="none"/>
          <w:u w:val="single"/>
        </w:rPr>
        <w:t xml:space="preserve">            </w:t>
      </w:r>
      <w:r>
        <w:rPr>
          <w:rFonts w:hint="eastAsia" w:ascii="宋体" w:cs="宋体-18030"/>
          <w:color w:val="000000"/>
          <w:kern w:val="0"/>
          <w:highlight w:val="none"/>
        </w:rPr>
        <w:t>(签字)</w:t>
      </w:r>
    </w:p>
    <w:p w14:paraId="17E32939">
      <w:pPr>
        <w:wordWrap w:val="0"/>
        <w:autoSpaceDE w:val="0"/>
        <w:autoSpaceDN w:val="0"/>
        <w:adjustRightInd w:val="0"/>
        <w:snapToGrid w:val="0"/>
        <w:spacing w:line="480" w:lineRule="auto"/>
        <w:ind w:left="718" w:leftChars="342"/>
        <w:jc w:val="right"/>
        <w:rPr>
          <w:rFonts w:hint="eastAsia" w:ascii="宋体" w:cs="宋体-18030"/>
          <w:color w:val="000000"/>
          <w:kern w:val="0"/>
          <w:highlight w:val="none"/>
          <w:u w:val="single"/>
        </w:rPr>
      </w:pPr>
      <w:r>
        <w:rPr>
          <w:rFonts w:hint="eastAsia" w:ascii="宋体" w:cs="宋体-18030"/>
          <w:color w:val="000000"/>
          <w:kern w:val="0"/>
          <w:highlight w:val="none"/>
        </w:rPr>
        <w:t>身份证号码：</w:t>
      </w:r>
      <w:r>
        <w:rPr>
          <w:rFonts w:hint="eastAsia" w:ascii="宋体" w:cs="宋体-18030"/>
          <w:color w:val="000000"/>
          <w:kern w:val="0"/>
          <w:highlight w:val="none"/>
          <w:u w:val="single"/>
        </w:rPr>
        <w:t xml:space="preserve">                  </w:t>
      </w:r>
    </w:p>
    <w:p w14:paraId="3EC9A77A">
      <w:pPr>
        <w:snapToGrid w:val="0"/>
        <w:spacing w:line="360" w:lineRule="auto"/>
        <w:ind w:firstLine="1890" w:firstLineChars="900"/>
        <w:jc w:val="right"/>
        <w:rPr>
          <w:rFonts w:hint="eastAsia" w:ascii="宋体" w:cs="宋体-18030"/>
          <w:color w:val="000000"/>
          <w:kern w:val="0"/>
          <w:highlight w:val="none"/>
          <w:u w:val="single"/>
        </w:rPr>
      </w:pPr>
    </w:p>
    <w:p w14:paraId="251776BA">
      <w:pPr>
        <w:snapToGrid w:val="0"/>
        <w:spacing w:line="360" w:lineRule="auto"/>
        <w:ind w:firstLine="1890" w:firstLineChars="900"/>
        <w:jc w:val="right"/>
        <w:rPr>
          <w:rFonts w:hint="eastAsia" w:ascii="宋体" w:cs="宋体-18030"/>
          <w:color w:val="000000"/>
          <w:kern w:val="0"/>
          <w:highlight w:val="none"/>
        </w:rPr>
      </w:pPr>
      <w:r>
        <w:rPr>
          <w:rFonts w:hint="eastAsia" w:ascii="宋体" w:cs="宋体-18030"/>
          <w:color w:val="000000"/>
          <w:kern w:val="0"/>
          <w:highlight w:val="none"/>
        </w:rPr>
        <w:t xml:space="preserve"> 年   月   日</w:t>
      </w:r>
    </w:p>
    <w:p w14:paraId="44D46A2B">
      <w:pPr>
        <w:snapToGrid w:val="0"/>
        <w:spacing w:line="360" w:lineRule="auto"/>
        <w:ind w:left="540" w:leftChars="257" w:firstLine="1920" w:firstLineChars="800"/>
        <w:jc w:val="left"/>
        <w:rPr>
          <w:rFonts w:hint="eastAsia" w:ascii="宋体" w:cs="宋体-18030"/>
          <w:color w:val="000000"/>
          <w:kern w:val="0"/>
          <w:sz w:val="24"/>
          <w:szCs w:val="24"/>
          <w:highlight w:val="none"/>
        </w:rPr>
      </w:pPr>
    </w:p>
    <w:p w14:paraId="2BC8536E">
      <w:pPr>
        <w:snapToGrid w:val="0"/>
        <w:spacing w:line="360" w:lineRule="auto"/>
        <w:ind w:left="540" w:leftChars="257" w:firstLine="1920" w:firstLineChars="800"/>
        <w:jc w:val="left"/>
        <w:rPr>
          <w:rFonts w:hint="eastAsia" w:ascii="宋体" w:cs="宋体-18030"/>
          <w:color w:val="000000"/>
          <w:kern w:val="0"/>
          <w:sz w:val="24"/>
          <w:szCs w:val="24"/>
          <w:highlight w:val="none"/>
        </w:rPr>
      </w:pPr>
    </w:p>
    <w:p w14:paraId="2F120BC5">
      <w:pPr>
        <w:rPr>
          <w:rFonts w:hint="eastAsia" w:ascii="宋体" w:cs="宋体"/>
          <w:color w:val="000000"/>
          <w:highlight w:val="none"/>
        </w:rPr>
      </w:pPr>
    </w:p>
    <w:p w14:paraId="2B46DCA7">
      <w:pPr>
        <w:autoSpaceDE w:val="0"/>
        <w:autoSpaceDN w:val="0"/>
        <w:adjustRightInd w:val="0"/>
        <w:snapToGrid w:val="0"/>
        <w:spacing w:line="360" w:lineRule="auto"/>
        <w:jc w:val="center"/>
        <w:outlineLvl w:val="0"/>
        <w:rPr>
          <w:rFonts w:hint="default" w:ascii="宋体" w:eastAsia="宋体" w:cs="宋体-18030"/>
          <w:b/>
          <w:bCs/>
          <w:color w:val="000000"/>
          <w:kern w:val="0"/>
          <w:sz w:val="30"/>
          <w:szCs w:val="30"/>
          <w:highlight w:val="none"/>
          <w:lang w:val="en-US" w:eastAsia="zh-CN"/>
        </w:rPr>
      </w:pPr>
      <w:r>
        <w:rPr>
          <w:rFonts w:hint="eastAsia" w:ascii="宋体" w:cs="宋体-18030"/>
          <w:b/>
          <w:bCs/>
          <w:color w:val="000000"/>
          <w:kern w:val="0"/>
          <w:sz w:val="30"/>
          <w:szCs w:val="30"/>
          <w:highlight w:val="none"/>
        </w:rPr>
        <w:br w:type="page"/>
      </w:r>
      <w:bookmarkStart w:id="89" w:name="_Toc2884"/>
      <w:bookmarkStart w:id="90" w:name="_Toc19281"/>
      <w:r>
        <w:rPr>
          <w:rFonts w:hint="eastAsia" w:ascii="宋体" w:cs="宋体-18030"/>
          <w:b/>
          <w:bCs/>
          <w:color w:val="000000"/>
          <w:kern w:val="0"/>
          <w:sz w:val="30"/>
          <w:szCs w:val="30"/>
          <w:highlight w:val="none"/>
        </w:rPr>
        <w:t>四、投标保证金</w:t>
      </w:r>
      <w:bookmarkEnd w:id="89"/>
      <w:r>
        <w:rPr>
          <w:rFonts w:hint="eastAsia" w:ascii="宋体" w:cs="宋体-18030"/>
          <w:b/>
          <w:bCs/>
          <w:color w:val="000000"/>
          <w:kern w:val="0"/>
          <w:sz w:val="30"/>
          <w:szCs w:val="30"/>
          <w:highlight w:val="none"/>
          <w:lang w:val="en-US" w:eastAsia="zh-CN"/>
        </w:rPr>
        <w:t>-无</w:t>
      </w:r>
      <w:bookmarkEnd w:id="90"/>
    </w:p>
    <w:p w14:paraId="26E09E54">
      <w:pPr>
        <w:snapToGrid w:val="0"/>
        <w:spacing w:line="360" w:lineRule="auto"/>
        <w:rPr>
          <w:rFonts w:hint="eastAsia" w:ascii="宋体"/>
          <w:b/>
          <w:bCs/>
          <w:color w:val="000000"/>
          <w:sz w:val="24"/>
          <w:szCs w:val="24"/>
          <w:highlight w:val="none"/>
        </w:rPr>
      </w:pPr>
    </w:p>
    <w:p w14:paraId="1D1304F8">
      <w:pPr>
        <w:autoSpaceDE w:val="0"/>
        <w:autoSpaceDN w:val="0"/>
        <w:adjustRightInd w:val="0"/>
        <w:snapToGrid w:val="0"/>
        <w:spacing w:line="360" w:lineRule="auto"/>
        <w:ind w:firstLine="601"/>
        <w:jc w:val="left"/>
        <w:rPr>
          <w:rFonts w:hint="eastAsia" w:ascii="宋体"/>
          <w:color w:val="000000"/>
          <w:kern w:val="0"/>
          <w:highlight w:val="none"/>
        </w:rPr>
      </w:pPr>
    </w:p>
    <w:tbl>
      <w:tblPr>
        <w:tblStyle w:val="21"/>
        <w:tblW w:w="8880" w:type="dxa"/>
        <w:tblInd w:w="675" w:type="dxa"/>
        <w:tblLayout w:type="fixed"/>
        <w:tblCellMar>
          <w:top w:w="0" w:type="dxa"/>
          <w:left w:w="108" w:type="dxa"/>
          <w:bottom w:w="0" w:type="dxa"/>
          <w:right w:w="108" w:type="dxa"/>
        </w:tblCellMar>
      </w:tblPr>
      <w:tblGrid>
        <w:gridCol w:w="8880"/>
      </w:tblGrid>
      <w:tr w14:paraId="0CD5C06D">
        <w:tblPrEx>
          <w:tblCellMar>
            <w:top w:w="0" w:type="dxa"/>
            <w:left w:w="108" w:type="dxa"/>
            <w:bottom w:w="0" w:type="dxa"/>
            <w:right w:w="108" w:type="dxa"/>
          </w:tblCellMar>
        </w:tblPrEx>
        <w:trPr>
          <w:trHeight w:val="3409" w:hRule="atLeast"/>
        </w:trPr>
        <w:tc>
          <w:tcPr>
            <w:tcW w:w="8880" w:type="dxa"/>
            <w:tcBorders>
              <w:top w:val="single" w:color="000000" w:sz="4" w:space="0"/>
              <w:left w:val="single" w:color="000000" w:sz="4" w:space="0"/>
              <w:bottom w:val="single" w:color="000000" w:sz="4" w:space="0"/>
              <w:right w:val="single" w:color="000000" w:sz="4" w:space="0"/>
            </w:tcBorders>
            <w:noWrap w:val="0"/>
            <w:vAlign w:val="top"/>
          </w:tcPr>
          <w:p w14:paraId="1B8C7A41">
            <w:pPr>
              <w:spacing w:line="360" w:lineRule="auto"/>
              <w:jc w:val="left"/>
              <w:rPr>
                <w:rFonts w:hint="eastAsia" w:ascii="宋体"/>
                <w:b/>
                <w:bCs/>
                <w:color w:val="000000"/>
                <w:kern w:val="0"/>
                <w:highlight w:val="none"/>
              </w:rPr>
            </w:pPr>
          </w:p>
          <w:p w14:paraId="5958BF2A">
            <w:pPr>
              <w:spacing w:line="360" w:lineRule="auto"/>
              <w:jc w:val="left"/>
              <w:rPr>
                <w:rFonts w:hint="eastAsia" w:ascii="宋体"/>
                <w:b/>
                <w:bCs/>
                <w:color w:val="000000"/>
                <w:highlight w:val="none"/>
              </w:rPr>
            </w:pPr>
            <w:r>
              <w:rPr>
                <w:rFonts w:hint="eastAsia" w:ascii="宋体"/>
                <w:b/>
                <w:bCs/>
                <w:color w:val="000000"/>
                <w:kern w:val="0"/>
                <w:highlight w:val="none"/>
              </w:rPr>
              <w:t>附：</w:t>
            </w:r>
            <w:r>
              <w:rPr>
                <w:rFonts w:hint="eastAsia" w:ascii="宋体"/>
                <w:b/>
                <w:bCs/>
                <w:color w:val="000000"/>
                <w:highlight w:val="none"/>
              </w:rPr>
              <w:t>1.投标人的保证金转账凭证复印件（无须提供可不附）；</w:t>
            </w:r>
          </w:p>
          <w:p w14:paraId="44C0789D">
            <w:pPr>
              <w:spacing w:line="360" w:lineRule="auto"/>
              <w:ind w:firstLine="422" w:firstLineChars="200"/>
              <w:jc w:val="left"/>
              <w:rPr>
                <w:rFonts w:hint="eastAsia" w:ascii="宋体"/>
                <w:b/>
                <w:bCs/>
                <w:color w:val="000000"/>
                <w:highlight w:val="none"/>
              </w:rPr>
            </w:pPr>
            <w:r>
              <w:rPr>
                <w:rFonts w:hint="eastAsia" w:ascii="宋体"/>
                <w:b/>
                <w:bCs/>
                <w:color w:val="000000"/>
                <w:highlight w:val="none"/>
              </w:rPr>
              <w:t>2.投标人的开户许可证或开户信息复印件。</w:t>
            </w:r>
          </w:p>
          <w:p w14:paraId="3A01303A">
            <w:pPr>
              <w:autoSpaceDE w:val="0"/>
              <w:autoSpaceDN w:val="0"/>
              <w:adjustRightInd w:val="0"/>
              <w:snapToGrid w:val="0"/>
              <w:spacing w:line="360" w:lineRule="auto"/>
              <w:jc w:val="left"/>
              <w:rPr>
                <w:rFonts w:hint="eastAsia" w:ascii="宋体"/>
                <w:b/>
                <w:bCs/>
                <w:color w:val="000000"/>
                <w:kern w:val="0"/>
                <w:highlight w:val="none"/>
              </w:rPr>
            </w:pPr>
          </w:p>
          <w:p w14:paraId="30835981">
            <w:pPr>
              <w:autoSpaceDE w:val="0"/>
              <w:autoSpaceDN w:val="0"/>
              <w:adjustRightInd w:val="0"/>
              <w:snapToGrid w:val="0"/>
              <w:spacing w:line="360" w:lineRule="auto"/>
              <w:jc w:val="left"/>
              <w:rPr>
                <w:rFonts w:hint="eastAsia" w:ascii="宋体"/>
                <w:color w:val="000000"/>
                <w:kern w:val="0"/>
                <w:highlight w:val="none"/>
              </w:rPr>
            </w:pPr>
          </w:p>
        </w:tc>
      </w:tr>
    </w:tbl>
    <w:p w14:paraId="749134E6">
      <w:pPr>
        <w:autoSpaceDE w:val="0"/>
        <w:autoSpaceDN w:val="0"/>
        <w:adjustRightInd w:val="0"/>
        <w:snapToGrid w:val="0"/>
        <w:spacing w:line="360" w:lineRule="auto"/>
        <w:ind w:firstLine="570"/>
        <w:jc w:val="left"/>
        <w:rPr>
          <w:rFonts w:hint="eastAsia" w:ascii="宋体"/>
          <w:color w:val="000000"/>
          <w:kern w:val="0"/>
          <w:highlight w:val="none"/>
        </w:rPr>
      </w:pPr>
    </w:p>
    <w:p w14:paraId="17A813E1">
      <w:pPr>
        <w:autoSpaceDE w:val="0"/>
        <w:autoSpaceDN w:val="0"/>
        <w:adjustRightInd w:val="0"/>
        <w:snapToGrid w:val="0"/>
        <w:spacing w:line="360" w:lineRule="auto"/>
        <w:ind w:firstLine="570"/>
        <w:jc w:val="left"/>
        <w:rPr>
          <w:rFonts w:hint="eastAsia" w:ascii="宋体"/>
          <w:color w:val="000000"/>
          <w:highlight w:val="none"/>
        </w:rPr>
      </w:pPr>
    </w:p>
    <w:p w14:paraId="12DB1F6A">
      <w:pPr>
        <w:autoSpaceDE w:val="0"/>
        <w:autoSpaceDN w:val="0"/>
        <w:adjustRightInd w:val="0"/>
        <w:snapToGrid w:val="0"/>
        <w:spacing w:line="360" w:lineRule="auto"/>
        <w:ind w:firstLine="570"/>
        <w:jc w:val="left"/>
        <w:rPr>
          <w:rFonts w:hint="eastAsia" w:ascii="宋体"/>
          <w:color w:val="000000"/>
          <w:kern w:val="0"/>
          <w:highlight w:val="none"/>
        </w:rPr>
      </w:pPr>
      <w:r>
        <w:rPr>
          <w:rFonts w:hint="eastAsia" w:ascii="宋体"/>
          <w:color w:val="000000"/>
          <w:kern w:val="0"/>
          <w:highlight w:val="none"/>
        </w:rPr>
        <w:t>投标人：（公章）</w:t>
      </w:r>
    </w:p>
    <w:p w14:paraId="1580CA8D">
      <w:pPr>
        <w:autoSpaceDE w:val="0"/>
        <w:autoSpaceDN w:val="0"/>
        <w:adjustRightInd w:val="0"/>
        <w:snapToGrid w:val="0"/>
        <w:spacing w:line="360" w:lineRule="auto"/>
        <w:jc w:val="left"/>
        <w:rPr>
          <w:rFonts w:hint="eastAsia" w:ascii="宋体"/>
          <w:color w:val="000000"/>
          <w:kern w:val="0"/>
          <w:highlight w:val="none"/>
        </w:rPr>
      </w:pPr>
    </w:p>
    <w:p w14:paraId="4A82B2AB">
      <w:pPr>
        <w:autoSpaceDE w:val="0"/>
        <w:autoSpaceDN w:val="0"/>
        <w:adjustRightInd w:val="0"/>
        <w:snapToGrid w:val="0"/>
        <w:spacing w:line="360" w:lineRule="auto"/>
        <w:jc w:val="left"/>
        <w:rPr>
          <w:rFonts w:hint="eastAsia" w:ascii="宋体"/>
          <w:color w:val="000000"/>
          <w:kern w:val="0"/>
          <w:highlight w:val="none"/>
        </w:rPr>
      </w:pPr>
    </w:p>
    <w:p w14:paraId="4FFCBE3D">
      <w:pPr>
        <w:snapToGrid w:val="0"/>
        <w:spacing w:line="360" w:lineRule="auto"/>
        <w:ind w:firstLine="525" w:firstLineChars="250"/>
        <w:rPr>
          <w:rFonts w:hint="eastAsia" w:ascii="宋体"/>
          <w:color w:val="000000"/>
          <w:kern w:val="0"/>
          <w:highlight w:val="none"/>
        </w:rPr>
      </w:pPr>
      <w:r>
        <w:rPr>
          <w:rFonts w:hint="eastAsia" w:ascii="宋体"/>
          <w:color w:val="000000"/>
          <w:kern w:val="0"/>
          <w:highlight w:val="none"/>
        </w:rPr>
        <w:t>法定代表人或被授权代表：（签字或盖章）</w:t>
      </w:r>
    </w:p>
    <w:p w14:paraId="41A7FCB8">
      <w:pPr>
        <w:snapToGrid w:val="0"/>
        <w:spacing w:line="360" w:lineRule="auto"/>
        <w:ind w:firstLine="480"/>
        <w:rPr>
          <w:rFonts w:hint="eastAsia" w:ascii="宋体"/>
          <w:color w:val="000000"/>
          <w:kern w:val="0"/>
          <w:highlight w:val="none"/>
        </w:rPr>
      </w:pPr>
    </w:p>
    <w:p w14:paraId="5D1DCCA8">
      <w:pPr>
        <w:snapToGrid w:val="0"/>
        <w:spacing w:line="360" w:lineRule="auto"/>
        <w:ind w:firstLine="480"/>
        <w:rPr>
          <w:rFonts w:hint="eastAsia" w:ascii="宋体"/>
          <w:color w:val="000000"/>
          <w:kern w:val="0"/>
          <w:highlight w:val="none"/>
        </w:rPr>
      </w:pPr>
    </w:p>
    <w:p w14:paraId="2443FA4A">
      <w:pPr>
        <w:snapToGrid w:val="0"/>
        <w:spacing w:line="360" w:lineRule="auto"/>
        <w:rPr>
          <w:rFonts w:hint="eastAsia" w:ascii="宋体"/>
          <w:color w:val="000000"/>
          <w:kern w:val="0"/>
          <w:highlight w:val="none"/>
        </w:rPr>
      </w:pPr>
    </w:p>
    <w:p w14:paraId="13C2CA53">
      <w:pPr>
        <w:snapToGrid w:val="0"/>
        <w:spacing w:line="360" w:lineRule="auto"/>
        <w:ind w:firstLine="480"/>
        <w:jc w:val="right"/>
        <w:rPr>
          <w:rFonts w:hint="eastAsia" w:ascii="宋体"/>
          <w:color w:val="000000"/>
          <w:kern w:val="0"/>
          <w:highlight w:val="none"/>
        </w:rPr>
      </w:pPr>
    </w:p>
    <w:p w14:paraId="7EC08F7C">
      <w:pPr>
        <w:wordWrap w:val="0"/>
        <w:snapToGrid w:val="0"/>
        <w:spacing w:line="360" w:lineRule="auto"/>
        <w:ind w:firstLine="2520" w:firstLineChars="1200"/>
        <w:jc w:val="right"/>
        <w:rPr>
          <w:rFonts w:hint="eastAsia" w:ascii="宋体" w:cs="宋体-18030"/>
          <w:color w:val="000000"/>
          <w:highlight w:val="none"/>
        </w:rPr>
      </w:pPr>
      <w:r>
        <w:rPr>
          <w:rFonts w:hint="eastAsia" w:ascii="宋体"/>
          <w:color w:val="000000"/>
          <w:kern w:val="0"/>
          <w:highlight w:val="none"/>
        </w:rPr>
        <w:t>日 期：  年  月  日</w:t>
      </w:r>
    </w:p>
    <w:p w14:paraId="77B92260">
      <w:pPr>
        <w:autoSpaceDE w:val="0"/>
        <w:autoSpaceDN w:val="0"/>
        <w:adjustRightInd w:val="0"/>
        <w:snapToGrid w:val="0"/>
        <w:spacing w:line="360" w:lineRule="auto"/>
        <w:jc w:val="center"/>
        <w:rPr>
          <w:rFonts w:hint="eastAsia" w:ascii="宋体" w:cs="宋体-18030"/>
          <w:color w:val="000000"/>
          <w:highlight w:val="none"/>
        </w:rPr>
      </w:pPr>
    </w:p>
    <w:p w14:paraId="06F51D41">
      <w:pPr>
        <w:tabs>
          <w:tab w:val="left" w:pos="1365"/>
        </w:tabs>
        <w:jc w:val="center"/>
        <w:rPr>
          <w:rFonts w:ascii="宋体" w:hAnsi="宋体" w:cs="宋体"/>
          <w:b/>
          <w:sz w:val="21"/>
          <w:szCs w:val="21"/>
          <w:highlight w:val="none"/>
        </w:rPr>
      </w:pPr>
      <w:bookmarkStart w:id="91" w:name="_Toc372556120"/>
      <w:bookmarkEnd w:id="91"/>
      <w:r>
        <w:rPr>
          <w:rFonts w:hint="eastAsia" w:ascii="宋体"/>
          <w:bCs/>
          <w:color w:val="000000"/>
          <w:szCs w:val="32"/>
          <w:highlight w:val="none"/>
        </w:rPr>
        <w:br w:type="page"/>
      </w:r>
      <w:bookmarkStart w:id="92" w:name="_Toc31526"/>
      <w:r>
        <w:rPr>
          <w:rFonts w:hint="eastAsia" w:ascii="宋体" w:hAnsi="宋体" w:cs="宋体"/>
          <w:b/>
          <w:sz w:val="32"/>
          <w:szCs w:val="32"/>
          <w:highlight w:val="none"/>
        </w:rPr>
        <w:t>五、商务条款偏离表</w:t>
      </w:r>
    </w:p>
    <w:tbl>
      <w:tblPr>
        <w:tblStyle w:val="2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5"/>
        <w:gridCol w:w="1899"/>
        <w:gridCol w:w="2979"/>
        <w:gridCol w:w="2976"/>
        <w:gridCol w:w="851"/>
      </w:tblGrid>
      <w:tr w14:paraId="576C8F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1"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20A24A98">
            <w:pPr>
              <w:jc w:val="center"/>
              <w:rPr>
                <w:rFonts w:ascii="宋体" w:hAnsi="宋体" w:cs="宋体"/>
                <w:sz w:val="21"/>
                <w:szCs w:val="21"/>
                <w:highlight w:val="none"/>
              </w:rPr>
            </w:pPr>
            <w:bookmarkStart w:id="93" w:name="_Toc492451841"/>
            <w:bookmarkStart w:id="94" w:name="_Toc9156"/>
            <w:r>
              <w:rPr>
                <w:rFonts w:hint="eastAsia" w:ascii="宋体" w:hAnsi="宋体" w:cs="宋体"/>
                <w:sz w:val="21"/>
                <w:szCs w:val="21"/>
                <w:highlight w:val="none"/>
              </w:rPr>
              <w:t>序号</w:t>
            </w:r>
            <w:bookmarkEnd w:id="93"/>
            <w:bookmarkEnd w:id="94"/>
          </w:p>
        </w:tc>
        <w:tc>
          <w:tcPr>
            <w:tcW w:w="1899" w:type="dxa"/>
            <w:tcBorders>
              <w:top w:val="single" w:color="auto" w:sz="4" w:space="0"/>
              <w:left w:val="single" w:color="auto" w:sz="4" w:space="0"/>
              <w:bottom w:val="single" w:color="auto" w:sz="4" w:space="0"/>
              <w:right w:val="single" w:color="auto" w:sz="4" w:space="0"/>
            </w:tcBorders>
            <w:noWrap/>
            <w:vAlign w:val="center"/>
          </w:tcPr>
          <w:p w14:paraId="4C060BF2">
            <w:pPr>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rPr>
              <w:t>招标文件条款</w:t>
            </w:r>
            <w:r>
              <w:rPr>
                <w:rFonts w:hint="eastAsia" w:ascii="宋体" w:hAnsi="宋体" w:cs="宋体"/>
                <w:sz w:val="21"/>
                <w:szCs w:val="21"/>
                <w:highlight w:val="none"/>
                <w:lang w:val="en-US" w:eastAsia="zh-CN"/>
              </w:rPr>
              <w:t>内容</w:t>
            </w:r>
          </w:p>
        </w:tc>
        <w:tc>
          <w:tcPr>
            <w:tcW w:w="2979" w:type="dxa"/>
            <w:tcBorders>
              <w:top w:val="single" w:color="auto" w:sz="4" w:space="0"/>
              <w:left w:val="single" w:color="auto" w:sz="4" w:space="0"/>
              <w:bottom w:val="single" w:color="auto" w:sz="4" w:space="0"/>
              <w:right w:val="single" w:color="auto" w:sz="4" w:space="0"/>
            </w:tcBorders>
            <w:noWrap/>
            <w:vAlign w:val="center"/>
          </w:tcPr>
          <w:p w14:paraId="6393817B">
            <w:pPr>
              <w:jc w:val="center"/>
              <w:rPr>
                <w:rFonts w:ascii="宋体" w:hAnsi="宋体" w:cs="宋体"/>
                <w:sz w:val="21"/>
                <w:szCs w:val="21"/>
                <w:highlight w:val="none"/>
              </w:rPr>
            </w:pPr>
            <w:bookmarkStart w:id="95" w:name="_Toc492451843"/>
            <w:bookmarkStart w:id="96" w:name="_Toc6174"/>
            <w:r>
              <w:rPr>
                <w:rFonts w:hint="eastAsia" w:ascii="宋体" w:hAnsi="宋体" w:cs="宋体"/>
                <w:sz w:val="21"/>
                <w:szCs w:val="21"/>
                <w:highlight w:val="none"/>
              </w:rPr>
              <w:t>招标文件规定的商务条款</w:t>
            </w:r>
            <w:bookmarkEnd w:id="95"/>
            <w:bookmarkEnd w:id="96"/>
          </w:p>
        </w:tc>
        <w:tc>
          <w:tcPr>
            <w:tcW w:w="2976" w:type="dxa"/>
            <w:tcBorders>
              <w:top w:val="single" w:color="auto" w:sz="4" w:space="0"/>
              <w:left w:val="single" w:color="auto" w:sz="4" w:space="0"/>
              <w:bottom w:val="single" w:color="auto" w:sz="4" w:space="0"/>
              <w:right w:val="single" w:color="auto" w:sz="4" w:space="0"/>
            </w:tcBorders>
            <w:noWrap/>
            <w:vAlign w:val="center"/>
          </w:tcPr>
          <w:p w14:paraId="2A87F43A">
            <w:pPr>
              <w:jc w:val="center"/>
              <w:rPr>
                <w:rFonts w:ascii="宋体" w:hAnsi="宋体" w:cs="宋体"/>
                <w:sz w:val="21"/>
                <w:szCs w:val="21"/>
                <w:highlight w:val="none"/>
              </w:rPr>
            </w:pPr>
            <w:bookmarkStart w:id="97" w:name="_Toc30914"/>
            <w:bookmarkStart w:id="98" w:name="_Toc492451844"/>
            <w:r>
              <w:rPr>
                <w:rFonts w:hint="eastAsia" w:ascii="宋体" w:hAnsi="宋体" w:cs="宋体"/>
                <w:sz w:val="21"/>
                <w:szCs w:val="21"/>
                <w:highlight w:val="none"/>
              </w:rPr>
              <w:t>投标文件对应的商务条款</w:t>
            </w:r>
            <w:bookmarkEnd w:id="97"/>
            <w:bookmarkEnd w:id="98"/>
          </w:p>
        </w:tc>
        <w:tc>
          <w:tcPr>
            <w:tcW w:w="851" w:type="dxa"/>
            <w:tcBorders>
              <w:top w:val="single" w:color="auto" w:sz="4" w:space="0"/>
              <w:left w:val="single" w:color="auto" w:sz="4" w:space="0"/>
              <w:bottom w:val="single" w:color="auto" w:sz="4" w:space="0"/>
              <w:right w:val="single" w:color="auto" w:sz="4" w:space="0"/>
            </w:tcBorders>
            <w:noWrap/>
            <w:vAlign w:val="center"/>
          </w:tcPr>
          <w:p w14:paraId="43DD7350">
            <w:pPr>
              <w:jc w:val="center"/>
              <w:rPr>
                <w:rFonts w:ascii="宋体" w:hAnsi="宋体" w:cs="宋体"/>
                <w:sz w:val="21"/>
                <w:szCs w:val="21"/>
                <w:highlight w:val="none"/>
              </w:rPr>
            </w:pPr>
            <w:bookmarkStart w:id="99" w:name="_Toc3453"/>
            <w:bookmarkStart w:id="100" w:name="_Toc492451845"/>
            <w:r>
              <w:rPr>
                <w:rFonts w:hint="eastAsia" w:ascii="宋体" w:hAnsi="宋体" w:cs="宋体"/>
                <w:sz w:val="21"/>
                <w:szCs w:val="21"/>
                <w:highlight w:val="none"/>
              </w:rPr>
              <w:t>备注</w:t>
            </w:r>
            <w:bookmarkEnd w:id="99"/>
            <w:bookmarkEnd w:id="100"/>
          </w:p>
        </w:tc>
      </w:tr>
      <w:tr w14:paraId="500DC9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2E4E8DA9">
            <w:pPr>
              <w:jc w:val="center"/>
              <w:outlineLvl w:val="9"/>
              <w:rPr>
                <w:rFonts w:ascii="宋体" w:hAnsi="宋体" w:cs="宋体"/>
                <w:sz w:val="21"/>
                <w:szCs w:val="21"/>
                <w:highlight w:val="none"/>
              </w:rPr>
            </w:pPr>
          </w:p>
        </w:tc>
        <w:tc>
          <w:tcPr>
            <w:tcW w:w="1899" w:type="dxa"/>
            <w:tcBorders>
              <w:top w:val="single" w:color="auto" w:sz="4" w:space="0"/>
              <w:left w:val="single" w:color="auto" w:sz="4" w:space="0"/>
              <w:bottom w:val="single" w:color="auto" w:sz="4" w:space="0"/>
              <w:right w:val="single" w:color="auto" w:sz="4" w:space="0"/>
            </w:tcBorders>
            <w:noWrap/>
            <w:vAlign w:val="center"/>
          </w:tcPr>
          <w:p w14:paraId="5FE9B5FA">
            <w:pPr>
              <w:pStyle w:val="10"/>
              <w:jc w:val="center"/>
              <w:outlineLvl w:val="9"/>
              <w:rPr>
                <w:rFonts w:ascii="宋体" w:hAnsi="宋体" w:cs="宋体"/>
                <w:sz w:val="21"/>
                <w:szCs w:val="21"/>
                <w:highlight w:val="none"/>
              </w:rPr>
            </w:pPr>
          </w:p>
        </w:tc>
        <w:tc>
          <w:tcPr>
            <w:tcW w:w="2979" w:type="dxa"/>
            <w:tcBorders>
              <w:top w:val="single" w:color="auto" w:sz="4" w:space="0"/>
              <w:left w:val="single" w:color="auto" w:sz="4" w:space="0"/>
              <w:bottom w:val="single" w:color="auto" w:sz="4" w:space="0"/>
              <w:right w:val="single" w:color="auto" w:sz="4" w:space="0"/>
            </w:tcBorders>
            <w:noWrap/>
            <w:vAlign w:val="center"/>
          </w:tcPr>
          <w:p w14:paraId="3CC922B6">
            <w:pPr>
              <w:jc w:val="center"/>
              <w:outlineLvl w:val="9"/>
              <w:rPr>
                <w:rFonts w:ascii="宋体" w:hAnsi="宋体" w:cs="宋体"/>
                <w:sz w:val="21"/>
                <w:szCs w:val="21"/>
                <w:highlight w:val="none"/>
              </w:rPr>
            </w:pPr>
          </w:p>
        </w:tc>
        <w:tc>
          <w:tcPr>
            <w:tcW w:w="2976" w:type="dxa"/>
            <w:tcBorders>
              <w:top w:val="single" w:color="auto" w:sz="4" w:space="0"/>
              <w:left w:val="single" w:color="auto" w:sz="4" w:space="0"/>
              <w:bottom w:val="single" w:color="auto" w:sz="4" w:space="0"/>
              <w:right w:val="single" w:color="auto" w:sz="4" w:space="0"/>
            </w:tcBorders>
            <w:noWrap/>
            <w:vAlign w:val="center"/>
          </w:tcPr>
          <w:p w14:paraId="1664FD8A">
            <w:pPr>
              <w:jc w:val="center"/>
              <w:outlineLvl w:val="9"/>
              <w:rPr>
                <w:rFonts w:ascii="宋体" w:hAnsi="宋体" w:cs="宋体"/>
                <w:sz w:val="21"/>
                <w:szCs w:val="21"/>
                <w:highlight w:val="none"/>
              </w:rPr>
            </w:pPr>
          </w:p>
        </w:tc>
        <w:tc>
          <w:tcPr>
            <w:tcW w:w="851" w:type="dxa"/>
            <w:tcBorders>
              <w:top w:val="single" w:color="auto" w:sz="4" w:space="0"/>
              <w:left w:val="single" w:color="auto" w:sz="4" w:space="0"/>
              <w:bottom w:val="single" w:color="auto" w:sz="4" w:space="0"/>
              <w:right w:val="single" w:color="auto" w:sz="4" w:space="0"/>
            </w:tcBorders>
            <w:noWrap/>
            <w:vAlign w:val="center"/>
          </w:tcPr>
          <w:p w14:paraId="62A14C37">
            <w:pPr>
              <w:jc w:val="center"/>
              <w:outlineLvl w:val="9"/>
              <w:rPr>
                <w:rFonts w:ascii="宋体" w:hAnsi="宋体" w:cs="宋体"/>
                <w:sz w:val="21"/>
                <w:szCs w:val="21"/>
                <w:highlight w:val="none"/>
              </w:rPr>
            </w:pPr>
          </w:p>
        </w:tc>
      </w:tr>
      <w:tr w14:paraId="65B0A1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07216892">
            <w:pPr>
              <w:jc w:val="center"/>
              <w:outlineLvl w:val="9"/>
              <w:rPr>
                <w:rFonts w:ascii="宋体" w:hAnsi="宋体" w:cs="宋体"/>
                <w:sz w:val="21"/>
                <w:szCs w:val="21"/>
                <w:highlight w:val="none"/>
              </w:rPr>
            </w:pPr>
          </w:p>
        </w:tc>
        <w:tc>
          <w:tcPr>
            <w:tcW w:w="1899" w:type="dxa"/>
            <w:tcBorders>
              <w:top w:val="single" w:color="auto" w:sz="4" w:space="0"/>
              <w:left w:val="single" w:color="auto" w:sz="4" w:space="0"/>
              <w:bottom w:val="single" w:color="auto" w:sz="4" w:space="0"/>
              <w:right w:val="single" w:color="auto" w:sz="4" w:space="0"/>
            </w:tcBorders>
            <w:noWrap/>
            <w:vAlign w:val="center"/>
          </w:tcPr>
          <w:p w14:paraId="51FCD18C">
            <w:pPr>
              <w:jc w:val="center"/>
              <w:outlineLvl w:val="9"/>
              <w:rPr>
                <w:rFonts w:ascii="宋体" w:hAnsi="宋体" w:cs="宋体"/>
                <w:sz w:val="21"/>
                <w:szCs w:val="21"/>
                <w:highlight w:val="none"/>
              </w:rPr>
            </w:pPr>
          </w:p>
        </w:tc>
        <w:tc>
          <w:tcPr>
            <w:tcW w:w="2979" w:type="dxa"/>
            <w:tcBorders>
              <w:top w:val="single" w:color="auto" w:sz="4" w:space="0"/>
              <w:left w:val="single" w:color="auto" w:sz="4" w:space="0"/>
              <w:bottom w:val="single" w:color="auto" w:sz="4" w:space="0"/>
              <w:right w:val="single" w:color="auto" w:sz="4" w:space="0"/>
            </w:tcBorders>
            <w:noWrap/>
            <w:vAlign w:val="center"/>
          </w:tcPr>
          <w:p w14:paraId="1CBC1C0F">
            <w:pPr>
              <w:jc w:val="center"/>
              <w:outlineLvl w:val="9"/>
              <w:rPr>
                <w:rFonts w:ascii="宋体" w:hAnsi="宋体" w:cs="宋体"/>
                <w:sz w:val="21"/>
                <w:szCs w:val="21"/>
                <w:highlight w:val="none"/>
              </w:rPr>
            </w:pPr>
          </w:p>
        </w:tc>
        <w:tc>
          <w:tcPr>
            <w:tcW w:w="2976" w:type="dxa"/>
            <w:tcBorders>
              <w:top w:val="single" w:color="auto" w:sz="4" w:space="0"/>
              <w:left w:val="single" w:color="auto" w:sz="4" w:space="0"/>
              <w:bottom w:val="single" w:color="auto" w:sz="4" w:space="0"/>
              <w:right w:val="single" w:color="auto" w:sz="4" w:space="0"/>
            </w:tcBorders>
            <w:noWrap/>
            <w:vAlign w:val="center"/>
          </w:tcPr>
          <w:p w14:paraId="769A5C91">
            <w:pPr>
              <w:jc w:val="center"/>
              <w:outlineLvl w:val="9"/>
              <w:rPr>
                <w:rFonts w:ascii="宋体" w:hAnsi="宋体" w:cs="宋体"/>
                <w:sz w:val="21"/>
                <w:szCs w:val="21"/>
                <w:highlight w:val="none"/>
              </w:rPr>
            </w:pPr>
          </w:p>
        </w:tc>
        <w:tc>
          <w:tcPr>
            <w:tcW w:w="851" w:type="dxa"/>
            <w:tcBorders>
              <w:top w:val="single" w:color="auto" w:sz="4" w:space="0"/>
              <w:left w:val="single" w:color="auto" w:sz="4" w:space="0"/>
              <w:bottom w:val="single" w:color="auto" w:sz="4" w:space="0"/>
              <w:right w:val="single" w:color="auto" w:sz="4" w:space="0"/>
            </w:tcBorders>
            <w:noWrap/>
            <w:vAlign w:val="center"/>
          </w:tcPr>
          <w:p w14:paraId="4D2EC50E">
            <w:pPr>
              <w:jc w:val="center"/>
              <w:outlineLvl w:val="9"/>
              <w:rPr>
                <w:rFonts w:ascii="宋体" w:hAnsi="宋体" w:cs="宋体"/>
                <w:sz w:val="21"/>
                <w:szCs w:val="21"/>
                <w:highlight w:val="none"/>
              </w:rPr>
            </w:pPr>
          </w:p>
        </w:tc>
      </w:tr>
      <w:tr w14:paraId="4768C2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7CF2BCE1">
            <w:pPr>
              <w:jc w:val="center"/>
              <w:outlineLvl w:val="9"/>
              <w:rPr>
                <w:rFonts w:ascii="宋体" w:hAnsi="宋体" w:cs="宋体"/>
                <w:sz w:val="21"/>
                <w:szCs w:val="21"/>
                <w:highlight w:val="none"/>
              </w:rPr>
            </w:pPr>
          </w:p>
        </w:tc>
        <w:tc>
          <w:tcPr>
            <w:tcW w:w="1899" w:type="dxa"/>
            <w:tcBorders>
              <w:top w:val="single" w:color="auto" w:sz="4" w:space="0"/>
              <w:left w:val="single" w:color="auto" w:sz="4" w:space="0"/>
              <w:bottom w:val="single" w:color="auto" w:sz="4" w:space="0"/>
              <w:right w:val="single" w:color="auto" w:sz="4" w:space="0"/>
            </w:tcBorders>
            <w:noWrap/>
            <w:vAlign w:val="center"/>
          </w:tcPr>
          <w:p w14:paraId="36587D9A">
            <w:pPr>
              <w:jc w:val="center"/>
              <w:outlineLvl w:val="9"/>
              <w:rPr>
                <w:rFonts w:ascii="宋体" w:hAnsi="宋体" w:cs="宋体"/>
                <w:sz w:val="21"/>
                <w:szCs w:val="21"/>
                <w:highlight w:val="none"/>
              </w:rPr>
            </w:pPr>
          </w:p>
        </w:tc>
        <w:tc>
          <w:tcPr>
            <w:tcW w:w="2979" w:type="dxa"/>
            <w:tcBorders>
              <w:top w:val="single" w:color="auto" w:sz="4" w:space="0"/>
              <w:left w:val="single" w:color="auto" w:sz="4" w:space="0"/>
              <w:bottom w:val="single" w:color="auto" w:sz="4" w:space="0"/>
              <w:right w:val="single" w:color="auto" w:sz="4" w:space="0"/>
            </w:tcBorders>
            <w:noWrap/>
            <w:vAlign w:val="center"/>
          </w:tcPr>
          <w:p w14:paraId="4844060B">
            <w:pPr>
              <w:jc w:val="center"/>
              <w:outlineLvl w:val="9"/>
              <w:rPr>
                <w:rFonts w:ascii="宋体" w:hAnsi="宋体" w:cs="宋体"/>
                <w:sz w:val="21"/>
                <w:szCs w:val="21"/>
                <w:highlight w:val="none"/>
              </w:rPr>
            </w:pPr>
          </w:p>
        </w:tc>
        <w:tc>
          <w:tcPr>
            <w:tcW w:w="2976" w:type="dxa"/>
            <w:tcBorders>
              <w:top w:val="single" w:color="auto" w:sz="4" w:space="0"/>
              <w:left w:val="single" w:color="auto" w:sz="4" w:space="0"/>
              <w:bottom w:val="single" w:color="auto" w:sz="4" w:space="0"/>
              <w:right w:val="single" w:color="auto" w:sz="4" w:space="0"/>
            </w:tcBorders>
            <w:noWrap/>
            <w:vAlign w:val="center"/>
          </w:tcPr>
          <w:p w14:paraId="5D4EE09F">
            <w:pPr>
              <w:jc w:val="center"/>
              <w:outlineLvl w:val="9"/>
              <w:rPr>
                <w:rFonts w:ascii="宋体" w:hAnsi="宋体" w:cs="宋体"/>
                <w:sz w:val="21"/>
                <w:szCs w:val="21"/>
                <w:highlight w:val="none"/>
              </w:rPr>
            </w:pPr>
          </w:p>
        </w:tc>
        <w:tc>
          <w:tcPr>
            <w:tcW w:w="851" w:type="dxa"/>
            <w:tcBorders>
              <w:top w:val="single" w:color="auto" w:sz="4" w:space="0"/>
              <w:left w:val="single" w:color="auto" w:sz="4" w:space="0"/>
              <w:bottom w:val="single" w:color="auto" w:sz="4" w:space="0"/>
              <w:right w:val="single" w:color="auto" w:sz="4" w:space="0"/>
            </w:tcBorders>
            <w:noWrap/>
            <w:vAlign w:val="center"/>
          </w:tcPr>
          <w:p w14:paraId="12ABAAEA">
            <w:pPr>
              <w:jc w:val="center"/>
              <w:outlineLvl w:val="9"/>
              <w:rPr>
                <w:rFonts w:ascii="宋体" w:hAnsi="宋体" w:cs="宋体"/>
                <w:sz w:val="21"/>
                <w:szCs w:val="21"/>
                <w:highlight w:val="none"/>
              </w:rPr>
            </w:pPr>
          </w:p>
        </w:tc>
      </w:tr>
      <w:tr w14:paraId="6E67B8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00F2794B">
            <w:pPr>
              <w:jc w:val="center"/>
              <w:outlineLvl w:val="9"/>
              <w:rPr>
                <w:rFonts w:ascii="宋体" w:hAnsi="宋体" w:cs="宋体"/>
                <w:sz w:val="21"/>
                <w:szCs w:val="21"/>
                <w:highlight w:val="none"/>
              </w:rPr>
            </w:pPr>
          </w:p>
        </w:tc>
        <w:tc>
          <w:tcPr>
            <w:tcW w:w="1899" w:type="dxa"/>
            <w:tcBorders>
              <w:top w:val="single" w:color="auto" w:sz="4" w:space="0"/>
              <w:left w:val="single" w:color="auto" w:sz="4" w:space="0"/>
              <w:bottom w:val="single" w:color="auto" w:sz="4" w:space="0"/>
              <w:right w:val="single" w:color="auto" w:sz="4" w:space="0"/>
            </w:tcBorders>
            <w:noWrap/>
            <w:vAlign w:val="center"/>
          </w:tcPr>
          <w:p w14:paraId="5A931EEC">
            <w:pPr>
              <w:jc w:val="center"/>
              <w:outlineLvl w:val="9"/>
              <w:rPr>
                <w:rFonts w:ascii="宋体" w:hAnsi="宋体" w:cs="宋体"/>
                <w:sz w:val="21"/>
                <w:szCs w:val="21"/>
                <w:highlight w:val="none"/>
              </w:rPr>
            </w:pPr>
          </w:p>
        </w:tc>
        <w:tc>
          <w:tcPr>
            <w:tcW w:w="2979" w:type="dxa"/>
            <w:tcBorders>
              <w:top w:val="single" w:color="auto" w:sz="4" w:space="0"/>
              <w:left w:val="single" w:color="auto" w:sz="4" w:space="0"/>
              <w:bottom w:val="single" w:color="auto" w:sz="4" w:space="0"/>
              <w:right w:val="single" w:color="auto" w:sz="4" w:space="0"/>
            </w:tcBorders>
            <w:noWrap/>
            <w:vAlign w:val="center"/>
          </w:tcPr>
          <w:p w14:paraId="121B02DD">
            <w:pPr>
              <w:jc w:val="center"/>
              <w:outlineLvl w:val="9"/>
              <w:rPr>
                <w:rFonts w:ascii="宋体" w:hAnsi="宋体" w:cs="宋体"/>
                <w:sz w:val="21"/>
                <w:szCs w:val="21"/>
                <w:highlight w:val="none"/>
              </w:rPr>
            </w:pPr>
          </w:p>
        </w:tc>
        <w:tc>
          <w:tcPr>
            <w:tcW w:w="2976" w:type="dxa"/>
            <w:tcBorders>
              <w:top w:val="single" w:color="auto" w:sz="4" w:space="0"/>
              <w:left w:val="single" w:color="auto" w:sz="4" w:space="0"/>
              <w:bottom w:val="single" w:color="auto" w:sz="4" w:space="0"/>
              <w:right w:val="single" w:color="auto" w:sz="4" w:space="0"/>
            </w:tcBorders>
            <w:noWrap/>
            <w:vAlign w:val="center"/>
          </w:tcPr>
          <w:p w14:paraId="7B2B8D16">
            <w:pPr>
              <w:jc w:val="center"/>
              <w:outlineLvl w:val="9"/>
              <w:rPr>
                <w:rFonts w:ascii="宋体" w:hAnsi="宋体" w:cs="宋体"/>
                <w:sz w:val="21"/>
                <w:szCs w:val="21"/>
                <w:highlight w:val="none"/>
              </w:rPr>
            </w:pPr>
          </w:p>
        </w:tc>
        <w:tc>
          <w:tcPr>
            <w:tcW w:w="851" w:type="dxa"/>
            <w:tcBorders>
              <w:top w:val="single" w:color="auto" w:sz="4" w:space="0"/>
              <w:left w:val="single" w:color="auto" w:sz="4" w:space="0"/>
              <w:bottom w:val="single" w:color="auto" w:sz="4" w:space="0"/>
              <w:right w:val="single" w:color="auto" w:sz="4" w:space="0"/>
            </w:tcBorders>
            <w:noWrap/>
            <w:vAlign w:val="center"/>
          </w:tcPr>
          <w:p w14:paraId="0C8B13FE">
            <w:pPr>
              <w:jc w:val="center"/>
              <w:outlineLvl w:val="9"/>
              <w:rPr>
                <w:rFonts w:ascii="宋体" w:hAnsi="宋体" w:cs="宋体"/>
                <w:sz w:val="21"/>
                <w:szCs w:val="21"/>
                <w:highlight w:val="none"/>
              </w:rPr>
            </w:pPr>
          </w:p>
        </w:tc>
      </w:tr>
      <w:tr w14:paraId="169AD2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0AA06FC3">
            <w:pPr>
              <w:jc w:val="center"/>
              <w:outlineLvl w:val="9"/>
              <w:rPr>
                <w:rFonts w:ascii="宋体" w:hAnsi="宋体" w:cs="宋体"/>
                <w:sz w:val="21"/>
                <w:szCs w:val="21"/>
                <w:highlight w:val="none"/>
              </w:rPr>
            </w:pPr>
          </w:p>
        </w:tc>
        <w:tc>
          <w:tcPr>
            <w:tcW w:w="1899" w:type="dxa"/>
            <w:tcBorders>
              <w:top w:val="single" w:color="auto" w:sz="4" w:space="0"/>
              <w:left w:val="single" w:color="auto" w:sz="4" w:space="0"/>
              <w:bottom w:val="single" w:color="auto" w:sz="4" w:space="0"/>
              <w:right w:val="single" w:color="auto" w:sz="4" w:space="0"/>
            </w:tcBorders>
            <w:noWrap/>
            <w:vAlign w:val="center"/>
          </w:tcPr>
          <w:p w14:paraId="19029381">
            <w:pPr>
              <w:jc w:val="center"/>
              <w:outlineLvl w:val="9"/>
              <w:rPr>
                <w:rFonts w:ascii="宋体" w:hAnsi="宋体" w:cs="宋体"/>
                <w:sz w:val="21"/>
                <w:szCs w:val="21"/>
                <w:highlight w:val="none"/>
              </w:rPr>
            </w:pPr>
          </w:p>
        </w:tc>
        <w:tc>
          <w:tcPr>
            <w:tcW w:w="2979" w:type="dxa"/>
            <w:tcBorders>
              <w:top w:val="single" w:color="auto" w:sz="4" w:space="0"/>
              <w:left w:val="single" w:color="auto" w:sz="4" w:space="0"/>
              <w:bottom w:val="single" w:color="auto" w:sz="4" w:space="0"/>
              <w:right w:val="single" w:color="auto" w:sz="4" w:space="0"/>
            </w:tcBorders>
            <w:noWrap/>
            <w:vAlign w:val="center"/>
          </w:tcPr>
          <w:p w14:paraId="2FDC8A1D">
            <w:pPr>
              <w:jc w:val="center"/>
              <w:outlineLvl w:val="9"/>
              <w:rPr>
                <w:rFonts w:ascii="宋体" w:hAnsi="宋体" w:cs="宋体"/>
                <w:sz w:val="21"/>
                <w:szCs w:val="21"/>
                <w:highlight w:val="none"/>
              </w:rPr>
            </w:pPr>
          </w:p>
        </w:tc>
        <w:tc>
          <w:tcPr>
            <w:tcW w:w="2976" w:type="dxa"/>
            <w:tcBorders>
              <w:top w:val="single" w:color="auto" w:sz="4" w:space="0"/>
              <w:left w:val="single" w:color="auto" w:sz="4" w:space="0"/>
              <w:bottom w:val="single" w:color="auto" w:sz="4" w:space="0"/>
              <w:right w:val="single" w:color="auto" w:sz="4" w:space="0"/>
            </w:tcBorders>
            <w:noWrap/>
            <w:vAlign w:val="center"/>
          </w:tcPr>
          <w:p w14:paraId="0C8ECC49">
            <w:pPr>
              <w:jc w:val="center"/>
              <w:outlineLvl w:val="9"/>
              <w:rPr>
                <w:rFonts w:ascii="宋体" w:hAnsi="宋体" w:cs="宋体"/>
                <w:sz w:val="21"/>
                <w:szCs w:val="21"/>
                <w:highlight w:val="none"/>
              </w:rPr>
            </w:pPr>
          </w:p>
        </w:tc>
        <w:tc>
          <w:tcPr>
            <w:tcW w:w="851" w:type="dxa"/>
            <w:tcBorders>
              <w:top w:val="single" w:color="auto" w:sz="4" w:space="0"/>
              <w:left w:val="single" w:color="auto" w:sz="4" w:space="0"/>
              <w:bottom w:val="single" w:color="auto" w:sz="4" w:space="0"/>
              <w:right w:val="single" w:color="auto" w:sz="4" w:space="0"/>
            </w:tcBorders>
            <w:noWrap/>
            <w:vAlign w:val="center"/>
          </w:tcPr>
          <w:p w14:paraId="0605B590">
            <w:pPr>
              <w:jc w:val="center"/>
              <w:outlineLvl w:val="9"/>
              <w:rPr>
                <w:rFonts w:ascii="宋体" w:hAnsi="宋体" w:cs="宋体"/>
                <w:sz w:val="21"/>
                <w:szCs w:val="21"/>
                <w:highlight w:val="none"/>
              </w:rPr>
            </w:pPr>
          </w:p>
        </w:tc>
      </w:tr>
      <w:tr w14:paraId="751E53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4D79E82F">
            <w:pPr>
              <w:jc w:val="center"/>
              <w:outlineLvl w:val="9"/>
              <w:rPr>
                <w:rFonts w:ascii="宋体" w:hAnsi="宋体" w:cs="宋体"/>
                <w:sz w:val="21"/>
                <w:szCs w:val="21"/>
                <w:highlight w:val="none"/>
              </w:rPr>
            </w:pPr>
          </w:p>
        </w:tc>
        <w:tc>
          <w:tcPr>
            <w:tcW w:w="1899" w:type="dxa"/>
            <w:tcBorders>
              <w:top w:val="single" w:color="auto" w:sz="4" w:space="0"/>
              <w:left w:val="single" w:color="auto" w:sz="4" w:space="0"/>
              <w:bottom w:val="single" w:color="auto" w:sz="4" w:space="0"/>
              <w:right w:val="single" w:color="auto" w:sz="4" w:space="0"/>
            </w:tcBorders>
            <w:noWrap/>
            <w:vAlign w:val="center"/>
          </w:tcPr>
          <w:p w14:paraId="1CC777AC">
            <w:pPr>
              <w:jc w:val="center"/>
              <w:outlineLvl w:val="9"/>
              <w:rPr>
                <w:rFonts w:ascii="宋体" w:hAnsi="宋体" w:cs="宋体"/>
                <w:sz w:val="21"/>
                <w:szCs w:val="21"/>
                <w:highlight w:val="none"/>
              </w:rPr>
            </w:pPr>
          </w:p>
        </w:tc>
        <w:tc>
          <w:tcPr>
            <w:tcW w:w="2979" w:type="dxa"/>
            <w:tcBorders>
              <w:top w:val="single" w:color="auto" w:sz="4" w:space="0"/>
              <w:left w:val="single" w:color="auto" w:sz="4" w:space="0"/>
              <w:bottom w:val="single" w:color="auto" w:sz="4" w:space="0"/>
              <w:right w:val="single" w:color="auto" w:sz="4" w:space="0"/>
            </w:tcBorders>
            <w:noWrap/>
            <w:vAlign w:val="center"/>
          </w:tcPr>
          <w:p w14:paraId="4E5FCFE2">
            <w:pPr>
              <w:jc w:val="center"/>
              <w:outlineLvl w:val="9"/>
              <w:rPr>
                <w:rFonts w:ascii="宋体" w:hAnsi="宋体" w:cs="宋体"/>
                <w:sz w:val="21"/>
                <w:szCs w:val="21"/>
                <w:highlight w:val="none"/>
              </w:rPr>
            </w:pPr>
          </w:p>
        </w:tc>
        <w:tc>
          <w:tcPr>
            <w:tcW w:w="2976" w:type="dxa"/>
            <w:tcBorders>
              <w:top w:val="single" w:color="auto" w:sz="4" w:space="0"/>
              <w:left w:val="single" w:color="auto" w:sz="4" w:space="0"/>
              <w:bottom w:val="single" w:color="auto" w:sz="4" w:space="0"/>
              <w:right w:val="single" w:color="auto" w:sz="4" w:space="0"/>
            </w:tcBorders>
            <w:noWrap/>
            <w:vAlign w:val="center"/>
          </w:tcPr>
          <w:p w14:paraId="5755FE27">
            <w:pPr>
              <w:jc w:val="center"/>
              <w:outlineLvl w:val="9"/>
              <w:rPr>
                <w:rFonts w:ascii="宋体" w:hAnsi="宋体" w:cs="宋体"/>
                <w:sz w:val="21"/>
                <w:szCs w:val="21"/>
                <w:highlight w:val="none"/>
              </w:rPr>
            </w:pPr>
          </w:p>
        </w:tc>
        <w:tc>
          <w:tcPr>
            <w:tcW w:w="851" w:type="dxa"/>
            <w:tcBorders>
              <w:top w:val="single" w:color="auto" w:sz="4" w:space="0"/>
              <w:left w:val="single" w:color="auto" w:sz="4" w:space="0"/>
              <w:bottom w:val="single" w:color="auto" w:sz="4" w:space="0"/>
              <w:right w:val="single" w:color="auto" w:sz="4" w:space="0"/>
            </w:tcBorders>
            <w:noWrap/>
            <w:vAlign w:val="center"/>
          </w:tcPr>
          <w:p w14:paraId="2E9B5AE5">
            <w:pPr>
              <w:jc w:val="center"/>
              <w:outlineLvl w:val="9"/>
              <w:rPr>
                <w:rFonts w:ascii="宋体" w:hAnsi="宋体" w:cs="宋体"/>
                <w:sz w:val="21"/>
                <w:szCs w:val="21"/>
                <w:highlight w:val="none"/>
              </w:rPr>
            </w:pPr>
          </w:p>
        </w:tc>
      </w:tr>
      <w:tr w14:paraId="73ED0D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724F5BBC">
            <w:pPr>
              <w:jc w:val="center"/>
              <w:outlineLvl w:val="9"/>
              <w:rPr>
                <w:rFonts w:ascii="宋体" w:hAnsi="宋体" w:cs="宋体"/>
                <w:sz w:val="21"/>
                <w:szCs w:val="21"/>
                <w:highlight w:val="none"/>
              </w:rPr>
            </w:pPr>
          </w:p>
        </w:tc>
        <w:tc>
          <w:tcPr>
            <w:tcW w:w="1899" w:type="dxa"/>
            <w:tcBorders>
              <w:top w:val="single" w:color="auto" w:sz="4" w:space="0"/>
              <w:left w:val="single" w:color="auto" w:sz="4" w:space="0"/>
              <w:bottom w:val="single" w:color="auto" w:sz="4" w:space="0"/>
              <w:right w:val="single" w:color="auto" w:sz="4" w:space="0"/>
            </w:tcBorders>
            <w:noWrap/>
            <w:vAlign w:val="center"/>
          </w:tcPr>
          <w:p w14:paraId="77699AB3">
            <w:pPr>
              <w:jc w:val="center"/>
              <w:outlineLvl w:val="9"/>
              <w:rPr>
                <w:rFonts w:ascii="宋体" w:hAnsi="宋体" w:cs="宋体"/>
                <w:sz w:val="21"/>
                <w:szCs w:val="21"/>
                <w:highlight w:val="none"/>
              </w:rPr>
            </w:pPr>
          </w:p>
        </w:tc>
        <w:tc>
          <w:tcPr>
            <w:tcW w:w="2979" w:type="dxa"/>
            <w:tcBorders>
              <w:top w:val="single" w:color="auto" w:sz="4" w:space="0"/>
              <w:left w:val="single" w:color="auto" w:sz="4" w:space="0"/>
              <w:bottom w:val="single" w:color="auto" w:sz="4" w:space="0"/>
              <w:right w:val="single" w:color="auto" w:sz="4" w:space="0"/>
            </w:tcBorders>
            <w:noWrap/>
            <w:vAlign w:val="center"/>
          </w:tcPr>
          <w:p w14:paraId="7CD6DC04">
            <w:pPr>
              <w:jc w:val="center"/>
              <w:outlineLvl w:val="9"/>
              <w:rPr>
                <w:rFonts w:ascii="宋体" w:hAnsi="宋体" w:cs="宋体"/>
                <w:sz w:val="21"/>
                <w:szCs w:val="21"/>
                <w:highlight w:val="none"/>
              </w:rPr>
            </w:pPr>
          </w:p>
        </w:tc>
        <w:tc>
          <w:tcPr>
            <w:tcW w:w="2976" w:type="dxa"/>
            <w:tcBorders>
              <w:top w:val="single" w:color="auto" w:sz="4" w:space="0"/>
              <w:left w:val="single" w:color="auto" w:sz="4" w:space="0"/>
              <w:bottom w:val="single" w:color="auto" w:sz="4" w:space="0"/>
              <w:right w:val="single" w:color="auto" w:sz="4" w:space="0"/>
            </w:tcBorders>
            <w:noWrap/>
            <w:vAlign w:val="center"/>
          </w:tcPr>
          <w:p w14:paraId="659DBBA5">
            <w:pPr>
              <w:jc w:val="center"/>
              <w:outlineLvl w:val="9"/>
              <w:rPr>
                <w:rFonts w:ascii="宋体" w:hAnsi="宋体" w:cs="宋体"/>
                <w:sz w:val="21"/>
                <w:szCs w:val="21"/>
                <w:highlight w:val="none"/>
              </w:rPr>
            </w:pPr>
          </w:p>
        </w:tc>
        <w:tc>
          <w:tcPr>
            <w:tcW w:w="851" w:type="dxa"/>
            <w:tcBorders>
              <w:top w:val="single" w:color="auto" w:sz="4" w:space="0"/>
              <w:left w:val="single" w:color="auto" w:sz="4" w:space="0"/>
              <w:bottom w:val="single" w:color="auto" w:sz="4" w:space="0"/>
              <w:right w:val="single" w:color="auto" w:sz="4" w:space="0"/>
            </w:tcBorders>
            <w:noWrap/>
            <w:vAlign w:val="center"/>
          </w:tcPr>
          <w:p w14:paraId="3C849B4A">
            <w:pPr>
              <w:jc w:val="center"/>
              <w:outlineLvl w:val="9"/>
              <w:rPr>
                <w:rFonts w:ascii="宋体" w:hAnsi="宋体" w:cs="宋体"/>
                <w:sz w:val="21"/>
                <w:szCs w:val="21"/>
                <w:highlight w:val="none"/>
              </w:rPr>
            </w:pPr>
          </w:p>
        </w:tc>
      </w:tr>
    </w:tbl>
    <w:p w14:paraId="124AA655">
      <w:pPr>
        <w:rPr>
          <w:rFonts w:ascii="宋体" w:hAnsi="宋体" w:cs="宋体"/>
          <w:sz w:val="21"/>
          <w:szCs w:val="21"/>
          <w:highlight w:val="none"/>
        </w:rPr>
      </w:pPr>
    </w:p>
    <w:p w14:paraId="7C2686FC">
      <w:pPr>
        <w:spacing w:line="360" w:lineRule="auto"/>
        <w:rPr>
          <w:rFonts w:ascii="宋体" w:hAnsi="宋体" w:cs="宋体"/>
          <w:sz w:val="21"/>
          <w:szCs w:val="21"/>
          <w:highlight w:val="none"/>
        </w:rPr>
      </w:pPr>
      <w:r>
        <w:rPr>
          <w:rFonts w:hint="eastAsia" w:ascii="宋体" w:hAnsi="宋体" w:cs="宋体"/>
          <w:sz w:val="21"/>
          <w:szCs w:val="21"/>
          <w:highlight w:val="none"/>
        </w:rPr>
        <w:t>注：</w:t>
      </w:r>
    </w:p>
    <w:p w14:paraId="782BFB79">
      <w:pPr>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 xml:space="preserve">1、 </w:t>
      </w:r>
      <w:r>
        <w:rPr>
          <w:rFonts w:hint="eastAsia" w:ascii="宋体" w:hAnsi="宋体" w:cs="宋体"/>
          <w:sz w:val="21"/>
          <w:szCs w:val="21"/>
          <w:highlight w:val="none"/>
          <w:lang w:eastAsia="zh-CN"/>
        </w:rPr>
        <w:t>投标人</w:t>
      </w:r>
      <w:r>
        <w:rPr>
          <w:rFonts w:hint="eastAsia" w:ascii="宋体" w:hAnsi="宋体" w:cs="宋体"/>
          <w:sz w:val="21"/>
          <w:szCs w:val="21"/>
          <w:highlight w:val="none"/>
        </w:rPr>
        <w:t>应对照招标文件商务要求，逐条说明已对招标文件的商务内容做出了实质性的响应，并申明与招标文件的偏差和例外。若</w:t>
      </w:r>
      <w:r>
        <w:rPr>
          <w:rFonts w:hint="eastAsia" w:ascii="宋体" w:hAnsi="宋体" w:cs="宋体"/>
          <w:sz w:val="21"/>
          <w:szCs w:val="21"/>
          <w:highlight w:val="none"/>
          <w:lang w:eastAsia="zh-CN"/>
        </w:rPr>
        <w:t>投标人</w:t>
      </w:r>
      <w:r>
        <w:rPr>
          <w:rFonts w:hint="eastAsia" w:ascii="宋体" w:hAnsi="宋体" w:cs="宋体"/>
          <w:sz w:val="21"/>
          <w:szCs w:val="21"/>
          <w:highlight w:val="none"/>
        </w:rPr>
        <w:t>完全响应招标文件商务要求，填写“完全响应”即可，无需填写招标文件商务要求中的条文。</w:t>
      </w:r>
    </w:p>
    <w:p w14:paraId="3F27EDB7">
      <w:pPr>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2、商务条款主要填列合同履行期限 、</w:t>
      </w:r>
      <w:r>
        <w:rPr>
          <w:rFonts w:hint="eastAsia" w:ascii="宋体" w:hAnsi="宋体" w:cs="宋体"/>
          <w:sz w:val="21"/>
          <w:szCs w:val="21"/>
          <w:highlight w:val="none"/>
          <w:lang w:val="en-US" w:eastAsia="zh-CN"/>
        </w:rPr>
        <w:t>供货</w:t>
      </w:r>
      <w:r>
        <w:rPr>
          <w:rFonts w:hint="eastAsia" w:ascii="宋体" w:hAnsi="宋体" w:cs="宋体"/>
          <w:sz w:val="21"/>
          <w:szCs w:val="21"/>
          <w:highlight w:val="none"/>
        </w:rPr>
        <w:t>地点、质量</w:t>
      </w:r>
      <w:r>
        <w:rPr>
          <w:rFonts w:hint="eastAsia" w:ascii="宋体" w:hAnsi="宋体" w:cs="宋体"/>
          <w:sz w:val="21"/>
          <w:szCs w:val="21"/>
          <w:highlight w:val="none"/>
          <w:lang w:val="en-US" w:eastAsia="zh-CN"/>
        </w:rPr>
        <w:t>要求</w:t>
      </w:r>
      <w:r>
        <w:rPr>
          <w:rFonts w:hint="eastAsia" w:ascii="宋体" w:hAnsi="宋体" w:cs="宋体"/>
          <w:sz w:val="21"/>
          <w:szCs w:val="21"/>
          <w:highlight w:val="none"/>
        </w:rPr>
        <w:t>等重要条款方面的偏离情况。</w:t>
      </w:r>
    </w:p>
    <w:p w14:paraId="19F75852">
      <w:pPr>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3、“商务条款偏离表”是评审的重要依据，无论所提供的服务与招标文件的要求是否有偏离，</w:t>
      </w:r>
      <w:r>
        <w:rPr>
          <w:rFonts w:hint="eastAsia" w:ascii="宋体" w:hAnsi="宋体" w:cs="宋体"/>
          <w:sz w:val="21"/>
          <w:szCs w:val="21"/>
          <w:highlight w:val="none"/>
          <w:lang w:eastAsia="zh-CN"/>
        </w:rPr>
        <w:t>投标人</w:t>
      </w:r>
      <w:r>
        <w:rPr>
          <w:rFonts w:hint="eastAsia" w:ascii="宋体" w:hAnsi="宋体" w:cs="宋体"/>
          <w:sz w:val="21"/>
          <w:szCs w:val="21"/>
          <w:highlight w:val="none"/>
        </w:rPr>
        <w:t>均须详细填报“商务条款偏离表”。</w:t>
      </w:r>
    </w:p>
    <w:p w14:paraId="63FE9994">
      <w:pPr>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 xml:space="preserve">4、表内如果填列不全，可另外附页说明并按规定签字和加盖公章。             </w:t>
      </w:r>
    </w:p>
    <w:p w14:paraId="650AB155">
      <w:pPr>
        <w:spacing w:line="360" w:lineRule="auto"/>
        <w:ind w:firstLine="420" w:firstLineChars="200"/>
        <w:rPr>
          <w:rFonts w:ascii="宋体" w:hAnsi="宋体" w:cs="宋体"/>
          <w:sz w:val="21"/>
          <w:szCs w:val="21"/>
          <w:highlight w:val="none"/>
        </w:rPr>
      </w:pPr>
      <w:bookmarkStart w:id="101" w:name="_Toc492451846"/>
      <w:bookmarkStart w:id="102" w:name="_Toc25931"/>
      <w:r>
        <w:rPr>
          <w:rFonts w:hint="eastAsia" w:ascii="宋体" w:hAnsi="宋体" w:cs="宋体"/>
          <w:sz w:val="21"/>
          <w:szCs w:val="21"/>
          <w:highlight w:val="none"/>
        </w:rPr>
        <w:t>5、此表可根据需要自行拉长加宽。</w:t>
      </w:r>
      <w:bookmarkEnd w:id="101"/>
      <w:bookmarkEnd w:id="102"/>
    </w:p>
    <w:p w14:paraId="2F4BF70A">
      <w:pPr>
        <w:rPr>
          <w:sz w:val="21"/>
          <w:szCs w:val="21"/>
          <w:highlight w:val="none"/>
        </w:rPr>
      </w:pPr>
    </w:p>
    <w:p w14:paraId="271751A6">
      <w:pPr>
        <w:rPr>
          <w:sz w:val="21"/>
          <w:szCs w:val="21"/>
          <w:highlight w:val="none"/>
        </w:rPr>
      </w:pPr>
    </w:p>
    <w:p w14:paraId="158F39B2">
      <w:pPr>
        <w:autoSpaceDE w:val="0"/>
        <w:autoSpaceDN w:val="0"/>
        <w:adjustRightInd w:val="0"/>
        <w:spacing w:line="360" w:lineRule="auto"/>
        <w:ind w:right="480" w:firstLine="6300" w:firstLineChars="3000"/>
        <w:rPr>
          <w:rFonts w:ascii="宋体" w:hAnsi="宋体" w:cs="宋体"/>
          <w:sz w:val="21"/>
          <w:szCs w:val="21"/>
          <w:highlight w:val="none"/>
          <w:lang w:val="zh-CN"/>
        </w:rPr>
      </w:pPr>
      <w:r>
        <w:rPr>
          <w:rFonts w:hint="eastAsia" w:ascii="宋体" w:hAnsi="宋体" w:cs="宋体"/>
          <w:sz w:val="21"/>
          <w:szCs w:val="21"/>
          <w:highlight w:val="none"/>
          <w:lang w:val="zh-CN"/>
        </w:rPr>
        <w:t>投标人名称（盖章）：</w:t>
      </w:r>
    </w:p>
    <w:p w14:paraId="19794C69">
      <w:pPr>
        <w:autoSpaceDE w:val="0"/>
        <w:autoSpaceDN w:val="0"/>
        <w:adjustRightInd w:val="0"/>
        <w:spacing w:line="360" w:lineRule="auto"/>
        <w:ind w:right="480" w:firstLine="4305" w:firstLineChars="2050"/>
        <w:rPr>
          <w:rFonts w:ascii="宋体" w:hAnsi="宋体" w:cs="宋体"/>
          <w:sz w:val="21"/>
          <w:szCs w:val="21"/>
          <w:highlight w:val="none"/>
          <w:lang w:val="zh-CN"/>
        </w:rPr>
      </w:pPr>
    </w:p>
    <w:p w14:paraId="4DCA8891">
      <w:pPr>
        <w:autoSpaceDE w:val="0"/>
        <w:autoSpaceDN w:val="0"/>
        <w:adjustRightInd w:val="0"/>
        <w:spacing w:line="360" w:lineRule="auto"/>
        <w:ind w:firstLine="480"/>
        <w:jc w:val="right"/>
        <w:rPr>
          <w:rFonts w:ascii="宋体" w:hAnsi="宋体" w:cs="宋体"/>
          <w:sz w:val="21"/>
          <w:szCs w:val="21"/>
          <w:highlight w:val="none"/>
          <w:lang w:val="zh-CN"/>
        </w:rPr>
      </w:pPr>
      <w:r>
        <w:rPr>
          <w:rFonts w:hint="eastAsia" w:ascii="宋体" w:hAnsi="宋体" w:cs="宋体"/>
          <w:sz w:val="21"/>
          <w:szCs w:val="21"/>
          <w:highlight w:val="none"/>
          <w:lang w:val="en-US" w:eastAsia="zh-CN"/>
        </w:rPr>
        <w:t xml:space="preserve">   </w:t>
      </w:r>
      <w:r>
        <w:rPr>
          <w:rFonts w:hint="eastAsia" w:ascii="宋体" w:hAnsi="宋体" w:cs="宋体"/>
          <w:sz w:val="21"/>
          <w:szCs w:val="21"/>
          <w:highlight w:val="none"/>
          <w:lang w:val="zh-CN"/>
        </w:rPr>
        <w:t>法定代表人或其委托代理人（签字）：</w:t>
      </w:r>
    </w:p>
    <w:p w14:paraId="52056EE8">
      <w:pPr>
        <w:autoSpaceDE w:val="0"/>
        <w:autoSpaceDN w:val="0"/>
        <w:adjustRightInd w:val="0"/>
        <w:spacing w:line="360" w:lineRule="auto"/>
        <w:ind w:firstLine="480"/>
        <w:jc w:val="right"/>
        <w:rPr>
          <w:rFonts w:ascii="宋体" w:hAnsi="宋体" w:cs="宋体"/>
          <w:sz w:val="21"/>
          <w:szCs w:val="21"/>
          <w:highlight w:val="none"/>
          <w:lang w:val="zh-CN"/>
        </w:rPr>
      </w:pPr>
    </w:p>
    <w:p w14:paraId="75B9BB93">
      <w:pPr>
        <w:autoSpaceDE w:val="0"/>
        <w:autoSpaceDN w:val="0"/>
        <w:adjustRightInd w:val="0"/>
        <w:ind w:right="480"/>
        <w:jc w:val="center"/>
        <w:rPr>
          <w:rFonts w:ascii="宋体" w:hAnsi="宋体" w:cs="宋体"/>
          <w:sz w:val="21"/>
          <w:szCs w:val="21"/>
          <w:highlight w:val="none"/>
          <w:lang w:val="zh-CN"/>
        </w:rPr>
      </w:pPr>
      <w:r>
        <w:rPr>
          <w:rFonts w:hint="eastAsia" w:ascii="宋体" w:hAnsi="宋体" w:cs="宋体"/>
          <w:sz w:val="21"/>
          <w:szCs w:val="21"/>
          <w:highlight w:val="none"/>
          <w:lang w:val="en-US" w:eastAsia="zh-CN"/>
        </w:rPr>
        <w:t xml:space="preserve">                                                    </w:t>
      </w:r>
      <w:r>
        <w:rPr>
          <w:rFonts w:hint="eastAsia" w:ascii="宋体" w:hAnsi="宋体" w:cs="宋体"/>
          <w:sz w:val="21"/>
          <w:szCs w:val="21"/>
          <w:highlight w:val="none"/>
          <w:lang w:val="zh-CN"/>
        </w:rPr>
        <w:t>日期：</w:t>
      </w:r>
      <w:r>
        <w:rPr>
          <w:rFonts w:hint="eastAsia" w:ascii="宋体" w:hAnsi="宋体" w:cs="宋体"/>
          <w:sz w:val="21"/>
          <w:szCs w:val="21"/>
          <w:highlight w:val="none"/>
          <w:lang w:val="en-US" w:eastAsia="zh-CN"/>
        </w:rPr>
        <w:t xml:space="preserve">   </w:t>
      </w:r>
      <w:r>
        <w:rPr>
          <w:rFonts w:hint="eastAsia" w:ascii="宋体" w:hAnsi="宋体" w:cs="宋体"/>
          <w:sz w:val="21"/>
          <w:szCs w:val="21"/>
          <w:highlight w:val="none"/>
          <w:lang w:val="zh-CN"/>
        </w:rPr>
        <w:t>年</w:t>
      </w:r>
      <w:r>
        <w:rPr>
          <w:rFonts w:hint="eastAsia" w:ascii="宋体" w:hAnsi="宋体" w:cs="宋体"/>
          <w:sz w:val="21"/>
          <w:szCs w:val="21"/>
          <w:highlight w:val="none"/>
          <w:lang w:val="en-US" w:eastAsia="zh-CN"/>
        </w:rPr>
        <w:t xml:space="preserve">   </w:t>
      </w:r>
      <w:r>
        <w:rPr>
          <w:rFonts w:hint="eastAsia" w:ascii="宋体" w:hAnsi="宋体" w:cs="宋体"/>
          <w:sz w:val="21"/>
          <w:szCs w:val="21"/>
          <w:highlight w:val="none"/>
          <w:lang w:val="zh-CN"/>
        </w:rPr>
        <w:t>月</w:t>
      </w:r>
      <w:r>
        <w:rPr>
          <w:rFonts w:hint="eastAsia" w:ascii="宋体" w:hAnsi="宋体" w:cs="宋体"/>
          <w:sz w:val="21"/>
          <w:szCs w:val="21"/>
          <w:highlight w:val="none"/>
          <w:lang w:val="en-US" w:eastAsia="zh-CN"/>
        </w:rPr>
        <w:t xml:space="preserve">   </w:t>
      </w:r>
      <w:r>
        <w:rPr>
          <w:rFonts w:hint="eastAsia" w:ascii="宋体" w:hAnsi="宋体" w:cs="宋体"/>
          <w:sz w:val="21"/>
          <w:szCs w:val="21"/>
          <w:highlight w:val="none"/>
          <w:lang w:val="zh-CN"/>
        </w:rPr>
        <w:t>日</w:t>
      </w:r>
    </w:p>
    <w:p w14:paraId="1E7CA839">
      <w:pPr>
        <w:rPr>
          <w:sz w:val="21"/>
          <w:szCs w:val="21"/>
          <w:highlight w:val="none"/>
        </w:rPr>
      </w:pPr>
    </w:p>
    <w:p w14:paraId="45BAC722">
      <w:pPr>
        <w:rPr>
          <w:highlight w:val="none"/>
        </w:rPr>
      </w:pPr>
    </w:p>
    <w:p w14:paraId="42F6F4AF">
      <w:pPr>
        <w:tabs>
          <w:tab w:val="left" w:pos="1365"/>
        </w:tabs>
        <w:jc w:val="center"/>
        <w:rPr>
          <w:rFonts w:hint="eastAsia" w:ascii="宋体" w:hAnsi="宋体" w:cs="宋体"/>
          <w:b/>
          <w:sz w:val="32"/>
          <w:szCs w:val="32"/>
          <w:highlight w:val="none"/>
        </w:rPr>
      </w:pPr>
    </w:p>
    <w:p w14:paraId="152C32F6">
      <w:pPr>
        <w:tabs>
          <w:tab w:val="left" w:pos="1365"/>
        </w:tabs>
        <w:jc w:val="center"/>
        <w:rPr>
          <w:rFonts w:ascii="宋体" w:hAnsi="宋体" w:cs="宋体"/>
          <w:b/>
          <w:sz w:val="24"/>
          <w:highlight w:val="none"/>
        </w:rPr>
      </w:pPr>
      <w:r>
        <w:rPr>
          <w:rFonts w:hint="eastAsia" w:ascii="宋体" w:hAnsi="宋体" w:cs="宋体"/>
          <w:b/>
          <w:sz w:val="32"/>
          <w:szCs w:val="32"/>
          <w:highlight w:val="none"/>
        </w:rPr>
        <w:br w:type="page"/>
      </w:r>
      <w:r>
        <w:rPr>
          <w:rFonts w:hint="eastAsia" w:ascii="宋体" w:hAnsi="宋体" w:cs="宋体"/>
          <w:b/>
          <w:sz w:val="32"/>
          <w:szCs w:val="32"/>
          <w:highlight w:val="none"/>
        </w:rPr>
        <w:t>六、技术</w:t>
      </w:r>
      <w:r>
        <w:rPr>
          <w:rFonts w:hint="eastAsia" w:ascii="宋体" w:hAnsi="宋体" w:cs="宋体"/>
          <w:b/>
          <w:sz w:val="32"/>
          <w:szCs w:val="32"/>
          <w:highlight w:val="none"/>
          <w:lang w:val="en-US" w:eastAsia="zh-CN"/>
        </w:rPr>
        <w:t>参数</w:t>
      </w:r>
      <w:r>
        <w:rPr>
          <w:rFonts w:hint="eastAsia" w:ascii="宋体" w:hAnsi="宋体" w:cs="宋体"/>
          <w:b/>
          <w:sz w:val="32"/>
          <w:szCs w:val="32"/>
          <w:highlight w:val="none"/>
        </w:rPr>
        <w:t>偏离表</w:t>
      </w:r>
    </w:p>
    <w:p w14:paraId="76320661">
      <w:pPr>
        <w:rPr>
          <w:rFonts w:ascii="宋体" w:hAnsi="宋体" w:cs="宋体"/>
          <w:sz w:val="21"/>
          <w:szCs w:val="21"/>
          <w:highlight w:val="none"/>
        </w:rPr>
      </w:pPr>
    </w:p>
    <w:tbl>
      <w:tblPr>
        <w:tblStyle w:val="2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5"/>
        <w:gridCol w:w="1466"/>
        <w:gridCol w:w="2559"/>
        <w:gridCol w:w="2126"/>
        <w:gridCol w:w="1363"/>
        <w:gridCol w:w="940"/>
      </w:tblGrid>
      <w:tr w14:paraId="7EC56F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6"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10094846">
            <w:pPr>
              <w:rPr>
                <w:rFonts w:ascii="宋体" w:hAnsi="宋体" w:cs="宋体"/>
                <w:sz w:val="21"/>
                <w:szCs w:val="21"/>
                <w:highlight w:val="none"/>
              </w:rPr>
            </w:pPr>
            <w:bookmarkStart w:id="103" w:name="_Toc492451847"/>
            <w:bookmarkStart w:id="104" w:name="_Toc420593292"/>
            <w:bookmarkStart w:id="105" w:name="_Toc11797"/>
            <w:r>
              <w:rPr>
                <w:rFonts w:hint="eastAsia" w:ascii="宋体" w:hAnsi="宋体" w:cs="宋体"/>
                <w:sz w:val="21"/>
                <w:szCs w:val="21"/>
                <w:highlight w:val="none"/>
              </w:rPr>
              <w:t>序号</w:t>
            </w:r>
            <w:bookmarkEnd w:id="103"/>
            <w:bookmarkEnd w:id="104"/>
            <w:bookmarkEnd w:id="105"/>
          </w:p>
        </w:tc>
        <w:tc>
          <w:tcPr>
            <w:tcW w:w="1466" w:type="dxa"/>
            <w:tcBorders>
              <w:top w:val="single" w:color="auto" w:sz="4" w:space="0"/>
              <w:left w:val="single" w:color="auto" w:sz="4" w:space="0"/>
              <w:bottom w:val="single" w:color="auto" w:sz="4" w:space="0"/>
              <w:right w:val="single" w:color="auto" w:sz="4" w:space="0"/>
            </w:tcBorders>
            <w:noWrap/>
            <w:vAlign w:val="center"/>
          </w:tcPr>
          <w:p w14:paraId="52F7EBFD">
            <w:pPr>
              <w:jc w:val="center"/>
              <w:rPr>
                <w:rFonts w:ascii="宋体" w:hAnsi="宋体" w:cs="宋体"/>
                <w:sz w:val="21"/>
                <w:szCs w:val="21"/>
                <w:highlight w:val="none"/>
              </w:rPr>
            </w:pPr>
            <w:r>
              <w:rPr>
                <w:rFonts w:hint="eastAsia" w:ascii="宋体" w:hAnsi="宋体" w:cs="宋体"/>
                <w:sz w:val="21"/>
                <w:szCs w:val="21"/>
                <w:highlight w:val="none"/>
                <w:lang w:val="en-US" w:eastAsia="zh-CN"/>
              </w:rPr>
              <w:t>采购</w:t>
            </w:r>
            <w:r>
              <w:rPr>
                <w:rFonts w:hint="eastAsia" w:ascii="宋体" w:hAnsi="宋体" w:cs="宋体"/>
                <w:sz w:val="21"/>
                <w:szCs w:val="21"/>
                <w:highlight w:val="none"/>
              </w:rPr>
              <w:t>内容</w:t>
            </w:r>
          </w:p>
        </w:tc>
        <w:tc>
          <w:tcPr>
            <w:tcW w:w="2559" w:type="dxa"/>
            <w:tcBorders>
              <w:top w:val="single" w:color="auto" w:sz="4" w:space="0"/>
              <w:left w:val="single" w:color="auto" w:sz="4" w:space="0"/>
              <w:bottom w:val="single" w:color="auto" w:sz="4" w:space="0"/>
              <w:right w:val="single" w:color="auto" w:sz="4" w:space="0"/>
            </w:tcBorders>
            <w:noWrap/>
            <w:vAlign w:val="center"/>
          </w:tcPr>
          <w:p w14:paraId="174B5DD7">
            <w:pPr>
              <w:jc w:val="center"/>
              <w:rPr>
                <w:rFonts w:hint="default" w:ascii="宋体" w:hAnsi="宋体" w:eastAsia="宋体" w:cs="宋体"/>
                <w:sz w:val="21"/>
                <w:szCs w:val="21"/>
                <w:highlight w:val="none"/>
                <w:lang w:val="en-US" w:eastAsia="zh-CN"/>
              </w:rPr>
            </w:pPr>
            <w:bookmarkStart w:id="106" w:name="_Toc22219"/>
            <w:r>
              <w:rPr>
                <w:rFonts w:hint="eastAsia" w:ascii="宋体" w:hAnsi="宋体" w:eastAsia="宋体" w:cs="宋体"/>
                <w:color w:val="auto"/>
                <w:sz w:val="21"/>
                <w:szCs w:val="21"/>
                <w:highlight w:val="none"/>
              </w:rPr>
              <w:t>招标文件规定的货物需求、技术规格</w:t>
            </w:r>
            <w:bookmarkEnd w:id="106"/>
          </w:p>
        </w:tc>
        <w:tc>
          <w:tcPr>
            <w:tcW w:w="2126" w:type="dxa"/>
            <w:tcBorders>
              <w:top w:val="single" w:color="auto" w:sz="4" w:space="0"/>
              <w:left w:val="single" w:color="auto" w:sz="4" w:space="0"/>
              <w:bottom w:val="single" w:color="auto" w:sz="4" w:space="0"/>
              <w:right w:val="single" w:color="auto" w:sz="4" w:space="0"/>
            </w:tcBorders>
            <w:noWrap/>
            <w:vAlign w:val="center"/>
          </w:tcPr>
          <w:p w14:paraId="5FD9A80B">
            <w:pPr>
              <w:rPr>
                <w:rFonts w:ascii="宋体" w:hAnsi="宋体" w:cs="宋体"/>
                <w:sz w:val="21"/>
                <w:szCs w:val="21"/>
                <w:highlight w:val="none"/>
              </w:rPr>
            </w:pPr>
            <w:bookmarkStart w:id="107" w:name="_Toc5484"/>
            <w:r>
              <w:rPr>
                <w:rFonts w:hint="eastAsia" w:ascii="宋体" w:hAnsi="宋体" w:eastAsia="宋体" w:cs="宋体"/>
                <w:color w:val="auto"/>
                <w:sz w:val="21"/>
                <w:szCs w:val="21"/>
                <w:highlight w:val="none"/>
              </w:rPr>
              <w:t>投标文件对应的货物情况、技术规格</w:t>
            </w:r>
            <w:bookmarkEnd w:id="107"/>
          </w:p>
        </w:tc>
        <w:tc>
          <w:tcPr>
            <w:tcW w:w="1363" w:type="dxa"/>
            <w:tcBorders>
              <w:top w:val="single" w:color="auto" w:sz="4" w:space="0"/>
              <w:left w:val="single" w:color="auto" w:sz="4" w:space="0"/>
              <w:bottom w:val="single" w:color="auto" w:sz="4" w:space="0"/>
              <w:right w:val="single" w:color="auto" w:sz="4" w:space="0"/>
            </w:tcBorders>
            <w:noWrap/>
            <w:vAlign w:val="center"/>
          </w:tcPr>
          <w:p w14:paraId="2D6B1914">
            <w:pPr>
              <w:jc w:val="center"/>
              <w:rPr>
                <w:rFonts w:hint="default" w:ascii="宋体" w:hAnsi="宋体" w:eastAsia="宋体" w:cs="宋体"/>
                <w:sz w:val="21"/>
                <w:szCs w:val="21"/>
                <w:highlight w:val="none"/>
                <w:lang w:val="en-US" w:eastAsia="zh-CN"/>
              </w:rPr>
            </w:pPr>
            <w:bookmarkStart w:id="108" w:name="_Toc492451851"/>
            <w:bookmarkStart w:id="109" w:name="_Toc420593296"/>
            <w:bookmarkStart w:id="110" w:name="_Toc3951"/>
            <w:r>
              <w:rPr>
                <w:rFonts w:hint="eastAsia" w:ascii="宋体" w:hAnsi="宋体" w:cs="宋体"/>
                <w:sz w:val="21"/>
                <w:szCs w:val="21"/>
                <w:highlight w:val="none"/>
              </w:rPr>
              <w:t>偏离</w:t>
            </w:r>
            <w:bookmarkEnd w:id="108"/>
            <w:bookmarkEnd w:id="109"/>
            <w:bookmarkEnd w:id="110"/>
            <w:r>
              <w:rPr>
                <w:rFonts w:hint="eastAsia" w:ascii="宋体" w:hAnsi="宋体" w:cs="宋体"/>
                <w:sz w:val="21"/>
                <w:szCs w:val="21"/>
                <w:highlight w:val="none"/>
                <w:lang w:val="en-US" w:eastAsia="zh-CN"/>
              </w:rPr>
              <w:t>情况（正偏离/无偏离/负偏离）</w:t>
            </w:r>
          </w:p>
        </w:tc>
        <w:tc>
          <w:tcPr>
            <w:tcW w:w="940" w:type="dxa"/>
            <w:tcBorders>
              <w:top w:val="single" w:color="auto" w:sz="4" w:space="0"/>
              <w:left w:val="single" w:color="auto" w:sz="4" w:space="0"/>
              <w:bottom w:val="single" w:color="auto" w:sz="4" w:space="0"/>
              <w:right w:val="single" w:color="auto" w:sz="4" w:space="0"/>
            </w:tcBorders>
            <w:noWrap/>
            <w:vAlign w:val="center"/>
          </w:tcPr>
          <w:p w14:paraId="24A49D4E">
            <w:pPr>
              <w:jc w:val="center"/>
              <w:rPr>
                <w:rFonts w:ascii="宋体" w:hAnsi="宋体" w:cs="宋体"/>
                <w:sz w:val="21"/>
                <w:szCs w:val="21"/>
                <w:highlight w:val="none"/>
              </w:rPr>
            </w:pPr>
            <w:bookmarkStart w:id="111" w:name="_Toc492451852"/>
            <w:bookmarkStart w:id="112" w:name="_Toc7508"/>
            <w:bookmarkStart w:id="113" w:name="_Toc420593297"/>
            <w:r>
              <w:rPr>
                <w:rFonts w:hint="eastAsia" w:ascii="宋体" w:hAnsi="宋体" w:cs="宋体"/>
                <w:sz w:val="21"/>
                <w:szCs w:val="21"/>
                <w:highlight w:val="none"/>
              </w:rPr>
              <w:t>备注</w:t>
            </w:r>
            <w:bookmarkEnd w:id="111"/>
            <w:bookmarkEnd w:id="112"/>
            <w:bookmarkEnd w:id="113"/>
          </w:p>
        </w:tc>
      </w:tr>
      <w:tr w14:paraId="59C24F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76A6632C">
            <w:pPr>
              <w:jc w:val="center"/>
              <w:outlineLvl w:val="9"/>
              <w:rPr>
                <w:rFonts w:ascii="宋体" w:hAnsi="宋体" w:cs="宋体"/>
                <w:sz w:val="21"/>
                <w:szCs w:val="21"/>
                <w:highlight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361216BD">
            <w:pPr>
              <w:pStyle w:val="10"/>
              <w:ind w:left="5250"/>
              <w:jc w:val="center"/>
              <w:outlineLvl w:val="9"/>
              <w:rPr>
                <w:rFonts w:ascii="宋体" w:hAnsi="宋体" w:cs="宋体"/>
                <w:sz w:val="21"/>
                <w:szCs w:val="21"/>
                <w:highlight w:val="none"/>
              </w:rPr>
            </w:pPr>
          </w:p>
        </w:tc>
        <w:tc>
          <w:tcPr>
            <w:tcW w:w="2559" w:type="dxa"/>
            <w:tcBorders>
              <w:top w:val="single" w:color="auto" w:sz="4" w:space="0"/>
              <w:left w:val="single" w:color="auto" w:sz="4" w:space="0"/>
              <w:bottom w:val="single" w:color="auto" w:sz="4" w:space="0"/>
              <w:right w:val="single" w:color="auto" w:sz="4" w:space="0"/>
            </w:tcBorders>
            <w:noWrap/>
            <w:vAlign w:val="center"/>
          </w:tcPr>
          <w:p w14:paraId="3E27C59C">
            <w:pPr>
              <w:jc w:val="center"/>
              <w:outlineLvl w:val="9"/>
              <w:rPr>
                <w:rFonts w:ascii="宋体" w:hAnsi="宋体" w:cs="宋体"/>
                <w:sz w:val="21"/>
                <w:szCs w:val="21"/>
                <w:highlight w:val="none"/>
              </w:rPr>
            </w:pPr>
          </w:p>
        </w:tc>
        <w:tc>
          <w:tcPr>
            <w:tcW w:w="2126" w:type="dxa"/>
            <w:tcBorders>
              <w:top w:val="single" w:color="auto" w:sz="4" w:space="0"/>
              <w:left w:val="single" w:color="auto" w:sz="4" w:space="0"/>
              <w:bottom w:val="single" w:color="auto" w:sz="4" w:space="0"/>
              <w:right w:val="single" w:color="auto" w:sz="4" w:space="0"/>
            </w:tcBorders>
            <w:noWrap/>
            <w:vAlign w:val="center"/>
          </w:tcPr>
          <w:p w14:paraId="7021E1B5">
            <w:pPr>
              <w:jc w:val="center"/>
              <w:outlineLvl w:val="9"/>
              <w:rPr>
                <w:rFonts w:ascii="宋体" w:hAnsi="宋体" w:cs="宋体"/>
                <w:sz w:val="21"/>
                <w:szCs w:val="21"/>
                <w:highlight w:val="none"/>
              </w:rPr>
            </w:pPr>
          </w:p>
        </w:tc>
        <w:tc>
          <w:tcPr>
            <w:tcW w:w="1363" w:type="dxa"/>
            <w:tcBorders>
              <w:top w:val="single" w:color="auto" w:sz="4" w:space="0"/>
              <w:left w:val="single" w:color="auto" w:sz="4" w:space="0"/>
              <w:bottom w:val="single" w:color="auto" w:sz="4" w:space="0"/>
              <w:right w:val="single" w:color="auto" w:sz="4" w:space="0"/>
            </w:tcBorders>
            <w:noWrap/>
            <w:vAlign w:val="center"/>
          </w:tcPr>
          <w:p w14:paraId="4ECC653F">
            <w:pPr>
              <w:jc w:val="center"/>
              <w:outlineLvl w:val="9"/>
              <w:rPr>
                <w:rFonts w:ascii="宋体" w:hAnsi="宋体" w:cs="宋体"/>
                <w:sz w:val="21"/>
                <w:szCs w:val="21"/>
                <w:highlight w:val="none"/>
              </w:rPr>
            </w:pPr>
          </w:p>
        </w:tc>
        <w:tc>
          <w:tcPr>
            <w:tcW w:w="940" w:type="dxa"/>
            <w:tcBorders>
              <w:top w:val="single" w:color="auto" w:sz="4" w:space="0"/>
              <w:left w:val="single" w:color="auto" w:sz="4" w:space="0"/>
              <w:bottom w:val="single" w:color="auto" w:sz="4" w:space="0"/>
              <w:right w:val="single" w:color="auto" w:sz="4" w:space="0"/>
            </w:tcBorders>
            <w:noWrap/>
            <w:vAlign w:val="center"/>
          </w:tcPr>
          <w:p w14:paraId="2E22C4BD">
            <w:pPr>
              <w:jc w:val="center"/>
              <w:outlineLvl w:val="9"/>
              <w:rPr>
                <w:rFonts w:ascii="宋体" w:hAnsi="宋体" w:cs="宋体"/>
                <w:sz w:val="21"/>
                <w:szCs w:val="21"/>
                <w:highlight w:val="none"/>
              </w:rPr>
            </w:pPr>
          </w:p>
        </w:tc>
      </w:tr>
      <w:tr w14:paraId="66BAA5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4400D982">
            <w:pPr>
              <w:jc w:val="center"/>
              <w:outlineLvl w:val="9"/>
              <w:rPr>
                <w:rFonts w:ascii="宋体" w:hAnsi="宋体" w:cs="宋体"/>
                <w:sz w:val="21"/>
                <w:szCs w:val="21"/>
                <w:highlight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663D73ED">
            <w:pPr>
              <w:jc w:val="center"/>
              <w:outlineLvl w:val="9"/>
              <w:rPr>
                <w:rFonts w:ascii="宋体" w:hAnsi="宋体" w:cs="宋体"/>
                <w:sz w:val="21"/>
                <w:szCs w:val="21"/>
                <w:highlight w:val="none"/>
              </w:rPr>
            </w:pPr>
          </w:p>
        </w:tc>
        <w:tc>
          <w:tcPr>
            <w:tcW w:w="2559" w:type="dxa"/>
            <w:tcBorders>
              <w:top w:val="single" w:color="auto" w:sz="4" w:space="0"/>
              <w:left w:val="single" w:color="auto" w:sz="4" w:space="0"/>
              <w:bottom w:val="single" w:color="auto" w:sz="4" w:space="0"/>
              <w:right w:val="single" w:color="auto" w:sz="4" w:space="0"/>
            </w:tcBorders>
            <w:noWrap/>
            <w:vAlign w:val="center"/>
          </w:tcPr>
          <w:p w14:paraId="7170EBEB">
            <w:pPr>
              <w:jc w:val="center"/>
              <w:outlineLvl w:val="9"/>
              <w:rPr>
                <w:rFonts w:ascii="宋体" w:hAnsi="宋体" w:cs="宋体"/>
                <w:sz w:val="21"/>
                <w:szCs w:val="21"/>
                <w:highlight w:val="none"/>
              </w:rPr>
            </w:pPr>
          </w:p>
        </w:tc>
        <w:tc>
          <w:tcPr>
            <w:tcW w:w="2126" w:type="dxa"/>
            <w:tcBorders>
              <w:top w:val="single" w:color="auto" w:sz="4" w:space="0"/>
              <w:left w:val="single" w:color="auto" w:sz="4" w:space="0"/>
              <w:bottom w:val="single" w:color="auto" w:sz="4" w:space="0"/>
              <w:right w:val="single" w:color="auto" w:sz="4" w:space="0"/>
            </w:tcBorders>
            <w:noWrap/>
            <w:vAlign w:val="center"/>
          </w:tcPr>
          <w:p w14:paraId="11EC171D">
            <w:pPr>
              <w:jc w:val="center"/>
              <w:outlineLvl w:val="9"/>
              <w:rPr>
                <w:rFonts w:ascii="宋体" w:hAnsi="宋体" w:cs="宋体"/>
                <w:sz w:val="21"/>
                <w:szCs w:val="21"/>
                <w:highlight w:val="none"/>
              </w:rPr>
            </w:pPr>
          </w:p>
        </w:tc>
        <w:tc>
          <w:tcPr>
            <w:tcW w:w="1363" w:type="dxa"/>
            <w:tcBorders>
              <w:top w:val="single" w:color="auto" w:sz="4" w:space="0"/>
              <w:left w:val="single" w:color="auto" w:sz="4" w:space="0"/>
              <w:bottom w:val="single" w:color="auto" w:sz="4" w:space="0"/>
              <w:right w:val="single" w:color="auto" w:sz="4" w:space="0"/>
            </w:tcBorders>
            <w:noWrap/>
            <w:vAlign w:val="center"/>
          </w:tcPr>
          <w:p w14:paraId="7B3B239B">
            <w:pPr>
              <w:jc w:val="center"/>
              <w:outlineLvl w:val="9"/>
              <w:rPr>
                <w:rFonts w:ascii="宋体" w:hAnsi="宋体" w:cs="宋体"/>
                <w:sz w:val="21"/>
                <w:szCs w:val="21"/>
                <w:highlight w:val="none"/>
              </w:rPr>
            </w:pPr>
          </w:p>
        </w:tc>
        <w:tc>
          <w:tcPr>
            <w:tcW w:w="940" w:type="dxa"/>
            <w:tcBorders>
              <w:top w:val="single" w:color="auto" w:sz="4" w:space="0"/>
              <w:left w:val="single" w:color="auto" w:sz="4" w:space="0"/>
              <w:bottom w:val="single" w:color="auto" w:sz="4" w:space="0"/>
              <w:right w:val="single" w:color="auto" w:sz="4" w:space="0"/>
            </w:tcBorders>
            <w:noWrap/>
            <w:vAlign w:val="center"/>
          </w:tcPr>
          <w:p w14:paraId="787CCF04">
            <w:pPr>
              <w:jc w:val="center"/>
              <w:outlineLvl w:val="9"/>
              <w:rPr>
                <w:rFonts w:ascii="宋体" w:hAnsi="宋体" w:cs="宋体"/>
                <w:sz w:val="21"/>
                <w:szCs w:val="21"/>
                <w:highlight w:val="none"/>
              </w:rPr>
            </w:pPr>
          </w:p>
        </w:tc>
      </w:tr>
      <w:tr w14:paraId="0195CC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70D19806">
            <w:pPr>
              <w:jc w:val="center"/>
              <w:outlineLvl w:val="9"/>
              <w:rPr>
                <w:rFonts w:ascii="宋体" w:hAnsi="宋体" w:cs="宋体"/>
                <w:sz w:val="21"/>
                <w:szCs w:val="21"/>
                <w:highlight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1084B887">
            <w:pPr>
              <w:jc w:val="center"/>
              <w:outlineLvl w:val="9"/>
              <w:rPr>
                <w:rFonts w:ascii="宋体" w:hAnsi="宋体" w:cs="宋体"/>
                <w:sz w:val="21"/>
                <w:szCs w:val="21"/>
                <w:highlight w:val="none"/>
              </w:rPr>
            </w:pPr>
          </w:p>
        </w:tc>
        <w:tc>
          <w:tcPr>
            <w:tcW w:w="2559" w:type="dxa"/>
            <w:tcBorders>
              <w:top w:val="single" w:color="auto" w:sz="4" w:space="0"/>
              <w:left w:val="single" w:color="auto" w:sz="4" w:space="0"/>
              <w:bottom w:val="single" w:color="auto" w:sz="4" w:space="0"/>
              <w:right w:val="single" w:color="auto" w:sz="4" w:space="0"/>
            </w:tcBorders>
            <w:noWrap/>
            <w:vAlign w:val="center"/>
          </w:tcPr>
          <w:p w14:paraId="53DAD792">
            <w:pPr>
              <w:jc w:val="center"/>
              <w:outlineLvl w:val="9"/>
              <w:rPr>
                <w:rFonts w:ascii="宋体" w:hAnsi="宋体" w:cs="宋体"/>
                <w:sz w:val="21"/>
                <w:szCs w:val="21"/>
                <w:highlight w:val="none"/>
              </w:rPr>
            </w:pPr>
          </w:p>
        </w:tc>
        <w:tc>
          <w:tcPr>
            <w:tcW w:w="2126" w:type="dxa"/>
            <w:tcBorders>
              <w:top w:val="single" w:color="auto" w:sz="4" w:space="0"/>
              <w:left w:val="single" w:color="auto" w:sz="4" w:space="0"/>
              <w:bottom w:val="single" w:color="auto" w:sz="4" w:space="0"/>
              <w:right w:val="single" w:color="auto" w:sz="4" w:space="0"/>
            </w:tcBorders>
            <w:noWrap/>
            <w:vAlign w:val="center"/>
          </w:tcPr>
          <w:p w14:paraId="6ED58B33">
            <w:pPr>
              <w:jc w:val="center"/>
              <w:outlineLvl w:val="9"/>
              <w:rPr>
                <w:rFonts w:ascii="宋体" w:hAnsi="宋体" w:cs="宋体"/>
                <w:sz w:val="21"/>
                <w:szCs w:val="21"/>
                <w:highlight w:val="none"/>
              </w:rPr>
            </w:pPr>
          </w:p>
        </w:tc>
        <w:tc>
          <w:tcPr>
            <w:tcW w:w="1363" w:type="dxa"/>
            <w:tcBorders>
              <w:top w:val="single" w:color="auto" w:sz="4" w:space="0"/>
              <w:left w:val="single" w:color="auto" w:sz="4" w:space="0"/>
              <w:bottom w:val="single" w:color="auto" w:sz="4" w:space="0"/>
              <w:right w:val="single" w:color="auto" w:sz="4" w:space="0"/>
            </w:tcBorders>
            <w:noWrap/>
            <w:vAlign w:val="center"/>
          </w:tcPr>
          <w:p w14:paraId="39CB21D1">
            <w:pPr>
              <w:jc w:val="center"/>
              <w:outlineLvl w:val="9"/>
              <w:rPr>
                <w:rFonts w:ascii="宋体" w:hAnsi="宋体" w:cs="宋体"/>
                <w:sz w:val="21"/>
                <w:szCs w:val="21"/>
                <w:highlight w:val="none"/>
              </w:rPr>
            </w:pPr>
          </w:p>
        </w:tc>
        <w:tc>
          <w:tcPr>
            <w:tcW w:w="940" w:type="dxa"/>
            <w:tcBorders>
              <w:top w:val="single" w:color="auto" w:sz="4" w:space="0"/>
              <w:left w:val="single" w:color="auto" w:sz="4" w:space="0"/>
              <w:bottom w:val="single" w:color="auto" w:sz="4" w:space="0"/>
              <w:right w:val="single" w:color="auto" w:sz="4" w:space="0"/>
            </w:tcBorders>
            <w:noWrap/>
            <w:vAlign w:val="center"/>
          </w:tcPr>
          <w:p w14:paraId="0A17E574">
            <w:pPr>
              <w:jc w:val="center"/>
              <w:outlineLvl w:val="9"/>
              <w:rPr>
                <w:rFonts w:ascii="宋体" w:hAnsi="宋体" w:cs="宋体"/>
                <w:sz w:val="21"/>
                <w:szCs w:val="21"/>
                <w:highlight w:val="none"/>
              </w:rPr>
            </w:pPr>
          </w:p>
        </w:tc>
      </w:tr>
      <w:tr w14:paraId="706508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0740EC73">
            <w:pPr>
              <w:jc w:val="center"/>
              <w:outlineLvl w:val="9"/>
              <w:rPr>
                <w:rFonts w:ascii="宋体" w:hAnsi="宋体" w:cs="宋体"/>
                <w:sz w:val="21"/>
                <w:szCs w:val="21"/>
                <w:highlight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443685F3">
            <w:pPr>
              <w:jc w:val="center"/>
              <w:outlineLvl w:val="9"/>
              <w:rPr>
                <w:rFonts w:ascii="宋体" w:hAnsi="宋体" w:cs="宋体"/>
                <w:sz w:val="21"/>
                <w:szCs w:val="21"/>
                <w:highlight w:val="none"/>
              </w:rPr>
            </w:pPr>
          </w:p>
        </w:tc>
        <w:tc>
          <w:tcPr>
            <w:tcW w:w="2559" w:type="dxa"/>
            <w:tcBorders>
              <w:top w:val="single" w:color="auto" w:sz="4" w:space="0"/>
              <w:left w:val="single" w:color="auto" w:sz="4" w:space="0"/>
              <w:bottom w:val="single" w:color="auto" w:sz="4" w:space="0"/>
              <w:right w:val="single" w:color="auto" w:sz="4" w:space="0"/>
            </w:tcBorders>
            <w:noWrap/>
            <w:vAlign w:val="center"/>
          </w:tcPr>
          <w:p w14:paraId="66846B66">
            <w:pPr>
              <w:jc w:val="center"/>
              <w:outlineLvl w:val="9"/>
              <w:rPr>
                <w:rFonts w:ascii="宋体" w:hAnsi="宋体" w:cs="宋体"/>
                <w:sz w:val="21"/>
                <w:szCs w:val="21"/>
                <w:highlight w:val="none"/>
              </w:rPr>
            </w:pPr>
          </w:p>
        </w:tc>
        <w:tc>
          <w:tcPr>
            <w:tcW w:w="2126" w:type="dxa"/>
            <w:tcBorders>
              <w:top w:val="single" w:color="auto" w:sz="4" w:space="0"/>
              <w:left w:val="single" w:color="auto" w:sz="4" w:space="0"/>
              <w:bottom w:val="single" w:color="auto" w:sz="4" w:space="0"/>
              <w:right w:val="single" w:color="auto" w:sz="4" w:space="0"/>
            </w:tcBorders>
            <w:noWrap/>
            <w:vAlign w:val="center"/>
          </w:tcPr>
          <w:p w14:paraId="2C769C29">
            <w:pPr>
              <w:jc w:val="center"/>
              <w:outlineLvl w:val="9"/>
              <w:rPr>
                <w:rFonts w:ascii="宋体" w:hAnsi="宋体" w:cs="宋体"/>
                <w:sz w:val="21"/>
                <w:szCs w:val="21"/>
                <w:highlight w:val="none"/>
              </w:rPr>
            </w:pPr>
          </w:p>
        </w:tc>
        <w:tc>
          <w:tcPr>
            <w:tcW w:w="1363" w:type="dxa"/>
            <w:tcBorders>
              <w:top w:val="single" w:color="auto" w:sz="4" w:space="0"/>
              <w:left w:val="single" w:color="auto" w:sz="4" w:space="0"/>
              <w:bottom w:val="single" w:color="auto" w:sz="4" w:space="0"/>
              <w:right w:val="single" w:color="auto" w:sz="4" w:space="0"/>
            </w:tcBorders>
            <w:noWrap/>
            <w:vAlign w:val="center"/>
          </w:tcPr>
          <w:p w14:paraId="4AFC29B7">
            <w:pPr>
              <w:jc w:val="center"/>
              <w:outlineLvl w:val="9"/>
              <w:rPr>
                <w:rFonts w:ascii="宋体" w:hAnsi="宋体" w:cs="宋体"/>
                <w:sz w:val="21"/>
                <w:szCs w:val="21"/>
                <w:highlight w:val="none"/>
              </w:rPr>
            </w:pPr>
          </w:p>
        </w:tc>
        <w:tc>
          <w:tcPr>
            <w:tcW w:w="940" w:type="dxa"/>
            <w:tcBorders>
              <w:top w:val="single" w:color="auto" w:sz="4" w:space="0"/>
              <w:left w:val="single" w:color="auto" w:sz="4" w:space="0"/>
              <w:bottom w:val="single" w:color="auto" w:sz="4" w:space="0"/>
              <w:right w:val="single" w:color="auto" w:sz="4" w:space="0"/>
            </w:tcBorders>
            <w:noWrap/>
            <w:vAlign w:val="center"/>
          </w:tcPr>
          <w:p w14:paraId="0110052E">
            <w:pPr>
              <w:jc w:val="center"/>
              <w:outlineLvl w:val="9"/>
              <w:rPr>
                <w:rFonts w:ascii="宋体" w:hAnsi="宋体" w:cs="宋体"/>
                <w:sz w:val="21"/>
                <w:szCs w:val="21"/>
                <w:highlight w:val="none"/>
              </w:rPr>
            </w:pPr>
          </w:p>
        </w:tc>
      </w:tr>
      <w:tr w14:paraId="64AC34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47ADE9C3">
            <w:pPr>
              <w:jc w:val="center"/>
              <w:outlineLvl w:val="9"/>
              <w:rPr>
                <w:rFonts w:ascii="宋体" w:hAnsi="宋体" w:cs="宋体"/>
                <w:sz w:val="21"/>
                <w:szCs w:val="21"/>
                <w:highlight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70452168">
            <w:pPr>
              <w:jc w:val="center"/>
              <w:outlineLvl w:val="9"/>
              <w:rPr>
                <w:rFonts w:ascii="宋体" w:hAnsi="宋体" w:cs="宋体"/>
                <w:sz w:val="21"/>
                <w:szCs w:val="21"/>
                <w:highlight w:val="none"/>
              </w:rPr>
            </w:pPr>
          </w:p>
        </w:tc>
        <w:tc>
          <w:tcPr>
            <w:tcW w:w="2559" w:type="dxa"/>
            <w:tcBorders>
              <w:top w:val="single" w:color="auto" w:sz="4" w:space="0"/>
              <w:left w:val="single" w:color="auto" w:sz="4" w:space="0"/>
              <w:bottom w:val="single" w:color="auto" w:sz="4" w:space="0"/>
              <w:right w:val="single" w:color="auto" w:sz="4" w:space="0"/>
            </w:tcBorders>
            <w:noWrap/>
            <w:vAlign w:val="center"/>
          </w:tcPr>
          <w:p w14:paraId="595CF98D">
            <w:pPr>
              <w:jc w:val="center"/>
              <w:outlineLvl w:val="9"/>
              <w:rPr>
                <w:rFonts w:ascii="宋体" w:hAnsi="宋体" w:cs="宋体"/>
                <w:sz w:val="21"/>
                <w:szCs w:val="21"/>
                <w:highlight w:val="none"/>
              </w:rPr>
            </w:pPr>
          </w:p>
        </w:tc>
        <w:tc>
          <w:tcPr>
            <w:tcW w:w="2126" w:type="dxa"/>
            <w:tcBorders>
              <w:top w:val="single" w:color="auto" w:sz="4" w:space="0"/>
              <w:left w:val="single" w:color="auto" w:sz="4" w:space="0"/>
              <w:bottom w:val="single" w:color="auto" w:sz="4" w:space="0"/>
              <w:right w:val="single" w:color="auto" w:sz="4" w:space="0"/>
            </w:tcBorders>
            <w:noWrap/>
            <w:vAlign w:val="center"/>
          </w:tcPr>
          <w:p w14:paraId="7AB990B6">
            <w:pPr>
              <w:jc w:val="center"/>
              <w:outlineLvl w:val="9"/>
              <w:rPr>
                <w:rFonts w:ascii="宋体" w:hAnsi="宋体" w:cs="宋体"/>
                <w:sz w:val="21"/>
                <w:szCs w:val="21"/>
                <w:highlight w:val="none"/>
              </w:rPr>
            </w:pPr>
          </w:p>
        </w:tc>
        <w:tc>
          <w:tcPr>
            <w:tcW w:w="1363" w:type="dxa"/>
            <w:tcBorders>
              <w:top w:val="single" w:color="auto" w:sz="4" w:space="0"/>
              <w:left w:val="single" w:color="auto" w:sz="4" w:space="0"/>
              <w:bottom w:val="single" w:color="auto" w:sz="4" w:space="0"/>
              <w:right w:val="single" w:color="auto" w:sz="4" w:space="0"/>
            </w:tcBorders>
            <w:noWrap/>
            <w:vAlign w:val="center"/>
          </w:tcPr>
          <w:p w14:paraId="6EA165A6">
            <w:pPr>
              <w:jc w:val="center"/>
              <w:outlineLvl w:val="9"/>
              <w:rPr>
                <w:rFonts w:ascii="宋体" w:hAnsi="宋体" w:cs="宋体"/>
                <w:sz w:val="21"/>
                <w:szCs w:val="21"/>
                <w:highlight w:val="none"/>
              </w:rPr>
            </w:pPr>
          </w:p>
        </w:tc>
        <w:tc>
          <w:tcPr>
            <w:tcW w:w="940" w:type="dxa"/>
            <w:tcBorders>
              <w:top w:val="single" w:color="auto" w:sz="4" w:space="0"/>
              <w:left w:val="single" w:color="auto" w:sz="4" w:space="0"/>
              <w:bottom w:val="single" w:color="auto" w:sz="4" w:space="0"/>
              <w:right w:val="single" w:color="auto" w:sz="4" w:space="0"/>
            </w:tcBorders>
            <w:noWrap/>
            <w:vAlign w:val="center"/>
          </w:tcPr>
          <w:p w14:paraId="1D0A6065">
            <w:pPr>
              <w:jc w:val="center"/>
              <w:outlineLvl w:val="9"/>
              <w:rPr>
                <w:rFonts w:ascii="宋体" w:hAnsi="宋体" w:cs="宋体"/>
                <w:sz w:val="21"/>
                <w:szCs w:val="21"/>
                <w:highlight w:val="none"/>
              </w:rPr>
            </w:pPr>
          </w:p>
        </w:tc>
      </w:tr>
      <w:tr w14:paraId="4BFB3E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4CC89200">
            <w:pPr>
              <w:jc w:val="center"/>
              <w:outlineLvl w:val="9"/>
              <w:rPr>
                <w:rFonts w:ascii="宋体" w:hAnsi="宋体" w:cs="宋体"/>
                <w:sz w:val="21"/>
                <w:szCs w:val="21"/>
                <w:highlight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1FA0FFF1">
            <w:pPr>
              <w:jc w:val="center"/>
              <w:outlineLvl w:val="9"/>
              <w:rPr>
                <w:rFonts w:ascii="宋体" w:hAnsi="宋体" w:cs="宋体"/>
                <w:sz w:val="21"/>
                <w:szCs w:val="21"/>
                <w:highlight w:val="none"/>
              </w:rPr>
            </w:pPr>
          </w:p>
        </w:tc>
        <w:tc>
          <w:tcPr>
            <w:tcW w:w="2559" w:type="dxa"/>
            <w:tcBorders>
              <w:top w:val="single" w:color="auto" w:sz="4" w:space="0"/>
              <w:left w:val="single" w:color="auto" w:sz="4" w:space="0"/>
              <w:bottom w:val="single" w:color="auto" w:sz="4" w:space="0"/>
              <w:right w:val="single" w:color="auto" w:sz="4" w:space="0"/>
            </w:tcBorders>
            <w:noWrap/>
            <w:vAlign w:val="center"/>
          </w:tcPr>
          <w:p w14:paraId="6F79D798">
            <w:pPr>
              <w:jc w:val="center"/>
              <w:outlineLvl w:val="9"/>
              <w:rPr>
                <w:rFonts w:ascii="宋体" w:hAnsi="宋体" w:cs="宋体"/>
                <w:sz w:val="21"/>
                <w:szCs w:val="21"/>
                <w:highlight w:val="none"/>
              </w:rPr>
            </w:pPr>
          </w:p>
        </w:tc>
        <w:tc>
          <w:tcPr>
            <w:tcW w:w="2126" w:type="dxa"/>
            <w:tcBorders>
              <w:top w:val="single" w:color="auto" w:sz="4" w:space="0"/>
              <w:left w:val="single" w:color="auto" w:sz="4" w:space="0"/>
              <w:bottom w:val="single" w:color="auto" w:sz="4" w:space="0"/>
              <w:right w:val="single" w:color="auto" w:sz="4" w:space="0"/>
            </w:tcBorders>
            <w:noWrap/>
            <w:vAlign w:val="center"/>
          </w:tcPr>
          <w:p w14:paraId="045B3E1C">
            <w:pPr>
              <w:jc w:val="center"/>
              <w:outlineLvl w:val="9"/>
              <w:rPr>
                <w:rFonts w:ascii="宋体" w:hAnsi="宋体" w:cs="宋体"/>
                <w:sz w:val="21"/>
                <w:szCs w:val="21"/>
                <w:highlight w:val="none"/>
              </w:rPr>
            </w:pPr>
          </w:p>
        </w:tc>
        <w:tc>
          <w:tcPr>
            <w:tcW w:w="1363" w:type="dxa"/>
            <w:tcBorders>
              <w:top w:val="single" w:color="auto" w:sz="4" w:space="0"/>
              <w:left w:val="single" w:color="auto" w:sz="4" w:space="0"/>
              <w:bottom w:val="single" w:color="auto" w:sz="4" w:space="0"/>
              <w:right w:val="single" w:color="auto" w:sz="4" w:space="0"/>
            </w:tcBorders>
            <w:noWrap/>
            <w:vAlign w:val="center"/>
          </w:tcPr>
          <w:p w14:paraId="249C6586">
            <w:pPr>
              <w:jc w:val="center"/>
              <w:outlineLvl w:val="9"/>
              <w:rPr>
                <w:rFonts w:ascii="宋体" w:hAnsi="宋体" w:cs="宋体"/>
                <w:sz w:val="21"/>
                <w:szCs w:val="21"/>
                <w:highlight w:val="none"/>
              </w:rPr>
            </w:pPr>
          </w:p>
        </w:tc>
        <w:tc>
          <w:tcPr>
            <w:tcW w:w="940" w:type="dxa"/>
            <w:tcBorders>
              <w:top w:val="single" w:color="auto" w:sz="4" w:space="0"/>
              <w:left w:val="single" w:color="auto" w:sz="4" w:space="0"/>
              <w:bottom w:val="single" w:color="auto" w:sz="4" w:space="0"/>
              <w:right w:val="single" w:color="auto" w:sz="4" w:space="0"/>
            </w:tcBorders>
            <w:noWrap/>
            <w:vAlign w:val="center"/>
          </w:tcPr>
          <w:p w14:paraId="66830269">
            <w:pPr>
              <w:jc w:val="center"/>
              <w:outlineLvl w:val="9"/>
              <w:rPr>
                <w:rFonts w:ascii="宋体" w:hAnsi="宋体" w:cs="宋体"/>
                <w:sz w:val="21"/>
                <w:szCs w:val="21"/>
                <w:highlight w:val="none"/>
              </w:rPr>
            </w:pPr>
          </w:p>
        </w:tc>
      </w:tr>
      <w:tr w14:paraId="14542E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58A780F0">
            <w:pPr>
              <w:jc w:val="center"/>
              <w:outlineLvl w:val="9"/>
              <w:rPr>
                <w:rFonts w:ascii="宋体" w:hAnsi="宋体" w:cs="宋体"/>
                <w:sz w:val="21"/>
                <w:szCs w:val="21"/>
                <w:highlight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33EAEB21">
            <w:pPr>
              <w:jc w:val="center"/>
              <w:outlineLvl w:val="9"/>
              <w:rPr>
                <w:rFonts w:ascii="宋体" w:hAnsi="宋体" w:cs="宋体"/>
                <w:sz w:val="21"/>
                <w:szCs w:val="21"/>
                <w:highlight w:val="none"/>
              </w:rPr>
            </w:pPr>
          </w:p>
        </w:tc>
        <w:tc>
          <w:tcPr>
            <w:tcW w:w="2559" w:type="dxa"/>
            <w:tcBorders>
              <w:top w:val="single" w:color="auto" w:sz="4" w:space="0"/>
              <w:left w:val="single" w:color="auto" w:sz="4" w:space="0"/>
              <w:bottom w:val="single" w:color="auto" w:sz="4" w:space="0"/>
              <w:right w:val="single" w:color="auto" w:sz="4" w:space="0"/>
            </w:tcBorders>
            <w:noWrap/>
            <w:vAlign w:val="center"/>
          </w:tcPr>
          <w:p w14:paraId="156C5D10">
            <w:pPr>
              <w:jc w:val="center"/>
              <w:outlineLvl w:val="9"/>
              <w:rPr>
                <w:rFonts w:ascii="宋体" w:hAnsi="宋体" w:cs="宋体"/>
                <w:sz w:val="21"/>
                <w:szCs w:val="21"/>
                <w:highlight w:val="none"/>
              </w:rPr>
            </w:pPr>
          </w:p>
        </w:tc>
        <w:tc>
          <w:tcPr>
            <w:tcW w:w="2126" w:type="dxa"/>
            <w:tcBorders>
              <w:top w:val="single" w:color="auto" w:sz="4" w:space="0"/>
              <w:left w:val="single" w:color="auto" w:sz="4" w:space="0"/>
              <w:bottom w:val="single" w:color="auto" w:sz="4" w:space="0"/>
              <w:right w:val="single" w:color="auto" w:sz="4" w:space="0"/>
            </w:tcBorders>
            <w:noWrap/>
            <w:vAlign w:val="center"/>
          </w:tcPr>
          <w:p w14:paraId="2937BB06">
            <w:pPr>
              <w:jc w:val="center"/>
              <w:outlineLvl w:val="9"/>
              <w:rPr>
                <w:rFonts w:ascii="宋体" w:hAnsi="宋体" w:cs="宋体"/>
                <w:sz w:val="21"/>
                <w:szCs w:val="21"/>
                <w:highlight w:val="none"/>
              </w:rPr>
            </w:pPr>
          </w:p>
        </w:tc>
        <w:tc>
          <w:tcPr>
            <w:tcW w:w="1363" w:type="dxa"/>
            <w:tcBorders>
              <w:top w:val="single" w:color="auto" w:sz="4" w:space="0"/>
              <w:left w:val="single" w:color="auto" w:sz="4" w:space="0"/>
              <w:bottom w:val="single" w:color="auto" w:sz="4" w:space="0"/>
              <w:right w:val="single" w:color="auto" w:sz="4" w:space="0"/>
            </w:tcBorders>
            <w:noWrap/>
            <w:vAlign w:val="center"/>
          </w:tcPr>
          <w:p w14:paraId="573A6BC0">
            <w:pPr>
              <w:jc w:val="center"/>
              <w:outlineLvl w:val="9"/>
              <w:rPr>
                <w:rFonts w:ascii="宋体" w:hAnsi="宋体" w:cs="宋体"/>
                <w:sz w:val="21"/>
                <w:szCs w:val="21"/>
                <w:highlight w:val="none"/>
              </w:rPr>
            </w:pPr>
          </w:p>
        </w:tc>
        <w:tc>
          <w:tcPr>
            <w:tcW w:w="940" w:type="dxa"/>
            <w:tcBorders>
              <w:top w:val="single" w:color="auto" w:sz="4" w:space="0"/>
              <w:left w:val="single" w:color="auto" w:sz="4" w:space="0"/>
              <w:bottom w:val="single" w:color="auto" w:sz="4" w:space="0"/>
              <w:right w:val="single" w:color="auto" w:sz="4" w:space="0"/>
            </w:tcBorders>
            <w:noWrap/>
            <w:vAlign w:val="center"/>
          </w:tcPr>
          <w:p w14:paraId="611E312D">
            <w:pPr>
              <w:jc w:val="center"/>
              <w:outlineLvl w:val="9"/>
              <w:rPr>
                <w:rFonts w:ascii="宋体" w:hAnsi="宋体" w:cs="宋体"/>
                <w:sz w:val="21"/>
                <w:szCs w:val="21"/>
                <w:highlight w:val="none"/>
              </w:rPr>
            </w:pPr>
          </w:p>
        </w:tc>
      </w:tr>
    </w:tbl>
    <w:p w14:paraId="2DCC4C93">
      <w:pPr>
        <w:rPr>
          <w:rFonts w:ascii="宋体" w:hAnsi="宋体" w:cs="宋体"/>
          <w:sz w:val="21"/>
          <w:szCs w:val="21"/>
          <w:highlight w:val="none"/>
        </w:rPr>
      </w:pPr>
    </w:p>
    <w:p w14:paraId="7DD684BF">
      <w:pPr>
        <w:spacing w:line="360" w:lineRule="auto"/>
        <w:ind w:firstLine="210" w:firstLineChars="100"/>
        <w:rPr>
          <w:rFonts w:ascii="宋体" w:hAnsi="宋体" w:cs="宋体"/>
          <w:color w:val="auto"/>
          <w:sz w:val="21"/>
          <w:szCs w:val="21"/>
          <w:highlight w:val="none"/>
        </w:rPr>
      </w:pPr>
      <w:r>
        <w:rPr>
          <w:rFonts w:hint="eastAsia" w:ascii="宋体" w:hAnsi="宋体" w:cs="宋体"/>
          <w:sz w:val="21"/>
          <w:szCs w:val="21"/>
          <w:highlight w:val="none"/>
        </w:rPr>
        <w:t>注：</w:t>
      </w:r>
    </w:p>
    <w:p w14:paraId="20D661B5">
      <w:pPr>
        <w:spacing w:line="360" w:lineRule="auto"/>
        <w:ind w:firstLine="525" w:firstLineChars="250"/>
        <w:rPr>
          <w:rFonts w:ascii="宋体" w:hAnsi="宋体" w:cs="宋体"/>
          <w:color w:val="auto"/>
          <w:sz w:val="21"/>
          <w:szCs w:val="21"/>
          <w:highlight w:val="none"/>
        </w:rPr>
      </w:pPr>
      <w:r>
        <w:rPr>
          <w:rFonts w:hint="eastAsia" w:ascii="宋体" w:hAnsi="宋体" w:cs="宋体"/>
          <w:color w:val="auto"/>
          <w:sz w:val="21"/>
          <w:szCs w:val="21"/>
          <w:highlight w:val="none"/>
        </w:rPr>
        <w:t>1、</w:t>
      </w:r>
      <w:r>
        <w:rPr>
          <w:rFonts w:hint="eastAsia" w:ascii="宋体" w:hAnsi="宋体" w:cs="宋体"/>
          <w:color w:val="auto"/>
          <w:sz w:val="21"/>
          <w:szCs w:val="21"/>
          <w:highlight w:val="none"/>
          <w:lang w:eastAsia="zh-CN"/>
        </w:rPr>
        <w:t>投标人</w:t>
      </w:r>
      <w:r>
        <w:rPr>
          <w:rFonts w:hint="eastAsia" w:ascii="宋体" w:hAnsi="宋体" w:cs="宋体"/>
          <w:color w:val="auto"/>
          <w:sz w:val="21"/>
          <w:szCs w:val="21"/>
          <w:highlight w:val="none"/>
        </w:rPr>
        <w:t>应对照招标文件技术要求</w:t>
      </w:r>
      <w:r>
        <w:rPr>
          <w:rFonts w:hint="eastAsia" w:ascii="宋体" w:hAnsi="宋体" w:cs="宋体"/>
          <w:b w:val="0"/>
          <w:bCs w:val="0"/>
          <w:color w:val="auto"/>
          <w:sz w:val="21"/>
          <w:szCs w:val="21"/>
          <w:highlight w:val="none"/>
        </w:rPr>
        <w:t>，逐条说明所提供</w:t>
      </w:r>
      <w:r>
        <w:rPr>
          <w:rFonts w:hint="eastAsia" w:ascii="宋体" w:hAnsi="宋体" w:cs="宋体"/>
          <w:b w:val="0"/>
          <w:bCs w:val="0"/>
          <w:color w:val="auto"/>
          <w:sz w:val="21"/>
          <w:szCs w:val="21"/>
          <w:highlight w:val="none"/>
          <w:lang w:val="en-US" w:eastAsia="zh-CN"/>
        </w:rPr>
        <w:t>货物</w:t>
      </w:r>
      <w:r>
        <w:rPr>
          <w:rFonts w:hint="eastAsia" w:ascii="宋体" w:hAnsi="宋体" w:cs="宋体"/>
          <w:b w:val="0"/>
          <w:bCs w:val="0"/>
          <w:color w:val="auto"/>
          <w:sz w:val="21"/>
          <w:szCs w:val="21"/>
          <w:highlight w:val="none"/>
        </w:rPr>
        <w:t>技术标准对招标文件的技术要求</w:t>
      </w:r>
      <w:r>
        <w:rPr>
          <w:rFonts w:hint="eastAsia" w:ascii="宋体" w:hAnsi="宋体" w:cs="宋体"/>
          <w:b w:val="0"/>
          <w:bCs w:val="0"/>
          <w:color w:val="auto"/>
          <w:sz w:val="21"/>
          <w:szCs w:val="21"/>
          <w:highlight w:val="none"/>
          <w:lang w:val="en-US" w:eastAsia="zh-CN"/>
        </w:rPr>
        <w:t>的</w:t>
      </w:r>
      <w:r>
        <w:rPr>
          <w:rFonts w:hint="eastAsia" w:ascii="宋体" w:hAnsi="宋体" w:cs="宋体"/>
          <w:b w:val="0"/>
          <w:bCs w:val="0"/>
          <w:color w:val="auto"/>
          <w:sz w:val="21"/>
          <w:szCs w:val="21"/>
          <w:highlight w:val="none"/>
        </w:rPr>
        <w:t>响应</w:t>
      </w:r>
      <w:r>
        <w:rPr>
          <w:rFonts w:hint="eastAsia" w:ascii="宋体" w:hAnsi="宋体" w:cs="宋体"/>
          <w:b w:val="0"/>
          <w:bCs w:val="0"/>
          <w:color w:val="auto"/>
          <w:sz w:val="21"/>
          <w:szCs w:val="21"/>
          <w:highlight w:val="none"/>
          <w:lang w:val="en-US" w:eastAsia="zh-CN"/>
        </w:rPr>
        <w:t>情况</w:t>
      </w:r>
      <w:r>
        <w:rPr>
          <w:rFonts w:hint="eastAsia" w:ascii="宋体" w:hAnsi="宋体" w:cs="宋体"/>
          <w:b w:val="0"/>
          <w:bCs w:val="0"/>
          <w:color w:val="auto"/>
          <w:sz w:val="21"/>
          <w:szCs w:val="21"/>
          <w:highlight w:val="none"/>
        </w:rPr>
        <w:t>，并申明与技术要求条文的偏差和例外</w:t>
      </w:r>
      <w:r>
        <w:rPr>
          <w:rFonts w:hint="eastAsia" w:ascii="宋体" w:hAnsi="宋体" w:cs="宋体"/>
          <w:color w:val="auto"/>
          <w:sz w:val="21"/>
          <w:szCs w:val="21"/>
          <w:highlight w:val="none"/>
        </w:rPr>
        <w:t>。</w:t>
      </w:r>
      <w:r>
        <w:rPr>
          <w:rFonts w:hint="eastAsia" w:ascii="宋体" w:cs="宋体"/>
          <w:color w:val="auto"/>
          <w:highlight w:val="none"/>
          <w:lang w:val="en-US" w:eastAsia="zh-CN"/>
        </w:rPr>
        <w:t>采购需求中所有核心产品</w:t>
      </w:r>
      <w:r>
        <w:rPr>
          <w:rFonts w:hint="eastAsia" w:ascii="宋体" w:hAnsi="宋体" w:eastAsia="宋体" w:cs="Times New Roman"/>
          <w:b w:val="0"/>
          <w:bCs w:val="0"/>
          <w:caps w:val="0"/>
          <w:color w:val="auto"/>
          <w:kern w:val="2"/>
          <w:sz w:val="21"/>
          <w:szCs w:val="21"/>
          <w:highlight w:val="none"/>
          <w:vertAlign w:val="baseline"/>
          <w:lang w:val="en-US" w:eastAsia="zh-CN" w:bidi="ar"/>
        </w:rPr>
        <w:t>不得负偏离，否则废标。</w:t>
      </w:r>
    </w:p>
    <w:p w14:paraId="7A42C749">
      <w:pPr>
        <w:spacing w:line="360" w:lineRule="auto"/>
        <w:ind w:firstLine="525" w:firstLineChars="250"/>
        <w:rPr>
          <w:rFonts w:ascii="宋体" w:hAnsi="宋体" w:cs="宋体"/>
          <w:color w:val="auto"/>
          <w:sz w:val="21"/>
          <w:szCs w:val="21"/>
          <w:highlight w:val="none"/>
        </w:rPr>
      </w:pPr>
      <w:r>
        <w:rPr>
          <w:rFonts w:hint="eastAsia" w:ascii="宋体" w:hAnsi="宋体" w:cs="宋体"/>
          <w:color w:val="auto"/>
          <w:sz w:val="21"/>
          <w:szCs w:val="21"/>
          <w:highlight w:val="none"/>
        </w:rPr>
        <w:t xml:space="preserve">2、表内如果填列不全，可另外附页说明并按规定签字和加盖公章。             </w:t>
      </w:r>
    </w:p>
    <w:p w14:paraId="1E02FD01">
      <w:pPr>
        <w:spacing w:line="360" w:lineRule="auto"/>
        <w:ind w:firstLine="525" w:firstLineChars="250"/>
        <w:rPr>
          <w:rFonts w:ascii="宋体" w:hAnsi="宋体" w:cs="宋体"/>
          <w:color w:val="auto"/>
          <w:sz w:val="21"/>
          <w:szCs w:val="21"/>
          <w:highlight w:val="none"/>
        </w:rPr>
      </w:pPr>
      <w:bookmarkStart w:id="114" w:name="_Toc420593298"/>
      <w:bookmarkStart w:id="115" w:name="_Toc492451853"/>
      <w:bookmarkStart w:id="116" w:name="_Toc22204"/>
      <w:r>
        <w:rPr>
          <w:rFonts w:hint="eastAsia" w:ascii="宋体" w:hAnsi="宋体" w:cs="宋体"/>
          <w:color w:val="auto"/>
          <w:sz w:val="21"/>
          <w:szCs w:val="21"/>
          <w:highlight w:val="none"/>
        </w:rPr>
        <w:t>3、此表可根据需要自行拉长加宽（或格式自拟）。</w:t>
      </w:r>
      <w:bookmarkEnd w:id="114"/>
      <w:bookmarkEnd w:id="115"/>
      <w:bookmarkEnd w:id="116"/>
    </w:p>
    <w:p w14:paraId="0858722A">
      <w:pPr>
        <w:spacing w:line="360" w:lineRule="auto"/>
        <w:ind w:firstLine="525" w:firstLineChars="250"/>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rPr>
        <w:t>技术参数偏离表中的响应内容，应提供佐证材料，有检测报告的，应提供检测报告；无检测报告的，应提供产品说明的官方截图；无前两项的，应提供经发行的市场产品宣传册</w:t>
      </w:r>
      <w:r>
        <w:rPr>
          <w:rFonts w:hint="eastAsia" w:ascii="宋体" w:hAnsi="宋体" w:cs="宋体"/>
          <w:color w:val="auto"/>
          <w:sz w:val="21"/>
          <w:szCs w:val="21"/>
          <w:highlight w:val="none"/>
          <w:lang w:eastAsia="zh-CN"/>
        </w:rPr>
        <w:t>或者其他证明材料</w:t>
      </w:r>
      <w:r>
        <w:rPr>
          <w:rFonts w:hint="eastAsia" w:ascii="宋体" w:hAnsi="宋体" w:cs="宋体"/>
          <w:color w:val="auto"/>
          <w:sz w:val="21"/>
          <w:szCs w:val="21"/>
          <w:highlight w:val="none"/>
        </w:rPr>
        <w:t>。</w:t>
      </w:r>
    </w:p>
    <w:p w14:paraId="42A36366">
      <w:pPr>
        <w:spacing w:line="360" w:lineRule="auto"/>
        <w:ind w:firstLine="525" w:firstLineChars="250"/>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 xml:space="preserve">技术参数响应条款如有缺、漏项的，则该项视为负偏离； </w:t>
      </w:r>
    </w:p>
    <w:p w14:paraId="2C898E1E">
      <w:pPr>
        <w:spacing w:line="360" w:lineRule="auto"/>
        <w:ind w:firstLine="525" w:firstLineChars="250"/>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rPr>
        <w:t>技术参数中指标性数值完全复制招标文件要求的属于负偏离，技术参数响应指标与检测报告（采购需求中若要求提供时）不一致的属于负偏离。</w:t>
      </w:r>
    </w:p>
    <w:p w14:paraId="13C8D90E">
      <w:pPr>
        <w:spacing w:line="360" w:lineRule="auto"/>
        <w:ind w:firstLine="525" w:firstLineChars="250"/>
        <w:rPr>
          <w:rFonts w:hint="eastAsia" w:ascii="宋体" w:hAnsi="宋体" w:cs="宋体"/>
          <w:sz w:val="21"/>
          <w:szCs w:val="21"/>
          <w:highlight w:val="none"/>
        </w:rPr>
      </w:pPr>
    </w:p>
    <w:p w14:paraId="7C470691">
      <w:pPr>
        <w:spacing w:line="360" w:lineRule="auto"/>
        <w:ind w:firstLine="3675" w:firstLineChars="1750"/>
        <w:jc w:val="center"/>
        <w:rPr>
          <w:rFonts w:ascii="宋体" w:hAnsi="宋体" w:cs="宋体"/>
          <w:sz w:val="21"/>
          <w:szCs w:val="21"/>
          <w:highlight w:val="none"/>
          <w:lang w:val="zh-CN"/>
        </w:rPr>
      </w:pPr>
      <w:r>
        <w:rPr>
          <w:rFonts w:hint="eastAsia" w:ascii="宋体" w:hAnsi="宋体" w:cs="宋体"/>
          <w:sz w:val="21"/>
          <w:szCs w:val="21"/>
          <w:highlight w:val="none"/>
          <w:lang w:val="en-US" w:eastAsia="zh-CN"/>
        </w:rPr>
        <w:t xml:space="preserve">          </w:t>
      </w:r>
      <w:r>
        <w:rPr>
          <w:rFonts w:hint="eastAsia" w:ascii="宋体" w:hAnsi="宋体" w:cs="宋体"/>
          <w:sz w:val="21"/>
          <w:szCs w:val="21"/>
          <w:highlight w:val="none"/>
          <w:lang w:val="zh-CN"/>
        </w:rPr>
        <w:t>投标人名称（盖章）：</w:t>
      </w:r>
    </w:p>
    <w:p w14:paraId="41910948">
      <w:pPr>
        <w:autoSpaceDE w:val="0"/>
        <w:autoSpaceDN w:val="0"/>
        <w:adjustRightInd w:val="0"/>
        <w:spacing w:line="360" w:lineRule="auto"/>
        <w:ind w:firstLine="6144" w:firstLineChars="2926"/>
        <w:jc w:val="both"/>
        <w:rPr>
          <w:rFonts w:ascii="宋体" w:hAnsi="宋体" w:cs="宋体"/>
          <w:sz w:val="21"/>
          <w:szCs w:val="21"/>
          <w:highlight w:val="none"/>
          <w:lang w:val="zh-CN"/>
        </w:rPr>
      </w:pPr>
      <w:r>
        <w:rPr>
          <w:rFonts w:hint="eastAsia" w:ascii="宋体" w:hAnsi="宋体" w:cs="宋体"/>
          <w:sz w:val="21"/>
          <w:szCs w:val="21"/>
          <w:highlight w:val="none"/>
          <w:lang w:val="zh-CN"/>
        </w:rPr>
        <w:t>法定代表人（签字）：</w:t>
      </w:r>
    </w:p>
    <w:p w14:paraId="3A9D52D5">
      <w:pPr>
        <w:autoSpaceDE w:val="0"/>
        <w:autoSpaceDN w:val="0"/>
        <w:adjustRightInd w:val="0"/>
        <w:ind w:right="480" w:firstLine="3780" w:firstLineChars="1800"/>
        <w:jc w:val="center"/>
        <w:rPr>
          <w:rFonts w:ascii="宋体" w:hAnsi="宋体" w:cs="宋体"/>
          <w:sz w:val="24"/>
          <w:highlight w:val="none"/>
          <w:lang w:val="zh-CN"/>
        </w:rPr>
      </w:pPr>
      <w:r>
        <w:rPr>
          <w:rFonts w:hint="eastAsia" w:ascii="宋体" w:hAnsi="宋体" w:cs="宋体"/>
          <w:sz w:val="21"/>
          <w:szCs w:val="21"/>
          <w:highlight w:val="none"/>
          <w:lang w:val="en-US" w:eastAsia="zh-CN"/>
        </w:rPr>
        <w:t xml:space="preserve">               </w:t>
      </w:r>
      <w:r>
        <w:rPr>
          <w:rFonts w:hint="eastAsia" w:ascii="宋体" w:hAnsi="宋体" w:cs="宋体"/>
          <w:sz w:val="21"/>
          <w:szCs w:val="21"/>
          <w:highlight w:val="none"/>
          <w:lang w:val="zh-CN"/>
        </w:rPr>
        <w:t>日期：</w:t>
      </w:r>
      <w:r>
        <w:rPr>
          <w:rFonts w:hint="eastAsia" w:ascii="宋体" w:hAnsi="宋体" w:cs="宋体"/>
          <w:sz w:val="21"/>
          <w:szCs w:val="21"/>
          <w:highlight w:val="none"/>
          <w:lang w:val="en-US" w:eastAsia="zh-CN"/>
        </w:rPr>
        <w:t xml:space="preserve">   </w:t>
      </w:r>
      <w:r>
        <w:rPr>
          <w:rFonts w:hint="eastAsia" w:ascii="宋体" w:hAnsi="宋体" w:cs="宋体"/>
          <w:sz w:val="21"/>
          <w:szCs w:val="21"/>
          <w:highlight w:val="none"/>
          <w:lang w:val="zh-CN"/>
        </w:rPr>
        <w:t>年</w:t>
      </w:r>
      <w:r>
        <w:rPr>
          <w:rFonts w:hint="eastAsia" w:ascii="宋体" w:hAnsi="宋体" w:cs="宋体"/>
          <w:sz w:val="21"/>
          <w:szCs w:val="21"/>
          <w:highlight w:val="none"/>
          <w:lang w:val="en-US" w:eastAsia="zh-CN"/>
        </w:rPr>
        <w:t xml:space="preserve">   </w:t>
      </w:r>
      <w:r>
        <w:rPr>
          <w:rFonts w:hint="eastAsia" w:ascii="宋体" w:hAnsi="宋体" w:cs="宋体"/>
          <w:sz w:val="21"/>
          <w:szCs w:val="21"/>
          <w:highlight w:val="none"/>
          <w:lang w:val="zh-CN"/>
        </w:rPr>
        <w:t>月</w:t>
      </w:r>
      <w:r>
        <w:rPr>
          <w:rFonts w:hint="eastAsia" w:ascii="宋体" w:hAnsi="宋体" w:cs="宋体"/>
          <w:sz w:val="21"/>
          <w:szCs w:val="21"/>
          <w:highlight w:val="none"/>
          <w:lang w:val="en-US" w:eastAsia="zh-CN"/>
        </w:rPr>
        <w:t xml:space="preserve">   </w:t>
      </w:r>
      <w:r>
        <w:rPr>
          <w:rFonts w:hint="eastAsia" w:ascii="宋体" w:hAnsi="宋体" w:cs="宋体"/>
          <w:sz w:val="21"/>
          <w:szCs w:val="21"/>
          <w:highlight w:val="none"/>
          <w:lang w:val="zh-CN"/>
        </w:rPr>
        <w:t>日</w:t>
      </w:r>
    </w:p>
    <w:p w14:paraId="1B26435D">
      <w:pPr>
        <w:tabs>
          <w:tab w:val="left" w:pos="1365"/>
        </w:tabs>
        <w:spacing w:line="360" w:lineRule="auto"/>
        <w:jc w:val="center"/>
        <w:rPr>
          <w:rFonts w:ascii="宋体" w:hAnsi="宋体" w:cs="宋体"/>
          <w:sz w:val="24"/>
          <w:highlight w:val="none"/>
        </w:rPr>
      </w:pPr>
    </w:p>
    <w:p w14:paraId="2D5C05C6">
      <w:pPr>
        <w:autoSpaceDE w:val="0"/>
        <w:autoSpaceDN w:val="0"/>
        <w:adjustRightInd w:val="0"/>
        <w:snapToGrid w:val="0"/>
        <w:spacing w:line="360" w:lineRule="auto"/>
        <w:jc w:val="center"/>
        <w:outlineLvl w:val="9"/>
        <w:rPr>
          <w:rFonts w:hint="eastAsia" w:ascii="宋体"/>
          <w:bCs/>
          <w:color w:val="000000"/>
          <w:szCs w:val="32"/>
          <w:highlight w:val="none"/>
        </w:rPr>
        <w:sectPr>
          <w:pgSz w:w="11906" w:h="16838"/>
          <w:pgMar w:top="1440" w:right="1080" w:bottom="1440" w:left="1080" w:header="708" w:footer="850" w:gutter="0"/>
          <w:pgNumType w:fmt="decimal"/>
          <w:cols w:space="720" w:num="1"/>
          <w:docGrid w:linePitch="360" w:charSpace="0"/>
        </w:sectPr>
      </w:pPr>
    </w:p>
    <w:p w14:paraId="1E196651">
      <w:pPr>
        <w:autoSpaceDE w:val="0"/>
        <w:autoSpaceDN w:val="0"/>
        <w:adjustRightInd w:val="0"/>
        <w:snapToGrid w:val="0"/>
        <w:spacing w:line="360" w:lineRule="auto"/>
        <w:jc w:val="center"/>
        <w:outlineLvl w:val="0"/>
        <w:rPr>
          <w:rFonts w:hint="eastAsia" w:ascii="宋体" w:cs="宋体-18030"/>
          <w:b/>
          <w:bCs/>
          <w:color w:val="000000"/>
          <w:kern w:val="0"/>
          <w:sz w:val="30"/>
          <w:szCs w:val="30"/>
          <w:highlight w:val="none"/>
        </w:rPr>
      </w:pPr>
      <w:bookmarkStart w:id="117" w:name="_Toc17007"/>
      <w:r>
        <w:rPr>
          <w:rFonts w:hint="eastAsia" w:ascii="宋体" w:cs="宋体-18030"/>
          <w:b/>
          <w:bCs/>
          <w:color w:val="000000"/>
          <w:kern w:val="0"/>
          <w:sz w:val="30"/>
          <w:szCs w:val="30"/>
          <w:highlight w:val="none"/>
        </w:rPr>
        <w:t>七、资格审查资料</w:t>
      </w:r>
      <w:bookmarkEnd w:id="92"/>
      <w:bookmarkEnd w:id="117"/>
    </w:p>
    <w:p w14:paraId="2642AF62">
      <w:pPr>
        <w:snapToGrid w:val="0"/>
        <w:spacing w:line="360" w:lineRule="auto"/>
        <w:ind w:left="1124" w:hanging="1124" w:hangingChars="400"/>
        <w:jc w:val="center"/>
        <w:rPr>
          <w:rFonts w:hint="eastAsia" w:ascii="宋体"/>
          <w:b/>
          <w:bCs/>
          <w:color w:val="000000"/>
          <w:kern w:val="0"/>
          <w:sz w:val="28"/>
          <w:szCs w:val="28"/>
          <w:highlight w:val="none"/>
        </w:rPr>
      </w:pPr>
      <w:r>
        <w:rPr>
          <w:rFonts w:hint="eastAsia" w:ascii="宋体"/>
          <w:b/>
          <w:bCs/>
          <w:color w:val="000000"/>
          <w:kern w:val="0"/>
          <w:sz w:val="28"/>
          <w:szCs w:val="28"/>
          <w:highlight w:val="none"/>
        </w:rPr>
        <w:t>(一)投标人基本情况表</w:t>
      </w:r>
    </w:p>
    <w:tbl>
      <w:tblPr>
        <w:tblStyle w:val="21"/>
        <w:tblW w:w="4999" w:type="pct"/>
        <w:jc w:val="center"/>
        <w:tblLayout w:type="autofit"/>
        <w:tblCellMar>
          <w:top w:w="0" w:type="dxa"/>
          <w:left w:w="108" w:type="dxa"/>
          <w:bottom w:w="0" w:type="dxa"/>
          <w:right w:w="108" w:type="dxa"/>
        </w:tblCellMar>
      </w:tblPr>
      <w:tblGrid>
        <w:gridCol w:w="1755"/>
        <w:gridCol w:w="1091"/>
        <w:gridCol w:w="736"/>
        <w:gridCol w:w="1280"/>
        <w:gridCol w:w="182"/>
        <w:gridCol w:w="353"/>
        <w:gridCol w:w="1113"/>
        <w:gridCol w:w="364"/>
        <w:gridCol w:w="1221"/>
        <w:gridCol w:w="906"/>
      </w:tblGrid>
      <w:tr w14:paraId="053E4E66">
        <w:trPr>
          <w:cantSplit/>
          <w:trHeight w:val="510" w:hRule="atLeast"/>
          <w:jc w:val="center"/>
        </w:trPr>
        <w:tc>
          <w:tcPr>
            <w:tcW w:w="975" w:type="pct"/>
            <w:tcBorders>
              <w:top w:val="single" w:color="auto" w:sz="4" w:space="0"/>
              <w:left w:val="single" w:color="auto" w:sz="4" w:space="0"/>
              <w:bottom w:val="single" w:color="auto" w:sz="4" w:space="0"/>
              <w:right w:val="single" w:color="auto" w:sz="4" w:space="0"/>
            </w:tcBorders>
            <w:noWrap w:val="0"/>
            <w:vAlign w:val="center"/>
          </w:tcPr>
          <w:p w14:paraId="479C0E05">
            <w:pPr>
              <w:autoSpaceDE w:val="0"/>
              <w:autoSpaceDN w:val="0"/>
              <w:adjustRightInd w:val="0"/>
              <w:snapToGrid w:val="0"/>
              <w:spacing w:line="360" w:lineRule="auto"/>
              <w:contextualSpacing/>
              <w:jc w:val="center"/>
              <w:rPr>
                <w:rFonts w:hint="eastAsia" w:ascii="宋体" w:cs="宋体"/>
                <w:color w:val="000000"/>
                <w:highlight w:val="none"/>
              </w:rPr>
            </w:pPr>
            <w:r>
              <w:rPr>
                <w:rFonts w:hint="eastAsia" w:ascii="宋体" w:cs="宋体"/>
                <w:color w:val="000000"/>
                <w:highlight w:val="none"/>
              </w:rPr>
              <w:t>投标人名称</w:t>
            </w:r>
          </w:p>
        </w:tc>
        <w:tc>
          <w:tcPr>
            <w:tcW w:w="4024" w:type="pct"/>
            <w:gridSpan w:val="9"/>
            <w:tcBorders>
              <w:top w:val="single" w:color="auto" w:sz="4" w:space="0"/>
              <w:left w:val="nil"/>
              <w:bottom w:val="single" w:color="auto" w:sz="4" w:space="0"/>
              <w:right w:val="single" w:color="auto" w:sz="4" w:space="0"/>
            </w:tcBorders>
            <w:noWrap w:val="0"/>
            <w:vAlign w:val="center"/>
          </w:tcPr>
          <w:p w14:paraId="2221E754">
            <w:pPr>
              <w:autoSpaceDE w:val="0"/>
              <w:autoSpaceDN w:val="0"/>
              <w:adjustRightInd w:val="0"/>
              <w:snapToGrid w:val="0"/>
              <w:spacing w:line="360" w:lineRule="auto"/>
              <w:contextualSpacing/>
              <w:rPr>
                <w:rFonts w:hint="eastAsia" w:ascii="宋体" w:cs="宋体"/>
                <w:color w:val="000000"/>
                <w:highlight w:val="none"/>
              </w:rPr>
            </w:pPr>
          </w:p>
        </w:tc>
      </w:tr>
      <w:tr w14:paraId="4434E818">
        <w:tblPrEx>
          <w:tblCellMar>
            <w:top w:w="0" w:type="dxa"/>
            <w:left w:w="108" w:type="dxa"/>
            <w:bottom w:w="0" w:type="dxa"/>
            <w:right w:w="108" w:type="dxa"/>
          </w:tblCellMar>
        </w:tblPrEx>
        <w:trPr>
          <w:cantSplit/>
          <w:trHeight w:val="510" w:hRule="atLeast"/>
          <w:jc w:val="center"/>
        </w:trPr>
        <w:tc>
          <w:tcPr>
            <w:tcW w:w="975" w:type="pct"/>
            <w:tcBorders>
              <w:top w:val="single" w:color="auto" w:sz="4" w:space="0"/>
              <w:left w:val="single" w:color="auto" w:sz="4" w:space="0"/>
              <w:bottom w:val="single" w:color="auto" w:sz="4" w:space="0"/>
              <w:right w:val="single" w:color="auto" w:sz="4" w:space="0"/>
            </w:tcBorders>
            <w:noWrap w:val="0"/>
            <w:vAlign w:val="center"/>
          </w:tcPr>
          <w:p w14:paraId="3DB1714D">
            <w:pPr>
              <w:autoSpaceDE w:val="0"/>
              <w:autoSpaceDN w:val="0"/>
              <w:adjustRightInd w:val="0"/>
              <w:snapToGrid w:val="0"/>
              <w:spacing w:line="360" w:lineRule="auto"/>
              <w:contextualSpacing/>
              <w:jc w:val="center"/>
              <w:rPr>
                <w:rFonts w:hint="eastAsia" w:ascii="宋体" w:cs="宋体"/>
                <w:color w:val="000000"/>
                <w:highlight w:val="none"/>
              </w:rPr>
            </w:pPr>
            <w:r>
              <w:rPr>
                <w:rFonts w:hint="eastAsia" w:ascii="宋体" w:cs="宋体"/>
                <w:color w:val="000000"/>
                <w:highlight w:val="none"/>
              </w:rPr>
              <w:t>注册地址</w:t>
            </w:r>
          </w:p>
        </w:tc>
        <w:tc>
          <w:tcPr>
            <w:tcW w:w="2023" w:type="pct"/>
            <w:gridSpan w:val="5"/>
            <w:tcBorders>
              <w:top w:val="single" w:color="auto" w:sz="4" w:space="0"/>
              <w:left w:val="nil"/>
              <w:bottom w:val="single" w:color="auto" w:sz="4" w:space="0"/>
              <w:right w:val="single" w:color="auto" w:sz="4" w:space="0"/>
            </w:tcBorders>
            <w:noWrap w:val="0"/>
            <w:vAlign w:val="center"/>
          </w:tcPr>
          <w:p w14:paraId="58F37FF6">
            <w:pPr>
              <w:autoSpaceDE w:val="0"/>
              <w:autoSpaceDN w:val="0"/>
              <w:adjustRightInd w:val="0"/>
              <w:snapToGrid w:val="0"/>
              <w:spacing w:line="360" w:lineRule="auto"/>
              <w:contextualSpacing/>
              <w:rPr>
                <w:rFonts w:hint="eastAsia" w:ascii="宋体" w:cs="宋体"/>
                <w:color w:val="000000"/>
                <w:highlight w:val="none"/>
              </w:rPr>
            </w:pPr>
          </w:p>
        </w:tc>
        <w:tc>
          <w:tcPr>
            <w:tcW w:w="618" w:type="pct"/>
            <w:tcBorders>
              <w:top w:val="single" w:color="auto" w:sz="4" w:space="0"/>
              <w:left w:val="nil"/>
              <w:bottom w:val="single" w:color="auto" w:sz="4" w:space="0"/>
              <w:right w:val="single" w:color="auto" w:sz="4" w:space="0"/>
            </w:tcBorders>
            <w:noWrap w:val="0"/>
            <w:vAlign w:val="center"/>
          </w:tcPr>
          <w:p w14:paraId="0EA78693">
            <w:pPr>
              <w:autoSpaceDE w:val="0"/>
              <w:autoSpaceDN w:val="0"/>
              <w:adjustRightInd w:val="0"/>
              <w:snapToGrid w:val="0"/>
              <w:spacing w:line="360" w:lineRule="auto"/>
              <w:contextualSpacing/>
              <w:jc w:val="center"/>
              <w:rPr>
                <w:rFonts w:hint="eastAsia" w:ascii="宋体" w:cs="宋体"/>
                <w:color w:val="000000"/>
                <w:highlight w:val="none"/>
              </w:rPr>
            </w:pPr>
            <w:r>
              <w:rPr>
                <w:rFonts w:hint="eastAsia" w:ascii="宋体" w:cs="宋体"/>
                <w:color w:val="000000"/>
                <w:highlight w:val="none"/>
              </w:rPr>
              <w:t>邮政编码</w:t>
            </w:r>
          </w:p>
        </w:tc>
        <w:tc>
          <w:tcPr>
            <w:tcW w:w="1383" w:type="pct"/>
            <w:gridSpan w:val="3"/>
            <w:tcBorders>
              <w:top w:val="single" w:color="auto" w:sz="4" w:space="0"/>
              <w:left w:val="nil"/>
              <w:bottom w:val="single" w:color="auto" w:sz="4" w:space="0"/>
              <w:right w:val="single" w:color="auto" w:sz="4" w:space="0"/>
            </w:tcBorders>
            <w:noWrap w:val="0"/>
            <w:vAlign w:val="center"/>
          </w:tcPr>
          <w:p w14:paraId="6ADC6EF9">
            <w:pPr>
              <w:autoSpaceDE w:val="0"/>
              <w:autoSpaceDN w:val="0"/>
              <w:adjustRightInd w:val="0"/>
              <w:snapToGrid w:val="0"/>
              <w:spacing w:line="360" w:lineRule="auto"/>
              <w:contextualSpacing/>
              <w:rPr>
                <w:rFonts w:hint="eastAsia" w:ascii="宋体" w:cs="宋体"/>
                <w:color w:val="000000"/>
                <w:highlight w:val="none"/>
              </w:rPr>
            </w:pPr>
          </w:p>
        </w:tc>
      </w:tr>
      <w:tr w14:paraId="7443A6F4">
        <w:tblPrEx>
          <w:tblCellMar>
            <w:top w:w="0" w:type="dxa"/>
            <w:left w:w="108" w:type="dxa"/>
            <w:bottom w:w="0" w:type="dxa"/>
            <w:right w:w="108" w:type="dxa"/>
          </w:tblCellMar>
        </w:tblPrEx>
        <w:trPr>
          <w:cantSplit/>
          <w:trHeight w:val="510" w:hRule="atLeast"/>
          <w:jc w:val="center"/>
        </w:trPr>
        <w:tc>
          <w:tcPr>
            <w:tcW w:w="975" w:type="pct"/>
            <w:vMerge w:val="restart"/>
            <w:tcBorders>
              <w:top w:val="nil"/>
              <w:left w:val="single" w:color="auto" w:sz="4" w:space="0"/>
              <w:bottom w:val="single" w:color="auto" w:sz="4" w:space="0"/>
              <w:right w:val="single" w:color="auto" w:sz="4" w:space="0"/>
            </w:tcBorders>
            <w:noWrap w:val="0"/>
            <w:vAlign w:val="center"/>
          </w:tcPr>
          <w:p w14:paraId="15AA1A7E">
            <w:pPr>
              <w:autoSpaceDE w:val="0"/>
              <w:autoSpaceDN w:val="0"/>
              <w:adjustRightInd w:val="0"/>
              <w:snapToGrid w:val="0"/>
              <w:spacing w:line="360" w:lineRule="auto"/>
              <w:contextualSpacing/>
              <w:jc w:val="center"/>
              <w:rPr>
                <w:rFonts w:hint="eastAsia" w:ascii="宋体" w:cs="宋体"/>
                <w:color w:val="000000"/>
                <w:highlight w:val="none"/>
              </w:rPr>
            </w:pPr>
            <w:r>
              <w:rPr>
                <w:rFonts w:hint="eastAsia" w:ascii="宋体" w:cs="宋体"/>
                <w:color w:val="000000"/>
                <w:highlight w:val="none"/>
              </w:rPr>
              <w:t>联系方式</w:t>
            </w:r>
          </w:p>
        </w:tc>
        <w:tc>
          <w:tcPr>
            <w:tcW w:w="606" w:type="pct"/>
            <w:tcBorders>
              <w:top w:val="single" w:color="auto" w:sz="4" w:space="0"/>
              <w:left w:val="nil"/>
              <w:bottom w:val="single" w:color="auto" w:sz="4" w:space="0"/>
              <w:right w:val="single" w:color="auto" w:sz="4" w:space="0"/>
            </w:tcBorders>
            <w:noWrap w:val="0"/>
            <w:vAlign w:val="center"/>
          </w:tcPr>
          <w:p w14:paraId="326609D3">
            <w:pPr>
              <w:autoSpaceDE w:val="0"/>
              <w:autoSpaceDN w:val="0"/>
              <w:adjustRightInd w:val="0"/>
              <w:snapToGrid w:val="0"/>
              <w:spacing w:line="360" w:lineRule="auto"/>
              <w:contextualSpacing/>
              <w:jc w:val="center"/>
              <w:rPr>
                <w:rFonts w:hint="eastAsia" w:ascii="宋体" w:cs="宋体"/>
                <w:color w:val="000000"/>
                <w:highlight w:val="none"/>
              </w:rPr>
            </w:pPr>
            <w:r>
              <w:rPr>
                <w:rFonts w:hint="eastAsia" w:ascii="宋体" w:cs="宋体"/>
                <w:color w:val="000000"/>
                <w:highlight w:val="none"/>
              </w:rPr>
              <w:t>联系人</w:t>
            </w:r>
          </w:p>
        </w:tc>
        <w:tc>
          <w:tcPr>
            <w:tcW w:w="1417" w:type="pct"/>
            <w:gridSpan w:val="4"/>
            <w:tcBorders>
              <w:top w:val="single" w:color="auto" w:sz="4" w:space="0"/>
              <w:left w:val="nil"/>
              <w:bottom w:val="single" w:color="auto" w:sz="4" w:space="0"/>
              <w:right w:val="single" w:color="auto" w:sz="4" w:space="0"/>
            </w:tcBorders>
            <w:noWrap w:val="0"/>
            <w:vAlign w:val="center"/>
          </w:tcPr>
          <w:p w14:paraId="7D3EA6A6">
            <w:pPr>
              <w:autoSpaceDE w:val="0"/>
              <w:autoSpaceDN w:val="0"/>
              <w:adjustRightInd w:val="0"/>
              <w:snapToGrid w:val="0"/>
              <w:spacing w:line="360" w:lineRule="auto"/>
              <w:contextualSpacing/>
              <w:rPr>
                <w:rFonts w:hint="eastAsia" w:ascii="宋体" w:cs="宋体"/>
                <w:color w:val="000000"/>
                <w:highlight w:val="none"/>
              </w:rPr>
            </w:pPr>
          </w:p>
        </w:tc>
        <w:tc>
          <w:tcPr>
            <w:tcW w:w="618" w:type="pct"/>
            <w:tcBorders>
              <w:top w:val="single" w:color="auto" w:sz="4" w:space="0"/>
              <w:left w:val="nil"/>
              <w:bottom w:val="single" w:color="auto" w:sz="4" w:space="0"/>
              <w:right w:val="single" w:color="auto" w:sz="4" w:space="0"/>
            </w:tcBorders>
            <w:noWrap w:val="0"/>
            <w:vAlign w:val="center"/>
          </w:tcPr>
          <w:p w14:paraId="6FB0B3AE">
            <w:pPr>
              <w:autoSpaceDE w:val="0"/>
              <w:autoSpaceDN w:val="0"/>
              <w:adjustRightInd w:val="0"/>
              <w:snapToGrid w:val="0"/>
              <w:spacing w:line="360" w:lineRule="auto"/>
              <w:contextualSpacing/>
              <w:jc w:val="center"/>
              <w:rPr>
                <w:rFonts w:hint="eastAsia" w:ascii="宋体" w:cs="宋体"/>
                <w:color w:val="000000"/>
                <w:highlight w:val="none"/>
              </w:rPr>
            </w:pPr>
            <w:r>
              <w:rPr>
                <w:rFonts w:hint="eastAsia" w:ascii="宋体" w:cs="宋体"/>
                <w:color w:val="000000"/>
                <w:highlight w:val="none"/>
              </w:rPr>
              <w:t>电话</w:t>
            </w:r>
          </w:p>
        </w:tc>
        <w:tc>
          <w:tcPr>
            <w:tcW w:w="1383" w:type="pct"/>
            <w:gridSpan w:val="3"/>
            <w:tcBorders>
              <w:top w:val="single" w:color="auto" w:sz="4" w:space="0"/>
              <w:left w:val="nil"/>
              <w:bottom w:val="single" w:color="auto" w:sz="4" w:space="0"/>
              <w:right w:val="single" w:color="auto" w:sz="4" w:space="0"/>
            </w:tcBorders>
            <w:noWrap w:val="0"/>
            <w:vAlign w:val="center"/>
          </w:tcPr>
          <w:p w14:paraId="29B74A08">
            <w:pPr>
              <w:autoSpaceDE w:val="0"/>
              <w:autoSpaceDN w:val="0"/>
              <w:adjustRightInd w:val="0"/>
              <w:snapToGrid w:val="0"/>
              <w:spacing w:line="360" w:lineRule="auto"/>
              <w:contextualSpacing/>
              <w:rPr>
                <w:rFonts w:hint="eastAsia" w:ascii="宋体" w:cs="宋体"/>
                <w:color w:val="000000"/>
                <w:highlight w:val="none"/>
              </w:rPr>
            </w:pPr>
          </w:p>
        </w:tc>
      </w:tr>
      <w:tr w14:paraId="6C69DADC">
        <w:tblPrEx>
          <w:tblCellMar>
            <w:top w:w="0" w:type="dxa"/>
            <w:left w:w="108" w:type="dxa"/>
            <w:bottom w:w="0" w:type="dxa"/>
            <w:right w:w="108" w:type="dxa"/>
          </w:tblCellMar>
        </w:tblPrEx>
        <w:trPr>
          <w:cantSplit/>
          <w:trHeight w:val="510" w:hRule="atLeast"/>
          <w:jc w:val="center"/>
        </w:trPr>
        <w:tc>
          <w:tcPr>
            <w:tcW w:w="975" w:type="pct"/>
            <w:vMerge w:val="continue"/>
            <w:tcBorders>
              <w:top w:val="nil"/>
              <w:left w:val="single" w:color="auto" w:sz="4" w:space="0"/>
              <w:bottom w:val="single" w:color="auto" w:sz="4" w:space="0"/>
              <w:right w:val="single" w:color="auto" w:sz="4" w:space="0"/>
            </w:tcBorders>
            <w:noWrap w:val="0"/>
            <w:vAlign w:val="center"/>
          </w:tcPr>
          <w:p w14:paraId="008B018F">
            <w:pPr>
              <w:rPr>
                <w:highlight w:val="none"/>
              </w:rPr>
            </w:pPr>
          </w:p>
        </w:tc>
        <w:tc>
          <w:tcPr>
            <w:tcW w:w="606" w:type="pct"/>
            <w:tcBorders>
              <w:top w:val="single" w:color="auto" w:sz="4" w:space="0"/>
              <w:left w:val="nil"/>
              <w:bottom w:val="single" w:color="auto" w:sz="4" w:space="0"/>
              <w:right w:val="single" w:color="auto" w:sz="4" w:space="0"/>
            </w:tcBorders>
            <w:noWrap w:val="0"/>
            <w:vAlign w:val="center"/>
          </w:tcPr>
          <w:p w14:paraId="68075640">
            <w:pPr>
              <w:autoSpaceDE w:val="0"/>
              <w:autoSpaceDN w:val="0"/>
              <w:adjustRightInd w:val="0"/>
              <w:snapToGrid w:val="0"/>
              <w:spacing w:line="360" w:lineRule="auto"/>
              <w:contextualSpacing/>
              <w:jc w:val="center"/>
              <w:rPr>
                <w:rFonts w:hint="eastAsia" w:ascii="宋体" w:cs="宋体"/>
                <w:color w:val="000000"/>
                <w:highlight w:val="none"/>
              </w:rPr>
            </w:pPr>
            <w:r>
              <w:rPr>
                <w:rFonts w:hint="eastAsia" w:ascii="宋体" w:cs="宋体"/>
                <w:color w:val="000000"/>
                <w:highlight w:val="none"/>
              </w:rPr>
              <w:t>传真</w:t>
            </w:r>
          </w:p>
        </w:tc>
        <w:tc>
          <w:tcPr>
            <w:tcW w:w="1417" w:type="pct"/>
            <w:gridSpan w:val="4"/>
            <w:tcBorders>
              <w:top w:val="single" w:color="auto" w:sz="4" w:space="0"/>
              <w:left w:val="nil"/>
              <w:bottom w:val="single" w:color="auto" w:sz="4" w:space="0"/>
              <w:right w:val="single" w:color="auto" w:sz="4" w:space="0"/>
            </w:tcBorders>
            <w:noWrap w:val="0"/>
            <w:vAlign w:val="center"/>
          </w:tcPr>
          <w:p w14:paraId="27915DEA">
            <w:pPr>
              <w:autoSpaceDE w:val="0"/>
              <w:autoSpaceDN w:val="0"/>
              <w:adjustRightInd w:val="0"/>
              <w:snapToGrid w:val="0"/>
              <w:spacing w:line="360" w:lineRule="auto"/>
              <w:contextualSpacing/>
              <w:rPr>
                <w:rFonts w:hint="eastAsia" w:ascii="宋体" w:cs="宋体"/>
                <w:color w:val="000000"/>
                <w:highlight w:val="none"/>
              </w:rPr>
            </w:pPr>
          </w:p>
        </w:tc>
        <w:tc>
          <w:tcPr>
            <w:tcW w:w="618" w:type="pct"/>
            <w:tcBorders>
              <w:top w:val="single" w:color="auto" w:sz="4" w:space="0"/>
              <w:left w:val="nil"/>
              <w:bottom w:val="single" w:color="auto" w:sz="4" w:space="0"/>
              <w:right w:val="single" w:color="auto" w:sz="4" w:space="0"/>
            </w:tcBorders>
            <w:noWrap w:val="0"/>
            <w:vAlign w:val="center"/>
          </w:tcPr>
          <w:p w14:paraId="03ACA8AF">
            <w:pPr>
              <w:autoSpaceDE w:val="0"/>
              <w:autoSpaceDN w:val="0"/>
              <w:adjustRightInd w:val="0"/>
              <w:snapToGrid w:val="0"/>
              <w:spacing w:line="360" w:lineRule="auto"/>
              <w:contextualSpacing/>
              <w:jc w:val="center"/>
              <w:rPr>
                <w:rFonts w:hint="eastAsia" w:ascii="宋体" w:cs="宋体"/>
                <w:color w:val="000000"/>
                <w:highlight w:val="none"/>
              </w:rPr>
            </w:pPr>
            <w:r>
              <w:rPr>
                <w:rFonts w:hint="eastAsia" w:ascii="宋体" w:cs="宋体"/>
                <w:color w:val="000000"/>
                <w:highlight w:val="none"/>
              </w:rPr>
              <w:t>网址</w:t>
            </w:r>
          </w:p>
        </w:tc>
        <w:tc>
          <w:tcPr>
            <w:tcW w:w="1383" w:type="pct"/>
            <w:gridSpan w:val="3"/>
            <w:tcBorders>
              <w:top w:val="single" w:color="auto" w:sz="4" w:space="0"/>
              <w:left w:val="nil"/>
              <w:bottom w:val="single" w:color="auto" w:sz="4" w:space="0"/>
              <w:right w:val="single" w:color="auto" w:sz="4" w:space="0"/>
            </w:tcBorders>
            <w:noWrap w:val="0"/>
            <w:vAlign w:val="center"/>
          </w:tcPr>
          <w:p w14:paraId="216018B7">
            <w:pPr>
              <w:autoSpaceDE w:val="0"/>
              <w:autoSpaceDN w:val="0"/>
              <w:adjustRightInd w:val="0"/>
              <w:snapToGrid w:val="0"/>
              <w:spacing w:line="360" w:lineRule="auto"/>
              <w:contextualSpacing/>
              <w:rPr>
                <w:rFonts w:hint="eastAsia" w:ascii="宋体" w:cs="宋体"/>
                <w:color w:val="000000"/>
                <w:highlight w:val="none"/>
              </w:rPr>
            </w:pPr>
          </w:p>
        </w:tc>
      </w:tr>
      <w:tr w14:paraId="2BBD18F5">
        <w:tblPrEx>
          <w:tblCellMar>
            <w:top w:w="0" w:type="dxa"/>
            <w:left w:w="108" w:type="dxa"/>
            <w:bottom w:w="0" w:type="dxa"/>
            <w:right w:w="108" w:type="dxa"/>
          </w:tblCellMar>
        </w:tblPrEx>
        <w:trPr>
          <w:cantSplit/>
          <w:trHeight w:val="510" w:hRule="atLeast"/>
          <w:jc w:val="center"/>
        </w:trPr>
        <w:tc>
          <w:tcPr>
            <w:tcW w:w="975" w:type="pct"/>
            <w:tcBorders>
              <w:top w:val="single" w:color="auto" w:sz="4" w:space="0"/>
              <w:left w:val="single" w:color="auto" w:sz="4" w:space="0"/>
              <w:bottom w:val="single" w:color="auto" w:sz="4" w:space="0"/>
              <w:right w:val="single" w:color="auto" w:sz="4" w:space="0"/>
            </w:tcBorders>
            <w:noWrap w:val="0"/>
            <w:vAlign w:val="center"/>
          </w:tcPr>
          <w:p w14:paraId="0175AD2E">
            <w:pPr>
              <w:autoSpaceDE w:val="0"/>
              <w:autoSpaceDN w:val="0"/>
              <w:adjustRightInd w:val="0"/>
              <w:snapToGrid w:val="0"/>
              <w:spacing w:line="360" w:lineRule="auto"/>
              <w:contextualSpacing/>
              <w:jc w:val="center"/>
              <w:rPr>
                <w:rFonts w:hint="eastAsia" w:ascii="宋体" w:cs="宋体"/>
                <w:color w:val="000000"/>
                <w:highlight w:val="none"/>
              </w:rPr>
            </w:pPr>
            <w:r>
              <w:rPr>
                <w:rFonts w:hint="eastAsia" w:ascii="宋体" w:cs="宋体"/>
                <w:color w:val="000000"/>
                <w:highlight w:val="none"/>
              </w:rPr>
              <w:t>组织结构</w:t>
            </w:r>
          </w:p>
        </w:tc>
        <w:tc>
          <w:tcPr>
            <w:tcW w:w="4024" w:type="pct"/>
            <w:gridSpan w:val="9"/>
            <w:tcBorders>
              <w:top w:val="single" w:color="auto" w:sz="4" w:space="0"/>
              <w:left w:val="nil"/>
              <w:bottom w:val="single" w:color="auto" w:sz="4" w:space="0"/>
              <w:right w:val="single" w:color="auto" w:sz="4" w:space="0"/>
            </w:tcBorders>
            <w:noWrap w:val="0"/>
            <w:vAlign w:val="center"/>
          </w:tcPr>
          <w:p w14:paraId="1D6A2704">
            <w:pPr>
              <w:autoSpaceDE w:val="0"/>
              <w:autoSpaceDN w:val="0"/>
              <w:adjustRightInd w:val="0"/>
              <w:snapToGrid w:val="0"/>
              <w:spacing w:line="360" w:lineRule="auto"/>
              <w:contextualSpacing/>
              <w:jc w:val="center"/>
              <w:rPr>
                <w:rFonts w:hint="eastAsia" w:ascii="宋体" w:cs="宋体"/>
                <w:color w:val="000000"/>
                <w:highlight w:val="none"/>
              </w:rPr>
            </w:pPr>
          </w:p>
        </w:tc>
      </w:tr>
      <w:tr w14:paraId="0EA4A359">
        <w:tblPrEx>
          <w:tblCellMar>
            <w:top w:w="0" w:type="dxa"/>
            <w:left w:w="108" w:type="dxa"/>
            <w:bottom w:w="0" w:type="dxa"/>
            <w:right w:w="108" w:type="dxa"/>
          </w:tblCellMar>
        </w:tblPrEx>
        <w:trPr>
          <w:cantSplit/>
          <w:trHeight w:val="510" w:hRule="atLeast"/>
          <w:jc w:val="center"/>
        </w:trPr>
        <w:tc>
          <w:tcPr>
            <w:tcW w:w="975" w:type="pct"/>
            <w:tcBorders>
              <w:top w:val="single" w:color="auto" w:sz="4" w:space="0"/>
              <w:left w:val="single" w:color="auto" w:sz="4" w:space="0"/>
              <w:bottom w:val="single" w:color="auto" w:sz="4" w:space="0"/>
              <w:right w:val="single" w:color="auto" w:sz="4" w:space="0"/>
            </w:tcBorders>
            <w:noWrap w:val="0"/>
            <w:vAlign w:val="center"/>
          </w:tcPr>
          <w:p w14:paraId="5484693C">
            <w:pPr>
              <w:autoSpaceDE w:val="0"/>
              <w:autoSpaceDN w:val="0"/>
              <w:adjustRightInd w:val="0"/>
              <w:snapToGrid w:val="0"/>
              <w:spacing w:line="360" w:lineRule="auto"/>
              <w:contextualSpacing/>
              <w:jc w:val="center"/>
              <w:rPr>
                <w:rFonts w:hint="eastAsia" w:ascii="宋体" w:cs="宋体"/>
                <w:color w:val="000000"/>
                <w:highlight w:val="none"/>
              </w:rPr>
            </w:pPr>
            <w:r>
              <w:rPr>
                <w:rFonts w:hint="eastAsia" w:ascii="宋体" w:cs="宋体"/>
                <w:color w:val="000000"/>
                <w:highlight w:val="none"/>
              </w:rPr>
              <w:t>法定代表人</w:t>
            </w:r>
          </w:p>
        </w:tc>
        <w:tc>
          <w:tcPr>
            <w:tcW w:w="606" w:type="pct"/>
            <w:tcBorders>
              <w:top w:val="single" w:color="auto" w:sz="4" w:space="0"/>
              <w:left w:val="nil"/>
              <w:bottom w:val="single" w:color="auto" w:sz="4" w:space="0"/>
              <w:right w:val="single" w:color="auto" w:sz="4" w:space="0"/>
            </w:tcBorders>
            <w:noWrap w:val="0"/>
            <w:vAlign w:val="center"/>
          </w:tcPr>
          <w:p w14:paraId="565756CC">
            <w:pPr>
              <w:autoSpaceDE w:val="0"/>
              <w:autoSpaceDN w:val="0"/>
              <w:adjustRightInd w:val="0"/>
              <w:snapToGrid w:val="0"/>
              <w:spacing w:line="360" w:lineRule="auto"/>
              <w:contextualSpacing/>
              <w:jc w:val="center"/>
              <w:rPr>
                <w:rFonts w:hint="eastAsia" w:ascii="宋体" w:cs="宋体"/>
                <w:color w:val="000000"/>
                <w:highlight w:val="none"/>
              </w:rPr>
            </w:pPr>
            <w:r>
              <w:rPr>
                <w:rFonts w:hint="eastAsia" w:ascii="宋体" w:cs="宋体"/>
                <w:color w:val="000000"/>
                <w:highlight w:val="none"/>
              </w:rPr>
              <w:t>姓名</w:t>
            </w:r>
          </w:p>
        </w:tc>
        <w:tc>
          <w:tcPr>
            <w:tcW w:w="409" w:type="pct"/>
            <w:tcBorders>
              <w:top w:val="single" w:color="auto" w:sz="4" w:space="0"/>
              <w:left w:val="nil"/>
              <w:bottom w:val="single" w:color="auto" w:sz="4" w:space="0"/>
              <w:right w:val="single" w:color="auto" w:sz="4" w:space="0"/>
            </w:tcBorders>
            <w:noWrap w:val="0"/>
            <w:vAlign w:val="center"/>
          </w:tcPr>
          <w:p w14:paraId="1D319052">
            <w:pPr>
              <w:autoSpaceDE w:val="0"/>
              <w:autoSpaceDN w:val="0"/>
              <w:adjustRightInd w:val="0"/>
              <w:snapToGrid w:val="0"/>
              <w:spacing w:line="360" w:lineRule="auto"/>
              <w:contextualSpacing/>
              <w:rPr>
                <w:rFonts w:hint="eastAsia" w:ascii="宋体" w:cs="宋体"/>
                <w:color w:val="000000"/>
                <w:highlight w:val="none"/>
              </w:rPr>
            </w:pPr>
          </w:p>
        </w:tc>
        <w:tc>
          <w:tcPr>
            <w:tcW w:w="812" w:type="pct"/>
            <w:gridSpan w:val="2"/>
            <w:tcBorders>
              <w:top w:val="single" w:color="auto" w:sz="4" w:space="0"/>
              <w:left w:val="nil"/>
              <w:bottom w:val="single" w:color="auto" w:sz="4" w:space="0"/>
              <w:right w:val="single" w:color="auto" w:sz="4" w:space="0"/>
            </w:tcBorders>
            <w:noWrap w:val="0"/>
            <w:vAlign w:val="center"/>
          </w:tcPr>
          <w:p w14:paraId="1B146154">
            <w:pPr>
              <w:autoSpaceDE w:val="0"/>
              <w:autoSpaceDN w:val="0"/>
              <w:adjustRightInd w:val="0"/>
              <w:snapToGrid w:val="0"/>
              <w:spacing w:line="360" w:lineRule="auto"/>
              <w:contextualSpacing/>
              <w:rPr>
                <w:rFonts w:hint="eastAsia" w:ascii="宋体" w:cs="宋体"/>
                <w:color w:val="000000"/>
                <w:highlight w:val="none"/>
              </w:rPr>
            </w:pPr>
            <w:r>
              <w:rPr>
                <w:rFonts w:hint="eastAsia" w:ascii="宋体" w:cs="宋体"/>
                <w:color w:val="000000"/>
                <w:highlight w:val="none"/>
              </w:rPr>
              <w:t>技术职称</w:t>
            </w:r>
          </w:p>
        </w:tc>
        <w:tc>
          <w:tcPr>
            <w:tcW w:w="1016" w:type="pct"/>
            <w:gridSpan w:val="3"/>
            <w:tcBorders>
              <w:top w:val="single" w:color="auto" w:sz="4" w:space="0"/>
              <w:left w:val="nil"/>
              <w:bottom w:val="single" w:color="auto" w:sz="4" w:space="0"/>
              <w:right w:val="single" w:color="auto" w:sz="4" w:space="0"/>
            </w:tcBorders>
            <w:noWrap w:val="0"/>
            <w:vAlign w:val="center"/>
          </w:tcPr>
          <w:p w14:paraId="38E3D5AD">
            <w:pPr>
              <w:autoSpaceDE w:val="0"/>
              <w:autoSpaceDN w:val="0"/>
              <w:adjustRightInd w:val="0"/>
              <w:snapToGrid w:val="0"/>
              <w:spacing w:line="360" w:lineRule="auto"/>
              <w:contextualSpacing/>
              <w:rPr>
                <w:rFonts w:hint="eastAsia" w:ascii="宋体" w:cs="宋体"/>
                <w:color w:val="000000"/>
                <w:highlight w:val="none"/>
              </w:rPr>
            </w:pPr>
          </w:p>
        </w:tc>
        <w:tc>
          <w:tcPr>
            <w:tcW w:w="678" w:type="pct"/>
            <w:tcBorders>
              <w:top w:val="single" w:color="auto" w:sz="4" w:space="0"/>
              <w:left w:val="nil"/>
              <w:bottom w:val="single" w:color="auto" w:sz="4" w:space="0"/>
              <w:right w:val="single" w:color="auto" w:sz="4" w:space="0"/>
            </w:tcBorders>
            <w:noWrap w:val="0"/>
            <w:vAlign w:val="center"/>
          </w:tcPr>
          <w:p w14:paraId="51033FEF">
            <w:pPr>
              <w:autoSpaceDE w:val="0"/>
              <w:autoSpaceDN w:val="0"/>
              <w:adjustRightInd w:val="0"/>
              <w:snapToGrid w:val="0"/>
              <w:spacing w:line="360" w:lineRule="auto"/>
              <w:contextualSpacing/>
              <w:rPr>
                <w:rFonts w:hint="eastAsia" w:ascii="宋体" w:cs="宋体"/>
                <w:color w:val="000000"/>
                <w:highlight w:val="none"/>
              </w:rPr>
            </w:pPr>
            <w:r>
              <w:rPr>
                <w:rFonts w:hint="eastAsia" w:ascii="宋体" w:cs="宋体"/>
                <w:color w:val="000000"/>
                <w:highlight w:val="none"/>
              </w:rPr>
              <w:t>电话</w:t>
            </w:r>
          </w:p>
        </w:tc>
        <w:tc>
          <w:tcPr>
            <w:tcW w:w="501" w:type="pct"/>
            <w:tcBorders>
              <w:top w:val="single" w:color="auto" w:sz="4" w:space="0"/>
              <w:left w:val="nil"/>
              <w:bottom w:val="single" w:color="auto" w:sz="4" w:space="0"/>
              <w:right w:val="single" w:color="auto" w:sz="4" w:space="0"/>
            </w:tcBorders>
            <w:noWrap w:val="0"/>
            <w:vAlign w:val="center"/>
          </w:tcPr>
          <w:p w14:paraId="1424F61D">
            <w:pPr>
              <w:autoSpaceDE w:val="0"/>
              <w:autoSpaceDN w:val="0"/>
              <w:adjustRightInd w:val="0"/>
              <w:snapToGrid w:val="0"/>
              <w:spacing w:line="360" w:lineRule="auto"/>
              <w:contextualSpacing/>
              <w:rPr>
                <w:rFonts w:hint="eastAsia" w:ascii="宋体" w:cs="宋体"/>
                <w:color w:val="000000"/>
                <w:highlight w:val="none"/>
              </w:rPr>
            </w:pPr>
          </w:p>
        </w:tc>
      </w:tr>
      <w:tr w14:paraId="7B593F4A">
        <w:tblPrEx>
          <w:tblCellMar>
            <w:top w:w="0" w:type="dxa"/>
            <w:left w:w="108" w:type="dxa"/>
            <w:bottom w:w="0" w:type="dxa"/>
            <w:right w:w="108" w:type="dxa"/>
          </w:tblCellMar>
        </w:tblPrEx>
        <w:trPr>
          <w:cantSplit/>
          <w:trHeight w:val="510" w:hRule="atLeast"/>
          <w:jc w:val="center"/>
        </w:trPr>
        <w:tc>
          <w:tcPr>
            <w:tcW w:w="975" w:type="pct"/>
            <w:tcBorders>
              <w:top w:val="single" w:color="auto" w:sz="4" w:space="0"/>
              <w:left w:val="single" w:color="auto" w:sz="4" w:space="0"/>
              <w:bottom w:val="single" w:color="auto" w:sz="4" w:space="0"/>
              <w:right w:val="single" w:color="auto" w:sz="4" w:space="0"/>
            </w:tcBorders>
            <w:noWrap w:val="0"/>
            <w:vAlign w:val="center"/>
          </w:tcPr>
          <w:p w14:paraId="2FD6C113">
            <w:pPr>
              <w:autoSpaceDE w:val="0"/>
              <w:autoSpaceDN w:val="0"/>
              <w:adjustRightInd w:val="0"/>
              <w:snapToGrid w:val="0"/>
              <w:spacing w:line="360" w:lineRule="auto"/>
              <w:contextualSpacing/>
              <w:jc w:val="center"/>
              <w:rPr>
                <w:rFonts w:hint="eastAsia" w:ascii="宋体" w:cs="宋体"/>
                <w:color w:val="000000"/>
                <w:highlight w:val="none"/>
              </w:rPr>
            </w:pPr>
            <w:r>
              <w:rPr>
                <w:rFonts w:hint="eastAsia" w:ascii="宋体" w:cs="宋体"/>
                <w:color w:val="000000"/>
                <w:highlight w:val="none"/>
              </w:rPr>
              <w:t>技术负责人</w:t>
            </w:r>
          </w:p>
        </w:tc>
        <w:tc>
          <w:tcPr>
            <w:tcW w:w="606" w:type="pct"/>
            <w:tcBorders>
              <w:top w:val="single" w:color="auto" w:sz="4" w:space="0"/>
              <w:left w:val="nil"/>
              <w:bottom w:val="single" w:color="auto" w:sz="4" w:space="0"/>
              <w:right w:val="single" w:color="auto" w:sz="4" w:space="0"/>
            </w:tcBorders>
            <w:noWrap w:val="0"/>
            <w:vAlign w:val="center"/>
          </w:tcPr>
          <w:p w14:paraId="123BAD4B">
            <w:pPr>
              <w:autoSpaceDE w:val="0"/>
              <w:autoSpaceDN w:val="0"/>
              <w:adjustRightInd w:val="0"/>
              <w:snapToGrid w:val="0"/>
              <w:spacing w:line="360" w:lineRule="auto"/>
              <w:contextualSpacing/>
              <w:jc w:val="center"/>
              <w:rPr>
                <w:rFonts w:hint="eastAsia" w:ascii="宋体" w:cs="宋体"/>
                <w:color w:val="000000"/>
                <w:highlight w:val="none"/>
              </w:rPr>
            </w:pPr>
            <w:r>
              <w:rPr>
                <w:rFonts w:hint="eastAsia" w:ascii="宋体" w:cs="宋体"/>
                <w:color w:val="000000"/>
                <w:highlight w:val="none"/>
              </w:rPr>
              <w:t>姓名</w:t>
            </w:r>
          </w:p>
        </w:tc>
        <w:tc>
          <w:tcPr>
            <w:tcW w:w="409" w:type="pct"/>
            <w:tcBorders>
              <w:top w:val="single" w:color="auto" w:sz="4" w:space="0"/>
              <w:left w:val="nil"/>
              <w:bottom w:val="single" w:color="auto" w:sz="4" w:space="0"/>
              <w:right w:val="single" w:color="auto" w:sz="4" w:space="0"/>
            </w:tcBorders>
            <w:noWrap w:val="0"/>
            <w:vAlign w:val="center"/>
          </w:tcPr>
          <w:p w14:paraId="27DB696B">
            <w:pPr>
              <w:autoSpaceDE w:val="0"/>
              <w:autoSpaceDN w:val="0"/>
              <w:adjustRightInd w:val="0"/>
              <w:snapToGrid w:val="0"/>
              <w:spacing w:line="360" w:lineRule="auto"/>
              <w:contextualSpacing/>
              <w:rPr>
                <w:rFonts w:hint="eastAsia" w:ascii="宋体" w:cs="宋体"/>
                <w:color w:val="000000"/>
                <w:highlight w:val="none"/>
              </w:rPr>
            </w:pPr>
          </w:p>
        </w:tc>
        <w:tc>
          <w:tcPr>
            <w:tcW w:w="812" w:type="pct"/>
            <w:gridSpan w:val="2"/>
            <w:tcBorders>
              <w:top w:val="single" w:color="auto" w:sz="4" w:space="0"/>
              <w:left w:val="nil"/>
              <w:bottom w:val="single" w:color="auto" w:sz="4" w:space="0"/>
              <w:right w:val="single" w:color="auto" w:sz="4" w:space="0"/>
            </w:tcBorders>
            <w:noWrap w:val="0"/>
            <w:vAlign w:val="center"/>
          </w:tcPr>
          <w:p w14:paraId="1A21FCD8">
            <w:pPr>
              <w:autoSpaceDE w:val="0"/>
              <w:autoSpaceDN w:val="0"/>
              <w:adjustRightInd w:val="0"/>
              <w:snapToGrid w:val="0"/>
              <w:spacing w:line="360" w:lineRule="auto"/>
              <w:contextualSpacing/>
              <w:rPr>
                <w:rFonts w:hint="eastAsia" w:ascii="宋体" w:cs="宋体"/>
                <w:color w:val="000000"/>
                <w:highlight w:val="none"/>
              </w:rPr>
            </w:pPr>
            <w:r>
              <w:rPr>
                <w:rFonts w:hint="eastAsia" w:ascii="宋体" w:cs="宋体"/>
                <w:color w:val="000000"/>
                <w:highlight w:val="none"/>
              </w:rPr>
              <w:t>技术职称</w:t>
            </w:r>
          </w:p>
        </w:tc>
        <w:tc>
          <w:tcPr>
            <w:tcW w:w="1016" w:type="pct"/>
            <w:gridSpan w:val="3"/>
            <w:tcBorders>
              <w:top w:val="single" w:color="auto" w:sz="4" w:space="0"/>
              <w:left w:val="nil"/>
              <w:bottom w:val="single" w:color="auto" w:sz="4" w:space="0"/>
              <w:right w:val="single" w:color="auto" w:sz="4" w:space="0"/>
            </w:tcBorders>
            <w:noWrap w:val="0"/>
            <w:vAlign w:val="center"/>
          </w:tcPr>
          <w:p w14:paraId="598DEAFF">
            <w:pPr>
              <w:autoSpaceDE w:val="0"/>
              <w:autoSpaceDN w:val="0"/>
              <w:adjustRightInd w:val="0"/>
              <w:snapToGrid w:val="0"/>
              <w:spacing w:line="360" w:lineRule="auto"/>
              <w:contextualSpacing/>
              <w:rPr>
                <w:rFonts w:hint="eastAsia" w:ascii="宋体" w:cs="宋体"/>
                <w:color w:val="000000"/>
                <w:highlight w:val="none"/>
              </w:rPr>
            </w:pPr>
          </w:p>
        </w:tc>
        <w:tc>
          <w:tcPr>
            <w:tcW w:w="678" w:type="pct"/>
            <w:tcBorders>
              <w:top w:val="single" w:color="auto" w:sz="4" w:space="0"/>
              <w:left w:val="nil"/>
              <w:bottom w:val="single" w:color="auto" w:sz="4" w:space="0"/>
              <w:right w:val="single" w:color="auto" w:sz="4" w:space="0"/>
            </w:tcBorders>
            <w:noWrap w:val="0"/>
            <w:vAlign w:val="center"/>
          </w:tcPr>
          <w:p w14:paraId="40E07FA4">
            <w:pPr>
              <w:autoSpaceDE w:val="0"/>
              <w:autoSpaceDN w:val="0"/>
              <w:adjustRightInd w:val="0"/>
              <w:snapToGrid w:val="0"/>
              <w:spacing w:line="360" w:lineRule="auto"/>
              <w:contextualSpacing/>
              <w:rPr>
                <w:rFonts w:hint="eastAsia" w:ascii="宋体" w:cs="宋体"/>
                <w:color w:val="000000"/>
                <w:highlight w:val="none"/>
              </w:rPr>
            </w:pPr>
            <w:r>
              <w:rPr>
                <w:rFonts w:hint="eastAsia" w:ascii="宋体" w:cs="宋体"/>
                <w:color w:val="000000"/>
                <w:highlight w:val="none"/>
              </w:rPr>
              <w:t>电话</w:t>
            </w:r>
          </w:p>
        </w:tc>
        <w:tc>
          <w:tcPr>
            <w:tcW w:w="501" w:type="pct"/>
            <w:tcBorders>
              <w:top w:val="single" w:color="auto" w:sz="4" w:space="0"/>
              <w:left w:val="nil"/>
              <w:bottom w:val="single" w:color="auto" w:sz="4" w:space="0"/>
              <w:right w:val="single" w:color="auto" w:sz="4" w:space="0"/>
            </w:tcBorders>
            <w:noWrap w:val="0"/>
            <w:vAlign w:val="center"/>
          </w:tcPr>
          <w:p w14:paraId="1DA743DE">
            <w:pPr>
              <w:autoSpaceDE w:val="0"/>
              <w:autoSpaceDN w:val="0"/>
              <w:adjustRightInd w:val="0"/>
              <w:snapToGrid w:val="0"/>
              <w:spacing w:line="360" w:lineRule="auto"/>
              <w:contextualSpacing/>
              <w:rPr>
                <w:rFonts w:hint="eastAsia" w:ascii="宋体" w:cs="宋体"/>
                <w:color w:val="000000"/>
                <w:highlight w:val="none"/>
              </w:rPr>
            </w:pPr>
          </w:p>
        </w:tc>
      </w:tr>
      <w:tr w14:paraId="0AA630B8">
        <w:tblPrEx>
          <w:tblCellMar>
            <w:top w:w="0" w:type="dxa"/>
            <w:left w:w="108" w:type="dxa"/>
            <w:bottom w:w="0" w:type="dxa"/>
            <w:right w:w="108" w:type="dxa"/>
          </w:tblCellMar>
        </w:tblPrEx>
        <w:trPr>
          <w:cantSplit/>
          <w:trHeight w:val="510" w:hRule="atLeast"/>
          <w:jc w:val="center"/>
        </w:trPr>
        <w:tc>
          <w:tcPr>
            <w:tcW w:w="975" w:type="pct"/>
            <w:tcBorders>
              <w:top w:val="single" w:color="auto" w:sz="4" w:space="0"/>
              <w:left w:val="single" w:color="auto" w:sz="4" w:space="0"/>
              <w:bottom w:val="single" w:color="auto" w:sz="4" w:space="0"/>
              <w:right w:val="single" w:color="auto" w:sz="4" w:space="0"/>
            </w:tcBorders>
            <w:noWrap w:val="0"/>
            <w:vAlign w:val="center"/>
          </w:tcPr>
          <w:p w14:paraId="3AB37A94">
            <w:pPr>
              <w:autoSpaceDE w:val="0"/>
              <w:autoSpaceDN w:val="0"/>
              <w:adjustRightInd w:val="0"/>
              <w:snapToGrid w:val="0"/>
              <w:spacing w:line="360" w:lineRule="auto"/>
              <w:contextualSpacing/>
              <w:jc w:val="center"/>
              <w:rPr>
                <w:rFonts w:hint="eastAsia" w:ascii="宋体" w:cs="宋体"/>
                <w:color w:val="000000"/>
                <w:highlight w:val="none"/>
              </w:rPr>
            </w:pPr>
            <w:r>
              <w:rPr>
                <w:rFonts w:hint="eastAsia" w:ascii="宋体" w:cs="宋体"/>
                <w:color w:val="000000"/>
                <w:highlight w:val="none"/>
              </w:rPr>
              <w:t>成立时间</w:t>
            </w:r>
          </w:p>
        </w:tc>
        <w:tc>
          <w:tcPr>
            <w:tcW w:w="1015" w:type="pct"/>
            <w:gridSpan w:val="2"/>
            <w:tcBorders>
              <w:top w:val="single" w:color="auto" w:sz="4" w:space="0"/>
              <w:left w:val="nil"/>
              <w:bottom w:val="single" w:color="auto" w:sz="4" w:space="0"/>
              <w:right w:val="single" w:color="auto" w:sz="4" w:space="0"/>
            </w:tcBorders>
            <w:noWrap w:val="0"/>
            <w:vAlign w:val="center"/>
          </w:tcPr>
          <w:p w14:paraId="3F20CB08">
            <w:pPr>
              <w:autoSpaceDE w:val="0"/>
              <w:autoSpaceDN w:val="0"/>
              <w:adjustRightInd w:val="0"/>
              <w:snapToGrid w:val="0"/>
              <w:spacing w:line="360" w:lineRule="auto"/>
              <w:contextualSpacing/>
              <w:rPr>
                <w:rFonts w:hint="eastAsia" w:ascii="宋体" w:cs="宋体"/>
                <w:color w:val="000000"/>
                <w:highlight w:val="none"/>
              </w:rPr>
            </w:pPr>
          </w:p>
        </w:tc>
        <w:tc>
          <w:tcPr>
            <w:tcW w:w="3009" w:type="pct"/>
            <w:gridSpan w:val="7"/>
            <w:tcBorders>
              <w:top w:val="single" w:color="auto" w:sz="4" w:space="0"/>
              <w:left w:val="nil"/>
              <w:bottom w:val="single" w:color="auto" w:sz="4" w:space="0"/>
              <w:right w:val="single" w:color="auto" w:sz="4" w:space="0"/>
            </w:tcBorders>
            <w:noWrap w:val="0"/>
            <w:vAlign w:val="center"/>
          </w:tcPr>
          <w:p w14:paraId="269DC933">
            <w:pPr>
              <w:autoSpaceDE w:val="0"/>
              <w:autoSpaceDN w:val="0"/>
              <w:adjustRightInd w:val="0"/>
              <w:snapToGrid w:val="0"/>
              <w:spacing w:line="360" w:lineRule="auto"/>
              <w:contextualSpacing/>
              <w:rPr>
                <w:rFonts w:hint="eastAsia" w:ascii="宋体" w:cs="宋体"/>
                <w:color w:val="000000"/>
                <w:highlight w:val="none"/>
              </w:rPr>
            </w:pPr>
            <w:r>
              <w:rPr>
                <w:rFonts w:hint="eastAsia" w:ascii="宋体" w:cs="宋体"/>
                <w:color w:val="000000"/>
                <w:highlight w:val="none"/>
              </w:rPr>
              <w:t>员工总人数：</w:t>
            </w:r>
          </w:p>
        </w:tc>
      </w:tr>
      <w:tr w14:paraId="7B4D0674">
        <w:tblPrEx>
          <w:tblCellMar>
            <w:top w:w="0" w:type="dxa"/>
            <w:left w:w="108" w:type="dxa"/>
            <w:bottom w:w="0" w:type="dxa"/>
            <w:right w:w="108" w:type="dxa"/>
          </w:tblCellMar>
        </w:tblPrEx>
        <w:trPr>
          <w:cantSplit/>
          <w:trHeight w:val="510" w:hRule="atLeast"/>
          <w:jc w:val="center"/>
        </w:trPr>
        <w:tc>
          <w:tcPr>
            <w:tcW w:w="975" w:type="pct"/>
            <w:tcBorders>
              <w:top w:val="single" w:color="auto" w:sz="4" w:space="0"/>
              <w:left w:val="single" w:color="auto" w:sz="4" w:space="0"/>
              <w:bottom w:val="single" w:color="auto" w:sz="4" w:space="0"/>
              <w:right w:val="single" w:color="auto" w:sz="4" w:space="0"/>
            </w:tcBorders>
            <w:noWrap w:val="0"/>
            <w:vAlign w:val="center"/>
          </w:tcPr>
          <w:p w14:paraId="1FF68B8D">
            <w:pPr>
              <w:autoSpaceDE w:val="0"/>
              <w:autoSpaceDN w:val="0"/>
              <w:adjustRightInd w:val="0"/>
              <w:snapToGrid w:val="0"/>
              <w:spacing w:line="360" w:lineRule="auto"/>
              <w:contextualSpacing/>
              <w:jc w:val="center"/>
              <w:rPr>
                <w:rFonts w:hint="eastAsia" w:ascii="宋体" w:cs="宋体"/>
                <w:color w:val="000000"/>
                <w:highlight w:val="none"/>
              </w:rPr>
            </w:pPr>
            <w:r>
              <w:rPr>
                <w:rFonts w:hint="eastAsia" w:ascii="宋体" w:cs="宋体"/>
                <w:color w:val="000000"/>
                <w:highlight w:val="none"/>
              </w:rPr>
              <w:t>企业资质等级</w:t>
            </w:r>
          </w:p>
        </w:tc>
        <w:tc>
          <w:tcPr>
            <w:tcW w:w="1015" w:type="pct"/>
            <w:gridSpan w:val="2"/>
            <w:tcBorders>
              <w:top w:val="single" w:color="auto" w:sz="4" w:space="0"/>
              <w:left w:val="nil"/>
              <w:bottom w:val="single" w:color="auto" w:sz="4" w:space="0"/>
              <w:right w:val="single" w:color="auto" w:sz="4" w:space="0"/>
            </w:tcBorders>
            <w:noWrap w:val="0"/>
            <w:vAlign w:val="center"/>
          </w:tcPr>
          <w:p w14:paraId="2ABE69B8">
            <w:pPr>
              <w:autoSpaceDE w:val="0"/>
              <w:autoSpaceDN w:val="0"/>
              <w:adjustRightInd w:val="0"/>
              <w:snapToGrid w:val="0"/>
              <w:spacing w:line="360" w:lineRule="auto"/>
              <w:contextualSpacing/>
              <w:rPr>
                <w:rFonts w:hint="eastAsia" w:ascii="宋体" w:cs="宋体"/>
                <w:color w:val="000000"/>
                <w:highlight w:val="none"/>
              </w:rPr>
            </w:pPr>
          </w:p>
        </w:tc>
        <w:tc>
          <w:tcPr>
            <w:tcW w:w="711" w:type="pct"/>
            <w:vMerge w:val="restart"/>
            <w:tcBorders>
              <w:top w:val="nil"/>
              <w:left w:val="nil"/>
              <w:bottom w:val="single" w:color="auto" w:sz="4" w:space="0"/>
              <w:right w:val="single" w:color="auto" w:sz="4" w:space="0"/>
            </w:tcBorders>
            <w:noWrap w:val="0"/>
            <w:vAlign w:val="center"/>
          </w:tcPr>
          <w:p w14:paraId="6D0D5F89">
            <w:pPr>
              <w:autoSpaceDE w:val="0"/>
              <w:autoSpaceDN w:val="0"/>
              <w:adjustRightInd w:val="0"/>
              <w:snapToGrid w:val="0"/>
              <w:spacing w:line="360" w:lineRule="auto"/>
              <w:contextualSpacing/>
              <w:jc w:val="center"/>
              <w:rPr>
                <w:rFonts w:hint="eastAsia" w:ascii="宋体" w:cs="宋体"/>
                <w:color w:val="000000"/>
                <w:highlight w:val="none"/>
              </w:rPr>
            </w:pPr>
            <w:r>
              <w:rPr>
                <w:rFonts w:hint="eastAsia" w:ascii="宋体" w:cs="宋体"/>
                <w:color w:val="000000"/>
                <w:highlight w:val="none"/>
              </w:rPr>
              <w:t>其中</w:t>
            </w:r>
          </w:p>
        </w:tc>
        <w:tc>
          <w:tcPr>
            <w:tcW w:w="1117" w:type="pct"/>
            <w:gridSpan w:val="4"/>
            <w:tcBorders>
              <w:top w:val="single" w:color="auto" w:sz="4" w:space="0"/>
              <w:left w:val="nil"/>
              <w:bottom w:val="single" w:color="auto" w:sz="4" w:space="0"/>
              <w:right w:val="single" w:color="auto" w:sz="4" w:space="0"/>
            </w:tcBorders>
            <w:noWrap w:val="0"/>
            <w:vAlign w:val="center"/>
          </w:tcPr>
          <w:p w14:paraId="6C122CE3">
            <w:pPr>
              <w:autoSpaceDE w:val="0"/>
              <w:autoSpaceDN w:val="0"/>
              <w:adjustRightInd w:val="0"/>
              <w:snapToGrid w:val="0"/>
              <w:spacing w:line="360" w:lineRule="auto"/>
              <w:contextualSpacing/>
              <w:jc w:val="center"/>
              <w:rPr>
                <w:rFonts w:hint="eastAsia" w:ascii="宋体" w:cs="宋体"/>
                <w:color w:val="000000"/>
                <w:highlight w:val="none"/>
              </w:rPr>
            </w:pPr>
            <w:r>
              <w:rPr>
                <w:rFonts w:hint="eastAsia" w:ascii="宋体" w:cs="宋体"/>
                <w:color w:val="000000"/>
                <w:highlight w:val="none"/>
              </w:rPr>
              <w:t>项目负责人</w:t>
            </w:r>
          </w:p>
        </w:tc>
        <w:tc>
          <w:tcPr>
            <w:tcW w:w="1180" w:type="pct"/>
            <w:gridSpan w:val="2"/>
            <w:tcBorders>
              <w:top w:val="single" w:color="auto" w:sz="4" w:space="0"/>
              <w:left w:val="nil"/>
              <w:bottom w:val="single" w:color="auto" w:sz="4" w:space="0"/>
              <w:right w:val="single" w:color="auto" w:sz="4" w:space="0"/>
            </w:tcBorders>
            <w:noWrap w:val="0"/>
            <w:vAlign w:val="center"/>
          </w:tcPr>
          <w:p w14:paraId="3D104CE8">
            <w:pPr>
              <w:autoSpaceDE w:val="0"/>
              <w:autoSpaceDN w:val="0"/>
              <w:adjustRightInd w:val="0"/>
              <w:snapToGrid w:val="0"/>
              <w:spacing w:line="360" w:lineRule="auto"/>
              <w:contextualSpacing/>
              <w:rPr>
                <w:rFonts w:hint="eastAsia" w:ascii="宋体" w:cs="宋体"/>
                <w:color w:val="000000"/>
                <w:highlight w:val="none"/>
              </w:rPr>
            </w:pPr>
          </w:p>
        </w:tc>
      </w:tr>
      <w:tr w14:paraId="293EE704">
        <w:tblPrEx>
          <w:tblCellMar>
            <w:top w:w="0" w:type="dxa"/>
            <w:left w:w="108" w:type="dxa"/>
            <w:bottom w:w="0" w:type="dxa"/>
            <w:right w:w="108" w:type="dxa"/>
          </w:tblCellMar>
        </w:tblPrEx>
        <w:trPr>
          <w:cantSplit/>
          <w:trHeight w:val="510" w:hRule="atLeast"/>
          <w:jc w:val="center"/>
        </w:trPr>
        <w:tc>
          <w:tcPr>
            <w:tcW w:w="975" w:type="pct"/>
            <w:tcBorders>
              <w:top w:val="single" w:color="auto" w:sz="4" w:space="0"/>
              <w:left w:val="single" w:color="auto" w:sz="4" w:space="0"/>
              <w:bottom w:val="single" w:color="auto" w:sz="4" w:space="0"/>
              <w:right w:val="single" w:color="auto" w:sz="4" w:space="0"/>
            </w:tcBorders>
            <w:noWrap w:val="0"/>
            <w:vAlign w:val="center"/>
          </w:tcPr>
          <w:p w14:paraId="66A22B3A">
            <w:pPr>
              <w:autoSpaceDE w:val="0"/>
              <w:autoSpaceDN w:val="0"/>
              <w:adjustRightInd w:val="0"/>
              <w:snapToGrid w:val="0"/>
              <w:spacing w:line="360" w:lineRule="auto"/>
              <w:contextualSpacing/>
              <w:jc w:val="center"/>
              <w:rPr>
                <w:rFonts w:hint="eastAsia" w:ascii="宋体" w:cs="宋体"/>
                <w:color w:val="000000"/>
                <w:highlight w:val="none"/>
              </w:rPr>
            </w:pPr>
            <w:r>
              <w:rPr>
                <w:rFonts w:hint="eastAsia" w:ascii="宋体" w:cs="宋体"/>
                <w:color w:val="000000"/>
                <w:highlight w:val="none"/>
              </w:rPr>
              <w:t>营业执照号</w:t>
            </w:r>
          </w:p>
        </w:tc>
        <w:tc>
          <w:tcPr>
            <w:tcW w:w="1015" w:type="pct"/>
            <w:gridSpan w:val="2"/>
            <w:tcBorders>
              <w:top w:val="single" w:color="auto" w:sz="4" w:space="0"/>
              <w:left w:val="nil"/>
              <w:bottom w:val="single" w:color="auto" w:sz="4" w:space="0"/>
              <w:right w:val="single" w:color="auto" w:sz="4" w:space="0"/>
            </w:tcBorders>
            <w:noWrap w:val="0"/>
            <w:vAlign w:val="center"/>
          </w:tcPr>
          <w:p w14:paraId="2AEC2777">
            <w:pPr>
              <w:autoSpaceDE w:val="0"/>
              <w:autoSpaceDN w:val="0"/>
              <w:adjustRightInd w:val="0"/>
              <w:snapToGrid w:val="0"/>
              <w:spacing w:line="360" w:lineRule="auto"/>
              <w:contextualSpacing/>
              <w:rPr>
                <w:rFonts w:hint="eastAsia" w:ascii="宋体" w:cs="宋体"/>
                <w:color w:val="000000"/>
                <w:highlight w:val="none"/>
              </w:rPr>
            </w:pPr>
          </w:p>
        </w:tc>
        <w:tc>
          <w:tcPr>
            <w:tcW w:w="711" w:type="pct"/>
            <w:vMerge w:val="continue"/>
            <w:tcBorders>
              <w:top w:val="nil"/>
              <w:left w:val="nil"/>
              <w:bottom w:val="single" w:color="auto" w:sz="4" w:space="0"/>
              <w:right w:val="single" w:color="auto" w:sz="4" w:space="0"/>
            </w:tcBorders>
            <w:noWrap w:val="0"/>
            <w:vAlign w:val="center"/>
          </w:tcPr>
          <w:p w14:paraId="1E3A43E0">
            <w:pPr>
              <w:rPr>
                <w:highlight w:val="none"/>
              </w:rPr>
            </w:pPr>
          </w:p>
        </w:tc>
        <w:tc>
          <w:tcPr>
            <w:tcW w:w="1117" w:type="pct"/>
            <w:gridSpan w:val="4"/>
            <w:tcBorders>
              <w:top w:val="single" w:color="auto" w:sz="4" w:space="0"/>
              <w:left w:val="nil"/>
              <w:bottom w:val="single" w:color="auto" w:sz="4" w:space="0"/>
              <w:right w:val="single" w:color="auto" w:sz="4" w:space="0"/>
            </w:tcBorders>
            <w:noWrap w:val="0"/>
            <w:vAlign w:val="center"/>
          </w:tcPr>
          <w:p w14:paraId="16C03925">
            <w:pPr>
              <w:autoSpaceDE w:val="0"/>
              <w:autoSpaceDN w:val="0"/>
              <w:adjustRightInd w:val="0"/>
              <w:snapToGrid w:val="0"/>
              <w:spacing w:line="360" w:lineRule="auto"/>
              <w:contextualSpacing/>
              <w:jc w:val="center"/>
              <w:rPr>
                <w:rFonts w:hint="eastAsia" w:ascii="宋体" w:cs="宋体"/>
                <w:color w:val="000000"/>
                <w:highlight w:val="none"/>
              </w:rPr>
            </w:pPr>
            <w:r>
              <w:rPr>
                <w:rFonts w:hint="eastAsia" w:ascii="宋体" w:cs="宋体"/>
                <w:color w:val="000000"/>
                <w:highlight w:val="none"/>
              </w:rPr>
              <w:t>高级职称人员</w:t>
            </w:r>
          </w:p>
        </w:tc>
        <w:tc>
          <w:tcPr>
            <w:tcW w:w="1180" w:type="pct"/>
            <w:gridSpan w:val="2"/>
            <w:tcBorders>
              <w:top w:val="single" w:color="auto" w:sz="4" w:space="0"/>
              <w:left w:val="nil"/>
              <w:bottom w:val="single" w:color="auto" w:sz="4" w:space="0"/>
              <w:right w:val="single" w:color="auto" w:sz="4" w:space="0"/>
            </w:tcBorders>
            <w:noWrap w:val="0"/>
            <w:vAlign w:val="center"/>
          </w:tcPr>
          <w:p w14:paraId="48E04C41">
            <w:pPr>
              <w:autoSpaceDE w:val="0"/>
              <w:autoSpaceDN w:val="0"/>
              <w:adjustRightInd w:val="0"/>
              <w:snapToGrid w:val="0"/>
              <w:spacing w:line="360" w:lineRule="auto"/>
              <w:contextualSpacing/>
              <w:rPr>
                <w:rFonts w:hint="eastAsia" w:ascii="宋体" w:cs="宋体"/>
                <w:color w:val="000000"/>
                <w:highlight w:val="none"/>
              </w:rPr>
            </w:pPr>
          </w:p>
        </w:tc>
      </w:tr>
      <w:tr w14:paraId="4AED97D3">
        <w:tblPrEx>
          <w:tblCellMar>
            <w:top w:w="0" w:type="dxa"/>
            <w:left w:w="108" w:type="dxa"/>
            <w:bottom w:w="0" w:type="dxa"/>
            <w:right w:w="108" w:type="dxa"/>
          </w:tblCellMar>
        </w:tblPrEx>
        <w:trPr>
          <w:cantSplit/>
          <w:trHeight w:val="510" w:hRule="atLeast"/>
          <w:jc w:val="center"/>
        </w:trPr>
        <w:tc>
          <w:tcPr>
            <w:tcW w:w="975" w:type="pct"/>
            <w:tcBorders>
              <w:top w:val="single" w:color="auto" w:sz="4" w:space="0"/>
              <w:left w:val="single" w:color="auto" w:sz="4" w:space="0"/>
              <w:bottom w:val="single" w:color="auto" w:sz="4" w:space="0"/>
              <w:right w:val="single" w:color="auto" w:sz="4" w:space="0"/>
            </w:tcBorders>
            <w:noWrap w:val="0"/>
            <w:vAlign w:val="center"/>
          </w:tcPr>
          <w:p w14:paraId="260EAF6C">
            <w:pPr>
              <w:autoSpaceDE w:val="0"/>
              <w:autoSpaceDN w:val="0"/>
              <w:adjustRightInd w:val="0"/>
              <w:snapToGrid w:val="0"/>
              <w:spacing w:line="360" w:lineRule="auto"/>
              <w:contextualSpacing/>
              <w:jc w:val="center"/>
              <w:rPr>
                <w:rFonts w:hint="eastAsia" w:ascii="宋体" w:cs="宋体"/>
                <w:color w:val="000000"/>
                <w:highlight w:val="none"/>
              </w:rPr>
            </w:pPr>
            <w:r>
              <w:rPr>
                <w:rFonts w:hint="eastAsia" w:ascii="宋体" w:cs="宋体"/>
                <w:color w:val="000000"/>
                <w:highlight w:val="none"/>
              </w:rPr>
              <w:t>注册资金</w:t>
            </w:r>
          </w:p>
        </w:tc>
        <w:tc>
          <w:tcPr>
            <w:tcW w:w="1015" w:type="pct"/>
            <w:gridSpan w:val="2"/>
            <w:tcBorders>
              <w:top w:val="single" w:color="auto" w:sz="4" w:space="0"/>
              <w:left w:val="nil"/>
              <w:bottom w:val="single" w:color="auto" w:sz="4" w:space="0"/>
              <w:right w:val="single" w:color="auto" w:sz="4" w:space="0"/>
            </w:tcBorders>
            <w:noWrap w:val="0"/>
            <w:vAlign w:val="center"/>
          </w:tcPr>
          <w:p w14:paraId="546E7E3B">
            <w:pPr>
              <w:autoSpaceDE w:val="0"/>
              <w:autoSpaceDN w:val="0"/>
              <w:adjustRightInd w:val="0"/>
              <w:snapToGrid w:val="0"/>
              <w:spacing w:line="360" w:lineRule="auto"/>
              <w:contextualSpacing/>
              <w:rPr>
                <w:rFonts w:hint="eastAsia" w:ascii="宋体" w:cs="宋体"/>
                <w:color w:val="000000"/>
                <w:highlight w:val="none"/>
              </w:rPr>
            </w:pPr>
          </w:p>
        </w:tc>
        <w:tc>
          <w:tcPr>
            <w:tcW w:w="711" w:type="pct"/>
            <w:vMerge w:val="continue"/>
            <w:tcBorders>
              <w:top w:val="nil"/>
              <w:left w:val="nil"/>
              <w:bottom w:val="single" w:color="auto" w:sz="4" w:space="0"/>
              <w:right w:val="single" w:color="auto" w:sz="4" w:space="0"/>
            </w:tcBorders>
            <w:noWrap w:val="0"/>
            <w:vAlign w:val="center"/>
          </w:tcPr>
          <w:p w14:paraId="21F5E751">
            <w:pPr>
              <w:rPr>
                <w:highlight w:val="none"/>
              </w:rPr>
            </w:pPr>
          </w:p>
        </w:tc>
        <w:tc>
          <w:tcPr>
            <w:tcW w:w="1117" w:type="pct"/>
            <w:gridSpan w:val="4"/>
            <w:tcBorders>
              <w:top w:val="single" w:color="auto" w:sz="4" w:space="0"/>
              <w:left w:val="nil"/>
              <w:bottom w:val="single" w:color="auto" w:sz="4" w:space="0"/>
              <w:right w:val="single" w:color="auto" w:sz="4" w:space="0"/>
            </w:tcBorders>
            <w:noWrap w:val="0"/>
            <w:vAlign w:val="center"/>
          </w:tcPr>
          <w:p w14:paraId="35A314F4">
            <w:pPr>
              <w:autoSpaceDE w:val="0"/>
              <w:autoSpaceDN w:val="0"/>
              <w:adjustRightInd w:val="0"/>
              <w:snapToGrid w:val="0"/>
              <w:spacing w:line="360" w:lineRule="auto"/>
              <w:contextualSpacing/>
              <w:jc w:val="center"/>
              <w:rPr>
                <w:rFonts w:hint="eastAsia" w:ascii="宋体" w:cs="宋体"/>
                <w:color w:val="000000"/>
                <w:highlight w:val="none"/>
              </w:rPr>
            </w:pPr>
            <w:r>
              <w:rPr>
                <w:rFonts w:hint="eastAsia" w:ascii="宋体" w:cs="宋体"/>
                <w:color w:val="000000"/>
                <w:highlight w:val="none"/>
              </w:rPr>
              <w:t>中级职称人员</w:t>
            </w:r>
          </w:p>
        </w:tc>
        <w:tc>
          <w:tcPr>
            <w:tcW w:w="1180" w:type="pct"/>
            <w:gridSpan w:val="2"/>
            <w:tcBorders>
              <w:top w:val="single" w:color="auto" w:sz="4" w:space="0"/>
              <w:left w:val="nil"/>
              <w:bottom w:val="single" w:color="auto" w:sz="4" w:space="0"/>
              <w:right w:val="single" w:color="auto" w:sz="4" w:space="0"/>
            </w:tcBorders>
            <w:noWrap w:val="0"/>
            <w:vAlign w:val="center"/>
          </w:tcPr>
          <w:p w14:paraId="1CE12988">
            <w:pPr>
              <w:autoSpaceDE w:val="0"/>
              <w:autoSpaceDN w:val="0"/>
              <w:adjustRightInd w:val="0"/>
              <w:snapToGrid w:val="0"/>
              <w:spacing w:line="360" w:lineRule="auto"/>
              <w:contextualSpacing/>
              <w:rPr>
                <w:rFonts w:hint="eastAsia" w:ascii="宋体" w:cs="宋体"/>
                <w:color w:val="000000"/>
                <w:highlight w:val="none"/>
              </w:rPr>
            </w:pPr>
          </w:p>
        </w:tc>
      </w:tr>
      <w:tr w14:paraId="23E681A9">
        <w:tblPrEx>
          <w:tblCellMar>
            <w:top w:w="0" w:type="dxa"/>
            <w:left w:w="108" w:type="dxa"/>
            <w:bottom w:w="0" w:type="dxa"/>
            <w:right w:w="108" w:type="dxa"/>
          </w:tblCellMar>
        </w:tblPrEx>
        <w:trPr>
          <w:cantSplit/>
          <w:trHeight w:val="510" w:hRule="atLeast"/>
          <w:jc w:val="center"/>
        </w:trPr>
        <w:tc>
          <w:tcPr>
            <w:tcW w:w="975" w:type="pct"/>
            <w:tcBorders>
              <w:top w:val="single" w:color="auto" w:sz="4" w:space="0"/>
              <w:left w:val="single" w:color="auto" w:sz="4" w:space="0"/>
              <w:bottom w:val="single" w:color="auto" w:sz="4" w:space="0"/>
              <w:right w:val="single" w:color="auto" w:sz="4" w:space="0"/>
            </w:tcBorders>
            <w:noWrap w:val="0"/>
            <w:vAlign w:val="center"/>
          </w:tcPr>
          <w:p w14:paraId="701347DB">
            <w:pPr>
              <w:autoSpaceDE w:val="0"/>
              <w:autoSpaceDN w:val="0"/>
              <w:adjustRightInd w:val="0"/>
              <w:snapToGrid w:val="0"/>
              <w:spacing w:line="360" w:lineRule="auto"/>
              <w:contextualSpacing/>
              <w:jc w:val="center"/>
              <w:rPr>
                <w:rFonts w:hint="eastAsia" w:ascii="宋体" w:cs="宋体"/>
                <w:color w:val="000000"/>
                <w:highlight w:val="none"/>
              </w:rPr>
            </w:pPr>
            <w:r>
              <w:rPr>
                <w:rFonts w:hint="eastAsia" w:ascii="宋体" w:cs="宋体"/>
                <w:color w:val="000000"/>
                <w:highlight w:val="none"/>
              </w:rPr>
              <w:t>开户银行</w:t>
            </w:r>
          </w:p>
        </w:tc>
        <w:tc>
          <w:tcPr>
            <w:tcW w:w="1015" w:type="pct"/>
            <w:gridSpan w:val="2"/>
            <w:tcBorders>
              <w:top w:val="single" w:color="auto" w:sz="4" w:space="0"/>
              <w:left w:val="nil"/>
              <w:bottom w:val="single" w:color="auto" w:sz="4" w:space="0"/>
              <w:right w:val="single" w:color="auto" w:sz="4" w:space="0"/>
            </w:tcBorders>
            <w:noWrap w:val="0"/>
            <w:vAlign w:val="center"/>
          </w:tcPr>
          <w:p w14:paraId="4262BD84">
            <w:pPr>
              <w:autoSpaceDE w:val="0"/>
              <w:autoSpaceDN w:val="0"/>
              <w:adjustRightInd w:val="0"/>
              <w:snapToGrid w:val="0"/>
              <w:spacing w:line="360" w:lineRule="auto"/>
              <w:contextualSpacing/>
              <w:rPr>
                <w:rFonts w:hint="eastAsia" w:ascii="宋体" w:cs="宋体"/>
                <w:color w:val="000000"/>
                <w:highlight w:val="none"/>
              </w:rPr>
            </w:pPr>
          </w:p>
        </w:tc>
        <w:tc>
          <w:tcPr>
            <w:tcW w:w="711" w:type="pct"/>
            <w:vMerge w:val="continue"/>
            <w:tcBorders>
              <w:top w:val="nil"/>
              <w:left w:val="nil"/>
              <w:bottom w:val="single" w:color="auto" w:sz="4" w:space="0"/>
              <w:right w:val="single" w:color="auto" w:sz="4" w:space="0"/>
            </w:tcBorders>
            <w:noWrap w:val="0"/>
            <w:vAlign w:val="center"/>
          </w:tcPr>
          <w:p w14:paraId="053B59CC">
            <w:pPr>
              <w:rPr>
                <w:highlight w:val="none"/>
              </w:rPr>
            </w:pPr>
          </w:p>
        </w:tc>
        <w:tc>
          <w:tcPr>
            <w:tcW w:w="1117" w:type="pct"/>
            <w:gridSpan w:val="4"/>
            <w:tcBorders>
              <w:top w:val="single" w:color="auto" w:sz="4" w:space="0"/>
              <w:left w:val="nil"/>
              <w:bottom w:val="single" w:color="auto" w:sz="4" w:space="0"/>
              <w:right w:val="single" w:color="auto" w:sz="4" w:space="0"/>
            </w:tcBorders>
            <w:noWrap w:val="0"/>
            <w:vAlign w:val="center"/>
          </w:tcPr>
          <w:p w14:paraId="2A2F5D43">
            <w:pPr>
              <w:autoSpaceDE w:val="0"/>
              <w:autoSpaceDN w:val="0"/>
              <w:adjustRightInd w:val="0"/>
              <w:snapToGrid w:val="0"/>
              <w:spacing w:line="360" w:lineRule="auto"/>
              <w:contextualSpacing/>
              <w:jc w:val="center"/>
              <w:rPr>
                <w:rFonts w:hint="eastAsia" w:ascii="宋体" w:cs="宋体"/>
                <w:color w:val="000000"/>
                <w:highlight w:val="none"/>
              </w:rPr>
            </w:pPr>
            <w:r>
              <w:rPr>
                <w:rFonts w:hint="eastAsia" w:ascii="宋体" w:cs="宋体"/>
                <w:color w:val="000000"/>
                <w:highlight w:val="none"/>
              </w:rPr>
              <w:t>初级职称人员</w:t>
            </w:r>
          </w:p>
        </w:tc>
        <w:tc>
          <w:tcPr>
            <w:tcW w:w="1180" w:type="pct"/>
            <w:gridSpan w:val="2"/>
            <w:tcBorders>
              <w:top w:val="single" w:color="auto" w:sz="4" w:space="0"/>
              <w:left w:val="nil"/>
              <w:bottom w:val="single" w:color="auto" w:sz="4" w:space="0"/>
              <w:right w:val="single" w:color="auto" w:sz="4" w:space="0"/>
            </w:tcBorders>
            <w:noWrap w:val="0"/>
            <w:vAlign w:val="center"/>
          </w:tcPr>
          <w:p w14:paraId="04C3791D">
            <w:pPr>
              <w:autoSpaceDE w:val="0"/>
              <w:autoSpaceDN w:val="0"/>
              <w:adjustRightInd w:val="0"/>
              <w:snapToGrid w:val="0"/>
              <w:spacing w:line="360" w:lineRule="auto"/>
              <w:contextualSpacing/>
              <w:rPr>
                <w:rFonts w:hint="eastAsia" w:ascii="宋体" w:cs="宋体"/>
                <w:color w:val="000000"/>
                <w:highlight w:val="none"/>
              </w:rPr>
            </w:pPr>
          </w:p>
        </w:tc>
      </w:tr>
      <w:tr w14:paraId="49AA4FF9">
        <w:tblPrEx>
          <w:tblCellMar>
            <w:top w:w="0" w:type="dxa"/>
            <w:left w:w="108" w:type="dxa"/>
            <w:bottom w:w="0" w:type="dxa"/>
            <w:right w:w="108" w:type="dxa"/>
          </w:tblCellMar>
        </w:tblPrEx>
        <w:trPr>
          <w:cantSplit/>
          <w:trHeight w:val="510" w:hRule="atLeast"/>
          <w:jc w:val="center"/>
        </w:trPr>
        <w:tc>
          <w:tcPr>
            <w:tcW w:w="975" w:type="pct"/>
            <w:tcBorders>
              <w:top w:val="single" w:color="auto" w:sz="4" w:space="0"/>
              <w:left w:val="single" w:color="auto" w:sz="4" w:space="0"/>
              <w:bottom w:val="single" w:color="auto" w:sz="4" w:space="0"/>
              <w:right w:val="single" w:color="auto" w:sz="4" w:space="0"/>
            </w:tcBorders>
            <w:noWrap w:val="0"/>
            <w:vAlign w:val="center"/>
          </w:tcPr>
          <w:p w14:paraId="04F27B73">
            <w:pPr>
              <w:autoSpaceDE w:val="0"/>
              <w:autoSpaceDN w:val="0"/>
              <w:adjustRightInd w:val="0"/>
              <w:snapToGrid w:val="0"/>
              <w:spacing w:line="360" w:lineRule="auto"/>
              <w:contextualSpacing/>
              <w:jc w:val="center"/>
              <w:rPr>
                <w:rFonts w:hint="eastAsia" w:ascii="宋体" w:cs="宋体"/>
                <w:color w:val="000000"/>
                <w:highlight w:val="none"/>
              </w:rPr>
            </w:pPr>
            <w:r>
              <w:rPr>
                <w:rFonts w:hint="eastAsia" w:ascii="宋体" w:cs="宋体"/>
                <w:color w:val="000000"/>
                <w:highlight w:val="none"/>
              </w:rPr>
              <w:t>账号</w:t>
            </w:r>
          </w:p>
        </w:tc>
        <w:tc>
          <w:tcPr>
            <w:tcW w:w="1015" w:type="pct"/>
            <w:gridSpan w:val="2"/>
            <w:tcBorders>
              <w:top w:val="single" w:color="auto" w:sz="4" w:space="0"/>
              <w:left w:val="nil"/>
              <w:bottom w:val="single" w:color="auto" w:sz="4" w:space="0"/>
              <w:right w:val="single" w:color="auto" w:sz="4" w:space="0"/>
            </w:tcBorders>
            <w:noWrap w:val="0"/>
            <w:vAlign w:val="center"/>
          </w:tcPr>
          <w:p w14:paraId="0851DCB2">
            <w:pPr>
              <w:autoSpaceDE w:val="0"/>
              <w:autoSpaceDN w:val="0"/>
              <w:adjustRightInd w:val="0"/>
              <w:snapToGrid w:val="0"/>
              <w:spacing w:line="360" w:lineRule="auto"/>
              <w:contextualSpacing/>
              <w:rPr>
                <w:rFonts w:hint="eastAsia" w:ascii="宋体" w:cs="宋体"/>
                <w:color w:val="000000"/>
                <w:highlight w:val="none"/>
              </w:rPr>
            </w:pPr>
          </w:p>
        </w:tc>
        <w:tc>
          <w:tcPr>
            <w:tcW w:w="711" w:type="pct"/>
            <w:vMerge w:val="continue"/>
            <w:tcBorders>
              <w:top w:val="nil"/>
              <w:left w:val="nil"/>
              <w:bottom w:val="single" w:color="auto" w:sz="4" w:space="0"/>
              <w:right w:val="single" w:color="auto" w:sz="4" w:space="0"/>
            </w:tcBorders>
            <w:noWrap w:val="0"/>
            <w:vAlign w:val="center"/>
          </w:tcPr>
          <w:p w14:paraId="178DA961">
            <w:pPr>
              <w:rPr>
                <w:highlight w:val="none"/>
              </w:rPr>
            </w:pPr>
          </w:p>
        </w:tc>
        <w:tc>
          <w:tcPr>
            <w:tcW w:w="1117" w:type="pct"/>
            <w:gridSpan w:val="4"/>
            <w:tcBorders>
              <w:top w:val="single" w:color="auto" w:sz="4" w:space="0"/>
              <w:left w:val="nil"/>
              <w:bottom w:val="single" w:color="auto" w:sz="4" w:space="0"/>
              <w:right w:val="single" w:color="auto" w:sz="4" w:space="0"/>
            </w:tcBorders>
            <w:noWrap w:val="0"/>
            <w:vAlign w:val="center"/>
          </w:tcPr>
          <w:p w14:paraId="5B6F0D24">
            <w:pPr>
              <w:autoSpaceDE w:val="0"/>
              <w:autoSpaceDN w:val="0"/>
              <w:adjustRightInd w:val="0"/>
              <w:snapToGrid w:val="0"/>
              <w:spacing w:line="360" w:lineRule="auto"/>
              <w:contextualSpacing/>
              <w:jc w:val="center"/>
              <w:rPr>
                <w:rFonts w:hint="eastAsia" w:ascii="宋体" w:cs="宋体"/>
                <w:color w:val="000000"/>
                <w:highlight w:val="none"/>
              </w:rPr>
            </w:pPr>
            <w:r>
              <w:rPr>
                <w:rFonts w:hint="eastAsia" w:ascii="宋体" w:cs="宋体"/>
                <w:color w:val="000000"/>
                <w:highlight w:val="none"/>
              </w:rPr>
              <w:t>技工</w:t>
            </w:r>
          </w:p>
        </w:tc>
        <w:tc>
          <w:tcPr>
            <w:tcW w:w="1180" w:type="pct"/>
            <w:gridSpan w:val="2"/>
            <w:tcBorders>
              <w:top w:val="single" w:color="auto" w:sz="4" w:space="0"/>
              <w:left w:val="nil"/>
              <w:bottom w:val="single" w:color="auto" w:sz="4" w:space="0"/>
              <w:right w:val="single" w:color="auto" w:sz="4" w:space="0"/>
            </w:tcBorders>
            <w:noWrap w:val="0"/>
            <w:vAlign w:val="center"/>
          </w:tcPr>
          <w:p w14:paraId="78B938D3">
            <w:pPr>
              <w:autoSpaceDE w:val="0"/>
              <w:autoSpaceDN w:val="0"/>
              <w:adjustRightInd w:val="0"/>
              <w:snapToGrid w:val="0"/>
              <w:spacing w:line="360" w:lineRule="auto"/>
              <w:contextualSpacing/>
              <w:rPr>
                <w:rFonts w:hint="eastAsia" w:ascii="宋体" w:cs="宋体"/>
                <w:color w:val="000000"/>
                <w:highlight w:val="none"/>
              </w:rPr>
            </w:pPr>
          </w:p>
        </w:tc>
      </w:tr>
      <w:tr w14:paraId="6DEFD3C6">
        <w:tblPrEx>
          <w:tblCellMar>
            <w:top w:w="0" w:type="dxa"/>
            <w:left w:w="108" w:type="dxa"/>
            <w:bottom w:w="0" w:type="dxa"/>
            <w:right w:w="108" w:type="dxa"/>
          </w:tblCellMar>
        </w:tblPrEx>
        <w:trPr>
          <w:cantSplit/>
          <w:trHeight w:val="2638" w:hRule="atLeast"/>
          <w:jc w:val="center"/>
        </w:trPr>
        <w:tc>
          <w:tcPr>
            <w:tcW w:w="975" w:type="pct"/>
            <w:tcBorders>
              <w:top w:val="single" w:color="auto" w:sz="4" w:space="0"/>
              <w:left w:val="single" w:color="auto" w:sz="4" w:space="0"/>
              <w:bottom w:val="single" w:color="auto" w:sz="4" w:space="0"/>
              <w:right w:val="single" w:color="auto" w:sz="4" w:space="0"/>
            </w:tcBorders>
            <w:noWrap w:val="0"/>
            <w:vAlign w:val="center"/>
          </w:tcPr>
          <w:p w14:paraId="683040F5">
            <w:pPr>
              <w:autoSpaceDE w:val="0"/>
              <w:autoSpaceDN w:val="0"/>
              <w:adjustRightInd w:val="0"/>
              <w:snapToGrid w:val="0"/>
              <w:spacing w:line="360" w:lineRule="auto"/>
              <w:contextualSpacing/>
              <w:jc w:val="center"/>
              <w:rPr>
                <w:rFonts w:hint="eastAsia" w:ascii="宋体" w:cs="宋体"/>
                <w:color w:val="000000"/>
                <w:highlight w:val="none"/>
              </w:rPr>
            </w:pPr>
            <w:r>
              <w:rPr>
                <w:rFonts w:hint="eastAsia" w:ascii="宋体" w:cs="宋体"/>
                <w:color w:val="000000"/>
                <w:highlight w:val="none"/>
              </w:rPr>
              <w:t>经营范围</w:t>
            </w:r>
          </w:p>
        </w:tc>
        <w:tc>
          <w:tcPr>
            <w:tcW w:w="4024" w:type="pct"/>
            <w:gridSpan w:val="9"/>
            <w:tcBorders>
              <w:top w:val="single" w:color="auto" w:sz="4" w:space="0"/>
              <w:left w:val="nil"/>
              <w:bottom w:val="single" w:color="auto" w:sz="4" w:space="0"/>
              <w:right w:val="single" w:color="auto" w:sz="4" w:space="0"/>
            </w:tcBorders>
            <w:noWrap w:val="0"/>
            <w:vAlign w:val="center"/>
          </w:tcPr>
          <w:p w14:paraId="535E2484">
            <w:pPr>
              <w:autoSpaceDE w:val="0"/>
              <w:autoSpaceDN w:val="0"/>
              <w:adjustRightInd w:val="0"/>
              <w:snapToGrid w:val="0"/>
              <w:spacing w:line="360" w:lineRule="auto"/>
              <w:contextualSpacing/>
              <w:rPr>
                <w:rFonts w:hint="eastAsia" w:ascii="宋体" w:cs="宋体"/>
                <w:color w:val="000000"/>
                <w:highlight w:val="none"/>
              </w:rPr>
            </w:pPr>
          </w:p>
        </w:tc>
      </w:tr>
      <w:tr w14:paraId="74D11290">
        <w:tblPrEx>
          <w:tblCellMar>
            <w:top w:w="0" w:type="dxa"/>
            <w:left w:w="108" w:type="dxa"/>
            <w:bottom w:w="0" w:type="dxa"/>
            <w:right w:w="108" w:type="dxa"/>
          </w:tblCellMar>
        </w:tblPrEx>
        <w:trPr>
          <w:cantSplit/>
          <w:trHeight w:val="1021" w:hRule="atLeast"/>
          <w:jc w:val="center"/>
        </w:trPr>
        <w:tc>
          <w:tcPr>
            <w:tcW w:w="975" w:type="pct"/>
            <w:tcBorders>
              <w:top w:val="single" w:color="auto" w:sz="4" w:space="0"/>
              <w:left w:val="single" w:color="auto" w:sz="4" w:space="0"/>
              <w:bottom w:val="single" w:color="auto" w:sz="4" w:space="0"/>
              <w:right w:val="single" w:color="auto" w:sz="4" w:space="0"/>
            </w:tcBorders>
            <w:noWrap w:val="0"/>
            <w:vAlign w:val="center"/>
          </w:tcPr>
          <w:p w14:paraId="4DDD930B">
            <w:pPr>
              <w:autoSpaceDE w:val="0"/>
              <w:autoSpaceDN w:val="0"/>
              <w:adjustRightInd w:val="0"/>
              <w:snapToGrid w:val="0"/>
              <w:spacing w:line="360" w:lineRule="auto"/>
              <w:contextualSpacing/>
              <w:jc w:val="center"/>
              <w:rPr>
                <w:rFonts w:hint="eastAsia" w:ascii="宋体" w:cs="宋体"/>
                <w:color w:val="000000"/>
                <w:highlight w:val="none"/>
              </w:rPr>
            </w:pPr>
            <w:r>
              <w:rPr>
                <w:rFonts w:hint="eastAsia" w:ascii="宋体" w:cs="宋体"/>
                <w:color w:val="000000"/>
                <w:highlight w:val="none"/>
              </w:rPr>
              <w:t>备注</w:t>
            </w:r>
          </w:p>
        </w:tc>
        <w:tc>
          <w:tcPr>
            <w:tcW w:w="4024" w:type="pct"/>
            <w:gridSpan w:val="9"/>
            <w:tcBorders>
              <w:top w:val="single" w:color="auto" w:sz="4" w:space="0"/>
              <w:left w:val="nil"/>
              <w:bottom w:val="single" w:color="auto" w:sz="4" w:space="0"/>
              <w:right w:val="single" w:color="auto" w:sz="4" w:space="0"/>
            </w:tcBorders>
            <w:noWrap w:val="0"/>
            <w:vAlign w:val="center"/>
          </w:tcPr>
          <w:p w14:paraId="64C2317B">
            <w:pPr>
              <w:autoSpaceDE w:val="0"/>
              <w:autoSpaceDN w:val="0"/>
              <w:adjustRightInd w:val="0"/>
              <w:snapToGrid w:val="0"/>
              <w:spacing w:line="360" w:lineRule="auto"/>
              <w:contextualSpacing/>
              <w:rPr>
                <w:rFonts w:hint="eastAsia" w:ascii="宋体" w:cs="宋体"/>
                <w:color w:val="000000"/>
                <w:highlight w:val="none"/>
              </w:rPr>
            </w:pPr>
          </w:p>
        </w:tc>
      </w:tr>
    </w:tbl>
    <w:p w14:paraId="120D2ABE">
      <w:pPr>
        <w:snapToGrid w:val="0"/>
        <w:spacing w:line="360" w:lineRule="auto"/>
        <w:rPr>
          <w:rFonts w:hint="eastAsia" w:ascii="宋体" w:cs="宋体"/>
          <w:color w:val="000000"/>
          <w:kern w:val="0"/>
          <w:highlight w:val="none"/>
        </w:rPr>
      </w:pPr>
    </w:p>
    <w:p w14:paraId="6F9AA0E3">
      <w:pPr>
        <w:snapToGrid w:val="0"/>
        <w:spacing w:line="360" w:lineRule="auto"/>
        <w:rPr>
          <w:rFonts w:hint="eastAsia" w:ascii="宋体"/>
          <w:color w:val="000000"/>
          <w:kern w:val="0"/>
          <w:highlight w:val="none"/>
        </w:rPr>
      </w:pPr>
      <w:r>
        <w:rPr>
          <w:rFonts w:hint="eastAsia" w:ascii="宋体" w:cs="宋体"/>
          <w:color w:val="000000"/>
          <w:kern w:val="0"/>
          <w:highlight w:val="none"/>
        </w:rPr>
        <w:t>注：在本表后应附投标人营业执照（副本）、开户许可证等相关证件的复印件，所有复印件必须要清晰、字迹清楚。</w:t>
      </w:r>
    </w:p>
    <w:p w14:paraId="6BAE4D14">
      <w:pPr>
        <w:snapToGrid w:val="0"/>
        <w:spacing w:line="360" w:lineRule="auto"/>
        <w:ind w:left="840" w:hanging="840" w:hangingChars="400"/>
        <w:jc w:val="center"/>
        <w:rPr>
          <w:rFonts w:hint="eastAsia" w:ascii="宋体"/>
          <w:b/>
          <w:bCs/>
          <w:color w:val="000000"/>
          <w:kern w:val="0"/>
          <w:sz w:val="28"/>
          <w:szCs w:val="28"/>
          <w:highlight w:val="none"/>
        </w:rPr>
      </w:pPr>
      <w:r>
        <w:rPr>
          <w:rFonts w:hint="eastAsia" w:ascii="宋体"/>
          <w:color w:val="000000"/>
          <w:kern w:val="0"/>
          <w:highlight w:val="none"/>
        </w:rPr>
        <w:br w:type="page"/>
      </w:r>
      <w:bookmarkStart w:id="118" w:name="_Toc201719205"/>
      <w:bookmarkEnd w:id="118"/>
      <w:bookmarkStart w:id="119" w:name="_Toc425529391"/>
      <w:bookmarkEnd w:id="119"/>
      <w:bookmarkStart w:id="120" w:name="_Toc420390153"/>
      <w:bookmarkEnd w:id="120"/>
      <w:bookmarkStart w:id="121" w:name="_Toc266605565"/>
      <w:bookmarkEnd w:id="121"/>
      <w:bookmarkStart w:id="122" w:name="_Toc222232454"/>
      <w:r>
        <w:rPr>
          <w:rFonts w:hint="eastAsia" w:ascii="宋体"/>
          <w:b/>
          <w:bCs/>
          <w:color w:val="000000"/>
          <w:kern w:val="0"/>
          <w:sz w:val="28"/>
          <w:szCs w:val="28"/>
          <w:highlight w:val="none"/>
        </w:rPr>
        <w:t>（二）</w:t>
      </w:r>
      <w:bookmarkEnd w:id="122"/>
      <w:r>
        <w:rPr>
          <w:rFonts w:hint="eastAsia" w:ascii="宋体"/>
          <w:b/>
          <w:bCs/>
          <w:color w:val="000000"/>
          <w:kern w:val="0"/>
          <w:sz w:val="28"/>
          <w:szCs w:val="28"/>
          <w:highlight w:val="none"/>
        </w:rPr>
        <w:t>财务状况</w:t>
      </w:r>
      <w:r>
        <w:rPr>
          <w:rFonts w:hint="eastAsia" w:ascii="宋体"/>
          <w:b/>
          <w:bCs/>
          <w:color w:val="000000"/>
          <w:kern w:val="0"/>
          <w:sz w:val="28"/>
          <w:szCs w:val="28"/>
          <w:highlight w:val="none"/>
          <w:lang w:val="zh-CN"/>
        </w:rPr>
        <w:t>、纳税及社保</w:t>
      </w:r>
    </w:p>
    <w:p w14:paraId="117E07A4">
      <w:pPr>
        <w:adjustRightInd w:val="0"/>
        <w:snapToGrid w:val="0"/>
        <w:spacing w:line="360" w:lineRule="auto"/>
        <w:contextualSpacing/>
        <w:jc w:val="left"/>
        <w:rPr>
          <w:rFonts w:hint="eastAsia" w:ascii="宋体"/>
          <w:color w:val="000000"/>
          <w:highlight w:val="none"/>
        </w:rPr>
      </w:pPr>
      <w:bookmarkStart w:id="123" w:name="_Toc425529392"/>
      <w:bookmarkEnd w:id="123"/>
    </w:p>
    <w:p w14:paraId="6508587D">
      <w:pPr>
        <w:pStyle w:val="20"/>
        <w:tabs>
          <w:tab w:val="left" w:pos="360"/>
        </w:tabs>
        <w:spacing w:line="36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b/>
          <w:sz w:val="21"/>
          <w:szCs w:val="21"/>
          <w:highlight w:val="none"/>
        </w:rPr>
        <w:t>资格条件承诺函</w:t>
      </w:r>
    </w:p>
    <w:p w14:paraId="4C43E80E">
      <w:pPr>
        <w:adjustRightInd w:val="0"/>
        <w:snapToGrid w:val="0"/>
        <w:spacing w:line="360" w:lineRule="auto"/>
        <w:contextualSpacing/>
        <w:jc w:val="left"/>
        <w:rPr>
          <w:rFonts w:hint="eastAsia" w:ascii="宋体" w:hAnsi="宋体" w:eastAsia="宋体" w:cs="宋体"/>
          <w:sz w:val="21"/>
          <w:szCs w:val="21"/>
          <w:highlight w:val="none"/>
        </w:rPr>
      </w:pPr>
    </w:p>
    <w:p w14:paraId="2748D7F2">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致：</w:t>
      </w:r>
      <w:r>
        <w:rPr>
          <w:rFonts w:hint="eastAsia" w:ascii="宋体" w:hAnsi="宋体" w:eastAsia="宋体" w:cs="宋体"/>
          <w:sz w:val="21"/>
          <w:szCs w:val="21"/>
          <w:highlight w:val="none"/>
          <w:u w:val="single"/>
        </w:rPr>
        <w:t xml:space="preserve">  (采购人、采购代理机构)     </w:t>
      </w:r>
      <w:r>
        <w:rPr>
          <w:rFonts w:hint="eastAsia" w:ascii="宋体" w:hAnsi="宋体" w:eastAsia="宋体" w:cs="宋体"/>
          <w:sz w:val="21"/>
          <w:szCs w:val="21"/>
          <w:highlight w:val="none"/>
        </w:rPr>
        <w:t>:</w:t>
      </w:r>
    </w:p>
    <w:p w14:paraId="1BFCD1D9">
      <w:pPr>
        <w:spacing w:line="360" w:lineRule="auto"/>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t>我单位 (公司)参与</w:t>
      </w:r>
      <w:r>
        <w:rPr>
          <w:rFonts w:hint="eastAsia" w:ascii="宋体" w:hAnsi="宋体" w:eastAsia="宋体" w:cs="宋体"/>
          <w:sz w:val="21"/>
          <w:szCs w:val="21"/>
          <w:highlight w:val="none"/>
          <w:u w:val="single"/>
        </w:rPr>
        <w:t>( 项目名称</w:t>
      </w:r>
      <w:r>
        <w:rPr>
          <w:rFonts w:hint="eastAsia" w:ascii="宋体" w:hAnsi="宋体" w:eastAsia="宋体" w:cs="宋体"/>
          <w:sz w:val="21"/>
          <w:szCs w:val="21"/>
          <w:highlight w:val="none"/>
          <w:u w:val="single"/>
          <w:lang w:val="en-US" w:eastAsia="zh-CN"/>
        </w:rPr>
        <w:t xml:space="preserve">    ；项目编号   </w:t>
      </w:r>
      <w:r>
        <w:rPr>
          <w:rFonts w:hint="eastAsia" w:ascii="宋体" w:hAnsi="宋体" w:eastAsia="宋体" w:cs="宋体"/>
          <w:sz w:val="21"/>
          <w:szCs w:val="21"/>
          <w:highlight w:val="none"/>
          <w:u w:val="single"/>
        </w:rPr>
        <w:t>)</w:t>
      </w:r>
      <w:r>
        <w:rPr>
          <w:rFonts w:hint="eastAsia" w:ascii="宋体" w:hAnsi="宋体" w:eastAsia="宋体" w:cs="宋体"/>
          <w:sz w:val="21"/>
          <w:szCs w:val="21"/>
          <w:highlight w:val="none"/>
        </w:rPr>
        <w:t>采购项目的政府采购活动，现承诺如下:</w:t>
      </w:r>
    </w:p>
    <w:p w14:paraId="0D66AC1E">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1.具有良好的商业信誉和健全的财务会计制度,</w:t>
      </w:r>
    </w:p>
    <w:p w14:paraId="4C10CEA7">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2.具有依法缴纳税收的良好记录;</w:t>
      </w:r>
    </w:p>
    <w:p w14:paraId="746B50F9">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3.具有依法缴纳社会保障金的良好记录</w:t>
      </w:r>
    </w:p>
    <w:p w14:paraId="138CA656">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我方在采购项目评审(评标)环节结束后，随时接受采购人、采购代理机构的检查验证，配合提供相关证明材料，证明符合《中华人民共和国政府采购法》规定的</w:t>
      </w:r>
      <w:r>
        <w:rPr>
          <w:rFonts w:hint="eastAsia" w:ascii="宋体" w:hAnsi="宋体" w:eastAsia="宋体" w:cs="宋体"/>
          <w:sz w:val="21"/>
          <w:szCs w:val="21"/>
          <w:highlight w:val="none"/>
          <w:lang w:eastAsia="zh-CN"/>
        </w:rPr>
        <w:t>投标人</w:t>
      </w:r>
      <w:r>
        <w:rPr>
          <w:rFonts w:hint="eastAsia" w:ascii="宋体" w:hAnsi="宋体" w:eastAsia="宋体" w:cs="宋体"/>
          <w:sz w:val="21"/>
          <w:szCs w:val="21"/>
          <w:highlight w:val="none"/>
        </w:rPr>
        <w:t>基本资格条件。</w:t>
      </w:r>
    </w:p>
    <w:p w14:paraId="30217B95">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我单位 (公司)对上述承诺的真实性负责。如有虚假将依法承担相应责任</w:t>
      </w:r>
    </w:p>
    <w:p w14:paraId="23ECB47E">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特此承诺。</w:t>
      </w:r>
    </w:p>
    <w:p w14:paraId="667E9740">
      <w:pPr>
        <w:spacing w:line="360" w:lineRule="auto"/>
        <w:ind w:firstLine="420" w:firstLineChars="200"/>
        <w:rPr>
          <w:rFonts w:hint="eastAsia" w:ascii="宋体" w:hAnsi="宋体" w:eastAsia="宋体" w:cs="宋体"/>
          <w:sz w:val="21"/>
          <w:szCs w:val="21"/>
          <w:highlight w:val="none"/>
        </w:rPr>
      </w:pPr>
    </w:p>
    <w:p w14:paraId="7F4CCFA9">
      <w:pPr>
        <w:spacing w:line="360" w:lineRule="auto"/>
        <w:ind w:firstLine="420" w:firstLineChars="200"/>
        <w:jc w:val="center"/>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 xml:space="preserve">         </w:t>
      </w:r>
      <w:r>
        <w:rPr>
          <w:rFonts w:hint="eastAsia" w:ascii="宋体" w:hAnsi="宋体" w:cs="宋体"/>
          <w:sz w:val="21"/>
          <w:szCs w:val="21"/>
          <w:highlight w:val="none"/>
          <w:lang w:val="zh-CN"/>
        </w:rPr>
        <w:t>投标人名称</w:t>
      </w:r>
      <w:r>
        <w:rPr>
          <w:rFonts w:hint="eastAsia" w:ascii="宋体" w:hAnsi="宋体" w:eastAsia="宋体" w:cs="宋体"/>
          <w:sz w:val="21"/>
          <w:szCs w:val="21"/>
          <w:highlight w:val="none"/>
        </w:rPr>
        <w:t>盖章:</w:t>
      </w:r>
    </w:p>
    <w:p w14:paraId="3041947C">
      <w:pPr>
        <w:spacing w:line="360" w:lineRule="auto"/>
        <w:ind w:firstLine="420" w:firstLineChars="200"/>
        <w:jc w:val="center"/>
        <w:rPr>
          <w:rFonts w:hint="eastAsia" w:ascii="宋体" w:hAnsi="宋体" w:eastAsia="宋体" w:cs="宋体"/>
          <w:sz w:val="21"/>
          <w:szCs w:val="21"/>
          <w:highlight w:val="none"/>
        </w:rPr>
      </w:pPr>
      <w:r>
        <w:rPr>
          <w:rFonts w:hint="eastAsia" w:ascii="宋体" w:cs="宋体-18030"/>
          <w:color w:val="000000"/>
          <w:kern w:val="0"/>
          <w:highlight w:val="none"/>
          <w:lang w:val="en-US" w:eastAsia="zh-CN"/>
        </w:rPr>
        <w:t xml:space="preserve">          </w:t>
      </w:r>
      <w:r>
        <w:rPr>
          <w:rFonts w:hint="eastAsia" w:ascii="宋体" w:cs="宋体-18030"/>
          <w:color w:val="000000"/>
          <w:kern w:val="0"/>
          <w:highlight w:val="none"/>
          <w:lang w:eastAsia="zh-CN"/>
        </w:rPr>
        <w:t>授权委托人</w:t>
      </w:r>
      <w:r>
        <w:rPr>
          <w:rFonts w:hint="eastAsia" w:ascii="宋体" w:hAnsi="宋体" w:eastAsia="宋体" w:cs="宋体"/>
          <w:sz w:val="21"/>
          <w:szCs w:val="21"/>
          <w:highlight w:val="none"/>
        </w:rPr>
        <w:t>盖章:</w:t>
      </w:r>
    </w:p>
    <w:p w14:paraId="3D890AF6">
      <w:pPr>
        <w:spacing w:line="360" w:lineRule="auto"/>
        <w:ind w:firstLine="420" w:firstLineChars="200"/>
        <w:jc w:val="center"/>
        <w:rPr>
          <w:rFonts w:hint="eastAsia" w:ascii="宋体"/>
          <w:color w:val="000000"/>
          <w:highlight w:val="none"/>
        </w:rPr>
      </w:pPr>
      <w:r>
        <w:rPr>
          <w:rFonts w:hint="eastAsia" w:ascii="宋体" w:hAnsi="宋体" w:eastAsia="宋体" w:cs="宋体"/>
          <w:sz w:val="21"/>
          <w:szCs w:val="21"/>
          <w:highlight w:val="none"/>
        </w:rPr>
        <w:t>日期:</w:t>
      </w:r>
    </w:p>
    <w:p w14:paraId="40832D1D">
      <w:pPr>
        <w:snapToGrid w:val="0"/>
        <w:spacing w:line="360" w:lineRule="auto"/>
        <w:jc w:val="center"/>
        <w:rPr>
          <w:rFonts w:hint="eastAsia" w:ascii="宋体"/>
          <w:b/>
          <w:bCs/>
          <w:color w:val="000000"/>
          <w:kern w:val="0"/>
          <w:sz w:val="28"/>
          <w:szCs w:val="28"/>
          <w:highlight w:val="none"/>
        </w:rPr>
      </w:pPr>
      <w:r>
        <w:rPr>
          <w:rFonts w:hint="eastAsia" w:ascii="宋体"/>
          <w:b/>
          <w:bCs/>
          <w:color w:val="000000"/>
          <w:kern w:val="0"/>
          <w:sz w:val="28"/>
          <w:szCs w:val="28"/>
          <w:highlight w:val="none"/>
        </w:rPr>
        <w:br w:type="page"/>
      </w:r>
      <w:r>
        <w:rPr>
          <w:rFonts w:hint="eastAsia" w:ascii="宋体"/>
          <w:b/>
          <w:bCs/>
          <w:color w:val="000000"/>
          <w:kern w:val="0"/>
          <w:sz w:val="28"/>
          <w:szCs w:val="28"/>
          <w:highlight w:val="none"/>
        </w:rPr>
        <w:t>(三)近年完成的类似项目情况表</w:t>
      </w:r>
    </w:p>
    <w:tbl>
      <w:tblPr>
        <w:tblStyle w:val="21"/>
        <w:tblW w:w="4999" w:type="pct"/>
        <w:jc w:val="center"/>
        <w:tblLayout w:type="autofit"/>
        <w:tblCellMar>
          <w:top w:w="0" w:type="dxa"/>
          <w:left w:w="108" w:type="dxa"/>
          <w:bottom w:w="0" w:type="dxa"/>
          <w:right w:w="108" w:type="dxa"/>
        </w:tblCellMar>
      </w:tblPr>
      <w:tblGrid>
        <w:gridCol w:w="2670"/>
        <w:gridCol w:w="6331"/>
      </w:tblGrid>
      <w:tr w14:paraId="42595F84">
        <w:tblPrEx>
          <w:tblCellMar>
            <w:top w:w="0" w:type="dxa"/>
            <w:left w:w="108" w:type="dxa"/>
            <w:bottom w:w="0" w:type="dxa"/>
            <w:right w:w="108" w:type="dxa"/>
          </w:tblCellMar>
        </w:tblPrEx>
        <w:trPr>
          <w:trHeight w:val="667" w:hRule="atLeast"/>
          <w:jc w:val="center"/>
        </w:trPr>
        <w:tc>
          <w:tcPr>
            <w:tcW w:w="1483" w:type="pct"/>
            <w:tcBorders>
              <w:top w:val="single" w:color="auto" w:sz="4" w:space="0"/>
              <w:left w:val="single" w:color="auto" w:sz="4" w:space="0"/>
              <w:bottom w:val="single" w:color="auto" w:sz="4" w:space="0"/>
              <w:right w:val="single" w:color="auto" w:sz="4" w:space="0"/>
            </w:tcBorders>
            <w:noWrap w:val="0"/>
            <w:vAlign w:val="center"/>
          </w:tcPr>
          <w:p w14:paraId="5775244C">
            <w:pPr>
              <w:autoSpaceDE w:val="0"/>
              <w:autoSpaceDN w:val="0"/>
              <w:adjustRightInd w:val="0"/>
              <w:snapToGrid w:val="0"/>
              <w:spacing w:line="360" w:lineRule="auto"/>
              <w:contextualSpacing/>
              <w:jc w:val="center"/>
              <w:rPr>
                <w:rFonts w:hint="eastAsia" w:ascii="宋体"/>
                <w:color w:val="000000"/>
                <w:highlight w:val="none"/>
              </w:rPr>
            </w:pPr>
            <w:r>
              <w:rPr>
                <w:rFonts w:hint="eastAsia" w:ascii="宋体"/>
                <w:color w:val="000000"/>
                <w:highlight w:val="none"/>
              </w:rPr>
              <w:t>项目名称</w:t>
            </w:r>
          </w:p>
        </w:tc>
        <w:tc>
          <w:tcPr>
            <w:tcW w:w="3516" w:type="pct"/>
            <w:tcBorders>
              <w:top w:val="single" w:color="auto" w:sz="4" w:space="0"/>
              <w:left w:val="nil"/>
              <w:bottom w:val="single" w:color="auto" w:sz="4" w:space="0"/>
              <w:right w:val="single" w:color="auto" w:sz="4" w:space="0"/>
            </w:tcBorders>
            <w:noWrap w:val="0"/>
            <w:vAlign w:val="center"/>
          </w:tcPr>
          <w:p w14:paraId="2321819F">
            <w:pPr>
              <w:autoSpaceDE w:val="0"/>
              <w:autoSpaceDN w:val="0"/>
              <w:adjustRightInd w:val="0"/>
              <w:snapToGrid w:val="0"/>
              <w:spacing w:line="360" w:lineRule="auto"/>
              <w:contextualSpacing/>
              <w:jc w:val="center"/>
              <w:rPr>
                <w:rFonts w:hint="eastAsia" w:ascii="宋体"/>
                <w:color w:val="000000"/>
                <w:highlight w:val="none"/>
              </w:rPr>
            </w:pPr>
          </w:p>
        </w:tc>
      </w:tr>
      <w:tr w14:paraId="102D89AA">
        <w:tblPrEx>
          <w:tblCellMar>
            <w:top w:w="0" w:type="dxa"/>
            <w:left w:w="108" w:type="dxa"/>
            <w:bottom w:w="0" w:type="dxa"/>
            <w:right w:w="108" w:type="dxa"/>
          </w:tblCellMar>
        </w:tblPrEx>
        <w:trPr>
          <w:trHeight w:val="667" w:hRule="atLeast"/>
          <w:jc w:val="center"/>
        </w:trPr>
        <w:tc>
          <w:tcPr>
            <w:tcW w:w="1483" w:type="pct"/>
            <w:tcBorders>
              <w:top w:val="single" w:color="auto" w:sz="4" w:space="0"/>
              <w:left w:val="single" w:color="auto" w:sz="4" w:space="0"/>
              <w:bottom w:val="single" w:color="auto" w:sz="4" w:space="0"/>
              <w:right w:val="single" w:color="auto" w:sz="4" w:space="0"/>
            </w:tcBorders>
            <w:noWrap w:val="0"/>
            <w:vAlign w:val="center"/>
          </w:tcPr>
          <w:p w14:paraId="1BDF5E89">
            <w:pPr>
              <w:autoSpaceDE w:val="0"/>
              <w:autoSpaceDN w:val="0"/>
              <w:adjustRightInd w:val="0"/>
              <w:snapToGrid w:val="0"/>
              <w:spacing w:line="360" w:lineRule="auto"/>
              <w:contextualSpacing/>
              <w:jc w:val="center"/>
              <w:rPr>
                <w:rFonts w:hint="eastAsia" w:ascii="宋体"/>
                <w:color w:val="000000"/>
                <w:highlight w:val="none"/>
              </w:rPr>
            </w:pPr>
            <w:r>
              <w:rPr>
                <w:rFonts w:hint="eastAsia" w:ascii="宋体"/>
                <w:color w:val="000000"/>
                <w:highlight w:val="none"/>
              </w:rPr>
              <w:t>项目所在地</w:t>
            </w:r>
          </w:p>
        </w:tc>
        <w:tc>
          <w:tcPr>
            <w:tcW w:w="3516" w:type="pct"/>
            <w:tcBorders>
              <w:top w:val="single" w:color="auto" w:sz="4" w:space="0"/>
              <w:left w:val="nil"/>
              <w:bottom w:val="single" w:color="auto" w:sz="4" w:space="0"/>
              <w:right w:val="single" w:color="auto" w:sz="4" w:space="0"/>
            </w:tcBorders>
            <w:noWrap w:val="0"/>
            <w:vAlign w:val="center"/>
          </w:tcPr>
          <w:p w14:paraId="25FB1918">
            <w:pPr>
              <w:autoSpaceDE w:val="0"/>
              <w:autoSpaceDN w:val="0"/>
              <w:adjustRightInd w:val="0"/>
              <w:snapToGrid w:val="0"/>
              <w:spacing w:line="360" w:lineRule="auto"/>
              <w:contextualSpacing/>
              <w:jc w:val="center"/>
              <w:rPr>
                <w:rFonts w:hint="eastAsia" w:ascii="宋体"/>
                <w:color w:val="000000"/>
                <w:highlight w:val="none"/>
              </w:rPr>
            </w:pPr>
          </w:p>
        </w:tc>
      </w:tr>
      <w:tr w14:paraId="403C1920">
        <w:tblPrEx>
          <w:tblCellMar>
            <w:top w:w="0" w:type="dxa"/>
            <w:left w:w="108" w:type="dxa"/>
            <w:bottom w:w="0" w:type="dxa"/>
            <w:right w:w="108" w:type="dxa"/>
          </w:tblCellMar>
        </w:tblPrEx>
        <w:trPr>
          <w:trHeight w:val="667" w:hRule="atLeast"/>
          <w:jc w:val="center"/>
        </w:trPr>
        <w:tc>
          <w:tcPr>
            <w:tcW w:w="1483" w:type="pct"/>
            <w:tcBorders>
              <w:top w:val="single" w:color="auto" w:sz="4" w:space="0"/>
              <w:left w:val="single" w:color="auto" w:sz="4" w:space="0"/>
              <w:bottom w:val="single" w:color="auto" w:sz="4" w:space="0"/>
              <w:right w:val="single" w:color="auto" w:sz="4" w:space="0"/>
            </w:tcBorders>
            <w:noWrap w:val="0"/>
            <w:vAlign w:val="center"/>
          </w:tcPr>
          <w:p w14:paraId="6847D9B2">
            <w:pPr>
              <w:autoSpaceDE w:val="0"/>
              <w:autoSpaceDN w:val="0"/>
              <w:adjustRightInd w:val="0"/>
              <w:snapToGrid w:val="0"/>
              <w:spacing w:line="360" w:lineRule="auto"/>
              <w:contextualSpacing/>
              <w:jc w:val="center"/>
              <w:rPr>
                <w:rFonts w:hint="eastAsia" w:ascii="宋体"/>
                <w:color w:val="000000"/>
                <w:highlight w:val="none"/>
              </w:rPr>
            </w:pPr>
            <w:r>
              <w:rPr>
                <w:rFonts w:hint="eastAsia" w:ascii="宋体"/>
                <w:color w:val="000000"/>
                <w:highlight w:val="none"/>
                <w:lang w:eastAsia="zh-CN"/>
              </w:rPr>
              <w:t>采购人</w:t>
            </w:r>
            <w:r>
              <w:rPr>
                <w:rFonts w:hint="eastAsia" w:ascii="宋体"/>
                <w:color w:val="000000"/>
                <w:highlight w:val="none"/>
              </w:rPr>
              <w:t>名称</w:t>
            </w:r>
          </w:p>
        </w:tc>
        <w:tc>
          <w:tcPr>
            <w:tcW w:w="3516" w:type="pct"/>
            <w:tcBorders>
              <w:top w:val="single" w:color="auto" w:sz="4" w:space="0"/>
              <w:left w:val="nil"/>
              <w:bottom w:val="single" w:color="auto" w:sz="4" w:space="0"/>
              <w:right w:val="single" w:color="auto" w:sz="4" w:space="0"/>
            </w:tcBorders>
            <w:noWrap w:val="0"/>
            <w:vAlign w:val="center"/>
          </w:tcPr>
          <w:p w14:paraId="61ABC2D6">
            <w:pPr>
              <w:autoSpaceDE w:val="0"/>
              <w:autoSpaceDN w:val="0"/>
              <w:adjustRightInd w:val="0"/>
              <w:snapToGrid w:val="0"/>
              <w:spacing w:line="360" w:lineRule="auto"/>
              <w:contextualSpacing/>
              <w:jc w:val="center"/>
              <w:rPr>
                <w:rFonts w:hint="eastAsia" w:ascii="宋体"/>
                <w:color w:val="000000"/>
                <w:highlight w:val="none"/>
              </w:rPr>
            </w:pPr>
          </w:p>
        </w:tc>
      </w:tr>
      <w:tr w14:paraId="45219761">
        <w:tblPrEx>
          <w:tblCellMar>
            <w:top w:w="0" w:type="dxa"/>
            <w:left w:w="108" w:type="dxa"/>
            <w:bottom w:w="0" w:type="dxa"/>
            <w:right w:w="108" w:type="dxa"/>
          </w:tblCellMar>
        </w:tblPrEx>
        <w:trPr>
          <w:trHeight w:val="667" w:hRule="atLeast"/>
          <w:jc w:val="center"/>
        </w:trPr>
        <w:tc>
          <w:tcPr>
            <w:tcW w:w="1483" w:type="pct"/>
            <w:tcBorders>
              <w:top w:val="single" w:color="auto" w:sz="4" w:space="0"/>
              <w:left w:val="single" w:color="auto" w:sz="4" w:space="0"/>
              <w:bottom w:val="single" w:color="auto" w:sz="4" w:space="0"/>
              <w:right w:val="single" w:color="auto" w:sz="4" w:space="0"/>
            </w:tcBorders>
            <w:noWrap w:val="0"/>
            <w:vAlign w:val="center"/>
          </w:tcPr>
          <w:p w14:paraId="58C465E9">
            <w:pPr>
              <w:autoSpaceDE w:val="0"/>
              <w:autoSpaceDN w:val="0"/>
              <w:adjustRightInd w:val="0"/>
              <w:snapToGrid w:val="0"/>
              <w:spacing w:line="360" w:lineRule="auto"/>
              <w:contextualSpacing/>
              <w:jc w:val="center"/>
              <w:rPr>
                <w:rFonts w:hint="eastAsia" w:ascii="宋体"/>
                <w:color w:val="000000"/>
                <w:highlight w:val="none"/>
              </w:rPr>
            </w:pPr>
            <w:r>
              <w:rPr>
                <w:rFonts w:hint="eastAsia" w:ascii="宋体"/>
                <w:color w:val="000000"/>
                <w:highlight w:val="none"/>
                <w:lang w:eastAsia="zh-CN"/>
              </w:rPr>
              <w:t>采购人</w:t>
            </w:r>
            <w:r>
              <w:rPr>
                <w:rFonts w:hint="eastAsia" w:ascii="宋体"/>
                <w:color w:val="000000"/>
                <w:highlight w:val="none"/>
              </w:rPr>
              <w:t>地址</w:t>
            </w:r>
          </w:p>
        </w:tc>
        <w:tc>
          <w:tcPr>
            <w:tcW w:w="3516" w:type="pct"/>
            <w:tcBorders>
              <w:top w:val="single" w:color="auto" w:sz="4" w:space="0"/>
              <w:left w:val="nil"/>
              <w:bottom w:val="single" w:color="auto" w:sz="4" w:space="0"/>
              <w:right w:val="single" w:color="auto" w:sz="4" w:space="0"/>
            </w:tcBorders>
            <w:noWrap w:val="0"/>
            <w:vAlign w:val="center"/>
          </w:tcPr>
          <w:p w14:paraId="22FFF53F">
            <w:pPr>
              <w:autoSpaceDE w:val="0"/>
              <w:autoSpaceDN w:val="0"/>
              <w:adjustRightInd w:val="0"/>
              <w:snapToGrid w:val="0"/>
              <w:spacing w:line="360" w:lineRule="auto"/>
              <w:contextualSpacing/>
              <w:jc w:val="center"/>
              <w:rPr>
                <w:rFonts w:hint="eastAsia" w:ascii="宋体"/>
                <w:color w:val="000000"/>
                <w:highlight w:val="none"/>
              </w:rPr>
            </w:pPr>
          </w:p>
        </w:tc>
      </w:tr>
      <w:tr w14:paraId="128149C7">
        <w:tblPrEx>
          <w:tblCellMar>
            <w:top w:w="0" w:type="dxa"/>
            <w:left w:w="108" w:type="dxa"/>
            <w:bottom w:w="0" w:type="dxa"/>
            <w:right w:w="108" w:type="dxa"/>
          </w:tblCellMar>
        </w:tblPrEx>
        <w:trPr>
          <w:trHeight w:val="667" w:hRule="atLeast"/>
          <w:jc w:val="center"/>
        </w:trPr>
        <w:tc>
          <w:tcPr>
            <w:tcW w:w="1483" w:type="pct"/>
            <w:tcBorders>
              <w:top w:val="single" w:color="auto" w:sz="4" w:space="0"/>
              <w:left w:val="single" w:color="auto" w:sz="4" w:space="0"/>
              <w:bottom w:val="single" w:color="auto" w:sz="4" w:space="0"/>
              <w:right w:val="single" w:color="auto" w:sz="4" w:space="0"/>
            </w:tcBorders>
            <w:noWrap w:val="0"/>
            <w:vAlign w:val="center"/>
          </w:tcPr>
          <w:p w14:paraId="09EBD771">
            <w:pPr>
              <w:autoSpaceDE w:val="0"/>
              <w:autoSpaceDN w:val="0"/>
              <w:adjustRightInd w:val="0"/>
              <w:snapToGrid w:val="0"/>
              <w:spacing w:line="360" w:lineRule="auto"/>
              <w:contextualSpacing/>
              <w:jc w:val="center"/>
              <w:rPr>
                <w:rFonts w:hint="eastAsia" w:ascii="宋体"/>
                <w:color w:val="000000"/>
                <w:highlight w:val="none"/>
              </w:rPr>
            </w:pPr>
            <w:r>
              <w:rPr>
                <w:rFonts w:hint="eastAsia" w:ascii="宋体"/>
                <w:color w:val="000000"/>
                <w:highlight w:val="none"/>
                <w:lang w:eastAsia="zh-CN"/>
              </w:rPr>
              <w:t>采购人</w:t>
            </w:r>
            <w:r>
              <w:rPr>
                <w:rFonts w:hint="eastAsia" w:ascii="宋体"/>
                <w:color w:val="000000"/>
                <w:highlight w:val="none"/>
              </w:rPr>
              <w:t>电话</w:t>
            </w:r>
          </w:p>
        </w:tc>
        <w:tc>
          <w:tcPr>
            <w:tcW w:w="3516" w:type="pct"/>
            <w:tcBorders>
              <w:top w:val="single" w:color="auto" w:sz="4" w:space="0"/>
              <w:left w:val="nil"/>
              <w:bottom w:val="single" w:color="auto" w:sz="4" w:space="0"/>
              <w:right w:val="single" w:color="auto" w:sz="4" w:space="0"/>
            </w:tcBorders>
            <w:noWrap w:val="0"/>
            <w:vAlign w:val="center"/>
          </w:tcPr>
          <w:p w14:paraId="618D39BF">
            <w:pPr>
              <w:autoSpaceDE w:val="0"/>
              <w:autoSpaceDN w:val="0"/>
              <w:adjustRightInd w:val="0"/>
              <w:snapToGrid w:val="0"/>
              <w:spacing w:line="360" w:lineRule="auto"/>
              <w:contextualSpacing/>
              <w:jc w:val="center"/>
              <w:rPr>
                <w:rFonts w:hint="eastAsia" w:ascii="宋体"/>
                <w:color w:val="000000"/>
                <w:highlight w:val="none"/>
              </w:rPr>
            </w:pPr>
          </w:p>
        </w:tc>
      </w:tr>
      <w:tr w14:paraId="428D41D1">
        <w:tblPrEx>
          <w:tblCellMar>
            <w:top w:w="0" w:type="dxa"/>
            <w:left w:w="108" w:type="dxa"/>
            <w:bottom w:w="0" w:type="dxa"/>
            <w:right w:w="108" w:type="dxa"/>
          </w:tblCellMar>
        </w:tblPrEx>
        <w:trPr>
          <w:trHeight w:val="667" w:hRule="atLeast"/>
          <w:jc w:val="center"/>
        </w:trPr>
        <w:tc>
          <w:tcPr>
            <w:tcW w:w="1483" w:type="pct"/>
            <w:tcBorders>
              <w:top w:val="single" w:color="auto" w:sz="4" w:space="0"/>
              <w:left w:val="single" w:color="auto" w:sz="4" w:space="0"/>
              <w:bottom w:val="single" w:color="auto" w:sz="4" w:space="0"/>
              <w:right w:val="single" w:color="auto" w:sz="4" w:space="0"/>
            </w:tcBorders>
            <w:noWrap w:val="0"/>
            <w:vAlign w:val="center"/>
          </w:tcPr>
          <w:p w14:paraId="2498182A">
            <w:pPr>
              <w:autoSpaceDE w:val="0"/>
              <w:autoSpaceDN w:val="0"/>
              <w:adjustRightInd w:val="0"/>
              <w:snapToGrid w:val="0"/>
              <w:spacing w:line="360" w:lineRule="auto"/>
              <w:contextualSpacing/>
              <w:jc w:val="center"/>
              <w:rPr>
                <w:rFonts w:hint="eastAsia" w:ascii="宋体"/>
                <w:color w:val="000000"/>
                <w:highlight w:val="none"/>
              </w:rPr>
            </w:pPr>
            <w:r>
              <w:rPr>
                <w:rFonts w:hint="eastAsia" w:ascii="宋体"/>
                <w:color w:val="000000"/>
                <w:highlight w:val="none"/>
              </w:rPr>
              <w:t>合同价格</w:t>
            </w:r>
          </w:p>
        </w:tc>
        <w:tc>
          <w:tcPr>
            <w:tcW w:w="3516" w:type="pct"/>
            <w:tcBorders>
              <w:top w:val="single" w:color="auto" w:sz="4" w:space="0"/>
              <w:left w:val="nil"/>
              <w:bottom w:val="single" w:color="auto" w:sz="4" w:space="0"/>
              <w:right w:val="single" w:color="auto" w:sz="4" w:space="0"/>
            </w:tcBorders>
            <w:noWrap w:val="0"/>
            <w:vAlign w:val="center"/>
          </w:tcPr>
          <w:p w14:paraId="3D523EB8">
            <w:pPr>
              <w:autoSpaceDE w:val="0"/>
              <w:autoSpaceDN w:val="0"/>
              <w:adjustRightInd w:val="0"/>
              <w:snapToGrid w:val="0"/>
              <w:spacing w:line="360" w:lineRule="auto"/>
              <w:contextualSpacing/>
              <w:jc w:val="center"/>
              <w:rPr>
                <w:rFonts w:hint="eastAsia" w:ascii="宋体"/>
                <w:color w:val="000000"/>
                <w:highlight w:val="none"/>
              </w:rPr>
            </w:pPr>
          </w:p>
        </w:tc>
      </w:tr>
      <w:tr w14:paraId="7A11D127">
        <w:tblPrEx>
          <w:tblCellMar>
            <w:top w:w="0" w:type="dxa"/>
            <w:left w:w="108" w:type="dxa"/>
            <w:bottom w:w="0" w:type="dxa"/>
            <w:right w:w="108" w:type="dxa"/>
          </w:tblCellMar>
        </w:tblPrEx>
        <w:trPr>
          <w:trHeight w:val="667" w:hRule="atLeast"/>
          <w:jc w:val="center"/>
        </w:trPr>
        <w:tc>
          <w:tcPr>
            <w:tcW w:w="1483" w:type="pct"/>
            <w:tcBorders>
              <w:top w:val="single" w:color="auto" w:sz="4" w:space="0"/>
              <w:left w:val="single" w:color="auto" w:sz="4" w:space="0"/>
              <w:bottom w:val="single" w:color="auto" w:sz="4" w:space="0"/>
              <w:right w:val="single" w:color="auto" w:sz="4" w:space="0"/>
            </w:tcBorders>
            <w:noWrap w:val="0"/>
            <w:vAlign w:val="center"/>
          </w:tcPr>
          <w:p w14:paraId="5919B9FC">
            <w:pPr>
              <w:autoSpaceDE w:val="0"/>
              <w:autoSpaceDN w:val="0"/>
              <w:adjustRightInd w:val="0"/>
              <w:snapToGrid w:val="0"/>
              <w:spacing w:line="360" w:lineRule="auto"/>
              <w:contextualSpacing/>
              <w:jc w:val="center"/>
              <w:rPr>
                <w:rFonts w:hint="eastAsia" w:ascii="宋体"/>
                <w:color w:val="000000"/>
                <w:highlight w:val="none"/>
              </w:rPr>
            </w:pPr>
            <w:r>
              <w:rPr>
                <w:rFonts w:hint="eastAsia" w:ascii="宋体"/>
                <w:color w:val="000000"/>
                <w:highlight w:val="none"/>
              </w:rPr>
              <w:t>项目实施周期</w:t>
            </w:r>
          </w:p>
        </w:tc>
        <w:tc>
          <w:tcPr>
            <w:tcW w:w="3516" w:type="pct"/>
            <w:tcBorders>
              <w:top w:val="single" w:color="auto" w:sz="4" w:space="0"/>
              <w:left w:val="nil"/>
              <w:bottom w:val="single" w:color="auto" w:sz="4" w:space="0"/>
              <w:right w:val="single" w:color="auto" w:sz="4" w:space="0"/>
            </w:tcBorders>
            <w:noWrap w:val="0"/>
            <w:vAlign w:val="center"/>
          </w:tcPr>
          <w:p w14:paraId="70665525">
            <w:pPr>
              <w:autoSpaceDE w:val="0"/>
              <w:autoSpaceDN w:val="0"/>
              <w:adjustRightInd w:val="0"/>
              <w:snapToGrid w:val="0"/>
              <w:spacing w:line="360" w:lineRule="auto"/>
              <w:contextualSpacing/>
              <w:jc w:val="center"/>
              <w:rPr>
                <w:rFonts w:hint="eastAsia" w:ascii="宋体"/>
                <w:color w:val="000000"/>
                <w:highlight w:val="none"/>
              </w:rPr>
            </w:pPr>
          </w:p>
        </w:tc>
      </w:tr>
      <w:tr w14:paraId="20789F61">
        <w:tblPrEx>
          <w:tblCellMar>
            <w:top w:w="0" w:type="dxa"/>
            <w:left w:w="108" w:type="dxa"/>
            <w:bottom w:w="0" w:type="dxa"/>
            <w:right w:w="108" w:type="dxa"/>
          </w:tblCellMar>
        </w:tblPrEx>
        <w:trPr>
          <w:trHeight w:val="667" w:hRule="atLeast"/>
          <w:jc w:val="center"/>
        </w:trPr>
        <w:tc>
          <w:tcPr>
            <w:tcW w:w="1483" w:type="pct"/>
            <w:tcBorders>
              <w:top w:val="single" w:color="auto" w:sz="4" w:space="0"/>
              <w:left w:val="single" w:color="auto" w:sz="4" w:space="0"/>
              <w:bottom w:val="single" w:color="auto" w:sz="4" w:space="0"/>
              <w:right w:val="single" w:color="auto" w:sz="4" w:space="0"/>
            </w:tcBorders>
            <w:noWrap w:val="0"/>
            <w:vAlign w:val="center"/>
          </w:tcPr>
          <w:p w14:paraId="7486FEBE">
            <w:pPr>
              <w:autoSpaceDE w:val="0"/>
              <w:autoSpaceDN w:val="0"/>
              <w:adjustRightInd w:val="0"/>
              <w:snapToGrid w:val="0"/>
              <w:spacing w:line="360" w:lineRule="auto"/>
              <w:contextualSpacing/>
              <w:jc w:val="center"/>
              <w:rPr>
                <w:rFonts w:hint="eastAsia" w:ascii="宋体"/>
                <w:color w:val="000000"/>
                <w:highlight w:val="none"/>
              </w:rPr>
            </w:pPr>
            <w:r>
              <w:rPr>
                <w:rFonts w:hint="eastAsia" w:ascii="宋体"/>
                <w:color w:val="000000"/>
                <w:highlight w:val="none"/>
              </w:rPr>
              <w:t>承担的工作</w:t>
            </w:r>
          </w:p>
        </w:tc>
        <w:tc>
          <w:tcPr>
            <w:tcW w:w="3516" w:type="pct"/>
            <w:tcBorders>
              <w:top w:val="single" w:color="auto" w:sz="4" w:space="0"/>
              <w:left w:val="nil"/>
              <w:bottom w:val="single" w:color="auto" w:sz="4" w:space="0"/>
              <w:right w:val="single" w:color="auto" w:sz="4" w:space="0"/>
            </w:tcBorders>
            <w:noWrap w:val="0"/>
            <w:vAlign w:val="center"/>
          </w:tcPr>
          <w:p w14:paraId="14B386FE">
            <w:pPr>
              <w:autoSpaceDE w:val="0"/>
              <w:autoSpaceDN w:val="0"/>
              <w:adjustRightInd w:val="0"/>
              <w:snapToGrid w:val="0"/>
              <w:spacing w:line="360" w:lineRule="auto"/>
              <w:contextualSpacing/>
              <w:jc w:val="center"/>
              <w:rPr>
                <w:rFonts w:hint="eastAsia" w:ascii="宋体"/>
                <w:color w:val="000000"/>
                <w:highlight w:val="none"/>
              </w:rPr>
            </w:pPr>
          </w:p>
        </w:tc>
      </w:tr>
      <w:tr w14:paraId="6324DCE7">
        <w:tblPrEx>
          <w:tblCellMar>
            <w:top w:w="0" w:type="dxa"/>
            <w:left w:w="108" w:type="dxa"/>
            <w:bottom w:w="0" w:type="dxa"/>
            <w:right w:w="108" w:type="dxa"/>
          </w:tblCellMar>
        </w:tblPrEx>
        <w:trPr>
          <w:trHeight w:val="667" w:hRule="atLeast"/>
          <w:jc w:val="center"/>
        </w:trPr>
        <w:tc>
          <w:tcPr>
            <w:tcW w:w="1483" w:type="pct"/>
            <w:tcBorders>
              <w:top w:val="single" w:color="auto" w:sz="4" w:space="0"/>
              <w:left w:val="single" w:color="auto" w:sz="4" w:space="0"/>
              <w:bottom w:val="single" w:color="auto" w:sz="4" w:space="0"/>
              <w:right w:val="single" w:color="auto" w:sz="4" w:space="0"/>
            </w:tcBorders>
            <w:noWrap w:val="0"/>
            <w:vAlign w:val="center"/>
          </w:tcPr>
          <w:p w14:paraId="7C41497A">
            <w:pPr>
              <w:autoSpaceDE w:val="0"/>
              <w:autoSpaceDN w:val="0"/>
              <w:adjustRightInd w:val="0"/>
              <w:snapToGrid w:val="0"/>
              <w:spacing w:line="360" w:lineRule="auto"/>
              <w:contextualSpacing/>
              <w:jc w:val="center"/>
              <w:rPr>
                <w:rFonts w:hint="eastAsia" w:ascii="宋体"/>
                <w:color w:val="000000"/>
                <w:highlight w:val="none"/>
              </w:rPr>
            </w:pPr>
            <w:r>
              <w:rPr>
                <w:rFonts w:hint="eastAsia" w:ascii="宋体"/>
                <w:color w:val="000000"/>
                <w:highlight w:val="none"/>
              </w:rPr>
              <w:t>项目负责人</w:t>
            </w:r>
          </w:p>
        </w:tc>
        <w:tc>
          <w:tcPr>
            <w:tcW w:w="3516" w:type="pct"/>
            <w:tcBorders>
              <w:top w:val="single" w:color="auto" w:sz="4" w:space="0"/>
              <w:left w:val="nil"/>
              <w:bottom w:val="single" w:color="auto" w:sz="4" w:space="0"/>
              <w:right w:val="single" w:color="auto" w:sz="4" w:space="0"/>
            </w:tcBorders>
            <w:noWrap w:val="0"/>
            <w:vAlign w:val="center"/>
          </w:tcPr>
          <w:p w14:paraId="4B195A73">
            <w:pPr>
              <w:autoSpaceDE w:val="0"/>
              <w:autoSpaceDN w:val="0"/>
              <w:adjustRightInd w:val="0"/>
              <w:snapToGrid w:val="0"/>
              <w:spacing w:line="360" w:lineRule="auto"/>
              <w:contextualSpacing/>
              <w:jc w:val="center"/>
              <w:rPr>
                <w:rFonts w:hint="eastAsia" w:ascii="宋体"/>
                <w:color w:val="000000"/>
                <w:highlight w:val="none"/>
              </w:rPr>
            </w:pPr>
          </w:p>
        </w:tc>
      </w:tr>
      <w:tr w14:paraId="037E2415">
        <w:tblPrEx>
          <w:tblCellMar>
            <w:top w:w="0" w:type="dxa"/>
            <w:left w:w="108" w:type="dxa"/>
            <w:bottom w:w="0" w:type="dxa"/>
            <w:right w:w="108" w:type="dxa"/>
          </w:tblCellMar>
        </w:tblPrEx>
        <w:trPr>
          <w:trHeight w:val="3180" w:hRule="atLeast"/>
          <w:jc w:val="center"/>
        </w:trPr>
        <w:tc>
          <w:tcPr>
            <w:tcW w:w="1483" w:type="pct"/>
            <w:tcBorders>
              <w:top w:val="single" w:color="auto" w:sz="4" w:space="0"/>
              <w:left w:val="single" w:color="auto" w:sz="4" w:space="0"/>
              <w:bottom w:val="single" w:color="auto" w:sz="4" w:space="0"/>
              <w:right w:val="single" w:color="auto" w:sz="4" w:space="0"/>
            </w:tcBorders>
            <w:noWrap w:val="0"/>
            <w:vAlign w:val="center"/>
          </w:tcPr>
          <w:p w14:paraId="055B4E0B">
            <w:pPr>
              <w:autoSpaceDE w:val="0"/>
              <w:autoSpaceDN w:val="0"/>
              <w:adjustRightInd w:val="0"/>
              <w:snapToGrid w:val="0"/>
              <w:spacing w:line="360" w:lineRule="auto"/>
              <w:contextualSpacing/>
              <w:jc w:val="center"/>
              <w:rPr>
                <w:rFonts w:hint="eastAsia" w:ascii="宋体"/>
                <w:color w:val="000000"/>
                <w:highlight w:val="none"/>
              </w:rPr>
            </w:pPr>
            <w:r>
              <w:rPr>
                <w:rFonts w:hint="eastAsia" w:ascii="宋体"/>
                <w:color w:val="000000"/>
                <w:highlight w:val="none"/>
              </w:rPr>
              <w:t>项目描述</w:t>
            </w:r>
          </w:p>
        </w:tc>
        <w:tc>
          <w:tcPr>
            <w:tcW w:w="3516" w:type="pct"/>
            <w:tcBorders>
              <w:top w:val="single" w:color="auto" w:sz="4" w:space="0"/>
              <w:left w:val="nil"/>
              <w:bottom w:val="single" w:color="auto" w:sz="4" w:space="0"/>
              <w:right w:val="single" w:color="auto" w:sz="4" w:space="0"/>
            </w:tcBorders>
            <w:noWrap w:val="0"/>
            <w:vAlign w:val="center"/>
          </w:tcPr>
          <w:p w14:paraId="20AF842D">
            <w:pPr>
              <w:autoSpaceDE w:val="0"/>
              <w:autoSpaceDN w:val="0"/>
              <w:adjustRightInd w:val="0"/>
              <w:snapToGrid w:val="0"/>
              <w:spacing w:line="360" w:lineRule="auto"/>
              <w:contextualSpacing/>
              <w:jc w:val="center"/>
              <w:rPr>
                <w:rFonts w:hint="eastAsia" w:ascii="宋体"/>
                <w:color w:val="000000"/>
                <w:highlight w:val="none"/>
              </w:rPr>
            </w:pPr>
          </w:p>
        </w:tc>
      </w:tr>
      <w:tr w14:paraId="6600D09A">
        <w:tblPrEx>
          <w:tblCellMar>
            <w:top w:w="0" w:type="dxa"/>
            <w:left w:w="108" w:type="dxa"/>
            <w:bottom w:w="0" w:type="dxa"/>
            <w:right w:w="108" w:type="dxa"/>
          </w:tblCellMar>
        </w:tblPrEx>
        <w:trPr>
          <w:trHeight w:val="674" w:hRule="atLeast"/>
          <w:jc w:val="center"/>
        </w:trPr>
        <w:tc>
          <w:tcPr>
            <w:tcW w:w="1483" w:type="pct"/>
            <w:tcBorders>
              <w:top w:val="single" w:color="auto" w:sz="4" w:space="0"/>
              <w:left w:val="single" w:color="auto" w:sz="4" w:space="0"/>
              <w:bottom w:val="single" w:color="auto" w:sz="4" w:space="0"/>
              <w:right w:val="single" w:color="auto" w:sz="4" w:space="0"/>
            </w:tcBorders>
            <w:noWrap w:val="0"/>
            <w:vAlign w:val="center"/>
          </w:tcPr>
          <w:p w14:paraId="0DEF5FE1">
            <w:pPr>
              <w:autoSpaceDE w:val="0"/>
              <w:autoSpaceDN w:val="0"/>
              <w:adjustRightInd w:val="0"/>
              <w:snapToGrid w:val="0"/>
              <w:spacing w:line="360" w:lineRule="auto"/>
              <w:contextualSpacing/>
              <w:jc w:val="center"/>
              <w:rPr>
                <w:rFonts w:hint="eastAsia" w:ascii="宋体"/>
                <w:color w:val="000000"/>
                <w:highlight w:val="none"/>
              </w:rPr>
            </w:pPr>
            <w:r>
              <w:rPr>
                <w:rFonts w:hint="eastAsia" w:ascii="宋体"/>
                <w:color w:val="000000"/>
                <w:highlight w:val="none"/>
              </w:rPr>
              <w:t>备注</w:t>
            </w:r>
          </w:p>
        </w:tc>
        <w:tc>
          <w:tcPr>
            <w:tcW w:w="3516" w:type="pct"/>
            <w:tcBorders>
              <w:top w:val="single" w:color="auto" w:sz="4" w:space="0"/>
              <w:left w:val="nil"/>
              <w:bottom w:val="single" w:color="auto" w:sz="4" w:space="0"/>
              <w:right w:val="single" w:color="auto" w:sz="4" w:space="0"/>
            </w:tcBorders>
            <w:noWrap w:val="0"/>
            <w:vAlign w:val="center"/>
          </w:tcPr>
          <w:p w14:paraId="1B22EA1F">
            <w:pPr>
              <w:autoSpaceDE w:val="0"/>
              <w:autoSpaceDN w:val="0"/>
              <w:adjustRightInd w:val="0"/>
              <w:snapToGrid w:val="0"/>
              <w:spacing w:line="360" w:lineRule="auto"/>
              <w:contextualSpacing/>
              <w:jc w:val="center"/>
              <w:rPr>
                <w:rFonts w:hint="eastAsia" w:ascii="宋体"/>
                <w:color w:val="000000"/>
                <w:highlight w:val="none"/>
              </w:rPr>
            </w:pPr>
          </w:p>
        </w:tc>
      </w:tr>
    </w:tbl>
    <w:p w14:paraId="35DD507C">
      <w:pPr>
        <w:snapToGrid w:val="0"/>
        <w:spacing w:line="360" w:lineRule="auto"/>
        <w:jc w:val="left"/>
        <w:rPr>
          <w:rFonts w:hint="eastAsia" w:ascii="宋体"/>
          <w:color w:val="000000"/>
          <w:kern w:val="0"/>
          <w:highlight w:val="none"/>
        </w:rPr>
      </w:pPr>
    </w:p>
    <w:p w14:paraId="4095B91B">
      <w:pPr>
        <w:snapToGrid w:val="0"/>
        <w:spacing w:line="360" w:lineRule="auto"/>
        <w:jc w:val="left"/>
        <w:rPr>
          <w:rFonts w:hint="eastAsia" w:ascii="宋体"/>
          <w:color w:val="000000"/>
          <w:kern w:val="0"/>
          <w:highlight w:val="none"/>
        </w:rPr>
      </w:pPr>
      <w:r>
        <w:rPr>
          <w:rFonts w:hint="eastAsia" w:ascii="宋体"/>
          <w:color w:val="000000"/>
          <w:kern w:val="0"/>
          <w:highlight w:val="none"/>
        </w:rPr>
        <w:t>注：1.投标人应将近三年（</w:t>
      </w:r>
      <w:r>
        <w:rPr>
          <w:rFonts w:hint="eastAsia" w:ascii="宋体" w:cs="宋体"/>
          <w:highlight w:val="none"/>
          <w:lang w:eastAsia="zh-CN"/>
        </w:rPr>
        <w:t>202</w:t>
      </w:r>
      <w:r>
        <w:rPr>
          <w:rFonts w:hint="eastAsia" w:ascii="宋体" w:cs="宋体"/>
          <w:highlight w:val="none"/>
          <w:lang w:val="en-US" w:eastAsia="zh-CN"/>
        </w:rPr>
        <w:t>2</w:t>
      </w:r>
      <w:r>
        <w:rPr>
          <w:rFonts w:hint="eastAsia" w:ascii="宋体" w:cs="宋体"/>
          <w:highlight w:val="none"/>
          <w:lang w:eastAsia="zh-CN"/>
        </w:rPr>
        <w:t>年</w:t>
      </w:r>
      <w:r>
        <w:rPr>
          <w:rFonts w:hint="eastAsia" w:ascii="宋体" w:cs="宋体"/>
          <w:highlight w:val="none"/>
          <w:lang w:val="en-US" w:eastAsia="zh-CN"/>
        </w:rPr>
        <w:t>1</w:t>
      </w:r>
      <w:r>
        <w:rPr>
          <w:rFonts w:hint="eastAsia" w:ascii="宋体" w:cs="宋体"/>
          <w:highlight w:val="none"/>
          <w:lang w:eastAsia="zh-CN"/>
        </w:rPr>
        <w:t>月1日-至今</w:t>
      </w:r>
      <w:r>
        <w:rPr>
          <w:rFonts w:hint="eastAsia" w:ascii="宋体"/>
          <w:color w:val="000000"/>
          <w:kern w:val="0"/>
          <w:highlight w:val="none"/>
        </w:rPr>
        <w:t>）类似项目情况填入本表中，一表只填写一个项目。</w:t>
      </w:r>
    </w:p>
    <w:p w14:paraId="02CEEBC3">
      <w:pPr>
        <w:snapToGrid w:val="0"/>
        <w:spacing w:line="360" w:lineRule="auto"/>
        <w:ind w:firstLine="420" w:firstLineChars="200"/>
        <w:jc w:val="left"/>
        <w:rPr>
          <w:rFonts w:hint="eastAsia" w:ascii="宋体"/>
          <w:color w:val="000000"/>
          <w:kern w:val="0"/>
          <w:highlight w:val="none"/>
        </w:rPr>
      </w:pPr>
      <w:r>
        <w:rPr>
          <w:rFonts w:hint="eastAsia" w:ascii="宋体"/>
          <w:color w:val="000000"/>
          <w:kern w:val="0"/>
          <w:highlight w:val="none"/>
        </w:rPr>
        <w:t>2.投标人应随本表出具所填项目的</w:t>
      </w:r>
      <w:r>
        <w:rPr>
          <w:rFonts w:hint="eastAsia" w:ascii="宋体"/>
          <w:color w:val="000000"/>
          <w:kern w:val="0"/>
          <w:highlight w:val="none"/>
          <w:lang w:val="en-US" w:eastAsia="zh-CN"/>
        </w:rPr>
        <w:t>相关证明材料(详见评审办法）</w:t>
      </w:r>
      <w:r>
        <w:rPr>
          <w:rFonts w:hint="eastAsia" w:ascii="宋体"/>
          <w:color w:val="000000"/>
          <w:kern w:val="0"/>
          <w:highlight w:val="none"/>
        </w:rPr>
        <w:t>，否则，</w:t>
      </w:r>
      <w:r>
        <w:rPr>
          <w:rFonts w:hint="eastAsia" w:ascii="宋体"/>
          <w:color w:val="000000"/>
          <w:kern w:val="0"/>
          <w:highlight w:val="none"/>
          <w:lang w:eastAsia="zh-CN"/>
        </w:rPr>
        <w:t>采购人</w:t>
      </w:r>
      <w:r>
        <w:rPr>
          <w:rFonts w:hint="eastAsia" w:ascii="宋体"/>
          <w:color w:val="000000"/>
          <w:kern w:val="0"/>
          <w:highlight w:val="none"/>
        </w:rPr>
        <w:t>将不考虑投标人所填项目的业绩。</w:t>
      </w:r>
    </w:p>
    <w:p w14:paraId="6882D0B6">
      <w:pPr>
        <w:snapToGrid w:val="0"/>
        <w:spacing w:line="360" w:lineRule="auto"/>
        <w:ind w:left="1120" w:hanging="1120" w:hangingChars="400"/>
        <w:jc w:val="center"/>
        <w:rPr>
          <w:rFonts w:hint="eastAsia" w:ascii="宋体"/>
          <w:b/>
          <w:bCs/>
          <w:color w:val="000000"/>
          <w:kern w:val="0"/>
          <w:sz w:val="28"/>
          <w:szCs w:val="28"/>
          <w:highlight w:val="none"/>
        </w:rPr>
      </w:pPr>
      <w:r>
        <w:rPr>
          <w:rFonts w:hint="eastAsia" w:ascii="宋体"/>
          <w:color w:val="000000"/>
          <w:kern w:val="0"/>
          <w:sz w:val="28"/>
          <w:szCs w:val="28"/>
          <w:highlight w:val="none"/>
        </w:rPr>
        <w:br w:type="page"/>
      </w:r>
      <w:r>
        <w:rPr>
          <w:rFonts w:hint="eastAsia" w:ascii="宋体"/>
          <w:b/>
          <w:bCs/>
          <w:color w:val="000000"/>
          <w:kern w:val="0"/>
          <w:sz w:val="30"/>
          <w:szCs w:val="30"/>
          <w:highlight w:val="none"/>
        </w:rPr>
        <w:t>(四) 近年发生的诉讼及仲裁情况</w:t>
      </w:r>
    </w:p>
    <w:p w14:paraId="00A7E9C1">
      <w:pPr>
        <w:snapToGrid w:val="0"/>
        <w:spacing w:line="360" w:lineRule="auto"/>
        <w:jc w:val="center"/>
        <w:rPr>
          <w:rFonts w:hint="eastAsia" w:ascii="宋体"/>
          <w:b/>
          <w:bCs/>
          <w:color w:val="000000"/>
          <w:kern w:val="0"/>
          <w:sz w:val="28"/>
          <w:szCs w:val="28"/>
          <w:highlight w:val="none"/>
        </w:rPr>
      </w:pPr>
    </w:p>
    <w:p w14:paraId="5DA8EAD2">
      <w:pPr>
        <w:numPr>
          <w:ilvl w:val="0"/>
          <w:numId w:val="7"/>
        </w:numPr>
        <w:snapToGrid w:val="0"/>
        <w:spacing w:line="360" w:lineRule="auto"/>
        <w:ind w:left="1205" w:hanging="1205" w:hangingChars="400"/>
        <w:jc w:val="center"/>
        <w:rPr>
          <w:rFonts w:hint="eastAsia" w:ascii="宋体"/>
          <w:b/>
          <w:bCs/>
          <w:color w:val="000000"/>
          <w:kern w:val="0"/>
          <w:sz w:val="30"/>
          <w:szCs w:val="30"/>
          <w:highlight w:val="none"/>
        </w:rPr>
      </w:pPr>
      <w:r>
        <w:rPr>
          <w:rFonts w:hint="eastAsia" w:ascii="宋体" w:cs="宋体-18030"/>
          <w:b/>
          <w:bCs/>
          <w:color w:val="000000"/>
          <w:kern w:val="0"/>
          <w:sz w:val="30"/>
          <w:szCs w:val="30"/>
          <w:highlight w:val="none"/>
          <w:lang w:val="zh-CN"/>
        </w:rPr>
        <w:br w:type="page"/>
      </w:r>
      <w:bookmarkStart w:id="124" w:name="_Toc24484"/>
      <w:r>
        <w:rPr>
          <w:rFonts w:hint="eastAsia" w:ascii="宋体"/>
          <w:b/>
          <w:bCs/>
          <w:color w:val="000000"/>
          <w:kern w:val="0"/>
          <w:sz w:val="30"/>
          <w:szCs w:val="30"/>
          <w:highlight w:val="none"/>
        </w:rPr>
        <w:t>项目团队人员简历表</w:t>
      </w:r>
    </w:p>
    <w:tbl>
      <w:tblPr>
        <w:tblStyle w:val="2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0"/>
        <w:gridCol w:w="1276"/>
        <w:gridCol w:w="16"/>
        <w:gridCol w:w="1353"/>
        <w:gridCol w:w="1445"/>
        <w:gridCol w:w="1748"/>
        <w:gridCol w:w="1581"/>
      </w:tblGrid>
      <w:tr w14:paraId="58983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878" w:type="pct"/>
            <w:noWrap w:val="0"/>
            <w:vAlign w:val="center"/>
          </w:tcPr>
          <w:p w14:paraId="3CFEB931">
            <w:pPr>
              <w:spacing w:line="360" w:lineRule="auto"/>
              <w:jc w:val="center"/>
              <w:rPr>
                <w:rFonts w:hint="eastAsia" w:ascii="宋体" w:cs="宋体"/>
                <w:highlight w:val="none"/>
              </w:rPr>
            </w:pPr>
            <w:r>
              <w:rPr>
                <w:rFonts w:hint="eastAsia" w:ascii="宋体" w:cs="宋体"/>
                <w:highlight w:val="none"/>
              </w:rPr>
              <w:t>姓  名</w:t>
            </w:r>
          </w:p>
        </w:tc>
        <w:tc>
          <w:tcPr>
            <w:tcW w:w="718" w:type="pct"/>
            <w:gridSpan w:val="2"/>
            <w:noWrap w:val="0"/>
            <w:vAlign w:val="center"/>
          </w:tcPr>
          <w:p w14:paraId="622D327C">
            <w:pPr>
              <w:spacing w:line="360" w:lineRule="auto"/>
              <w:jc w:val="center"/>
              <w:rPr>
                <w:rFonts w:hint="eastAsia" w:ascii="宋体" w:cs="宋体"/>
                <w:highlight w:val="none"/>
              </w:rPr>
            </w:pPr>
          </w:p>
        </w:tc>
        <w:tc>
          <w:tcPr>
            <w:tcW w:w="751" w:type="pct"/>
            <w:noWrap w:val="0"/>
            <w:vAlign w:val="center"/>
          </w:tcPr>
          <w:p w14:paraId="2107EE0A">
            <w:pPr>
              <w:spacing w:line="360" w:lineRule="auto"/>
              <w:jc w:val="center"/>
              <w:rPr>
                <w:rFonts w:hint="eastAsia" w:ascii="宋体" w:cs="宋体"/>
                <w:highlight w:val="none"/>
              </w:rPr>
            </w:pPr>
            <w:r>
              <w:rPr>
                <w:rFonts w:hint="eastAsia" w:ascii="宋体" w:cs="宋体"/>
                <w:highlight w:val="none"/>
              </w:rPr>
              <w:t>年龄</w:t>
            </w:r>
          </w:p>
        </w:tc>
        <w:tc>
          <w:tcPr>
            <w:tcW w:w="802" w:type="pct"/>
            <w:noWrap w:val="0"/>
            <w:vAlign w:val="center"/>
          </w:tcPr>
          <w:p w14:paraId="1690E747">
            <w:pPr>
              <w:spacing w:line="360" w:lineRule="auto"/>
              <w:jc w:val="center"/>
              <w:rPr>
                <w:rFonts w:hint="eastAsia" w:ascii="宋体" w:cs="宋体"/>
                <w:highlight w:val="none"/>
              </w:rPr>
            </w:pPr>
          </w:p>
        </w:tc>
        <w:tc>
          <w:tcPr>
            <w:tcW w:w="971" w:type="pct"/>
            <w:noWrap w:val="0"/>
            <w:vAlign w:val="center"/>
          </w:tcPr>
          <w:p w14:paraId="6524F77F">
            <w:pPr>
              <w:spacing w:line="360" w:lineRule="auto"/>
              <w:jc w:val="center"/>
              <w:rPr>
                <w:rFonts w:hint="eastAsia" w:ascii="宋体" w:cs="宋体"/>
                <w:highlight w:val="none"/>
              </w:rPr>
            </w:pPr>
            <w:r>
              <w:rPr>
                <w:rFonts w:hint="eastAsia" w:ascii="宋体" w:cs="宋体"/>
                <w:highlight w:val="none"/>
              </w:rPr>
              <w:t>专业</w:t>
            </w:r>
          </w:p>
        </w:tc>
        <w:tc>
          <w:tcPr>
            <w:tcW w:w="876" w:type="pct"/>
            <w:noWrap w:val="0"/>
            <w:vAlign w:val="center"/>
          </w:tcPr>
          <w:p w14:paraId="30919509">
            <w:pPr>
              <w:spacing w:line="360" w:lineRule="auto"/>
              <w:jc w:val="center"/>
              <w:rPr>
                <w:rFonts w:hint="eastAsia" w:ascii="宋体" w:cs="宋体"/>
                <w:highlight w:val="none"/>
              </w:rPr>
            </w:pPr>
          </w:p>
        </w:tc>
      </w:tr>
      <w:tr w14:paraId="71D7C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exact"/>
          <w:jc w:val="center"/>
        </w:trPr>
        <w:tc>
          <w:tcPr>
            <w:tcW w:w="878" w:type="pct"/>
            <w:tcBorders>
              <w:bottom w:val="single" w:color="auto" w:sz="4" w:space="0"/>
            </w:tcBorders>
            <w:noWrap w:val="0"/>
            <w:vAlign w:val="center"/>
          </w:tcPr>
          <w:p w14:paraId="34A51DF2">
            <w:pPr>
              <w:spacing w:line="360" w:lineRule="auto"/>
              <w:jc w:val="center"/>
              <w:rPr>
                <w:rFonts w:hint="eastAsia" w:ascii="宋体" w:cs="宋体"/>
                <w:highlight w:val="none"/>
              </w:rPr>
            </w:pPr>
            <w:r>
              <w:rPr>
                <w:rFonts w:hint="eastAsia" w:ascii="宋体" w:cs="宋体"/>
                <w:highlight w:val="none"/>
              </w:rPr>
              <w:t>职   称</w:t>
            </w:r>
          </w:p>
        </w:tc>
        <w:tc>
          <w:tcPr>
            <w:tcW w:w="718" w:type="pct"/>
            <w:gridSpan w:val="2"/>
            <w:tcBorders>
              <w:bottom w:val="single" w:color="auto" w:sz="4" w:space="0"/>
            </w:tcBorders>
            <w:noWrap w:val="0"/>
            <w:vAlign w:val="center"/>
          </w:tcPr>
          <w:p w14:paraId="0C50B143">
            <w:pPr>
              <w:spacing w:line="360" w:lineRule="auto"/>
              <w:jc w:val="center"/>
              <w:rPr>
                <w:rFonts w:hint="eastAsia" w:ascii="宋体" w:cs="宋体"/>
                <w:highlight w:val="none"/>
              </w:rPr>
            </w:pPr>
          </w:p>
        </w:tc>
        <w:tc>
          <w:tcPr>
            <w:tcW w:w="751" w:type="pct"/>
            <w:tcBorders>
              <w:bottom w:val="single" w:color="auto" w:sz="4" w:space="0"/>
            </w:tcBorders>
            <w:noWrap w:val="0"/>
            <w:vAlign w:val="center"/>
          </w:tcPr>
          <w:p w14:paraId="56E853A8">
            <w:pPr>
              <w:spacing w:line="360" w:lineRule="auto"/>
              <w:jc w:val="center"/>
              <w:rPr>
                <w:rFonts w:hint="eastAsia" w:ascii="宋体" w:cs="宋体"/>
                <w:highlight w:val="none"/>
              </w:rPr>
            </w:pPr>
            <w:r>
              <w:rPr>
                <w:rFonts w:hint="eastAsia" w:ascii="宋体" w:cs="宋体"/>
                <w:highlight w:val="none"/>
              </w:rPr>
              <w:t>职务</w:t>
            </w:r>
          </w:p>
        </w:tc>
        <w:tc>
          <w:tcPr>
            <w:tcW w:w="802" w:type="pct"/>
            <w:tcBorders>
              <w:bottom w:val="single" w:color="auto" w:sz="4" w:space="0"/>
            </w:tcBorders>
            <w:noWrap w:val="0"/>
            <w:vAlign w:val="center"/>
          </w:tcPr>
          <w:p w14:paraId="77A684B5">
            <w:pPr>
              <w:spacing w:line="360" w:lineRule="auto"/>
              <w:jc w:val="center"/>
              <w:rPr>
                <w:rFonts w:hint="eastAsia" w:ascii="宋体" w:cs="宋体"/>
                <w:highlight w:val="none"/>
              </w:rPr>
            </w:pPr>
          </w:p>
        </w:tc>
        <w:tc>
          <w:tcPr>
            <w:tcW w:w="971" w:type="pct"/>
            <w:tcBorders>
              <w:bottom w:val="single" w:color="auto" w:sz="4" w:space="0"/>
            </w:tcBorders>
            <w:noWrap w:val="0"/>
            <w:vAlign w:val="center"/>
          </w:tcPr>
          <w:p w14:paraId="20E71E70">
            <w:pPr>
              <w:spacing w:line="360" w:lineRule="auto"/>
              <w:jc w:val="center"/>
              <w:rPr>
                <w:rFonts w:hint="eastAsia" w:ascii="宋体" w:cs="宋体"/>
                <w:highlight w:val="none"/>
              </w:rPr>
            </w:pPr>
            <w:r>
              <w:rPr>
                <w:rFonts w:hint="eastAsia" w:ascii="宋体" w:cs="宋体"/>
                <w:highlight w:val="none"/>
              </w:rPr>
              <w:t>拟在担任职务</w:t>
            </w:r>
          </w:p>
        </w:tc>
        <w:tc>
          <w:tcPr>
            <w:tcW w:w="876" w:type="pct"/>
            <w:tcBorders>
              <w:bottom w:val="single" w:color="auto" w:sz="4" w:space="0"/>
            </w:tcBorders>
            <w:noWrap w:val="0"/>
            <w:vAlign w:val="center"/>
          </w:tcPr>
          <w:p w14:paraId="4D336339">
            <w:pPr>
              <w:spacing w:line="360" w:lineRule="auto"/>
              <w:jc w:val="center"/>
              <w:rPr>
                <w:rFonts w:hint="eastAsia" w:ascii="宋体" w:cs="宋体"/>
                <w:highlight w:val="none"/>
              </w:rPr>
            </w:pPr>
          </w:p>
        </w:tc>
      </w:tr>
      <w:tr w14:paraId="53820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exact"/>
          <w:jc w:val="center"/>
        </w:trPr>
        <w:tc>
          <w:tcPr>
            <w:tcW w:w="878" w:type="pct"/>
            <w:tcBorders>
              <w:bottom w:val="single" w:color="auto" w:sz="4" w:space="0"/>
            </w:tcBorders>
            <w:noWrap w:val="0"/>
            <w:vAlign w:val="center"/>
          </w:tcPr>
          <w:p w14:paraId="1DFA37AF">
            <w:pPr>
              <w:spacing w:line="360" w:lineRule="auto"/>
              <w:jc w:val="center"/>
              <w:rPr>
                <w:rFonts w:hint="eastAsia" w:ascii="宋体" w:cs="宋体"/>
                <w:highlight w:val="none"/>
              </w:rPr>
            </w:pPr>
            <w:r>
              <w:rPr>
                <w:rFonts w:hint="eastAsia" w:ascii="宋体" w:cs="宋体"/>
                <w:highlight w:val="none"/>
              </w:rPr>
              <w:t>毕业学校</w:t>
            </w:r>
          </w:p>
        </w:tc>
        <w:tc>
          <w:tcPr>
            <w:tcW w:w="718" w:type="pct"/>
            <w:gridSpan w:val="2"/>
            <w:tcBorders>
              <w:bottom w:val="single" w:color="auto" w:sz="4" w:space="0"/>
            </w:tcBorders>
            <w:noWrap w:val="0"/>
            <w:vAlign w:val="center"/>
          </w:tcPr>
          <w:p w14:paraId="5C694464">
            <w:pPr>
              <w:spacing w:line="360" w:lineRule="auto"/>
              <w:jc w:val="center"/>
              <w:rPr>
                <w:rFonts w:hint="eastAsia" w:ascii="宋体" w:cs="宋体"/>
                <w:highlight w:val="none"/>
              </w:rPr>
            </w:pPr>
          </w:p>
        </w:tc>
        <w:tc>
          <w:tcPr>
            <w:tcW w:w="751" w:type="pct"/>
            <w:tcBorders>
              <w:bottom w:val="single" w:color="auto" w:sz="4" w:space="0"/>
            </w:tcBorders>
            <w:noWrap w:val="0"/>
            <w:vAlign w:val="center"/>
          </w:tcPr>
          <w:p w14:paraId="5C1367C1">
            <w:pPr>
              <w:spacing w:line="360" w:lineRule="auto"/>
              <w:jc w:val="center"/>
              <w:rPr>
                <w:rFonts w:hint="eastAsia" w:ascii="宋体" w:cs="宋体"/>
                <w:highlight w:val="none"/>
              </w:rPr>
            </w:pPr>
            <w:r>
              <w:rPr>
                <w:rFonts w:hint="eastAsia" w:ascii="宋体" w:cs="宋体"/>
                <w:highlight w:val="none"/>
              </w:rPr>
              <w:t>毕业时间</w:t>
            </w:r>
          </w:p>
        </w:tc>
        <w:tc>
          <w:tcPr>
            <w:tcW w:w="802" w:type="pct"/>
            <w:tcBorders>
              <w:bottom w:val="single" w:color="auto" w:sz="4" w:space="0"/>
            </w:tcBorders>
            <w:noWrap w:val="0"/>
            <w:vAlign w:val="center"/>
          </w:tcPr>
          <w:p w14:paraId="3F21D790">
            <w:pPr>
              <w:spacing w:line="360" w:lineRule="auto"/>
              <w:jc w:val="center"/>
              <w:rPr>
                <w:rFonts w:hint="eastAsia" w:ascii="宋体" w:cs="宋体"/>
                <w:highlight w:val="none"/>
              </w:rPr>
            </w:pPr>
          </w:p>
        </w:tc>
        <w:tc>
          <w:tcPr>
            <w:tcW w:w="971" w:type="pct"/>
            <w:tcBorders>
              <w:bottom w:val="single" w:color="auto" w:sz="4" w:space="0"/>
            </w:tcBorders>
            <w:noWrap w:val="0"/>
            <w:vAlign w:val="center"/>
          </w:tcPr>
          <w:p w14:paraId="692C1853">
            <w:pPr>
              <w:spacing w:line="360" w:lineRule="auto"/>
              <w:jc w:val="center"/>
              <w:rPr>
                <w:rFonts w:hint="eastAsia" w:ascii="宋体" w:cs="宋体"/>
                <w:highlight w:val="none"/>
              </w:rPr>
            </w:pPr>
            <w:r>
              <w:rPr>
                <w:rFonts w:hint="eastAsia" w:ascii="宋体" w:cs="宋体"/>
                <w:highlight w:val="none"/>
              </w:rPr>
              <w:t>从事专业年限</w:t>
            </w:r>
          </w:p>
        </w:tc>
        <w:tc>
          <w:tcPr>
            <w:tcW w:w="876" w:type="pct"/>
            <w:tcBorders>
              <w:bottom w:val="single" w:color="auto" w:sz="4" w:space="0"/>
            </w:tcBorders>
            <w:noWrap w:val="0"/>
            <w:vAlign w:val="center"/>
          </w:tcPr>
          <w:p w14:paraId="60B66057">
            <w:pPr>
              <w:spacing w:line="360" w:lineRule="auto"/>
              <w:jc w:val="center"/>
              <w:rPr>
                <w:rFonts w:hint="eastAsia" w:ascii="宋体" w:cs="宋体"/>
                <w:highlight w:val="none"/>
              </w:rPr>
            </w:pPr>
          </w:p>
        </w:tc>
      </w:tr>
      <w:tr w14:paraId="2DE0A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878" w:type="pct"/>
            <w:tcBorders>
              <w:bottom w:val="single" w:color="auto" w:sz="4" w:space="0"/>
            </w:tcBorders>
            <w:noWrap w:val="0"/>
            <w:vAlign w:val="center"/>
          </w:tcPr>
          <w:p w14:paraId="530C0ED1">
            <w:pPr>
              <w:spacing w:line="360" w:lineRule="auto"/>
              <w:jc w:val="center"/>
              <w:rPr>
                <w:rFonts w:hint="eastAsia" w:ascii="宋体" w:cs="宋体"/>
                <w:highlight w:val="none"/>
              </w:rPr>
            </w:pPr>
            <w:r>
              <w:rPr>
                <w:rFonts w:hint="eastAsia" w:ascii="宋体" w:cs="宋体"/>
                <w:highlight w:val="none"/>
              </w:rPr>
              <w:t>参加工作时间</w:t>
            </w:r>
          </w:p>
        </w:tc>
        <w:tc>
          <w:tcPr>
            <w:tcW w:w="4121" w:type="pct"/>
            <w:gridSpan w:val="6"/>
            <w:tcBorders>
              <w:bottom w:val="single" w:color="auto" w:sz="4" w:space="0"/>
            </w:tcBorders>
            <w:noWrap w:val="0"/>
            <w:vAlign w:val="center"/>
          </w:tcPr>
          <w:p w14:paraId="396ACCEB">
            <w:pPr>
              <w:spacing w:line="360" w:lineRule="auto"/>
              <w:jc w:val="center"/>
              <w:rPr>
                <w:rFonts w:hint="eastAsia" w:ascii="宋体" w:cs="宋体"/>
                <w:highlight w:val="none"/>
              </w:rPr>
            </w:pPr>
          </w:p>
        </w:tc>
      </w:tr>
      <w:tr w14:paraId="52B1B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878" w:type="pct"/>
            <w:tcBorders>
              <w:bottom w:val="single" w:color="auto" w:sz="4" w:space="0"/>
            </w:tcBorders>
            <w:noWrap w:val="0"/>
            <w:vAlign w:val="center"/>
          </w:tcPr>
          <w:p w14:paraId="403CA4A9">
            <w:pPr>
              <w:spacing w:line="360" w:lineRule="auto"/>
              <w:jc w:val="center"/>
              <w:rPr>
                <w:rFonts w:hint="eastAsia" w:ascii="宋体" w:cs="宋体"/>
                <w:highlight w:val="none"/>
              </w:rPr>
            </w:pPr>
            <w:r>
              <w:rPr>
                <w:rFonts w:hint="eastAsia" w:ascii="宋体" w:cs="宋体"/>
                <w:highlight w:val="none"/>
              </w:rPr>
              <w:t>执业资格/职称</w:t>
            </w:r>
          </w:p>
        </w:tc>
        <w:tc>
          <w:tcPr>
            <w:tcW w:w="1470" w:type="pct"/>
            <w:gridSpan w:val="3"/>
            <w:tcBorders>
              <w:bottom w:val="single" w:color="auto" w:sz="4" w:space="0"/>
            </w:tcBorders>
            <w:noWrap w:val="0"/>
            <w:vAlign w:val="center"/>
          </w:tcPr>
          <w:p w14:paraId="0E6C1E4D">
            <w:pPr>
              <w:spacing w:line="360" w:lineRule="auto"/>
              <w:jc w:val="center"/>
              <w:rPr>
                <w:rFonts w:hint="eastAsia" w:ascii="宋体" w:cs="宋体"/>
                <w:highlight w:val="none"/>
              </w:rPr>
            </w:pPr>
          </w:p>
        </w:tc>
        <w:tc>
          <w:tcPr>
            <w:tcW w:w="802" w:type="pct"/>
            <w:tcBorders>
              <w:bottom w:val="single" w:color="auto" w:sz="4" w:space="0"/>
            </w:tcBorders>
            <w:noWrap w:val="0"/>
            <w:vAlign w:val="center"/>
          </w:tcPr>
          <w:p w14:paraId="631E2814">
            <w:pPr>
              <w:spacing w:line="360" w:lineRule="auto"/>
              <w:jc w:val="center"/>
              <w:rPr>
                <w:rFonts w:hint="eastAsia" w:ascii="宋体" w:cs="宋体"/>
                <w:highlight w:val="none"/>
              </w:rPr>
            </w:pPr>
            <w:r>
              <w:rPr>
                <w:rFonts w:hint="eastAsia" w:ascii="宋体" w:cs="宋体"/>
                <w:highlight w:val="none"/>
              </w:rPr>
              <w:t>注册证号</w:t>
            </w:r>
          </w:p>
        </w:tc>
        <w:tc>
          <w:tcPr>
            <w:tcW w:w="1848" w:type="pct"/>
            <w:gridSpan w:val="2"/>
            <w:tcBorders>
              <w:bottom w:val="single" w:color="auto" w:sz="4" w:space="0"/>
            </w:tcBorders>
            <w:noWrap w:val="0"/>
            <w:vAlign w:val="center"/>
          </w:tcPr>
          <w:p w14:paraId="6E7E388A">
            <w:pPr>
              <w:spacing w:line="360" w:lineRule="auto"/>
              <w:jc w:val="center"/>
              <w:rPr>
                <w:rFonts w:hint="eastAsia" w:ascii="宋体" w:cs="宋体"/>
                <w:highlight w:val="none"/>
              </w:rPr>
            </w:pPr>
          </w:p>
        </w:tc>
      </w:tr>
      <w:tr w14:paraId="02F2A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5000" w:type="pct"/>
            <w:gridSpan w:val="7"/>
            <w:tcBorders>
              <w:top w:val="single" w:color="auto" w:sz="4" w:space="0"/>
              <w:left w:val="single" w:color="auto" w:sz="4" w:space="0"/>
              <w:bottom w:val="single" w:color="auto" w:sz="4" w:space="0"/>
              <w:right w:val="single" w:color="auto" w:sz="4" w:space="0"/>
            </w:tcBorders>
            <w:noWrap w:val="0"/>
            <w:vAlign w:val="top"/>
          </w:tcPr>
          <w:p w14:paraId="0D4959A8">
            <w:pPr>
              <w:spacing w:before="156" w:line="360" w:lineRule="auto"/>
              <w:rPr>
                <w:rFonts w:hint="eastAsia" w:ascii="宋体" w:cs="宋体"/>
                <w:highlight w:val="none"/>
              </w:rPr>
            </w:pPr>
            <w:r>
              <w:rPr>
                <w:rFonts w:hint="eastAsia" w:ascii="宋体" w:cs="宋体"/>
                <w:highlight w:val="none"/>
              </w:rPr>
              <w:t>个人履历：</w:t>
            </w:r>
          </w:p>
        </w:tc>
      </w:tr>
      <w:tr w14:paraId="5C642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8" w:type="pct"/>
            <w:tcBorders>
              <w:top w:val="single" w:color="auto" w:sz="4" w:space="0"/>
            </w:tcBorders>
            <w:noWrap w:val="0"/>
            <w:vAlign w:val="center"/>
          </w:tcPr>
          <w:p w14:paraId="753F27BE">
            <w:pPr>
              <w:spacing w:line="360" w:lineRule="auto"/>
              <w:jc w:val="center"/>
              <w:rPr>
                <w:rFonts w:hint="eastAsia" w:ascii="宋体" w:cs="宋体"/>
                <w:highlight w:val="none"/>
              </w:rPr>
            </w:pPr>
            <w:r>
              <w:rPr>
                <w:rFonts w:hint="eastAsia" w:ascii="宋体" w:cs="宋体"/>
                <w:highlight w:val="none"/>
              </w:rPr>
              <w:t>时间</w:t>
            </w:r>
          </w:p>
        </w:tc>
        <w:tc>
          <w:tcPr>
            <w:tcW w:w="709" w:type="pct"/>
            <w:tcBorders>
              <w:top w:val="single" w:color="auto" w:sz="4" w:space="0"/>
            </w:tcBorders>
            <w:noWrap w:val="0"/>
            <w:vAlign w:val="center"/>
          </w:tcPr>
          <w:p w14:paraId="43EA1AF1">
            <w:pPr>
              <w:spacing w:line="360" w:lineRule="auto"/>
              <w:jc w:val="center"/>
              <w:rPr>
                <w:rFonts w:hint="eastAsia" w:ascii="宋体" w:cs="宋体"/>
                <w:highlight w:val="none"/>
              </w:rPr>
            </w:pPr>
            <w:r>
              <w:rPr>
                <w:rFonts w:hint="eastAsia" w:ascii="宋体" w:cs="宋体"/>
                <w:highlight w:val="none"/>
              </w:rPr>
              <w:t>发包人</w:t>
            </w:r>
          </w:p>
        </w:tc>
        <w:tc>
          <w:tcPr>
            <w:tcW w:w="1564" w:type="pct"/>
            <w:gridSpan w:val="3"/>
            <w:tcBorders>
              <w:top w:val="single" w:color="auto" w:sz="4" w:space="0"/>
            </w:tcBorders>
            <w:noWrap w:val="0"/>
            <w:vAlign w:val="center"/>
          </w:tcPr>
          <w:p w14:paraId="409EB5A0">
            <w:pPr>
              <w:spacing w:line="360" w:lineRule="auto"/>
              <w:jc w:val="center"/>
              <w:rPr>
                <w:rFonts w:hint="eastAsia" w:ascii="宋体" w:eastAsia="宋体" w:cs="宋体"/>
                <w:highlight w:val="none"/>
                <w:lang w:eastAsia="zh-CN"/>
              </w:rPr>
            </w:pPr>
            <w:r>
              <w:rPr>
                <w:rFonts w:hint="eastAsia" w:ascii="宋体" w:cs="宋体"/>
                <w:highlight w:val="none"/>
              </w:rPr>
              <w:t>参加过类似项目</w:t>
            </w:r>
            <w:r>
              <w:rPr>
                <w:rFonts w:hint="eastAsia" w:ascii="宋体" w:cs="宋体"/>
                <w:highlight w:val="none"/>
                <w:lang w:val="en-US" w:eastAsia="zh-CN"/>
              </w:rPr>
              <w:t>的</w:t>
            </w:r>
          </w:p>
          <w:p w14:paraId="1C1E8FE6">
            <w:pPr>
              <w:spacing w:line="360" w:lineRule="auto"/>
              <w:jc w:val="center"/>
              <w:rPr>
                <w:rFonts w:hint="eastAsia" w:ascii="宋体" w:cs="宋体"/>
                <w:highlight w:val="none"/>
              </w:rPr>
            </w:pPr>
            <w:r>
              <w:rPr>
                <w:rFonts w:hint="eastAsia" w:ascii="宋体" w:cs="宋体"/>
                <w:highlight w:val="none"/>
              </w:rPr>
              <w:t>项目名称</w:t>
            </w:r>
          </w:p>
        </w:tc>
        <w:tc>
          <w:tcPr>
            <w:tcW w:w="971" w:type="pct"/>
            <w:tcBorders>
              <w:top w:val="single" w:color="auto" w:sz="4" w:space="0"/>
            </w:tcBorders>
            <w:noWrap w:val="0"/>
            <w:vAlign w:val="center"/>
          </w:tcPr>
          <w:p w14:paraId="16EFB9A7">
            <w:pPr>
              <w:spacing w:line="360" w:lineRule="auto"/>
              <w:jc w:val="center"/>
              <w:rPr>
                <w:rFonts w:hint="default" w:ascii="宋体" w:eastAsia="宋体" w:cs="宋体"/>
                <w:highlight w:val="none"/>
                <w:lang w:val="en-US" w:eastAsia="zh-CN"/>
              </w:rPr>
            </w:pPr>
            <w:r>
              <w:rPr>
                <w:rFonts w:hint="eastAsia" w:ascii="宋体" w:cs="宋体"/>
                <w:highlight w:val="none"/>
                <w:lang w:val="en-US" w:eastAsia="zh-CN"/>
              </w:rPr>
              <w:t>合同金额</w:t>
            </w:r>
          </w:p>
        </w:tc>
        <w:tc>
          <w:tcPr>
            <w:tcW w:w="876" w:type="pct"/>
            <w:tcBorders>
              <w:top w:val="single" w:color="auto" w:sz="4" w:space="0"/>
            </w:tcBorders>
            <w:noWrap w:val="0"/>
            <w:vAlign w:val="center"/>
          </w:tcPr>
          <w:p w14:paraId="06848FE9">
            <w:pPr>
              <w:spacing w:line="360" w:lineRule="auto"/>
              <w:jc w:val="center"/>
              <w:rPr>
                <w:rFonts w:hint="eastAsia" w:ascii="宋体" w:cs="宋体"/>
                <w:highlight w:val="none"/>
              </w:rPr>
            </w:pPr>
            <w:r>
              <w:rPr>
                <w:rFonts w:hint="eastAsia" w:ascii="宋体" w:cs="宋体"/>
                <w:highlight w:val="none"/>
              </w:rPr>
              <w:t>担任何职</w:t>
            </w:r>
          </w:p>
        </w:tc>
      </w:tr>
      <w:tr w14:paraId="09A89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878" w:type="pct"/>
            <w:noWrap w:val="0"/>
            <w:vAlign w:val="center"/>
          </w:tcPr>
          <w:p w14:paraId="6340DFD7">
            <w:pPr>
              <w:spacing w:line="360" w:lineRule="auto"/>
              <w:jc w:val="center"/>
              <w:rPr>
                <w:rFonts w:hint="eastAsia" w:ascii="宋体" w:cs="宋体"/>
                <w:highlight w:val="none"/>
              </w:rPr>
            </w:pPr>
          </w:p>
        </w:tc>
        <w:tc>
          <w:tcPr>
            <w:tcW w:w="709" w:type="pct"/>
            <w:noWrap w:val="0"/>
            <w:vAlign w:val="center"/>
          </w:tcPr>
          <w:p w14:paraId="65E46B2D">
            <w:pPr>
              <w:spacing w:line="360" w:lineRule="auto"/>
              <w:jc w:val="center"/>
              <w:rPr>
                <w:rFonts w:hint="eastAsia" w:ascii="宋体" w:cs="宋体"/>
                <w:highlight w:val="none"/>
              </w:rPr>
            </w:pPr>
          </w:p>
        </w:tc>
        <w:tc>
          <w:tcPr>
            <w:tcW w:w="1564" w:type="pct"/>
            <w:gridSpan w:val="3"/>
            <w:noWrap w:val="0"/>
            <w:vAlign w:val="center"/>
          </w:tcPr>
          <w:p w14:paraId="3442B80C">
            <w:pPr>
              <w:spacing w:line="360" w:lineRule="auto"/>
              <w:jc w:val="center"/>
              <w:rPr>
                <w:rFonts w:hint="eastAsia" w:ascii="宋体" w:cs="宋体"/>
                <w:highlight w:val="none"/>
              </w:rPr>
            </w:pPr>
          </w:p>
        </w:tc>
        <w:tc>
          <w:tcPr>
            <w:tcW w:w="971" w:type="pct"/>
            <w:noWrap w:val="0"/>
            <w:vAlign w:val="center"/>
          </w:tcPr>
          <w:p w14:paraId="4ED642E1">
            <w:pPr>
              <w:spacing w:line="360" w:lineRule="auto"/>
              <w:jc w:val="center"/>
              <w:rPr>
                <w:rFonts w:hint="eastAsia" w:ascii="宋体" w:cs="宋体"/>
                <w:highlight w:val="none"/>
              </w:rPr>
            </w:pPr>
          </w:p>
        </w:tc>
        <w:tc>
          <w:tcPr>
            <w:tcW w:w="876" w:type="pct"/>
            <w:noWrap w:val="0"/>
            <w:vAlign w:val="center"/>
          </w:tcPr>
          <w:p w14:paraId="330219F3">
            <w:pPr>
              <w:spacing w:line="360" w:lineRule="auto"/>
              <w:jc w:val="center"/>
              <w:rPr>
                <w:rFonts w:hint="eastAsia" w:ascii="宋体" w:cs="宋体"/>
                <w:highlight w:val="none"/>
              </w:rPr>
            </w:pPr>
          </w:p>
        </w:tc>
      </w:tr>
      <w:tr w14:paraId="1B173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878" w:type="pct"/>
            <w:noWrap w:val="0"/>
            <w:vAlign w:val="center"/>
          </w:tcPr>
          <w:p w14:paraId="0E327722">
            <w:pPr>
              <w:spacing w:line="360" w:lineRule="auto"/>
              <w:jc w:val="center"/>
              <w:rPr>
                <w:rFonts w:hint="eastAsia" w:ascii="宋体" w:cs="宋体"/>
                <w:highlight w:val="none"/>
              </w:rPr>
            </w:pPr>
          </w:p>
        </w:tc>
        <w:tc>
          <w:tcPr>
            <w:tcW w:w="709" w:type="pct"/>
            <w:noWrap w:val="0"/>
            <w:vAlign w:val="center"/>
          </w:tcPr>
          <w:p w14:paraId="76EA0F2D">
            <w:pPr>
              <w:spacing w:line="360" w:lineRule="auto"/>
              <w:jc w:val="center"/>
              <w:rPr>
                <w:rFonts w:hint="eastAsia" w:ascii="宋体" w:cs="宋体"/>
                <w:highlight w:val="none"/>
              </w:rPr>
            </w:pPr>
          </w:p>
        </w:tc>
        <w:tc>
          <w:tcPr>
            <w:tcW w:w="1564" w:type="pct"/>
            <w:gridSpan w:val="3"/>
            <w:noWrap w:val="0"/>
            <w:vAlign w:val="center"/>
          </w:tcPr>
          <w:p w14:paraId="2ED1B060">
            <w:pPr>
              <w:spacing w:line="360" w:lineRule="auto"/>
              <w:jc w:val="center"/>
              <w:rPr>
                <w:rFonts w:hint="eastAsia" w:ascii="宋体" w:cs="宋体"/>
                <w:highlight w:val="none"/>
              </w:rPr>
            </w:pPr>
          </w:p>
        </w:tc>
        <w:tc>
          <w:tcPr>
            <w:tcW w:w="971" w:type="pct"/>
            <w:noWrap w:val="0"/>
            <w:vAlign w:val="center"/>
          </w:tcPr>
          <w:p w14:paraId="7942B8FE">
            <w:pPr>
              <w:spacing w:line="360" w:lineRule="auto"/>
              <w:jc w:val="center"/>
              <w:rPr>
                <w:rFonts w:hint="eastAsia" w:ascii="宋体" w:cs="宋体"/>
                <w:highlight w:val="none"/>
              </w:rPr>
            </w:pPr>
          </w:p>
        </w:tc>
        <w:tc>
          <w:tcPr>
            <w:tcW w:w="876" w:type="pct"/>
            <w:noWrap w:val="0"/>
            <w:vAlign w:val="center"/>
          </w:tcPr>
          <w:p w14:paraId="1C96CB5D">
            <w:pPr>
              <w:spacing w:line="360" w:lineRule="auto"/>
              <w:jc w:val="center"/>
              <w:rPr>
                <w:rFonts w:hint="eastAsia" w:ascii="宋体" w:cs="宋体"/>
                <w:highlight w:val="none"/>
              </w:rPr>
            </w:pPr>
          </w:p>
        </w:tc>
      </w:tr>
    </w:tbl>
    <w:p w14:paraId="02362870">
      <w:pPr>
        <w:pStyle w:val="19"/>
        <w:ind w:firstLine="210"/>
        <w:rPr>
          <w:rFonts w:hint="eastAsia" w:ascii="宋体" w:cs="宋体"/>
          <w:bCs/>
          <w:sz w:val="21"/>
          <w:szCs w:val="21"/>
          <w:highlight w:val="none"/>
        </w:rPr>
      </w:pPr>
      <w:r>
        <w:rPr>
          <w:rFonts w:hint="eastAsia" w:ascii="宋体" w:cs="宋体"/>
          <w:bCs/>
          <w:sz w:val="21"/>
          <w:szCs w:val="21"/>
          <w:highlight w:val="none"/>
        </w:rPr>
        <w:t>1.本表应附主要管理人员身份证、学历证书</w:t>
      </w:r>
      <w:r>
        <w:rPr>
          <w:rFonts w:hint="eastAsia" w:ascii="宋体" w:cs="宋体"/>
          <w:bCs/>
          <w:sz w:val="21"/>
          <w:szCs w:val="21"/>
          <w:highlight w:val="none"/>
          <w:lang w:eastAsia="zh-CN"/>
        </w:rPr>
        <w:t>（</w:t>
      </w:r>
      <w:r>
        <w:rPr>
          <w:rFonts w:hint="eastAsia" w:ascii="宋体" w:cs="宋体"/>
          <w:bCs/>
          <w:sz w:val="21"/>
          <w:szCs w:val="21"/>
          <w:highlight w:val="none"/>
          <w:lang w:val="en-US" w:eastAsia="zh-CN"/>
        </w:rPr>
        <w:t>如有）</w:t>
      </w:r>
      <w:r>
        <w:rPr>
          <w:rFonts w:hint="eastAsia" w:ascii="宋体" w:cs="宋体"/>
          <w:bCs/>
          <w:sz w:val="21"/>
          <w:szCs w:val="21"/>
          <w:highlight w:val="none"/>
        </w:rPr>
        <w:t>、职称证书</w:t>
      </w:r>
      <w:r>
        <w:rPr>
          <w:rFonts w:hint="eastAsia" w:ascii="宋体" w:cs="宋体"/>
          <w:bCs/>
          <w:sz w:val="21"/>
          <w:szCs w:val="21"/>
          <w:highlight w:val="none"/>
          <w:lang w:eastAsia="zh-CN"/>
        </w:rPr>
        <w:t>（</w:t>
      </w:r>
      <w:r>
        <w:rPr>
          <w:rFonts w:hint="eastAsia" w:ascii="宋体" w:cs="宋体"/>
          <w:bCs/>
          <w:sz w:val="21"/>
          <w:szCs w:val="21"/>
          <w:highlight w:val="none"/>
          <w:lang w:val="en-US" w:eastAsia="zh-CN"/>
        </w:rPr>
        <w:t>如有）</w:t>
      </w:r>
      <w:r>
        <w:rPr>
          <w:rFonts w:hint="eastAsia" w:ascii="宋体" w:cs="宋体"/>
          <w:bCs/>
          <w:sz w:val="21"/>
          <w:szCs w:val="21"/>
          <w:highlight w:val="none"/>
        </w:rPr>
        <w:t>、注册执业资格证书</w:t>
      </w:r>
      <w:r>
        <w:rPr>
          <w:rFonts w:hint="eastAsia" w:ascii="宋体" w:cs="宋体"/>
          <w:bCs/>
          <w:sz w:val="21"/>
          <w:szCs w:val="21"/>
          <w:highlight w:val="none"/>
          <w:lang w:eastAsia="zh-CN"/>
        </w:rPr>
        <w:t>（</w:t>
      </w:r>
      <w:r>
        <w:rPr>
          <w:rFonts w:hint="eastAsia" w:ascii="宋体" w:cs="宋体"/>
          <w:bCs/>
          <w:sz w:val="21"/>
          <w:szCs w:val="21"/>
          <w:highlight w:val="none"/>
          <w:lang w:val="en-US" w:eastAsia="zh-CN"/>
        </w:rPr>
        <w:t>如有）</w:t>
      </w:r>
      <w:r>
        <w:rPr>
          <w:rFonts w:hint="eastAsia" w:ascii="宋体" w:cs="宋体"/>
          <w:bCs/>
          <w:sz w:val="21"/>
          <w:szCs w:val="21"/>
          <w:highlight w:val="none"/>
        </w:rPr>
        <w:t>等、业绩证明材料</w:t>
      </w:r>
      <w:r>
        <w:rPr>
          <w:rFonts w:hint="eastAsia" w:ascii="宋体" w:cs="宋体"/>
          <w:bCs/>
          <w:sz w:val="21"/>
          <w:szCs w:val="21"/>
          <w:highlight w:val="none"/>
          <w:lang w:eastAsia="zh-CN"/>
        </w:rPr>
        <w:t>（</w:t>
      </w:r>
      <w:r>
        <w:rPr>
          <w:rFonts w:hint="eastAsia" w:ascii="宋体" w:cs="宋体"/>
          <w:bCs/>
          <w:sz w:val="21"/>
          <w:szCs w:val="21"/>
          <w:highlight w:val="none"/>
          <w:lang w:val="en-US" w:eastAsia="zh-CN"/>
        </w:rPr>
        <w:t>如有）</w:t>
      </w:r>
      <w:r>
        <w:rPr>
          <w:rFonts w:hint="eastAsia" w:ascii="宋体" w:cs="宋体"/>
          <w:bCs/>
          <w:sz w:val="21"/>
          <w:szCs w:val="21"/>
          <w:highlight w:val="none"/>
        </w:rPr>
        <w:t>复印件。</w:t>
      </w:r>
    </w:p>
    <w:p w14:paraId="321CFFE2">
      <w:pPr>
        <w:autoSpaceDE w:val="0"/>
        <w:autoSpaceDN w:val="0"/>
        <w:adjustRightInd w:val="0"/>
        <w:snapToGrid w:val="0"/>
        <w:spacing w:line="360" w:lineRule="auto"/>
        <w:jc w:val="center"/>
        <w:outlineLvl w:val="0"/>
        <w:rPr>
          <w:rFonts w:hint="eastAsia" w:ascii="宋体"/>
          <w:color w:val="000000"/>
          <w:sz w:val="24"/>
          <w:szCs w:val="24"/>
          <w:highlight w:val="none"/>
        </w:rPr>
      </w:pPr>
      <w:r>
        <w:rPr>
          <w:rFonts w:hint="eastAsia" w:ascii="宋体" w:cs="宋体-18030"/>
          <w:b/>
          <w:bCs/>
          <w:color w:val="000000"/>
          <w:kern w:val="0"/>
          <w:sz w:val="30"/>
          <w:szCs w:val="30"/>
          <w:highlight w:val="none"/>
          <w:lang w:val="zh-CN"/>
        </w:rPr>
        <w:br w:type="page"/>
      </w:r>
      <w:bookmarkEnd w:id="124"/>
      <w:bookmarkStart w:id="125" w:name="_Toc7815"/>
      <w:bookmarkStart w:id="126" w:name="_Toc19046"/>
      <w:r>
        <w:rPr>
          <w:rFonts w:hint="eastAsia" w:ascii="宋体" w:cs="宋体-18030"/>
          <w:b/>
          <w:bCs/>
          <w:color w:val="000000"/>
          <w:kern w:val="0"/>
          <w:sz w:val="30"/>
          <w:szCs w:val="30"/>
          <w:highlight w:val="none"/>
        </w:rPr>
        <w:t>八</w:t>
      </w:r>
      <w:r>
        <w:rPr>
          <w:rFonts w:hint="eastAsia" w:ascii="宋体" w:cs="宋体-18030"/>
          <w:b/>
          <w:bCs/>
          <w:color w:val="000000"/>
          <w:kern w:val="0"/>
          <w:sz w:val="30"/>
          <w:szCs w:val="30"/>
          <w:highlight w:val="none"/>
          <w:lang w:val="zh-CN"/>
        </w:rPr>
        <w:t>、</w:t>
      </w:r>
      <w:r>
        <w:rPr>
          <w:rFonts w:hint="eastAsia" w:ascii="宋体" w:cs="宋体-18030"/>
          <w:b/>
          <w:bCs/>
          <w:color w:val="000000"/>
          <w:kern w:val="0"/>
          <w:sz w:val="30"/>
          <w:szCs w:val="30"/>
          <w:highlight w:val="none"/>
          <w:lang w:val="en-US" w:eastAsia="zh-CN"/>
        </w:rPr>
        <w:t>技术</w:t>
      </w:r>
      <w:r>
        <w:rPr>
          <w:rFonts w:hint="eastAsia" w:ascii="宋体" w:cs="宋体-18030"/>
          <w:b/>
          <w:bCs/>
          <w:color w:val="000000"/>
          <w:kern w:val="0"/>
          <w:sz w:val="30"/>
          <w:szCs w:val="30"/>
          <w:highlight w:val="none"/>
        </w:rPr>
        <w:t>方案</w:t>
      </w:r>
      <w:bookmarkEnd w:id="125"/>
      <w:bookmarkEnd w:id="126"/>
    </w:p>
    <w:p w14:paraId="742077B0">
      <w:pPr>
        <w:spacing w:line="400" w:lineRule="exact"/>
        <w:jc w:val="center"/>
        <w:rPr>
          <w:rFonts w:hint="eastAsia" w:ascii="宋体" w:eastAsiaTheme="minorEastAsia"/>
          <w:color w:val="000000"/>
          <w:highlight w:val="none"/>
          <w:lang w:eastAsia="zh-CN"/>
        </w:rPr>
      </w:pPr>
      <w:r>
        <w:rPr>
          <w:rFonts w:hint="eastAsia" w:ascii="宋体"/>
          <w:color w:val="000000"/>
          <w:highlight w:val="none"/>
        </w:rPr>
        <w:t>投标人应根据招标文件评标办法等要求编制</w:t>
      </w:r>
      <w:r>
        <w:rPr>
          <w:rFonts w:hint="eastAsia" w:ascii="宋体"/>
          <w:color w:val="000000"/>
          <w:highlight w:val="none"/>
          <w:lang w:val="en-US" w:eastAsia="zh-CN"/>
        </w:rPr>
        <w:t>技术</w:t>
      </w:r>
      <w:r>
        <w:rPr>
          <w:rFonts w:hint="eastAsia" w:ascii="宋体"/>
          <w:color w:val="000000"/>
          <w:highlight w:val="none"/>
        </w:rPr>
        <w:t>方案</w:t>
      </w:r>
      <w:r>
        <w:rPr>
          <w:rFonts w:hint="eastAsia" w:ascii="宋体"/>
          <w:color w:val="000000"/>
          <w:highlight w:val="none"/>
          <w:lang w:eastAsia="zh-CN"/>
        </w:rPr>
        <w:t>，格式自拟</w:t>
      </w:r>
    </w:p>
    <w:p w14:paraId="05091862">
      <w:pPr>
        <w:spacing w:line="360" w:lineRule="auto"/>
        <w:rPr>
          <w:rFonts w:hint="eastAsia" w:ascii="宋体"/>
          <w:color w:val="000000"/>
          <w:highlight w:val="none"/>
        </w:rPr>
      </w:pPr>
    </w:p>
    <w:p w14:paraId="1718F26F">
      <w:pPr>
        <w:spacing w:line="360" w:lineRule="auto"/>
        <w:rPr>
          <w:rFonts w:hint="eastAsia" w:ascii="宋体"/>
          <w:color w:val="000000"/>
          <w:sz w:val="24"/>
          <w:highlight w:val="none"/>
        </w:rPr>
      </w:pPr>
    </w:p>
    <w:p w14:paraId="36184211">
      <w:pPr>
        <w:spacing w:line="360" w:lineRule="auto"/>
        <w:rPr>
          <w:rFonts w:hint="eastAsia" w:ascii="宋体"/>
          <w:color w:val="000000"/>
          <w:sz w:val="24"/>
          <w:highlight w:val="none"/>
        </w:rPr>
      </w:pPr>
    </w:p>
    <w:p w14:paraId="5B1AE6A6">
      <w:pPr>
        <w:autoSpaceDE w:val="0"/>
        <w:autoSpaceDN w:val="0"/>
        <w:adjustRightInd w:val="0"/>
        <w:snapToGrid w:val="0"/>
        <w:spacing w:line="360" w:lineRule="auto"/>
        <w:jc w:val="center"/>
        <w:outlineLvl w:val="0"/>
        <w:rPr>
          <w:rFonts w:hint="eastAsia" w:ascii="宋体"/>
          <w:color w:val="000000"/>
          <w:sz w:val="24"/>
          <w:szCs w:val="24"/>
          <w:highlight w:val="none"/>
        </w:rPr>
      </w:pPr>
      <w:r>
        <w:rPr>
          <w:rFonts w:hint="eastAsia" w:ascii="宋体" w:cs="宋体-18030"/>
          <w:b/>
          <w:bCs/>
          <w:color w:val="000000"/>
          <w:kern w:val="0"/>
          <w:sz w:val="30"/>
          <w:szCs w:val="30"/>
          <w:highlight w:val="none"/>
        </w:rPr>
        <w:br w:type="page"/>
      </w:r>
      <w:bookmarkStart w:id="127" w:name="_Toc30043"/>
      <w:bookmarkStart w:id="128" w:name="_Toc8276"/>
      <w:r>
        <w:rPr>
          <w:rFonts w:hint="eastAsia" w:ascii="宋体" w:cs="宋体-18030"/>
          <w:b/>
          <w:bCs/>
          <w:color w:val="000000"/>
          <w:kern w:val="0"/>
          <w:sz w:val="30"/>
          <w:szCs w:val="30"/>
          <w:highlight w:val="none"/>
        </w:rPr>
        <w:t>九、其他资料</w:t>
      </w:r>
      <w:bookmarkEnd w:id="127"/>
      <w:bookmarkEnd w:id="128"/>
    </w:p>
    <w:tbl>
      <w:tblPr>
        <w:tblStyle w:val="21"/>
        <w:tblW w:w="5000" w:type="pct"/>
        <w:tblInd w:w="0" w:type="dxa"/>
        <w:tblLayout w:type="autofit"/>
        <w:tblCellMar>
          <w:top w:w="0" w:type="dxa"/>
          <w:left w:w="108" w:type="dxa"/>
          <w:bottom w:w="0" w:type="dxa"/>
          <w:right w:w="108" w:type="dxa"/>
        </w:tblCellMar>
      </w:tblPr>
      <w:tblGrid>
        <w:gridCol w:w="9003"/>
      </w:tblGrid>
      <w:tr w14:paraId="2745C41D">
        <w:tblPrEx>
          <w:tblCellMar>
            <w:top w:w="0" w:type="dxa"/>
            <w:left w:w="108" w:type="dxa"/>
            <w:bottom w:w="0" w:type="dxa"/>
            <w:right w:w="108" w:type="dxa"/>
          </w:tblCellMar>
        </w:tblPrEx>
        <w:trPr>
          <w:trHeight w:val="10768" w:hRule="atLeast"/>
        </w:trPr>
        <w:tc>
          <w:tcPr>
            <w:tcW w:w="5000" w:type="pct"/>
            <w:tcBorders>
              <w:top w:val="single" w:color="auto" w:sz="4" w:space="0"/>
              <w:left w:val="single" w:color="auto" w:sz="4" w:space="0"/>
              <w:bottom w:val="single" w:color="auto" w:sz="4" w:space="0"/>
              <w:right w:val="single" w:color="auto" w:sz="4" w:space="0"/>
            </w:tcBorders>
            <w:noWrap w:val="0"/>
            <w:vAlign w:val="top"/>
          </w:tcPr>
          <w:p w14:paraId="0AB39D02">
            <w:pPr>
              <w:snapToGrid w:val="0"/>
              <w:spacing w:line="360" w:lineRule="auto"/>
              <w:rPr>
                <w:highlight w:val="none"/>
              </w:rPr>
            </w:pPr>
          </w:p>
          <w:p w14:paraId="0A7098F7">
            <w:pPr>
              <w:snapToGrid w:val="0"/>
              <w:spacing w:line="360" w:lineRule="auto"/>
              <w:rPr>
                <w:highlight w:val="none"/>
              </w:rPr>
            </w:pPr>
          </w:p>
          <w:p w14:paraId="2AEA2EDF">
            <w:pPr>
              <w:snapToGrid w:val="0"/>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（1）相关承诺书</w:t>
            </w:r>
            <w:r>
              <w:rPr>
                <w:rFonts w:hint="eastAsia" w:ascii="宋体" w:hAnsi="宋体" w:eastAsia="宋体" w:cs="宋体"/>
                <w:highlight w:val="none"/>
                <w:lang w:eastAsia="zh-CN"/>
              </w:rPr>
              <w:t>（</w:t>
            </w:r>
            <w:r>
              <w:rPr>
                <w:rFonts w:hint="eastAsia" w:ascii="宋体" w:hAnsi="宋体" w:eastAsia="宋体" w:cs="宋体"/>
                <w:highlight w:val="none"/>
              </w:rPr>
              <w:t>格式自拟</w:t>
            </w:r>
            <w:r>
              <w:rPr>
                <w:rFonts w:hint="eastAsia" w:ascii="宋体" w:hAnsi="宋体" w:eastAsia="宋体" w:cs="宋体"/>
                <w:highlight w:val="none"/>
                <w:lang w:eastAsia="zh-CN"/>
              </w:rPr>
              <w:t>）</w:t>
            </w:r>
          </w:p>
          <w:p w14:paraId="452BBEA0">
            <w:pPr>
              <w:snapToGrid w:val="0"/>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（2）</w:t>
            </w:r>
            <w:r>
              <w:rPr>
                <w:rFonts w:hint="eastAsia" w:ascii="宋体" w:hAnsi="宋体" w:eastAsia="宋体" w:cs="宋体"/>
                <w:highlight w:val="none"/>
                <w:lang w:val="en-US" w:eastAsia="zh-CN"/>
              </w:rPr>
              <w:t>增值服务</w:t>
            </w:r>
            <w:r>
              <w:rPr>
                <w:rFonts w:hint="eastAsia" w:ascii="宋体" w:hAnsi="宋体" w:eastAsia="宋体" w:cs="宋体"/>
                <w:highlight w:val="none"/>
              </w:rPr>
              <w:t>及服务承诺</w:t>
            </w:r>
          </w:p>
          <w:p w14:paraId="0F0CC9B0">
            <w:pPr>
              <w:snapToGrid w:val="0"/>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（3）售后服务承诺</w:t>
            </w:r>
          </w:p>
          <w:p w14:paraId="0D30578C">
            <w:pPr>
              <w:snapToGrid w:val="0"/>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w:t>
            </w:r>
            <w:r>
              <w:rPr>
                <w:rFonts w:hint="eastAsia" w:ascii="宋体" w:hAnsi="宋体" w:eastAsia="宋体" w:cs="宋体"/>
                <w:highlight w:val="none"/>
                <w:lang w:val="en-US" w:eastAsia="zh-CN"/>
              </w:rPr>
              <w:t>4</w:t>
            </w:r>
            <w:r>
              <w:rPr>
                <w:rFonts w:hint="eastAsia" w:ascii="宋体" w:hAnsi="宋体" w:eastAsia="宋体" w:cs="宋体"/>
                <w:highlight w:val="none"/>
              </w:rPr>
              <w:t>）投标人认为有必要提供的其他材料（营业执照等）</w:t>
            </w:r>
          </w:p>
          <w:p w14:paraId="4DC25020">
            <w:pPr>
              <w:pStyle w:val="19"/>
              <w:ind w:firstLine="240"/>
              <w:rPr>
                <w:highlight w:val="none"/>
              </w:rPr>
            </w:pPr>
          </w:p>
        </w:tc>
      </w:tr>
    </w:tbl>
    <w:p w14:paraId="119E50F4">
      <w:pPr>
        <w:autoSpaceDE w:val="0"/>
        <w:autoSpaceDN w:val="0"/>
        <w:adjustRightInd w:val="0"/>
        <w:snapToGrid w:val="0"/>
        <w:spacing w:line="360" w:lineRule="auto"/>
        <w:rPr>
          <w:rFonts w:hint="eastAsia" w:ascii="宋体"/>
          <w:color w:val="000000"/>
          <w:kern w:val="0"/>
          <w:sz w:val="24"/>
          <w:szCs w:val="24"/>
          <w:highlight w:val="none"/>
        </w:rPr>
      </w:pPr>
    </w:p>
    <w:p w14:paraId="0268D3CD">
      <w:pPr>
        <w:snapToGrid w:val="0"/>
        <w:spacing w:line="360" w:lineRule="auto"/>
        <w:ind w:right="525"/>
        <w:rPr>
          <w:rFonts w:hint="eastAsia" w:ascii="宋体"/>
          <w:color w:val="000000"/>
          <w:highlight w:val="none"/>
          <w:lang w:val="zh-CN"/>
        </w:rPr>
      </w:pPr>
    </w:p>
    <w:p w14:paraId="14AD9C90">
      <w:pPr>
        <w:pStyle w:val="20"/>
        <w:ind w:firstLine="640"/>
        <w:rPr>
          <w:rFonts w:hint="eastAsia" w:ascii="宋体"/>
          <w:color w:val="000000"/>
          <w:highlight w:val="none"/>
          <w:lang w:val="zh-CN"/>
        </w:rPr>
      </w:pPr>
    </w:p>
    <w:p w14:paraId="30F07ACF">
      <w:pPr>
        <w:pStyle w:val="20"/>
        <w:ind w:firstLine="640"/>
        <w:rPr>
          <w:rFonts w:hint="eastAsia" w:ascii="宋体"/>
          <w:color w:val="000000"/>
          <w:highlight w:val="none"/>
          <w:lang w:val="zh-CN"/>
        </w:rPr>
      </w:pPr>
    </w:p>
    <w:p w14:paraId="06C22CEF">
      <w:pPr>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br w:type="page"/>
      </w:r>
    </w:p>
    <w:p w14:paraId="03827B7C">
      <w:pPr>
        <w:jc w:val="center"/>
        <w:rPr>
          <w:rFonts w:ascii="宋体" w:hAnsi="宋体" w:cs="宋体"/>
          <w:color w:val="auto"/>
          <w:kern w:val="0"/>
          <w:sz w:val="21"/>
          <w:szCs w:val="21"/>
          <w:highlight w:val="none"/>
        </w:rPr>
      </w:pPr>
      <w:r>
        <w:rPr>
          <w:rFonts w:hint="eastAsia" w:ascii="宋体" w:hAnsi="宋体" w:cs="宋体"/>
          <w:b/>
          <w:color w:val="auto"/>
          <w:kern w:val="0"/>
          <w:sz w:val="21"/>
          <w:szCs w:val="21"/>
          <w:highlight w:val="none"/>
        </w:rPr>
        <w:t>中小企业声明函（</w:t>
      </w:r>
      <w:r>
        <w:rPr>
          <w:rFonts w:hint="eastAsia" w:ascii="宋体" w:hAnsi="宋体" w:cs="宋体"/>
          <w:b/>
          <w:color w:val="auto"/>
          <w:kern w:val="0"/>
          <w:sz w:val="21"/>
          <w:szCs w:val="21"/>
          <w:highlight w:val="none"/>
          <w:lang w:val="en-US" w:eastAsia="zh-CN"/>
        </w:rPr>
        <w:t>工业</w:t>
      </w:r>
      <w:r>
        <w:rPr>
          <w:rFonts w:hint="eastAsia" w:ascii="宋体" w:hAnsi="宋体" w:cs="宋体"/>
          <w:b/>
          <w:color w:val="auto"/>
          <w:kern w:val="0"/>
          <w:sz w:val="21"/>
          <w:szCs w:val="21"/>
          <w:highlight w:val="none"/>
        </w:rPr>
        <w:t>）</w:t>
      </w:r>
    </w:p>
    <w:p w14:paraId="0542C89D">
      <w:pPr>
        <w:widowControl/>
        <w:spacing w:before="100" w:beforeAutospacing="1" w:after="100" w:afterAutospacing="1" w:line="435" w:lineRule="exact"/>
        <w:ind w:firstLine="420" w:firstLineChars="20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本公司郑重声明，根据《政府采购促进中小企业发展管理办法》（财库﹝2020﹞46 号）的规定，本公司（联合体）参加</w:t>
      </w:r>
      <w:r>
        <w:rPr>
          <w:rFonts w:hint="eastAsia" w:ascii="宋体" w:hAnsi="宋体" w:cs="宋体"/>
          <w:color w:val="auto"/>
          <w:kern w:val="0"/>
          <w:sz w:val="21"/>
          <w:szCs w:val="21"/>
          <w:highlight w:val="none"/>
          <w:u w:val="single"/>
        </w:rPr>
        <w:t xml:space="preserve">     （单位名称）</w:t>
      </w:r>
      <w:r>
        <w:rPr>
          <w:rFonts w:hint="eastAsia" w:ascii="宋体" w:hAnsi="宋体" w:cs="宋体"/>
          <w:color w:val="auto"/>
          <w:kern w:val="0"/>
          <w:sz w:val="21"/>
          <w:szCs w:val="21"/>
          <w:highlight w:val="none"/>
        </w:rPr>
        <w:t>的</w:t>
      </w:r>
      <w:r>
        <w:rPr>
          <w:rFonts w:hint="eastAsia" w:ascii="宋体" w:hAnsi="宋体" w:cs="宋体"/>
          <w:color w:val="auto"/>
          <w:kern w:val="0"/>
          <w:sz w:val="21"/>
          <w:szCs w:val="21"/>
          <w:highlight w:val="none"/>
          <w:u w:val="single"/>
        </w:rPr>
        <w:t xml:space="preserve">    （项目名称）</w:t>
      </w:r>
      <w:r>
        <w:rPr>
          <w:rFonts w:hint="eastAsia" w:ascii="宋体" w:hAnsi="宋体" w:cs="宋体"/>
          <w:color w:val="auto"/>
          <w:kern w:val="0"/>
          <w:sz w:val="21"/>
          <w:szCs w:val="21"/>
          <w:highlight w:val="none"/>
        </w:rPr>
        <w:t>采购活动，提供的货物全部由符合政策要求的中小企业制造。相关企业（含联合体中的中小企业、签订分包意向协议的中小企业）的具体情况如下：</w:t>
      </w:r>
    </w:p>
    <w:p w14:paraId="7A3642B9">
      <w:pPr>
        <w:widowControl/>
        <w:spacing w:before="100" w:beforeAutospacing="1" w:after="100" w:afterAutospacing="1" w:line="435" w:lineRule="exact"/>
        <w:ind w:firstLine="420" w:firstLineChars="20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1.</w:t>
      </w:r>
      <w:r>
        <w:rPr>
          <w:rFonts w:hint="eastAsia" w:ascii="宋体" w:hAnsi="宋体" w:cs="宋体"/>
          <w:color w:val="auto"/>
          <w:kern w:val="0"/>
          <w:sz w:val="21"/>
          <w:szCs w:val="21"/>
          <w:highlight w:val="none"/>
          <w:u w:val="single"/>
        </w:rPr>
        <w:t xml:space="preserve">     （标的名称）</w:t>
      </w:r>
      <w:r>
        <w:rPr>
          <w:rFonts w:hint="eastAsia" w:ascii="宋体" w:hAnsi="宋体" w:cs="宋体"/>
          <w:color w:val="auto"/>
          <w:kern w:val="0"/>
          <w:sz w:val="21"/>
          <w:szCs w:val="21"/>
          <w:highlight w:val="none"/>
        </w:rPr>
        <w:t>，属于</w:t>
      </w:r>
      <w:r>
        <w:rPr>
          <w:rFonts w:hint="eastAsia" w:ascii="宋体" w:hAnsi="宋体" w:cs="宋体"/>
          <w:color w:val="auto"/>
          <w:kern w:val="0"/>
          <w:sz w:val="21"/>
          <w:szCs w:val="21"/>
          <w:highlight w:val="none"/>
          <w:u w:val="single"/>
        </w:rPr>
        <w:t xml:space="preserve">     （采购文件中明确的所属行业）</w:t>
      </w:r>
      <w:r>
        <w:rPr>
          <w:rFonts w:hint="eastAsia" w:ascii="宋体" w:hAnsi="宋体" w:cs="宋体"/>
          <w:color w:val="auto"/>
          <w:kern w:val="0"/>
          <w:sz w:val="21"/>
          <w:szCs w:val="21"/>
          <w:highlight w:val="none"/>
        </w:rPr>
        <w:t>行业；制造商为</w:t>
      </w:r>
      <w:r>
        <w:rPr>
          <w:rFonts w:hint="eastAsia" w:ascii="宋体" w:hAnsi="宋体" w:cs="宋体"/>
          <w:color w:val="auto"/>
          <w:kern w:val="0"/>
          <w:sz w:val="21"/>
          <w:szCs w:val="21"/>
          <w:highlight w:val="none"/>
          <w:u w:val="single"/>
        </w:rPr>
        <w:t xml:space="preserve">       （企业名称）</w:t>
      </w:r>
      <w:r>
        <w:rPr>
          <w:rFonts w:hint="eastAsia" w:ascii="宋体" w:hAnsi="宋体" w:cs="宋体"/>
          <w:color w:val="auto"/>
          <w:kern w:val="0"/>
          <w:sz w:val="21"/>
          <w:szCs w:val="21"/>
          <w:highlight w:val="none"/>
        </w:rPr>
        <w:t>，从业人员</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rPr>
        <w:t>人，营业收入为</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rPr>
        <w:t>万元，资产总额为</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rPr>
        <w:t>万元</w:t>
      </w:r>
      <w:r>
        <w:rPr>
          <w:rFonts w:hint="eastAsia" w:ascii="宋体" w:hAnsi="宋体" w:cs="宋体"/>
          <w:color w:val="auto"/>
          <w:kern w:val="0"/>
          <w:sz w:val="21"/>
          <w:szCs w:val="21"/>
          <w:highlight w:val="none"/>
          <w:vertAlign w:val="superscript"/>
        </w:rPr>
        <w:t>1</w:t>
      </w:r>
      <w:r>
        <w:rPr>
          <w:rFonts w:hint="eastAsia" w:ascii="宋体" w:hAnsi="宋体" w:cs="宋体"/>
          <w:color w:val="auto"/>
          <w:kern w:val="0"/>
          <w:sz w:val="21"/>
          <w:szCs w:val="21"/>
          <w:highlight w:val="none"/>
        </w:rPr>
        <w:t>，属于</w:t>
      </w:r>
      <w:r>
        <w:rPr>
          <w:rFonts w:hint="eastAsia" w:ascii="宋体" w:hAnsi="宋体" w:cs="宋体"/>
          <w:color w:val="auto"/>
          <w:kern w:val="0"/>
          <w:sz w:val="21"/>
          <w:szCs w:val="21"/>
          <w:highlight w:val="none"/>
          <w:u w:val="single"/>
        </w:rPr>
        <w:t xml:space="preserve">     （中型企业、小型企业、微型企业）</w:t>
      </w:r>
      <w:r>
        <w:rPr>
          <w:rFonts w:hint="eastAsia" w:ascii="宋体" w:hAnsi="宋体" w:cs="宋体"/>
          <w:color w:val="auto"/>
          <w:kern w:val="0"/>
          <w:sz w:val="21"/>
          <w:szCs w:val="21"/>
          <w:highlight w:val="none"/>
        </w:rPr>
        <w:t>；</w:t>
      </w:r>
    </w:p>
    <w:p w14:paraId="30106058">
      <w:pPr>
        <w:widowControl/>
        <w:spacing w:before="100" w:beforeAutospacing="1" w:after="100" w:afterAutospacing="1" w:line="435" w:lineRule="exact"/>
        <w:ind w:firstLine="420" w:firstLineChars="20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2.</w:t>
      </w:r>
      <w:r>
        <w:rPr>
          <w:rFonts w:hint="eastAsia" w:ascii="宋体" w:hAnsi="宋体" w:cs="宋体"/>
          <w:color w:val="auto"/>
          <w:kern w:val="0"/>
          <w:sz w:val="21"/>
          <w:szCs w:val="21"/>
          <w:highlight w:val="none"/>
          <w:u w:val="single"/>
        </w:rPr>
        <w:t xml:space="preserve">     （标的名称）</w:t>
      </w:r>
      <w:r>
        <w:rPr>
          <w:rFonts w:hint="eastAsia" w:ascii="宋体" w:hAnsi="宋体" w:cs="宋体"/>
          <w:color w:val="auto"/>
          <w:kern w:val="0"/>
          <w:sz w:val="21"/>
          <w:szCs w:val="21"/>
          <w:highlight w:val="none"/>
        </w:rPr>
        <w:t>，属于</w:t>
      </w:r>
      <w:r>
        <w:rPr>
          <w:rFonts w:hint="eastAsia" w:ascii="宋体" w:hAnsi="宋体" w:cs="宋体"/>
          <w:color w:val="auto"/>
          <w:kern w:val="0"/>
          <w:sz w:val="21"/>
          <w:szCs w:val="21"/>
          <w:highlight w:val="none"/>
          <w:u w:val="single"/>
        </w:rPr>
        <w:t xml:space="preserve">     （采购文件中明确的所属行业）</w:t>
      </w:r>
      <w:r>
        <w:rPr>
          <w:rFonts w:hint="eastAsia" w:ascii="宋体" w:hAnsi="宋体" w:cs="宋体"/>
          <w:color w:val="auto"/>
          <w:kern w:val="0"/>
          <w:sz w:val="21"/>
          <w:szCs w:val="21"/>
          <w:highlight w:val="none"/>
        </w:rPr>
        <w:t>行业；制造商为</w:t>
      </w:r>
      <w:r>
        <w:rPr>
          <w:rFonts w:hint="eastAsia" w:ascii="宋体" w:hAnsi="宋体" w:cs="宋体"/>
          <w:color w:val="auto"/>
          <w:kern w:val="0"/>
          <w:sz w:val="21"/>
          <w:szCs w:val="21"/>
          <w:highlight w:val="none"/>
          <w:u w:val="single"/>
        </w:rPr>
        <w:t xml:space="preserve">       （企业名称）</w:t>
      </w:r>
      <w:r>
        <w:rPr>
          <w:rFonts w:hint="eastAsia" w:ascii="宋体" w:hAnsi="宋体" w:cs="宋体"/>
          <w:color w:val="auto"/>
          <w:kern w:val="0"/>
          <w:sz w:val="21"/>
          <w:szCs w:val="21"/>
          <w:highlight w:val="none"/>
        </w:rPr>
        <w:t>，从业人员</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rPr>
        <w:t>人，营业收入为</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rPr>
        <w:t>万元，资产总额为</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rPr>
        <w:t>万元</w:t>
      </w:r>
      <w:r>
        <w:rPr>
          <w:rFonts w:hint="eastAsia" w:ascii="宋体" w:hAnsi="宋体" w:cs="宋体"/>
          <w:color w:val="auto"/>
          <w:kern w:val="0"/>
          <w:sz w:val="21"/>
          <w:szCs w:val="21"/>
          <w:highlight w:val="none"/>
          <w:vertAlign w:val="superscript"/>
        </w:rPr>
        <w:t>1</w:t>
      </w:r>
      <w:r>
        <w:rPr>
          <w:rFonts w:hint="eastAsia" w:ascii="宋体" w:hAnsi="宋体" w:cs="宋体"/>
          <w:color w:val="auto"/>
          <w:kern w:val="0"/>
          <w:sz w:val="21"/>
          <w:szCs w:val="21"/>
          <w:highlight w:val="none"/>
        </w:rPr>
        <w:t>，属于</w:t>
      </w:r>
      <w:r>
        <w:rPr>
          <w:rFonts w:hint="eastAsia" w:ascii="宋体" w:hAnsi="宋体" w:cs="宋体"/>
          <w:color w:val="auto"/>
          <w:kern w:val="0"/>
          <w:sz w:val="21"/>
          <w:szCs w:val="21"/>
          <w:highlight w:val="none"/>
          <w:u w:val="single"/>
        </w:rPr>
        <w:t xml:space="preserve">     （中型企业、小型企业、微型企业）</w:t>
      </w:r>
      <w:r>
        <w:rPr>
          <w:rFonts w:hint="eastAsia" w:ascii="宋体" w:hAnsi="宋体" w:cs="宋体"/>
          <w:color w:val="auto"/>
          <w:kern w:val="0"/>
          <w:sz w:val="21"/>
          <w:szCs w:val="21"/>
          <w:highlight w:val="none"/>
        </w:rPr>
        <w:t>；</w:t>
      </w:r>
    </w:p>
    <w:p w14:paraId="5C5EE0AC">
      <w:pPr>
        <w:widowControl/>
        <w:spacing w:before="100" w:beforeAutospacing="1" w:after="100" w:afterAutospacing="1" w:line="435" w:lineRule="exact"/>
        <w:ind w:firstLine="420" w:firstLineChars="20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p w14:paraId="3F2B88F1">
      <w:pPr>
        <w:widowControl/>
        <w:spacing w:before="100" w:beforeAutospacing="1" w:after="100" w:afterAutospacing="1" w:line="435" w:lineRule="exact"/>
        <w:ind w:firstLine="420" w:firstLineChars="20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以上企业，不属于大企业的分支机构，不存在控股股东为大企业的情形，也不存在与大企业的负责人为同一人的情形。</w:t>
      </w:r>
    </w:p>
    <w:p w14:paraId="1C940BE2">
      <w:pPr>
        <w:widowControl/>
        <w:spacing w:before="100" w:beforeAutospacing="1" w:after="100" w:afterAutospacing="1" w:line="435" w:lineRule="exact"/>
        <w:ind w:firstLine="420" w:firstLineChars="20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本企业对上述声明内容的真实性负责。如有虚假，将依法承担相应责任。</w:t>
      </w:r>
    </w:p>
    <w:p w14:paraId="69CFC2AD">
      <w:pPr>
        <w:widowControl/>
        <w:spacing w:before="100" w:beforeAutospacing="1" w:after="100" w:afterAutospacing="1" w:line="435" w:lineRule="exact"/>
        <w:ind w:firstLine="420" w:firstLineChars="20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 </w:t>
      </w:r>
    </w:p>
    <w:p w14:paraId="17156F7D">
      <w:pPr>
        <w:widowControl/>
        <w:spacing w:before="100" w:beforeAutospacing="1" w:after="100" w:afterAutospacing="1" w:line="435" w:lineRule="exact"/>
        <w:ind w:firstLine="4620" w:firstLineChars="220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企业名称（盖章）：</w:t>
      </w:r>
    </w:p>
    <w:p w14:paraId="706B0D20">
      <w:pPr>
        <w:widowControl/>
        <w:spacing w:before="100" w:beforeAutospacing="1" w:after="100" w:afterAutospacing="1" w:line="435" w:lineRule="exact"/>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 </w:t>
      </w:r>
    </w:p>
    <w:p w14:paraId="15FC376E">
      <w:pPr>
        <w:widowControl/>
        <w:spacing w:before="100" w:beforeAutospacing="1" w:after="100" w:afterAutospacing="1" w:line="435" w:lineRule="exact"/>
        <w:ind w:firstLine="4620" w:firstLineChars="220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日 期：</w:t>
      </w:r>
    </w:p>
    <w:p w14:paraId="5BE3A1C1">
      <w:pPr>
        <w:widowControl/>
        <w:spacing w:before="100" w:beforeAutospacing="1" w:after="100" w:afterAutospacing="1" w:line="435" w:lineRule="exact"/>
        <w:jc w:val="left"/>
        <w:rPr>
          <w:rFonts w:hint="eastAsia" w:ascii="宋体" w:hAnsi="宋体" w:cs="宋体"/>
          <w:color w:val="auto"/>
          <w:kern w:val="0"/>
          <w:sz w:val="21"/>
          <w:szCs w:val="21"/>
          <w:highlight w:val="none"/>
        </w:rPr>
        <w:sectPr>
          <w:headerReference r:id="rId5" w:type="default"/>
          <w:footerReference r:id="rId6" w:type="default"/>
          <w:pgSz w:w="11905" w:h="16838"/>
          <w:pgMar w:top="1417" w:right="1417" w:bottom="1417" w:left="1701" w:header="850" w:footer="737" w:gutter="0"/>
          <w:pgNumType w:fmt="decimal"/>
          <w:cols w:space="720" w:num="1"/>
          <w:titlePg/>
          <w:rtlGutter w:val="0"/>
          <w:docGrid w:type="lines" w:linePitch="519" w:charSpace="0"/>
        </w:sectPr>
      </w:pPr>
      <w:r>
        <w:rPr>
          <w:rFonts w:hint="eastAsia" w:ascii="宋体" w:hAnsi="宋体" w:cs="宋体"/>
          <w:color w:val="auto"/>
          <w:kern w:val="0"/>
          <w:sz w:val="21"/>
          <w:szCs w:val="21"/>
          <w:highlight w:val="none"/>
          <w:vertAlign w:val="superscript"/>
        </w:rPr>
        <w:t>1</w:t>
      </w:r>
      <w:r>
        <w:rPr>
          <w:rFonts w:hint="eastAsia" w:ascii="宋体" w:hAnsi="宋体" w:cs="宋体"/>
          <w:color w:val="auto"/>
          <w:kern w:val="0"/>
          <w:sz w:val="21"/>
          <w:szCs w:val="21"/>
          <w:highlight w:val="none"/>
        </w:rPr>
        <w:t>从业人员、营业收入、资产总额填报上一年度数据，无上一年度数据的新成立企业可不填报。</w:t>
      </w:r>
    </w:p>
    <w:p w14:paraId="2312E362">
      <w:pPr>
        <w:ind w:right="-65" w:rightChars="-3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中小企业划型标准</w:t>
      </w:r>
    </w:p>
    <w:tbl>
      <w:tblPr>
        <w:tblStyle w:val="21"/>
        <w:tblW w:w="14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9"/>
        <w:gridCol w:w="1914"/>
        <w:gridCol w:w="1174"/>
        <w:gridCol w:w="1086"/>
        <w:gridCol w:w="921"/>
        <w:gridCol w:w="1086"/>
        <w:gridCol w:w="1074"/>
        <w:gridCol w:w="978"/>
        <w:gridCol w:w="1086"/>
        <w:gridCol w:w="1141"/>
        <w:gridCol w:w="984"/>
        <w:gridCol w:w="1086"/>
        <w:gridCol w:w="1090"/>
        <w:gridCol w:w="834"/>
      </w:tblGrid>
      <w:tr w14:paraId="4F303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blHeader/>
          <w:jc w:val="center"/>
        </w:trPr>
        <w:tc>
          <w:tcPr>
            <w:tcW w:w="479" w:type="dxa"/>
            <w:vMerge w:val="restart"/>
            <w:noWrap w:val="0"/>
            <w:vAlign w:val="center"/>
          </w:tcPr>
          <w:p w14:paraId="42499A7E">
            <w:pPr>
              <w:ind w:left="-48" w:leftChars="-23" w:right="-65" w:rightChars="-3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914" w:type="dxa"/>
            <w:vMerge w:val="restart"/>
            <w:noWrap w:val="0"/>
            <w:vAlign w:val="center"/>
          </w:tcPr>
          <w:p w14:paraId="7CB9EAA8">
            <w:pPr>
              <w:ind w:left="-48" w:leftChars="-23" w:right="-65" w:rightChars="-3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行业</w:t>
            </w:r>
          </w:p>
        </w:tc>
        <w:tc>
          <w:tcPr>
            <w:tcW w:w="3181" w:type="dxa"/>
            <w:gridSpan w:val="3"/>
            <w:noWrap w:val="0"/>
            <w:vAlign w:val="center"/>
          </w:tcPr>
          <w:p w14:paraId="38F37C25">
            <w:pPr>
              <w:ind w:left="-48" w:leftChars="-23" w:right="-65" w:rightChars="-3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大型企业</w:t>
            </w:r>
          </w:p>
        </w:tc>
        <w:tc>
          <w:tcPr>
            <w:tcW w:w="3138" w:type="dxa"/>
            <w:gridSpan w:val="3"/>
            <w:noWrap w:val="0"/>
            <w:vAlign w:val="center"/>
          </w:tcPr>
          <w:p w14:paraId="18723D46">
            <w:pPr>
              <w:ind w:left="-48" w:leftChars="-23" w:right="-65" w:rightChars="-3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中型企业</w:t>
            </w:r>
          </w:p>
        </w:tc>
        <w:tc>
          <w:tcPr>
            <w:tcW w:w="3211" w:type="dxa"/>
            <w:gridSpan w:val="3"/>
            <w:noWrap w:val="0"/>
            <w:vAlign w:val="center"/>
          </w:tcPr>
          <w:p w14:paraId="0D96AA63">
            <w:pPr>
              <w:ind w:left="-48" w:leftChars="-23" w:right="-65" w:rightChars="-3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小型企业</w:t>
            </w:r>
          </w:p>
        </w:tc>
        <w:tc>
          <w:tcPr>
            <w:tcW w:w="3010" w:type="dxa"/>
            <w:gridSpan w:val="3"/>
            <w:noWrap w:val="0"/>
            <w:vAlign w:val="center"/>
          </w:tcPr>
          <w:p w14:paraId="66DB88FE">
            <w:pPr>
              <w:ind w:left="-48" w:leftChars="-23" w:right="-65" w:rightChars="-3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微型企业</w:t>
            </w:r>
          </w:p>
        </w:tc>
      </w:tr>
      <w:tr w14:paraId="56340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blHeader/>
          <w:jc w:val="center"/>
        </w:trPr>
        <w:tc>
          <w:tcPr>
            <w:tcW w:w="479" w:type="dxa"/>
            <w:vMerge w:val="continue"/>
            <w:noWrap w:val="0"/>
            <w:vAlign w:val="center"/>
          </w:tcPr>
          <w:p w14:paraId="662B8911">
            <w:pPr>
              <w:ind w:left="-48" w:leftChars="-23" w:right="-65" w:rightChars="-31"/>
              <w:jc w:val="center"/>
              <w:rPr>
                <w:rFonts w:hint="eastAsia" w:ascii="宋体" w:hAnsi="宋体" w:eastAsia="宋体" w:cs="宋体"/>
                <w:b/>
                <w:color w:val="auto"/>
                <w:sz w:val="21"/>
                <w:szCs w:val="21"/>
                <w:highlight w:val="none"/>
              </w:rPr>
            </w:pPr>
          </w:p>
        </w:tc>
        <w:tc>
          <w:tcPr>
            <w:tcW w:w="1914" w:type="dxa"/>
            <w:vMerge w:val="continue"/>
            <w:noWrap w:val="0"/>
            <w:vAlign w:val="center"/>
          </w:tcPr>
          <w:p w14:paraId="21A418D0">
            <w:pPr>
              <w:ind w:left="-48" w:leftChars="-23" w:right="-65" w:rightChars="-31"/>
              <w:rPr>
                <w:rFonts w:hint="eastAsia" w:ascii="宋体" w:hAnsi="宋体" w:eastAsia="宋体" w:cs="宋体"/>
                <w:b/>
                <w:color w:val="auto"/>
                <w:sz w:val="21"/>
                <w:szCs w:val="21"/>
                <w:highlight w:val="none"/>
              </w:rPr>
            </w:pPr>
          </w:p>
        </w:tc>
        <w:tc>
          <w:tcPr>
            <w:tcW w:w="1174" w:type="dxa"/>
            <w:noWrap w:val="0"/>
            <w:vAlign w:val="center"/>
          </w:tcPr>
          <w:p w14:paraId="7835D4DF">
            <w:pPr>
              <w:ind w:left="-48" w:leftChars="-23" w:right="-65" w:rightChars="-3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营业收入</w:t>
            </w:r>
          </w:p>
          <w:p w14:paraId="0C965796">
            <w:pPr>
              <w:ind w:left="-48" w:leftChars="-23" w:right="-65" w:rightChars="-3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(万元)</w:t>
            </w:r>
          </w:p>
        </w:tc>
        <w:tc>
          <w:tcPr>
            <w:tcW w:w="1086" w:type="dxa"/>
            <w:noWrap w:val="0"/>
            <w:vAlign w:val="center"/>
          </w:tcPr>
          <w:p w14:paraId="093BFEE6">
            <w:pPr>
              <w:ind w:left="-48" w:leftChars="-23" w:right="-65" w:rightChars="-3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从业人员</w:t>
            </w:r>
          </w:p>
          <w:p w14:paraId="5DCE5920">
            <w:pPr>
              <w:ind w:left="-48" w:leftChars="-23" w:right="-65" w:rightChars="-3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(人)</w:t>
            </w:r>
          </w:p>
        </w:tc>
        <w:tc>
          <w:tcPr>
            <w:tcW w:w="921" w:type="dxa"/>
            <w:noWrap w:val="0"/>
            <w:vAlign w:val="center"/>
          </w:tcPr>
          <w:p w14:paraId="7FBA2AAE">
            <w:pPr>
              <w:ind w:left="-48" w:leftChars="-23" w:right="-65" w:rightChars="-3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总资产</w:t>
            </w:r>
          </w:p>
          <w:p w14:paraId="1FA30190">
            <w:pPr>
              <w:ind w:left="-48" w:leftChars="-23" w:right="-65" w:rightChars="-3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(万元)</w:t>
            </w:r>
          </w:p>
        </w:tc>
        <w:tc>
          <w:tcPr>
            <w:tcW w:w="1086" w:type="dxa"/>
            <w:noWrap w:val="0"/>
            <w:vAlign w:val="center"/>
          </w:tcPr>
          <w:p w14:paraId="1C0DB22E">
            <w:pPr>
              <w:ind w:left="-48" w:leftChars="-23" w:right="-65" w:rightChars="-3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营业收入</w:t>
            </w:r>
          </w:p>
          <w:p w14:paraId="122E4D22">
            <w:pPr>
              <w:ind w:left="-48" w:leftChars="-23" w:right="-65" w:rightChars="-3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(万元)</w:t>
            </w:r>
          </w:p>
        </w:tc>
        <w:tc>
          <w:tcPr>
            <w:tcW w:w="1074" w:type="dxa"/>
            <w:noWrap w:val="0"/>
            <w:vAlign w:val="center"/>
          </w:tcPr>
          <w:p w14:paraId="1121F60A">
            <w:pPr>
              <w:ind w:left="-48" w:leftChars="-23" w:right="-65" w:rightChars="-3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从业人员</w:t>
            </w:r>
          </w:p>
          <w:p w14:paraId="49E0650D">
            <w:pPr>
              <w:ind w:left="-48" w:leftChars="-23" w:right="-65" w:rightChars="-3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(人)</w:t>
            </w:r>
          </w:p>
        </w:tc>
        <w:tc>
          <w:tcPr>
            <w:tcW w:w="978" w:type="dxa"/>
            <w:noWrap w:val="0"/>
            <w:vAlign w:val="center"/>
          </w:tcPr>
          <w:p w14:paraId="23B0680C">
            <w:pPr>
              <w:ind w:left="-48" w:leftChars="-23" w:right="-65" w:rightChars="-3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总资产</w:t>
            </w:r>
          </w:p>
          <w:p w14:paraId="5AD425A5">
            <w:pPr>
              <w:ind w:left="-48" w:leftChars="-23" w:right="-65" w:rightChars="-3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(万元)</w:t>
            </w:r>
          </w:p>
        </w:tc>
        <w:tc>
          <w:tcPr>
            <w:tcW w:w="1086" w:type="dxa"/>
            <w:noWrap w:val="0"/>
            <w:vAlign w:val="center"/>
          </w:tcPr>
          <w:p w14:paraId="02607543">
            <w:pPr>
              <w:ind w:left="-48" w:leftChars="-23" w:right="-65" w:rightChars="-3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营业收入</w:t>
            </w:r>
          </w:p>
          <w:p w14:paraId="39175E75">
            <w:pPr>
              <w:ind w:left="-48" w:leftChars="-23" w:right="-65" w:rightChars="-3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(万元)</w:t>
            </w:r>
          </w:p>
        </w:tc>
        <w:tc>
          <w:tcPr>
            <w:tcW w:w="1141" w:type="dxa"/>
            <w:noWrap w:val="0"/>
            <w:vAlign w:val="center"/>
          </w:tcPr>
          <w:p w14:paraId="6B357E86">
            <w:pPr>
              <w:ind w:left="119" w:leftChars="-23" w:right="-65" w:rightChars="-31" w:hanging="167" w:hangingChars="79"/>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从业人员</w:t>
            </w:r>
          </w:p>
          <w:p w14:paraId="4AAC1105">
            <w:pPr>
              <w:ind w:left="-48" w:leftChars="-23" w:right="-65" w:rightChars="-3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(人)</w:t>
            </w:r>
          </w:p>
        </w:tc>
        <w:tc>
          <w:tcPr>
            <w:tcW w:w="984" w:type="dxa"/>
            <w:noWrap w:val="0"/>
            <w:vAlign w:val="center"/>
          </w:tcPr>
          <w:p w14:paraId="09BAFD65">
            <w:pPr>
              <w:ind w:left="-48" w:leftChars="-23" w:right="-65" w:rightChars="-3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总资产</w:t>
            </w:r>
          </w:p>
          <w:p w14:paraId="389A5BA3">
            <w:pPr>
              <w:ind w:left="-48" w:leftChars="-23" w:right="-65" w:rightChars="-3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(万元)</w:t>
            </w:r>
          </w:p>
        </w:tc>
        <w:tc>
          <w:tcPr>
            <w:tcW w:w="1086" w:type="dxa"/>
            <w:noWrap w:val="0"/>
            <w:vAlign w:val="center"/>
          </w:tcPr>
          <w:p w14:paraId="49FBB6D4">
            <w:pPr>
              <w:ind w:left="-48" w:leftChars="-23" w:right="-65" w:rightChars="-3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营业收入</w:t>
            </w:r>
          </w:p>
          <w:p w14:paraId="20A8DCD0">
            <w:pPr>
              <w:ind w:left="-48" w:leftChars="-23" w:right="-65" w:rightChars="-3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(万元)</w:t>
            </w:r>
          </w:p>
        </w:tc>
        <w:tc>
          <w:tcPr>
            <w:tcW w:w="1090" w:type="dxa"/>
            <w:noWrap w:val="0"/>
            <w:vAlign w:val="center"/>
          </w:tcPr>
          <w:p w14:paraId="368775D5">
            <w:pPr>
              <w:ind w:left="-48" w:leftChars="-23" w:right="-65" w:rightChars="-3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从业人员</w:t>
            </w:r>
          </w:p>
          <w:p w14:paraId="638FE9D9">
            <w:pPr>
              <w:ind w:left="-48" w:leftChars="-23" w:right="-65" w:rightChars="-3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(人)</w:t>
            </w:r>
          </w:p>
        </w:tc>
        <w:tc>
          <w:tcPr>
            <w:tcW w:w="834" w:type="dxa"/>
            <w:noWrap w:val="0"/>
            <w:vAlign w:val="center"/>
          </w:tcPr>
          <w:p w14:paraId="55E77D01">
            <w:pPr>
              <w:ind w:left="-48" w:leftChars="-23" w:right="-65" w:rightChars="-3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总资产</w:t>
            </w:r>
          </w:p>
          <w:p w14:paraId="330AC5E4">
            <w:pPr>
              <w:ind w:left="-48" w:leftChars="-23" w:right="-65" w:rightChars="-3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(万元)</w:t>
            </w:r>
          </w:p>
        </w:tc>
      </w:tr>
      <w:tr w14:paraId="5A90B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479" w:type="dxa"/>
            <w:noWrap w:val="0"/>
            <w:vAlign w:val="center"/>
          </w:tcPr>
          <w:p w14:paraId="121DF238">
            <w:pPr>
              <w:ind w:left="-107" w:leftChars="-51" w:right="-107" w:rightChars="-5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w:t>
            </w:r>
          </w:p>
        </w:tc>
        <w:tc>
          <w:tcPr>
            <w:tcW w:w="1914" w:type="dxa"/>
            <w:noWrap w:val="0"/>
            <w:vAlign w:val="center"/>
          </w:tcPr>
          <w:p w14:paraId="2749EA99">
            <w:pPr>
              <w:ind w:left="-27" w:leftChars="-13" w:right="-65" w:rightChars="-3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农、林、牧、渔业</w:t>
            </w:r>
          </w:p>
        </w:tc>
        <w:tc>
          <w:tcPr>
            <w:tcW w:w="1174" w:type="dxa"/>
            <w:noWrap w:val="0"/>
            <w:vAlign w:val="center"/>
          </w:tcPr>
          <w:p w14:paraId="08DB4E31">
            <w:pPr>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≥20000</w:t>
            </w:r>
          </w:p>
        </w:tc>
        <w:tc>
          <w:tcPr>
            <w:tcW w:w="1086" w:type="dxa"/>
            <w:noWrap w:val="0"/>
            <w:vAlign w:val="center"/>
          </w:tcPr>
          <w:p w14:paraId="56D08A0B">
            <w:pPr>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921" w:type="dxa"/>
            <w:noWrap w:val="0"/>
            <w:vAlign w:val="center"/>
          </w:tcPr>
          <w:p w14:paraId="406C8CF3">
            <w:pPr>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086" w:type="dxa"/>
            <w:noWrap w:val="0"/>
            <w:vAlign w:val="center"/>
          </w:tcPr>
          <w:p w14:paraId="02583FFC">
            <w:pPr>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≥500</w:t>
            </w:r>
          </w:p>
        </w:tc>
        <w:tc>
          <w:tcPr>
            <w:tcW w:w="1074" w:type="dxa"/>
            <w:noWrap w:val="0"/>
            <w:vAlign w:val="center"/>
          </w:tcPr>
          <w:p w14:paraId="615BD6CE">
            <w:pPr>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978" w:type="dxa"/>
            <w:noWrap w:val="0"/>
            <w:vAlign w:val="center"/>
          </w:tcPr>
          <w:p w14:paraId="6436FE9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086" w:type="dxa"/>
            <w:noWrap w:val="0"/>
            <w:vAlign w:val="center"/>
          </w:tcPr>
          <w:p w14:paraId="03A4C04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w:t>
            </w:r>
          </w:p>
        </w:tc>
        <w:tc>
          <w:tcPr>
            <w:tcW w:w="1141" w:type="dxa"/>
            <w:noWrap w:val="0"/>
            <w:vAlign w:val="center"/>
          </w:tcPr>
          <w:p w14:paraId="191A66A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984" w:type="dxa"/>
            <w:noWrap w:val="0"/>
            <w:vAlign w:val="center"/>
          </w:tcPr>
          <w:p w14:paraId="373E59A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086" w:type="dxa"/>
            <w:noWrap w:val="0"/>
            <w:vAlign w:val="center"/>
          </w:tcPr>
          <w:p w14:paraId="45344B4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w:t>
            </w:r>
          </w:p>
        </w:tc>
        <w:tc>
          <w:tcPr>
            <w:tcW w:w="1090" w:type="dxa"/>
            <w:noWrap w:val="0"/>
            <w:vAlign w:val="center"/>
          </w:tcPr>
          <w:p w14:paraId="25BC1FF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834" w:type="dxa"/>
            <w:noWrap w:val="0"/>
            <w:vAlign w:val="center"/>
          </w:tcPr>
          <w:p w14:paraId="117DD62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55D5E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479" w:type="dxa"/>
            <w:shd w:val="clear" w:color="auto" w:fill="FFFF00"/>
            <w:noWrap w:val="0"/>
            <w:vAlign w:val="center"/>
          </w:tcPr>
          <w:p w14:paraId="2FB48455">
            <w:pPr>
              <w:ind w:left="-107" w:leftChars="-51" w:right="-107" w:rightChars="-51"/>
              <w:jc w:val="center"/>
              <w:rPr>
                <w:rFonts w:hint="eastAsia" w:ascii="宋体" w:hAnsi="宋体" w:eastAsia="宋体" w:cs="宋体"/>
                <w:b/>
                <w:color w:val="auto"/>
                <w:sz w:val="21"/>
                <w:szCs w:val="21"/>
                <w:highlight w:val="yellow"/>
              </w:rPr>
            </w:pPr>
            <w:r>
              <w:rPr>
                <w:rFonts w:hint="eastAsia" w:ascii="宋体" w:hAnsi="宋体" w:eastAsia="宋体" w:cs="宋体"/>
                <w:b/>
                <w:color w:val="auto"/>
                <w:sz w:val="21"/>
                <w:szCs w:val="21"/>
                <w:highlight w:val="yellow"/>
              </w:rPr>
              <w:t>2</w:t>
            </w:r>
          </w:p>
        </w:tc>
        <w:tc>
          <w:tcPr>
            <w:tcW w:w="1914" w:type="dxa"/>
            <w:shd w:val="clear" w:color="auto" w:fill="FFFF00"/>
            <w:noWrap w:val="0"/>
            <w:vAlign w:val="center"/>
          </w:tcPr>
          <w:p w14:paraId="12D360B4">
            <w:pPr>
              <w:ind w:left="-27" w:leftChars="-13" w:right="-65" w:rightChars="-31"/>
              <w:rPr>
                <w:rFonts w:hint="eastAsia" w:ascii="宋体" w:hAnsi="宋体" w:eastAsia="宋体" w:cs="宋体"/>
                <w:b/>
                <w:color w:val="auto"/>
                <w:sz w:val="21"/>
                <w:szCs w:val="21"/>
                <w:highlight w:val="yellow"/>
              </w:rPr>
            </w:pPr>
            <w:r>
              <w:rPr>
                <w:rFonts w:hint="eastAsia" w:ascii="宋体" w:hAnsi="宋体" w:eastAsia="宋体" w:cs="宋体"/>
                <w:b/>
                <w:color w:val="auto"/>
                <w:sz w:val="21"/>
                <w:szCs w:val="21"/>
                <w:highlight w:val="yellow"/>
              </w:rPr>
              <w:t>工业</w:t>
            </w:r>
          </w:p>
        </w:tc>
        <w:tc>
          <w:tcPr>
            <w:tcW w:w="1174" w:type="dxa"/>
            <w:shd w:val="clear" w:color="auto" w:fill="FFFF00"/>
            <w:noWrap w:val="0"/>
            <w:vAlign w:val="center"/>
          </w:tcPr>
          <w:p w14:paraId="7C259556">
            <w:pPr>
              <w:ind w:left="-107" w:leftChars="-51" w:right="-107" w:rightChars="-51"/>
              <w:jc w:val="center"/>
              <w:rPr>
                <w:rFonts w:hint="eastAsia" w:ascii="宋体" w:hAnsi="宋体" w:eastAsia="宋体" w:cs="宋体"/>
                <w:color w:val="auto"/>
                <w:sz w:val="21"/>
                <w:szCs w:val="21"/>
                <w:highlight w:val="yellow"/>
              </w:rPr>
            </w:pPr>
            <w:r>
              <w:rPr>
                <w:rFonts w:hint="eastAsia" w:ascii="宋体" w:hAnsi="宋体" w:eastAsia="宋体" w:cs="宋体"/>
                <w:color w:val="auto"/>
                <w:sz w:val="21"/>
                <w:szCs w:val="21"/>
                <w:highlight w:val="yellow"/>
              </w:rPr>
              <w:t>≥40000</w:t>
            </w:r>
          </w:p>
        </w:tc>
        <w:tc>
          <w:tcPr>
            <w:tcW w:w="1086" w:type="dxa"/>
            <w:shd w:val="clear" w:color="auto" w:fill="FFFF00"/>
            <w:noWrap w:val="0"/>
            <w:vAlign w:val="center"/>
          </w:tcPr>
          <w:p w14:paraId="54FC045C">
            <w:pPr>
              <w:ind w:left="-107" w:leftChars="-51" w:right="-107" w:rightChars="-51"/>
              <w:jc w:val="center"/>
              <w:rPr>
                <w:rFonts w:hint="eastAsia" w:ascii="宋体" w:hAnsi="宋体" w:eastAsia="宋体" w:cs="宋体"/>
                <w:color w:val="auto"/>
                <w:sz w:val="21"/>
                <w:szCs w:val="21"/>
                <w:highlight w:val="yellow"/>
              </w:rPr>
            </w:pPr>
            <w:r>
              <w:rPr>
                <w:rFonts w:hint="eastAsia" w:ascii="宋体" w:hAnsi="宋体" w:eastAsia="宋体" w:cs="宋体"/>
                <w:color w:val="auto"/>
                <w:sz w:val="21"/>
                <w:szCs w:val="21"/>
                <w:highlight w:val="yellow"/>
              </w:rPr>
              <w:t>≥1000</w:t>
            </w:r>
          </w:p>
        </w:tc>
        <w:tc>
          <w:tcPr>
            <w:tcW w:w="921" w:type="dxa"/>
            <w:shd w:val="clear" w:color="auto" w:fill="FFFF00"/>
            <w:noWrap w:val="0"/>
            <w:vAlign w:val="center"/>
          </w:tcPr>
          <w:p w14:paraId="773CF8DA">
            <w:pPr>
              <w:ind w:left="-107" w:leftChars="-51" w:right="-107" w:rightChars="-51"/>
              <w:jc w:val="center"/>
              <w:rPr>
                <w:rFonts w:hint="eastAsia" w:ascii="宋体" w:hAnsi="宋体" w:eastAsia="宋体" w:cs="宋体"/>
                <w:color w:val="auto"/>
                <w:sz w:val="21"/>
                <w:szCs w:val="21"/>
                <w:highlight w:val="yellow"/>
              </w:rPr>
            </w:pPr>
            <w:r>
              <w:rPr>
                <w:rFonts w:hint="eastAsia" w:ascii="宋体" w:hAnsi="宋体" w:eastAsia="宋体" w:cs="宋体"/>
                <w:color w:val="auto"/>
                <w:sz w:val="21"/>
                <w:szCs w:val="21"/>
                <w:highlight w:val="yellow"/>
              </w:rPr>
              <w:t>　</w:t>
            </w:r>
          </w:p>
        </w:tc>
        <w:tc>
          <w:tcPr>
            <w:tcW w:w="1086" w:type="dxa"/>
            <w:shd w:val="clear" w:color="auto" w:fill="FFFF00"/>
            <w:noWrap w:val="0"/>
            <w:vAlign w:val="center"/>
          </w:tcPr>
          <w:p w14:paraId="71E26AFF">
            <w:pPr>
              <w:ind w:left="-107" w:leftChars="-51" w:right="-107" w:rightChars="-51"/>
              <w:jc w:val="center"/>
              <w:rPr>
                <w:rFonts w:hint="eastAsia" w:ascii="宋体" w:hAnsi="宋体" w:eastAsia="宋体" w:cs="宋体"/>
                <w:color w:val="auto"/>
                <w:sz w:val="21"/>
                <w:szCs w:val="21"/>
                <w:highlight w:val="yellow"/>
              </w:rPr>
            </w:pPr>
            <w:r>
              <w:rPr>
                <w:rFonts w:hint="eastAsia" w:ascii="宋体" w:hAnsi="宋体" w:eastAsia="宋体" w:cs="宋体"/>
                <w:color w:val="auto"/>
                <w:sz w:val="21"/>
                <w:szCs w:val="21"/>
                <w:highlight w:val="yellow"/>
              </w:rPr>
              <w:t>≥2000</w:t>
            </w:r>
          </w:p>
        </w:tc>
        <w:tc>
          <w:tcPr>
            <w:tcW w:w="1074" w:type="dxa"/>
            <w:shd w:val="clear" w:color="auto" w:fill="FFFF00"/>
            <w:noWrap w:val="0"/>
            <w:vAlign w:val="center"/>
          </w:tcPr>
          <w:p w14:paraId="62CE4ACA">
            <w:pPr>
              <w:ind w:left="-107" w:leftChars="-51" w:right="-107" w:rightChars="-51"/>
              <w:jc w:val="center"/>
              <w:rPr>
                <w:rFonts w:hint="eastAsia" w:ascii="宋体" w:hAnsi="宋体" w:eastAsia="宋体" w:cs="宋体"/>
                <w:color w:val="auto"/>
                <w:sz w:val="21"/>
                <w:szCs w:val="21"/>
                <w:highlight w:val="yellow"/>
              </w:rPr>
            </w:pPr>
            <w:r>
              <w:rPr>
                <w:rFonts w:hint="eastAsia" w:ascii="宋体" w:hAnsi="宋体" w:eastAsia="宋体" w:cs="宋体"/>
                <w:color w:val="auto"/>
                <w:sz w:val="21"/>
                <w:szCs w:val="21"/>
                <w:highlight w:val="yellow"/>
              </w:rPr>
              <w:t>≥300</w:t>
            </w:r>
          </w:p>
        </w:tc>
        <w:tc>
          <w:tcPr>
            <w:tcW w:w="978" w:type="dxa"/>
            <w:shd w:val="clear" w:color="auto" w:fill="FFFF00"/>
            <w:noWrap w:val="0"/>
            <w:vAlign w:val="center"/>
          </w:tcPr>
          <w:p w14:paraId="36E7CEDB">
            <w:pPr>
              <w:jc w:val="center"/>
              <w:rPr>
                <w:rFonts w:hint="eastAsia" w:ascii="宋体" w:hAnsi="宋体" w:eastAsia="宋体" w:cs="宋体"/>
                <w:color w:val="auto"/>
                <w:sz w:val="21"/>
                <w:szCs w:val="21"/>
                <w:highlight w:val="yellow"/>
              </w:rPr>
            </w:pPr>
            <w:r>
              <w:rPr>
                <w:rFonts w:hint="eastAsia" w:ascii="宋体" w:hAnsi="宋体" w:eastAsia="宋体" w:cs="宋体"/>
                <w:color w:val="auto"/>
                <w:sz w:val="21"/>
                <w:szCs w:val="21"/>
                <w:highlight w:val="yellow"/>
              </w:rPr>
              <w:t>　</w:t>
            </w:r>
          </w:p>
        </w:tc>
        <w:tc>
          <w:tcPr>
            <w:tcW w:w="1086" w:type="dxa"/>
            <w:shd w:val="clear" w:color="auto" w:fill="FFFF00"/>
            <w:noWrap w:val="0"/>
            <w:vAlign w:val="center"/>
          </w:tcPr>
          <w:p w14:paraId="1717F809">
            <w:pPr>
              <w:jc w:val="center"/>
              <w:rPr>
                <w:rFonts w:hint="eastAsia" w:ascii="宋体" w:hAnsi="宋体" w:eastAsia="宋体" w:cs="宋体"/>
                <w:color w:val="auto"/>
                <w:sz w:val="21"/>
                <w:szCs w:val="21"/>
                <w:highlight w:val="yellow"/>
              </w:rPr>
            </w:pPr>
            <w:r>
              <w:rPr>
                <w:rFonts w:hint="eastAsia" w:ascii="宋体" w:hAnsi="宋体" w:eastAsia="宋体" w:cs="宋体"/>
                <w:color w:val="auto"/>
                <w:sz w:val="21"/>
                <w:szCs w:val="21"/>
                <w:highlight w:val="yellow"/>
              </w:rPr>
              <w:t>≥300</w:t>
            </w:r>
          </w:p>
        </w:tc>
        <w:tc>
          <w:tcPr>
            <w:tcW w:w="1141" w:type="dxa"/>
            <w:shd w:val="clear" w:color="auto" w:fill="FFFF00"/>
            <w:noWrap w:val="0"/>
            <w:vAlign w:val="center"/>
          </w:tcPr>
          <w:p w14:paraId="1895BE2A">
            <w:pPr>
              <w:jc w:val="center"/>
              <w:rPr>
                <w:rFonts w:hint="eastAsia" w:ascii="宋体" w:hAnsi="宋体" w:eastAsia="宋体" w:cs="宋体"/>
                <w:color w:val="auto"/>
                <w:sz w:val="21"/>
                <w:szCs w:val="21"/>
                <w:highlight w:val="yellow"/>
              </w:rPr>
            </w:pPr>
            <w:r>
              <w:rPr>
                <w:rFonts w:hint="eastAsia" w:ascii="宋体" w:hAnsi="宋体" w:eastAsia="宋体" w:cs="宋体"/>
                <w:color w:val="auto"/>
                <w:sz w:val="21"/>
                <w:szCs w:val="21"/>
                <w:highlight w:val="yellow"/>
              </w:rPr>
              <w:t>≥20</w:t>
            </w:r>
          </w:p>
        </w:tc>
        <w:tc>
          <w:tcPr>
            <w:tcW w:w="984" w:type="dxa"/>
            <w:shd w:val="clear" w:color="auto" w:fill="FFFF00"/>
            <w:noWrap w:val="0"/>
            <w:vAlign w:val="center"/>
          </w:tcPr>
          <w:p w14:paraId="5AA8CD0C">
            <w:pPr>
              <w:jc w:val="center"/>
              <w:rPr>
                <w:rFonts w:hint="eastAsia" w:ascii="宋体" w:hAnsi="宋体" w:eastAsia="宋体" w:cs="宋体"/>
                <w:color w:val="auto"/>
                <w:sz w:val="21"/>
                <w:szCs w:val="21"/>
                <w:highlight w:val="yellow"/>
              </w:rPr>
            </w:pPr>
            <w:r>
              <w:rPr>
                <w:rFonts w:hint="eastAsia" w:ascii="宋体" w:hAnsi="宋体" w:eastAsia="宋体" w:cs="宋体"/>
                <w:color w:val="auto"/>
                <w:sz w:val="21"/>
                <w:szCs w:val="21"/>
                <w:highlight w:val="yellow"/>
              </w:rPr>
              <w:t>　</w:t>
            </w:r>
          </w:p>
        </w:tc>
        <w:tc>
          <w:tcPr>
            <w:tcW w:w="1086" w:type="dxa"/>
            <w:shd w:val="clear" w:color="auto" w:fill="FFFF00"/>
            <w:noWrap w:val="0"/>
            <w:vAlign w:val="center"/>
          </w:tcPr>
          <w:p w14:paraId="784F9986">
            <w:pPr>
              <w:jc w:val="center"/>
              <w:rPr>
                <w:rFonts w:hint="eastAsia" w:ascii="宋体" w:hAnsi="宋体" w:eastAsia="宋体" w:cs="宋体"/>
                <w:color w:val="auto"/>
                <w:sz w:val="21"/>
                <w:szCs w:val="21"/>
                <w:highlight w:val="yellow"/>
              </w:rPr>
            </w:pPr>
            <w:r>
              <w:rPr>
                <w:rFonts w:hint="eastAsia" w:ascii="宋体" w:hAnsi="宋体" w:eastAsia="宋体" w:cs="宋体"/>
                <w:color w:val="auto"/>
                <w:sz w:val="21"/>
                <w:szCs w:val="21"/>
                <w:highlight w:val="yellow"/>
              </w:rPr>
              <w:t>＜300</w:t>
            </w:r>
          </w:p>
        </w:tc>
        <w:tc>
          <w:tcPr>
            <w:tcW w:w="1090" w:type="dxa"/>
            <w:shd w:val="clear" w:color="auto" w:fill="FFFF00"/>
            <w:noWrap w:val="0"/>
            <w:vAlign w:val="center"/>
          </w:tcPr>
          <w:p w14:paraId="5E369ED8">
            <w:pPr>
              <w:jc w:val="center"/>
              <w:rPr>
                <w:rFonts w:hint="eastAsia" w:ascii="宋体" w:hAnsi="宋体" w:eastAsia="宋体" w:cs="宋体"/>
                <w:color w:val="auto"/>
                <w:sz w:val="21"/>
                <w:szCs w:val="21"/>
                <w:highlight w:val="yellow"/>
              </w:rPr>
            </w:pPr>
            <w:r>
              <w:rPr>
                <w:rFonts w:hint="eastAsia" w:ascii="宋体" w:hAnsi="宋体" w:eastAsia="宋体" w:cs="宋体"/>
                <w:color w:val="auto"/>
                <w:sz w:val="21"/>
                <w:szCs w:val="21"/>
                <w:highlight w:val="yellow"/>
              </w:rPr>
              <w:t>＜20</w:t>
            </w:r>
          </w:p>
        </w:tc>
        <w:tc>
          <w:tcPr>
            <w:tcW w:w="834" w:type="dxa"/>
            <w:shd w:val="clear" w:color="auto" w:fill="FFFF00"/>
            <w:noWrap w:val="0"/>
            <w:vAlign w:val="center"/>
          </w:tcPr>
          <w:p w14:paraId="079D068A">
            <w:pPr>
              <w:jc w:val="center"/>
              <w:rPr>
                <w:rFonts w:hint="eastAsia" w:ascii="宋体" w:hAnsi="宋体" w:eastAsia="宋体" w:cs="宋体"/>
                <w:color w:val="auto"/>
                <w:sz w:val="21"/>
                <w:szCs w:val="21"/>
                <w:highlight w:val="yellow"/>
              </w:rPr>
            </w:pPr>
            <w:r>
              <w:rPr>
                <w:rFonts w:hint="eastAsia" w:ascii="宋体" w:hAnsi="宋体" w:eastAsia="宋体" w:cs="宋体"/>
                <w:color w:val="auto"/>
                <w:sz w:val="21"/>
                <w:szCs w:val="21"/>
                <w:highlight w:val="yellow"/>
              </w:rPr>
              <w:t>　</w:t>
            </w:r>
          </w:p>
        </w:tc>
      </w:tr>
      <w:tr w14:paraId="21FBA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479" w:type="dxa"/>
            <w:noWrap w:val="0"/>
            <w:vAlign w:val="center"/>
          </w:tcPr>
          <w:p w14:paraId="413A3DED">
            <w:pPr>
              <w:ind w:left="-107" w:leftChars="-51" w:right="-107" w:rightChars="-5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w:t>
            </w:r>
          </w:p>
        </w:tc>
        <w:tc>
          <w:tcPr>
            <w:tcW w:w="1914" w:type="dxa"/>
            <w:noWrap w:val="0"/>
            <w:vAlign w:val="center"/>
          </w:tcPr>
          <w:p w14:paraId="131C52A6">
            <w:pPr>
              <w:ind w:left="-27" w:leftChars="-13" w:right="-65" w:rightChars="-3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建筑业</w:t>
            </w:r>
          </w:p>
        </w:tc>
        <w:tc>
          <w:tcPr>
            <w:tcW w:w="1174" w:type="dxa"/>
            <w:noWrap w:val="0"/>
            <w:vAlign w:val="center"/>
          </w:tcPr>
          <w:p w14:paraId="59AB75C5">
            <w:pPr>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≥80000</w:t>
            </w:r>
          </w:p>
        </w:tc>
        <w:tc>
          <w:tcPr>
            <w:tcW w:w="1086" w:type="dxa"/>
            <w:noWrap w:val="0"/>
            <w:vAlign w:val="center"/>
          </w:tcPr>
          <w:p w14:paraId="70FFF518">
            <w:pPr>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921" w:type="dxa"/>
            <w:noWrap w:val="0"/>
            <w:vAlign w:val="center"/>
          </w:tcPr>
          <w:p w14:paraId="723BD24D">
            <w:pPr>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≥80000</w:t>
            </w:r>
          </w:p>
        </w:tc>
        <w:tc>
          <w:tcPr>
            <w:tcW w:w="1086" w:type="dxa"/>
            <w:noWrap w:val="0"/>
            <w:vAlign w:val="center"/>
          </w:tcPr>
          <w:p w14:paraId="4C9C2DF1">
            <w:pPr>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≥6000</w:t>
            </w:r>
          </w:p>
        </w:tc>
        <w:tc>
          <w:tcPr>
            <w:tcW w:w="1074" w:type="dxa"/>
            <w:noWrap w:val="0"/>
            <w:vAlign w:val="center"/>
          </w:tcPr>
          <w:p w14:paraId="5F6C7B06">
            <w:pPr>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978" w:type="dxa"/>
            <w:noWrap w:val="0"/>
            <w:vAlign w:val="center"/>
          </w:tcPr>
          <w:p w14:paraId="4A75451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≥5000</w:t>
            </w:r>
          </w:p>
        </w:tc>
        <w:tc>
          <w:tcPr>
            <w:tcW w:w="1086" w:type="dxa"/>
            <w:noWrap w:val="0"/>
            <w:vAlign w:val="center"/>
          </w:tcPr>
          <w:p w14:paraId="1F14DA2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≥300</w:t>
            </w:r>
          </w:p>
        </w:tc>
        <w:tc>
          <w:tcPr>
            <w:tcW w:w="1141" w:type="dxa"/>
            <w:noWrap w:val="0"/>
            <w:vAlign w:val="center"/>
          </w:tcPr>
          <w:p w14:paraId="1817714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984" w:type="dxa"/>
            <w:noWrap w:val="0"/>
            <w:vAlign w:val="center"/>
          </w:tcPr>
          <w:p w14:paraId="741B013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≥300</w:t>
            </w:r>
          </w:p>
        </w:tc>
        <w:tc>
          <w:tcPr>
            <w:tcW w:w="1086" w:type="dxa"/>
            <w:noWrap w:val="0"/>
            <w:vAlign w:val="center"/>
          </w:tcPr>
          <w:p w14:paraId="6A2DC3A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＜300</w:t>
            </w:r>
          </w:p>
        </w:tc>
        <w:tc>
          <w:tcPr>
            <w:tcW w:w="1090" w:type="dxa"/>
            <w:noWrap w:val="0"/>
            <w:vAlign w:val="center"/>
          </w:tcPr>
          <w:p w14:paraId="4BBBC81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834" w:type="dxa"/>
            <w:noWrap w:val="0"/>
            <w:vAlign w:val="center"/>
          </w:tcPr>
          <w:p w14:paraId="02E0B8F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＜300</w:t>
            </w:r>
          </w:p>
        </w:tc>
      </w:tr>
      <w:tr w14:paraId="56EB8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479" w:type="dxa"/>
            <w:noWrap w:val="0"/>
            <w:vAlign w:val="center"/>
          </w:tcPr>
          <w:p w14:paraId="0CED7AB8">
            <w:pPr>
              <w:ind w:left="-107" w:leftChars="-51" w:right="-107" w:rightChars="-5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w:t>
            </w:r>
          </w:p>
        </w:tc>
        <w:tc>
          <w:tcPr>
            <w:tcW w:w="1914" w:type="dxa"/>
            <w:noWrap w:val="0"/>
            <w:vAlign w:val="center"/>
          </w:tcPr>
          <w:p w14:paraId="4D25D17F">
            <w:pPr>
              <w:ind w:left="-27" w:leftChars="-13" w:right="-65" w:rightChars="-3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批发业</w:t>
            </w:r>
          </w:p>
        </w:tc>
        <w:tc>
          <w:tcPr>
            <w:tcW w:w="1174" w:type="dxa"/>
            <w:noWrap w:val="0"/>
            <w:vAlign w:val="center"/>
          </w:tcPr>
          <w:p w14:paraId="125784E2">
            <w:pPr>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≥40000</w:t>
            </w:r>
          </w:p>
        </w:tc>
        <w:tc>
          <w:tcPr>
            <w:tcW w:w="1086" w:type="dxa"/>
            <w:noWrap w:val="0"/>
            <w:vAlign w:val="center"/>
          </w:tcPr>
          <w:p w14:paraId="0441A6C5">
            <w:pPr>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w:t>
            </w:r>
          </w:p>
        </w:tc>
        <w:tc>
          <w:tcPr>
            <w:tcW w:w="921" w:type="dxa"/>
            <w:noWrap w:val="0"/>
            <w:vAlign w:val="center"/>
          </w:tcPr>
          <w:p w14:paraId="255A212D">
            <w:pPr>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086" w:type="dxa"/>
            <w:noWrap w:val="0"/>
            <w:vAlign w:val="center"/>
          </w:tcPr>
          <w:p w14:paraId="204ED258">
            <w:pPr>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≥5000</w:t>
            </w:r>
          </w:p>
        </w:tc>
        <w:tc>
          <w:tcPr>
            <w:tcW w:w="1074" w:type="dxa"/>
            <w:noWrap w:val="0"/>
            <w:vAlign w:val="center"/>
          </w:tcPr>
          <w:p w14:paraId="713B1389">
            <w:pPr>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978" w:type="dxa"/>
            <w:noWrap w:val="0"/>
            <w:vAlign w:val="center"/>
          </w:tcPr>
          <w:p w14:paraId="06796B9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086" w:type="dxa"/>
            <w:noWrap w:val="0"/>
            <w:vAlign w:val="center"/>
          </w:tcPr>
          <w:p w14:paraId="0C621E2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≥1000</w:t>
            </w:r>
          </w:p>
        </w:tc>
        <w:tc>
          <w:tcPr>
            <w:tcW w:w="1141" w:type="dxa"/>
            <w:noWrap w:val="0"/>
            <w:vAlign w:val="center"/>
          </w:tcPr>
          <w:p w14:paraId="39A5525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984" w:type="dxa"/>
            <w:noWrap w:val="0"/>
            <w:vAlign w:val="center"/>
          </w:tcPr>
          <w:p w14:paraId="49C249E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086" w:type="dxa"/>
            <w:noWrap w:val="0"/>
            <w:vAlign w:val="center"/>
          </w:tcPr>
          <w:p w14:paraId="59FCB24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＜1000</w:t>
            </w:r>
          </w:p>
        </w:tc>
        <w:tc>
          <w:tcPr>
            <w:tcW w:w="1090" w:type="dxa"/>
            <w:noWrap w:val="0"/>
            <w:vAlign w:val="center"/>
          </w:tcPr>
          <w:p w14:paraId="59D93E7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834" w:type="dxa"/>
            <w:noWrap w:val="0"/>
            <w:vAlign w:val="center"/>
          </w:tcPr>
          <w:p w14:paraId="40D843E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717AC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479" w:type="dxa"/>
            <w:noWrap w:val="0"/>
            <w:vAlign w:val="center"/>
          </w:tcPr>
          <w:p w14:paraId="0DC50F1E">
            <w:pPr>
              <w:ind w:left="-107" w:leftChars="-51" w:right="-107" w:rightChars="-5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5</w:t>
            </w:r>
          </w:p>
        </w:tc>
        <w:tc>
          <w:tcPr>
            <w:tcW w:w="1914" w:type="dxa"/>
            <w:noWrap w:val="0"/>
            <w:vAlign w:val="center"/>
          </w:tcPr>
          <w:p w14:paraId="7BFDC77D">
            <w:pPr>
              <w:ind w:left="-27" w:leftChars="-13" w:right="-65" w:rightChars="-3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零售业</w:t>
            </w:r>
          </w:p>
        </w:tc>
        <w:tc>
          <w:tcPr>
            <w:tcW w:w="1174" w:type="dxa"/>
            <w:noWrap w:val="0"/>
            <w:vAlign w:val="center"/>
          </w:tcPr>
          <w:p w14:paraId="5263D31F">
            <w:pPr>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≥20000</w:t>
            </w:r>
          </w:p>
        </w:tc>
        <w:tc>
          <w:tcPr>
            <w:tcW w:w="1086" w:type="dxa"/>
            <w:noWrap w:val="0"/>
            <w:vAlign w:val="center"/>
          </w:tcPr>
          <w:p w14:paraId="5D304661">
            <w:pPr>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≥300</w:t>
            </w:r>
          </w:p>
        </w:tc>
        <w:tc>
          <w:tcPr>
            <w:tcW w:w="921" w:type="dxa"/>
            <w:noWrap w:val="0"/>
            <w:vAlign w:val="center"/>
          </w:tcPr>
          <w:p w14:paraId="45192A47">
            <w:pPr>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086" w:type="dxa"/>
            <w:noWrap w:val="0"/>
            <w:vAlign w:val="center"/>
          </w:tcPr>
          <w:p w14:paraId="0DF8E24A">
            <w:pPr>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≥500</w:t>
            </w:r>
          </w:p>
        </w:tc>
        <w:tc>
          <w:tcPr>
            <w:tcW w:w="1074" w:type="dxa"/>
            <w:noWrap w:val="0"/>
            <w:vAlign w:val="center"/>
          </w:tcPr>
          <w:p w14:paraId="2714A557">
            <w:pPr>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w:t>
            </w:r>
          </w:p>
        </w:tc>
        <w:tc>
          <w:tcPr>
            <w:tcW w:w="978" w:type="dxa"/>
            <w:noWrap w:val="0"/>
            <w:vAlign w:val="center"/>
          </w:tcPr>
          <w:p w14:paraId="7C3435D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086" w:type="dxa"/>
            <w:noWrap w:val="0"/>
            <w:vAlign w:val="center"/>
          </w:tcPr>
          <w:p w14:paraId="06B9B06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1141" w:type="dxa"/>
            <w:noWrap w:val="0"/>
            <w:vAlign w:val="center"/>
          </w:tcPr>
          <w:p w14:paraId="74FC649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984" w:type="dxa"/>
            <w:noWrap w:val="0"/>
            <w:vAlign w:val="center"/>
          </w:tcPr>
          <w:p w14:paraId="3BD5C72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086" w:type="dxa"/>
            <w:noWrap w:val="0"/>
            <w:vAlign w:val="center"/>
          </w:tcPr>
          <w:p w14:paraId="10633BD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1090" w:type="dxa"/>
            <w:noWrap w:val="0"/>
            <w:vAlign w:val="center"/>
          </w:tcPr>
          <w:p w14:paraId="22817FF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834" w:type="dxa"/>
            <w:noWrap w:val="0"/>
            <w:vAlign w:val="center"/>
          </w:tcPr>
          <w:p w14:paraId="116A0A6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0A264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479" w:type="dxa"/>
            <w:noWrap w:val="0"/>
            <w:vAlign w:val="center"/>
          </w:tcPr>
          <w:p w14:paraId="5689378A">
            <w:pPr>
              <w:ind w:left="-107" w:leftChars="-51" w:right="-107" w:rightChars="-5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6</w:t>
            </w:r>
          </w:p>
        </w:tc>
        <w:tc>
          <w:tcPr>
            <w:tcW w:w="1914" w:type="dxa"/>
            <w:noWrap w:val="0"/>
            <w:vAlign w:val="center"/>
          </w:tcPr>
          <w:p w14:paraId="1A012D88">
            <w:pPr>
              <w:ind w:left="-27" w:leftChars="-13" w:right="-65" w:rightChars="-3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交通运输业</w:t>
            </w:r>
          </w:p>
        </w:tc>
        <w:tc>
          <w:tcPr>
            <w:tcW w:w="1174" w:type="dxa"/>
            <w:noWrap w:val="0"/>
            <w:vAlign w:val="center"/>
          </w:tcPr>
          <w:p w14:paraId="35722DCC">
            <w:pPr>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≥30000</w:t>
            </w:r>
          </w:p>
        </w:tc>
        <w:tc>
          <w:tcPr>
            <w:tcW w:w="1086" w:type="dxa"/>
            <w:noWrap w:val="0"/>
            <w:vAlign w:val="center"/>
          </w:tcPr>
          <w:p w14:paraId="6892AC52">
            <w:pPr>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≥1000</w:t>
            </w:r>
          </w:p>
        </w:tc>
        <w:tc>
          <w:tcPr>
            <w:tcW w:w="921" w:type="dxa"/>
            <w:noWrap w:val="0"/>
            <w:vAlign w:val="center"/>
          </w:tcPr>
          <w:p w14:paraId="76F0D3D1">
            <w:pPr>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086" w:type="dxa"/>
            <w:noWrap w:val="0"/>
            <w:vAlign w:val="center"/>
          </w:tcPr>
          <w:p w14:paraId="096DFEC4">
            <w:pPr>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≥3000</w:t>
            </w:r>
          </w:p>
        </w:tc>
        <w:tc>
          <w:tcPr>
            <w:tcW w:w="1074" w:type="dxa"/>
            <w:noWrap w:val="0"/>
            <w:vAlign w:val="center"/>
          </w:tcPr>
          <w:p w14:paraId="1F19709D">
            <w:pPr>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≥300</w:t>
            </w:r>
          </w:p>
        </w:tc>
        <w:tc>
          <w:tcPr>
            <w:tcW w:w="978" w:type="dxa"/>
            <w:noWrap w:val="0"/>
            <w:vAlign w:val="center"/>
          </w:tcPr>
          <w:p w14:paraId="2F64A6A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086" w:type="dxa"/>
            <w:noWrap w:val="0"/>
            <w:vAlign w:val="center"/>
          </w:tcPr>
          <w:p w14:paraId="6DDDA5D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w:t>
            </w:r>
          </w:p>
        </w:tc>
        <w:tc>
          <w:tcPr>
            <w:tcW w:w="1141" w:type="dxa"/>
            <w:noWrap w:val="0"/>
            <w:vAlign w:val="center"/>
          </w:tcPr>
          <w:p w14:paraId="1097194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984" w:type="dxa"/>
            <w:noWrap w:val="0"/>
            <w:vAlign w:val="center"/>
          </w:tcPr>
          <w:p w14:paraId="76EAAC9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086" w:type="dxa"/>
            <w:noWrap w:val="0"/>
            <w:vAlign w:val="center"/>
          </w:tcPr>
          <w:p w14:paraId="2618619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w:t>
            </w:r>
          </w:p>
        </w:tc>
        <w:tc>
          <w:tcPr>
            <w:tcW w:w="1090" w:type="dxa"/>
            <w:noWrap w:val="0"/>
            <w:vAlign w:val="center"/>
          </w:tcPr>
          <w:p w14:paraId="7822207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834" w:type="dxa"/>
            <w:noWrap w:val="0"/>
            <w:vAlign w:val="center"/>
          </w:tcPr>
          <w:p w14:paraId="6F8DD77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4519B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479" w:type="dxa"/>
            <w:noWrap w:val="0"/>
            <w:vAlign w:val="center"/>
          </w:tcPr>
          <w:p w14:paraId="2E3F55F4">
            <w:pPr>
              <w:ind w:left="-107" w:leftChars="-51" w:right="-107" w:rightChars="-5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7</w:t>
            </w:r>
          </w:p>
        </w:tc>
        <w:tc>
          <w:tcPr>
            <w:tcW w:w="1914" w:type="dxa"/>
            <w:noWrap w:val="0"/>
            <w:vAlign w:val="center"/>
          </w:tcPr>
          <w:p w14:paraId="7506459C">
            <w:pPr>
              <w:ind w:left="-27" w:leftChars="-13" w:right="-65" w:rightChars="-3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仓储业</w:t>
            </w:r>
          </w:p>
        </w:tc>
        <w:tc>
          <w:tcPr>
            <w:tcW w:w="1174" w:type="dxa"/>
            <w:noWrap w:val="0"/>
            <w:vAlign w:val="center"/>
          </w:tcPr>
          <w:p w14:paraId="6D75CA5B">
            <w:pPr>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≥30000</w:t>
            </w:r>
          </w:p>
        </w:tc>
        <w:tc>
          <w:tcPr>
            <w:tcW w:w="1086" w:type="dxa"/>
            <w:noWrap w:val="0"/>
            <w:vAlign w:val="center"/>
          </w:tcPr>
          <w:p w14:paraId="136B99D3">
            <w:pPr>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w:t>
            </w:r>
          </w:p>
        </w:tc>
        <w:tc>
          <w:tcPr>
            <w:tcW w:w="921" w:type="dxa"/>
            <w:noWrap w:val="0"/>
            <w:vAlign w:val="center"/>
          </w:tcPr>
          <w:p w14:paraId="63A38B7A">
            <w:pPr>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086" w:type="dxa"/>
            <w:noWrap w:val="0"/>
            <w:vAlign w:val="center"/>
          </w:tcPr>
          <w:p w14:paraId="40B5ADC9">
            <w:pPr>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≥1000</w:t>
            </w:r>
          </w:p>
        </w:tc>
        <w:tc>
          <w:tcPr>
            <w:tcW w:w="1074" w:type="dxa"/>
            <w:noWrap w:val="0"/>
            <w:vAlign w:val="center"/>
          </w:tcPr>
          <w:p w14:paraId="5BBCC1E9">
            <w:pPr>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978" w:type="dxa"/>
            <w:noWrap w:val="0"/>
            <w:vAlign w:val="center"/>
          </w:tcPr>
          <w:p w14:paraId="48B12CF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086" w:type="dxa"/>
            <w:noWrap w:val="0"/>
            <w:vAlign w:val="center"/>
          </w:tcPr>
          <w:p w14:paraId="67847DB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1141" w:type="dxa"/>
            <w:noWrap w:val="0"/>
            <w:vAlign w:val="center"/>
          </w:tcPr>
          <w:p w14:paraId="47FDD5E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984" w:type="dxa"/>
            <w:noWrap w:val="0"/>
            <w:vAlign w:val="center"/>
          </w:tcPr>
          <w:p w14:paraId="020BDE1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086" w:type="dxa"/>
            <w:noWrap w:val="0"/>
            <w:vAlign w:val="center"/>
          </w:tcPr>
          <w:p w14:paraId="36531B3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1090" w:type="dxa"/>
            <w:noWrap w:val="0"/>
            <w:vAlign w:val="center"/>
          </w:tcPr>
          <w:p w14:paraId="5414481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834" w:type="dxa"/>
            <w:noWrap w:val="0"/>
            <w:vAlign w:val="center"/>
          </w:tcPr>
          <w:p w14:paraId="2D3665E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7902D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479" w:type="dxa"/>
            <w:noWrap w:val="0"/>
            <w:vAlign w:val="center"/>
          </w:tcPr>
          <w:p w14:paraId="27340B4D">
            <w:pPr>
              <w:ind w:left="-107" w:leftChars="-51" w:right="-107" w:rightChars="-5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8</w:t>
            </w:r>
          </w:p>
        </w:tc>
        <w:tc>
          <w:tcPr>
            <w:tcW w:w="1914" w:type="dxa"/>
            <w:noWrap w:val="0"/>
            <w:vAlign w:val="center"/>
          </w:tcPr>
          <w:p w14:paraId="28C78BCA">
            <w:pPr>
              <w:ind w:left="-27" w:leftChars="-13" w:right="-65" w:rightChars="-3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邮政业</w:t>
            </w:r>
          </w:p>
        </w:tc>
        <w:tc>
          <w:tcPr>
            <w:tcW w:w="1174" w:type="dxa"/>
            <w:noWrap w:val="0"/>
            <w:vAlign w:val="center"/>
          </w:tcPr>
          <w:p w14:paraId="2825EBE8">
            <w:pPr>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≥30000</w:t>
            </w:r>
          </w:p>
        </w:tc>
        <w:tc>
          <w:tcPr>
            <w:tcW w:w="1086" w:type="dxa"/>
            <w:noWrap w:val="0"/>
            <w:vAlign w:val="center"/>
          </w:tcPr>
          <w:p w14:paraId="5DAC6625">
            <w:pPr>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≥1000</w:t>
            </w:r>
          </w:p>
        </w:tc>
        <w:tc>
          <w:tcPr>
            <w:tcW w:w="921" w:type="dxa"/>
            <w:noWrap w:val="0"/>
            <w:vAlign w:val="center"/>
          </w:tcPr>
          <w:p w14:paraId="180155A6">
            <w:pPr>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086" w:type="dxa"/>
            <w:noWrap w:val="0"/>
            <w:vAlign w:val="center"/>
          </w:tcPr>
          <w:p w14:paraId="6F964BC1">
            <w:pPr>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≥2000</w:t>
            </w:r>
          </w:p>
        </w:tc>
        <w:tc>
          <w:tcPr>
            <w:tcW w:w="1074" w:type="dxa"/>
            <w:noWrap w:val="0"/>
            <w:vAlign w:val="center"/>
          </w:tcPr>
          <w:p w14:paraId="47E6EE07">
            <w:pPr>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≥300</w:t>
            </w:r>
          </w:p>
        </w:tc>
        <w:tc>
          <w:tcPr>
            <w:tcW w:w="978" w:type="dxa"/>
            <w:noWrap w:val="0"/>
            <w:vAlign w:val="center"/>
          </w:tcPr>
          <w:p w14:paraId="1989F7B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086" w:type="dxa"/>
            <w:noWrap w:val="0"/>
            <w:vAlign w:val="center"/>
          </w:tcPr>
          <w:p w14:paraId="2E76B96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1141" w:type="dxa"/>
            <w:noWrap w:val="0"/>
            <w:vAlign w:val="center"/>
          </w:tcPr>
          <w:p w14:paraId="71DCAAA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984" w:type="dxa"/>
            <w:noWrap w:val="0"/>
            <w:vAlign w:val="center"/>
          </w:tcPr>
          <w:p w14:paraId="1193508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086" w:type="dxa"/>
            <w:noWrap w:val="0"/>
            <w:vAlign w:val="center"/>
          </w:tcPr>
          <w:p w14:paraId="6EC8FF6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1090" w:type="dxa"/>
            <w:noWrap w:val="0"/>
            <w:vAlign w:val="center"/>
          </w:tcPr>
          <w:p w14:paraId="3CFC6A9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834" w:type="dxa"/>
            <w:noWrap w:val="0"/>
            <w:vAlign w:val="center"/>
          </w:tcPr>
          <w:p w14:paraId="1D685D6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0B31A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479" w:type="dxa"/>
            <w:noWrap w:val="0"/>
            <w:vAlign w:val="center"/>
          </w:tcPr>
          <w:p w14:paraId="47F59005">
            <w:pPr>
              <w:ind w:left="-107" w:leftChars="-51" w:right="-107" w:rightChars="-5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9</w:t>
            </w:r>
          </w:p>
        </w:tc>
        <w:tc>
          <w:tcPr>
            <w:tcW w:w="1914" w:type="dxa"/>
            <w:noWrap w:val="0"/>
            <w:vAlign w:val="center"/>
          </w:tcPr>
          <w:p w14:paraId="1B16C4E7">
            <w:pPr>
              <w:ind w:left="-27" w:leftChars="-13" w:right="-65" w:rightChars="-3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住宿业</w:t>
            </w:r>
          </w:p>
        </w:tc>
        <w:tc>
          <w:tcPr>
            <w:tcW w:w="1174" w:type="dxa"/>
            <w:noWrap w:val="0"/>
            <w:vAlign w:val="center"/>
          </w:tcPr>
          <w:p w14:paraId="3DC46AEC">
            <w:pPr>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≥10000</w:t>
            </w:r>
          </w:p>
        </w:tc>
        <w:tc>
          <w:tcPr>
            <w:tcW w:w="1086" w:type="dxa"/>
            <w:noWrap w:val="0"/>
            <w:vAlign w:val="center"/>
          </w:tcPr>
          <w:p w14:paraId="70477DD0">
            <w:pPr>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≥300</w:t>
            </w:r>
          </w:p>
        </w:tc>
        <w:tc>
          <w:tcPr>
            <w:tcW w:w="921" w:type="dxa"/>
            <w:noWrap w:val="0"/>
            <w:vAlign w:val="center"/>
          </w:tcPr>
          <w:p w14:paraId="415A3A1E">
            <w:pPr>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086" w:type="dxa"/>
            <w:noWrap w:val="0"/>
            <w:vAlign w:val="center"/>
          </w:tcPr>
          <w:p w14:paraId="388D928C">
            <w:pPr>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≥2000</w:t>
            </w:r>
          </w:p>
        </w:tc>
        <w:tc>
          <w:tcPr>
            <w:tcW w:w="1074" w:type="dxa"/>
            <w:noWrap w:val="0"/>
            <w:vAlign w:val="center"/>
          </w:tcPr>
          <w:p w14:paraId="1C71F588">
            <w:pPr>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978" w:type="dxa"/>
            <w:noWrap w:val="0"/>
            <w:vAlign w:val="center"/>
          </w:tcPr>
          <w:p w14:paraId="4F7ECE2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086" w:type="dxa"/>
            <w:noWrap w:val="0"/>
            <w:vAlign w:val="center"/>
          </w:tcPr>
          <w:p w14:paraId="377AAF1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1141" w:type="dxa"/>
            <w:noWrap w:val="0"/>
            <w:vAlign w:val="center"/>
          </w:tcPr>
          <w:p w14:paraId="0396483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984" w:type="dxa"/>
            <w:noWrap w:val="0"/>
            <w:vAlign w:val="center"/>
          </w:tcPr>
          <w:p w14:paraId="1538746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086" w:type="dxa"/>
            <w:noWrap w:val="0"/>
            <w:vAlign w:val="center"/>
          </w:tcPr>
          <w:p w14:paraId="3C1C21C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1090" w:type="dxa"/>
            <w:noWrap w:val="0"/>
            <w:vAlign w:val="center"/>
          </w:tcPr>
          <w:p w14:paraId="76105A6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834" w:type="dxa"/>
            <w:noWrap w:val="0"/>
            <w:vAlign w:val="center"/>
          </w:tcPr>
          <w:p w14:paraId="6FBA8AD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72656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 w:hRule="exact"/>
          <w:jc w:val="center"/>
        </w:trPr>
        <w:tc>
          <w:tcPr>
            <w:tcW w:w="479" w:type="dxa"/>
            <w:noWrap w:val="0"/>
            <w:vAlign w:val="center"/>
          </w:tcPr>
          <w:p w14:paraId="0188B3E0">
            <w:pPr>
              <w:ind w:left="-107" w:leftChars="-51" w:right="-107" w:rightChars="-5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10</w:t>
            </w:r>
          </w:p>
        </w:tc>
        <w:tc>
          <w:tcPr>
            <w:tcW w:w="1914" w:type="dxa"/>
            <w:noWrap w:val="0"/>
            <w:vAlign w:val="center"/>
          </w:tcPr>
          <w:p w14:paraId="14B2E50F">
            <w:pPr>
              <w:ind w:left="-27" w:leftChars="-13" w:right="-65" w:rightChars="-3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餐饮业</w:t>
            </w:r>
          </w:p>
        </w:tc>
        <w:tc>
          <w:tcPr>
            <w:tcW w:w="1174" w:type="dxa"/>
            <w:noWrap w:val="0"/>
            <w:vAlign w:val="center"/>
          </w:tcPr>
          <w:p w14:paraId="52553945">
            <w:pPr>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≥10000</w:t>
            </w:r>
          </w:p>
        </w:tc>
        <w:tc>
          <w:tcPr>
            <w:tcW w:w="1086" w:type="dxa"/>
            <w:noWrap w:val="0"/>
            <w:vAlign w:val="center"/>
          </w:tcPr>
          <w:p w14:paraId="3EBA47C0">
            <w:pPr>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≥300</w:t>
            </w:r>
          </w:p>
        </w:tc>
        <w:tc>
          <w:tcPr>
            <w:tcW w:w="921" w:type="dxa"/>
            <w:noWrap w:val="0"/>
            <w:vAlign w:val="center"/>
          </w:tcPr>
          <w:p w14:paraId="66DFD409">
            <w:pPr>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086" w:type="dxa"/>
            <w:noWrap w:val="0"/>
            <w:vAlign w:val="center"/>
          </w:tcPr>
          <w:p w14:paraId="7D5388CC">
            <w:pPr>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≥2000</w:t>
            </w:r>
          </w:p>
        </w:tc>
        <w:tc>
          <w:tcPr>
            <w:tcW w:w="1074" w:type="dxa"/>
            <w:noWrap w:val="0"/>
            <w:vAlign w:val="center"/>
          </w:tcPr>
          <w:p w14:paraId="0EDF61FF">
            <w:pPr>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978" w:type="dxa"/>
            <w:noWrap w:val="0"/>
            <w:vAlign w:val="center"/>
          </w:tcPr>
          <w:p w14:paraId="621D9F2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086" w:type="dxa"/>
            <w:noWrap w:val="0"/>
            <w:vAlign w:val="center"/>
          </w:tcPr>
          <w:p w14:paraId="180DB23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1141" w:type="dxa"/>
            <w:noWrap w:val="0"/>
            <w:vAlign w:val="center"/>
          </w:tcPr>
          <w:p w14:paraId="4F84B39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984" w:type="dxa"/>
            <w:noWrap w:val="0"/>
            <w:vAlign w:val="center"/>
          </w:tcPr>
          <w:p w14:paraId="5C671B7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086" w:type="dxa"/>
            <w:noWrap w:val="0"/>
            <w:vAlign w:val="center"/>
          </w:tcPr>
          <w:p w14:paraId="0CBAC76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1090" w:type="dxa"/>
            <w:noWrap w:val="0"/>
            <w:vAlign w:val="center"/>
          </w:tcPr>
          <w:p w14:paraId="60BE27A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834" w:type="dxa"/>
            <w:noWrap w:val="0"/>
            <w:vAlign w:val="center"/>
          </w:tcPr>
          <w:p w14:paraId="7F5D551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42F8F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479" w:type="dxa"/>
            <w:noWrap w:val="0"/>
            <w:vAlign w:val="center"/>
          </w:tcPr>
          <w:p w14:paraId="6BC0D0AB">
            <w:pPr>
              <w:ind w:left="-107" w:leftChars="-51" w:right="-107" w:rightChars="-5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11</w:t>
            </w:r>
          </w:p>
        </w:tc>
        <w:tc>
          <w:tcPr>
            <w:tcW w:w="1914" w:type="dxa"/>
            <w:noWrap w:val="0"/>
            <w:vAlign w:val="center"/>
          </w:tcPr>
          <w:p w14:paraId="6D746A3F">
            <w:pPr>
              <w:ind w:left="-27" w:leftChars="-13" w:right="-65" w:rightChars="-3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信息传输业</w:t>
            </w:r>
          </w:p>
        </w:tc>
        <w:tc>
          <w:tcPr>
            <w:tcW w:w="1174" w:type="dxa"/>
            <w:noWrap w:val="0"/>
            <w:vAlign w:val="center"/>
          </w:tcPr>
          <w:p w14:paraId="2B05DCDF">
            <w:pPr>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≥100000</w:t>
            </w:r>
          </w:p>
        </w:tc>
        <w:tc>
          <w:tcPr>
            <w:tcW w:w="1086" w:type="dxa"/>
            <w:noWrap w:val="0"/>
            <w:vAlign w:val="center"/>
          </w:tcPr>
          <w:p w14:paraId="012975A2">
            <w:pPr>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≥2000</w:t>
            </w:r>
          </w:p>
        </w:tc>
        <w:tc>
          <w:tcPr>
            <w:tcW w:w="921" w:type="dxa"/>
            <w:noWrap w:val="0"/>
            <w:vAlign w:val="center"/>
          </w:tcPr>
          <w:p w14:paraId="169F987B">
            <w:pPr>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086" w:type="dxa"/>
            <w:noWrap w:val="0"/>
            <w:vAlign w:val="center"/>
          </w:tcPr>
          <w:p w14:paraId="60CAB2A0">
            <w:pPr>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≥1000</w:t>
            </w:r>
          </w:p>
        </w:tc>
        <w:tc>
          <w:tcPr>
            <w:tcW w:w="1074" w:type="dxa"/>
            <w:noWrap w:val="0"/>
            <w:vAlign w:val="center"/>
          </w:tcPr>
          <w:p w14:paraId="28A6146F">
            <w:pPr>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978" w:type="dxa"/>
            <w:noWrap w:val="0"/>
            <w:vAlign w:val="center"/>
          </w:tcPr>
          <w:p w14:paraId="76DF43F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086" w:type="dxa"/>
            <w:noWrap w:val="0"/>
            <w:vAlign w:val="center"/>
          </w:tcPr>
          <w:p w14:paraId="4804E42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1141" w:type="dxa"/>
            <w:noWrap w:val="0"/>
            <w:vAlign w:val="center"/>
          </w:tcPr>
          <w:p w14:paraId="5818D99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984" w:type="dxa"/>
            <w:noWrap w:val="0"/>
            <w:vAlign w:val="center"/>
          </w:tcPr>
          <w:p w14:paraId="2435479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086" w:type="dxa"/>
            <w:noWrap w:val="0"/>
            <w:vAlign w:val="center"/>
          </w:tcPr>
          <w:p w14:paraId="2F6BF25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1090" w:type="dxa"/>
            <w:noWrap w:val="0"/>
            <w:vAlign w:val="center"/>
          </w:tcPr>
          <w:p w14:paraId="2D039B5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834" w:type="dxa"/>
            <w:noWrap w:val="0"/>
            <w:vAlign w:val="center"/>
          </w:tcPr>
          <w:p w14:paraId="7ABC391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38346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79" w:type="dxa"/>
            <w:noWrap w:val="0"/>
            <w:vAlign w:val="center"/>
          </w:tcPr>
          <w:p w14:paraId="6C9C2E23">
            <w:pPr>
              <w:ind w:left="-107" w:leftChars="-51" w:right="-107" w:rightChars="-5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12</w:t>
            </w:r>
          </w:p>
        </w:tc>
        <w:tc>
          <w:tcPr>
            <w:tcW w:w="1914" w:type="dxa"/>
            <w:noWrap w:val="0"/>
            <w:vAlign w:val="center"/>
          </w:tcPr>
          <w:p w14:paraId="4D369177">
            <w:pPr>
              <w:ind w:left="-27" w:leftChars="-13" w:right="-65" w:rightChars="-3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软件和信息技术服务业</w:t>
            </w:r>
          </w:p>
        </w:tc>
        <w:tc>
          <w:tcPr>
            <w:tcW w:w="1174" w:type="dxa"/>
            <w:noWrap w:val="0"/>
            <w:vAlign w:val="center"/>
          </w:tcPr>
          <w:p w14:paraId="63B29167">
            <w:pPr>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≥10000</w:t>
            </w:r>
          </w:p>
        </w:tc>
        <w:tc>
          <w:tcPr>
            <w:tcW w:w="1086" w:type="dxa"/>
            <w:noWrap w:val="0"/>
            <w:vAlign w:val="center"/>
          </w:tcPr>
          <w:p w14:paraId="035F0642">
            <w:pPr>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≥300</w:t>
            </w:r>
          </w:p>
        </w:tc>
        <w:tc>
          <w:tcPr>
            <w:tcW w:w="921" w:type="dxa"/>
            <w:noWrap w:val="0"/>
            <w:vAlign w:val="center"/>
          </w:tcPr>
          <w:p w14:paraId="06A751FE">
            <w:pPr>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086" w:type="dxa"/>
            <w:noWrap w:val="0"/>
            <w:vAlign w:val="center"/>
          </w:tcPr>
          <w:p w14:paraId="1C65CDF3">
            <w:pPr>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≥1000</w:t>
            </w:r>
          </w:p>
        </w:tc>
        <w:tc>
          <w:tcPr>
            <w:tcW w:w="1074" w:type="dxa"/>
            <w:noWrap w:val="0"/>
            <w:vAlign w:val="center"/>
          </w:tcPr>
          <w:p w14:paraId="0DF75D29">
            <w:pPr>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978" w:type="dxa"/>
            <w:noWrap w:val="0"/>
            <w:vAlign w:val="center"/>
          </w:tcPr>
          <w:p w14:paraId="2E1F867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086" w:type="dxa"/>
            <w:noWrap w:val="0"/>
            <w:vAlign w:val="center"/>
          </w:tcPr>
          <w:p w14:paraId="773298B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w:t>
            </w:r>
          </w:p>
        </w:tc>
        <w:tc>
          <w:tcPr>
            <w:tcW w:w="1141" w:type="dxa"/>
            <w:noWrap w:val="0"/>
            <w:vAlign w:val="center"/>
          </w:tcPr>
          <w:p w14:paraId="7548D6E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984" w:type="dxa"/>
            <w:noWrap w:val="0"/>
            <w:vAlign w:val="center"/>
          </w:tcPr>
          <w:p w14:paraId="37DBCE9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086" w:type="dxa"/>
            <w:noWrap w:val="0"/>
            <w:vAlign w:val="center"/>
          </w:tcPr>
          <w:p w14:paraId="6662112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w:t>
            </w:r>
          </w:p>
        </w:tc>
        <w:tc>
          <w:tcPr>
            <w:tcW w:w="1090" w:type="dxa"/>
            <w:noWrap w:val="0"/>
            <w:vAlign w:val="center"/>
          </w:tcPr>
          <w:p w14:paraId="18D66C8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834" w:type="dxa"/>
            <w:noWrap w:val="0"/>
            <w:vAlign w:val="center"/>
          </w:tcPr>
          <w:p w14:paraId="730339D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175C0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479" w:type="dxa"/>
            <w:noWrap w:val="0"/>
            <w:vAlign w:val="center"/>
          </w:tcPr>
          <w:p w14:paraId="6099A3C0">
            <w:pPr>
              <w:ind w:left="-107" w:leftChars="-51" w:right="-107" w:rightChars="-5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13</w:t>
            </w:r>
          </w:p>
        </w:tc>
        <w:tc>
          <w:tcPr>
            <w:tcW w:w="1914" w:type="dxa"/>
            <w:noWrap w:val="0"/>
            <w:vAlign w:val="center"/>
          </w:tcPr>
          <w:p w14:paraId="39E4385D">
            <w:pPr>
              <w:ind w:left="-27" w:leftChars="-13" w:right="-65" w:rightChars="-3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房地产开发经营</w:t>
            </w:r>
          </w:p>
        </w:tc>
        <w:tc>
          <w:tcPr>
            <w:tcW w:w="1174" w:type="dxa"/>
            <w:noWrap w:val="0"/>
            <w:vAlign w:val="center"/>
          </w:tcPr>
          <w:p w14:paraId="04718A9E">
            <w:pPr>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≥200000</w:t>
            </w:r>
          </w:p>
        </w:tc>
        <w:tc>
          <w:tcPr>
            <w:tcW w:w="1086" w:type="dxa"/>
            <w:noWrap w:val="0"/>
            <w:vAlign w:val="center"/>
          </w:tcPr>
          <w:p w14:paraId="7B59766C">
            <w:pPr>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921" w:type="dxa"/>
            <w:noWrap w:val="0"/>
            <w:vAlign w:val="center"/>
          </w:tcPr>
          <w:p w14:paraId="397BEA0B">
            <w:pPr>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或,≥10000</w:t>
            </w:r>
          </w:p>
        </w:tc>
        <w:tc>
          <w:tcPr>
            <w:tcW w:w="1086" w:type="dxa"/>
            <w:noWrap w:val="0"/>
            <w:vAlign w:val="center"/>
          </w:tcPr>
          <w:p w14:paraId="0EE9628A">
            <w:pPr>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≥1000</w:t>
            </w:r>
          </w:p>
        </w:tc>
        <w:tc>
          <w:tcPr>
            <w:tcW w:w="1074" w:type="dxa"/>
            <w:noWrap w:val="0"/>
            <w:vAlign w:val="center"/>
          </w:tcPr>
          <w:p w14:paraId="2C04E02A">
            <w:pPr>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978" w:type="dxa"/>
            <w:noWrap w:val="0"/>
            <w:vAlign w:val="center"/>
          </w:tcPr>
          <w:p w14:paraId="7D6225C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且,≥5000</w:t>
            </w:r>
          </w:p>
        </w:tc>
        <w:tc>
          <w:tcPr>
            <w:tcW w:w="1086" w:type="dxa"/>
            <w:noWrap w:val="0"/>
            <w:vAlign w:val="center"/>
          </w:tcPr>
          <w:p w14:paraId="606D4E5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1141" w:type="dxa"/>
            <w:noWrap w:val="0"/>
            <w:vAlign w:val="center"/>
          </w:tcPr>
          <w:p w14:paraId="645CE8D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984" w:type="dxa"/>
            <w:noWrap w:val="0"/>
            <w:vAlign w:val="center"/>
          </w:tcPr>
          <w:p w14:paraId="2055A5B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且,≥2000</w:t>
            </w:r>
          </w:p>
        </w:tc>
        <w:tc>
          <w:tcPr>
            <w:tcW w:w="1086" w:type="dxa"/>
            <w:noWrap w:val="0"/>
            <w:vAlign w:val="center"/>
          </w:tcPr>
          <w:p w14:paraId="610F80B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1090" w:type="dxa"/>
            <w:noWrap w:val="0"/>
            <w:vAlign w:val="center"/>
          </w:tcPr>
          <w:p w14:paraId="70A52E0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834" w:type="dxa"/>
            <w:noWrap w:val="0"/>
            <w:vAlign w:val="center"/>
          </w:tcPr>
          <w:p w14:paraId="6373CF9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或,＜2000</w:t>
            </w:r>
          </w:p>
        </w:tc>
      </w:tr>
      <w:tr w14:paraId="42225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479" w:type="dxa"/>
            <w:noWrap w:val="0"/>
            <w:vAlign w:val="center"/>
          </w:tcPr>
          <w:p w14:paraId="5839DB56">
            <w:pPr>
              <w:ind w:left="-107" w:leftChars="-51" w:right="-107" w:rightChars="-5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14</w:t>
            </w:r>
          </w:p>
        </w:tc>
        <w:tc>
          <w:tcPr>
            <w:tcW w:w="1914" w:type="dxa"/>
            <w:noWrap w:val="0"/>
            <w:vAlign w:val="center"/>
          </w:tcPr>
          <w:p w14:paraId="12C0B0A1">
            <w:pPr>
              <w:ind w:left="-27" w:leftChars="-13" w:right="-65" w:rightChars="-3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物业管理</w:t>
            </w:r>
          </w:p>
        </w:tc>
        <w:tc>
          <w:tcPr>
            <w:tcW w:w="1174" w:type="dxa"/>
            <w:noWrap w:val="0"/>
            <w:vAlign w:val="center"/>
          </w:tcPr>
          <w:p w14:paraId="78AA1EA2">
            <w:pPr>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≥5000</w:t>
            </w:r>
          </w:p>
        </w:tc>
        <w:tc>
          <w:tcPr>
            <w:tcW w:w="1086" w:type="dxa"/>
            <w:noWrap w:val="0"/>
            <w:vAlign w:val="center"/>
          </w:tcPr>
          <w:p w14:paraId="1DB11590">
            <w:pPr>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≥1000</w:t>
            </w:r>
          </w:p>
        </w:tc>
        <w:tc>
          <w:tcPr>
            <w:tcW w:w="921" w:type="dxa"/>
            <w:noWrap w:val="0"/>
            <w:vAlign w:val="center"/>
          </w:tcPr>
          <w:p w14:paraId="41A2FC34">
            <w:pPr>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086" w:type="dxa"/>
            <w:noWrap w:val="0"/>
            <w:vAlign w:val="center"/>
          </w:tcPr>
          <w:p w14:paraId="4AF56322">
            <w:pPr>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≥1000</w:t>
            </w:r>
          </w:p>
        </w:tc>
        <w:tc>
          <w:tcPr>
            <w:tcW w:w="1074" w:type="dxa"/>
            <w:noWrap w:val="0"/>
            <w:vAlign w:val="center"/>
          </w:tcPr>
          <w:p w14:paraId="4663C6A6">
            <w:pPr>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≥300</w:t>
            </w:r>
          </w:p>
        </w:tc>
        <w:tc>
          <w:tcPr>
            <w:tcW w:w="978" w:type="dxa"/>
            <w:noWrap w:val="0"/>
            <w:vAlign w:val="center"/>
          </w:tcPr>
          <w:p w14:paraId="157A919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086" w:type="dxa"/>
            <w:noWrap w:val="0"/>
            <w:vAlign w:val="center"/>
          </w:tcPr>
          <w:p w14:paraId="5508469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≥500</w:t>
            </w:r>
          </w:p>
        </w:tc>
        <w:tc>
          <w:tcPr>
            <w:tcW w:w="1141" w:type="dxa"/>
            <w:noWrap w:val="0"/>
            <w:vAlign w:val="center"/>
          </w:tcPr>
          <w:p w14:paraId="3E3FB93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984" w:type="dxa"/>
            <w:noWrap w:val="0"/>
            <w:vAlign w:val="center"/>
          </w:tcPr>
          <w:p w14:paraId="57DA385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086" w:type="dxa"/>
            <w:noWrap w:val="0"/>
            <w:vAlign w:val="center"/>
          </w:tcPr>
          <w:p w14:paraId="32D78FF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＜500</w:t>
            </w:r>
          </w:p>
        </w:tc>
        <w:tc>
          <w:tcPr>
            <w:tcW w:w="1090" w:type="dxa"/>
            <w:noWrap w:val="0"/>
            <w:vAlign w:val="center"/>
          </w:tcPr>
          <w:p w14:paraId="05415C2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834" w:type="dxa"/>
            <w:noWrap w:val="0"/>
            <w:vAlign w:val="center"/>
          </w:tcPr>
          <w:p w14:paraId="7CD26E1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3581E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479" w:type="dxa"/>
            <w:noWrap w:val="0"/>
            <w:vAlign w:val="center"/>
          </w:tcPr>
          <w:p w14:paraId="2F1645CC">
            <w:pPr>
              <w:ind w:left="-107" w:leftChars="-51" w:right="-107" w:rightChars="-5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15</w:t>
            </w:r>
          </w:p>
        </w:tc>
        <w:tc>
          <w:tcPr>
            <w:tcW w:w="1914" w:type="dxa"/>
            <w:noWrap w:val="0"/>
            <w:vAlign w:val="center"/>
          </w:tcPr>
          <w:p w14:paraId="26E5283E">
            <w:pPr>
              <w:ind w:left="-27" w:leftChars="-13" w:right="-65" w:rightChars="-3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租赁和商务服务业</w:t>
            </w:r>
          </w:p>
        </w:tc>
        <w:tc>
          <w:tcPr>
            <w:tcW w:w="1174" w:type="dxa"/>
            <w:noWrap w:val="0"/>
            <w:vAlign w:val="center"/>
          </w:tcPr>
          <w:p w14:paraId="4BD308A9">
            <w:pPr>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086" w:type="dxa"/>
            <w:noWrap w:val="0"/>
            <w:vAlign w:val="center"/>
          </w:tcPr>
          <w:p w14:paraId="2B4A9426">
            <w:pPr>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≥300</w:t>
            </w:r>
          </w:p>
        </w:tc>
        <w:tc>
          <w:tcPr>
            <w:tcW w:w="921" w:type="dxa"/>
            <w:noWrap w:val="0"/>
            <w:vAlign w:val="center"/>
          </w:tcPr>
          <w:p w14:paraId="67CB7DA4">
            <w:pPr>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或,≥120000</w:t>
            </w:r>
          </w:p>
        </w:tc>
        <w:tc>
          <w:tcPr>
            <w:tcW w:w="1086" w:type="dxa"/>
            <w:noWrap w:val="0"/>
            <w:vAlign w:val="center"/>
          </w:tcPr>
          <w:p w14:paraId="7EF833B1">
            <w:pPr>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074" w:type="dxa"/>
            <w:noWrap w:val="0"/>
            <w:vAlign w:val="center"/>
          </w:tcPr>
          <w:p w14:paraId="34F05894">
            <w:pPr>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978" w:type="dxa"/>
            <w:noWrap w:val="0"/>
            <w:vAlign w:val="center"/>
          </w:tcPr>
          <w:p w14:paraId="46F2B04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且,≥8000</w:t>
            </w:r>
          </w:p>
        </w:tc>
        <w:tc>
          <w:tcPr>
            <w:tcW w:w="1086" w:type="dxa"/>
            <w:noWrap w:val="0"/>
            <w:vAlign w:val="center"/>
          </w:tcPr>
          <w:p w14:paraId="3C76355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141" w:type="dxa"/>
            <w:noWrap w:val="0"/>
            <w:vAlign w:val="center"/>
          </w:tcPr>
          <w:p w14:paraId="6E6C681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984" w:type="dxa"/>
            <w:noWrap w:val="0"/>
            <w:vAlign w:val="center"/>
          </w:tcPr>
          <w:p w14:paraId="1380E0F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且,≥100</w:t>
            </w:r>
          </w:p>
        </w:tc>
        <w:tc>
          <w:tcPr>
            <w:tcW w:w="1086" w:type="dxa"/>
            <w:noWrap w:val="0"/>
            <w:vAlign w:val="center"/>
          </w:tcPr>
          <w:p w14:paraId="320BDA6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090" w:type="dxa"/>
            <w:noWrap w:val="0"/>
            <w:vAlign w:val="center"/>
          </w:tcPr>
          <w:p w14:paraId="74B8CD9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834" w:type="dxa"/>
            <w:noWrap w:val="0"/>
            <w:vAlign w:val="center"/>
          </w:tcPr>
          <w:p w14:paraId="1982BF5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或,＜100</w:t>
            </w:r>
          </w:p>
        </w:tc>
      </w:tr>
      <w:tr w14:paraId="2B604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479" w:type="dxa"/>
            <w:noWrap w:val="0"/>
            <w:vAlign w:val="center"/>
          </w:tcPr>
          <w:p w14:paraId="47393F84">
            <w:pPr>
              <w:ind w:left="-107" w:leftChars="-51" w:right="-107" w:rightChars="-5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16</w:t>
            </w:r>
          </w:p>
        </w:tc>
        <w:tc>
          <w:tcPr>
            <w:tcW w:w="1914" w:type="dxa"/>
            <w:noWrap w:val="0"/>
            <w:vAlign w:val="center"/>
          </w:tcPr>
          <w:p w14:paraId="24B0FB9C">
            <w:pPr>
              <w:ind w:left="-27" w:leftChars="-13" w:right="-65" w:rightChars="-3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其他未列明行业</w:t>
            </w:r>
          </w:p>
        </w:tc>
        <w:tc>
          <w:tcPr>
            <w:tcW w:w="1174" w:type="dxa"/>
            <w:noWrap w:val="0"/>
            <w:vAlign w:val="center"/>
          </w:tcPr>
          <w:p w14:paraId="63A280F2">
            <w:pPr>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086" w:type="dxa"/>
            <w:noWrap w:val="0"/>
            <w:vAlign w:val="center"/>
          </w:tcPr>
          <w:p w14:paraId="2046FC5E">
            <w:pPr>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≥300</w:t>
            </w:r>
          </w:p>
        </w:tc>
        <w:tc>
          <w:tcPr>
            <w:tcW w:w="921" w:type="dxa"/>
            <w:noWrap w:val="0"/>
            <w:vAlign w:val="center"/>
          </w:tcPr>
          <w:p w14:paraId="34BCDFD5">
            <w:pPr>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086" w:type="dxa"/>
            <w:noWrap w:val="0"/>
            <w:vAlign w:val="center"/>
          </w:tcPr>
          <w:p w14:paraId="5490E6A9">
            <w:pPr>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074" w:type="dxa"/>
            <w:noWrap w:val="0"/>
            <w:vAlign w:val="center"/>
          </w:tcPr>
          <w:p w14:paraId="59BC209B">
            <w:pPr>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978" w:type="dxa"/>
            <w:noWrap w:val="0"/>
            <w:vAlign w:val="center"/>
          </w:tcPr>
          <w:p w14:paraId="5C78747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086" w:type="dxa"/>
            <w:noWrap w:val="0"/>
            <w:vAlign w:val="center"/>
          </w:tcPr>
          <w:p w14:paraId="3F259CD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141" w:type="dxa"/>
            <w:noWrap w:val="0"/>
            <w:vAlign w:val="center"/>
          </w:tcPr>
          <w:p w14:paraId="6651C58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984" w:type="dxa"/>
            <w:noWrap w:val="0"/>
            <w:vAlign w:val="center"/>
          </w:tcPr>
          <w:p w14:paraId="695AF95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086" w:type="dxa"/>
            <w:noWrap w:val="0"/>
            <w:vAlign w:val="center"/>
          </w:tcPr>
          <w:p w14:paraId="0EEFB53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090" w:type="dxa"/>
            <w:noWrap w:val="0"/>
            <w:vAlign w:val="center"/>
          </w:tcPr>
          <w:p w14:paraId="0928D12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834" w:type="dxa"/>
            <w:noWrap w:val="0"/>
            <w:vAlign w:val="center"/>
          </w:tcPr>
          <w:p w14:paraId="17E836F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bl>
    <w:p w14:paraId="38C218E0">
      <w:pPr>
        <w:widowControl/>
        <w:spacing w:before="100" w:beforeAutospacing="1" w:after="100" w:afterAutospacing="1" w:line="435" w:lineRule="exact"/>
        <w:jc w:val="left"/>
        <w:rPr>
          <w:rFonts w:hint="eastAsia" w:ascii="宋体" w:hAnsi="宋体" w:cs="宋体"/>
          <w:color w:val="auto"/>
          <w:kern w:val="0"/>
          <w:sz w:val="21"/>
          <w:szCs w:val="21"/>
          <w:highlight w:val="none"/>
        </w:rPr>
        <w:sectPr>
          <w:pgSz w:w="16838" w:h="11905" w:orient="landscape"/>
          <w:pgMar w:top="1701" w:right="1417" w:bottom="1417" w:left="1417" w:header="850" w:footer="737" w:gutter="0"/>
          <w:pgNumType w:fmt="decimal"/>
          <w:cols w:space="720" w:num="1"/>
          <w:titlePg/>
          <w:rtlGutter w:val="0"/>
          <w:docGrid w:type="lines" w:linePitch="519" w:charSpace="0"/>
        </w:sectPr>
      </w:pPr>
    </w:p>
    <w:p w14:paraId="0688DF76">
      <w:pPr>
        <w:pStyle w:val="17"/>
        <w:shd w:val="clear" w:color="auto" w:fill="auto"/>
        <w:spacing w:before="0" w:beforeAutospacing="0" w:after="0" w:afterAutospacing="0"/>
        <w:jc w:val="center"/>
        <w:rPr>
          <w:rStyle w:val="24"/>
          <w:rFonts w:hint="eastAsia" w:ascii="宋体" w:hAnsi="宋体" w:eastAsia="宋体" w:cs="宋体"/>
          <w:color w:val="auto"/>
          <w:sz w:val="21"/>
          <w:szCs w:val="21"/>
          <w:highlight w:val="none"/>
          <w:shd w:val="clear" w:color="auto" w:fill="FFFFFF"/>
        </w:rPr>
      </w:pPr>
      <w:bookmarkStart w:id="129" w:name="_Toc9006533"/>
      <w:r>
        <w:rPr>
          <w:rStyle w:val="24"/>
          <w:rFonts w:hint="eastAsia" w:ascii="宋体" w:hAnsi="宋体" w:eastAsia="宋体" w:cs="宋体"/>
          <w:color w:val="auto"/>
          <w:sz w:val="21"/>
          <w:szCs w:val="21"/>
          <w:highlight w:val="none"/>
          <w:shd w:val="clear" w:color="auto" w:fill="FFFFFF"/>
        </w:rPr>
        <w:t>中小企业划型标准规定</w:t>
      </w:r>
    </w:p>
    <w:p w14:paraId="6025D6D1">
      <w:pPr>
        <w:pStyle w:val="17"/>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工信部联企业〔2011〕300号</w:t>
      </w:r>
    </w:p>
    <w:p w14:paraId="62E6D874">
      <w:pPr>
        <w:pStyle w:val="17"/>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440" w:lineRule="exact"/>
        <w:ind w:firstLine="420" w:firstLineChars="200"/>
        <w:textAlignment w:val="auto"/>
        <w:rPr>
          <w:rFonts w:hint="eastAsia" w:ascii="宋体" w:hAnsi="宋体" w:eastAsia="宋体" w:cs="宋体"/>
          <w:b/>
          <w:color w:val="auto"/>
          <w:sz w:val="21"/>
          <w:szCs w:val="21"/>
          <w:highlight w:val="none"/>
          <w:lang w:val="zh-CN"/>
        </w:rPr>
      </w:pPr>
      <w:r>
        <w:rPr>
          <w:rFonts w:hint="eastAsia" w:ascii="宋体" w:hAnsi="宋体" w:eastAsia="宋体" w:cs="宋体"/>
          <w:color w:val="auto"/>
          <w:sz w:val="21"/>
          <w:szCs w:val="21"/>
          <w:highlight w:val="none"/>
          <w:shd w:val="clear" w:color="auto" w:fill="FFFFFF"/>
        </w:rPr>
        <w:t>一、根据《中华人民共和国中小企业促进法》和《国务院关于进一步促进中小企业发展的若干意见》(国发〔2009〕36号)，制定本规定。</w:t>
      </w:r>
      <w:r>
        <w:rPr>
          <w:rFonts w:hint="eastAsia" w:ascii="宋体" w:hAnsi="宋体" w:eastAsia="宋体" w:cs="宋体"/>
          <w:color w:val="auto"/>
          <w:sz w:val="21"/>
          <w:szCs w:val="21"/>
          <w:highlight w:val="none"/>
          <w:shd w:val="clear" w:color="auto" w:fill="FFFFFF"/>
        </w:rPr>
        <w:br w:type="textWrapping"/>
      </w:r>
      <w:r>
        <w:rPr>
          <w:rFonts w:hint="eastAsia" w:ascii="宋体" w:hAnsi="宋体" w:eastAsia="宋体" w:cs="宋体"/>
          <w:color w:val="auto"/>
          <w:sz w:val="21"/>
          <w:szCs w:val="21"/>
          <w:highlight w:val="none"/>
          <w:shd w:val="clear" w:color="auto" w:fill="FFFFFF"/>
        </w:rPr>
        <w:t>　　二、中小企业划分为中型、小型、微型三种类型，具体标准根据企业从业人员、营业收入、资产总额等指标，结合行业特点制定。</w:t>
      </w:r>
      <w:r>
        <w:rPr>
          <w:rFonts w:hint="eastAsia" w:ascii="宋体" w:hAnsi="宋体" w:eastAsia="宋体" w:cs="宋体"/>
          <w:color w:val="auto"/>
          <w:sz w:val="21"/>
          <w:szCs w:val="21"/>
          <w:highlight w:val="none"/>
          <w:shd w:val="clear" w:color="auto" w:fill="FFFFFF"/>
        </w:rPr>
        <w:br w:type="textWrapping"/>
      </w:r>
      <w:r>
        <w:rPr>
          <w:rFonts w:hint="eastAsia" w:ascii="宋体" w:hAnsi="宋体" w:eastAsia="宋体" w:cs="宋体"/>
          <w:color w:val="auto"/>
          <w:sz w:val="21"/>
          <w:szCs w:val="21"/>
          <w:highlight w:val="none"/>
          <w:shd w:val="clear" w:color="auto" w:fill="FFFFFF"/>
        </w:rPr>
        <w:t>　　</w:t>
      </w:r>
      <w:r>
        <w:rPr>
          <w:rFonts w:hint="eastAsia" w:ascii="宋体" w:hAnsi="宋体" w:eastAsia="宋体" w:cs="宋体"/>
          <w:b/>
          <w:color w:val="auto"/>
          <w:sz w:val="21"/>
          <w:szCs w:val="21"/>
          <w:highlight w:val="none"/>
          <w:shd w:val="clear" w:color="auto" w:fill="FFFFFF"/>
        </w:rPr>
        <w:t>三、本规定适用的行业包括：</w:t>
      </w:r>
      <w:r>
        <w:rPr>
          <w:rFonts w:hint="eastAsia" w:ascii="宋体" w:hAnsi="宋体" w:eastAsia="宋体" w:cs="宋体"/>
          <w:color w:val="auto"/>
          <w:sz w:val="21"/>
          <w:szCs w:val="21"/>
          <w:highlight w:val="none"/>
          <w:shd w:val="clear" w:color="auto" w:fill="FFFFFF"/>
        </w:rPr>
        <w:t>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int="eastAsia" w:ascii="宋体" w:hAnsi="宋体" w:eastAsia="宋体" w:cs="宋体"/>
          <w:color w:val="auto"/>
          <w:sz w:val="21"/>
          <w:szCs w:val="21"/>
          <w:highlight w:val="none"/>
          <w:shd w:val="clear" w:color="auto" w:fill="FFFFFF"/>
        </w:rPr>
        <w:br w:type="textWrapping"/>
      </w:r>
      <w:r>
        <w:rPr>
          <w:rFonts w:hint="eastAsia" w:ascii="宋体" w:hAnsi="宋体" w:eastAsia="宋体" w:cs="宋体"/>
          <w:color w:val="auto"/>
          <w:sz w:val="21"/>
          <w:szCs w:val="21"/>
          <w:highlight w:val="none"/>
          <w:shd w:val="clear" w:color="auto" w:fill="FFFFFF"/>
        </w:rPr>
        <w:t>　　</w:t>
      </w:r>
      <w:r>
        <w:rPr>
          <w:rFonts w:hint="eastAsia" w:ascii="宋体" w:hAnsi="宋体" w:eastAsia="宋体" w:cs="宋体"/>
          <w:b/>
          <w:color w:val="auto"/>
          <w:sz w:val="21"/>
          <w:szCs w:val="21"/>
          <w:highlight w:val="none"/>
          <w:shd w:val="clear" w:color="auto" w:fill="FFFFFF"/>
        </w:rPr>
        <w:t>四、各行业划型标准为：</w:t>
      </w:r>
      <w:r>
        <w:rPr>
          <w:rFonts w:hint="eastAsia" w:ascii="宋体" w:hAnsi="宋体" w:eastAsia="宋体" w:cs="宋体"/>
          <w:b/>
          <w:color w:val="auto"/>
          <w:sz w:val="21"/>
          <w:szCs w:val="21"/>
          <w:highlight w:val="none"/>
          <w:shd w:val="clear" w:color="auto" w:fill="FFFFFF"/>
        </w:rPr>
        <w:br w:type="textWrapping"/>
      </w:r>
      <w:r>
        <w:rPr>
          <w:rFonts w:hint="eastAsia" w:ascii="宋体" w:hAnsi="宋体" w:eastAsia="宋体" w:cs="宋体"/>
          <w:color w:val="auto"/>
          <w:sz w:val="21"/>
          <w:szCs w:val="21"/>
          <w:highlight w:val="none"/>
          <w:shd w:val="clear" w:color="auto" w:fill="FFFFFF"/>
        </w:rPr>
        <w:t>　　（一）农、林、牧、渔业。营业收入20000万元以下的为中小微型企业。其中，营业收入500万元及以上的为中型企业，营业收入50万元及以上的为小型企业，营业收入50万元以下的为微型企业。</w:t>
      </w:r>
      <w:r>
        <w:rPr>
          <w:rFonts w:hint="eastAsia" w:ascii="宋体" w:hAnsi="宋体" w:eastAsia="宋体" w:cs="宋体"/>
          <w:color w:val="auto"/>
          <w:sz w:val="21"/>
          <w:szCs w:val="21"/>
          <w:highlight w:val="none"/>
          <w:shd w:val="clear" w:color="auto" w:fill="FFFFFF"/>
        </w:rPr>
        <w:br w:type="textWrapping"/>
      </w:r>
      <w:r>
        <w:rPr>
          <w:rFonts w:hint="eastAsia" w:ascii="宋体" w:hAnsi="宋体" w:eastAsia="宋体" w:cs="宋体"/>
          <w:color w:val="auto"/>
          <w:sz w:val="21"/>
          <w:szCs w:val="21"/>
          <w:highlight w:val="none"/>
          <w:shd w:val="clear" w:color="auto" w:fill="FFFFFF"/>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宋体" w:hAnsi="宋体" w:eastAsia="宋体" w:cs="宋体"/>
          <w:color w:val="auto"/>
          <w:sz w:val="21"/>
          <w:szCs w:val="21"/>
          <w:highlight w:val="none"/>
          <w:shd w:val="clear" w:color="auto" w:fill="FFFFFF"/>
        </w:rPr>
        <w:br w:type="textWrapping"/>
      </w:r>
      <w:r>
        <w:rPr>
          <w:rFonts w:hint="eastAsia" w:ascii="宋体" w:hAnsi="宋体" w:eastAsia="宋体" w:cs="宋体"/>
          <w:color w:val="auto"/>
          <w:sz w:val="21"/>
          <w:szCs w:val="21"/>
          <w:highlight w:val="none"/>
          <w:shd w:val="clear" w:color="auto" w:fill="FFFFFF"/>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宋体" w:hAnsi="宋体" w:eastAsia="宋体" w:cs="宋体"/>
          <w:color w:val="auto"/>
          <w:sz w:val="21"/>
          <w:szCs w:val="21"/>
          <w:highlight w:val="none"/>
          <w:shd w:val="clear" w:color="auto" w:fill="FFFFFF"/>
        </w:rPr>
        <w:br w:type="textWrapping"/>
      </w:r>
      <w:r>
        <w:rPr>
          <w:rFonts w:hint="eastAsia" w:ascii="宋体" w:hAnsi="宋体" w:eastAsia="宋体" w:cs="宋体"/>
          <w:color w:val="auto"/>
          <w:sz w:val="21"/>
          <w:szCs w:val="21"/>
          <w:highlight w:val="none"/>
          <w:shd w:val="clear" w:color="auto" w:fill="FFFFFF"/>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ascii="宋体" w:hAnsi="宋体" w:eastAsia="宋体" w:cs="宋体"/>
          <w:color w:val="auto"/>
          <w:sz w:val="21"/>
          <w:szCs w:val="21"/>
          <w:highlight w:val="none"/>
          <w:shd w:val="clear" w:color="auto" w:fill="FFFFFF"/>
        </w:rPr>
        <w:br w:type="textWrapping"/>
      </w:r>
      <w:r>
        <w:rPr>
          <w:rFonts w:hint="eastAsia" w:ascii="宋体" w:hAnsi="宋体" w:eastAsia="宋体" w:cs="宋体"/>
          <w:color w:val="auto"/>
          <w:sz w:val="21"/>
          <w:szCs w:val="21"/>
          <w:highlight w:val="none"/>
          <w:shd w:val="clear" w:color="auto" w:fill="FFFFFF"/>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sz w:val="21"/>
          <w:szCs w:val="21"/>
          <w:highlight w:val="none"/>
          <w:shd w:val="clear" w:color="auto" w:fill="FFFFFF"/>
        </w:rPr>
        <w:br w:type="textWrapping"/>
      </w:r>
      <w:r>
        <w:rPr>
          <w:rFonts w:hint="eastAsia" w:ascii="宋体" w:hAnsi="宋体" w:eastAsia="宋体" w:cs="宋体"/>
          <w:color w:val="auto"/>
          <w:sz w:val="21"/>
          <w:szCs w:val="21"/>
          <w:highlight w:val="none"/>
          <w:shd w:val="clear" w:color="auto" w:fill="FFFFFF"/>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ascii="宋体" w:hAnsi="宋体" w:eastAsia="宋体" w:cs="宋体"/>
          <w:color w:val="auto"/>
          <w:sz w:val="21"/>
          <w:szCs w:val="21"/>
          <w:highlight w:val="none"/>
          <w:shd w:val="clear" w:color="auto" w:fill="FFFFFF"/>
        </w:rPr>
        <w:br w:type="textWrapping"/>
      </w:r>
      <w:r>
        <w:rPr>
          <w:rFonts w:hint="eastAsia" w:ascii="宋体" w:hAnsi="宋体" w:eastAsia="宋体" w:cs="宋体"/>
          <w:color w:val="auto"/>
          <w:sz w:val="21"/>
          <w:szCs w:val="21"/>
          <w:highlight w:val="none"/>
          <w:shd w:val="clear" w:color="auto" w:fill="FFFFFF"/>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ascii="宋体" w:hAnsi="宋体" w:eastAsia="宋体" w:cs="宋体"/>
          <w:color w:val="auto"/>
          <w:sz w:val="21"/>
          <w:szCs w:val="21"/>
          <w:highlight w:val="none"/>
          <w:shd w:val="clear" w:color="auto" w:fill="FFFFFF"/>
        </w:rPr>
        <w:br w:type="textWrapping"/>
      </w:r>
      <w:r>
        <w:rPr>
          <w:rFonts w:hint="eastAsia" w:ascii="宋体" w:hAnsi="宋体" w:eastAsia="宋体" w:cs="宋体"/>
          <w:color w:val="auto"/>
          <w:sz w:val="21"/>
          <w:szCs w:val="21"/>
          <w:highlight w:val="none"/>
          <w:shd w:val="clear" w:color="auto" w:fill="FFFFFF"/>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ascii="宋体" w:hAnsi="宋体" w:eastAsia="宋体" w:cs="宋体"/>
          <w:color w:val="auto"/>
          <w:sz w:val="21"/>
          <w:szCs w:val="21"/>
          <w:highlight w:val="none"/>
          <w:shd w:val="clear" w:color="auto" w:fill="FFFFFF"/>
        </w:rPr>
        <w:br w:type="textWrapping"/>
      </w:r>
      <w:r>
        <w:rPr>
          <w:rFonts w:hint="eastAsia" w:ascii="宋体" w:hAnsi="宋体" w:eastAsia="宋体" w:cs="宋体"/>
          <w:color w:val="auto"/>
          <w:sz w:val="21"/>
          <w:szCs w:val="21"/>
          <w:highlight w:val="none"/>
          <w:shd w:val="clear" w:color="auto" w:fill="FFFFFF"/>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sz w:val="21"/>
          <w:szCs w:val="21"/>
          <w:highlight w:val="none"/>
          <w:shd w:val="clear" w:color="auto" w:fill="FFFFFF"/>
        </w:rPr>
        <w:br w:type="textWrapping"/>
      </w:r>
      <w:r>
        <w:rPr>
          <w:rFonts w:hint="eastAsia" w:ascii="宋体" w:hAnsi="宋体" w:eastAsia="宋体" w:cs="宋体"/>
          <w:color w:val="auto"/>
          <w:sz w:val="21"/>
          <w:szCs w:val="21"/>
          <w:highlight w:val="none"/>
          <w:shd w:val="clear" w:color="auto" w:fill="FFFFFF"/>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sz w:val="21"/>
          <w:szCs w:val="21"/>
          <w:highlight w:val="none"/>
          <w:shd w:val="clear" w:color="auto" w:fill="FFFFFF"/>
        </w:rPr>
        <w:br w:type="textWrapping"/>
      </w:r>
      <w:r>
        <w:rPr>
          <w:rFonts w:hint="eastAsia" w:ascii="宋体" w:hAnsi="宋体" w:eastAsia="宋体" w:cs="宋体"/>
          <w:color w:val="auto"/>
          <w:sz w:val="21"/>
          <w:szCs w:val="21"/>
          <w:highlight w:val="none"/>
          <w:shd w:val="clear" w:color="auto" w:fill="FFFFFF"/>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sz w:val="21"/>
          <w:szCs w:val="21"/>
          <w:highlight w:val="none"/>
          <w:shd w:val="clear" w:color="auto" w:fill="FFFFFF"/>
        </w:rPr>
        <w:br w:type="textWrapping"/>
      </w:r>
      <w:r>
        <w:rPr>
          <w:rFonts w:hint="eastAsia" w:ascii="宋体" w:hAnsi="宋体" w:eastAsia="宋体" w:cs="宋体"/>
          <w:color w:val="auto"/>
          <w:sz w:val="21"/>
          <w:szCs w:val="21"/>
          <w:highlight w:val="none"/>
          <w:shd w:val="clear" w:color="auto" w:fill="FFFFFF"/>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宋体" w:hAnsi="宋体" w:eastAsia="宋体" w:cs="宋体"/>
          <w:color w:val="auto"/>
          <w:sz w:val="21"/>
          <w:szCs w:val="21"/>
          <w:highlight w:val="none"/>
          <w:shd w:val="clear" w:color="auto" w:fill="FFFFFF"/>
        </w:rPr>
        <w:br w:type="textWrapping"/>
      </w:r>
      <w:r>
        <w:rPr>
          <w:rFonts w:hint="eastAsia" w:ascii="宋体" w:hAnsi="宋体" w:eastAsia="宋体" w:cs="宋体"/>
          <w:color w:val="auto"/>
          <w:sz w:val="21"/>
          <w:szCs w:val="21"/>
          <w:highlight w:val="none"/>
          <w:shd w:val="clear" w:color="auto" w:fill="FFFFFF"/>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ascii="宋体" w:hAnsi="宋体" w:eastAsia="宋体" w:cs="宋体"/>
          <w:color w:val="auto"/>
          <w:sz w:val="21"/>
          <w:szCs w:val="21"/>
          <w:highlight w:val="none"/>
          <w:shd w:val="clear" w:color="auto" w:fill="FFFFFF"/>
        </w:rPr>
        <w:br w:type="textWrapping"/>
      </w:r>
      <w:r>
        <w:rPr>
          <w:rFonts w:hint="eastAsia" w:ascii="宋体" w:hAnsi="宋体" w:eastAsia="宋体" w:cs="宋体"/>
          <w:color w:val="auto"/>
          <w:sz w:val="21"/>
          <w:szCs w:val="21"/>
          <w:highlight w:val="none"/>
          <w:shd w:val="clear" w:color="auto" w:fill="FFFFFF"/>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ascii="宋体" w:hAnsi="宋体" w:eastAsia="宋体" w:cs="宋体"/>
          <w:color w:val="auto"/>
          <w:sz w:val="21"/>
          <w:szCs w:val="21"/>
          <w:highlight w:val="none"/>
          <w:shd w:val="clear" w:color="auto" w:fill="FFFFFF"/>
        </w:rPr>
        <w:br w:type="textWrapping"/>
      </w:r>
      <w:r>
        <w:rPr>
          <w:rFonts w:hint="eastAsia" w:ascii="宋体" w:hAnsi="宋体" w:eastAsia="宋体" w:cs="宋体"/>
          <w:color w:val="auto"/>
          <w:sz w:val="21"/>
          <w:szCs w:val="21"/>
          <w:highlight w:val="none"/>
          <w:shd w:val="clear" w:color="auto" w:fill="FFFFFF"/>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宋体" w:hAnsi="宋体" w:eastAsia="宋体" w:cs="宋体"/>
          <w:color w:val="auto"/>
          <w:sz w:val="21"/>
          <w:szCs w:val="21"/>
          <w:highlight w:val="none"/>
          <w:shd w:val="clear" w:color="auto" w:fill="FFFFFF"/>
        </w:rPr>
        <w:br w:type="textWrapping"/>
      </w:r>
      <w:r>
        <w:rPr>
          <w:rFonts w:hint="eastAsia" w:ascii="宋体" w:hAnsi="宋体" w:eastAsia="宋体" w:cs="宋体"/>
          <w:b w:val="0"/>
          <w:bCs w:val="0"/>
          <w:color w:val="auto"/>
          <w:sz w:val="21"/>
          <w:szCs w:val="21"/>
          <w:highlight w:val="none"/>
          <w:shd w:val="clear" w:color="auto" w:fill="FFFFFF"/>
        </w:rPr>
        <w:t>　　（十六）其他未列明行业。从业人员300人以下的为中小微型企业。其中，从业人员100人及以上的为中型企业；从业人员10人及以上的为小型企业；从业人员10人以下的为微型企业。</w:t>
      </w:r>
      <w:r>
        <w:rPr>
          <w:rFonts w:hint="eastAsia" w:ascii="宋体" w:hAnsi="宋体" w:eastAsia="宋体" w:cs="宋体"/>
          <w:b w:val="0"/>
          <w:bCs w:val="0"/>
          <w:color w:val="auto"/>
          <w:sz w:val="21"/>
          <w:szCs w:val="21"/>
          <w:highlight w:val="none"/>
          <w:shd w:val="clear" w:color="auto" w:fill="FFFFFF"/>
        </w:rPr>
        <w:br w:type="textWrapping"/>
      </w:r>
      <w:r>
        <w:rPr>
          <w:rFonts w:hint="eastAsia" w:ascii="宋体" w:hAnsi="宋体" w:eastAsia="宋体" w:cs="宋体"/>
          <w:b w:val="0"/>
          <w:bCs w:val="0"/>
          <w:color w:val="auto"/>
          <w:sz w:val="21"/>
          <w:szCs w:val="21"/>
          <w:highlight w:val="none"/>
          <w:shd w:val="clear" w:color="auto" w:fill="FFFFFF"/>
        </w:rPr>
        <w:t>　　五、企业类型的划分以统计部门的统计数据为依据。</w:t>
      </w:r>
      <w:r>
        <w:rPr>
          <w:rFonts w:hint="eastAsia" w:ascii="宋体" w:hAnsi="宋体" w:eastAsia="宋体" w:cs="宋体"/>
          <w:color w:val="auto"/>
          <w:sz w:val="21"/>
          <w:szCs w:val="21"/>
          <w:highlight w:val="none"/>
          <w:shd w:val="clear" w:color="auto" w:fill="FFFFFF"/>
        </w:rPr>
        <w:br w:type="textWrapping"/>
      </w:r>
      <w:r>
        <w:rPr>
          <w:rFonts w:hint="eastAsia" w:ascii="宋体" w:hAnsi="宋体" w:eastAsia="宋体" w:cs="宋体"/>
          <w:color w:val="auto"/>
          <w:sz w:val="21"/>
          <w:szCs w:val="21"/>
          <w:highlight w:val="none"/>
          <w:shd w:val="clear" w:color="auto" w:fill="FFFFFF"/>
        </w:rPr>
        <w:t>　　六、本规定适用于在中华人民共和国境内依法设立的各类所有制和各种组织形式的企业。个体工商户和本规定以外的行业，参照本规定进行划型。</w:t>
      </w:r>
      <w:r>
        <w:rPr>
          <w:rFonts w:hint="eastAsia" w:ascii="宋体" w:hAnsi="宋体" w:eastAsia="宋体" w:cs="宋体"/>
          <w:color w:val="auto"/>
          <w:sz w:val="21"/>
          <w:szCs w:val="21"/>
          <w:highlight w:val="none"/>
          <w:shd w:val="clear" w:color="auto" w:fill="FFFFFF"/>
        </w:rPr>
        <w:br w:type="textWrapping"/>
      </w:r>
      <w:r>
        <w:rPr>
          <w:rFonts w:hint="eastAsia" w:ascii="宋体" w:hAnsi="宋体" w:eastAsia="宋体" w:cs="宋体"/>
          <w:color w:val="auto"/>
          <w:sz w:val="21"/>
          <w:szCs w:val="21"/>
          <w:highlight w:val="none"/>
          <w:shd w:val="clear" w:color="auto" w:fill="FFFFFF"/>
        </w:rPr>
        <w:t>　　七、本规定的中型企业标准上限即为大型企业标准的下限，国家统计部门据此制定大中小微型企业的统计分类。国务院有关部门据此进行相关数据分析，不得制定与本规定不一致的企业划型标准。</w:t>
      </w:r>
      <w:r>
        <w:rPr>
          <w:rFonts w:hint="eastAsia" w:ascii="宋体" w:hAnsi="宋体" w:eastAsia="宋体" w:cs="宋体"/>
          <w:color w:val="auto"/>
          <w:sz w:val="21"/>
          <w:szCs w:val="21"/>
          <w:highlight w:val="none"/>
          <w:shd w:val="clear" w:color="auto" w:fill="FFFFFF"/>
        </w:rPr>
        <w:br w:type="textWrapping"/>
      </w:r>
      <w:r>
        <w:rPr>
          <w:rFonts w:hint="eastAsia" w:ascii="宋体" w:hAnsi="宋体" w:eastAsia="宋体" w:cs="宋体"/>
          <w:color w:val="auto"/>
          <w:sz w:val="21"/>
          <w:szCs w:val="21"/>
          <w:highlight w:val="none"/>
          <w:shd w:val="clear" w:color="auto" w:fill="FFFFFF"/>
        </w:rPr>
        <w:t>　　八、本规定由工业和信息化部、国家统计局会同有关部门根据《国民经济行业分类》修订情况和企业发展变化情况适时修订。</w:t>
      </w:r>
      <w:r>
        <w:rPr>
          <w:rFonts w:hint="eastAsia" w:ascii="宋体" w:hAnsi="宋体" w:eastAsia="宋体" w:cs="宋体"/>
          <w:color w:val="auto"/>
          <w:sz w:val="21"/>
          <w:szCs w:val="21"/>
          <w:highlight w:val="none"/>
          <w:shd w:val="clear" w:color="auto" w:fill="FFFFFF"/>
        </w:rPr>
        <w:br w:type="textWrapping"/>
      </w:r>
      <w:r>
        <w:rPr>
          <w:rFonts w:hint="eastAsia" w:ascii="宋体" w:hAnsi="宋体" w:eastAsia="宋体" w:cs="宋体"/>
          <w:color w:val="auto"/>
          <w:sz w:val="21"/>
          <w:szCs w:val="21"/>
          <w:highlight w:val="none"/>
          <w:shd w:val="clear" w:color="auto" w:fill="FFFFFF"/>
        </w:rPr>
        <w:t>　　九、本规定由工业和信息化部、国家统计局会同有关部门负责解释。</w:t>
      </w:r>
      <w:r>
        <w:rPr>
          <w:rFonts w:hint="eastAsia" w:ascii="宋体" w:hAnsi="宋体" w:eastAsia="宋体" w:cs="宋体"/>
          <w:color w:val="auto"/>
          <w:sz w:val="21"/>
          <w:szCs w:val="21"/>
          <w:highlight w:val="none"/>
          <w:shd w:val="clear" w:color="auto" w:fill="FFFFFF"/>
        </w:rPr>
        <w:br w:type="textWrapping"/>
      </w:r>
      <w:r>
        <w:rPr>
          <w:rFonts w:hint="eastAsia" w:ascii="宋体" w:hAnsi="宋体" w:eastAsia="宋体" w:cs="宋体"/>
          <w:color w:val="auto"/>
          <w:sz w:val="21"/>
          <w:szCs w:val="21"/>
          <w:highlight w:val="none"/>
          <w:shd w:val="clear" w:color="auto" w:fill="FFFFFF"/>
        </w:rPr>
        <w:t>　　十、本规定自发布之日起执行，原国家经贸委、原国家计委、财政部和国家统计局2003年颁布的《中小企业标准暂行规定》同时废止。</w:t>
      </w:r>
    </w:p>
    <w:bookmarkEnd w:id="129"/>
    <w:p w14:paraId="244FFF71">
      <w:pPr>
        <w:spacing w:line="360" w:lineRule="auto"/>
        <w:rPr>
          <w:rFonts w:hint="eastAsia" w:ascii="宋体" w:hAnsi="宋体" w:eastAsia="宋体" w:cs="宋体"/>
          <w:color w:val="auto"/>
          <w:sz w:val="21"/>
          <w:szCs w:val="21"/>
          <w:highlight w:val="none"/>
        </w:rPr>
      </w:pPr>
    </w:p>
    <w:p w14:paraId="6576B760">
      <w:pPr>
        <w:pageBreakBefore w:val="0"/>
        <w:kinsoku/>
        <w:overflowPunct/>
        <w:topLinePunct w:val="0"/>
        <w:bidi w:val="0"/>
        <w:adjustRightInd w:val="0"/>
        <w:snapToGrid w:val="0"/>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b/>
          <w:color w:val="auto"/>
          <w:sz w:val="21"/>
          <w:szCs w:val="21"/>
          <w:highlight w:val="none"/>
          <w:lang w:val="en-US" w:eastAsia="zh-CN"/>
        </w:rPr>
        <w:t>附件2：</w:t>
      </w:r>
    </w:p>
    <w:p w14:paraId="17A50BE6">
      <w:pPr>
        <w:pStyle w:val="4"/>
        <w:tabs>
          <w:tab w:val="left" w:pos="720"/>
        </w:tabs>
        <w:spacing w:before="0"/>
        <w:jc w:val="center"/>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监狱企业的证明文件</w:t>
      </w:r>
    </w:p>
    <w:p w14:paraId="265F2043">
      <w:pPr>
        <w:pStyle w:val="4"/>
        <w:tabs>
          <w:tab w:val="left" w:pos="720"/>
        </w:tabs>
        <w:spacing w:before="0"/>
        <w:outlineLvl w:val="9"/>
        <w:rPr>
          <w:rFonts w:hint="eastAsia" w:ascii="宋体" w:hAnsi="宋体" w:eastAsia="宋体" w:cs="宋体"/>
          <w:b/>
          <w:bCs/>
          <w:color w:val="auto"/>
          <w:sz w:val="21"/>
          <w:szCs w:val="21"/>
          <w:highlight w:val="none"/>
        </w:rPr>
      </w:pPr>
    </w:p>
    <w:p w14:paraId="1390E69D">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（如果是，提供</w:t>
      </w:r>
      <w:r>
        <w:rPr>
          <w:rFonts w:hint="eastAsia" w:ascii="宋体" w:hAnsi="宋体" w:eastAsia="宋体" w:cs="宋体"/>
          <w:bCs/>
          <w:color w:val="auto"/>
          <w:sz w:val="21"/>
          <w:szCs w:val="21"/>
          <w:highlight w:val="none"/>
        </w:rPr>
        <w:t>省级以上监狱管理局、戒毒管理局（含新疆生产建设兵团）出具的属于监狱企业的证明文件</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rPr>
        <w:tab/>
      </w:r>
    </w:p>
    <w:p w14:paraId="5BED079A">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line="440" w:lineRule="exact"/>
        <w:jc w:val="center"/>
        <w:textAlignment w:val="auto"/>
        <w:rPr>
          <w:rFonts w:hint="eastAsia" w:ascii="宋体" w:hAnsi="宋体" w:eastAsia="宋体" w:cs="宋体"/>
          <w:color w:val="auto"/>
          <w:sz w:val="21"/>
          <w:szCs w:val="21"/>
          <w:highlight w:val="none"/>
        </w:rPr>
      </w:pPr>
    </w:p>
    <w:p w14:paraId="68AADF8F">
      <w:pPr>
        <w:pageBreakBefore w:val="0"/>
        <w:kinsoku/>
        <w:overflowPunct/>
        <w:topLinePunct w:val="0"/>
        <w:bidi w:val="0"/>
        <w:adjustRightInd w:val="0"/>
        <w:snapToGrid w:val="0"/>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br w:type="page"/>
      </w:r>
      <w:r>
        <w:rPr>
          <w:rFonts w:hint="eastAsia" w:ascii="宋体" w:hAnsi="宋体" w:eastAsia="宋体" w:cs="宋体"/>
          <w:b/>
          <w:color w:val="auto"/>
          <w:sz w:val="21"/>
          <w:szCs w:val="21"/>
          <w:highlight w:val="none"/>
          <w:lang w:val="en-US" w:eastAsia="zh-CN"/>
        </w:rPr>
        <w:t>附件3</w:t>
      </w:r>
      <w:r>
        <w:rPr>
          <w:rFonts w:hint="eastAsia" w:ascii="宋体" w:hAnsi="宋体" w:eastAsia="宋体" w:cs="宋体"/>
          <w:color w:val="auto"/>
          <w:sz w:val="21"/>
          <w:szCs w:val="21"/>
          <w:highlight w:val="none"/>
        </w:rPr>
        <w:t>：</w:t>
      </w:r>
    </w:p>
    <w:p w14:paraId="6CD1484D">
      <w:pPr>
        <w:pStyle w:val="4"/>
        <w:tabs>
          <w:tab w:val="left" w:pos="720"/>
        </w:tabs>
        <w:ind w:left="720" w:hanging="720"/>
        <w:jc w:val="center"/>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残疾人福利性单位声明函</w:t>
      </w:r>
    </w:p>
    <w:p w14:paraId="5DB28BA8">
      <w:pPr>
        <w:pageBreakBefore w:val="0"/>
        <w:widowControl w:val="0"/>
        <w:kinsoku/>
        <w:wordWrap/>
        <w:overflowPunct/>
        <w:topLinePunct w:val="0"/>
        <w:autoSpaceDE w:val="0"/>
        <w:autoSpaceDN w:val="0"/>
        <w:bidi w:val="0"/>
        <w:adjustRightInd/>
        <w:snapToGrid/>
        <w:spacing w:line="44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（如果是，提供）</w:t>
      </w:r>
    </w:p>
    <w:p w14:paraId="2BECE001">
      <w:pPr>
        <w:pageBreakBefore w:val="0"/>
        <w:widowControl w:val="0"/>
        <w:kinsoku/>
        <w:wordWrap/>
        <w:overflowPunct/>
        <w:topLinePunct w:val="0"/>
        <w:autoSpaceDE w:val="0"/>
        <w:autoSpaceDN w:val="0"/>
        <w:bidi w:val="0"/>
        <w:adjustRightInd/>
        <w:snapToGrid/>
        <w:spacing w:line="440" w:lineRule="exact"/>
        <w:ind w:firstLine="420" w:firstLineChars="200"/>
        <w:textAlignment w:val="auto"/>
        <w:rPr>
          <w:rFonts w:hint="eastAsia" w:ascii="宋体" w:hAnsi="宋体" w:eastAsia="宋体" w:cs="宋体"/>
          <w:snapToGrid w:val="0"/>
          <w:color w:val="auto"/>
          <w:sz w:val="21"/>
          <w:szCs w:val="21"/>
          <w:highlight w:val="none"/>
          <w:lang w:eastAsia="zh-CN"/>
        </w:rPr>
      </w:pPr>
      <w:r>
        <w:rPr>
          <w:rFonts w:hint="eastAsia" w:ascii="宋体" w:hAnsi="宋体" w:eastAsia="宋体" w:cs="宋体"/>
          <w:snapToGrid w:val="0"/>
          <w:color w:val="auto"/>
          <w:sz w:val="21"/>
          <w:szCs w:val="21"/>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中国残疾人联合会关于促进残疾人就业政府采购政策的通知》（财库〔2017〕141号）的规定，本单位为符合条件的残疾人福利性单位，且本单位参加______单位的______项目采购活动由本单位提供服务</w:t>
      </w:r>
      <w:r>
        <w:rPr>
          <w:rFonts w:hint="eastAsia" w:ascii="宋体" w:hAnsi="宋体" w:eastAsia="宋体" w:cs="宋体"/>
          <w:snapToGrid w:val="0"/>
          <w:color w:val="auto"/>
          <w:sz w:val="21"/>
          <w:szCs w:val="21"/>
          <w:highlight w:val="none"/>
          <w:lang w:eastAsia="zh-CN"/>
        </w:rPr>
        <w:t>。</w:t>
      </w:r>
    </w:p>
    <w:p w14:paraId="3E97A9AC">
      <w:pPr>
        <w:pageBreakBefore w:val="0"/>
        <w:widowControl w:val="0"/>
        <w:kinsoku/>
        <w:wordWrap/>
        <w:overflowPunct/>
        <w:topLinePunct w:val="0"/>
        <w:bidi w:val="0"/>
        <w:adjustRightInd/>
        <w:snapToGrid/>
        <w:spacing w:line="440" w:lineRule="exact"/>
        <w:ind w:firstLine="420" w:firstLineChars="200"/>
        <w:textAlignment w:val="auto"/>
        <w:rPr>
          <w:rFonts w:hint="eastAsia" w:ascii="宋体" w:hAnsi="宋体" w:eastAsia="宋体" w:cs="宋体"/>
          <w:snapToGrid w:val="0"/>
          <w:color w:val="auto"/>
          <w:sz w:val="21"/>
          <w:szCs w:val="21"/>
          <w:highlight w:val="none"/>
        </w:rPr>
      </w:pPr>
    </w:p>
    <w:p w14:paraId="20CCB9A3">
      <w:pPr>
        <w:pageBreakBefore w:val="0"/>
        <w:widowControl w:val="0"/>
        <w:kinsoku/>
        <w:wordWrap/>
        <w:overflowPunct/>
        <w:topLinePunct w:val="0"/>
        <w:bidi w:val="0"/>
        <w:adjustRightInd/>
        <w:snapToGrid/>
        <w:spacing w:line="440" w:lineRule="exact"/>
        <w:ind w:firstLine="420" w:firstLineChars="200"/>
        <w:textAlignment w:val="auto"/>
        <w:rPr>
          <w:rFonts w:hint="eastAsia" w:ascii="宋体" w:hAnsi="宋体" w:eastAsia="宋体" w:cs="宋体"/>
          <w:snapToGrid w:val="0"/>
          <w:color w:val="auto"/>
          <w:sz w:val="21"/>
          <w:szCs w:val="21"/>
          <w:highlight w:val="none"/>
        </w:rPr>
      </w:pPr>
    </w:p>
    <w:p w14:paraId="46174901">
      <w:pPr>
        <w:pageBreakBefore w:val="0"/>
        <w:widowControl w:val="0"/>
        <w:kinsoku/>
        <w:wordWrap/>
        <w:overflowPunct/>
        <w:topLinePunct w:val="0"/>
        <w:bidi w:val="0"/>
        <w:adjustRightInd/>
        <w:snapToGrid/>
        <w:spacing w:line="440" w:lineRule="exact"/>
        <w:ind w:firstLine="420" w:firstLineChars="200"/>
        <w:textAlignment w:val="auto"/>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 xml:space="preserve">                                         </w:t>
      </w:r>
    </w:p>
    <w:p w14:paraId="772575DB">
      <w:pPr>
        <w:pStyle w:val="34"/>
        <w:pageBreakBefore w:val="0"/>
        <w:widowControl w:val="0"/>
        <w:tabs>
          <w:tab w:val="left" w:pos="9450"/>
        </w:tabs>
        <w:kinsoku/>
        <w:wordWrap/>
        <w:overflowPunct/>
        <w:topLinePunct w:val="0"/>
        <w:bidi w:val="0"/>
        <w:adjustRightInd/>
        <w:snapToGrid/>
        <w:spacing w:line="440" w:lineRule="exact"/>
        <w:ind w:right="84" w:rightChars="40" w:firstLine="420" w:firstLineChars="200"/>
        <w:jc w:val="lef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投标人</w:t>
      </w:r>
      <w:r>
        <w:rPr>
          <w:rFonts w:hint="eastAsia" w:ascii="宋体" w:hAnsi="宋体" w:eastAsia="宋体" w:cs="宋体"/>
          <w:color w:val="auto"/>
          <w:sz w:val="21"/>
          <w:szCs w:val="21"/>
          <w:highlight w:val="none"/>
        </w:rPr>
        <w:t>名称（盖</w:t>
      </w:r>
      <w:r>
        <w:rPr>
          <w:rFonts w:hint="eastAsia" w:ascii="宋体" w:hAnsi="宋体" w:eastAsia="宋体" w:cs="宋体"/>
          <w:color w:val="auto"/>
          <w:sz w:val="21"/>
          <w:szCs w:val="21"/>
          <w:highlight w:val="none"/>
          <w:shd w:val="clear" w:color="auto" w:fill="FFFFFF"/>
        </w:rPr>
        <w:t>单位公章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0A2C2807">
      <w:pPr>
        <w:pStyle w:val="34"/>
        <w:pageBreakBefore w:val="0"/>
        <w:widowControl w:val="0"/>
        <w:tabs>
          <w:tab w:val="left" w:pos="9450"/>
        </w:tabs>
        <w:kinsoku/>
        <w:wordWrap/>
        <w:overflowPunct/>
        <w:topLinePunct w:val="0"/>
        <w:bidi w:val="0"/>
        <w:adjustRightInd/>
        <w:snapToGrid/>
        <w:spacing w:line="440" w:lineRule="exact"/>
        <w:ind w:right="84" w:rightChars="4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法定代表人或其委托代理人（签字）：</w:t>
      </w:r>
      <w:r>
        <w:rPr>
          <w:rFonts w:hint="eastAsia" w:ascii="宋体" w:hAnsi="宋体" w:eastAsia="宋体" w:cs="宋体"/>
          <w:color w:val="auto"/>
          <w:sz w:val="21"/>
          <w:szCs w:val="21"/>
          <w:highlight w:val="none"/>
          <w:u w:val="single"/>
        </w:rPr>
        <w:t xml:space="preserve">                       </w:t>
      </w:r>
    </w:p>
    <w:p w14:paraId="2DD5F056">
      <w:pPr>
        <w:pageBreakBefore w:val="0"/>
        <w:widowControl w:val="0"/>
        <w:kinsoku/>
        <w:wordWrap/>
        <w:overflowPunct/>
        <w:topLinePunct w:val="0"/>
        <w:bidi w:val="0"/>
        <w:adjustRightInd/>
        <w:snapToGrid/>
        <w:spacing w:line="440" w:lineRule="exact"/>
        <w:ind w:firstLine="420" w:firstLineChars="200"/>
        <w:textAlignment w:val="auto"/>
        <w:rPr>
          <w:rFonts w:hint="eastAsia" w:ascii="宋体" w:hAnsi="宋体" w:eastAsia="宋体" w:cs="宋体"/>
          <w:snapToGrid w:val="0"/>
          <w:color w:val="auto"/>
          <w:sz w:val="21"/>
          <w:szCs w:val="21"/>
          <w:highlight w:val="none"/>
        </w:rPr>
        <w:sectPr>
          <w:pgSz w:w="11905" w:h="16838"/>
          <w:pgMar w:top="1417" w:right="1417" w:bottom="1417" w:left="1701" w:header="850" w:footer="737" w:gutter="0"/>
          <w:pgNumType w:fmt="decimal"/>
          <w:cols w:space="720" w:num="1"/>
          <w:titlePg/>
          <w:rtlGutter w:val="0"/>
          <w:docGrid w:type="lines" w:linePitch="519" w:charSpace="0"/>
        </w:sectPr>
      </w:pPr>
      <w:r>
        <w:rPr>
          <w:rFonts w:hint="eastAsia" w:ascii="宋体" w:hAnsi="宋体" w:eastAsia="宋体" w:cs="宋体"/>
          <w:snapToGrid w:val="0"/>
          <w:color w:val="auto"/>
          <w:sz w:val="21"/>
          <w:szCs w:val="21"/>
          <w:highlight w:val="none"/>
        </w:rPr>
        <w:t>日  期：</w:t>
      </w:r>
    </w:p>
    <w:p w14:paraId="6E37FA7A">
      <w:pPr>
        <w:pageBreakBefore w:val="0"/>
        <w:kinsoku/>
        <w:overflowPunct/>
        <w:topLinePunct w:val="0"/>
        <w:bidi w:val="0"/>
        <w:adjustRightInd w:val="0"/>
        <w:snapToGrid w:val="0"/>
        <w:spacing w:line="440" w:lineRule="exact"/>
        <w:jc w:val="left"/>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附件4：</w:t>
      </w:r>
    </w:p>
    <w:p w14:paraId="3F87AE70">
      <w:pPr>
        <w:pageBreakBefore w:val="0"/>
        <w:kinsoku/>
        <w:overflowPunct/>
        <w:topLinePunct w:val="0"/>
        <w:bidi w:val="0"/>
        <w:adjustRightInd w:val="0"/>
        <w:snapToGrid w:val="0"/>
        <w:spacing w:line="440" w:lineRule="exact"/>
        <w:jc w:val="left"/>
        <w:textAlignment w:val="auto"/>
        <w:rPr>
          <w:rFonts w:hint="eastAsia" w:ascii="宋体" w:hAnsi="宋体" w:eastAsia="宋体" w:cs="宋体"/>
          <w:b/>
          <w:color w:val="auto"/>
          <w:sz w:val="21"/>
          <w:szCs w:val="21"/>
          <w:highlight w:val="none"/>
          <w:lang w:val="en-US" w:eastAsia="zh-CN"/>
        </w:rPr>
      </w:pPr>
    </w:p>
    <w:p w14:paraId="2ECD80A0">
      <w:pPr>
        <w:pageBreakBefore w:val="0"/>
        <w:kinsoku/>
        <w:overflowPunct/>
        <w:topLinePunct w:val="0"/>
        <w:bidi w:val="0"/>
        <w:adjustRightInd w:val="0"/>
        <w:snapToGrid w:val="0"/>
        <w:spacing w:line="440" w:lineRule="exact"/>
        <w:jc w:val="center"/>
        <w:textAlignment w:val="auto"/>
        <w:rPr>
          <w:rFonts w:hint="eastAsia" w:ascii="宋体" w:hAnsi="宋体" w:eastAsia="宋体" w:cs="宋体"/>
          <w:b/>
          <w:color w:val="auto"/>
          <w:sz w:val="21"/>
          <w:szCs w:val="21"/>
          <w:highlight w:val="none"/>
          <w:lang w:val="en-US" w:eastAsia="zh-CN"/>
        </w:rPr>
        <w:sectPr>
          <w:pgSz w:w="11905" w:h="16838"/>
          <w:pgMar w:top="1417" w:right="1417" w:bottom="1417" w:left="1701" w:header="850" w:footer="737" w:gutter="0"/>
          <w:pgNumType w:fmt="decimal"/>
          <w:cols w:space="720" w:num="1"/>
          <w:titlePg/>
          <w:rtlGutter w:val="0"/>
          <w:docGrid w:type="lines" w:linePitch="519" w:charSpace="0"/>
        </w:sectPr>
      </w:pPr>
      <w:r>
        <w:rPr>
          <w:rFonts w:hint="eastAsia" w:ascii="宋体" w:hAnsi="宋体" w:eastAsia="宋体" w:cs="宋体"/>
          <w:b/>
          <w:bCs w:val="0"/>
          <w:color w:val="auto"/>
          <w:sz w:val="21"/>
          <w:szCs w:val="21"/>
          <w:highlight w:val="none"/>
          <w:lang w:eastAsia="zh-CN"/>
        </w:rPr>
        <w:t>投标人认为有必要的其他材料</w:t>
      </w:r>
    </w:p>
    <w:p w14:paraId="05013B05">
      <w:pPr>
        <w:keepNext w:val="0"/>
        <w:keepLines w:val="0"/>
        <w:pageBreakBefore w:val="0"/>
        <w:widowControl/>
        <w:kinsoku/>
        <w:wordWrap/>
        <w:overflowPunct/>
        <w:topLinePunct w:val="0"/>
        <w:bidi w:val="0"/>
        <w:spacing w:line="440" w:lineRule="exact"/>
        <w:jc w:val="left"/>
        <w:rPr>
          <w:rFonts w:hint="eastAsia" w:ascii="宋体" w:hAnsi="宋体" w:eastAsia="宋体" w:cs="宋体"/>
          <w:color w:val="auto"/>
          <w:sz w:val="21"/>
          <w:szCs w:val="21"/>
          <w:highlight w:val="none"/>
        </w:rPr>
      </w:pPr>
    </w:p>
    <w:p w14:paraId="346B1C17">
      <w:pPr>
        <w:keepNext w:val="0"/>
        <w:keepLines w:val="0"/>
        <w:pageBreakBefore w:val="0"/>
        <w:widowControl/>
        <w:kinsoku/>
        <w:wordWrap/>
        <w:overflowPunct/>
        <w:topLinePunct w:val="0"/>
        <w:bidi w:val="0"/>
        <w:spacing w:line="440" w:lineRule="exact"/>
        <w:jc w:val="center"/>
        <w:rPr>
          <w:rFonts w:hint="eastAsia" w:ascii="宋体" w:hAnsi="宋体" w:eastAsia="宋体" w:cs="宋体"/>
          <w:b/>
          <w:bCs/>
          <w:color w:val="auto"/>
          <w:kern w:val="0"/>
          <w:sz w:val="21"/>
          <w:szCs w:val="21"/>
          <w:highlight w:val="none"/>
          <w:lang w:val="zh-CN"/>
        </w:rPr>
      </w:pPr>
      <w:r>
        <w:rPr>
          <w:rFonts w:hint="eastAsia" w:ascii="宋体" w:hAnsi="宋体" w:eastAsia="宋体" w:cs="宋体"/>
          <w:b/>
          <w:bCs/>
          <w:color w:val="auto"/>
          <w:kern w:val="0"/>
          <w:sz w:val="21"/>
          <w:szCs w:val="21"/>
          <w:highlight w:val="none"/>
          <w:lang w:val="zh-CN"/>
        </w:rPr>
        <w:t>《关于印发&lt;政府采购促进中小企业发展管理办法&gt;的通知》</w:t>
      </w:r>
    </w:p>
    <w:p w14:paraId="175F9657">
      <w:pPr>
        <w:keepNext w:val="0"/>
        <w:keepLines w:val="0"/>
        <w:pageBreakBefore w:val="0"/>
        <w:widowControl/>
        <w:kinsoku/>
        <w:wordWrap/>
        <w:overflowPunct/>
        <w:topLinePunct w:val="0"/>
        <w:bidi w:val="0"/>
        <w:spacing w:line="440" w:lineRule="exact"/>
        <w:jc w:val="center"/>
        <w:rPr>
          <w:rFonts w:hint="eastAsia" w:ascii="宋体" w:hAnsi="宋体" w:eastAsia="宋体" w:cs="宋体"/>
          <w:b/>
          <w:color w:val="auto"/>
          <w:kern w:val="0"/>
          <w:sz w:val="21"/>
          <w:szCs w:val="21"/>
          <w:highlight w:val="none"/>
        </w:rPr>
      </w:pPr>
      <w:r>
        <w:rPr>
          <w:rFonts w:hint="eastAsia" w:ascii="宋体" w:hAnsi="宋体" w:eastAsia="宋体" w:cs="宋体"/>
          <w:b/>
          <w:bCs/>
          <w:color w:val="auto"/>
          <w:kern w:val="0"/>
          <w:sz w:val="21"/>
          <w:szCs w:val="21"/>
          <w:highlight w:val="none"/>
          <w:lang w:val="zh-CN"/>
        </w:rPr>
        <w:t>(财库〔2020〕46号）</w:t>
      </w:r>
    </w:p>
    <w:p w14:paraId="279D7B80">
      <w:pPr>
        <w:keepNext w:val="0"/>
        <w:keepLines w:val="0"/>
        <w:pageBreakBefore w:val="0"/>
        <w:widowControl/>
        <w:kinsoku/>
        <w:wordWrap/>
        <w:overflowPunct/>
        <w:topLinePunct w:val="0"/>
        <w:bidi w:val="0"/>
        <w:spacing w:line="4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政府采购促进中小企业发展管理办法</w:t>
      </w:r>
    </w:p>
    <w:p w14:paraId="257BA9EB">
      <w:pPr>
        <w:keepNext w:val="0"/>
        <w:keepLines w:val="0"/>
        <w:pageBreakBefore w:val="0"/>
        <w:widowControl/>
        <w:kinsoku/>
        <w:wordWrap/>
        <w:overflowPunct/>
        <w:topLinePunct w:val="0"/>
        <w:bidi w:val="0"/>
        <w:spacing w:line="440" w:lineRule="exact"/>
        <w:jc w:val="left"/>
        <w:rPr>
          <w:rFonts w:hint="eastAsia" w:ascii="宋体" w:hAnsi="宋体" w:eastAsia="宋体" w:cs="宋体"/>
          <w:color w:val="auto"/>
          <w:kern w:val="0"/>
          <w:sz w:val="21"/>
          <w:szCs w:val="21"/>
          <w:highlight w:val="none"/>
        </w:rPr>
      </w:pPr>
    </w:p>
    <w:p w14:paraId="02C64FF5">
      <w:pPr>
        <w:keepNext w:val="0"/>
        <w:keepLines w:val="0"/>
        <w:pageBreakBefore w:val="0"/>
        <w:kinsoku/>
        <w:wordWrap/>
        <w:overflowPunct/>
        <w:topLinePunct w:val="0"/>
        <w:bidi w:val="0"/>
        <w:spacing w:line="440" w:lineRule="exact"/>
        <w:ind w:firstLine="420" w:firstLineChars="200"/>
        <w:jc w:val="left"/>
        <w:textAlignment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第一条　为了发挥政府采购的政策功能，促进中小企业健康发展，根据《中华人民共和国政府采购法》、《中华人民共和国中小企业促进法》等有关法律法规，制定本办法。</w:t>
      </w:r>
    </w:p>
    <w:p w14:paraId="08DE60AE">
      <w:pPr>
        <w:keepNext w:val="0"/>
        <w:keepLines w:val="0"/>
        <w:pageBreakBefore w:val="0"/>
        <w:kinsoku/>
        <w:wordWrap/>
        <w:overflowPunct/>
        <w:topLinePunct w:val="0"/>
        <w:bidi w:val="0"/>
        <w:spacing w:line="440" w:lineRule="exact"/>
        <w:ind w:firstLine="420" w:firstLineChars="200"/>
        <w:jc w:val="left"/>
        <w:textAlignment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3E98F52B">
      <w:pPr>
        <w:keepNext w:val="0"/>
        <w:keepLines w:val="0"/>
        <w:pageBreakBefore w:val="0"/>
        <w:kinsoku/>
        <w:wordWrap/>
        <w:overflowPunct/>
        <w:topLinePunct w:val="0"/>
        <w:bidi w:val="0"/>
        <w:spacing w:line="440" w:lineRule="exact"/>
        <w:ind w:firstLine="420" w:firstLineChars="200"/>
        <w:jc w:val="left"/>
        <w:textAlignment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符合中小企业划分标准的个体工商户，在政府采购活动中视同中小企业。</w:t>
      </w:r>
    </w:p>
    <w:p w14:paraId="09068386">
      <w:pPr>
        <w:keepNext w:val="0"/>
        <w:keepLines w:val="0"/>
        <w:pageBreakBefore w:val="0"/>
        <w:kinsoku/>
        <w:wordWrap/>
        <w:overflowPunct/>
        <w:topLinePunct w:val="0"/>
        <w:bidi w:val="0"/>
        <w:spacing w:line="440" w:lineRule="exact"/>
        <w:ind w:firstLine="420" w:firstLineChars="200"/>
        <w:jc w:val="left"/>
        <w:textAlignment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第三条　采购人在政府采购活动中应当通过加强采购需求管理，落实预留采购份额、价格评审优惠、优先采购等措施，提高中小企业在政府采购中的份额，支持中小企业发展。</w:t>
      </w:r>
    </w:p>
    <w:p w14:paraId="7F4EF42C">
      <w:pPr>
        <w:keepNext w:val="0"/>
        <w:keepLines w:val="0"/>
        <w:pageBreakBefore w:val="0"/>
        <w:kinsoku/>
        <w:wordWrap/>
        <w:overflowPunct/>
        <w:topLinePunct w:val="0"/>
        <w:bidi w:val="0"/>
        <w:spacing w:line="440" w:lineRule="exact"/>
        <w:ind w:firstLine="420" w:firstLineChars="200"/>
        <w:jc w:val="left"/>
        <w:textAlignment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第四条　在政府采购活动中，投标人提供的货物、工程或者服务符合下列情形的，享受本办法规定的中小企业扶持政策：</w:t>
      </w:r>
    </w:p>
    <w:p w14:paraId="5216D91E">
      <w:pPr>
        <w:keepNext w:val="0"/>
        <w:keepLines w:val="0"/>
        <w:pageBreakBefore w:val="0"/>
        <w:kinsoku/>
        <w:wordWrap/>
        <w:overflowPunct/>
        <w:topLinePunct w:val="0"/>
        <w:bidi w:val="0"/>
        <w:spacing w:line="440" w:lineRule="exact"/>
        <w:ind w:firstLine="422" w:firstLineChars="200"/>
        <w:jc w:val="left"/>
        <w:textAlignment w:val="center"/>
        <w:rPr>
          <w:rFonts w:hint="eastAsia" w:ascii="宋体" w:hAnsi="宋体" w:eastAsia="宋体" w:cs="宋体"/>
          <w:color w:val="auto"/>
          <w:sz w:val="21"/>
          <w:szCs w:val="21"/>
          <w:highlight w:val="none"/>
          <w:lang w:val="zh-CN"/>
        </w:rPr>
      </w:pPr>
      <w:r>
        <w:rPr>
          <w:rFonts w:hint="eastAsia" w:ascii="宋体" w:hAnsi="宋体" w:eastAsia="宋体" w:cs="宋体"/>
          <w:b/>
          <w:bCs/>
          <w:color w:val="auto"/>
          <w:sz w:val="21"/>
          <w:szCs w:val="21"/>
          <w:highlight w:val="none"/>
          <w:lang w:val="zh-CN"/>
        </w:rPr>
        <w:t>（一）在货物采购项目中，货物由中小企业制造，即货物由中小企业生产且使用该中小企业商号或者注册商标</w:t>
      </w:r>
      <w:r>
        <w:rPr>
          <w:rFonts w:hint="eastAsia" w:ascii="宋体" w:hAnsi="宋体" w:eastAsia="宋体" w:cs="宋体"/>
          <w:color w:val="auto"/>
          <w:sz w:val="21"/>
          <w:szCs w:val="21"/>
          <w:highlight w:val="none"/>
          <w:lang w:val="zh-CN"/>
        </w:rPr>
        <w:t>；</w:t>
      </w:r>
    </w:p>
    <w:p w14:paraId="28600C5B">
      <w:pPr>
        <w:keepNext w:val="0"/>
        <w:keepLines w:val="0"/>
        <w:pageBreakBefore w:val="0"/>
        <w:kinsoku/>
        <w:wordWrap/>
        <w:overflowPunct/>
        <w:topLinePunct w:val="0"/>
        <w:bidi w:val="0"/>
        <w:spacing w:line="440" w:lineRule="exact"/>
        <w:ind w:firstLine="420" w:firstLineChars="200"/>
        <w:jc w:val="left"/>
        <w:textAlignment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（二）在工程采购项目中，工程由中小企业承建，即工程施工单位为中小企业；</w:t>
      </w:r>
    </w:p>
    <w:p w14:paraId="10F33465">
      <w:pPr>
        <w:keepNext w:val="0"/>
        <w:keepLines w:val="0"/>
        <w:pageBreakBefore w:val="0"/>
        <w:kinsoku/>
        <w:wordWrap/>
        <w:overflowPunct/>
        <w:topLinePunct w:val="0"/>
        <w:bidi w:val="0"/>
        <w:spacing w:line="440" w:lineRule="exact"/>
        <w:ind w:firstLine="420" w:firstLineChars="200"/>
        <w:jc w:val="left"/>
        <w:textAlignment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（三）在服务采购项目中，服务由中小企业承接，即提供服务的人员为中小企业依照《中华人民共和国劳动合同法》订立劳动合同的从业人员。</w:t>
      </w:r>
    </w:p>
    <w:p w14:paraId="2EFA691C">
      <w:pPr>
        <w:keepNext w:val="0"/>
        <w:keepLines w:val="0"/>
        <w:pageBreakBefore w:val="0"/>
        <w:kinsoku/>
        <w:wordWrap/>
        <w:overflowPunct/>
        <w:topLinePunct w:val="0"/>
        <w:bidi w:val="0"/>
        <w:spacing w:line="440" w:lineRule="exact"/>
        <w:ind w:firstLine="420" w:firstLineChars="200"/>
        <w:jc w:val="left"/>
        <w:textAlignment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在货物采购项目中，投标人提供的货物既有中小企业制造货物，也有大型企业制造货物的，不享受本办法规定的中小企业扶持政策。</w:t>
      </w:r>
    </w:p>
    <w:p w14:paraId="55A7677B">
      <w:pPr>
        <w:keepNext w:val="0"/>
        <w:keepLines w:val="0"/>
        <w:pageBreakBefore w:val="0"/>
        <w:kinsoku/>
        <w:wordWrap/>
        <w:overflowPunct/>
        <w:topLinePunct w:val="0"/>
        <w:bidi w:val="0"/>
        <w:spacing w:line="440" w:lineRule="exact"/>
        <w:ind w:firstLine="420" w:firstLineChars="200"/>
        <w:jc w:val="left"/>
        <w:textAlignment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以联合体形式参加政府采购活动，联合体各方均为中小企业的，联合体视同中小企业。其中，联合体各方均为小微企业的，联合体视同小微企业。</w:t>
      </w:r>
    </w:p>
    <w:p w14:paraId="25A7DB13">
      <w:pPr>
        <w:keepNext w:val="0"/>
        <w:keepLines w:val="0"/>
        <w:pageBreakBefore w:val="0"/>
        <w:kinsoku/>
        <w:wordWrap/>
        <w:overflowPunct/>
        <w:topLinePunct w:val="0"/>
        <w:bidi w:val="0"/>
        <w:spacing w:line="440" w:lineRule="exact"/>
        <w:ind w:firstLine="420" w:firstLineChars="200"/>
        <w:jc w:val="left"/>
        <w:textAlignment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第五条　采购人在政府采购活动中应当合理确定采购项目的采购需求，不得以企业注册资本、资产总额、营业收入、从业人员、利润、纳税额等规模条件和财务指标作为投标人的资格要求或者评审因素，不得在企业股权结构、经营年限等方面对中小企业实行差别待遇或者歧视待遇。</w:t>
      </w:r>
    </w:p>
    <w:p w14:paraId="5EF593DB">
      <w:pPr>
        <w:keepNext w:val="0"/>
        <w:keepLines w:val="0"/>
        <w:pageBreakBefore w:val="0"/>
        <w:kinsoku/>
        <w:wordWrap/>
        <w:overflowPunct/>
        <w:topLinePunct w:val="0"/>
        <w:bidi w:val="0"/>
        <w:spacing w:line="440" w:lineRule="exact"/>
        <w:ind w:firstLine="420" w:firstLineChars="200"/>
        <w:jc w:val="left"/>
        <w:textAlignment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4A406164">
      <w:pPr>
        <w:keepNext w:val="0"/>
        <w:keepLines w:val="0"/>
        <w:pageBreakBefore w:val="0"/>
        <w:kinsoku/>
        <w:wordWrap/>
        <w:overflowPunct/>
        <w:topLinePunct w:val="0"/>
        <w:bidi w:val="0"/>
        <w:spacing w:line="440" w:lineRule="exact"/>
        <w:ind w:firstLine="420" w:firstLineChars="200"/>
        <w:jc w:val="left"/>
        <w:textAlignment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符合下列情形之一的，可不专门面向中小企业预留采购份额：</w:t>
      </w:r>
    </w:p>
    <w:p w14:paraId="7D6EDEE6">
      <w:pPr>
        <w:keepNext w:val="0"/>
        <w:keepLines w:val="0"/>
        <w:pageBreakBefore w:val="0"/>
        <w:kinsoku/>
        <w:wordWrap/>
        <w:overflowPunct/>
        <w:topLinePunct w:val="0"/>
        <w:bidi w:val="0"/>
        <w:spacing w:line="440" w:lineRule="exact"/>
        <w:ind w:firstLine="420" w:firstLineChars="200"/>
        <w:jc w:val="left"/>
        <w:textAlignment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（一）法律法规和国家有关政策明确规定优先或者应当面向事业单位、社会组织等非企业主体采购的；</w:t>
      </w:r>
    </w:p>
    <w:p w14:paraId="277C8B23">
      <w:pPr>
        <w:keepNext w:val="0"/>
        <w:keepLines w:val="0"/>
        <w:pageBreakBefore w:val="0"/>
        <w:kinsoku/>
        <w:wordWrap/>
        <w:overflowPunct/>
        <w:topLinePunct w:val="0"/>
        <w:bidi w:val="0"/>
        <w:spacing w:line="440" w:lineRule="exact"/>
        <w:ind w:firstLine="420" w:firstLineChars="200"/>
        <w:jc w:val="left"/>
        <w:textAlignment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（二）因确需使用不可替代的专利、专有技术，基础设施限制，或者提供特定公共服务等原因，只能从中小企业之外的投标人处采购的；</w:t>
      </w:r>
    </w:p>
    <w:p w14:paraId="56626417">
      <w:pPr>
        <w:keepNext w:val="0"/>
        <w:keepLines w:val="0"/>
        <w:pageBreakBefore w:val="0"/>
        <w:kinsoku/>
        <w:wordWrap/>
        <w:overflowPunct/>
        <w:topLinePunct w:val="0"/>
        <w:bidi w:val="0"/>
        <w:spacing w:line="440" w:lineRule="exact"/>
        <w:ind w:firstLine="420" w:firstLineChars="200"/>
        <w:jc w:val="left"/>
        <w:textAlignment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（三）按照本办法规定预留采购份额无法确保充分供应、充分竞争，或者存在可能影响政府采购目标实现的情形；</w:t>
      </w:r>
    </w:p>
    <w:p w14:paraId="068A53D7">
      <w:pPr>
        <w:keepNext w:val="0"/>
        <w:keepLines w:val="0"/>
        <w:pageBreakBefore w:val="0"/>
        <w:kinsoku/>
        <w:wordWrap/>
        <w:overflowPunct/>
        <w:topLinePunct w:val="0"/>
        <w:bidi w:val="0"/>
        <w:spacing w:line="440" w:lineRule="exact"/>
        <w:ind w:firstLine="420" w:firstLineChars="200"/>
        <w:jc w:val="left"/>
        <w:textAlignment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（四）框架协议采购项目；</w:t>
      </w:r>
    </w:p>
    <w:p w14:paraId="17FD27B6">
      <w:pPr>
        <w:keepNext w:val="0"/>
        <w:keepLines w:val="0"/>
        <w:pageBreakBefore w:val="0"/>
        <w:kinsoku/>
        <w:wordWrap/>
        <w:overflowPunct/>
        <w:topLinePunct w:val="0"/>
        <w:bidi w:val="0"/>
        <w:spacing w:line="440" w:lineRule="exact"/>
        <w:ind w:firstLine="420" w:firstLineChars="200"/>
        <w:jc w:val="left"/>
        <w:textAlignment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（五）省级以上人民政府财政部门规定的其他情形。</w:t>
      </w:r>
    </w:p>
    <w:p w14:paraId="007015C4">
      <w:pPr>
        <w:keepNext w:val="0"/>
        <w:keepLines w:val="0"/>
        <w:pageBreakBefore w:val="0"/>
        <w:kinsoku/>
        <w:wordWrap/>
        <w:overflowPunct/>
        <w:topLinePunct w:val="0"/>
        <w:bidi w:val="0"/>
        <w:spacing w:line="440" w:lineRule="exact"/>
        <w:ind w:firstLine="420" w:firstLineChars="200"/>
        <w:jc w:val="left"/>
        <w:textAlignment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除上述情形外，其他均为适宜由中小企业提供的情形。</w:t>
      </w:r>
    </w:p>
    <w:p w14:paraId="235ADBD0">
      <w:pPr>
        <w:keepNext w:val="0"/>
        <w:keepLines w:val="0"/>
        <w:pageBreakBefore w:val="0"/>
        <w:kinsoku/>
        <w:wordWrap/>
        <w:overflowPunct/>
        <w:topLinePunct w:val="0"/>
        <w:bidi w:val="0"/>
        <w:spacing w:line="440" w:lineRule="exact"/>
        <w:ind w:firstLine="420" w:firstLineChars="200"/>
        <w:jc w:val="left"/>
        <w:textAlignment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第七条　采购限额标准以上，200万元以下的货物和服务采购项目、400万元以下的工程采购项目，适宜由中小企业提供的，采购人应当专门面向中小企业采购。</w:t>
      </w:r>
    </w:p>
    <w:p w14:paraId="7A40F743">
      <w:pPr>
        <w:keepNext w:val="0"/>
        <w:keepLines w:val="0"/>
        <w:pageBreakBefore w:val="0"/>
        <w:kinsoku/>
        <w:wordWrap/>
        <w:overflowPunct/>
        <w:topLinePunct w:val="0"/>
        <w:bidi w:val="0"/>
        <w:spacing w:line="440" w:lineRule="exact"/>
        <w:ind w:firstLine="420" w:firstLineChars="200"/>
        <w:jc w:val="left"/>
        <w:textAlignment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第八条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14:paraId="3FA56651">
      <w:pPr>
        <w:keepNext w:val="0"/>
        <w:keepLines w:val="0"/>
        <w:pageBreakBefore w:val="0"/>
        <w:kinsoku/>
        <w:wordWrap/>
        <w:overflowPunct/>
        <w:topLinePunct w:val="0"/>
        <w:bidi w:val="0"/>
        <w:spacing w:line="440" w:lineRule="exact"/>
        <w:ind w:firstLine="420" w:firstLineChars="200"/>
        <w:jc w:val="left"/>
        <w:textAlignment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（一）将采购项目整体或者设置采购包专门面向中小企业采购；</w:t>
      </w:r>
    </w:p>
    <w:p w14:paraId="79F7FA51">
      <w:pPr>
        <w:keepNext w:val="0"/>
        <w:keepLines w:val="0"/>
        <w:pageBreakBefore w:val="0"/>
        <w:kinsoku/>
        <w:wordWrap/>
        <w:overflowPunct/>
        <w:topLinePunct w:val="0"/>
        <w:bidi w:val="0"/>
        <w:spacing w:line="440" w:lineRule="exact"/>
        <w:ind w:firstLine="420" w:firstLineChars="200"/>
        <w:jc w:val="left"/>
        <w:textAlignment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（二）要求投标人以联合体形式参加采购活动，且联合体中中小企业承担的部分达到一定比例；</w:t>
      </w:r>
    </w:p>
    <w:p w14:paraId="313565AF">
      <w:pPr>
        <w:keepNext w:val="0"/>
        <w:keepLines w:val="0"/>
        <w:pageBreakBefore w:val="0"/>
        <w:kinsoku/>
        <w:wordWrap/>
        <w:overflowPunct/>
        <w:topLinePunct w:val="0"/>
        <w:bidi w:val="0"/>
        <w:spacing w:line="440" w:lineRule="exact"/>
        <w:ind w:firstLine="420" w:firstLineChars="200"/>
        <w:jc w:val="left"/>
        <w:textAlignment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（三）要求获得采购合同的投标人将采购项目中的一定比例分包给一家或者多家中小企业。</w:t>
      </w:r>
    </w:p>
    <w:p w14:paraId="60D46EDD">
      <w:pPr>
        <w:keepNext w:val="0"/>
        <w:keepLines w:val="0"/>
        <w:pageBreakBefore w:val="0"/>
        <w:kinsoku/>
        <w:wordWrap/>
        <w:overflowPunct/>
        <w:topLinePunct w:val="0"/>
        <w:bidi w:val="0"/>
        <w:spacing w:line="440" w:lineRule="exact"/>
        <w:ind w:firstLine="420" w:firstLineChars="200"/>
        <w:jc w:val="left"/>
        <w:textAlignment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组成联合体或者接受分包合同的中小企业与联合体内其他企业、分包企业之间不得存在直接控股、管理关系。</w:t>
      </w:r>
    </w:p>
    <w:p w14:paraId="09DD403D">
      <w:pPr>
        <w:keepNext w:val="0"/>
        <w:keepLines w:val="0"/>
        <w:pageBreakBefore w:val="0"/>
        <w:kinsoku/>
        <w:wordWrap/>
        <w:overflowPunct/>
        <w:topLinePunct w:val="0"/>
        <w:bidi w:val="0"/>
        <w:spacing w:line="440" w:lineRule="exact"/>
        <w:ind w:firstLine="420" w:firstLineChars="200"/>
        <w:jc w:val="left"/>
        <w:textAlignment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第九条　对于经主管预算单位统筹后未预留份额专门面向中小企业采购的采购项目，以及预留份额项目中的非预留部分采购包，采购人、采购代理机构应当对符合本办法规定的小微企业报价给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56C543FA">
      <w:pPr>
        <w:keepNext w:val="0"/>
        <w:keepLines w:val="0"/>
        <w:pageBreakBefore w:val="0"/>
        <w:kinsoku/>
        <w:wordWrap/>
        <w:overflowPunct/>
        <w:topLinePunct w:val="0"/>
        <w:bidi w:val="0"/>
        <w:spacing w:line="440" w:lineRule="exact"/>
        <w:ind w:firstLine="420" w:firstLineChars="200"/>
        <w:jc w:val="left"/>
        <w:textAlignment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14:paraId="0B97C492">
      <w:pPr>
        <w:keepNext w:val="0"/>
        <w:keepLines w:val="0"/>
        <w:pageBreakBefore w:val="0"/>
        <w:kinsoku/>
        <w:wordWrap/>
        <w:overflowPunct/>
        <w:topLinePunct w:val="0"/>
        <w:bidi w:val="0"/>
        <w:spacing w:line="440" w:lineRule="exact"/>
        <w:ind w:firstLine="420" w:firstLineChars="200"/>
        <w:jc w:val="left"/>
        <w:textAlignment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48D06108">
      <w:pPr>
        <w:keepNext w:val="0"/>
        <w:keepLines w:val="0"/>
        <w:pageBreakBefore w:val="0"/>
        <w:kinsoku/>
        <w:wordWrap/>
        <w:overflowPunct/>
        <w:topLinePunct w:val="0"/>
        <w:bidi w:val="0"/>
        <w:spacing w:line="440" w:lineRule="exact"/>
        <w:ind w:firstLine="420" w:firstLineChars="200"/>
        <w:jc w:val="left"/>
        <w:textAlignment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第十条　采购人应当严格按照本办法规定和主管预算单位制定的预留采购份额具体方案开展采购活动。预留份额的采购项目或者采购包，通过发布公告方式邀请投标人后，符合资格条件的中小企业数量不足3家的，应当中止采购活动，视同未预留份额的采购项目或者采购包，按照本办法第九条有关规定重新组织采购活动。</w:t>
      </w:r>
    </w:p>
    <w:p w14:paraId="549DAD44">
      <w:pPr>
        <w:keepNext w:val="0"/>
        <w:keepLines w:val="0"/>
        <w:pageBreakBefore w:val="0"/>
        <w:kinsoku/>
        <w:wordWrap/>
        <w:overflowPunct/>
        <w:topLinePunct w:val="0"/>
        <w:bidi w:val="0"/>
        <w:spacing w:line="440" w:lineRule="exact"/>
        <w:ind w:firstLine="420" w:firstLineChars="200"/>
        <w:jc w:val="left"/>
        <w:textAlignment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第十一条　中小企业参加政府采购活动，应当出具本办法规定的《中小企业声明函》（附1），否则不得享受相关中小企业扶持政策。任何单位和个人不得要求投标人提供《中小企业声明函》之外的中小企业身份证明文件。</w:t>
      </w:r>
    </w:p>
    <w:p w14:paraId="5E8CDB10">
      <w:pPr>
        <w:keepNext w:val="0"/>
        <w:keepLines w:val="0"/>
        <w:pageBreakBefore w:val="0"/>
        <w:kinsoku/>
        <w:wordWrap/>
        <w:overflowPunct/>
        <w:topLinePunct w:val="0"/>
        <w:bidi w:val="0"/>
        <w:spacing w:line="440" w:lineRule="exact"/>
        <w:ind w:firstLine="420" w:firstLineChars="200"/>
        <w:jc w:val="left"/>
        <w:textAlignment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第十二条　采购项目涉及中小企业采购的，采购文件应当明确以下内容：</w:t>
      </w:r>
    </w:p>
    <w:p w14:paraId="4D5CCB5A">
      <w:pPr>
        <w:keepNext w:val="0"/>
        <w:keepLines w:val="0"/>
        <w:pageBreakBefore w:val="0"/>
        <w:kinsoku/>
        <w:wordWrap/>
        <w:overflowPunct/>
        <w:topLinePunct w:val="0"/>
        <w:bidi w:val="0"/>
        <w:spacing w:line="440" w:lineRule="exact"/>
        <w:ind w:firstLine="420" w:firstLineChars="200"/>
        <w:jc w:val="left"/>
        <w:textAlignment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（一）预留份额的采购项目或者采购包，明确该项目或相关采购包专门面向中小企业采购，以及相关标的及预算金额；</w:t>
      </w:r>
    </w:p>
    <w:p w14:paraId="2CF29387">
      <w:pPr>
        <w:keepNext w:val="0"/>
        <w:keepLines w:val="0"/>
        <w:pageBreakBefore w:val="0"/>
        <w:kinsoku/>
        <w:wordWrap/>
        <w:overflowPunct/>
        <w:topLinePunct w:val="0"/>
        <w:bidi w:val="0"/>
        <w:spacing w:line="440" w:lineRule="exact"/>
        <w:ind w:firstLine="420" w:firstLineChars="200"/>
        <w:jc w:val="left"/>
        <w:textAlignment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（二）要求以联合体形式参加或者合同分包的，明确联合协议或者分包意向协议中中小企业合同金额应当达到的比例，并作为投标人资格条件；</w:t>
      </w:r>
    </w:p>
    <w:p w14:paraId="6F7C5F84">
      <w:pPr>
        <w:keepNext w:val="0"/>
        <w:keepLines w:val="0"/>
        <w:pageBreakBefore w:val="0"/>
        <w:kinsoku/>
        <w:wordWrap/>
        <w:overflowPunct/>
        <w:topLinePunct w:val="0"/>
        <w:bidi w:val="0"/>
        <w:spacing w:line="440" w:lineRule="exact"/>
        <w:ind w:firstLine="420" w:firstLineChars="200"/>
        <w:jc w:val="left"/>
        <w:textAlignment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（三）非预留份额的采购项目或者采购包，明确有关价格扣除比例或者价格分加分比例；</w:t>
      </w:r>
    </w:p>
    <w:p w14:paraId="68A18398">
      <w:pPr>
        <w:keepNext w:val="0"/>
        <w:keepLines w:val="0"/>
        <w:pageBreakBefore w:val="0"/>
        <w:kinsoku/>
        <w:wordWrap/>
        <w:overflowPunct/>
        <w:topLinePunct w:val="0"/>
        <w:bidi w:val="0"/>
        <w:spacing w:line="440" w:lineRule="exact"/>
        <w:ind w:firstLine="420" w:firstLineChars="200"/>
        <w:jc w:val="left"/>
        <w:textAlignment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（四）规定依据本办法规定享受扶持政策获得政府采购合同的，小微企业不得将合同分包给大中型企业，中型企业不得将合同分包给大型企业；</w:t>
      </w:r>
    </w:p>
    <w:p w14:paraId="6A939A54">
      <w:pPr>
        <w:keepNext w:val="0"/>
        <w:keepLines w:val="0"/>
        <w:pageBreakBefore w:val="0"/>
        <w:kinsoku/>
        <w:wordWrap/>
        <w:overflowPunct/>
        <w:topLinePunct w:val="0"/>
        <w:bidi w:val="0"/>
        <w:spacing w:line="440" w:lineRule="exact"/>
        <w:ind w:firstLine="420" w:firstLineChars="200"/>
        <w:jc w:val="left"/>
        <w:textAlignment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（五）采购人认为具备相关条件的，明确对中小企业在资金支付期限、预付款比例等方面的优惠措施；</w:t>
      </w:r>
    </w:p>
    <w:p w14:paraId="3189E4C2">
      <w:pPr>
        <w:keepNext w:val="0"/>
        <w:keepLines w:val="0"/>
        <w:pageBreakBefore w:val="0"/>
        <w:kinsoku/>
        <w:wordWrap/>
        <w:overflowPunct/>
        <w:topLinePunct w:val="0"/>
        <w:bidi w:val="0"/>
        <w:spacing w:line="440" w:lineRule="exact"/>
        <w:ind w:firstLine="420" w:firstLineChars="200"/>
        <w:jc w:val="left"/>
        <w:textAlignment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（六）明确采购标的对应的中小企业划分标准所属行业；</w:t>
      </w:r>
    </w:p>
    <w:p w14:paraId="7B8BF590">
      <w:pPr>
        <w:keepNext w:val="0"/>
        <w:keepLines w:val="0"/>
        <w:pageBreakBefore w:val="0"/>
        <w:kinsoku/>
        <w:wordWrap/>
        <w:overflowPunct/>
        <w:topLinePunct w:val="0"/>
        <w:bidi w:val="0"/>
        <w:spacing w:line="440" w:lineRule="exact"/>
        <w:ind w:firstLine="420" w:firstLineChars="200"/>
        <w:jc w:val="left"/>
        <w:textAlignment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（七）法律法规和省级以上人民政府财政部门规定的其他事项。</w:t>
      </w:r>
    </w:p>
    <w:p w14:paraId="2BFD97CD">
      <w:pPr>
        <w:keepNext w:val="0"/>
        <w:keepLines w:val="0"/>
        <w:pageBreakBefore w:val="0"/>
        <w:kinsoku/>
        <w:wordWrap/>
        <w:overflowPunct/>
        <w:topLinePunct w:val="0"/>
        <w:bidi w:val="0"/>
        <w:spacing w:line="440" w:lineRule="exact"/>
        <w:ind w:firstLine="420" w:firstLineChars="200"/>
        <w:jc w:val="left"/>
        <w:textAlignment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第十三条　中标、成交投标人享受本办法规定的中小企业扶持政策的，采购人、采购代理机构应当随中标、成交结果公开中标、成交投标人的《中小企业声明函》。</w:t>
      </w:r>
    </w:p>
    <w:p w14:paraId="4D508389">
      <w:pPr>
        <w:keepNext w:val="0"/>
        <w:keepLines w:val="0"/>
        <w:pageBreakBefore w:val="0"/>
        <w:kinsoku/>
        <w:wordWrap/>
        <w:overflowPunct/>
        <w:topLinePunct w:val="0"/>
        <w:bidi w:val="0"/>
        <w:spacing w:line="440" w:lineRule="exact"/>
        <w:ind w:firstLine="420" w:firstLineChars="200"/>
        <w:jc w:val="left"/>
        <w:textAlignment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适用招标投标法的政府采购工程建设项目，应当在公示中标候选人时公开中标候选人的《中小企业声明函》。</w:t>
      </w:r>
    </w:p>
    <w:p w14:paraId="06CD5328">
      <w:pPr>
        <w:keepNext w:val="0"/>
        <w:keepLines w:val="0"/>
        <w:pageBreakBefore w:val="0"/>
        <w:kinsoku/>
        <w:wordWrap/>
        <w:overflowPunct/>
        <w:topLinePunct w:val="0"/>
        <w:bidi w:val="0"/>
        <w:spacing w:line="440" w:lineRule="exact"/>
        <w:ind w:firstLine="420" w:firstLineChars="200"/>
        <w:jc w:val="left"/>
        <w:textAlignment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第十四　条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03731D26">
      <w:pPr>
        <w:keepNext w:val="0"/>
        <w:keepLines w:val="0"/>
        <w:pageBreakBefore w:val="0"/>
        <w:kinsoku/>
        <w:wordWrap/>
        <w:overflowPunct/>
        <w:topLinePunct w:val="0"/>
        <w:bidi w:val="0"/>
        <w:spacing w:line="440" w:lineRule="exact"/>
        <w:ind w:firstLine="420" w:firstLineChars="200"/>
        <w:jc w:val="left"/>
        <w:textAlignment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第十五条　鼓励各地区、各部门在采购活动中允许中小企业引入信用担保手段，为中小企业在投标（响应）保证、履约保证等方面提供专业化服务。鼓励中小企业依法合规通过政府采购合同融资。</w:t>
      </w:r>
    </w:p>
    <w:p w14:paraId="5EFEE842">
      <w:pPr>
        <w:keepNext w:val="0"/>
        <w:keepLines w:val="0"/>
        <w:pageBreakBefore w:val="0"/>
        <w:kinsoku/>
        <w:wordWrap/>
        <w:overflowPunct/>
        <w:topLinePunct w:val="0"/>
        <w:bidi w:val="0"/>
        <w:spacing w:line="440" w:lineRule="exact"/>
        <w:ind w:firstLine="420" w:firstLineChars="200"/>
        <w:jc w:val="left"/>
        <w:textAlignment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第十六条　政府采购监督检查、投诉处理及政府采购行政处罚中对中小企业的认定，由货物制造商或者工程、服务投标人注册登记所在地的县级以上人民政府中小企业主管部门负责。</w:t>
      </w:r>
    </w:p>
    <w:p w14:paraId="0A22AEBC">
      <w:pPr>
        <w:keepNext w:val="0"/>
        <w:keepLines w:val="0"/>
        <w:pageBreakBefore w:val="0"/>
        <w:kinsoku/>
        <w:wordWrap/>
        <w:overflowPunct/>
        <w:topLinePunct w:val="0"/>
        <w:bidi w:val="0"/>
        <w:spacing w:line="440" w:lineRule="exact"/>
        <w:ind w:firstLine="420" w:firstLineChars="200"/>
        <w:jc w:val="left"/>
        <w:textAlignment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中小企业主管部门应当在收到财政部门或者有关招标投标行政监督部门关于协助开展中小企业认定函后10个工作日内做出书面答复。</w:t>
      </w:r>
    </w:p>
    <w:p w14:paraId="3357A1AA">
      <w:pPr>
        <w:keepNext w:val="0"/>
        <w:keepLines w:val="0"/>
        <w:pageBreakBefore w:val="0"/>
        <w:kinsoku/>
        <w:wordWrap/>
        <w:overflowPunct/>
        <w:topLinePunct w:val="0"/>
        <w:bidi w:val="0"/>
        <w:spacing w:line="440" w:lineRule="exact"/>
        <w:ind w:firstLine="420" w:firstLineChars="200"/>
        <w:jc w:val="left"/>
        <w:textAlignment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第十七条　各地区、各部门应当对涉及中小企业采购的预算项目实施全过程绩效管理，合理设置绩效目标和指标，落实扶持中小企业有关政策要求，定期开展绩效监控和评价，强化绩效评价结果应用。</w:t>
      </w:r>
    </w:p>
    <w:p w14:paraId="32199781">
      <w:pPr>
        <w:keepNext w:val="0"/>
        <w:keepLines w:val="0"/>
        <w:pageBreakBefore w:val="0"/>
        <w:kinsoku/>
        <w:wordWrap/>
        <w:overflowPunct/>
        <w:topLinePunct w:val="0"/>
        <w:bidi w:val="0"/>
        <w:spacing w:line="440" w:lineRule="exact"/>
        <w:ind w:firstLine="420" w:firstLineChars="200"/>
        <w:jc w:val="left"/>
        <w:textAlignment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第十八条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72B818B2">
      <w:pPr>
        <w:keepNext w:val="0"/>
        <w:keepLines w:val="0"/>
        <w:pageBreakBefore w:val="0"/>
        <w:kinsoku/>
        <w:wordWrap/>
        <w:overflowPunct/>
        <w:topLinePunct w:val="0"/>
        <w:bidi w:val="0"/>
        <w:spacing w:line="440" w:lineRule="exact"/>
        <w:ind w:firstLine="420" w:firstLineChars="200"/>
        <w:jc w:val="left"/>
        <w:textAlignment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4B2D2539">
      <w:pPr>
        <w:keepNext w:val="0"/>
        <w:keepLines w:val="0"/>
        <w:pageBreakBefore w:val="0"/>
        <w:kinsoku/>
        <w:wordWrap/>
        <w:overflowPunct/>
        <w:topLinePunct w:val="0"/>
        <w:bidi w:val="0"/>
        <w:spacing w:line="440" w:lineRule="exact"/>
        <w:ind w:firstLine="420" w:firstLineChars="200"/>
        <w:jc w:val="left"/>
        <w:textAlignment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第二十条　投标人按照本办法规定提供声明函内容不实的，属于提供虚假材料谋取中标、成交，依照《中华人民共和国政府采购法》等国家有关规定追究相应责任。</w:t>
      </w:r>
    </w:p>
    <w:p w14:paraId="77A47158">
      <w:pPr>
        <w:keepNext w:val="0"/>
        <w:keepLines w:val="0"/>
        <w:pageBreakBefore w:val="0"/>
        <w:kinsoku/>
        <w:wordWrap/>
        <w:overflowPunct/>
        <w:topLinePunct w:val="0"/>
        <w:bidi w:val="0"/>
        <w:spacing w:line="440" w:lineRule="exact"/>
        <w:ind w:firstLine="420" w:firstLineChars="200"/>
        <w:jc w:val="left"/>
        <w:textAlignment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适用招标投标法的政府采购工程建设项目，投标人按照本办法规定提供声明函内容不实的，属于弄虚作假骗取中标，依照《中华人民共和国招标投标法》等国家有关规定追究相应责任。</w:t>
      </w:r>
    </w:p>
    <w:p w14:paraId="112FF12E">
      <w:pPr>
        <w:keepNext w:val="0"/>
        <w:keepLines w:val="0"/>
        <w:pageBreakBefore w:val="0"/>
        <w:kinsoku/>
        <w:wordWrap/>
        <w:overflowPunct/>
        <w:topLinePunct w:val="0"/>
        <w:bidi w:val="0"/>
        <w:spacing w:line="440" w:lineRule="exact"/>
        <w:ind w:firstLine="420" w:firstLineChars="200"/>
        <w:jc w:val="left"/>
        <w:textAlignment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6E61DE5F">
      <w:pPr>
        <w:keepNext w:val="0"/>
        <w:keepLines w:val="0"/>
        <w:pageBreakBefore w:val="0"/>
        <w:kinsoku/>
        <w:wordWrap/>
        <w:overflowPunct/>
        <w:topLinePunct w:val="0"/>
        <w:bidi w:val="0"/>
        <w:spacing w:line="440" w:lineRule="exact"/>
        <w:ind w:firstLine="420" w:firstLineChars="200"/>
        <w:jc w:val="left"/>
        <w:textAlignment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第二十二条　对外援助项目、国家相关资格或者资质管理制度另有规定的项目，不适用本办法。</w:t>
      </w:r>
    </w:p>
    <w:p w14:paraId="3D2C5FF5">
      <w:pPr>
        <w:keepNext w:val="0"/>
        <w:keepLines w:val="0"/>
        <w:pageBreakBefore w:val="0"/>
        <w:kinsoku/>
        <w:wordWrap/>
        <w:overflowPunct/>
        <w:topLinePunct w:val="0"/>
        <w:bidi w:val="0"/>
        <w:spacing w:line="440" w:lineRule="exact"/>
        <w:ind w:firstLine="420" w:firstLineChars="200"/>
        <w:jc w:val="left"/>
        <w:textAlignment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第二十三条　关于视同中小企业的其他主体的政府采购扶持政策，由财政部会同有关部门另行规定。</w:t>
      </w:r>
    </w:p>
    <w:p w14:paraId="01E34160">
      <w:pPr>
        <w:keepNext w:val="0"/>
        <w:keepLines w:val="0"/>
        <w:pageBreakBefore w:val="0"/>
        <w:kinsoku/>
        <w:wordWrap/>
        <w:overflowPunct/>
        <w:topLinePunct w:val="0"/>
        <w:bidi w:val="0"/>
        <w:spacing w:line="440" w:lineRule="exact"/>
        <w:ind w:firstLine="420" w:firstLineChars="200"/>
        <w:jc w:val="left"/>
        <w:textAlignment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第二十四条　省级财政部门可以会同中小企业主管部门根据本办法的规定制定具体实施办法。</w:t>
      </w:r>
    </w:p>
    <w:p w14:paraId="016C1156">
      <w:pPr>
        <w:spacing w:line="360" w:lineRule="auto"/>
        <w:rPr>
          <w:rFonts w:hint="eastAsia" w:ascii="宋体" w:hAnsi="宋体" w:cs="宋体"/>
          <w:b/>
          <w:color w:val="auto"/>
          <w:sz w:val="21"/>
          <w:szCs w:val="21"/>
          <w:highlight w:val="none"/>
          <w:u w:val="single"/>
        </w:rPr>
      </w:pPr>
      <w:r>
        <w:rPr>
          <w:rFonts w:hint="eastAsia" w:ascii="宋体" w:hAnsi="宋体" w:eastAsia="宋体" w:cs="宋体"/>
          <w:color w:val="auto"/>
          <w:sz w:val="21"/>
          <w:szCs w:val="21"/>
          <w:highlight w:val="none"/>
          <w:lang w:val="zh-CN"/>
        </w:rPr>
        <w:t>第二十五条　本办法自2021年1月1日起施行。《财政部工业和信息化部关于印发〈政府采购促进中小企业发展暂行办法〉的通知》（财库﹝2011﹞181号）同时废止。</w:t>
      </w:r>
    </w:p>
    <w:p w14:paraId="3549CA2B">
      <w:pPr>
        <w:bidi w:val="0"/>
        <w:jc w:val="left"/>
        <w:rPr>
          <w:rFonts w:hint="eastAsia" w:ascii="微软雅黑" w:hAnsi="微软雅黑" w:eastAsia="微软雅黑" w:cs="微软雅黑"/>
          <w:color w:val="868686"/>
          <w:spacing w:val="14"/>
          <w:sz w:val="33"/>
          <w:szCs w:val="33"/>
          <w:lang w:eastAsia="zh-CN"/>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长城楷体">
    <w:altName w:val="宋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Century">
    <w:altName w:val="Times New Roman"/>
    <w:panose1 w:val="02040604050505020304"/>
    <w:charset w:val="00"/>
    <w:family w:val="roman"/>
    <w:pitch w:val="default"/>
    <w:sig w:usb0="00000000" w:usb1="00000000" w:usb2="00000000" w:usb3="00000000" w:csb0="2000009F" w:csb1="DFD70000"/>
  </w:font>
  <w:font w:name="宋体-18030">
    <w:altName w:val="微软雅黑"/>
    <w:panose1 w:val="00000000000000000000"/>
    <w:charset w:val="86"/>
    <w:family w:val="modern"/>
    <w:pitch w:val="default"/>
    <w:sig w:usb0="00000000" w:usb1="00000000" w:usb2="000A005E" w:usb3="00000000" w:csb0="00040001"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3D05EF">
    <w:pPr>
      <w:pStyle w:val="11"/>
      <w:tabs>
        <w:tab w:val="center" w:pos="4150"/>
      </w:tabs>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FCF141">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8FCF141">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BE95DA">
    <w:pPr>
      <w:rPr>
        <w:rStyle w:val="35"/>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019D9C79">
                          <w:pPr>
                            <w:pStyle w:val="11"/>
                            <w:tabs>
                              <w:tab w:val="center" w:pos="4153"/>
                              <w:tab w:val="right" w:pos="8306"/>
                            </w:tabs>
                          </w:pPr>
                          <w:r>
                            <w:fldChar w:fldCharType="begin"/>
                          </w:r>
                          <w:r>
                            <w:instrText xml:space="preserve"> PAGE  \* MERGEFORMAT </w:instrText>
                          </w:r>
                          <w:r>
                            <w:fldChar w:fldCharType="separate"/>
                          </w:r>
                          <w:r>
                            <w:t>70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AslDbw0QEAAKIDAAAOAAAAAAAAAAEAIAAAAB8BAABk&#10;cnMvZTJvRG9jLnhtbFBLBQYAAAAABgAGAFkBAABiBQAAAAA=&#10;">
              <v:fill on="f" focussize="0,0"/>
              <v:stroke on="f" weight="0.5pt"/>
              <v:imagedata o:title=""/>
              <o:lock v:ext="edit" aspectratio="f"/>
              <v:textbox inset="0mm,0mm,0mm,0mm" style="mso-fit-shape-to-text:t;">
                <w:txbxContent>
                  <w:p w14:paraId="019D9C79">
                    <w:pPr>
                      <w:pStyle w:val="11"/>
                      <w:tabs>
                        <w:tab w:val="center" w:pos="4153"/>
                        <w:tab w:val="right" w:pos="8306"/>
                      </w:tabs>
                    </w:pPr>
                    <w:r>
                      <w:fldChar w:fldCharType="begin"/>
                    </w:r>
                    <w:r>
                      <w:instrText xml:space="preserve"> PAGE  \* MERGEFORMAT </w:instrText>
                    </w:r>
                    <w:r>
                      <w:fldChar w:fldCharType="separate"/>
                    </w:r>
                    <w:r>
                      <w:t>70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3964B4">
    <w:pPr>
      <w:pStyle w:val="7"/>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D00E40">
    <w:pPr>
      <w:rPr>
        <w:rStyle w:val="35"/>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53332B"/>
    <w:multiLevelType w:val="singleLevel"/>
    <w:tmpl w:val="8253332B"/>
    <w:lvl w:ilvl="0" w:tentative="0">
      <w:start w:val="2"/>
      <w:numFmt w:val="decimal"/>
      <w:suff w:val="nothing"/>
      <w:lvlText w:val="%1）"/>
      <w:lvlJc w:val="left"/>
    </w:lvl>
  </w:abstractNum>
  <w:abstractNum w:abstractNumId="1">
    <w:nsid w:val="91A7FA90"/>
    <w:multiLevelType w:val="singleLevel"/>
    <w:tmpl w:val="91A7FA90"/>
    <w:lvl w:ilvl="0" w:tentative="0">
      <w:start w:val="4"/>
      <w:numFmt w:val="chineseCounting"/>
      <w:suff w:val="space"/>
      <w:lvlText w:val="第%1章"/>
      <w:lvlJc w:val="left"/>
      <w:pPr>
        <w:tabs>
          <w:tab w:val="left" w:pos="0"/>
        </w:tabs>
        <w:ind w:left="0" w:firstLine="0"/>
      </w:pPr>
      <w:rPr>
        <w:rFonts w:hint="eastAsia"/>
      </w:rPr>
    </w:lvl>
  </w:abstractNum>
  <w:abstractNum w:abstractNumId="2">
    <w:nsid w:val="937C00D5"/>
    <w:multiLevelType w:val="singleLevel"/>
    <w:tmpl w:val="937C00D5"/>
    <w:lvl w:ilvl="0" w:tentative="0">
      <w:start w:val="2"/>
      <w:numFmt w:val="decimal"/>
      <w:suff w:val="nothing"/>
      <w:lvlText w:val="（%1）"/>
      <w:lvlJc w:val="left"/>
    </w:lvl>
  </w:abstractNum>
  <w:abstractNum w:abstractNumId="3">
    <w:nsid w:val="AEFAA776"/>
    <w:multiLevelType w:val="singleLevel"/>
    <w:tmpl w:val="AEFAA776"/>
    <w:lvl w:ilvl="0" w:tentative="0">
      <w:start w:val="1"/>
      <w:numFmt w:val="decimal"/>
      <w:lvlText w:val="%1."/>
      <w:lvlJc w:val="left"/>
      <w:pPr>
        <w:tabs>
          <w:tab w:val="left" w:pos="312"/>
        </w:tabs>
      </w:pPr>
    </w:lvl>
  </w:abstractNum>
  <w:abstractNum w:abstractNumId="4">
    <w:nsid w:val="C5717BF7"/>
    <w:multiLevelType w:val="singleLevel"/>
    <w:tmpl w:val="C5717BF7"/>
    <w:lvl w:ilvl="0" w:tentative="0">
      <w:start w:val="3"/>
      <w:numFmt w:val="decimal"/>
      <w:suff w:val="nothing"/>
      <w:lvlText w:val="%1．"/>
      <w:lvlJc w:val="left"/>
      <w:pPr>
        <w:tabs>
          <w:tab w:val="left" w:pos="0"/>
        </w:tabs>
        <w:ind w:left="0" w:firstLine="0"/>
      </w:pPr>
    </w:lvl>
  </w:abstractNum>
  <w:abstractNum w:abstractNumId="5">
    <w:nsid w:val="0063873F"/>
    <w:multiLevelType w:val="singleLevel"/>
    <w:tmpl w:val="0063873F"/>
    <w:lvl w:ilvl="0" w:tentative="0">
      <w:start w:val="5"/>
      <w:numFmt w:val="chineseCounting"/>
      <w:suff w:val="space"/>
      <w:lvlText w:val="(%1)"/>
      <w:lvlJc w:val="left"/>
      <w:pPr>
        <w:tabs>
          <w:tab w:val="left" w:pos="0"/>
        </w:tabs>
        <w:ind w:left="0" w:firstLine="0"/>
      </w:pPr>
      <w:rPr>
        <w:rFonts w:hint="eastAsia"/>
      </w:rPr>
    </w:lvl>
  </w:abstractNum>
  <w:abstractNum w:abstractNumId="6">
    <w:nsid w:val="3F003518"/>
    <w:multiLevelType w:val="singleLevel"/>
    <w:tmpl w:val="3F003518"/>
    <w:lvl w:ilvl="0" w:tentative="0">
      <w:start w:val="1"/>
      <w:numFmt w:val="chineseCounting"/>
      <w:suff w:val="nothing"/>
      <w:lvlText w:val="%1、"/>
      <w:lvlJc w:val="left"/>
      <w:pPr>
        <w:tabs>
          <w:tab w:val="left" w:pos="0"/>
        </w:tabs>
        <w:ind w:left="0" w:firstLine="0"/>
      </w:pPr>
      <w:rPr>
        <w:rFonts w:hint="eastAsia"/>
      </w:rPr>
    </w:lvl>
  </w:abstractNum>
  <w:num w:numId="1">
    <w:abstractNumId w:val="3"/>
  </w:num>
  <w:num w:numId="2">
    <w:abstractNumId w:val="0"/>
  </w:num>
  <w:num w:numId="3">
    <w:abstractNumId w:val="4"/>
  </w:num>
  <w:num w:numId="4">
    <w:abstractNumId w:val="2"/>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NjMTQwOTlhMjQyYjFjNjNmOWExMjg3MGI0ODZhODAifQ=="/>
  </w:docVars>
  <w:rsids>
    <w:rsidRoot w:val="00000000"/>
    <w:rsid w:val="00044EBB"/>
    <w:rsid w:val="000E7463"/>
    <w:rsid w:val="002B06D1"/>
    <w:rsid w:val="00351550"/>
    <w:rsid w:val="0050269C"/>
    <w:rsid w:val="008F1F81"/>
    <w:rsid w:val="009A37BE"/>
    <w:rsid w:val="00D91EDB"/>
    <w:rsid w:val="00F66F31"/>
    <w:rsid w:val="01233A9E"/>
    <w:rsid w:val="01722330"/>
    <w:rsid w:val="01F80A87"/>
    <w:rsid w:val="020F7EEC"/>
    <w:rsid w:val="02184C85"/>
    <w:rsid w:val="021D4680"/>
    <w:rsid w:val="02331ABF"/>
    <w:rsid w:val="0269764B"/>
    <w:rsid w:val="027A5940"/>
    <w:rsid w:val="027C0B8B"/>
    <w:rsid w:val="02873BB9"/>
    <w:rsid w:val="028D7421"/>
    <w:rsid w:val="028E13EB"/>
    <w:rsid w:val="02B7449E"/>
    <w:rsid w:val="02CD1F13"/>
    <w:rsid w:val="02D45050"/>
    <w:rsid w:val="030376E3"/>
    <w:rsid w:val="03174F3D"/>
    <w:rsid w:val="032F04D8"/>
    <w:rsid w:val="033C0E47"/>
    <w:rsid w:val="03451AAA"/>
    <w:rsid w:val="035717DD"/>
    <w:rsid w:val="037C1244"/>
    <w:rsid w:val="039269BF"/>
    <w:rsid w:val="03962305"/>
    <w:rsid w:val="03991DF6"/>
    <w:rsid w:val="03A569EC"/>
    <w:rsid w:val="03BC7892"/>
    <w:rsid w:val="03D01D3D"/>
    <w:rsid w:val="03D270B5"/>
    <w:rsid w:val="04115E30"/>
    <w:rsid w:val="04294F27"/>
    <w:rsid w:val="049A4077"/>
    <w:rsid w:val="04A04386"/>
    <w:rsid w:val="04A10F62"/>
    <w:rsid w:val="04A942BA"/>
    <w:rsid w:val="04B2316F"/>
    <w:rsid w:val="052E7D72"/>
    <w:rsid w:val="05502988"/>
    <w:rsid w:val="05595CE0"/>
    <w:rsid w:val="055A3B91"/>
    <w:rsid w:val="056D52E8"/>
    <w:rsid w:val="05790131"/>
    <w:rsid w:val="057C30CB"/>
    <w:rsid w:val="05A607FA"/>
    <w:rsid w:val="05B26EF8"/>
    <w:rsid w:val="05B922DB"/>
    <w:rsid w:val="05D45F9B"/>
    <w:rsid w:val="05F41A51"/>
    <w:rsid w:val="05F45A09"/>
    <w:rsid w:val="066D79A8"/>
    <w:rsid w:val="06AB431A"/>
    <w:rsid w:val="06DB44D3"/>
    <w:rsid w:val="07163C30"/>
    <w:rsid w:val="071E0F8F"/>
    <w:rsid w:val="0774295E"/>
    <w:rsid w:val="07752435"/>
    <w:rsid w:val="078A2181"/>
    <w:rsid w:val="078B5EF9"/>
    <w:rsid w:val="079052BE"/>
    <w:rsid w:val="07C37441"/>
    <w:rsid w:val="07EC2E3C"/>
    <w:rsid w:val="08493DEA"/>
    <w:rsid w:val="08A41020"/>
    <w:rsid w:val="08A82006"/>
    <w:rsid w:val="08B82D1E"/>
    <w:rsid w:val="08BA0844"/>
    <w:rsid w:val="08CC113E"/>
    <w:rsid w:val="090C4E18"/>
    <w:rsid w:val="092108C3"/>
    <w:rsid w:val="092B1742"/>
    <w:rsid w:val="09371163"/>
    <w:rsid w:val="0942596F"/>
    <w:rsid w:val="0A051F93"/>
    <w:rsid w:val="0A081A83"/>
    <w:rsid w:val="0A3E7253"/>
    <w:rsid w:val="0A495C3D"/>
    <w:rsid w:val="0A590531"/>
    <w:rsid w:val="0A5E78F5"/>
    <w:rsid w:val="0A785AB4"/>
    <w:rsid w:val="0A7B7209"/>
    <w:rsid w:val="0A7F7F97"/>
    <w:rsid w:val="0A8455AD"/>
    <w:rsid w:val="0A8B4163"/>
    <w:rsid w:val="0AA95618"/>
    <w:rsid w:val="0AE748CB"/>
    <w:rsid w:val="0AF142C5"/>
    <w:rsid w:val="0AFC15E8"/>
    <w:rsid w:val="0B022976"/>
    <w:rsid w:val="0B2D5833"/>
    <w:rsid w:val="0B6251C3"/>
    <w:rsid w:val="0B920731"/>
    <w:rsid w:val="0BDC4F75"/>
    <w:rsid w:val="0BE811C8"/>
    <w:rsid w:val="0C2A7A8F"/>
    <w:rsid w:val="0C474AE5"/>
    <w:rsid w:val="0C686809"/>
    <w:rsid w:val="0C7B02EA"/>
    <w:rsid w:val="0CA63264"/>
    <w:rsid w:val="0CAF268A"/>
    <w:rsid w:val="0CB35CD6"/>
    <w:rsid w:val="0CB8153E"/>
    <w:rsid w:val="0CF12C11"/>
    <w:rsid w:val="0D274138"/>
    <w:rsid w:val="0D3A01A5"/>
    <w:rsid w:val="0D4903E8"/>
    <w:rsid w:val="0D4F0152"/>
    <w:rsid w:val="0D5E2FDF"/>
    <w:rsid w:val="0D817B82"/>
    <w:rsid w:val="0DC029BC"/>
    <w:rsid w:val="0DD24882"/>
    <w:rsid w:val="0DD621C2"/>
    <w:rsid w:val="0DD75F98"/>
    <w:rsid w:val="0DD95C10"/>
    <w:rsid w:val="0DEE1C94"/>
    <w:rsid w:val="0DFD26FC"/>
    <w:rsid w:val="0E034A3B"/>
    <w:rsid w:val="0EA55AF2"/>
    <w:rsid w:val="0EB61AAE"/>
    <w:rsid w:val="0EC00B7E"/>
    <w:rsid w:val="0EC853E9"/>
    <w:rsid w:val="0ED4462A"/>
    <w:rsid w:val="0EFE1F5F"/>
    <w:rsid w:val="0F262D2D"/>
    <w:rsid w:val="0F3550C8"/>
    <w:rsid w:val="0F547FBC"/>
    <w:rsid w:val="0F5A663B"/>
    <w:rsid w:val="0F6E2834"/>
    <w:rsid w:val="0F987405"/>
    <w:rsid w:val="0FF3288D"/>
    <w:rsid w:val="10014FAA"/>
    <w:rsid w:val="10046849"/>
    <w:rsid w:val="103435D2"/>
    <w:rsid w:val="10451DF9"/>
    <w:rsid w:val="104A6951"/>
    <w:rsid w:val="10505F32"/>
    <w:rsid w:val="10594DE6"/>
    <w:rsid w:val="105A5869"/>
    <w:rsid w:val="107C0AD5"/>
    <w:rsid w:val="1084311E"/>
    <w:rsid w:val="109202F8"/>
    <w:rsid w:val="10C06C14"/>
    <w:rsid w:val="10CF6E57"/>
    <w:rsid w:val="10F03EEC"/>
    <w:rsid w:val="11252F1A"/>
    <w:rsid w:val="112847B9"/>
    <w:rsid w:val="113E3473"/>
    <w:rsid w:val="114A2981"/>
    <w:rsid w:val="115953C8"/>
    <w:rsid w:val="11761345"/>
    <w:rsid w:val="11877731"/>
    <w:rsid w:val="11BD13A5"/>
    <w:rsid w:val="11F72B09"/>
    <w:rsid w:val="11FF25EB"/>
    <w:rsid w:val="12212E86"/>
    <w:rsid w:val="122A4259"/>
    <w:rsid w:val="123A0C48"/>
    <w:rsid w:val="12541D09"/>
    <w:rsid w:val="128D0D77"/>
    <w:rsid w:val="12E261AA"/>
    <w:rsid w:val="12FD1DB5"/>
    <w:rsid w:val="131119A8"/>
    <w:rsid w:val="131941EA"/>
    <w:rsid w:val="132C233E"/>
    <w:rsid w:val="132D4308"/>
    <w:rsid w:val="134770B1"/>
    <w:rsid w:val="13495ABA"/>
    <w:rsid w:val="1351449B"/>
    <w:rsid w:val="138A52B7"/>
    <w:rsid w:val="139F6FB4"/>
    <w:rsid w:val="1457788F"/>
    <w:rsid w:val="14891A12"/>
    <w:rsid w:val="149363ED"/>
    <w:rsid w:val="14A66120"/>
    <w:rsid w:val="14AA3E63"/>
    <w:rsid w:val="15121A08"/>
    <w:rsid w:val="151237B6"/>
    <w:rsid w:val="151439D2"/>
    <w:rsid w:val="152359C3"/>
    <w:rsid w:val="15804BC3"/>
    <w:rsid w:val="15E52C78"/>
    <w:rsid w:val="15EE4223"/>
    <w:rsid w:val="16ED0036"/>
    <w:rsid w:val="16F615E1"/>
    <w:rsid w:val="170B2BB3"/>
    <w:rsid w:val="170D06D9"/>
    <w:rsid w:val="171066BC"/>
    <w:rsid w:val="175B20F3"/>
    <w:rsid w:val="17614581"/>
    <w:rsid w:val="17620A24"/>
    <w:rsid w:val="1783672E"/>
    <w:rsid w:val="178B2244"/>
    <w:rsid w:val="17BA2861"/>
    <w:rsid w:val="17BF5E77"/>
    <w:rsid w:val="17CC2BFD"/>
    <w:rsid w:val="17EC6540"/>
    <w:rsid w:val="18071A18"/>
    <w:rsid w:val="181D0DEF"/>
    <w:rsid w:val="189C686D"/>
    <w:rsid w:val="18BF2AEB"/>
    <w:rsid w:val="18E253DF"/>
    <w:rsid w:val="18EE6119"/>
    <w:rsid w:val="18F2402A"/>
    <w:rsid w:val="19061883"/>
    <w:rsid w:val="190A3122"/>
    <w:rsid w:val="1917300C"/>
    <w:rsid w:val="1921046B"/>
    <w:rsid w:val="194A3437"/>
    <w:rsid w:val="1981715C"/>
    <w:rsid w:val="19EE2A43"/>
    <w:rsid w:val="19F33E63"/>
    <w:rsid w:val="19FD2C86"/>
    <w:rsid w:val="1A0538E9"/>
    <w:rsid w:val="1A5328A6"/>
    <w:rsid w:val="1AB71087"/>
    <w:rsid w:val="1AD5150D"/>
    <w:rsid w:val="1B244243"/>
    <w:rsid w:val="1B2D759B"/>
    <w:rsid w:val="1B3A3A66"/>
    <w:rsid w:val="1B4B7A22"/>
    <w:rsid w:val="1B520DB0"/>
    <w:rsid w:val="1B522B5E"/>
    <w:rsid w:val="1BF82D36"/>
    <w:rsid w:val="1BFB31F6"/>
    <w:rsid w:val="1C362480"/>
    <w:rsid w:val="1C7865F4"/>
    <w:rsid w:val="1C8036FB"/>
    <w:rsid w:val="1C9A2A0F"/>
    <w:rsid w:val="1CBE0187"/>
    <w:rsid w:val="1CDF38A4"/>
    <w:rsid w:val="1D0165EA"/>
    <w:rsid w:val="1D65301C"/>
    <w:rsid w:val="1D7901D7"/>
    <w:rsid w:val="1DA35BF9"/>
    <w:rsid w:val="1DAA633A"/>
    <w:rsid w:val="1DFE0D7B"/>
    <w:rsid w:val="1E14234D"/>
    <w:rsid w:val="1E236A34"/>
    <w:rsid w:val="1E2F53D8"/>
    <w:rsid w:val="1E3E4FAF"/>
    <w:rsid w:val="1E4C1AE7"/>
    <w:rsid w:val="1EAE454F"/>
    <w:rsid w:val="1EC04283"/>
    <w:rsid w:val="1ECC0E79"/>
    <w:rsid w:val="1EE937D9"/>
    <w:rsid w:val="1F1B45EB"/>
    <w:rsid w:val="1F206574"/>
    <w:rsid w:val="1F613F93"/>
    <w:rsid w:val="1F613FCB"/>
    <w:rsid w:val="1F633882"/>
    <w:rsid w:val="1FBE07C2"/>
    <w:rsid w:val="200B4A65"/>
    <w:rsid w:val="20580C17"/>
    <w:rsid w:val="209459C7"/>
    <w:rsid w:val="20EF2BFD"/>
    <w:rsid w:val="210E39CB"/>
    <w:rsid w:val="21267C0B"/>
    <w:rsid w:val="212705E9"/>
    <w:rsid w:val="21333432"/>
    <w:rsid w:val="216B497A"/>
    <w:rsid w:val="21A12149"/>
    <w:rsid w:val="21FC3824"/>
    <w:rsid w:val="224F429B"/>
    <w:rsid w:val="22574EFE"/>
    <w:rsid w:val="227B5090"/>
    <w:rsid w:val="227D2BB6"/>
    <w:rsid w:val="22970985"/>
    <w:rsid w:val="22C97B55"/>
    <w:rsid w:val="22E569AE"/>
    <w:rsid w:val="22F64717"/>
    <w:rsid w:val="230E380E"/>
    <w:rsid w:val="234A05BF"/>
    <w:rsid w:val="23871813"/>
    <w:rsid w:val="2398757C"/>
    <w:rsid w:val="23B573F6"/>
    <w:rsid w:val="23EA427B"/>
    <w:rsid w:val="23F70746"/>
    <w:rsid w:val="24217571"/>
    <w:rsid w:val="243523CB"/>
    <w:rsid w:val="243674C1"/>
    <w:rsid w:val="24A26CC4"/>
    <w:rsid w:val="24A84AD4"/>
    <w:rsid w:val="24D665AE"/>
    <w:rsid w:val="25056E93"/>
    <w:rsid w:val="252C02E0"/>
    <w:rsid w:val="2569483F"/>
    <w:rsid w:val="25701D64"/>
    <w:rsid w:val="25A22934"/>
    <w:rsid w:val="25A71CF8"/>
    <w:rsid w:val="25B6018D"/>
    <w:rsid w:val="25C24D84"/>
    <w:rsid w:val="25D23219"/>
    <w:rsid w:val="25D86356"/>
    <w:rsid w:val="25DB44C1"/>
    <w:rsid w:val="25E1520A"/>
    <w:rsid w:val="25EE7927"/>
    <w:rsid w:val="25F74A2E"/>
    <w:rsid w:val="26121868"/>
    <w:rsid w:val="26760048"/>
    <w:rsid w:val="26895D0C"/>
    <w:rsid w:val="268A1D5E"/>
    <w:rsid w:val="268D6C84"/>
    <w:rsid w:val="26915C34"/>
    <w:rsid w:val="26920BFA"/>
    <w:rsid w:val="26A727A6"/>
    <w:rsid w:val="26C41924"/>
    <w:rsid w:val="26E9139D"/>
    <w:rsid w:val="26FA353F"/>
    <w:rsid w:val="27124612"/>
    <w:rsid w:val="2714160F"/>
    <w:rsid w:val="271D4C8B"/>
    <w:rsid w:val="272F1FA5"/>
    <w:rsid w:val="27475541"/>
    <w:rsid w:val="274C6FFB"/>
    <w:rsid w:val="277963CF"/>
    <w:rsid w:val="27954480"/>
    <w:rsid w:val="27C51B65"/>
    <w:rsid w:val="27FF7BCA"/>
    <w:rsid w:val="281C69CE"/>
    <w:rsid w:val="284412BB"/>
    <w:rsid w:val="28577471"/>
    <w:rsid w:val="28771E56"/>
    <w:rsid w:val="289B3D96"/>
    <w:rsid w:val="28E22C27"/>
    <w:rsid w:val="28FA4FEC"/>
    <w:rsid w:val="28FF2559"/>
    <w:rsid w:val="290556B4"/>
    <w:rsid w:val="290F75E7"/>
    <w:rsid w:val="29183639"/>
    <w:rsid w:val="29432E1E"/>
    <w:rsid w:val="297B5976"/>
    <w:rsid w:val="29890093"/>
    <w:rsid w:val="29946A38"/>
    <w:rsid w:val="299F1441"/>
    <w:rsid w:val="29F7669E"/>
    <w:rsid w:val="2A007C29"/>
    <w:rsid w:val="2A02030B"/>
    <w:rsid w:val="2A4F623E"/>
    <w:rsid w:val="2A7D36A2"/>
    <w:rsid w:val="2AA809EC"/>
    <w:rsid w:val="2AB54EB7"/>
    <w:rsid w:val="2ABC1DA2"/>
    <w:rsid w:val="2AC1560A"/>
    <w:rsid w:val="2B0C0F7B"/>
    <w:rsid w:val="2B1C0A93"/>
    <w:rsid w:val="2B3C2EE3"/>
    <w:rsid w:val="2B5841C1"/>
    <w:rsid w:val="2B7679E1"/>
    <w:rsid w:val="2BA72A52"/>
    <w:rsid w:val="2BBE7D9C"/>
    <w:rsid w:val="2BF35C97"/>
    <w:rsid w:val="2C131E96"/>
    <w:rsid w:val="2C593846"/>
    <w:rsid w:val="2C7C3EDF"/>
    <w:rsid w:val="2C983A5F"/>
    <w:rsid w:val="2CA86A82"/>
    <w:rsid w:val="2CEE4AB3"/>
    <w:rsid w:val="2CFC6DCE"/>
    <w:rsid w:val="2D0F4D53"/>
    <w:rsid w:val="2D157E8F"/>
    <w:rsid w:val="2D256324"/>
    <w:rsid w:val="2D2E26C5"/>
    <w:rsid w:val="2D850B71"/>
    <w:rsid w:val="2D9716DA"/>
    <w:rsid w:val="2DCC7F41"/>
    <w:rsid w:val="2DD41AF8"/>
    <w:rsid w:val="2DD85145"/>
    <w:rsid w:val="2DF81343"/>
    <w:rsid w:val="2E0777D8"/>
    <w:rsid w:val="2E1168A9"/>
    <w:rsid w:val="2E4E72C7"/>
    <w:rsid w:val="2E5C3FC8"/>
    <w:rsid w:val="2E6030B9"/>
    <w:rsid w:val="2E6115DE"/>
    <w:rsid w:val="2E792A9B"/>
    <w:rsid w:val="2E8327E2"/>
    <w:rsid w:val="2E870919"/>
    <w:rsid w:val="2EB354E5"/>
    <w:rsid w:val="2ED022C0"/>
    <w:rsid w:val="2EE713B8"/>
    <w:rsid w:val="2EF35FAE"/>
    <w:rsid w:val="2EF41ECF"/>
    <w:rsid w:val="2F0860B8"/>
    <w:rsid w:val="2F142B95"/>
    <w:rsid w:val="2F1A440E"/>
    <w:rsid w:val="2F1E0A8A"/>
    <w:rsid w:val="2F210D6D"/>
    <w:rsid w:val="2F68699C"/>
    <w:rsid w:val="2F7C778E"/>
    <w:rsid w:val="2F9E23BE"/>
    <w:rsid w:val="2FB41BE1"/>
    <w:rsid w:val="2FE53B49"/>
    <w:rsid w:val="2FFA3A98"/>
    <w:rsid w:val="30556F21"/>
    <w:rsid w:val="307858FB"/>
    <w:rsid w:val="3078676B"/>
    <w:rsid w:val="30A413A6"/>
    <w:rsid w:val="31291B85"/>
    <w:rsid w:val="3129272A"/>
    <w:rsid w:val="31305E06"/>
    <w:rsid w:val="313F6DF8"/>
    <w:rsid w:val="315076E8"/>
    <w:rsid w:val="315C7EF7"/>
    <w:rsid w:val="3161109D"/>
    <w:rsid w:val="31796C3F"/>
    <w:rsid w:val="318C4C20"/>
    <w:rsid w:val="31A17F44"/>
    <w:rsid w:val="31C3435E"/>
    <w:rsid w:val="32144BB9"/>
    <w:rsid w:val="32252923"/>
    <w:rsid w:val="3268280F"/>
    <w:rsid w:val="327F22E4"/>
    <w:rsid w:val="329B4993"/>
    <w:rsid w:val="32BF4B25"/>
    <w:rsid w:val="330662B0"/>
    <w:rsid w:val="33096E5B"/>
    <w:rsid w:val="331F55C4"/>
    <w:rsid w:val="336456CD"/>
    <w:rsid w:val="33A61841"/>
    <w:rsid w:val="33A77124"/>
    <w:rsid w:val="33BB353F"/>
    <w:rsid w:val="33DD119D"/>
    <w:rsid w:val="342033A2"/>
    <w:rsid w:val="34491DD2"/>
    <w:rsid w:val="345F5D00"/>
    <w:rsid w:val="34670FD0"/>
    <w:rsid w:val="349B6ECC"/>
    <w:rsid w:val="34A301BF"/>
    <w:rsid w:val="34A57D4B"/>
    <w:rsid w:val="34BA2A16"/>
    <w:rsid w:val="34BC62D4"/>
    <w:rsid w:val="34EC7728"/>
    <w:rsid w:val="34F827AA"/>
    <w:rsid w:val="35065446"/>
    <w:rsid w:val="35260E8C"/>
    <w:rsid w:val="352E08AC"/>
    <w:rsid w:val="356814A4"/>
    <w:rsid w:val="358931C8"/>
    <w:rsid w:val="358D2CB9"/>
    <w:rsid w:val="35957DBF"/>
    <w:rsid w:val="35E328D9"/>
    <w:rsid w:val="35F35B72"/>
    <w:rsid w:val="361C228F"/>
    <w:rsid w:val="362F19AA"/>
    <w:rsid w:val="3648628C"/>
    <w:rsid w:val="364C2B74"/>
    <w:rsid w:val="3651018A"/>
    <w:rsid w:val="36546892"/>
    <w:rsid w:val="365E4655"/>
    <w:rsid w:val="366E69EE"/>
    <w:rsid w:val="368142F4"/>
    <w:rsid w:val="368A544A"/>
    <w:rsid w:val="36941E25"/>
    <w:rsid w:val="369462C9"/>
    <w:rsid w:val="369C741A"/>
    <w:rsid w:val="36AE1139"/>
    <w:rsid w:val="36DF7544"/>
    <w:rsid w:val="37076A9B"/>
    <w:rsid w:val="371A4A20"/>
    <w:rsid w:val="376C4B50"/>
    <w:rsid w:val="37797999"/>
    <w:rsid w:val="377D0B0B"/>
    <w:rsid w:val="37920A5A"/>
    <w:rsid w:val="37930028"/>
    <w:rsid w:val="37B971EB"/>
    <w:rsid w:val="37C7238E"/>
    <w:rsid w:val="37DC3A83"/>
    <w:rsid w:val="38044D88"/>
    <w:rsid w:val="38312021"/>
    <w:rsid w:val="38547C0B"/>
    <w:rsid w:val="385B444C"/>
    <w:rsid w:val="388C54AA"/>
    <w:rsid w:val="38A5656B"/>
    <w:rsid w:val="38AF73EA"/>
    <w:rsid w:val="38BB5D8F"/>
    <w:rsid w:val="38F115A1"/>
    <w:rsid w:val="39386D6D"/>
    <w:rsid w:val="39423DBA"/>
    <w:rsid w:val="396C0F3D"/>
    <w:rsid w:val="39B12CEE"/>
    <w:rsid w:val="39BD1693"/>
    <w:rsid w:val="39EC2AE2"/>
    <w:rsid w:val="39F74BA5"/>
    <w:rsid w:val="3A1E510D"/>
    <w:rsid w:val="3A482D0C"/>
    <w:rsid w:val="3A960861"/>
    <w:rsid w:val="3AB331C1"/>
    <w:rsid w:val="3AB42A96"/>
    <w:rsid w:val="3AF47336"/>
    <w:rsid w:val="3AFA0DF0"/>
    <w:rsid w:val="3AFF6407"/>
    <w:rsid w:val="3B1E43B3"/>
    <w:rsid w:val="3B5953EB"/>
    <w:rsid w:val="3B6765EF"/>
    <w:rsid w:val="3B6E70E8"/>
    <w:rsid w:val="3B7F913C"/>
    <w:rsid w:val="3B8C1FA8"/>
    <w:rsid w:val="3BA23236"/>
    <w:rsid w:val="3BA92E5F"/>
    <w:rsid w:val="3BBD1E1E"/>
    <w:rsid w:val="3BD17677"/>
    <w:rsid w:val="3C0E61D6"/>
    <w:rsid w:val="3C137C90"/>
    <w:rsid w:val="3C336960"/>
    <w:rsid w:val="3C3638BF"/>
    <w:rsid w:val="3C3C35DC"/>
    <w:rsid w:val="3C666012"/>
    <w:rsid w:val="3C6A41CC"/>
    <w:rsid w:val="3C7544A7"/>
    <w:rsid w:val="3C8B773F"/>
    <w:rsid w:val="3CC52D38"/>
    <w:rsid w:val="3CCA65A0"/>
    <w:rsid w:val="3CD568AC"/>
    <w:rsid w:val="3CD613E9"/>
    <w:rsid w:val="3D177DB6"/>
    <w:rsid w:val="3D4F4CF8"/>
    <w:rsid w:val="3D65451B"/>
    <w:rsid w:val="3D7A4D67"/>
    <w:rsid w:val="3D7B2607"/>
    <w:rsid w:val="3D82611F"/>
    <w:rsid w:val="3D87623F"/>
    <w:rsid w:val="3D9B7F3D"/>
    <w:rsid w:val="3D9D1752"/>
    <w:rsid w:val="3DAB63D2"/>
    <w:rsid w:val="3DBA03C3"/>
    <w:rsid w:val="3E155F41"/>
    <w:rsid w:val="3E3839DE"/>
    <w:rsid w:val="3E3F4D6C"/>
    <w:rsid w:val="3E467EA9"/>
    <w:rsid w:val="3E595999"/>
    <w:rsid w:val="3E7D32DD"/>
    <w:rsid w:val="3E974BA8"/>
    <w:rsid w:val="3EC55271"/>
    <w:rsid w:val="3F1509DC"/>
    <w:rsid w:val="3F1E0E25"/>
    <w:rsid w:val="3F4F5483"/>
    <w:rsid w:val="3F823162"/>
    <w:rsid w:val="3F9D1D4A"/>
    <w:rsid w:val="3FB928FC"/>
    <w:rsid w:val="3FDB6D16"/>
    <w:rsid w:val="40152228"/>
    <w:rsid w:val="401B7113"/>
    <w:rsid w:val="40307062"/>
    <w:rsid w:val="403A1C8F"/>
    <w:rsid w:val="403C77B5"/>
    <w:rsid w:val="405D6CA8"/>
    <w:rsid w:val="407C22A8"/>
    <w:rsid w:val="409F1AF2"/>
    <w:rsid w:val="40B25CC9"/>
    <w:rsid w:val="40B862A0"/>
    <w:rsid w:val="40D151F9"/>
    <w:rsid w:val="40D45C40"/>
    <w:rsid w:val="40E67721"/>
    <w:rsid w:val="414E7496"/>
    <w:rsid w:val="41517290"/>
    <w:rsid w:val="418F1B67"/>
    <w:rsid w:val="41BA3087"/>
    <w:rsid w:val="41BE244C"/>
    <w:rsid w:val="41DB4DAC"/>
    <w:rsid w:val="41E2613A"/>
    <w:rsid w:val="420E33D3"/>
    <w:rsid w:val="422164AF"/>
    <w:rsid w:val="425B266C"/>
    <w:rsid w:val="426D00FA"/>
    <w:rsid w:val="42C53644"/>
    <w:rsid w:val="43476B9D"/>
    <w:rsid w:val="438576C5"/>
    <w:rsid w:val="438A5314"/>
    <w:rsid w:val="4396542E"/>
    <w:rsid w:val="43A63197"/>
    <w:rsid w:val="43AC6A00"/>
    <w:rsid w:val="43B83D38"/>
    <w:rsid w:val="43BB6C43"/>
    <w:rsid w:val="43DB5537"/>
    <w:rsid w:val="43DE6DD5"/>
    <w:rsid w:val="43E06BC0"/>
    <w:rsid w:val="43E20674"/>
    <w:rsid w:val="440D2987"/>
    <w:rsid w:val="44160FDC"/>
    <w:rsid w:val="442962A2"/>
    <w:rsid w:val="444E17DC"/>
    <w:rsid w:val="446F7A2D"/>
    <w:rsid w:val="44827761"/>
    <w:rsid w:val="448630B3"/>
    <w:rsid w:val="44915BF6"/>
    <w:rsid w:val="449A71A0"/>
    <w:rsid w:val="44BD02DA"/>
    <w:rsid w:val="44DF4BB3"/>
    <w:rsid w:val="44E703FF"/>
    <w:rsid w:val="44F8659E"/>
    <w:rsid w:val="450D34CE"/>
    <w:rsid w:val="451E1B7F"/>
    <w:rsid w:val="45763769"/>
    <w:rsid w:val="45AA0617"/>
    <w:rsid w:val="45B1552D"/>
    <w:rsid w:val="45B63B66"/>
    <w:rsid w:val="45E36925"/>
    <w:rsid w:val="45F30E47"/>
    <w:rsid w:val="45FB3C6E"/>
    <w:rsid w:val="460F135D"/>
    <w:rsid w:val="460F2BC3"/>
    <w:rsid w:val="463351B6"/>
    <w:rsid w:val="4658671E"/>
    <w:rsid w:val="469C7200"/>
    <w:rsid w:val="46A676CF"/>
    <w:rsid w:val="46AC5AA6"/>
    <w:rsid w:val="46C840B2"/>
    <w:rsid w:val="46D02A05"/>
    <w:rsid w:val="46DB5421"/>
    <w:rsid w:val="46FF15D4"/>
    <w:rsid w:val="47040901"/>
    <w:rsid w:val="475C698F"/>
    <w:rsid w:val="478749DE"/>
    <w:rsid w:val="47946129"/>
    <w:rsid w:val="47C22C96"/>
    <w:rsid w:val="47F73E2D"/>
    <w:rsid w:val="48082673"/>
    <w:rsid w:val="481132D5"/>
    <w:rsid w:val="48270D4B"/>
    <w:rsid w:val="482A25E9"/>
    <w:rsid w:val="489D2798"/>
    <w:rsid w:val="489D2DBB"/>
    <w:rsid w:val="48A44149"/>
    <w:rsid w:val="48A6490B"/>
    <w:rsid w:val="48E7655B"/>
    <w:rsid w:val="4900334A"/>
    <w:rsid w:val="490D6193"/>
    <w:rsid w:val="49153299"/>
    <w:rsid w:val="49325BF9"/>
    <w:rsid w:val="49361744"/>
    <w:rsid w:val="4953791E"/>
    <w:rsid w:val="49935F6C"/>
    <w:rsid w:val="49BC3715"/>
    <w:rsid w:val="49DC7913"/>
    <w:rsid w:val="4A0155CC"/>
    <w:rsid w:val="4A0D3F70"/>
    <w:rsid w:val="4A1452FF"/>
    <w:rsid w:val="4A301A0D"/>
    <w:rsid w:val="4A657908"/>
    <w:rsid w:val="4AA46683"/>
    <w:rsid w:val="4AAD305D"/>
    <w:rsid w:val="4ADB7BCB"/>
    <w:rsid w:val="4AE2174F"/>
    <w:rsid w:val="4AEB2504"/>
    <w:rsid w:val="4AF619D8"/>
    <w:rsid w:val="4B1D4687"/>
    <w:rsid w:val="4B5C51AF"/>
    <w:rsid w:val="4B68071D"/>
    <w:rsid w:val="4B6C4CC7"/>
    <w:rsid w:val="4B842010"/>
    <w:rsid w:val="4B863FDA"/>
    <w:rsid w:val="4B897627"/>
    <w:rsid w:val="4BAD5A0B"/>
    <w:rsid w:val="4BE07B8E"/>
    <w:rsid w:val="4C1E2465"/>
    <w:rsid w:val="4C2D334E"/>
    <w:rsid w:val="4C4F6079"/>
    <w:rsid w:val="4C6B3C12"/>
    <w:rsid w:val="4C935821"/>
    <w:rsid w:val="4CAA5AA7"/>
    <w:rsid w:val="4CB93F3C"/>
    <w:rsid w:val="4CBE77A4"/>
    <w:rsid w:val="4CC72AFC"/>
    <w:rsid w:val="4CD314A1"/>
    <w:rsid w:val="4CF51418"/>
    <w:rsid w:val="4D417FC4"/>
    <w:rsid w:val="4D5048A0"/>
    <w:rsid w:val="4D643961"/>
    <w:rsid w:val="4D6C7200"/>
    <w:rsid w:val="4DC70FA0"/>
    <w:rsid w:val="4DDA23BB"/>
    <w:rsid w:val="4DDC4386"/>
    <w:rsid w:val="4E54216E"/>
    <w:rsid w:val="4E7C3473"/>
    <w:rsid w:val="4EF444A0"/>
    <w:rsid w:val="4EF86F9D"/>
    <w:rsid w:val="4F060F96"/>
    <w:rsid w:val="4F552641"/>
    <w:rsid w:val="4F8B57B6"/>
    <w:rsid w:val="4F90367A"/>
    <w:rsid w:val="4FB07878"/>
    <w:rsid w:val="4FD572DE"/>
    <w:rsid w:val="4FFA0AF3"/>
    <w:rsid w:val="50077FAA"/>
    <w:rsid w:val="50081462"/>
    <w:rsid w:val="50120532"/>
    <w:rsid w:val="50471AE0"/>
    <w:rsid w:val="504F7091"/>
    <w:rsid w:val="508A1E77"/>
    <w:rsid w:val="50B67110"/>
    <w:rsid w:val="50CC6D6C"/>
    <w:rsid w:val="50E10904"/>
    <w:rsid w:val="511B1920"/>
    <w:rsid w:val="514566E6"/>
    <w:rsid w:val="51597A9B"/>
    <w:rsid w:val="51646B6C"/>
    <w:rsid w:val="51861ABD"/>
    <w:rsid w:val="51A74254"/>
    <w:rsid w:val="51D3641B"/>
    <w:rsid w:val="51DA6E2E"/>
    <w:rsid w:val="51F0246E"/>
    <w:rsid w:val="51FF183A"/>
    <w:rsid w:val="52151C14"/>
    <w:rsid w:val="52412A09"/>
    <w:rsid w:val="524349D3"/>
    <w:rsid w:val="524D32AB"/>
    <w:rsid w:val="526D37FE"/>
    <w:rsid w:val="528172AA"/>
    <w:rsid w:val="52A40128"/>
    <w:rsid w:val="52B4767F"/>
    <w:rsid w:val="52E8557B"/>
    <w:rsid w:val="52F97788"/>
    <w:rsid w:val="52FD1026"/>
    <w:rsid w:val="530E3233"/>
    <w:rsid w:val="532C190B"/>
    <w:rsid w:val="533C1422"/>
    <w:rsid w:val="53446C55"/>
    <w:rsid w:val="53530C46"/>
    <w:rsid w:val="536015B5"/>
    <w:rsid w:val="536F7A4A"/>
    <w:rsid w:val="53B67427"/>
    <w:rsid w:val="53BD6A07"/>
    <w:rsid w:val="53EF36C4"/>
    <w:rsid w:val="5400256C"/>
    <w:rsid w:val="54077C82"/>
    <w:rsid w:val="540B32CF"/>
    <w:rsid w:val="54387E3C"/>
    <w:rsid w:val="545A39E7"/>
    <w:rsid w:val="547E6196"/>
    <w:rsid w:val="548560CB"/>
    <w:rsid w:val="54C46455"/>
    <w:rsid w:val="54E72F13"/>
    <w:rsid w:val="54EA55DA"/>
    <w:rsid w:val="54EF47C6"/>
    <w:rsid w:val="554C1DF1"/>
    <w:rsid w:val="557021BD"/>
    <w:rsid w:val="55774994"/>
    <w:rsid w:val="55913CA7"/>
    <w:rsid w:val="559823F4"/>
    <w:rsid w:val="55A30DE2"/>
    <w:rsid w:val="55A34AEC"/>
    <w:rsid w:val="561F417C"/>
    <w:rsid w:val="562E14F6"/>
    <w:rsid w:val="56382375"/>
    <w:rsid w:val="566118CC"/>
    <w:rsid w:val="56F049FE"/>
    <w:rsid w:val="56F7787A"/>
    <w:rsid w:val="573945F7"/>
    <w:rsid w:val="573E7E5F"/>
    <w:rsid w:val="57706926"/>
    <w:rsid w:val="577B0AF9"/>
    <w:rsid w:val="578D66F1"/>
    <w:rsid w:val="579962B6"/>
    <w:rsid w:val="57B123DF"/>
    <w:rsid w:val="57BD6FD6"/>
    <w:rsid w:val="57F30C49"/>
    <w:rsid w:val="57FB18AC"/>
    <w:rsid w:val="580A1AEF"/>
    <w:rsid w:val="585B1651"/>
    <w:rsid w:val="58775533"/>
    <w:rsid w:val="587D6765"/>
    <w:rsid w:val="588E44CE"/>
    <w:rsid w:val="589B18E6"/>
    <w:rsid w:val="589C308F"/>
    <w:rsid w:val="58CC44C5"/>
    <w:rsid w:val="58E7604B"/>
    <w:rsid w:val="58EE31BF"/>
    <w:rsid w:val="59384981"/>
    <w:rsid w:val="59464DA9"/>
    <w:rsid w:val="59B85CA7"/>
    <w:rsid w:val="59CC5CA5"/>
    <w:rsid w:val="59EC3BA2"/>
    <w:rsid w:val="5A1B4488"/>
    <w:rsid w:val="5A2570B4"/>
    <w:rsid w:val="5A296BA4"/>
    <w:rsid w:val="5A494B51"/>
    <w:rsid w:val="5A4E2197"/>
    <w:rsid w:val="5A93487C"/>
    <w:rsid w:val="5AA44D33"/>
    <w:rsid w:val="5AAF5D14"/>
    <w:rsid w:val="5AB3646E"/>
    <w:rsid w:val="5ACE5056"/>
    <w:rsid w:val="5AF66085"/>
    <w:rsid w:val="5AFE1DDF"/>
    <w:rsid w:val="5B1F1A1A"/>
    <w:rsid w:val="5B4812AC"/>
    <w:rsid w:val="5B9938B6"/>
    <w:rsid w:val="5BD3284D"/>
    <w:rsid w:val="5BF02EEA"/>
    <w:rsid w:val="5C090A3C"/>
    <w:rsid w:val="5C0F3B78"/>
    <w:rsid w:val="5C1B076F"/>
    <w:rsid w:val="5C4004F4"/>
    <w:rsid w:val="5C4E741D"/>
    <w:rsid w:val="5C510B34"/>
    <w:rsid w:val="5C6C2D78"/>
    <w:rsid w:val="5C9664F6"/>
    <w:rsid w:val="5CA40764"/>
    <w:rsid w:val="5CAC6EDF"/>
    <w:rsid w:val="5D256AB5"/>
    <w:rsid w:val="5D4930BA"/>
    <w:rsid w:val="5DAD53F7"/>
    <w:rsid w:val="5DE03A1E"/>
    <w:rsid w:val="5E1831B8"/>
    <w:rsid w:val="5E286648"/>
    <w:rsid w:val="5E734892"/>
    <w:rsid w:val="5E7B48A8"/>
    <w:rsid w:val="5E875C48"/>
    <w:rsid w:val="5ECF1260"/>
    <w:rsid w:val="5EF94294"/>
    <w:rsid w:val="5F8240D4"/>
    <w:rsid w:val="5F8A1E93"/>
    <w:rsid w:val="5F9F3465"/>
    <w:rsid w:val="5FA32F55"/>
    <w:rsid w:val="5FAD7930"/>
    <w:rsid w:val="5FD650D9"/>
    <w:rsid w:val="601479AF"/>
    <w:rsid w:val="602776E2"/>
    <w:rsid w:val="602C2F4B"/>
    <w:rsid w:val="603B318E"/>
    <w:rsid w:val="607D19D9"/>
    <w:rsid w:val="60820545"/>
    <w:rsid w:val="609D79A4"/>
    <w:rsid w:val="60BD1DF5"/>
    <w:rsid w:val="60E07891"/>
    <w:rsid w:val="613144C8"/>
    <w:rsid w:val="61355E2F"/>
    <w:rsid w:val="613A51F3"/>
    <w:rsid w:val="613C540F"/>
    <w:rsid w:val="614D08BD"/>
    <w:rsid w:val="6166248C"/>
    <w:rsid w:val="617F70AA"/>
    <w:rsid w:val="61AF6812"/>
    <w:rsid w:val="61DB4C28"/>
    <w:rsid w:val="61E433B1"/>
    <w:rsid w:val="620B4DE2"/>
    <w:rsid w:val="62397BA1"/>
    <w:rsid w:val="6246445C"/>
    <w:rsid w:val="624E53AB"/>
    <w:rsid w:val="628250A4"/>
    <w:rsid w:val="62B17737"/>
    <w:rsid w:val="62B611F1"/>
    <w:rsid w:val="62C531E2"/>
    <w:rsid w:val="62DE42A4"/>
    <w:rsid w:val="62E573E1"/>
    <w:rsid w:val="63224191"/>
    <w:rsid w:val="632E6FDA"/>
    <w:rsid w:val="63402869"/>
    <w:rsid w:val="63620A31"/>
    <w:rsid w:val="63894210"/>
    <w:rsid w:val="63A47166"/>
    <w:rsid w:val="63AE3C76"/>
    <w:rsid w:val="63C11BFC"/>
    <w:rsid w:val="63CC40F4"/>
    <w:rsid w:val="64287ECD"/>
    <w:rsid w:val="64460353"/>
    <w:rsid w:val="649208B5"/>
    <w:rsid w:val="649C61C5"/>
    <w:rsid w:val="64AA19B4"/>
    <w:rsid w:val="64AF37A1"/>
    <w:rsid w:val="64E9765C"/>
    <w:rsid w:val="652266CA"/>
    <w:rsid w:val="65270184"/>
    <w:rsid w:val="657A02B4"/>
    <w:rsid w:val="65AB66C0"/>
    <w:rsid w:val="65BF216B"/>
    <w:rsid w:val="66075314"/>
    <w:rsid w:val="663935EB"/>
    <w:rsid w:val="664D46E2"/>
    <w:rsid w:val="66636F9A"/>
    <w:rsid w:val="66723681"/>
    <w:rsid w:val="66862C89"/>
    <w:rsid w:val="668A797B"/>
    <w:rsid w:val="670F38E2"/>
    <w:rsid w:val="67825B46"/>
    <w:rsid w:val="67C12948"/>
    <w:rsid w:val="67D0240D"/>
    <w:rsid w:val="681F15E7"/>
    <w:rsid w:val="68581629"/>
    <w:rsid w:val="686E1C26"/>
    <w:rsid w:val="68752FB5"/>
    <w:rsid w:val="68AB4C28"/>
    <w:rsid w:val="68C87588"/>
    <w:rsid w:val="68FF61A9"/>
    <w:rsid w:val="691F2499"/>
    <w:rsid w:val="69201173"/>
    <w:rsid w:val="6952502B"/>
    <w:rsid w:val="699456BD"/>
    <w:rsid w:val="69B67D29"/>
    <w:rsid w:val="69C16AED"/>
    <w:rsid w:val="69D02B99"/>
    <w:rsid w:val="69EC72A7"/>
    <w:rsid w:val="6A8E035E"/>
    <w:rsid w:val="6B0B7C00"/>
    <w:rsid w:val="6B225676"/>
    <w:rsid w:val="6B363576"/>
    <w:rsid w:val="6B403D4E"/>
    <w:rsid w:val="6B5B2936"/>
    <w:rsid w:val="6B797260"/>
    <w:rsid w:val="6B96396E"/>
    <w:rsid w:val="6B99345E"/>
    <w:rsid w:val="6B9B71D6"/>
    <w:rsid w:val="6BD3071E"/>
    <w:rsid w:val="6BE02E3B"/>
    <w:rsid w:val="6C0D76BF"/>
    <w:rsid w:val="6C30791F"/>
    <w:rsid w:val="6C643A6C"/>
    <w:rsid w:val="6C783B29"/>
    <w:rsid w:val="6C9003BD"/>
    <w:rsid w:val="6C907761"/>
    <w:rsid w:val="6CC17318"/>
    <w:rsid w:val="6CF82CBF"/>
    <w:rsid w:val="6D2F7BD6"/>
    <w:rsid w:val="6D6261FE"/>
    <w:rsid w:val="6D836174"/>
    <w:rsid w:val="6E292877"/>
    <w:rsid w:val="6E535B46"/>
    <w:rsid w:val="6E5A0C83"/>
    <w:rsid w:val="6E6935BC"/>
    <w:rsid w:val="6EA12D56"/>
    <w:rsid w:val="6EC46A44"/>
    <w:rsid w:val="6F064323"/>
    <w:rsid w:val="6F094457"/>
    <w:rsid w:val="6F365FBB"/>
    <w:rsid w:val="6FAC0C07"/>
    <w:rsid w:val="6FB95E7D"/>
    <w:rsid w:val="6FC84312"/>
    <w:rsid w:val="6FD44A65"/>
    <w:rsid w:val="6FEF189F"/>
    <w:rsid w:val="6FFFD850"/>
    <w:rsid w:val="702A5D52"/>
    <w:rsid w:val="70384FF4"/>
    <w:rsid w:val="704E0CBB"/>
    <w:rsid w:val="709D12FB"/>
    <w:rsid w:val="70BD7BEF"/>
    <w:rsid w:val="70DF1913"/>
    <w:rsid w:val="70E64A50"/>
    <w:rsid w:val="70EB7B77"/>
    <w:rsid w:val="70FA04FB"/>
    <w:rsid w:val="711F5FB5"/>
    <w:rsid w:val="714E0847"/>
    <w:rsid w:val="715220E5"/>
    <w:rsid w:val="7161057A"/>
    <w:rsid w:val="719646C8"/>
    <w:rsid w:val="71AD7C63"/>
    <w:rsid w:val="71BB2380"/>
    <w:rsid w:val="71D64AC4"/>
    <w:rsid w:val="71F80EDE"/>
    <w:rsid w:val="72347597"/>
    <w:rsid w:val="723F6B0D"/>
    <w:rsid w:val="724844CE"/>
    <w:rsid w:val="72516841"/>
    <w:rsid w:val="7258197D"/>
    <w:rsid w:val="727D13E4"/>
    <w:rsid w:val="72FF63E4"/>
    <w:rsid w:val="73092C77"/>
    <w:rsid w:val="7318735E"/>
    <w:rsid w:val="73D91A67"/>
    <w:rsid w:val="73E831D5"/>
    <w:rsid w:val="73F35057"/>
    <w:rsid w:val="744B00B0"/>
    <w:rsid w:val="7499002B"/>
    <w:rsid w:val="74DC4AE7"/>
    <w:rsid w:val="74FA6D1C"/>
    <w:rsid w:val="753649D0"/>
    <w:rsid w:val="753C7334"/>
    <w:rsid w:val="759C7DD3"/>
    <w:rsid w:val="75AD0232"/>
    <w:rsid w:val="75C46A85"/>
    <w:rsid w:val="75EC7113"/>
    <w:rsid w:val="76143E0D"/>
    <w:rsid w:val="76593F16"/>
    <w:rsid w:val="76853969"/>
    <w:rsid w:val="76AB509B"/>
    <w:rsid w:val="76BE1FCB"/>
    <w:rsid w:val="76C770D1"/>
    <w:rsid w:val="76D812DE"/>
    <w:rsid w:val="777810B2"/>
    <w:rsid w:val="77A80CB1"/>
    <w:rsid w:val="77DE46D3"/>
    <w:rsid w:val="77ED2B68"/>
    <w:rsid w:val="77FB16C5"/>
    <w:rsid w:val="780764A7"/>
    <w:rsid w:val="783562BD"/>
    <w:rsid w:val="78570929"/>
    <w:rsid w:val="786A41B8"/>
    <w:rsid w:val="7876453C"/>
    <w:rsid w:val="788F1E71"/>
    <w:rsid w:val="789B0816"/>
    <w:rsid w:val="78AC2A23"/>
    <w:rsid w:val="78C80EDF"/>
    <w:rsid w:val="79206F6D"/>
    <w:rsid w:val="7949727F"/>
    <w:rsid w:val="7967694A"/>
    <w:rsid w:val="79682DF4"/>
    <w:rsid w:val="79733540"/>
    <w:rsid w:val="79764DDF"/>
    <w:rsid w:val="79836B0A"/>
    <w:rsid w:val="799A0ACD"/>
    <w:rsid w:val="7A462A03"/>
    <w:rsid w:val="7A601D17"/>
    <w:rsid w:val="7A794B87"/>
    <w:rsid w:val="7AAA2F92"/>
    <w:rsid w:val="7ACF0C4A"/>
    <w:rsid w:val="7AFE5EB8"/>
    <w:rsid w:val="7B51428D"/>
    <w:rsid w:val="7B566455"/>
    <w:rsid w:val="7B86755B"/>
    <w:rsid w:val="7B8C08E9"/>
    <w:rsid w:val="7BC167E5"/>
    <w:rsid w:val="7BDD1145"/>
    <w:rsid w:val="7C091F3A"/>
    <w:rsid w:val="7C1C1C6D"/>
    <w:rsid w:val="7C574A54"/>
    <w:rsid w:val="7C683105"/>
    <w:rsid w:val="7C690BD8"/>
    <w:rsid w:val="7C705B15"/>
    <w:rsid w:val="7C8617DD"/>
    <w:rsid w:val="7C961A20"/>
    <w:rsid w:val="7CB400F8"/>
    <w:rsid w:val="7CC06A9D"/>
    <w:rsid w:val="7CD82038"/>
    <w:rsid w:val="7D0821F2"/>
    <w:rsid w:val="7D1453E2"/>
    <w:rsid w:val="7D2F777E"/>
    <w:rsid w:val="7D4A0A5C"/>
    <w:rsid w:val="7D847ACA"/>
    <w:rsid w:val="7D935F5F"/>
    <w:rsid w:val="7DC720AD"/>
    <w:rsid w:val="7DDD542C"/>
    <w:rsid w:val="7E123328"/>
    <w:rsid w:val="7E292823"/>
    <w:rsid w:val="7E4454AB"/>
    <w:rsid w:val="7EAC04BF"/>
    <w:rsid w:val="7ECC538E"/>
    <w:rsid w:val="7EE10F4C"/>
    <w:rsid w:val="7EFB4F6E"/>
    <w:rsid w:val="7F054C3B"/>
    <w:rsid w:val="7F6B4C36"/>
    <w:rsid w:val="7F912972"/>
    <w:rsid w:val="7FCD35A3"/>
    <w:rsid w:val="ABF7FD58"/>
    <w:rsid w:val="BEFDC3C4"/>
    <w:rsid w:val="F365BA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578" w:lineRule="auto"/>
      <w:outlineLvl w:val="0"/>
    </w:pPr>
    <w:rPr>
      <w:rFonts w:ascii="Times New Roman" w:hAnsi="Times New Roman" w:eastAsia="宋体" w:cs="Times New Roman"/>
      <w:b/>
      <w:bCs/>
      <w:kern w:val="44"/>
      <w:sz w:val="44"/>
      <w:szCs w:val="44"/>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5"/>
    <w:qFormat/>
    <w:uiPriority w:val="0"/>
    <w:pPr>
      <w:keepNext/>
      <w:keepLines/>
      <w:spacing w:before="260" w:beforeLines="0" w:after="260" w:afterLines="0" w:line="413" w:lineRule="auto"/>
      <w:outlineLvl w:val="2"/>
    </w:pPr>
    <w:rPr>
      <w:b/>
      <w:bCs/>
      <w:sz w:val="32"/>
      <w:szCs w:val="32"/>
    </w:rPr>
  </w:style>
  <w:style w:type="character" w:default="1" w:styleId="23">
    <w:name w:val="Default Paragraph Font"/>
    <w:semiHidden/>
    <w:qFormat/>
    <w:uiPriority w:val="0"/>
  </w:style>
  <w:style w:type="table" w:default="1" w:styleId="21">
    <w:name w:val="Normal Table"/>
    <w:autoRedefine/>
    <w:semiHidden/>
    <w:qFormat/>
    <w:uiPriority w:val="0"/>
    <w:tblPr>
      <w:tblCellMar>
        <w:top w:w="0" w:type="dxa"/>
        <w:left w:w="108" w:type="dxa"/>
        <w:bottom w:w="0" w:type="dxa"/>
        <w:right w:w="108" w:type="dxa"/>
      </w:tblCellMar>
    </w:tblPr>
  </w:style>
  <w:style w:type="paragraph" w:styleId="5">
    <w:name w:val="Normal Indent"/>
    <w:basedOn w:val="1"/>
    <w:qFormat/>
    <w:uiPriority w:val="0"/>
    <w:pPr>
      <w:widowControl/>
      <w:ind w:firstLine="420"/>
      <w:jc w:val="left"/>
    </w:pPr>
    <w:rPr>
      <w:kern w:val="0"/>
      <w:sz w:val="20"/>
      <w:szCs w:val="20"/>
    </w:rPr>
  </w:style>
  <w:style w:type="paragraph" w:styleId="6">
    <w:name w:val="annotation text"/>
    <w:basedOn w:val="1"/>
    <w:qFormat/>
    <w:uiPriority w:val="0"/>
    <w:pPr>
      <w:jc w:val="left"/>
    </w:pPr>
  </w:style>
  <w:style w:type="paragraph" w:styleId="7">
    <w:name w:val="Body Text"/>
    <w:basedOn w:val="1"/>
    <w:semiHidden/>
    <w:qFormat/>
    <w:uiPriority w:val="0"/>
    <w:rPr>
      <w:rFonts w:ascii="Arial" w:hAnsi="Arial" w:eastAsia="Arial" w:cs="Arial"/>
      <w:sz w:val="21"/>
      <w:szCs w:val="21"/>
      <w:lang w:val="en-US" w:eastAsia="en-US" w:bidi="ar-SA"/>
    </w:rPr>
  </w:style>
  <w:style w:type="paragraph" w:styleId="8">
    <w:name w:val="Body Text Indent"/>
    <w:basedOn w:val="1"/>
    <w:qFormat/>
    <w:uiPriority w:val="0"/>
    <w:pPr>
      <w:ind w:firstLine="630"/>
    </w:pPr>
    <w:rPr>
      <w:sz w:val="32"/>
    </w:rPr>
  </w:style>
  <w:style w:type="paragraph" w:styleId="9">
    <w:name w:val="Plain Text"/>
    <w:basedOn w:val="1"/>
    <w:qFormat/>
    <w:uiPriority w:val="0"/>
    <w:rPr>
      <w:rFonts w:ascii="宋体" w:cs="Courier New"/>
      <w:lang w:bidi="ar-SA"/>
    </w:rPr>
  </w:style>
  <w:style w:type="paragraph" w:styleId="10">
    <w:name w:val="Date"/>
    <w:basedOn w:val="1"/>
    <w:next w:val="1"/>
    <w:qFormat/>
    <w:uiPriority w:val="0"/>
    <w:rPr>
      <w:rFonts w:eastAsia="长城楷体"/>
      <w:sz w:val="36"/>
    </w:rPr>
  </w:style>
  <w:style w:type="paragraph" w:styleId="11">
    <w:name w:val="footer"/>
    <w:basedOn w:val="1"/>
    <w:qFormat/>
    <w:uiPriority w:val="0"/>
    <w:pPr>
      <w:snapToGrid w:val="0"/>
      <w:jc w:val="left"/>
    </w:pPr>
    <w:rPr>
      <w:sz w:val="18"/>
      <w:szCs w:val="18"/>
    </w:rPr>
  </w:style>
  <w:style w:type="paragraph" w:styleId="12">
    <w:name w:val="envelope return"/>
    <w:basedOn w:val="1"/>
    <w:qFormat/>
    <w:uiPriority w:val="0"/>
    <w:pPr>
      <w:snapToGrid w:val="0"/>
    </w:pPr>
    <w:rPr>
      <w:rFonts w:ascii="Arial" w:hAnsi="Arial"/>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footnote text"/>
    <w:basedOn w:val="1"/>
    <w:next w:val="7"/>
    <w:semiHidden/>
    <w:qFormat/>
    <w:uiPriority w:val="0"/>
    <w:pPr>
      <w:widowControl w:val="0"/>
      <w:adjustRightInd w:val="0"/>
      <w:spacing w:line="312" w:lineRule="atLeast"/>
      <w:textAlignment w:val="baseline"/>
    </w:pPr>
    <w:rPr>
      <w:sz w:val="18"/>
    </w:rPr>
  </w:style>
  <w:style w:type="paragraph" w:styleId="15">
    <w:name w:val="Body Text Indent 3"/>
    <w:basedOn w:val="1"/>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16">
    <w:name w:val="Body Text 2"/>
    <w:basedOn w:val="1"/>
    <w:qFormat/>
    <w:uiPriority w:val="0"/>
    <w:pPr>
      <w:spacing w:before="100" w:beforeAutospacing="1" w:line="480" w:lineRule="auto"/>
    </w:pPr>
  </w:style>
  <w:style w:type="paragraph" w:styleId="17">
    <w:name w:val="Normal (Web)"/>
    <w:basedOn w:val="1"/>
    <w:qFormat/>
    <w:uiPriority w:val="0"/>
    <w:pPr>
      <w:widowControl/>
      <w:spacing w:before="100" w:beforeAutospacing="1" w:after="100" w:afterAutospacing="1"/>
      <w:jc w:val="left"/>
    </w:pPr>
    <w:rPr>
      <w:rFonts w:ascii="宋体" w:cs="宋体"/>
      <w:kern w:val="0"/>
      <w:sz w:val="24"/>
      <w:szCs w:val="24"/>
      <w:lang w:bidi="ar-SA"/>
    </w:rPr>
  </w:style>
  <w:style w:type="paragraph" w:styleId="18">
    <w:name w:val="Title"/>
    <w:basedOn w:val="1"/>
    <w:next w:val="1"/>
    <w:qFormat/>
    <w:uiPriority w:val="0"/>
    <w:pPr>
      <w:spacing w:before="240" w:after="60"/>
      <w:jc w:val="center"/>
      <w:outlineLvl w:val="0"/>
    </w:pPr>
    <w:rPr>
      <w:rFonts w:ascii="Cambria" w:hAnsi="Cambria"/>
      <w:b/>
      <w:bCs/>
      <w:kern w:val="0"/>
      <w:sz w:val="32"/>
      <w:szCs w:val="32"/>
    </w:rPr>
  </w:style>
  <w:style w:type="paragraph" w:styleId="19">
    <w:name w:val="Body Text First Indent"/>
    <w:basedOn w:val="7"/>
    <w:qFormat/>
    <w:uiPriority w:val="0"/>
    <w:pPr>
      <w:spacing w:before="100" w:beforeAutospacing="1"/>
      <w:ind w:firstLine="100" w:firstLineChars="100"/>
    </w:pPr>
    <w:rPr>
      <w:sz w:val="24"/>
      <w:szCs w:val="24"/>
    </w:rPr>
  </w:style>
  <w:style w:type="paragraph" w:styleId="20">
    <w:name w:val="Body Text First Indent 2"/>
    <w:basedOn w:val="8"/>
    <w:qFormat/>
    <w:uiPriority w:val="0"/>
    <w:pPr>
      <w:ind w:firstLine="200" w:firstLineChars="200"/>
    </w:p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0"/>
    <w:rPr>
      <w:b/>
    </w:rPr>
  </w:style>
  <w:style w:type="character" w:styleId="25">
    <w:name w:val="Hyperlink"/>
    <w:qFormat/>
    <w:uiPriority w:val="0"/>
    <w:rPr>
      <w:color w:val="0000FF"/>
      <w:u w:val="none"/>
    </w:rPr>
  </w:style>
  <w:style w:type="paragraph" w:customStyle="1" w:styleId="26">
    <w:name w:val="正文1"/>
    <w:qFormat/>
    <w:uiPriority w:val="0"/>
    <w:pPr>
      <w:jc w:val="both"/>
    </w:pPr>
    <w:rPr>
      <w:rFonts w:ascii="Calibri" w:hAnsi="Calibri" w:eastAsia="宋体" w:cs="宋体"/>
      <w:kern w:val="2"/>
      <w:sz w:val="21"/>
      <w:szCs w:val="21"/>
      <w:lang w:val="en-US" w:eastAsia="zh-CN" w:bidi="ar-SA"/>
    </w:rPr>
  </w:style>
  <w:style w:type="paragraph" w:customStyle="1" w:styleId="27">
    <w:name w:val="Table Text"/>
    <w:basedOn w:val="1"/>
    <w:semiHidden/>
    <w:qFormat/>
    <w:uiPriority w:val="0"/>
    <w:rPr>
      <w:rFonts w:ascii="仿宋" w:hAnsi="仿宋" w:eastAsia="仿宋" w:cs="仿宋"/>
      <w:sz w:val="24"/>
      <w:szCs w:val="24"/>
      <w:lang w:val="en-US" w:eastAsia="en-US" w:bidi="ar-SA"/>
    </w:rPr>
  </w:style>
  <w:style w:type="table" w:customStyle="1" w:styleId="28">
    <w:name w:val="Table Normal"/>
    <w:semiHidden/>
    <w:unhideWhenUsed/>
    <w:qFormat/>
    <w:uiPriority w:val="0"/>
    <w:tblPr>
      <w:tblCellMar>
        <w:top w:w="0" w:type="dxa"/>
        <w:left w:w="0" w:type="dxa"/>
        <w:bottom w:w="0" w:type="dxa"/>
        <w:right w:w="0" w:type="dxa"/>
      </w:tblCellMar>
    </w:tblPr>
  </w:style>
  <w:style w:type="paragraph" w:customStyle="1" w:styleId="29">
    <w:name w:val="Default"/>
    <w:basedOn w:val="1"/>
    <w:next w:val="10"/>
    <w:qFormat/>
    <w:uiPriority w:val="0"/>
    <w:pPr>
      <w:autoSpaceDE w:val="0"/>
      <w:autoSpaceDN w:val="0"/>
      <w:adjustRightInd w:val="0"/>
      <w:jc w:val="left"/>
    </w:pPr>
    <w:rPr>
      <w:rFonts w:ascii="宋体" w:cs="宋体"/>
      <w:color w:val="000000"/>
      <w:kern w:val="0"/>
      <w:sz w:val="24"/>
      <w:szCs w:val="24"/>
      <w:lang w:bidi="ar-SA"/>
    </w:rPr>
  </w:style>
  <w:style w:type="paragraph" w:customStyle="1" w:styleId="30">
    <w:name w:val="!正文"/>
    <w:basedOn w:val="1"/>
    <w:qFormat/>
    <w:uiPriority w:val="0"/>
    <w:pPr>
      <w:spacing w:line="360" w:lineRule="auto"/>
      <w:ind w:firstLine="200" w:firstLineChars="200"/>
    </w:pPr>
    <w:rPr>
      <w:rFonts w:ascii="宋体" w:hAnsi="宋体"/>
      <w:sz w:val="24"/>
      <w:szCs w:val="28"/>
    </w:rPr>
  </w:style>
  <w:style w:type="paragraph" w:customStyle="1" w:styleId="31">
    <w:name w:val="Table Paragraph"/>
    <w:basedOn w:val="1"/>
    <w:qFormat/>
    <w:uiPriority w:val="1"/>
  </w:style>
  <w:style w:type="character" w:customStyle="1" w:styleId="32">
    <w:name w:val="font112"/>
    <w:basedOn w:val="23"/>
    <w:qFormat/>
    <w:uiPriority w:val="0"/>
    <w:rPr>
      <w:rFonts w:hint="default" w:ascii="Times New Roman" w:hAnsi="Times New Roman" w:cs="Times New Roman"/>
      <w:color w:val="000000"/>
      <w:sz w:val="24"/>
      <w:szCs w:val="24"/>
      <w:u w:val="none"/>
    </w:rPr>
  </w:style>
  <w:style w:type="character" w:customStyle="1" w:styleId="33">
    <w:name w:val="font21"/>
    <w:basedOn w:val="23"/>
    <w:qFormat/>
    <w:uiPriority w:val="0"/>
    <w:rPr>
      <w:rFonts w:hint="eastAsia" w:ascii="宋体" w:hAnsi="宋体" w:eastAsia="宋体" w:cs="宋体"/>
      <w:color w:val="000000"/>
      <w:sz w:val="24"/>
      <w:szCs w:val="24"/>
      <w:u w:val="none"/>
    </w:rPr>
  </w:style>
  <w:style w:type="paragraph" w:customStyle="1" w:styleId="34">
    <w:name w:val="正文_2"/>
    <w:qFormat/>
    <w:uiPriority w:val="0"/>
    <w:pPr>
      <w:widowControl w:val="0"/>
      <w:spacing w:after="160" w:line="300" w:lineRule="auto"/>
      <w:jc w:val="both"/>
    </w:pPr>
    <w:rPr>
      <w:rFonts w:ascii="Times New Roman" w:hAnsi="Times New Roman" w:eastAsia="宋体" w:cs="Times New Roman"/>
      <w:kern w:val="2"/>
      <w:sz w:val="21"/>
      <w:szCs w:val="22"/>
      <w:lang w:val="en-US" w:eastAsia="zh-CN" w:bidi="ar-SA"/>
    </w:rPr>
  </w:style>
  <w:style w:type="character" w:customStyle="1" w:styleId="35">
    <w:name w:val="NormalCharacter"/>
    <w:qFormat/>
    <w:uiPriority w:val="0"/>
    <w:rPr>
      <w:kern w:val="2"/>
      <w:sz w:val="21"/>
      <w:szCs w:val="24"/>
      <w:lang w:val="en-US" w:eastAsia="zh-CN" w:bidi="ar-SA"/>
    </w:rPr>
  </w:style>
  <w:style w:type="character" w:customStyle="1" w:styleId="36">
    <w:name w:val="font151"/>
    <w:basedOn w:val="23"/>
    <w:qFormat/>
    <w:uiPriority w:val="0"/>
    <w:rPr>
      <w:rFonts w:hint="default" w:ascii="Times New Roman" w:hAnsi="Times New Roman" w:cs="Times New Roman"/>
      <w:color w:val="000000"/>
      <w:sz w:val="24"/>
      <w:szCs w:val="24"/>
      <w:u w:val="none"/>
    </w:rPr>
  </w:style>
  <w:style w:type="paragraph" w:customStyle="1" w:styleId="37">
    <w:name w:val="WPSOffice手动目录 1"/>
    <w:qFormat/>
    <w:uiPriority w:val="0"/>
    <w:pPr>
      <w:ind w:leftChars="0"/>
    </w:pPr>
    <w:rPr>
      <w:rFonts w:ascii="Times New Roman" w:hAnsi="Times New Roman" w:eastAsia="宋体" w:cs="Times New Roman"/>
      <w:sz w:val="20"/>
      <w:szCs w:val="20"/>
    </w:rPr>
  </w:style>
  <w:style w:type="character" w:customStyle="1" w:styleId="38">
    <w:name w:val="font11"/>
    <w:basedOn w:val="23"/>
    <w:qFormat/>
    <w:uiPriority w:val="0"/>
    <w:rPr>
      <w:rFonts w:hint="eastAsia" w:ascii="宋体" w:hAnsi="宋体" w:eastAsia="宋体" w:cs="宋体"/>
      <w:color w:val="000000"/>
      <w:sz w:val="20"/>
      <w:szCs w:val="20"/>
      <w:u w:val="none"/>
    </w:rPr>
  </w:style>
  <w:style w:type="character" w:customStyle="1" w:styleId="39">
    <w:name w:val="font41"/>
    <w:basedOn w:val="23"/>
    <w:qFormat/>
    <w:uiPriority w:val="0"/>
    <w:rPr>
      <w:rFonts w:ascii="Calibri" w:hAnsi="Calibri" w:cs="Calibri"/>
      <w:color w:val="000000"/>
      <w:sz w:val="20"/>
      <w:szCs w:val="20"/>
      <w:u w:val="none"/>
    </w:rPr>
  </w:style>
  <w:style w:type="character" w:customStyle="1" w:styleId="40">
    <w:name w:val="font51"/>
    <w:basedOn w:val="23"/>
    <w:qFormat/>
    <w:uiPriority w:val="0"/>
    <w:rPr>
      <w:rFonts w:ascii="Calibri" w:hAnsi="Calibri" w:cs="Calibri"/>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5" Type="http://schemas.openxmlformats.org/officeDocument/2006/relationships/fontTable" Target="fontTable.xml"/><Relationship Id="rId34" Type="http://schemas.openxmlformats.org/officeDocument/2006/relationships/numbering" Target="numbering.xml"/><Relationship Id="rId33" Type="http://schemas.openxmlformats.org/officeDocument/2006/relationships/customXml" Target="../customXml/item1.xml"/><Relationship Id="rId32" Type="http://schemas.openxmlformats.org/officeDocument/2006/relationships/image" Target="media/image25.png"/><Relationship Id="rId31" Type="http://schemas.openxmlformats.org/officeDocument/2006/relationships/image" Target="media/image24.png"/><Relationship Id="rId30" Type="http://schemas.openxmlformats.org/officeDocument/2006/relationships/image" Target="media/image23.png"/><Relationship Id="rId3" Type="http://schemas.openxmlformats.org/officeDocument/2006/relationships/header" Target="header1.xml"/><Relationship Id="rId29" Type="http://schemas.openxmlformats.org/officeDocument/2006/relationships/image" Target="media/image22.png"/><Relationship Id="rId28" Type="http://schemas.openxmlformats.org/officeDocument/2006/relationships/image" Target="media/image21.png"/><Relationship Id="rId27" Type="http://schemas.openxmlformats.org/officeDocument/2006/relationships/image" Target="media/image20.png"/><Relationship Id="rId26" Type="http://schemas.openxmlformats.org/officeDocument/2006/relationships/image" Target="media/image19.png"/><Relationship Id="rId25" Type="http://schemas.openxmlformats.org/officeDocument/2006/relationships/image" Target="media/image18.png"/><Relationship Id="rId24" Type="http://schemas.openxmlformats.org/officeDocument/2006/relationships/image" Target="media/image17.png"/><Relationship Id="rId23" Type="http://schemas.openxmlformats.org/officeDocument/2006/relationships/image" Target="media/image16.png"/><Relationship Id="rId22" Type="http://schemas.openxmlformats.org/officeDocument/2006/relationships/image" Target="media/image15.png"/><Relationship Id="rId21" Type="http://schemas.openxmlformats.org/officeDocument/2006/relationships/image" Target="media/image14.png"/><Relationship Id="rId20" Type="http://schemas.openxmlformats.org/officeDocument/2006/relationships/image" Target="media/image13.png"/><Relationship Id="rId2" Type="http://schemas.openxmlformats.org/officeDocument/2006/relationships/settings" Target="settings.xml"/><Relationship Id="rId19" Type="http://schemas.openxmlformats.org/officeDocument/2006/relationships/image" Target="media/image12.png"/><Relationship Id="rId18" Type="http://schemas.openxmlformats.org/officeDocument/2006/relationships/image" Target="media/image11.png"/><Relationship Id="rId17" Type="http://schemas.openxmlformats.org/officeDocument/2006/relationships/image" Target="media/image10.png"/><Relationship Id="rId16"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98</Pages>
  <Words>2262</Words>
  <Characters>2614</Characters>
  <Lines>0</Lines>
  <Paragraphs>0</Paragraphs>
  <TotalTime>10</TotalTime>
  <ScaleCrop>false</ScaleCrop>
  <LinksUpToDate>false</LinksUpToDate>
  <CharactersWithSpaces>2666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2024-02-23T05:41:00Z</dcterms:created>
  <dc:creator>Administrator</dc:creator>
  <cp:lastModifiedBy>Administrator</cp:lastModifiedBy>
  <cp:lastPrinted>2024-11-01T07:26:00Z</cp:lastPrinted>
  <dcterms:modified xsi:type="dcterms:W3CDTF">2025-07-07T05:42:11Z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B4761C4840684C6DA7643539AAF24EB0_13</vt:lpwstr>
  </property>
  <property fmtid="{D5CDD505-2E9C-101B-9397-08002B2CF9AE}" pid="4" name="KSOTemplateDocerSaveRecord">
    <vt:lpwstr>eyJoZGlkIjoiYjQ1N2YzY2FkMGJjMGM4YjhjYWIzMTZkYWRmZDgyMmQiLCJ1c2VySWQiOiI1ODcxNDE2NDcifQ==</vt:lpwstr>
  </property>
</Properties>
</file>