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0A232">
      <w:pPr>
        <w:pStyle w:val="12"/>
        <w:kinsoku/>
        <w:spacing w:line="360" w:lineRule="auto"/>
        <w:ind w:left="0" w:leftChars="0" w:firstLine="0" w:firstLineChars="0"/>
        <w:jc w:val="center"/>
        <w:rPr>
          <w:rFonts w:ascii="Times New Roman" w:hAnsi="Times New Roman"/>
          <w:b/>
          <w:bCs/>
          <w:color w:val="auto"/>
          <w:sz w:val="44"/>
          <w:szCs w:val="40"/>
        </w:rPr>
      </w:pPr>
    </w:p>
    <w:p w14:paraId="3E769AE3">
      <w:pPr>
        <w:pStyle w:val="12"/>
        <w:kinsoku/>
        <w:spacing w:line="360" w:lineRule="auto"/>
        <w:ind w:left="0" w:leftChars="0" w:firstLine="0" w:firstLineChars="0"/>
        <w:jc w:val="center"/>
        <w:rPr>
          <w:rFonts w:ascii="Times New Roman" w:hAnsi="Times New Roman"/>
          <w:b/>
          <w:bCs/>
          <w:color w:val="auto"/>
          <w:sz w:val="44"/>
          <w:szCs w:val="40"/>
        </w:rPr>
      </w:pPr>
    </w:p>
    <w:p w14:paraId="6582CFFB">
      <w:pPr>
        <w:pStyle w:val="12"/>
        <w:kinsoku/>
        <w:spacing w:line="360" w:lineRule="auto"/>
        <w:ind w:left="0" w:leftChars="0" w:firstLine="0" w:firstLineChars="0"/>
        <w:jc w:val="center"/>
        <w:outlineLvl w:val="0"/>
        <w:rPr>
          <w:rFonts w:ascii="Times New Roman" w:hAnsi="Times New Roman"/>
          <w:color w:val="auto"/>
          <w:lang w:eastAsia="zh-CN"/>
        </w:rPr>
      </w:pPr>
      <w:r>
        <w:rPr>
          <w:rFonts w:hint="eastAsia" w:ascii="Times New Roman" w:hAnsi="Times New Roman"/>
          <w:b/>
          <w:bCs/>
          <w:color w:val="auto"/>
          <w:sz w:val="44"/>
          <w:szCs w:val="40"/>
          <w:lang w:eastAsia="zh-CN"/>
        </w:rPr>
        <w:t>长春特种设备检测研究院（长春市特种设备安全监控中心)人力资源服务采购项目</w:t>
      </w:r>
    </w:p>
    <w:p w14:paraId="5154A975">
      <w:pPr>
        <w:pStyle w:val="12"/>
        <w:kinsoku/>
        <w:spacing w:line="360" w:lineRule="auto"/>
        <w:rPr>
          <w:rFonts w:ascii="Times New Roman" w:hAnsi="Times New Roman"/>
          <w:color w:val="auto"/>
          <w:lang w:eastAsia="zh-CN"/>
        </w:rPr>
      </w:pPr>
    </w:p>
    <w:p w14:paraId="724C5D28">
      <w:pPr>
        <w:pStyle w:val="12"/>
        <w:kinsoku/>
        <w:spacing w:line="360" w:lineRule="auto"/>
        <w:rPr>
          <w:rFonts w:ascii="Times New Roman" w:hAnsi="Times New Roman"/>
          <w:color w:val="auto"/>
          <w:lang w:eastAsia="zh-CN"/>
        </w:rPr>
      </w:pPr>
    </w:p>
    <w:p w14:paraId="4C64D377">
      <w:pPr>
        <w:pStyle w:val="12"/>
        <w:kinsoku/>
        <w:spacing w:line="360" w:lineRule="auto"/>
        <w:rPr>
          <w:rFonts w:ascii="Times New Roman" w:hAnsi="Times New Roman"/>
          <w:color w:val="auto"/>
          <w:lang w:eastAsia="zh-CN"/>
        </w:rPr>
      </w:pPr>
    </w:p>
    <w:p w14:paraId="7D9CCCAA">
      <w:pPr>
        <w:pStyle w:val="12"/>
        <w:kinsoku/>
        <w:spacing w:line="360" w:lineRule="auto"/>
        <w:rPr>
          <w:rFonts w:ascii="Times New Roman" w:hAnsi="Times New Roman"/>
          <w:color w:val="auto"/>
          <w:lang w:eastAsia="zh-CN"/>
        </w:rPr>
      </w:pPr>
    </w:p>
    <w:p w14:paraId="3280EDB6">
      <w:pPr>
        <w:pStyle w:val="12"/>
        <w:kinsoku/>
        <w:spacing w:line="360" w:lineRule="auto"/>
        <w:rPr>
          <w:rFonts w:ascii="Times New Roman" w:hAnsi="Times New Roman"/>
          <w:color w:val="auto"/>
          <w:lang w:eastAsia="zh-CN"/>
        </w:rPr>
      </w:pPr>
    </w:p>
    <w:p w14:paraId="4D821B0C">
      <w:pPr>
        <w:kinsoku/>
        <w:spacing w:line="360" w:lineRule="auto"/>
        <w:jc w:val="center"/>
        <w:rPr>
          <w:rFonts w:ascii="Times New Roman" w:hAnsi="Times New Roman" w:eastAsia="宋体" w:cs="宋体"/>
          <w:b/>
          <w:color w:val="auto"/>
          <w:sz w:val="52"/>
          <w:lang w:eastAsia="zh-CN"/>
        </w:rPr>
      </w:pPr>
      <w:r>
        <w:rPr>
          <w:rFonts w:hint="eastAsia" w:ascii="Times New Roman" w:hAnsi="Times New Roman" w:eastAsia="宋体" w:cs="宋体"/>
          <w:b/>
          <w:color w:val="auto"/>
          <w:sz w:val="72"/>
          <w:szCs w:val="72"/>
          <w:lang w:eastAsia="zh-CN"/>
        </w:rPr>
        <w:t>招标文件</w:t>
      </w:r>
    </w:p>
    <w:p w14:paraId="19BE1E0C">
      <w:pPr>
        <w:kinsoku/>
        <w:spacing w:line="360" w:lineRule="auto"/>
        <w:jc w:val="center"/>
        <w:outlineLvl w:val="0"/>
        <w:rPr>
          <w:rFonts w:ascii="Times New Roman" w:hAnsi="Times New Roman" w:eastAsia="宋体" w:cs="宋体"/>
          <w:b/>
          <w:bCs/>
          <w:sz w:val="36"/>
          <w:szCs w:val="36"/>
          <w:lang w:eastAsia="zh-CN"/>
        </w:rPr>
      </w:pPr>
      <w:bookmarkStart w:id="0" w:name="_Toc2955"/>
      <w:bookmarkStart w:id="1" w:name="_Toc7404"/>
      <w:r>
        <w:rPr>
          <w:rFonts w:hint="eastAsia" w:ascii="Times New Roman" w:hAnsi="Times New Roman" w:eastAsia="宋体" w:cs="宋体"/>
          <w:b/>
          <w:bCs/>
          <w:sz w:val="36"/>
          <w:szCs w:val="36"/>
          <w:lang w:eastAsia="zh-CN"/>
        </w:rPr>
        <w:t>项目编号：</w:t>
      </w:r>
      <w:bookmarkEnd w:id="0"/>
      <w:bookmarkEnd w:id="1"/>
      <w:r>
        <w:rPr>
          <w:rFonts w:hint="eastAsia" w:ascii="Times New Roman" w:hAnsi="Times New Roman" w:eastAsia="宋体" w:cs="宋体"/>
          <w:b/>
          <w:bCs/>
          <w:sz w:val="36"/>
          <w:szCs w:val="36"/>
          <w:lang w:eastAsia="zh-CN"/>
        </w:rPr>
        <w:t>JM-2025-05-00576-01</w:t>
      </w:r>
    </w:p>
    <w:p w14:paraId="154B3FC5">
      <w:pPr>
        <w:kinsoku/>
        <w:spacing w:line="360" w:lineRule="auto"/>
        <w:jc w:val="center"/>
        <w:rPr>
          <w:rFonts w:ascii="Times New Roman" w:hAnsi="Times New Roman" w:eastAsia="宋体" w:cs="宋体"/>
          <w:b/>
          <w:bCs/>
          <w:sz w:val="36"/>
          <w:szCs w:val="36"/>
          <w:lang w:eastAsia="zh-CN"/>
        </w:rPr>
      </w:pPr>
    </w:p>
    <w:p w14:paraId="3C8D78D4">
      <w:pPr>
        <w:pStyle w:val="4"/>
        <w:spacing w:line="360" w:lineRule="auto"/>
        <w:jc w:val="both"/>
        <w:rPr>
          <w:rFonts w:ascii="Times New Roman" w:hAnsi="Times New Roman"/>
          <w:lang w:eastAsia="zh-CN"/>
        </w:rPr>
      </w:pPr>
    </w:p>
    <w:p w14:paraId="7A7CDC8F">
      <w:pPr>
        <w:pStyle w:val="12"/>
        <w:kinsoku/>
        <w:spacing w:line="360" w:lineRule="auto"/>
        <w:ind w:firstLine="643"/>
        <w:rPr>
          <w:rFonts w:ascii="Times New Roman" w:hAnsi="Times New Roman" w:cs="宋体"/>
          <w:b/>
          <w:color w:val="auto"/>
          <w:sz w:val="32"/>
          <w:lang w:eastAsia="zh-CN"/>
        </w:rPr>
      </w:pPr>
    </w:p>
    <w:p w14:paraId="609AB8C0">
      <w:pPr>
        <w:pStyle w:val="12"/>
        <w:kinsoku/>
        <w:spacing w:line="360" w:lineRule="auto"/>
        <w:ind w:firstLine="643"/>
        <w:rPr>
          <w:rFonts w:ascii="Times New Roman" w:hAnsi="Times New Roman" w:cs="宋体"/>
          <w:b/>
          <w:color w:val="auto"/>
          <w:sz w:val="32"/>
          <w:lang w:eastAsia="zh-CN"/>
        </w:rPr>
      </w:pPr>
    </w:p>
    <w:p w14:paraId="698F968F">
      <w:pPr>
        <w:pStyle w:val="12"/>
        <w:kinsoku/>
        <w:spacing w:line="360" w:lineRule="auto"/>
        <w:ind w:firstLine="643"/>
        <w:rPr>
          <w:rFonts w:ascii="Times New Roman" w:hAnsi="Times New Roman" w:cs="宋体"/>
          <w:b/>
          <w:color w:val="auto"/>
          <w:sz w:val="32"/>
          <w:lang w:eastAsia="zh-CN"/>
        </w:rPr>
      </w:pPr>
    </w:p>
    <w:p w14:paraId="20AE9D23">
      <w:pPr>
        <w:pStyle w:val="12"/>
        <w:kinsoku/>
        <w:spacing w:line="360" w:lineRule="auto"/>
        <w:ind w:firstLine="643"/>
        <w:rPr>
          <w:rFonts w:ascii="Times New Roman" w:hAnsi="Times New Roman" w:cs="宋体"/>
          <w:b/>
          <w:color w:val="auto"/>
          <w:sz w:val="32"/>
          <w:lang w:eastAsia="zh-CN"/>
        </w:rPr>
      </w:pPr>
    </w:p>
    <w:p w14:paraId="54D35B68">
      <w:pPr>
        <w:pStyle w:val="12"/>
        <w:kinsoku/>
        <w:spacing w:line="360" w:lineRule="auto"/>
        <w:ind w:firstLine="643"/>
        <w:rPr>
          <w:rFonts w:ascii="Times New Roman" w:hAnsi="Times New Roman" w:cs="宋体"/>
          <w:b/>
          <w:color w:val="auto"/>
          <w:sz w:val="32"/>
          <w:lang w:eastAsia="zh-CN"/>
        </w:rPr>
      </w:pPr>
    </w:p>
    <w:p w14:paraId="75114586">
      <w:pPr>
        <w:pStyle w:val="12"/>
        <w:kinsoku/>
        <w:spacing w:line="360" w:lineRule="auto"/>
        <w:ind w:firstLine="643"/>
        <w:rPr>
          <w:rFonts w:ascii="Times New Roman" w:hAnsi="Times New Roman" w:cs="宋体"/>
          <w:b/>
          <w:color w:val="auto"/>
          <w:sz w:val="32"/>
          <w:lang w:eastAsia="zh-CN"/>
        </w:rPr>
      </w:pPr>
    </w:p>
    <w:p w14:paraId="7A540A10">
      <w:pPr>
        <w:spacing w:line="360" w:lineRule="auto"/>
        <w:ind w:firstLine="602" w:firstLineChars="200"/>
        <w:outlineLvl w:val="0"/>
        <w:rPr>
          <w:rFonts w:ascii="Times New Roman" w:hAnsi="Times New Roman" w:eastAsia="宋体" w:cs="宋体"/>
          <w:b/>
          <w:bCs/>
          <w:sz w:val="30"/>
          <w:szCs w:val="30"/>
          <w:lang w:eastAsia="zh-CN"/>
        </w:rPr>
      </w:pPr>
      <w:bookmarkStart w:id="2" w:name="_Toc23089"/>
      <w:bookmarkStart w:id="3" w:name="_Toc4185"/>
      <w:r>
        <w:rPr>
          <w:rFonts w:hint="eastAsia" w:ascii="Times New Roman" w:hAnsi="Times New Roman" w:eastAsia="宋体" w:cs="宋体"/>
          <w:b/>
          <w:bCs/>
          <w:sz w:val="30"/>
          <w:szCs w:val="30"/>
          <w:lang w:eastAsia="zh-CN"/>
        </w:rPr>
        <w:t xml:space="preserve">采 购 人： </w:t>
      </w:r>
      <w:r>
        <w:fldChar w:fldCharType="begin"/>
      </w:r>
      <w:r>
        <w:instrText xml:space="preserve"> HYPERLINK "https://www.qcc.com/firm/gd8a959c2e202eb6eeff105f2b2a5d2e.html" \t "https://www.qcc.com/web/_blank" </w:instrText>
      </w:r>
      <w:r>
        <w:fldChar w:fldCharType="separate"/>
      </w:r>
      <w:r>
        <w:rPr>
          <w:rFonts w:hint="eastAsia" w:ascii="Times New Roman" w:hAnsi="Times New Roman" w:eastAsia="宋体" w:cs="宋体"/>
          <w:b/>
          <w:bCs/>
          <w:sz w:val="30"/>
          <w:szCs w:val="30"/>
          <w:lang w:eastAsia="zh-CN"/>
        </w:rPr>
        <w:t>长春特种设备检测研究院（长春市特种设备安全监控中心）</w:t>
      </w:r>
      <w:r>
        <w:rPr>
          <w:rFonts w:hint="eastAsia" w:ascii="Times New Roman" w:hAnsi="Times New Roman" w:eastAsia="宋体" w:cs="宋体"/>
          <w:b/>
          <w:bCs/>
          <w:sz w:val="30"/>
          <w:szCs w:val="30"/>
          <w:lang w:eastAsia="zh-CN"/>
        </w:rPr>
        <w:fldChar w:fldCharType="end"/>
      </w:r>
      <w:bookmarkEnd w:id="2"/>
      <w:bookmarkEnd w:id="3"/>
    </w:p>
    <w:p w14:paraId="524C2391">
      <w:pPr>
        <w:spacing w:line="360" w:lineRule="auto"/>
        <w:ind w:firstLine="602" w:firstLineChars="200"/>
        <w:rPr>
          <w:rFonts w:ascii="Times New Roman" w:hAnsi="Times New Roman" w:eastAsia="宋体" w:cs="宋体"/>
          <w:b/>
          <w:bCs/>
          <w:sz w:val="30"/>
          <w:szCs w:val="30"/>
          <w:lang w:eastAsia="zh-CN"/>
        </w:rPr>
      </w:pPr>
      <w:r>
        <w:rPr>
          <w:rFonts w:hint="eastAsia" w:ascii="Times New Roman" w:hAnsi="Times New Roman" w:eastAsia="宋体" w:cs="宋体"/>
          <w:b/>
          <w:bCs/>
          <w:sz w:val="30"/>
          <w:szCs w:val="30"/>
          <w:lang w:eastAsia="zh-CN"/>
        </w:rPr>
        <w:t>采购代理机构：吉林管捷冠工程管理有限公司</w:t>
      </w:r>
    </w:p>
    <w:p w14:paraId="28BE5BAC">
      <w:pPr>
        <w:spacing w:line="360" w:lineRule="auto"/>
        <w:jc w:val="center"/>
        <w:rPr>
          <w:rFonts w:ascii="Times New Roman" w:hAnsi="Times New Roman" w:eastAsia="宋体" w:cs="宋体"/>
          <w:b/>
          <w:bCs/>
          <w:sz w:val="30"/>
          <w:szCs w:val="30"/>
          <w:lang w:eastAsia="zh-CN"/>
        </w:rPr>
      </w:pPr>
      <w:r>
        <w:rPr>
          <w:rFonts w:hint="eastAsia" w:ascii="Times New Roman" w:hAnsi="Times New Roman" w:eastAsia="宋体" w:cs="宋体"/>
          <w:b/>
          <w:bCs/>
          <w:sz w:val="30"/>
          <w:szCs w:val="30"/>
          <w:lang w:eastAsia="zh-CN"/>
        </w:rPr>
        <w:t>二〇二</w:t>
      </w:r>
      <w:r>
        <w:rPr>
          <w:rFonts w:hint="eastAsia" w:ascii="Times New Roman" w:hAnsi="Times New Roman" w:eastAsia="宋体" w:cs="宋体"/>
          <w:b/>
          <w:bCs/>
          <w:sz w:val="30"/>
          <w:szCs w:val="30"/>
          <w:lang w:val="en-US" w:eastAsia="zh-CN"/>
        </w:rPr>
        <w:t>五</w:t>
      </w:r>
      <w:r>
        <w:rPr>
          <w:rFonts w:hint="eastAsia" w:ascii="Times New Roman" w:hAnsi="Times New Roman" w:eastAsia="宋体" w:cs="宋体"/>
          <w:b/>
          <w:bCs/>
          <w:sz w:val="30"/>
          <w:szCs w:val="30"/>
          <w:lang w:eastAsia="zh-CN"/>
        </w:rPr>
        <w:t>年</w:t>
      </w:r>
      <w:r>
        <w:rPr>
          <w:rFonts w:hint="eastAsia" w:ascii="Times New Roman" w:hAnsi="Times New Roman" w:eastAsia="宋体" w:cs="宋体"/>
          <w:b/>
          <w:bCs/>
          <w:sz w:val="30"/>
          <w:szCs w:val="30"/>
          <w:lang w:val="en-US" w:eastAsia="zh-CN"/>
        </w:rPr>
        <w:t>六</w:t>
      </w:r>
      <w:r>
        <w:rPr>
          <w:rFonts w:hint="eastAsia" w:ascii="Times New Roman" w:hAnsi="Times New Roman" w:eastAsia="宋体" w:cs="宋体"/>
          <w:b/>
          <w:bCs/>
          <w:sz w:val="30"/>
          <w:szCs w:val="30"/>
          <w:lang w:eastAsia="zh-CN"/>
        </w:rPr>
        <w:t>月</w:t>
      </w:r>
    </w:p>
    <w:p w14:paraId="5BE3EC8B">
      <w:pPr>
        <w:spacing w:line="360" w:lineRule="auto"/>
        <w:rPr>
          <w:rFonts w:ascii="Times New Roman" w:hAnsi="Times New Roman" w:eastAsia="宋体" w:cs="宋体"/>
          <w:b/>
          <w:bCs/>
          <w:sz w:val="44"/>
          <w:lang w:val="zh-CN"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134" w:right="1134" w:bottom="1134" w:left="1134" w:header="851" w:footer="737" w:gutter="0"/>
          <w:pgNumType w:start="1"/>
          <w:cols w:space="0" w:num="1"/>
          <w:titlePg/>
          <w:docGrid w:type="lines" w:linePitch="490" w:charSpace="0"/>
        </w:sectPr>
      </w:pPr>
    </w:p>
    <w:sdt>
      <w:sdtPr>
        <w:rPr>
          <w:rFonts w:ascii="宋体" w:hAnsi="宋体" w:eastAsia="宋体"/>
        </w:rPr>
        <w:id w:val="147463956"/>
        <w:docPartObj>
          <w:docPartGallery w:val="Table of Contents"/>
          <w:docPartUnique/>
        </w:docPartObj>
      </w:sdtPr>
      <w:sdtEndPr>
        <w:rPr>
          <w:rFonts w:ascii="宋体" w:hAnsi="宋体" w:eastAsia="宋体"/>
        </w:rPr>
      </w:sdtEndPr>
      <w:sdtContent>
        <w:p w14:paraId="0D025BE2">
          <w:pPr>
            <w:jc w:val="center"/>
          </w:pPr>
          <w:r>
            <w:rPr>
              <w:rFonts w:ascii="宋体" w:hAnsi="宋体" w:eastAsia="宋体"/>
            </w:rPr>
            <w:t>目录</w:t>
          </w:r>
        </w:p>
        <w:p w14:paraId="4E4BC3CF">
          <w:pPr>
            <w:pStyle w:val="24"/>
            <w:tabs>
              <w:tab w:val="right" w:leader="dot" w:pos="9637"/>
            </w:tabs>
          </w:pPr>
          <w:r>
            <w:fldChar w:fldCharType="begin"/>
          </w:r>
          <w:r>
            <w:instrText xml:space="preserve">TOC \o "1-1" \h \u </w:instrText>
          </w:r>
          <w:r>
            <w:fldChar w:fldCharType="separate"/>
          </w:r>
        </w:p>
        <w:p w14:paraId="46055B62">
          <w:pPr>
            <w:pStyle w:val="24"/>
            <w:tabs>
              <w:tab w:val="right" w:leader="dot" w:pos="9637"/>
            </w:tabs>
            <w:spacing w:line="480" w:lineRule="auto"/>
            <w:rPr>
              <w:sz w:val="22"/>
              <w:szCs w:val="22"/>
            </w:rPr>
          </w:pPr>
          <w:r>
            <w:fldChar w:fldCharType="begin"/>
          </w:r>
          <w:r>
            <w:instrText xml:space="preserve"> HYPERLINK \l "_Toc6284" </w:instrText>
          </w:r>
          <w:r>
            <w:fldChar w:fldCharType="separate"/>
          </w:r>
          <w:r>
            <w:rPr>
              <w:rFonts w:hint="eastAsia" w:ascii="宋体" w:hAnsi="宋体"/>
              <w:sz w:val="22"/>
              <w:szCs w:val="32"/>
            </w:rPr>
            <w:t>第一章</w:t>
          </w:r>
          <w:r>
            <w:rPr>
              <w:rFonts w:hint="eastAsia" w:ascii="宋体" w:hAnsi="宋体" w:cs="宋体"/>
              <w:sz w:val="22"/>
              <w:szCs w:val="32"/>
              <w:lang w:val="zh-CN"/>
            </w:rPr>
            <w:t>招标公告</w:t>
          </w:r>
          <w:r>
            <w:rPr>
              <w:sz w:val="22"/>
              <w:szCs w:val="22"/>
            </w:rPr>
            <w:tab/>
          </w:r>
          <w:r>
            <w:rPr>
              <w:sz w:val="22"/>
              <w:szCs w:val="22"/>
            </w:rPr>
            <w:fldChar w:fldCharType="begin"/>
          </w:r>
          <w:r>
            <w:rPr>
              <w:sz w:val="22"/>
              <w:szCs w:val="22"/>
            </w:rPr>
            <w:instrText xml:space="preserve"> PAGEREF _Toc6284 \h </w:instrText>
          </w:r>
          <w:r>
            <w:rPr>
              <w:sz w:val="22"/>
              <w:szCs w:val="22"/>
            </w:rPr>
            <w:fldChar w:fldCharType="separate"/>
          </w:r>
          <w:r>
            <w:rPr>
              <w:sz w:val="22"/>
              <w:szCs w:val="22"/>
            </w:rPr>
            <w:t>2</w:t>
          </w:r>
          <w:r>
            <w:rPr>
              <w:sz w:val="22"/>
              <w:szCs w:val="22"/>
            </w:rPr>
            <w:fldChar w:fldCharType="end"/>
          </w:r>
          <w:r>
            <w:rPr>
              <w:sz w:val="22"/>
              <w:szCs w:val="22"/>
            </w:rPr>
            <w:fldChar w:fldCharType="end"/>
          </w:r>
        </w:p>
        <w:p w14:paraId="38C4E0F8">
          <w:pPr>
            <w:pStyle w:val="24"/>
            <w:tabs>
              <w:tab w:val="right" w:leader="dot" w:pos="9637"/>
            </w:tabs>
            <w:spacing w:line="480" w:lineRule="auto"/>
            <w:rPr>
              <w:sz w:val="22"/>
              <w:szCs w:val="22"/>
            </w:rPr>
          </w:pPr>
          <w:r>
            <w:fldChar w:fldCharType="begin"/>
          </w:r>
          <w:r>
            <w:instrText xml:space="preserve"> HYPERLINK \l "_Toc3720" </w:instrText>
          </w:r>
          <w:r>
            <w:fldChar w:fldCharType="separate"/>
          </w:r>
          <w:r>
            <w:rPr>
              <w:rFonts w:cs="宋体"/>
              <w:bCs/>
              <w:sz w:val="22"/>
              <w:szCs w:val="40"/>
            </w:rPr>
            <w:t>第二章投标人须知</w:t>
          </w:r>
          <w:r>
            <w:rPr>
              <w:sz w:val="22"/>
              <w:szCs w:val="22"/>
            </w:rPr>
            <w:tab/>
          </w:r>
          <w:r>
            <w:rPr>
              <w:sz w:val="22"/>
              <w:szCs w:val="22"/>
            </w:rPr>
            <w:fldChar w:fldCharType="begin"/>
          </w:r>
          <w:r>
            <w:rPr>
              <w:sz w:val="22"/>
              <w:szCs w:val="22"/>
            </w:rPr>
            <w:instrText xml:space="preserve"> PAGEREF _Toc3720 \h </w:instrText>
          </w:r>
          <w:r>
            <w:rPr>
              <w:sz w:val="22"/>
              <w:szCs w:val="22"/>
            </w:rPr>
            <w:fldChar w:fldCharType="separate"/>
          </w:r>
          <w:r>
            <w:rPr>
              <w:sz w:val="22"/>
              <w:szCs w:val="22"/>
            </w:rPr>
            <w:t>5</w:t>
          </w:r>
          <w:r>
            <w:rPr>
              <w:sz w:val="22"/>
              <w:szCs w:val="22"/>
            </w:rPr>
            <w:fldChar w:fldCharType="end"/>
          </w:r>
          <w:r>
            <w:rPr>
              <w:sz w:val="22"/>
              <w:szCs w:val="22"/>
            </w:rPr>
            <w:fldChar w:fldCharType="end"/>
          </w:r>
        </w:p>
        <w:p w14:paraId="2AAFAB60">
          <w:pPr>
            <w:pStyle w:val="24"/>
            <w:tabs>
              <w:tab w:val="right" w:leader="dot" w:pos="9637"/>
            </w:tabs>
            <w:spacing w:line="480" w:lineRule="auto"/>
            <w:rPr>
              <w:sz w:val="22"/>
              <w:szCs w:val="22"/>
            </w:rPr>
          </w:pPr>
          <w:r>
            <w:fldChar w:fldCharType="begin"/>
          </w:r>
          <w:r>
            <w:instrText xml:space="preserve"> HYPERLINK \l "_Toc23255" </w:instrText>
          </w:r>
          <w:r>
            <w:fldChar w:fldCharType="separate"/>
          </w:r>
          <w:r>
            <w:rPr>
              <w:rFonts w:cs="宋体"/>
              <w:bCs/>
              <w:sz w:val="22"/>
              <w:szCs w:val="36"/>
            </w:rPr>
            <w:t>第三章评标办法</w:t>
          </w:r>
          <w:r>
            <w:rPr>
              <w:rFonts w:hint="eastAsia" w:cs="宋体"/>
              <w:bCs/>
              <w:sz w:val="22"/>
              <w:szCs w:val="36"/>
            </w:rPr>
            <w:t>（</w:t>
          </w:r>
          <w:r>
            <w:rPr>
              <w:rFonts w:cs="宋体"/>
              <w:bCs/>
              <w:sz w:val="22"/>
              <w:szCs w:val="36"/>
            </w:rPr>
            <w:t>综合评分法</w:t>
          </w:r>
          <w:r>
            <w:rPr>
              <w:rFonts w:hint="eastAsia" w:cs="宋体"/>
              <w:bCs/>
              <w:sz w:val="22"/>
              <w:szCs w:val="36"/>
            </w:rPr>
            <w:t>）</w:t>
          </w:r>
          <w:r>
            <w:rPr>
              <w:sz w:val="22"/>
              <w:szCs w:val="22"/>
            </w:rPr>
            <w:tab/>
          </w:r>
          <w:r>
            <w:rPr>
              <w:sz w:val="22"/>
              <w:szCs w:val="22"/>
            </w:rPr>
            <w:fldChar w:fldCharType="begin"/>
          </w:r>
          <w:r>
            <w:rPr>
              <w:sz w:val="22"/>
              <w:szCs w:val="22"/>
            </w:rPr>
            <w:instrText xml:space="preserve"> PAGEREF _Toc23255 \h </w:instrText>
          </w:r>
          <w:r>
            <w:rPr>
              <w:sz w:val="22"/>
              <w:szCs w:val="22"/>
            </w:rPr>
            <w:fldChar w:fldCharType="separate"/>
          </w:r>
          <w:r>
            <w:rPr>
              <w:sz w:val="22"/>
              <w:szCs w:val="22"/>
            </w:rPr>
            <w:t>18</w:t>
          </w:r>
          <w:r>
            <w:rPr>
              <w:sz w:val="22"/>
              <w:szCs w:val="22"/>
            </w:rPr>
            <w:fldChar w:fldCharType="end"/>
          </w:r>
          <w:r>
            <w:rPr>
              <w:sz w:val="22"/>
              <w:szCs w:val="22"/>
            </w:rPr>
            <w:fldChar w:fldCharType="end"/>
          </w:r>
        </w:p>
        <w:p w14:paraId="3DB754B2">
          <w:pPr>
            <w:pStyle w:val="24"/>
            <w:tabs>
              <w:tab w:val="right" w:leader="dot" w:pos="9637"/>
            </w:tabs>
            <w:spacing w:line="480" w:lineRule="auto"/>
            <w:rPr>
              <w:sz w:val="22"/>
              <w:szCs w:val="22"/>
            </w:rPr>
          </w:pPr>
          <w:r>
            <w:fldChar w:fldCharType="begin"/>
          </w:r>
          <w:r>
            <w:instrText xml:space="preserve"> HYPERLINK \l "_Toc8319" </w:instrText>
          </w:r>
          <w:r>
            <w:fldChar w:fldCharType="separate"/>
          </w:r>
          <w:r>
            <w:rPr>
              <w:rFonts w:cs="宋体"/>
              <w:bCs/>
              <w:sz w:val="22"/>
              <w:szCs w:val="48"/>
            </w:rPr>
            <w:t>第四章合同条款及格式</w:t>
          </w:r>
          <w:r>
            <w:rPr>
              <w:sz w:val="22"/>
              <w:szCs w:val="22"/>
            </w:rPr>
            <w:tab/>
          </w:r>
          <w:r>
            <w:rPr>
              <w:sz w:val="22"/>
              <w:szCs w:val="22"/>
            </w:rPr>
            <w:fldChar w:fldCharType="begin"/>
          </w:r>
          <w:r>
            <w:rPr>
              <w:sz w:val="22"/>
              <w:szCs w:val="22"/>
            </w:rPr>
            <w:instrText xml:space="preserve"> PAGEREF _Toc8319 \h </w:instrText>
          </w:r>
          <w:r>
            <w:rPr>
              <w:sz w:val="22"/>
              <w:szCs w:val="22"/>
            </w:rPr>
            <w:fldChar w:fldCharType="separate"/>
          </w:r>
          <w:r>
            <w:rPr>
              <w:sz w:val="22"/>
              <w:szCs w:val="22"/>
            </w:rPr>
            <w:t>36</w:t>
          </w:r>
          <w:r>
            <w:rPr>
              <w:sz w:val="22"/>
              <w:szCs w:val="22"/>
            </w:rPr>
            <w:fldChar w:fldCharType="end"/>
          </w:r>
          <w:r>
            <w:rPr>
              <w:sz w:val="22"/>
              <w:szCs w:val="22"/>
            </w:rPr>
            <w:fldChar w:fldCharType="end"/>
          </w:r>
        </w:p>
        <w:p w14:paraId="789A38FB">
          <w:pPr>
            <w:pStyle w:val="24"/>
            <w:tabs>
              <w:tab w:val="right" w:leader="dot" w:pos="9637"/>
            </w:tabs>
            <w:spacing w:line="480" w:lineRule="auto"/>
            <w:rPr>
              <w:sz w:val="22"/>
              <w:szCs w:val="22"/>
            </w:rPr>
          </w:pPr>
          <w:r>
            <w:fldChar w:fldCharType="begin"/>
          </w:r>
          <w:r>
            <w:instrText xml:space="preserve"> HYPERLINK \l "_Toc6188" </w:instrText>
          </w:r>
          <w:r>
            <w:fldChar w:fldCharType="separate"/>
          </w:r>
          <w:r>
            <w:rPr>
              <w:rFonts w:cs="宋体"/>
              <w:bCs/>
              <w:sz w:val="22"/>
              <w:szCs w:val="48"/>
            </w:rPr>
            <w:t>第五章服务需求</w:t>
          </w:r>
          <w:r>
            <w:rPr>
              <w:sz w:val="22"/>
              <w:szCs w:val="22"/>
            </w:rPr>
            <w:tab/>
          </w:r>
          <w:r>
            <w:rPr>
              <w:sz w:val="22"/>
              <w:szCs w:val="22"/>
            </w:rPr>
            <w:fldChar w:fldCharType="begin"/>
          </w:r>
          <w:r>
            <w:rPr>
              <w:sz w:val="22"/>
              <w:szCs w:val="22"/>
            </w:rPr>
            <w:instrText xml:space="preserve"> PAGEREF _Toc6188 \h </w:instrText>
          </w:r>
          <w:r>
            <w:rPr>
              <w:sz w:val="22"/>
              <w:szCs w:val="22"/>
            </w:rPr>
            <w:fldChar w:fldCharType="separate"/>
          </w:r>
          <w:r>
            <w:rPr>
              <w:sz w:val="22"/>
              <w:szCs w:val="22"/>
            </w:rPr>
            <w:t>43</w:t>
          </w:r>
          <w:r>
            <w:rPr>
              <w:sz w:val="22"/>
              <w:szCs w:val="22"/>
            </w:rPr>
            <w:fldChar w:fldCharType="end"/>
          </w:r>
          <w:r>
            <w:rPr>
              <w:sz w:val="22"/>
              <w:szCs w:val="22"/>
            </w:rPr>
            <w:fldChar w:fldCharType="end"/>
          </w:r>
        </w:p>
        <w:p w14:paraId="66868D5C">
          <w:pPr>
            <w:pStyle w:val="24"/>
            <w:tabs>
              <w:tab w:val="right" w:leader="dot" w:pos="9637"/>
            </w:tabs>
            <w:spacing w:line="480" w:lineRule="auto"/>
            <w:rPr>
              <w:sz w:val="22"/>
              <w:szCs w:val="22"/>
            </w:rPr>
          </w:pPr>
          <w:r>
            <w:fldChar w:fldCharType="begin"/>
          </w:r>
          <w:r>
            <w:instrText xml:space="preserve"> HYPERLINK \l "_Toc19107" </w:instrText>
          </w:r>
          <w:r>
            <w:fldChar w:fldCharType="separate"/>
          </w:r>
          <w:r>
            <w:rPr>
              <w:rFonts w:cs="宋体"/>
              <w:bCs/>
              <w:sz w:val="22"/>
              <w:szCs w:val="48"/>
            </w:rPr>
            <w:t>第六章 投标文件格式</w:t>
          </w:r>
          <w:r>
            <w:rPr>
              <w:sz w:val="22"/>
              <w:szCs w:val="22"/>
            </w:rPr>
            <w:tab/>
          </w:r>
          <w:r>
            <w:rPr>
              <w:sz w:val="22"/>
              <w:szCs w:val="22"/>
            </w:rPr>
            <w:fldChar w:fldCharType="begin"/>
          </w:r>
          <w:r>
            <w:rPr>
              <w:sz w:val="22"/>
              <w:szCs w:val="22"/>
            </w:rPr>
            <w:instrText xml:space="preserve"> PAGEREF _Toc19107 \h </w:instrText>
          </w:r>
          <w:r>
            <w:rPr>
              <w:sz w:val="22"/>
              <w:szCs w:val="22"/>
            </w:rPr>
            <w:fldChar w:fldCharType="separate"/>
          </w:r>
          <w:r>
            <w:rPr>
              <w:sz w:val="22"/>
              <w:szCs w:val="22"/>
            </w:rPr>
            <w:t>44</w:t>
          </w:r>
          <w:r>
            <w:rPr>
              <w:sz w:val="22"/>
              <w:szCs w:val="22"/>
            </w:rPr>
            <w:fldChar w:fldCharType="end"/>
          </w:r>
          <w:r>
            <w:rPr>
              <w:sz w:val="22"/>
              <w:szCs w:val="22"/>
            </w:rPr>
            <w:fldChar w:fldCharType="end"/>
          </w:r>
        </w:p>
        <w:p w14:paraId="50CA82DA">
          <w:pPr>
            <w:pStyle w:val="24"/>
            <w:tabs>
              <w:tab w:val="right" w:leader="dot" w:pos="9637"/>
            </w:tabs>
            <w:spacing w:line="480" w:lineRule="auto"/>
          </w:pPr>
          <w:r>
            <w:fldChar w:fldCharType="begin"/>
          </w:r>
          <w:r>
            <w:instrText xml:space="preserve"> HYPERLINK \l "_Toc19574" </w:instrText>
          </w:r>
          <w:r>
            <w:fldChar w:fldCharType="separate"/>
          </w:r>
          <w:r>
            <w:rPr>
              <w:rFonts w:cs="宋体"/>
              <w:bCs/>
              <w:sz w:val="22"/>
              <w:szCs w:val="44"/>
            </w:rPr>
            <w:t>第七章技术标准及要求</w:t>
          </w:r>
          <w:r>
            <w:rPr>
              <w:sz w:val="22"/>
              <w:szCs w:val="22"/>
            </w:rPr>
            <w:tab/>
          </w:r>
          <w:r>
            <w:rPr>
              <w:sz w:val="22"/>
              <w:szCs w:val="22"/>
            </w:rPr>
            <w:fldChar w:fldCharType="begin"/>
          </w:r>
          <w:r>
            <w:rPr>
              <w:sz w:val="22"/>
              <w:szCs w:val="22"/>
            </w:rPr>
            <w:instrText xml:space="preserve"> PAGEREF _Toc19574 \h </w:instrText>
          </w:r>
          <w:r>
            <w:rPr>
              <w:sz w:val="22"/>
              <w:szCs w:val="22"/>
            </w:rPr>
            <w:fldChar w:fldCharType="separate"/>
          </w:r>
          <w:r>
            <w:rPr>
              <w:sz w:val="22"/>
              <w:szCs w:val="22"/>
            </w:rPr>
            <w:t>66</w:t>
          </w:r>
          <w:r>
            <w:rPr>
              <w:sz w:val="22"/>
              <w:szCs w:val="22"/>
            </w:rPr>
            <w:fldChar w:fldCharType="end"/>
          </w:r>
          <w:r>
            <w:rPr>
              <w:sz w:val="22"/>
              <w:szCs w:val="22"/>
            </w:rPr>
            <w:fldChar w:fldCharType="end"/>
          </w:r>
        </w:p>
        <w:p w14:paraId="6F24B1C3">
          <w:r>
            <w:fldChar w:fldCharType="end"/>
          </w:r>
        </w:p>
      </w:sdtContent>
    </w:sdt>
    <w:p w14:paraId="6B4902AC">
      <w:pPr>
        <w:pStyle w:val="3"/>
        <w:kinsoku/>
        <w:spacing w:line="360" w:lineRule="auto"/>
        <w:jc w:val="center"/>
        <w:rPr>
          <w:rFonts w:ascii="宋体" w:hAnsi="宋体"/>
          <w:color w:val="auto"/>
          <w:sz w:val="24"/>
          <w:szCs w:val="24"/>
          <w:lang w:eastAsia="zh-CN"/>
        </w:rPr>
      </w:pPr>
      <w:bookmarkStart w:id="4" w:name="_Toc6284"/>
    </w:p>
    <w:p w14:paraId="15F22D1A">
      <w:pPr>
        <w:rPr>
          <w:lang w:eastAsia="zh-CN"/>
        </w:rPr>
      </w:pPr>
    </w:p>
    <w:p w14:paraId="302DCAC4">
      <w:pPr>
        <w:pStyle w:val="3"/>
        <w:kinsoku/>
        <w:spacing w:line="360" w:lineRule="auto"/>
        <w:jc w:val="center"/>
        <w:rPr>
          <w:rFonts w:ascii="宋体" w:hAnsi="宋体"/>
          <w:color w:val="auto"/>
          <w:sz w:val="24"/>
          <w:szCs w:val="24"/>
          <w:lang w:eastAsia="zh-CN"/>
        </w:rPr>
      </w:pPr>
    </w:p>
    <w:p w14:paraId="2FB947CE">
      <w:pPr>
        <w:pStyle w:val="3"/>
        <w:kinsoku/>
        <w:spacing w:line="360" w:lineRule="auto"/>
        <w:jc w:val="center"/>
        <w:rPr>
          <w:rFonts w:ascii="宋体" w:hAnsi="宋体"/>
          <w:color w:val="auto"/>
          <w:sz w:val="24"/>
          <w:szCs w:val="24"/>
          <w:lang w:eastAsia="zh-CN"/>
        </w:rPr>
      </w:pPr>
    </w:p>
    <w:p w14:paraId="6CB181C4">
      <w:pPr>
        <w:rPr>
          <w:rFonts w:ascii="宋体" w:hAnsi="宋体"/>
          <w:color w:val="auto"/>
          <w:sz w:val="24"/>
          <w:szCs w:val="24"/>
          <w:lang w:eastAsia="zh-CN"/>
        </w:rPr>
      </w:pPr>
    </w:p>
    <w:p w14:paraId="352EF463">
      <w:pPr>
        <w:pStyle w:val="2"/>
        <w:rPr>
          <w:rFonts w:ascii="宋体" w:hAnsi="宋体"/>
          <w:color w:val="auto"/>
          <w:sz w:val="24"/>
          <w:szCs w:val="24"/>
          <w:lang w:eastAsia="zh-CN"/>
        </w:rPr>
      </w:pPr>
    </w:p>
    <w:p w14:paraId="6CEDE983">
      <w:pPr>
        <w:pStyle w:val="2"/>
        <w:rPr>
          <w:rFonts w:ascii="宋体" w:hAnsi="宋体"/>
          <w:color w:val="auto"/>
          <w:sz w:val="24"/>
          <w:szCs w:val="24"/>
          <w:lang w:eastAsia="zh-CN"/>
        </w:rPr>
      </w:pPr>
    </w:p>
    <w:p w14:paraId="2E99833B">
      <w:pPr>
        <w:pStyle w:val="3"/>
        <w:kinsoku/>
        <w:spacing w:line="360" w:lineRule="auto"/>
        <w:jc w:val="center"/>
        <w:rPr>
          <w:rFonts w:ascii="宋体" w:hAnsi="宋体"/>
          <w:color w:val="auto"/>
          <w:sz w:val="24"/>
          <w:szCs w:val="24"/>
          <w:lang w:eastAsia="zh-CN"/>
        </w:rPr>
      </w:pPr>
    </w:p>
    <w:p w14:paraId="15D3F2F3">
      <w:pPr>
        <w:rPr>
          <w:lang w:eastAsia="zh-CN"/>
        </w:rPr>
      </w:pPr>
    </w:p>
    <w:p w14:paraId="796DBFED">
      <w:pPr>
        <w:pStyle w:val="3"/>
        <w:kinsoku/>
        <w:spacing w:line="360" w:lineRule="auto"/>
        <w:jc w:val="center"/>
        <w:rPr>
          <w:rFonts w:ascii="宋体" w:hAnsi="宋体"/>
          <w:color w:val="auto"/>
          <w:sz w:val="24"/>
          <w:szCs w:val="24"/>
          <w:lang w:eastAsia="zh-CN"/>
        </w:rPr>
      </w:pPr>
    </w:p>
    <w:p w14:paraId="67D6EA95">
      <w:pPr>
        <w:pStyle w:val="3"/>
        <w:kinsoku/>
        <w:spacing w:line="360" w:lineRule="auto"/>
        <w:jc w:val="center"/>
        <w:rPr>
          <w:rFonts w:ascii="宋体" w:hAnsi="宋体"/>
          <w:color w:val="auto"/>
          <w:sz w:val="24"/>
          <w:szCs w:val="24"/>
          <w:lang w:eastAsia="zh-CN"/>
        </w:rPr>
      </w:pPr>
    </w:p>
    <w:p w14:paraId="5726AD27">
      <w:pPr>
        <w:pStyle w:val="3"/>
        <w:kinsoku/>
        <w:spacing w:line="360" w:lineRule="auto"/>
        <w:jc w:val="center"/>
        <w:rPr>
          <w:rFonts w:ascii="宋体" w:hAnsi="宋体"/>
          <w:color w:val="auto"/>
          <w:sz w:val="24"/>
          <w:szCs w:val="24"/>
          <w:lang w:eastAsia="zh-CN"/>
        </w:rPr>
      </w:pPr>
    </w:p>
    <w:p w14:paraId="259D37AD">
      <w:pPr>
        <w:pStyle w:val="3"/>
        <w:kinsoku/>
        <w:spacing w:line="360" w:lineRule="auto"/>
        <w:jc w:val="center"/>
        <w:rPr>
          <w:rFonts w:ascii="宋体" w:hAnsi="宋体"/>
          <w:color w:val="auto"/>
          <w:sz w:val="24"/>
          <w:szCs w:val="24"/>
          <w:lang w:eastAsia="zh-CN"/>
        </w:rPr>
      </w:pPr>
    </w:p>
    <w:p w14:paraId="0BE747C3">
      <w:pPr>
        <w:pStyle w:val="3"/>
        <w:kinsoku/>
        <w:spacing w:line="360" w:lineRule="auto"/>
        <w:jc w:val="center"/>
        <w:rPr>
          <w:rFonts w:ascii="宋体" w:hAnsi="宋体"/>
          <w:color w:val="auto"/>
          <w:sz w:val="24"/>
          <w:szCs w:val="24"/>
          <w:lang w:eastAsia="zh-CN"/>
        </w:rPr>
      </w:pPr>
    </w:p>
    <w:p w14:paraId="16C81B3B">
      <w:pPr>
        <w:pStyle w:val="3"/>
        <w:kinsoku/>
        <w:spacing w:line="360" w:lineRule="auto"/>
        <w:jc w:val="center"/>
        <w:rPr>
          <w:rFonts w:ascii="宋体" w:hAnsi="宋体"/>
          <w:color w:val="auto"/>
          <w:sz w:val="24"/>
          <w:szCs w:val="24"/>
          <w:lang w:eastAsia="zh-CN"/>
        </w:rPr>
      </w:pPr>
    </w:p>
    <w:p w14:paraId="1BB10A13">
      <w:pPr>
        <w:rPr>
          <w:rFonts w:ascii="宋体" w:hAnsi="宋体"/>
          <w:color w:val="auto"/>
          <w:sz w:val="24"/>
          <w:szCs w:val="24"/>
          <w:lang w:eastAsia="zh-CN"/>
        </w:rPr>
      </w:pPr>
    </w:p>
    <w:p w14:paraId="5BB43F90">
      <w:pPr>
        <w:pStyle w:val="2"/>
        <w:rPr>
          <w:rFonts w:ascii="宋体" w:hAnsi="宋体"/>
          <w:color w:val="auto"/>
          <w:sz w:val="24"/>
          <w:szCs w:val="24"/>
          <w:lang w:eastAsia="zh-CN"/>
        </w:rPr>
      </w:pPr>
    </w:p>
    <w:p w14:paraId="20E89A73">
      <w:pPr>
        <w:pStyle w:val="2"/>
        <w:rPr>
          <w:rFonts w:ascii="宋体" w:hAnsi="宋体"/>
          <w:color w:val="auto"/>
          <w:sz w:val="24"/>
          <w:szCs w:val="24"/>
          <w:lang w:eastAsia="zh-CN"/>
        </w:rPr>
      </w:pPr>
    </w:p>
    <w:p w14:paraId="5B361C43">
      <w:pPr>
        <w:pStyle w:val="2"/>
        <w:rPr>
          <w:rFonts w:ascii="宋体" w:hAnsi="宋体"/>
          <w:color w:val="auto"/>
          <w:sz w:val="24"/>
          <w:szCs w:val="24"/>
          <w:lang w:eastAsia="zh-CN"/>
        </w:rPr>
      </w:pPr>
    </w:p>
    <w:p w14:paraId="10FE45C3">
      <w:pPr>
        <w:pStyle w:val="2"/>
        <w:rPr>
          <w:rFonts w:ascii="宋体" w:hAnsi="宋体"/>
          <w:color w:val="auto"/>
          <w:sz w:val="24"/>
          <w:szCs w:val="24"/>
          <w:lang w:eastAsia="zh-CN"/>
        </w:rPr>
      </w:pPr>
    </w:p>
    <w:p w14:paraId="6207CDA8">
      <w:pPr>
        <w:pStyle w:val="3"/>
        <w:kinsoku/>
        <w:spacing w:line="360" w:lineRule="auto"/>
        <w:jc w:val="center"/>
        <w:rPr>
          <w:rFonts w:ascii="宋体" w:hAnsi="宋体"/>
          <w:color w:val="auto"/>
          <w:sz w:val="24"/>
          <w:szCs w:val="24"/>
          <w:lang w:eastAsia="zh-CN"/>
        </w:rPr>
        <w:sectPr>
          <w:footerReference r:id="rId9" w:type="default"/>
          <w:pgSz w:w="11905" w:h="16838"/>
          <w:pgMar w:top="1134" w:right="1134" w:bottom="1134" w:left="1134" w:header="0" w:footer="1043" w:gutter="0"/>
          <w:pgNumType w:start="1"/>
          <w:cols w:space="0" w:num="1"/>
        </w:sectPr>
      </w:pPr>
    </w:p>
    <w:p w14:paraId="24FA8065">
      <w:pPr>
        <w:pStyle w:val="3"/>
        <w:kinsoku/>
        <w:spacing w:line="360" w:lineRule="auto"/>
        <w:jc w:val="center"/>
        <w:rPr>
          <w:rFonts w:ascii="宋体" w:hAnsi="宋体" w:cs="宋体"/>
          <w:color w:val="auto"/>
          <w:sz w:val="24"/>
          <w:szCs w:val="24"/>
          <w:lang w:val="zh-CN" w:eastAsia="zh-CN"/>
        </w:rPr>
      </w:pPr>
      <w:r>
        <w:rPr>
          <w:rFonts w:hint="eastAsia" w:ascii="宋体" w:hAnsi="宋体"/>
          <w:color w:val="auto"/>
          <w:sz w:val="24"/>
          <w:szCs w:val="24"/>
          <w:lang w:eastAsia="zh-CN"/>
        </w:rPr>
        <w:t>第一章</w:t>
      </w:r>
      <w:bookmarkStart w:id="5" w:name="_Toc19773"/>
      <w:r>
        <w:rPr>
          <w:rFonts w:hint="eastAsia" w:ascii="宋体" w:hAnsi="宋体" w:cs="宋体"/>
          <w:color w:val="auto"/>
          <w:sz w:val="24"/>
          <w:szCs w:val="24"/>
          <w:lang w:val="zh-CN" w:eastAsia="zh-CN"/>
        </w:rPr>
        <w:t>招标公告</w:t>
      </w:r>
      <w:bookmarkEnd w:id="4"/>
      <w:bookmarkEnd w:id="5"/>
    </w:p>
    <w:p w14:paraId="4668C558">
      <w:pPr>
        <w:kinsoku/>
        <w:spacing w:line="360" w:lineRule="auto"/>
        <w:jc w:val="center"/>
        <w:rPr>
          <w:rFonts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长春特种设备检测研究院（长春市特种设备安全监控中心)人力资源服务采购项目</w:t>
      </w:r>
    </w:p>
    <w:p w14:paraId="65657071">
      <w:pPr>
        <w:kinsoku/>
        <w:spacing w:line="360" w:lineRule="auto"/>
        <w:jc w:val="center"/>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项目编号：JM-2025-05-00576-01</w:t>
      </w:r>
    </w:p>
    <w:p w14:paraId="5C7F2034">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项目概况：</w:t>
      </w:r>
    </w:p>
    <w:p w14:paraId="5AAE7786">
      <w:pPr>
        <w:widowControl w:val="0"/>
        <w:kinsoku/>
        <w:autoSpaceDE/>
        <w:autoSpaceDN/>
        <w:adjustRightInd/>
        <w:snapToGrid/>
        <w:spacing w:line="410" w:lineRule="exact"/>
        <w:textAlignment w:val="auto"/>
        <w:rPr>
          <w:rFonts w:ascii="宋体" w:hAnsi="宋体" w:eastAsia="宋体" w:cs="宋体"/>
          <w:sz w:val="24"/>
          <w:szCs w:val="24"/>
          <w:highlight w:val="none"/>
        </w:rPr>
      </w:pPr>
      <w:r>
        <w:rPr>
          <w:rFonts w:hint="eastAsia" w:ascii="宋体" w:hAnsi="宋体" w:eastAsia="宋体" w:cs="宋体"/>
          <w:sz w:val="24"/>
          <w:szCs w:val="24"/>
          <w:u w:val="single"/>
          <w:lang w:eastAsia="zh-CN"/>
        </w:rPr>
        <w:t>长春特种设备检测研究院（长春市特种设备安全监控中心)人力资源服务采购项目</w:t>
      </w:r>
      <w:r>
        <w:rPr>
          <w:rFonts w:hint="eastAsia" w:ascii="宋体" w:hAnsi="宋体" w:eastAsia="宋体" w:cs="宋体"/>
          <w:sz w:val="24"/>
          <w:szCs w:val="24"/>
        </w:rPr>
        <w:t>的</w:t>
      </w:r>
      <w:bookmarkStart w:id="6" w:name="_Toc35393621"/>
      <w:bookmarkStart w:id="7" w:name="_Toc28359079"/>
      <w:bookmarkStart w:id="8" w:name="_Toc35393790"/>
      <w:bookmarkStart w:id="9" w:name="_Toc28359002"/>
      <w:bookmarkStart w:id="10" w:name="_Hlk24379207"/>
      <w:r>
        <w:rPr>
          <w:rFonts w:hint="eastAsia" w:ascii="宋体" w:hAnsi="宋体" w:eastAsia="宋体" w:cs="宋体"/>
          <w:sz w:val="24"/>
          <w:szCs w:val="24"/>
        </w:rPr>
        <w:t>潜在供应商应</w:t>
      </w:r>
      <w:r>
        <w:rPr>
          <w:rFonts w:hint="eastAsia" w:ascii="宋体" w:hAnsi="宋体" w:eastAsia="宋体" w:cs="宋体"/>
          <w:sz w:val="24"/>
          <w:szCs w:val="24"/>
          <w:u w:val="single"/>
        </w:rPr>
        <w:t>在“政采云”平台（http：//www.zcygov.</w:t>
      </w:r>
      <w:r>
        <w:rPr>
          <w:rFonts w:hint="eastAsia" w:ascii="宋体" w:hAnsi="宋体" w:eastAsia="宋体" w:cs="宋体"/>
          <w:sz w:val="24"/>
          <w:szCs w:val="24"/>
          <w:highlight w:val="none"/>
          <w:u w:val="single"/>
        </w:rPr>
        <w:t>cn）</w:t>
      </w:r>
      <w:r>
        <w:rPr>
          <w:rFonts w:hint="eastAsia" w:ascii="宋体" w:hAnsi="宋体" w:eastAsia="宋体" w:cs="宋体"/>
          <w:sz w:val="24"/>
          <w:szCs w:val="24"/>
          <w:highlight w:val="none"/>
        </w:rPr>
        <w:t>获取采购文件，并于</w:t>
      </w:r>
      <w:bookmarkStart w:id="11" w:name="blank15"/>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eastAsia="zh-CN"/>
        </w:rPr>
        <w:t>07</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09</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u w:val="single"/>
          <w:lang w:eastAsia="zh-CN"/>
        </w:rPr>
        <w:t>09</w:t>
      </w:r>
      <w:r>
        <w:rPr>
          <w:rFonts w:hint="eastAsia" w:ascii="宋体" w:hAnsi="宋体" w:eastAsia="宋体" w:cs="宋体"/>
          <w:sz w:val="24"/>
          <w:szCs w:val="24"/>
          <w:highlight w:val="none"/>
          <w:u w:val="single"/>
        </w:rPr>
        <w:t>时</w:t>
      </w:r>
      <w:r>
        <w:rPr>
          <w:rFonts w:hint="eastAsia" w:ascii="宋体" w:hAnsi="宋体" w:eastAsia="宋体" w:cs="宋体"/>
          <w:sz w:val="24"/>
          <w:szCs w:val="24"/>
          <w:highlight w:val="none"/>
          <w:u w:val="single"/>
          <w:lang w:eastAsia="zh-CN"/>
        </w:rPr>
        <w:t>30</w:t>
      </w:r>
      <w:r>
        <w:rPr>
          <w:rFonts w:hint="eastAsia" w:ascii="宋体" w:hAnsi="宋体" w:eastAsia="宋体" w:cs="宋体"/>
          <w:sz w:val="24"/>
          <w:szCs w:val="24"/>
          <w:highlight w:val="none"/>
          <w:u w:val="single"/>
        </w:rPr>
        <w:t>分</w:t>
      </w:r>
      <w:bookmarkEnd w:id="11"/>
      <w:r>
        <w:rPr>
          <w:rFonts w:hint="eastAsia" w:ascii="宋体" w:hAnsi="宋体" w:eastAsia="宋体" w:cs="宋体"/>
          <w:sz w:val="24"/>
          <w:szCs w:val="24"/>
          <w:highlight w:val="none"/>
        </w:rPr>
        <w:t>（北京时间）前提交投标文件。</w:t>
      </w:r>
    </w:p>
    <w:p w14:paraId="4CD3F315">
      <w:pPr>
        <w:widowControl w:val="0"/>
        <w:kinsoku/>
        <w:autoSpaceDE/>
        <w:autoSpaceDN/>
        <w:adjustRightInd/>
        <w:snapToGrid/>
        <w:spacing w:line="410" w:lineRule="exact"/>
        <w:textAlignment w:val="auto"/>
        <w:rPr>
          <w:rFonts w:ascii="宋体" w:hAnsi="宋体" w:eastAsia="宋体" w:cs="宋体"/>
          <w:b/>
          <w:sz w:val="24"/>
          <w:szCs w:val="24"/>
          <w:lang w:eastAsia="zh-CN"/>
        </w:rPr>
      </w:pPr>
      <w:r>
        <w:rPr>
          <w:rFonts w:hint="eastAsia" w:ascii="宋体" w:hAnsi="宋体" w:eastAsia="宋体" w:cs="宋体"/>
          <w:b/>
          <w:sz w:val="24"/>
          <w:szCs w:val="24"/>
          <w:lang w:eastAsia="zh-CN"/>
        </w:rPr>
        <w:t>一、项目基本情况</w:t>
      </w:r>
      <w:bookmarkEnd w:id="6"/>
      <w:bookmarkEnd w:id="7"/>
      <w:bookmarkEnd w:id="8"/>
      <w:bookmarkEnd w:id="9"/>
    </w:p>
    <w:p w14:paraId="31BA8FDE">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1.项目编号：JM-2025-05-00576-01；</w:t>
      </w:r>
    </w:p>
    <w:p w14:paraId="3D192288">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2.项目名称：长春特种设备检测研究院（长春市特种设备安全监控中心)人力资源服务采购项目；</w:t>
      </w:r>
    </w:p>
    <w:bookmarkEnd w:id="10"/>
    <w:p w14:paraId="71FB418E">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3.预算金额：300万元；</w:t>
      </w:r>
    </w:p>
    <w:p w14:paraId="6FBF6EFB">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4.最高限价：300万元；</w:t>
      </w:r>
    </w:p>
    <w:p w14:paraId="24E4ECB5">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5.采购需求：</w:t>
      </w:r>
      <w:r>
        <w:fldChar w:fldCharType="begin"/>
      </w:r>
      <w:r>
        <w:instrText xml:space="preserve"> HYPERLINK "https://www.qcc.com/firm/gd8a959c2e202eb6eeff105f2b2a5d2e.html" \t "https://www.qcc.com/web/_blank" </w:instrText>
      </w:r>
      <w:r>
        <w:fldChar w:fldCharType="separate"/>
      </w:r>
      <w:r>
        <w:rPr>
          <w:rFonts w:hint="eastAsia" w:ascii="宋体" w:hAnsi="宋体" w:eastAsia="宋体" w:cs="宋体"/>
          <w:sz w:val="24"/>
          <w:szCs w:val="24"/>
          <w:lang w:eastAsia="zh-CN"/>
        </w:rPr>
        <w:t>长春特种设备检测研究院（长春市特种设备安全监控中心）</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人力资源服务采购项目；</w:t>
      </w:r>
    </w:p>
    <w:p w14:paraId="63F1955D">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6.合同履行期限：自合同签订之日起至</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25年12月31日止；</w:t>
      </w:r>
    </w:p>
    <w:p w14:paraId="71DEAE8F">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7.本项目（是/否）接受联合体投标：否。</w:t>
      </w:r>
    </w:p>
    <w:p w14:paraId="7D970E77">
      <w:pPr>
        <w:widowControl w:val="0"/>
        <w:kinsoku/>
        <w:autoSpaceDE/>
        <w:autoSpaceDN/>
        <w:adjustRightInd/>
        <w:snapToGrid/>
        <w:spacing w:line="410" w:lineRule="exact"/>
        <w:textAlignment w:val="auto"/>
        <w:rPr>
          <w:rFonts w:ascii="宋体" w:hAnsi="宋体" w:eastAsia="宋体" w:cs="宋体"/>
          <w:b/>
          <w:sz w:val="24"/>
          <w:szCs w:val="24"/>
          <w:lang w:eastAsia="zh-CN"/>
        </w:rPr>
      </w:pPr>
      <w:bookmarkStart w:id="12" w:name="_Toc35393791"/>
      <w:bookmarkStart w:id="13" w:name="_Toc35393622"/>
      <w:bookmarkStart w:id="14" w:name="_Toc28359003"/>
      <w:bookmarkStart w:id="15" w:name="_Toc28359080"/>
      <w:r>
        <w:rPr>
          <w:rFonts w:hint="eastAsia" w:ascii="宋体" w:hAnsi="宋体" w:eastAsia="宋体" w:cs="宋体"/>
          <w:b/>
          <w:sz w:val="24"/>
          <w:szCs w:val="24"/>
          <w:lang w:eastAsia="zh-CN"/>
        </w:rPr>
        <w:t>二、申请人的资格要求：</w:t>
      </w:r>
      <w:bookmarkEnd w:id="12"/>
      <w:bookmarkEnd w:id="13"/>
      <w:bookmarkEnd w:id="14"/>
      <w:bookmarkEnd w:id="15"/>
    </w:p>
    <w:p w14:paraId="1CE85FC0">
      <w:pPr>
        <w:widowControl w:val="0"/>
        <w:kinsoku/>
        <w:autoSpaceDE/>
        <w:autoSpaceDN/>
        <w:adjustRightInd/>
        <w:snapToGrid/>
        <w:spacing w:line="410" w:lineRule="exact"/>
        <w:textAlignment w:val="auto"/>
        <w:rPr>
          <w:rFonts w:ascii="宋体" w:hAnsi="宋体" w:eastAsia="宋体" w:cs="宋体"/>
          <w:sz w:val="24"/>
          <w:szCs w:val="24"/>
          <w:lang w:eastAsia="zh-CN"/>
        </w:rPr>
      </w:pPr>
      <w:bookmarkStart w:id="16" w:name="_Toc28359004"/>
      <w:bookmarkStart w:id="17" w:name="_Toc35393623"/>
      <w:bookmarkStart w:id="18" w:name="_Toc28359081"/>
      <w:bookmarkStart w:id="19" w:name="_Toc35393792"/>
      <w:r>
        <w:rPr>
          <w:rFonts w:hint="eastAsia" w:ascii="宋体" w:hAnsi="宋体" w:eastAsia="宋体" w:cs="宋体"/>
          <w:sz w:val="24"/>
          <w:szCs w:val="24"/>
          <w:lang w:eastAsia="zh-CN"/>
        </w:rPr>
        <w:t>2.1满足《中华人民共和国政府采购法》第二十二条规定；</w:t>
      </w:r>
    </w:p>
    <w:p w14:paraId="723239FB">
      <w:pPr>
        <w:widowControl w:val="0"/>
        <w:kinsoku/>
        <w:autoSpaceDE/>
        <w:autoSpaceDN/>
        <w:adjustRightInd/>
        <w:snapToGrid/>
        <w:spacing w:line="410" w:lineRule="exact"/>
        <w:textAlignment w:val="auto"/>
        <w:rPr>
          <w:rFonts w:ascii="宋体" w:hAnsi="宋体" w:eastAsia="宋体" w:cs="宋体"/>
          <w:sz w:val="24"/>
          <w:szCs w:val="24"/>
          <w:highlight w:val="none"/>
          <w:lang w:eastAsia="zh-CN"/>
        </w:rPr>
      </w:pPr>
      <w:r>
        <w:rPr>
          <w:rFonts w:hint="eastAsia" w:ascii="宋体" w:hAnsi="宋体" w:eastAsia="宋体" w:cs="宋体"/>
          <w:sz w:val="24"/>
          <w:szCs w:val="24"/>
          <w:lang w:eastAsia="zh-CN"/>
        </w:rPr>
        <w:t>2.2落实政府采购政策需满足的资格要求</w:t>
      </w:r>
      <w:r>
        <w:rPr>
          <w:rFonts w:hint="eastAsia" w:ascii="宋体" w:hAnsi="宋体" w:eastAsia="宋体" w:cs="宋体"/>
          <w:sz w:val="24"/>
          <w:szCs w:val="24"/>
          <w:highlight w:val="none"/>
          <w:lang w:eastAsia="zh-CN"/>
        </w:rPr>
        <w:t>：本项目专门面向小</w:t>
      </w:r>
      <w:r>
        <w:rPr>
          <w:rFonts w:hint="eastAsia" w:ascii="宋体" w:hAnsi="宋体" w:eastAsia="宋体" w:cs="宋体"/>
          <w:sz w:val="24"/>
          <w:szCs w:val="24"/>
          <w:highlight w:val="none"/>
          <w:lang w:val="en-US" w:eastAsia="zh-CN"/>
        </w:rPr>
        <w:t>微</w:t>
      </w:r>
      <w:r>
        <w:rPr>
          <w:rFonts w:hint="eastAsia" w:ascii="宋体" w:hAnsi="宋体" w:eastAsia="宋体" w:cs="宋体"/>
          <w:sz w:val="24"/>
          <w:szCs w:val="24"/>
          <w:highlight w:val="none"/>
          <w:lang w:eastAsia="zh-CN"/>
        </w:rPr>
        <w:t>企业采购。</w:t>
      </w:r>
    </w:p>
    <w:p w14:paraId="3916F7BC">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（1）《政府采购促进中小企业发展管理办法》(财库[2020]46号)；</w:t>
      </w:r>
    </w:p>
    <w:p w14:paraId="74FF513A">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（2）《关于政府采购支持监狱企业发展有关问题的通知》(财库[2014]68号)；</w:t>
      </w:r>
    </w:p>
    <w:p w14:paraId="5830F42E">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（3）《三部门联合发布关于促进残疾人就业政府采购政策的通知》(财库[2017]141号)；</w:t>
      </w:r>
    </w:p>
    <w:p w14:paraId="426D52CB">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（4）《环境标志产品政府采购实施意见》（财库[2006]90号）；</w:t>
      </w:r>
    </w:p>
    <w:p w14:paraId="2AA1ED58">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（5）《关于调整优化节能产品、环境标志产品政府采购执行机制的通知》(财库[2019]9号)；</w:t>
      </w:r>
    </w:p>
    <w:p w14:paraId="43910DAE">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（6）《关于进一步加大政府采购支持中小企业力度的通知》财库〔2022〕19号文件等国家最新政策。</w:t>
      </w:r>
    </w:p>
    <w:p w14:paraId="35B7F35E">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2.3本项目的特定资格要求：</w:t>
      </w:r>
    </w:p>
    <w:p w14:paraId="6DFB1FF5">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2.3.1投标人依法登记注册，具备有效的营业执照，并在人员、设备、资金等方面具有承担本服务项目的能力</w:t>
      </w:r>
      <w:r>
        <w:rPr>
          <w:rFonts w:hint="eastAsia" w:ascii="宋体" w:hAnsi="宋体" w:eastAsia="宋体" w:cs="宋体"/>
          <w:bCs/>
          <w:sz w:val="24"/>
          <w:szCs w:val="24"/>
          <w:lang w:eastAsia="zh-CN"/>
        </w:rPr>
        <w:t>。</w:t>
      </w:r>
    </w:p>
    <w:p w14:paraId="0A095B0F">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2.3.2拒绝列入政府取消投标资格记录期间的企业或个人投标。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08FFDDB3">
      <w:pPr>
        <w:widowControl w:val="0"/>
        <w:kinsoku/>
        <w:autoSpaceDE/>
        <w:autoSpaceDN/>
        <w:adjustRightInd/>
        <w:snapToGrid/>
        <w:spacing w:line="41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2.3.3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p w14:paraId="6FE3D87B">
      <w:pPr>
        <w:widowControl w:val="0"/>
        <w:kinsoku/>
        <w:autoSpaceDE/>
        <w:autoSpaceDN/>
        <w:adjustRightInd/>
        <w:snapToGrid/>
        <w:spacing w:line="410" w:lineRule="exact"/>
        <w:textAlignment w:val="auto"/>
        <w:rPr>
          <w:rFonts w:ascii="宋体" w:hAnsi="宋体" w:eastAsia="宋体" w:cs="宋体"/>
          <w:b/>
          <w:sz w:val="24"/>
          <w:szCs w:val="24"/>
          <w:lang w:eastAsia="zh-CN"/>
        </w:rPr>
      </w:pPr>
      <w:r>
        <w:rPr>
          <w:rFonts w:hint="eastAsia" w:ascii="宋体" w:hAnsi="宋体" w:eastAsia="宋体" w:cs="宋体"/>
          <w:b/>
          <w:sz w:val="24"/>
          <w:szCs w:val="24"/>
          <w:lang w:eastAsia="zh-CN"/>
        </w:rPr>
        <w:t>三、获取招标文件</w:t>
      </w:r>
      <w:bookmarkEnd w:id="16"/>
      <w:bookmarkEnd w:id="17"/>
      <w:bookmarkEnd w:id="18"/>
      <w:bookmarkEnd w:id="19"/>
    </w:p>
    <w:p w14:paraId="07B251D3">
      <w:pPr>
        <w:widowControl w:val="0"/>
        <w:kinsoku/>
        <w:autoSpaceDE/>
        <w:autoSpaceDN/>
        <w:adjustRightInd/>
        <w:snapToGrid/>
        <w:spacing w:line="410" w:lineRule="exact"/>
        <w:textAlignment w:val="auto"/>
        <w:rPr>
          <w:rFonts w:ascii="宋体" w:hAnsi="宋体" w:eastAsia="宋体" w:cs="宋体"/>
          <w:sz w:val="24"/>
          <w:szCs w:val="24"/>
          <w:highlight w:val="none"/>
          <w:lang w:eastAsia="zh-CN"/>
        </w:rPr>
      </w:pPr>
      <w:r>
        <w:rPr>
          <w:rFonts w:hint="eastAsia" w:ascii="宋体" w:hAnsi="宋体" w:eastAsia="宋体" w:cs="宋体"/>
          <w:sz w:val="24"/>
          <w:szCs w:val="24"/>
          <w:lang w:eastAsia="zh-CN"/>
        </w:rPr>
        <w:t>时</w:t>
      </w:r>
      <w:r>
        <w:rPr>
          <w:rFonts w:hint="eastAsia" w:ascii="宋体" w:hAnsi="宋体" w:eastAsia="宋体" w:cs="宋体"/>
          <w:sz w:val="24"/>
          <w:szCs w:val="24"/>
          <w:highlight w:val="none"/>
          <w:lang w:eastAsia="zh-CN"/>
        </w:rPr>
        <w:t>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lang w:eastAsia="zh-CN"/>
        </w:rPr>
        <w:t>日至202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lang w:eastAsia="zh-CN"/>
        </w:rPr>
        <w:t>日，供应商登录政采云平台https://www.zcygov.cn/在线申请获取采购文件（进入“项目采购”应用，在获取采购文件菜单中选择项目，申请获取采购文件），其他途径获取的招标文件开标时一律按无效投标处理）。</w:t>
      </w:r>
    </w:p>
    <w:p w14:paraId="592CA550">
      <w:pPr>
        <w:widowControl w:val="0"/>
        <w:kinsoku/>
        <w:autoSpaceDE/>
        <w:autoSpaceDN/>
        <w:adjustRightInd/>
        <w:snapToGrid/>
        <w:spacing w:line="420" w:lineRule="exact"/>
        <w:textAlignment w:val="auto"/>
        <w:rPr>
          <w:rFonts w:ascii="宋体" w:hAnsi="宋体" w:eastAsia="宋体" w:cs="宋体"/>
          <w:b/>
          <w:sz w:val="24"/>
          <w:szCs w:val="24"/>
          <w:highlight w:val="none"/>
          <w:lang w:eastAsia="zh-CN"/>
        </w:rPr>
      </w:pPr>
      <w:bookmarkStart w:id="20" w:name="_Toc28359005"/>
      <w:bookmarkStart w:id="21" w:name="_Toc28359082"/>
      <w:bookmarkStart w:id="22" w:name="_Toc35393624"/>
      <w:bookmarkStart w:id="23" w:name="_Toc35393793"/>
      <w:r>
        <w:rPr>
          <w:rFonts w:hint="eastAsia" w:ascii="宋体" w:hAnsi="宋体" w:eastAsia="宋体" w:cs="宋体"/>
          <w:b/>
          <w:sz w:val="24"/>
          <w:szCs w:val="24"/>
          <w:highlight w:val="none"/>
          <w:lang w:eastAsia="zh-CN"/>
        </w:rPr>
        <w:t>四、提交投标文件</w:t>
      </w:r>
      <w:bookmarkEnd w:id="20"/>
      <w:bookmarkEnd w:id="21"/>
      <w:r>
        <w:rPr>
          <w:rFonts w:hint="eastAsia" w:ascii="宋体" w:hAnsi="宋体" w:eastAsia="宋体" w:cs="宋体"/>
          <w:b/>
          <w:sz w:val="24"/>
          <w:szCs w:val="24"/>
          <w:highlight w:val="none"/>
          <w:lang w:eastAsia="zh-CN"/>
        </w:rPr>
        <w:t>截止时间、开标时间和地点</w:t>
      </w:r>
      <w:bookmarkEnd w:id="22"/>
      <w:bookmarkEnd w:id="23"/>
    </w:p>
    <w:p w14:paraId="49A9D979">
      <w:pPr>
        <w:widowControl w:val="0"/>
        <w:kinsoku/>
        <w:autoSpaceDE/>
        <w:autoSpaceDN/>
        <w:adjustRightInd/>
        <w:snapToGrid/>
        <w:spacing w:line="420" w:lineRule="exact"/>
        <w:textAlignment w:val="auto"/>
        <w:rPr>
          <w:rFonts w:ascii="宋体" w:hAnsi="宋体" w:eastAsia="宋体" w:cs="宋体"/>
          <w:sz w:val="24"/>
          <w:szCs w:val="24"/>
          <w:highlight w:val="none"/>
          <w:lang w:eastAsia="zh-CN"/>
        </w:rPr>
      </w:pPr>
      <w:bookmarkStart w:id="24" w:name="_Toc35393794"/>
      <w:bookmarkStart w:id="25" w:name="_Toc35393625"/>
      <w:bookmarkStart w:id="26" w:name="_Toc28359084"/>
      <w:bookmarkStart w:id="27" w:name="_Toc28359007"/>
      <w:r>
        <w:rPr>
          <w:rFonts w:hint="eastAsia" w:ascii="宋体" w:hAnsi="宋体" w:eastAsia="宋体" w:cs="宋体"/>
          <w:sz w:val="24"/>
          <w:szCs w:val="24"/>
          <w:highlight w:val="none"/>
          <w:lang w:eastAsia="zh-CN"/>
        </w:rPr>
        <w:t>时间：2025年07月0</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日09时30分（北京时间）；</w:t>
      </w:r>
    </w:p>
    <w:p w14:paraId="4991381D">
      <w:pPr>
        <w:widowControl w:val="0"/>
        <w:kinsoku/>
        <w:autoSpaceDE/>
        <w:autoSpaceDN/>
        <w:adjustRightInd/>
        <w:snapToGrid/>
        <w:spacing w:line="420" w:lineRule="exact"/>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地点：长春市高新区鸿达街吉林日报副楼4楼吉利招第四开标室。</w:t>
      </w:r>
      <w:bookmarkStart w:id="132" w:name="_GoBack"/>
      <w:bookmarkEnd w:id="132"/>
    </w:p>
    <w:p w14:paraId="06C9F04A">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本项目全流程电子化招投标,须通过政府采购云平台（网址：http://www.zcygov.cn）递交电子版投标文件，并按照现场工作人员通知使用CA锁进行投标文件解密。</w:t>
      </w:r>
    </w:p>
    <w:p w14:paraId="0FC12C1C">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投标操作流程：供应商在政府采购云平台网注册入库成为正式供应商后，在平台上按《政府采购项目电子交易管理操作指南-供应商》进行操作。</w:t>
      </w:r>
    </w:p>
    <w:p w14:paraId="10236FE3">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数字证书办理及投标技术咨询：投标人须办理数字证书方可参加投标。</w:t>
      </w:r>
    </w:p>
    <w:p w14:paraId="49643199">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办理联系电话：95763</w:t>
      </w:r>
    </w:p>
    <w:p w14:paraId="7C74A264">
      <w:pPr>
        <w:widowControl w:val="0"/>
        <w:kinsoku/>
        <w:autoSpaceDE/>
        <w:autoSpaceDN/>
        <w:adjustRightInd/>
        <w:snapToGrid/>
        <w:spacing w:line="420" w:lineRule="exact"/>
        <w:textAlignment w:val="auto"/>
        <w:rPr>
          <w:rFonts w:ascii="宋体" w:hAnsi="宋体" w:eastAsia="宋体" w:cs="宋体"/>
          <w:b/>
          <w:sz w:val="24"/>
          <w:szCs w:val="24"/>
          <w:lang w:eastAsia="zh-CN"/>
        </w:rPr>
      </w:pPr>
      <w:r>
        <w:rPr>
          <w:rFonts w:hint="eastAsia" w:ascii="宋体" w:hAnsi="宋体" w:eastAsia="宋体" w:cs="宋体"/>
          <w:b/>
          <w:sz w:val="24"/>
          <w:szCs w:val="24"/>
          <w:lang w:eastAsia="zh-CN"/>
        </w:rPr>
        <w:t>五、公告期限</w:t>
      </w:r>
      <w:bookmarkEnd w:id="24"/>
      <w:bookmarkEnd w:id="25"/>
      <w:bookmarkEnd w:id="26"/>
      <w:bookmarkEnd w:id="27"/>
    </w:p>
    <w:p w14:paraId="4F836702">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自本公告发布之日起5个工作日。</w:t>
      </w:r>
    </w:p>
    <w:p w14:paraId="71B5B77E">
      <w:pPr>
        <w:widowControl w:val="0"/>
        <w:kinsoku/>
        <w:autoSpaceDE/>
        <w:autoSpaceDN/>
        <w:adjustRightInd/>
        <w:snapToGrid/>
        <w:spacing w:line="420" w:lineRule="exact"/>
        <w:textAlignment w:val="auto"/>
        <w:rPr>
          <w:rFonts w:ascii="宋体" w:hAnsi="宋体" w:eastAsia="宋体" w:cs="宋体"/>
          <w:b/>
          <w:sz w:val="24"/>
          <w:szCs w:val="24"/>
          <w:lang w:eastAsia="zh-CN"/>
        </w:rPr>
      </w:pPr>
      <w:bookmarkStart w:id="28" w:name="_Toc35393795"/>
      <w:bookmarkStart w:id="29" w:name="_Toc35393626"/>
      <w:r>
        <w:rPr>
          <w:rFonts w:hint="eastAsia" w:ascii="宋体" w:hAnsi="宋体" w:eastAsia="宋体" w:cs="宋体"/>
          <w:b/>
          <w:sz w:val="24"/>
          <w:szCs w:val="24"/>
          <w:lang w:eastAsia="zh-CN"/>
        </w:rPr>
        <w:t>六、其他补充事宜</w:t>
      </w:r>
      <w:bookmarkEnd w:id="28"/>
      <w:bookmarkEnd w:id="29"/>
    </w:p>
    <w:p w14:paraId="33A7BBBA">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1.逾期送达的或者未送达指定地点的投标文件，采购人不予受理。</w:t>
      </w:r>
    </w:p>
    <w:p w14:paraId="603FEE19">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2.本项目有效投标人不足法定人数时，采购人另行组织招标。</w:t>
      </w:r>
    </w:p>
    <w:p w14:paraId="79D0249F">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3.发布公告的媒介：本次招标公告在“政采云”平台（http://www.zcygov.cn）（同步推送到中国政府采购网、吉林省政府采购网、长春市公共资源交易网）上发布。</w:t>
      </w:r>
    </w:p>
    <w:p w14:paraId="3DF0269B">
      <w:pPr>
        <w:widowControl w:val="0"/>
        <w:kinsoku/>
        <w:autoSpaceDE/>
        <w:autoSpaceDN/>
        <w:adjustRightInd/>
        <w:snapToGrid/>
        <w:spacing w:line="42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4.采购项目需要落实的政府采购政策:《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关于运用政府采购政策支持脱贫攻坚的通知》（财库〔2019〕27号）等相关政策文件。</w:t>
      </w:r>
    </w:p>
    <w:p w14:paraId="19E93586">
      <w:pPr>
        <w:widowControl w:val="0"/>
        <w:kinsoku/>
        <w:autoSpaceDE/>
        <w:autoSpaceDN/>
        <w:adjustRightInd/>
        <w:snapToGrid/>
        <w:spacing w:line="420" w:lineRule="exact"/>
        <w:textAlignment w:val="auto"/>
        <w:rPr>
          <w:rFonts w:ascii="宋体" w:hAnsi="宋体" w:eastAsia="宋体" w:cs="宋体"/>
          <w:b/>
          <w:sz w:val="24"/>
          <w:szCs w:val="24"/>
          <w:lang w:eastAsia="zh-CN"/>
        </w:rPr>
      </w:pPr>
      <w:bookmarkStart w:id="30" w:name="_Toc28359085"/>
      <w:bookmarkStart w:id="31" w:name="_Toc35393627"/>
      <w:bookmarkStart w:id="32" w:name="_Toc35393796"/>
      <w:bookmarkStart w:id="33" w:name="_Toc28359008"/>
      <w:r>
        <w:rPr>
          <w:rFonts w:hint="eastAsia" w:ascii="宋体" w:hAnsi="宋体" w:eastAsia="宋体" w:cs="宋体"/>
          <w:b/>
          <w:sz w:val="24"/>
          <w:szCs w:val="24"/>
          <w:lang w:eastAsia="zh-CN"/>
        </w:rPr>
        <w:t>七、对本次招标提出询问，请按以下方式联系。</w:t>
      </w:r>
      <w:bookmarkEnd w:id="30"/>
      <w:bookmarkEnd w:id="31"/>
      <w:bookmarkEnd w:id="32"/>
      <w:bookmarkEnd w:id="33"/>
    </w:p>
    <w:p w14:paraId="6C57DA33">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7.1采购人信息</w:t>
      </w:r>
    </w:p>
    <w:p w14:paraId="75A0E91A">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采购人：</w:t>
      </w:r>
      <w:r>
        <w:fldChar w:fldCharType="begin"/>
      </w:r>
      <w:r>
        <w:instrText xml:space="preserve"> HYPERLINK "https://www.qcc.com/firm/gd8a959c2e202eb6eeff105f2b2a5d2e.html" \t "https://www.qcc.com/web/_blank" </w:instrText>
      </w:r>
      <w:r>
        <w:fldChar w:fldCharType="separate"/>
      </w:r>
      <w:r>
        <w:rPr>
          <w:rFonts w:hint="eastAsia" w:ascii="宋体" w:hAnsi="宋体" w:eastAsia="宋体" w:cs="Times New Roman"/>
          <w:sz w:val="24"/>
          <w:szCs w:val="24"/>
          <w:lang w:eastAsia="zh-CN"/>
        </w:rPr>
        <w:t>长春特种设备检测研究院（长春市特种设备安全监控中心）</w:t>
      </w:r>
      <w:r>
        <w:rPr>
          <w:rFonts w:hint="eastAsia" w:ascii="宋体" w:hAnsi="宋体" w:eastAsia="宋体" w:cs="Times New Roman"/>
          <w:sz w:val="24"/>
          <w:szCs w:val="24"/>
          <w:lang w:eastAsia="zh-CN"/>
        </w:rPr>
        <w:fldChar w:fldCharType="end"/>
      </w:r>
    </w:p>
    <w:p w14:paraId="54779BA8">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地址：吉林省长春市经开区浦东路333号</w:t>
      </w:r>
    </w:p>
    <w:p w14:paraId="70960594">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 系 人：高建国</w:t>
      </w:r>
    </w:p>
    <w:p w14:paraId="76126816">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联系电话：0431-87605719</w:t>
      </w:r>
    </w:p>
    <w:p w14:paraId="224829E2">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7.2采购代理机构信息</w:t>
      </w:r>
    </w:p>
    <w:p w14:paraId="1F2D9107">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招标代理机构：吉林管捷冠工程管理有限公司</w:t>
      </w:r>
    </w:p>
    <w:p w14:paraId="44E03784">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地址：长春市朝阳区红旗街765号华亿红府4、14幢1单元1205号房</w:t>
      </w:r>
    </w:p>
    <w:p w14:paraId="199E9FC4">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联系方式：恬露</w:t>
      </w:r>
    </w:p>
    <w:p w14:paraId="68719FCB">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联系电话：15643022390</w:t>
      </w:r>
    </w:p>
    <w:p w14:paraId="4D53BF79">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7.3项目联系方式</w:t>
      </w:r>
    </w:p>
    <w:p w14:paraId="2FA0909E">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项目联系人：恬露</w:t>
      </w:r>
    </w:p>
    <w:p w14:paraId="3A179A42">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电话：15643022390</w:t>
      </w:r>
    </w:p>
    <w:p w14:paraId="3FD8D6B2">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7.4监督联系方式</w:t>
      </w:r>
    </w:p>
    <w:p w14:paraId="403FA90C">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监督管理部门：长春市财政局政府采购管理工作办公室</w:t>
      </w:r>
    </w:p>
    <w:p w14:paraId="4B8960BC">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联系方式：0431-89865657</w:t>
      </w:r>
    </w:p>
    <w:p w14:paraId="24891E8C">
      <w:pPr>
        <w:spacing w:line="420" w:lineRule="exact"/>
        <w:rPr>
          <w:rFonts w:ascii="宋体" w:hAnsi="宋体" w:eastAsia="宋体" w:cs="Times New Roman"/>
          <w:sz w:val="24"/>
          <w:szCs w:val="24"/>
          <w:lang w:eastAsia="zh-CN"/>
        </w:rPr>
      </w:pPr>
      <w:r>
        <w:rPr>
          <w:rFonts w:hint="eastAsia" w:ascii="宋体" w:hAnsi="宋体" w:eastAsia="宋体" w:cs="Times New Roman"/>
          <w:sz w:val="24"/>
          <w:szCs w:val="24"/>
          <w:lang w:eastAsia="zh-CN"/>
        </w:rPr>
        <w:t>7.5</w:t>
      </w:r>
      <w:r>
        <w:rPr>
          <w:rFonts w:ascii="宋体" w:hAnsi="宋体" w:eastAsia="宋体" w:cs="Times New Roman"/>
          <w:sz w:val="24"/>
          <w:szCs w:val="24"/>
          <w:lang w:eastAsia="zh-CN"/>
        </w:rPr>
        <w:t>本项目按照吉林省财政厅《关于依托政府采购数字金融服务平台开展融资业务有关事项的通知》</w:t>
      </w:r>
      <w:r>
        <w:rPr>
          <w:rFonts w:hint="eastAsia" w:ascii="宋体" w:hAnsi="宋体" w:eastAsia="宋体" w:cs="Times New Roman"/>
          <w:sz w:val="24"/>
          <w:szCs w:val="24"/>
          <w:lang w:eastAsia="zh-CN"/>
        </w:rPr>
        <w:t>（</w:t>
      </w:r>
      <w:r>
        <w:rPr>
          <w:rFonts w:ascii="宋体" w:hAnsi="宋体" w:eastAsia="宋体" w:cs="Times New Roman"/>
          <w:sz w:val="24"/>
          <w:szCs w:val="24"/>
          <w:lang w:eastAsia="zh-CN"/>
        </w:rPr>
        <w:t>吉财采购</w:t>
      </w:r>
      <w:r>
        <w:rPr>
          <w:rFonts w:hint="eastAsia" w:ascii="宋体" w:hAnsi="宋体" w:eastAsia="宋体" w:cs="Times New Roman"/>
          <w:sz w:val="24"/>
          <w:szCs w:val="24"/>
          <w:lang w:eastAsia="zh-CN"/>
        </w:rPr>
        <w:t>（</w:t>
      </w:r>
      <w:r>
        <w:rPr>
          <w:rFonts w:ascii="宋体" w:hAnsi="宋体" w:eastAsia="宋体" w:cs="Times New Roman"/>
          <w:sz w:val="24"/>
          <w:szCs w:val="24"/>
          <w:lang w:eastAsia="zh-CN"/>
        </w:rPr>
        <w:t>2023] 721号</w:t>
      </w:r>
      <w:r>
        <w:rPr>
          <w:rFonts w:hint="eastAsia" w:ascii="宋体" w:hAnsi="宋体" w:eastAsia="宋体" w:cs="Times New Roman"/>
          <w:sz w:val="24"/>
          <w:szCs w:val="24"/>
          <w:lang w:eastAsia="zh-CN"/>
        </w:rPr>
        <w:t>）</w:t>
      </w:r>
      <w:r>
        <w:rPr>
          <w:rFonts w:ascii="宋体" w:hAnsi="宋体" w:eastAsia="宋体" w:cs="Times New Roman"/>
          <w:sz w:val="24"/>
          <w:szCs w:val="24"/>
          <w:lang w:eastAsia="zh-CN"/>
        </w:rPr>
        <w:t>支持申请“政采合同贷”政策。</w:t>
      </w:r>
    </w:p>
    <w:p w14:paraId="35B38D07">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“政采数金平台”联系电话：张经理0431-81888978</w:t>
      </w:r>
    </w:p>
    <w:p w14:paraId="7D545D3D">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柯经理0431-81888998</w:t>
      </w:r>
    </w:p>
    <w:p w14:paraId="5C60EF28">
      <w:pPr>
        <w:spacing w:line="420" w:lineRule="exact"/>
        <w:rPr>
          <w:rFonts w:ascii="宋体" w:hAnsi="宋体" w:eastAsia="宋体" w:cs="Times New Roman"/>
          <w:b/>
          <w:sz w:val="24"/>
          <w:szCs w:val="24"/>
          <w:lang w:eastAsia="zh-CN"/>
        </w:rPr>
      </w:pPr>
      <w:r>
        <w:rPr>
          <w:rFonts w:ascii="宋体" w:hAnsi="宋体" w:eastAsia="宋体" w:cs="Times New Roman"/>
          <w:b/>
          <w:sz w:val="24"/>
          <w:szCs w:val="24"/>
          <w:lang w:eastAsia="zh-CN"/>
        </w:rPr>
        <w:t>八、扫黑除恶专项斗争线索举报方式：</w:t>
      </w:r>
    </w:p>
    <w:p w14:paraId="4F07EFE7">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吉林省建设工程招标投标领域扫黑除恶专项斗争线索举报方式：</w:t>
      </w:r>
    </w:p>
    <w:p w14:paraId="002A497C">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电话：0431-82752638 邮箱：</w:t>
      </w:r>
      <w:r>
        <w:fldChar w:fldCharType="begin"/>
      </w:r>
      <w:r>
        <w:instrText xml:space="preserve"> HYPERLINK "mailto:jstzbc123@126.com" \t "http://www.ccgp-jilin.gov.cn/site/_blank" </w:instrText>
      </w:r>
      <w:r>
        <w:fldChar w:fldCharType="separate"/>
      </w:r>
      <w:r>
        <w:rPr>
          <w:rFonts w:ascii="宋体" w:hAnsi="宋体" w:eastAsia="宋体" w:cs="Times New Roman"/>
          <w:sz w:val="24"/>
          <w:szCs w:val="24"/>
          <w:lang w:eastAsia="zh-CN"/>
        </w:rPr>
        <w:t>jstzbc123@126.com</w:t>
      </w:r>
      <w:r>
        <w:rPr>
          <w:rFonts w:ascii="宋体" w:hAnsi="宋体" w:eastAsia="宋体" w:cs="Times New Roman"/>
          <w:sz w:val="24"/>
          <w:szCs w:val="24"/>
          <w:lang w:eastAsia="zh-CN"/>
        </w:rPr>
        <w:fldChar w:fldCharType="end"/>
      </w:r>
    </w:p>
    <w:p w14:paraId="5541778A">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地址：长春市贵阳街287号建设大厦428室招投标管理处 邮编：130051</w:t>
      </w:r>
    </w:p>
    <w:p w14:paraId="23A74FFE">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长春市建设工程招标投标领域扫黑除恶专项斗争线索举报方式：</w:t>
      </w:r>
    </w:p>
    <w:p w14:paraId="0DF11F3D">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电话：0431-88779829 邮箱：</w:t>
      </w:r>
      <w:r>
        <w:fldChar w:fldCharType="begin"/>
      </w:r>
      <w:r>
        <w:instrText xml:space="preserve"> HYPERLINK "mailto:jstzbc123@126.com" \t "http://www.ccgp-jilin.gov.cn/site/_blank" </w:instrText>
      </w:r>
      <w:r>
        <w:fldChar w:fldCharType="separate"/>
      </w:r>
      <w:r>
        <w:rPr>
          <w:rFonts w:ascii="宋体" w:hAnsi="宋体" w:eastAsia="宋体" w:cs="Times New Roman"/>
          <w:sz w:val="24"/>
          <w:szCs w:val="24"/>
          <w:lang w:eastAsia="zh-CN"/>
        </w:rPr>
        <w:t>ccjw88779829@163.com</w:t>
      </w:r>
      <w:r>
        <w:rPr>
          <w:rFonts w:ascii="宋体" w:hAnsi="宋体" w:eastAsia="宋体" w:cs="Times New Roman"/>
          <w:sz w:val="24"/>
          <w:szCs w:val="24"/>
          <w:lang w:eastAsia="zh-CN"/>
        </w:rPr>
        <w:fldChar w:fldCharType="end"/>
      </w:r>
    </w:p>
    <w:p w14:paraId="0B24A63B">
      <w:pPr>
        <w:spacing w:line="420" w:lineRule="exact"/>
        <w:rPr>
          <w:rFonts w:ascii="宋体" w:hAnsi="宋体" w:eastAsia="宋体" w:cs="Times New Roman"/>
          <w:sz w:val="24"/>
          <w:szCs w:val="24"/>
          <w:lang w:eastAsia="zh-CN"/>
        </w:rPr>
      </w:pPr>
      <w:r>
        <w:rPr>
          <w:rFonts w:ascii="宋体" w:hAnsi="宋体" w:eastAsia="宋体" w:cs="Times New Roman"/>
          <w:sz w:val="24"/>
          <w:szCs w:val="24"/>
          <w:lang w:eastAsia="zh-CN"/>
        </w:rPr>
        <w:t>地址：长春市南关区华新街700号  邮编：130400</w:t>
      </w:r>
    </w:p>
    <w:p w14:paraId="04E0562B">
      <w:pPr>
        <w:pStyle w:val="12"/>
        <w:rPr>
          <w:lang w:eastAsia="zh-CN"/>
        </w:rPr>
      </w:pPr>
    </w:p>
    <w:p w14:paraId="7D97FAD3">
      <w:pPr>
        <w:spacing w:line="420" w:lineRule="exact"/>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本项目按照吉林省财政厅《关于依托政府采购数字金融服务平台开展融资业务有关事项的通知》(吉财采购(2023]721号)支持申请“政采合同贷”政策。</w:t>
      </w:r>
    </w:p>
    <w:p w14:paraId="126EB1FA">
      <w:pPr>
        <w:spacing w:line="420" w:lineRule="exact"/>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“政采数金平台”联系电话：张经理0431-81888978  柯经理0431-81888998</w:t>
      </w:r>
    </w:p>
    <w:p w14:paraId="2270B72A">
      <w:pPr>
        <w:spacing w:line="420" w:lineRule="exact"/>
        <w:rPr>
          <w:rFonts w:ascii="宋体" w:hAnsi="宋体" w:eastAsia="宋体" w:cs="Times New Roman"/>
          <w:sz w:val="24"/>
          <w:szCs w:val="24"/>
          <w:lang w:eastAsia="zh-CN"/>
        </w:rPr>
      </w:pPr>
    </w:p>
    <w:p w14:paraId="3387923E">
      <w:pPr>
        <w:spacing w:line="360" w:lineRule="auto"/>
        <w:ind w:firstLine="440" w:firstLineChars="200"/>
        <w:rPr>
          <w:rFonts w:ascii="Times New Roman" w:hAnsi="Times New Roman" w:eastAsia="宋体" w:cs="Times New Roman"/>
          <w:sz w:val="22"/>
          <w:lang w:eastAsia="zh-CN"/>
        </w:rPr>
      </w:pPr>
    </w:p>
    <w:p w14:paraId="6A523A25">
      <w:pPr>
        <w:spacing w:line="360" w:lineRule="auto"/>
        <w:jc w:val="center"/>
        <w:rPr>
          <w:rFonts w:ascii="Times New Roman" w:hAnsi="Times New Roman" w:eastAsia="宋体" w:cs="宋体"/>
          <w:b/>
          <w:bCs/>
          <w:sz w:val="32"/>
          <w:szCs w:val="32"/>
          <w:lang w:eastAsia="zh-CN"/>
        </w:rPr>
        <w:sectPr>
          <w:footerReference r:id="rId10" w:type="default"/>
          <w:pgSz w:w="11905" w:h="16838"/>
          <w:pgMar w:top="1134" w:right="1134" w:bottom="1134" w:left="1134" w:header="0" w:footer="1043" w:gutter="0"/>
          <w:cols w:space="0" w:num="1"/>
        </w:sectPr>
      </w:pPr>
    </w:p>
    <w:p w14:paraId="52E8045B">
      <w:pPr>
        <w:spacing w:line="360" w:lineRule="auto"/>
        <w:jc w:val="center"/>
        <w:outlineLvl w:val="0"/>
        <w:rPr>
          <w:rFonts w:ascii="Times New Roman" w:hAnsi="Times New Roman" w:eastAsia="宋体" w:cs="宋体"/>
          <w:sz w:val="32"/>
          <w:szCs w:val="32"/>
          <w:lang w:eastAsia="zh-CN"/>
        </w:rPr>
      </w:pPr>
      <w:bookmarkStart w:id="34" w:name="_Toc3720"/>
      <w:r>
        <w:rPr>
          <w:rFonts w:ascii="Times New Roman" w:hAnsi="Times New Roman" w:eastAsia="宋体" w:cs="宋体"/>
          <w:b/>
          <w:bCs/>
          <w:sz w:val="32"/>
          <w:szCs w:val="32"/>
          <w:lang w:eastAsia="zh-CN"/>
        </w:rPr>
        <w:t>第二章投标人须知</w:t>
      </w:r>
      <w:bookmarkEnd w:id="34"/>
    </w:p>
    <w:p w14:paraId="14D0BA0F">
      <w:pPr>
        <w:spacing w:line="360" w:lineRule="auto"/>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投标人须知前附表</w:t>
      </w:r>
    </w:p>
    <w:tbl>
      <w:tblPr>
        <w:tblStyle w:val="20"/>
        <w:tblW w:w="10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2070"/>
        <w:gridCol w:w="8"/>
        <w:gridCol w:w="7168"/>
      </w:tblGrid>
      <w:tr w14:paraId="18BB4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AEA8D1F">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条款号</w:t>
            </w:r>
          </w:p>
        </w:tc>
        <w:tc>
          <w:tcPr>
            <w:tcW w:w="2078" w:type="dxa"/>
            <w:gridSpan w:val="2"/>
            <w:vAlign w:val="center"/>
          </w:tcPr>
          <w:p w14:paraId="61957CF9">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条款名称</w:t>
            </w:r>
          </w:p>
        </w:tc>
        <w:tc>
          <w:tcPr>
            <w:tcW w:w="7168" w:type="dxa"/>
            <w:vAlign w:val="center"/>
          </w:tcPr>
          <w:p w14:paraId="39CDE8EE">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编列内容</w:t>
            </w:r>
          </w:p>
        </w:tc>
      </w:tr>
      <w:tr w14:paraId="26C1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0BADEE62">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1.1.2</w:t>
            </w:r>
          </w:p>
        </w:tc>
        <w:tc>
          <w:tcPr>
            <w:tcW w:w="2078" w:type="dxa"/>
            <w:gridSpan w:val="2"/>
            <w:vAlign w:val="center"/>
          </w:tcPr>
          <w:p w14:paraId="5BF18E6E">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采购人</w:t>
            </w:r>
          </w:p>
        </w:tc>
        <w:tc>
          <w:tcPr>
            <w:tcW w:w="7168" w:type="dxa"/>
            <w:vAlign w:val="center"/>
          </w:tcPr>
          <w:p w14:paraId="05D9E567">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eastAsia="zh-CN"/>
              </w:rPr>
            </w:pPr>
            <w:r>
              <w:rPr>
                <w:rFonts w:hint="eastAsia" w:ascii="宋体" w:hAnsi="宋体" w:eastAsia="宋体" w:cs="宋体"/>
                <w:bCs/>
                <w:color w:val="auto"/>
                <w:kern w:val="44"/>
                <w:sz w:val="21"/>
                <w:szCs w:val="21"/>
                <w:lang w:eastAsia="zh-CN"/>
              </w:rPr>
              <w:t>采购人：</w:t>
            </w:r>
            <w:r>
              <w:rPr>
                <w:sz w:val="21"/>
                <w:szCs w:val="21"/>
              </w:rPr>
              <w:fldChar w:fldCharType="begin"/>
            </w:r>
            <w:r>
              <w:rPr>
                <w:sz w:val="21"/>
                <w:szCs w:val="21"/>
              </w:rPr>
              <w:instrText xml:space="preserve"> HYPERLINK "https://www.qcc.com/firm/gd8a959c2e202eb6eeff105f2b2a5d2e.html" \t "https://www.qcc.com/web/_blank" </w:instrText>
            </w:r>
            <w:r>
              <w:rPr>
                <w:sz w:val="21"/>
                <w:szCs w:val="21"/>
              </w:rPr>
              <w:fldChar w:fldCharType="separate"/>
            </w:r>
            <w:r>
              <w:rPr>
                <w:rFonts w:hint="eastAsia" w:ascii="宋体" w:hAnsi="宋体" w:eastAsia="宋体" w:cs="宋体"/>
                <w:bCs/>
                <w:color w:val="auto"/>
                <w:kern w:val="44"/>
                <w:sz w:val="21"/>
                <w:szCs w:val="21"/>
                <w:lang w:eastAsia="zh-CN"/>
              </w:rPr>
              <w:t>长春特种设备检测研究院(长春市特种设备安全监控中心)</w:t>
            </w:r>
            <w:r>
              <w:rPr>
                <w:rFonts w:hint="eastAsia" w:ascii="宋体" w:hAnsi="宋体" w:eastAsia="宋体" w:cs="宋体"/>
                <w:bCs/>
                <w:color w:val="auto"/>
                <w:kern w:val="44"/>
                <w:sz w:val="21"/>
                <w:szCs w:val="21"/>
                <w:lang w:eastAsia="zh-CN"/>
              </w:rPr>
              <w:fldChar w:fldCharType="end"/>
            </w:r>
          </w:p>
          <w:p w14:paraId="71D6FC9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eastAsia="zh-CN"/>
              </w:rPr>
            </w:pPr>
            <w:r>
              <w:rPr>
                <w:rFonts w:hint="eastAsia" w:ascii="宋体" w:hAnsi="宋体" w:eastAsia="宋体" w:cs="宋体"/>
                <w:bCs/>
                <w:color w:val="auto"/>
                <w:kern w:val="44"/>
                <w:sz w:val="21"/>
                <w:szCs w:val="21"/>
                <w:lang w:eastAsia="zh-CN"/>
              </w:rPr>
              <w:t>地址：吉林省长春市经开区浦东路333号</w:t>
            </w:r>
          </w:p>
          <w:p w14:paraId="0C80235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联 系 人：高建国</w:t>
            </w:r>
          </w:p>
          <w:p w14:paraId="57083A0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sz w:val="21"/>
                <w:szCs w:val="21"/>
                <w:lang w:eastAsia="zh-CN"/>
              </w:rPr>
            </w:pPr>
            <w:r>
              <w:rPr>
                <w:rFonts w:hint="eastAsia" w:ascii="宋体" w:hAnsi="宋体" w:eastAsia="宋体"/>
                <w:sz w:val="21"/>
                <w:szCs w:val="21"/>
                <w:lang w:eastAsia="zh-CN"/>
              </w:rPr>
              <w:t>联系电话：0431-87605719</w:t>
            </w:r>
          </w:p>
        </w:tc>
      </w:tr>
      <w:tr w14:paraId="586FC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C6B456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1.1.3</w:t>
            </w:r>
          </w:p>
        </w:tc>
        <w:tc>
          <w:tcPr>
            <w:tcW w:w="2078" w:type="dxa"/>
            <w:gridSpan w:val="2"/>
            <w:vAlign w:val="center"/>
          </w:tcPr>
          <w:p w14:paraId="49C21D2F">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采购代理机构</w:t>
            </w:r>
          </w:p>
        </w:tc>
        <w:tc>
          <w:tcPr>
            <w:tcW w:w="7168" w:type="dxa"/>
            <w:vAlign w:val="center"/>
          </w:tcPr>
          <w:p w14:paraId="5725892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Times New Roman"/>
                <w:sz w:val="21"/>
                <w:szCs w:val="21"/>
                <w:lang w:eastAsia="zh-CN"/>
              </w:rPr>
            </w:pPr>
            <w:r>
              <w:rPr>
                <w:rFonts w:hint="eastAsia" w:ascii="宋体" w:hAnsi="宋体" w:eastAsia="宋体" w:cs="Times New Roman"/>
                <w:sz w:val="21"/>
                <w:szCs w:val="21"/>
                <w:lang w:eastAsia="zh-CN"/>
              </w:rPr>
              <w:t>招标代理机构：吉林管捷冠工程管理有限公司</w:t>
            </w:r>
          </w:p>
          <w:p w14:paraId="6B02F79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Times New Roman"/>
                <w:sz w:val="21"/>
                <w:szCs w:val="21"/>
                <w:lang w:eastAsia="zh-CN"/>
              </w:rPr>
            </w:pPr>
            <w:r>
              <w:rPr>
                <w:rFonts w:hint="eastAsia" w:ascii="宋体" w:hAnsi="宋体" w:eastAsia="宋体" w:cs="Times New Roman"/>
                <w:sz w:val="21"/>
                <w:szCs w:val="21"/>
                <w:lang w:eastAsia="zh-CN"/>
              </w:rPr>
              <w:t>地址：长春市朝阳区红旗街765号华亿红府4、14幢1单元1205号房</w:t>
            </w:r>
          </w:p>
          <w:p w14:paraId="0303F6E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Times New Roman"/>
                <w:sz w:val="21"/>
                <w:szCs w:val="21"/>
                <w:lang w:eastAsia="zh-CN"/>
              </w:rPr>
            </w:pPr>
            <w:r>
              <w:rPr>
                <w:rFonts w:hint="eastAsia" w:ascii="宋体" w:hAnsi="宋体" w:eastAsia="宋体" w:cs="Times New Roman"/>
                <w:sz w:val="21"/>
                <w:szCs w:val="21"/>
                <w:lang w:eastAsia="zh-CN"/>
              </w:rPr>
              <w:t>联系方式：恬露</w:t>
            </w:r>
          </w:p>
          <w:p w14:paraId="619A18C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sz w:val="21"/>
                <w:szCs w:val="21"/>
                <w:lang w:eastAsia="zh-CN"/>
              </w:rPr>
            </w:pPr>
            <w:r>
              <w:rPr>
                <w:rFonts w:hint="eastAsia" w:ascii="宋体" w:hAnsi="宋体" w:eastAsia="宋体" w:cs="Times New Roman"/>
                <w:sz w:val="21"/>
                <w:szCs w:val="21"/>
                <w:lang w:eastAsia="zh-CN"/>
              </w:rPr>
              <w:t>联系电话：15643022390</w:t>
            </w:r>
          </w:p>
        </w:tc>
      </w:tr>
      <w:tr w14:paraId="71840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Merge w:val="restart"/>
            <w:tcBorders>
              <w:bottom w:val="nil"/>
            </w:tcBorders>
            <w:vAlign w:val="center"/>
          </w:tcPr>
          <w:p w14:paraId="0D787B4F">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1.1.4</w:t>
            </w:r>
          </w:p>
        </w:tc>
        <w:tc>
          <w:tcPr>
            <w:tcW w:w="2078" w:type="dxa"/>
            <w:gridSpan w:val="2"/>
            <w:vAlign w:val="center"/>
          </w:tcPr>
          <w:p w14:paraId="58DC4C7B">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招标编号</w:t>
            </w:r>
          </w:p>
        </w:tc>
        <w:tc>
          <w:tcPr>
            <w:tcW w:w="7168" w:type="dxa"/>
            <w:vAlign w:val="center"/>
          </w:tcPr>
          <w:p w14:paraId="6653ACBB">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rFonts w:hint="eastAsia"/>
                <w:sz w:val="21"/>
                <w:szCs w:val="21"/>
                <w:lang w:eastAsia="zh-CN"/>
              </w:rPr>
              <w:t>JM-2025-05-00576-01</w:t>
            </w:r>
          </w:p>
        </w:tc>
      </w:tr>
      <w:tr w14:paraId="07CCB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Merge w:val="continue"/>
            <w:tcBorders>
              <w:top w:val="nil"/>
            </w:tcBorders>
            <w:vAlign w:val="center"/>
          </w:tcPr>
          <w:p w14:paraId="73EE0639">
            <w:pPr>
              <w:keepNext w:val="0"/>
              <w:keepLines w:val="0"/>
              <w:pageBreakBefore w:val="0"/>
              <w:wordWrap/>
              <w:overflowPunct/>
              <w:topLinePunct w:val="0"/>
              <w:autoSpaceDE w:val="0"/>
              <w:autoSpaceDN w:val="0"/>
              <w:bidi w:val="0"/>
              <w:adjustRightInd w:val="0"/>
              <w:snapToGrid w:val="0"/>
              <w:spacing w:line="240" w:lineRule="auto"/>
              <w:jc w:val="center"/>
              <w:rPr>
                <w:rFonts w:ascii="宋体" w:hAnsi="宋体" w:eastAsia="宋体"/>
                <w:sz w:val="21"/>
                <w:szCs w:val="21"/>
              </w:rPr>
            </w:pPr>
          </w:p>
        </w:tc>
        <w:tc>
          <w:tcPr>
            <w:tcW w:w="2078" w:type="dxa"/>
            <w:gridSpan w:val="2"/>
            <w:vAlign w:val="center"/>
          </w:tcPr>
          <w:p w14:paraId="67E49058">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rFonts w:hint="eastAsia"/>
                <w:sz w:val="21"/>
                <w:szCs w:val="21"/>
                <w:lang w:eastAsia="zh-CN"/>
              </w:rPr>
              <w:t>项目</w:t>
            </w:r>
            <w:r>
              <w:rPr>
                <w:sz w:val="21"/>
                <w:szCs w:val="21"/>
              </w:rPr>
              <w:t>名称</w:t>
            </w:r>
          </w:p>
        </w:tc>
        <w:tc>
          <w:tcPr>
            <w:tcW w:w="7168" w:type="dxa"/>
            <w:vAlign w:val="center"/>
          </w:tcPr>
          <w:p w14:paraId="4756720E">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长春特种设备检测研究院（长春市特种设备安全监控中心)人力资源服务采购项目</w:t>
            </w:r>
          </w:p>
        </w:tc>
      </w:tr>
      <w:tr w14:paraId="47463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2C5B6B1">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1.1.5</w:t>
            </w:r>
          </w:p>
        </w:tc>
        <w:tc>
          <w:tcPr>
            <w:tcW w:w="2078" w:type="dxa"/>
            <w:gridSpan w:val="2"/>
            <w:vAlign w:val="center"/>
          </w:tcPr>
          <w:p w14:paraId="27FD92D7">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服务地点</w:t>
            </w:r>
          </w:p>
        </w:tc>
        <w:tc>
          <w:tcPr>
            <w:tcW w:w="7168" w:type="dxa"/>
            <w:vAlign w:val="center"/>
          </w:tcPr>
          <w:p w14:paraId="1E1A1000">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招标人指定地点</w:t>
            </w:r>
          </w:p>
        </w:tc>
      </w:tr>
      <w:tr w14:paraId="0511E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121EE4E">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1.2.1</w:t>
            </w:r>
          </w:p>
        </w:tc>
        <w:tc>
          <w:tcPr>
            <w:tcW w:w="2078" w:type="dxa"/>
            <w:gridSpan w:val="2"/>
            <w:vAlign w:val="center"/>
          </w:tcPr>
          <w:p w14:paraId="0A235DD7">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资金来源</w:t>
            </w:r>
          </w:p>
        </w:tc>
        <w:tc>
          <w:tcPr>
            <w:tcW w:w="7168" w:type="dxa"/>
            <w:vAlign w:val="center"/>
          </w:tcPr>
          <w:p w14:paraId="65DFE7DB">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财政资金</w:t>
            </w:r>
          </w:p>
        </w:tc>
      </w:tr>
      <w:tr w14:paraId="7E8F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8538B3A">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1.2.2</w:t>
            </w:r>
          </w:p>
        </w:tc>
        <w:tc>
          <w:tcPr>
            <w:tcW w:w="2078" w:type="dxa"/>
            <w:gridSpan w:val="2"/>
            <w:vAlign w:val="center"/>
          </w:tcPr>
          <w:p w14:paraId="3C8BC78A">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资金落实情况</w:t>
            </w:r>
          </w:p>
        </w:tc>
        <w:tc>
          <w:tcPr>
            <w:tcW w:w="7168" w:type="dxa"/>
            <w:vAlign w:val="center"/>
          </w:tcPr>
          <w:p w14:paraId="406370C5">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已落实</w:t>
            </w:r>
          </w:p>
        </w:tc>
      </w:tr>
      <w:tr w14:paraId="4FB9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47354AB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1.3.1</w:t>
            </w:r>
          </w:p>
        </w:tc>
        <w:tc>
          <w:tcPr>
            <w:tcW w:w="2078" w:type="dxa"/>
            <w:gridSpan w:val="2"/>
            <w:vAlign w:val="center"/>
          </w:tcPr>
          <w:p w14:paraId="7E76F87C">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招标范围</w:t>
            </w:r>
          </w:p>
          <w:p w14:paraId="52A3C666">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w:t>
            </w:r>
            <w:r>
              <w:rPr>
                <w:sz w:val="21"/>
                <w:szCs w:val="21"/>
                <w:lang w:eastAsia="zh-CN"/>
              </w:rPr>
              <w:t>采购需求</w:t>
            </w:r>
            <w:r>
              <w:rPr>
                <w:rFonts w:hint="eastAsia"/>
                <w:sz w:val="21"/>
                <w:szCs w:val="21"/>
                <w:lang w:eastAsia="zh-CN"/>
              </w:rPr>
              <w:t>）</w:t>
            </w:r>
          </w:p>
        </w:tc>
        <w:tc>
          <w:tcPr>
            <w:tcW w:w="7168" w:type="dxa"/>
            <w:vAlign w:val="center"/>
          </w:tcPr>
          <w:p w14:paraId="4B6EDDF8">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rPr>
              <w:fldChar w:fldCharType="begin"/>
            </w:r>
            <w:r>
              <w:rPr>
                <w:sz w:val="21"/>
                <w:szCs w:val="21"/>
              </w:rPr>
              <w:instrText xml:space="preserve"> HYPERLINK "https://www.qcc.com/firm/gd8a959c2e202eb6eeff105f2b2a5d2e.html" \t "https://www.qcc.com/web/_blank" </w:instrText>
            </w:r>
            <w:r>
              <w:rPr>
                <w:sz w:val="21"/>
                <w:szCs w:val="21"/>
              </w:rPr>
              <w:fldChar w:fldCharType="separate"/>
            </w:r>
            <w:r>
              <w:rPr>
                <w:rFonts w:hint="eastAsia"/>
                <w:sz w:val="21"/>
                <w:szCs w:val="21"/>
                <w:lang w:eastAsia="zh-CN"/>
              </w:rPr>
              <w:t>长春特种设备检测研究院（长春市特种设备安全监控中心）</w:t>
            </w:r>
            <w:r>
              <w:rPr>
                <w:rFonts w:hint="eastAsia"/>
                <w:sz w:val="21"/>
                <w:szCs w:val="21"/>
                <w:lang w:eastAsia="zh-CN"/>
              </w:rPr>
              <w:fldChar w:fldCharType="end"/>
            </w:r>
            <w:r>
              <w:rPr>
                <w:rFonts w:hint="eastAsia"/>
                <w:sz w:val="21"/>
                <w:szCs w:val="21"/>
                <w:lang w:eastAsia="zh-CN"/>
              </w:rPr>
              <w:t>人力资源服务采购项目</w:t>
            </w:r>
          </w:p>
        </w:tc>
      </w:tr>
      <w:tr w14:paraId="42B2C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2C4341AD">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1.3.2</w:t>
            </w:r>
          </w:p>
        </w:tc>
        <w:tc>
          <w:tcPr>
            <w:tcW w:w="2078" w:type="dxa"/>
            <w:gridSpan w:val="2"/>
            <w:vAlign w:val="center"/>
          </w:tcPr>
          <w:p w14:paraId="3915D410">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 xml:space="preserve">合同履行期限 </w:t>
            </w:r>
            <w:r>
              <w:rPr>
                <w:rFonts w:hint="eastAsia"/>
                <w:sz w:val="21"/>
                <w:szCs w:val="21"/>
                <w:lang w:eastAsia="zh-CN"/>
              </w:rPr>
              <w:t>（</w:t>
            </w:r>
            <w:r>
              <w:rPr>
                <w:sz w:val="21"/>
                <w:szCs w:val="21"/>
                <w:lang w:eastAsia="zh-CN"/>
              </w:rPr>
              <w:t>服务期</w:t>
            </w:r>
            <w:r>
              <w:rPr>
                <w:rFonts w:hint="eastAsia"/>
                <w:sz w:val="21"/>
                <w:szCs w:val="21"/>
                <w:lang w:eastAsia="zh-CN"/>
              </w:rPr>
              <w:t>）</w:t>
            </w:r>
          </w:p>
        </w:tc>
        <w:tc>
          <w:tcPr>
            <w:tcW w:w="7168" w:type="dxa"/>
            <w:vAlign w:val="center"/>
          </w:tcPr>
          <w:p w14:paraId="00A7B3F9">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rFonts w:hint="eastAsia"/>
                <w:kern w:val="44"/>
                <w:sz w:val="21"/>
                <w:szCs w:val="21"/>
                <w:lang w:val="zh-CN" w:eastAsia="zh-CN"/>
              </w:rPr>
              <w:t>自合同签订之日起至2025年12月31日止</w:t>
            </w:r>
          </w:p>
        </w:tc>
      </w:tr>
      <w:tr w14:paraId="5EDDD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73E58C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1.3.3</w:t>
            </w:r>
          </w:p>
        </w:tc>
        <w:tc>
          <w:tcPr>
            <w:tcW w:w="2078" w:type="dxa"/>
            <w:gridSpan w:val="2"/>
            <w:vAlign w:val="center"/>
          </w:tcPr>
          <w:p w14:paraId="2581FEF5">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服务标准</w:t>
            </w:r>
          </w:p>
        </w:tc>
        <w:tc>
          <w:tcPr>
            <w:tcW w:w="7168" w:type="dxa"/>
            <w:vAlign w:val="center"/>
          </w:tcPr>
          <w:p w14:paraId="3EC535DE">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优质服务</w:t>
            </w:r>
          </w:p>
        </w:tc>
      </w:tr>
      <w:tr w14:paraId="7746C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3EA6CC7A">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1.4.1</w:t>
            </w:r>
          </w:p>
        </w:tc>
        <w:tc>
          <w:tcPr>
            <w:tcW w:w="2078" w:type="dxa"/>
            <w:gridSpan w:val="2"/>
            <w:vAlign w:val="center"/>
          </w:tcPr>
          <w:p w14:paraId="74B096A3">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投标人资质条件、能力</w:t>
            </w:r>
          </w:p>
        </w:tc>
        <w:tc>
          <w:tcPr>
            <w:tcW w:w="7168" w:type="dxa"/>
            <w:vAlign w:val="center"/>
          </w:tcPr>
          <w:p w14:paraId="1908C0E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2.1满足《中华人民共和国政府采购法》第二十二条规定；</w:t>
            </w:r>
          </w:p>
          <w:p w14:paraId="5C6251B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2.2落实政府采购政策需满足的资格要求：本项目专门面向小微企业采购。</w:t>
            </w:r>
          </w:p>
          <w:p w14:paraId="096032E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（1）《政府采购促进中小企业发展管理办法》(财库[2020]46号)；</w:t>
            </w:r>
          </w:p>
          <w:p w14:paraId="646B8EF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（2）《关于政府采购支持监狱企业发展有关问题的通知》(财库[2014]68号)；</w:t>
            </w:r>
          </w:p>
          <w:p w14:paraId="56246B4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（3）《三部门联合发布关于促进残疾人就业政府采购政策的通知》(财库[2017]141号)；</w:t>
            </w:r>
          </w:p>
          <w:p w14:paraId="34A569E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（4）《环境标志产品政府采购实施意见》（财库[2006]90号）；</w:t>
            </w:r>
          </w:p>
          <w:p w14:paraId="77D1480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（5）《关于调整优化节能产品、环境标志产品政府采购执行机制的通知》(财库[2019]9号)；</w:t>
            </w:r>
          </w:p>
          <w:p w14:paraId="312F80A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（6）《关于进一步加大政府采购支持中小企业力度的通知》财库〔2022〕19号文件等国家最新政策。</w:t>
            </w:r>
          </w:p>
          <w:p w14:paraId="3050D13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2.3本项目的特定资格要求：</w:t>
            </w:r>
          </w:p>
          <w:p w14:paraId="7ADBC32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2.3.1投标人依法登记注册，具备有效的营业执照，并在人员、设备、资金等方面具有承担本服务项目的能力。</w:t>
            </w:r>
          </w:p>
          <w:p w14:paraId="5ED5CF7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kern w:val="44"/>
                <w:sz w:val="21"/>
                <w:szCs w:val="21"/>
                <w:lang w:val="zh-CN" w:eastAsia="zh-CN"/>
              </w:rPr>
            </w:pPr>
            <w:r>
              <w:rPr>
                <w:rFonts w:hint="eastAsia" w:ascii="宋体" w:hAnsi="宋体" w:eastAsia="宋体" w:cs="宋体"/>
                <w:bCs/>
                <w:color w:val="auto"/>
                <w:kern w:val="44"/>
                <w:sz w:val="21"/>
                <w:szCs w:val="21"/>
                <w:lang w:val="zh-CN" w:eastAsia="zh-CN"/>
              </w:rPr>
              <w:t>2.3.2拒绝列入政府取消投标资格记录期间的企业或个人投标。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0034C52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宋体" w:hAnsi="宋体" w:eastAsia="宋体" w:cs="宋体"/>
                <w:bCs/>
                <w:color w:val="auto"/>
                <w:sz w:val="21"/>
                <w:szCs w:val="21"/>
              </w:rPr>
            </w:pPr>
            <w:r>
              <w:rPr>
                <w:rFonts w:hint="eastAsia" w:ascii="宋体" w:hAnsi="宋体" w:eastAsia="宋体" w:cs="宋体"/>
                <w:bCs/>
                <w:color w:val="auto"/>
                <w:kern w:val="44"/>
                <w:sz w:val="21"/>
                <w:szCs w:val="21"/>
                <w:lang w:val="zh-CN" w:eastAsia="zh-CN"/>
              </w:rPr>
              <w:t>2.3.3与采购人或采购代理机构存在利害关系可能影响招标公正性的法人、其他组织或者个人不得参加投标。单位负责人为同一人或者存在控股、管理关系的不同单位，不得参加同一标段或者未划分标段的同一项目投标。违反上述规定的，相关投标均无效。</w:t>
            </w:r>
          </w:p>
        </w:tc>
      </w:tr>
      <w:tr w14:paraId="3BAA5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5F2DBBEE">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1.9.1</w:t>
            </w:r>
          </w:p>
        </w:tc>
        <w:tc>
          <w:tcPr>
            <w:tcW w:w="2070" w:type="dxa"/>
            <w:vAlign w:val="center"/>
          </w:tcPr>
          <w:p w14:paraId="1BB30E69">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rFonts w:hint="eastAsia"/>
                <w:sz w:val="21"/>
                <w:szCs w:val="21"/>
                <w:lang w:eastAsia="zh-CN"/>
              </w:rPr>
              <w:t>踏勘现场</w:t>
            </w:r>
          </w:p>
        </w:tc>
        <w:tc>
          <w:tcPr>
            <w:tcW w:w="7176" w:type="dxa"/>
            <w:gridSpan w:val="2"/>
            <w:vAlign w:val="center"/>
          </w:tcPr>
          <w:p w14:paraId="7F5D9233">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不组织</w:t>
            </w:r>
          </w:p>
        </w:tc>
      </w:tr>
      <w:tr w14:paraId="15447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4B3F10E5">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1.10.1</w:t>
            </w:r>
          </w:p>
        </w:tc>
        <w:tc>
          <w:tcPr>
            <w:tcW w:w="2070" w:type="dxa"/>
            <w:vAlign w:val="center"/>
          </w:tcPr>
          <w:p w14:paraId="66B9544B">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投标预备会</w:t>
            </w:r>
          </w:p>
        </w:tc>
        <w:tc>
          <w:tcPr>
            <w:tcW w:w="7176" w:type="dxa"/>
            <w:gridSpan w:val="2"/>
            <w:vAlign w:val="center"/>
          </w:tcPr>
          <w:p w14:paraId="57CDB38B">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不召开</w:t>
            </w:r>
          </w:p>
        </w:tc>
      </w:tr>
      <w:tr w14:paraId="5C151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C43DC4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1.10.2</w:t>
            </w:r>
          </w:p>
        </w:tc>
        <w:tc>
          <w:tcPr>
            <w:tcW w:w="2070" w:type="dxa"/>
            <w:vAlign w:val="center"/>
          </w:tcPr>
          <w:p w14:paraId="36E01845">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投标人提出问题的 方式</w:t>
            </w:r>
          </w:p>
        </w:tc>
        <w:tc>
          <w:tcPr>
            <w:tcW w:w="7176" w:type="dxa"/>
            <w:gridSpan w:val="2"/>
            <w:vAlign w:val="center"/>
          </w:tcPr>
          <w:p w14:paraId="7486CDC7">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加盖公章的书面形式提问一式三份，递交到招标公司，并将word电子版发至 邮箱：</w:t>
            </w:r>
            <w:r>
              <w:rPr>
                <w:rFonts w:hint="eastAsia"/>
                <w:sz w:val="21"/>
                <w:szCs w:val="21"/>
                <w:lang w:eastAsia="zh-CN"/>
              </w:rPr>
              <w:t>15643022390@163.com</w:t>
            </w:r>
          </w:p>
        </w:tc>
      </w:tr>
      <w:tr w14:paraId="0B76C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1C70EED">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1.10.3</w:t>
            </w:r>
          </w:p>
        </w:tc>
        <w:tc>
          <w:tcPr>
            <w:tcW w:w="2070" w:type="dxa"/>
            <w:vAlign w:val="center"/>
          </w:tcPr>
          <w:p w14:paraId="3BDABBA1">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采购人书面澄清的 时间</w:t>
            </w:r>
          </w:p>
        </w:tc>
        <w:tc>
          <w:tcPr>
            <w:tcW w:w="7176" w:type="dxa"/>
            <w:gridSpan w:val="2"/>
            <w:vAlign w:val="center"/>
          </w:tcPr>
          <w:p w14:paraId="6B15D7B3">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投标截止日期前15日</w:t>
            </w:r>
          </w:p>
        </w:tc>
      </w:tr>
      <w:tr w14:paraId="5D7BE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FD62EB5">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1.11</w:t>
            </w:r>
          </w:p>
        </w:tc>
        <w:tc>
          <w:tcPr>
            <w:tcW w:w="2070" w:type="dxa"/>
            <w:vAlign w:val="center"/>
          </w:tcPr>
          <w:p w14:paraId="6BCDC9A1">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偏离</w:t>
            </w:r>
          </w:p>
        </w:tc>
        <w:tc>
          <w:tcPr>
            <w:tcW w:w="7176" w:type="dxa"/>
            <w:gridSpan w:val="2"/>
            <w:vAlign w:val="center"/>
          </w:tcPr>
          <w:p w14:paraId="25549A4D">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不允许</w:t>
            </w:r>
          </w:p>
        </w:tc>
      </w:tr>
      <w:tr w14:paraId="65C16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5CB507CF">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2.1</w:t>
            </w:r>
          </w:p>
        </w:tc>
        <w:tc>
          <w:tcPr>
            <w:tcW w:w="2070" w:type="dxa"/>
            <w:vAlign w:val="center"/>
          </w:tcPr>
          <w:p w14:paraId="5217BCE8">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构成招标文件的其 他材料</w:t>
            </w:r>
          </w:p>
        </w:tc>
        <w:tc>
          <w:tcPr>
            <w:tcW w:w="7176" w:type="dxa"/>
            <w:gridSpan w:val="2"/>
            <w:vAlign w:val="center"/>
          </w:tcPr>
          <w:p w14:paraId="0603B4C4">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rPr>
              <w:t>澄清文件</w:t>
            </w:r>
            <w:r>
              <w:rPr>
                <w:rFonts w:hint="eastAsia"/>
                <w:sz w:val="21"/>
                <w:szCs w:val="21"/>
                <w:lang w:eastAsia="zh-CN"/>
              </w:rPr>
              <w:t>（</w:t>
            </w:r>
            <w:r>
              <w:rPr>
                <w:sz w:val="21"/>
                <w:szCs w:val="21"/>
              </w:rPr>
              <w:t>如有</w:t>
            </w:r>
            <w:r>
              <w:rPr>
                <w:rFonts w:hint="eastAsia"/>
                <w:sz w:val="21"/>
                <w:szCs w:val="21"/>
                <w:lang w:eastAsia="zh-CN"/>
              </w:rPr>
              <w:t>）</w:t>
            </w:r>
          </w:p>
        </w:tc>
      </w:tr>
      <w:tr w14:paraId="5A2EE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2149FA5">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2.2.2</w:t>
            </w:r>
          </w:p>
        </w:tc>
        <w:tc>
          <w:tcPr>
            <w:tcW w:w="2070" w:type="dxa"/>
            <w:vAlign w:val="center"/>
          </w:tcPr>
          <w:p w14:paraId="67E35D9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highlight w:val="none"/>
              </w:rPr>
            </w:pPr>
            <w:r>
              <w:rPr>
                <w:sz w:val="21"/>
                <w:szCs w:val="21"/>
                <w:highlight w:val="none"/>
              </w:rPr>
              <w:t>投标截止时间</w:t>
            </w:r>
          </w:p>
        </w:tc>
        <w:tc>
          <w:tcPr>
            <w:tcW w:w="7176" w:type="dxa"/>
            <w:gridSpan w:val="2"/>
            <w:vAlign w:val="center"/>
          </w:tcPr>
          <w:p w14:paraId="069633B3">
            <w:pPr>
              <w:pStyle w:val="21"/>
              <w:keepNext w:val="0"/>
              <w:keepLines w:val="0"/>
              <w:pageBreakBefore w:val="0"/>
              <w:wordWrap/>
              <w:overflowPunct/>
              <w:topLinePunct w:val="0"/>
              <w:autoSpaceDE w:val="0"/>
              <w:autoSpaceDN w:val="0"/>
              <w:bidi w:val="0"/>
              <w:adjustRightInd w:val="0"/>
              <w:snapToGrid w:val="0"/>
              <w:spacing w:line="240" w:lineRule="auto"/>
              <w:rPr>
                <w:rFonts w:hint="eastAsia" w:eastAsia="宋体"/>
                <w:sz w:val="21"/>
                <w:szCs w:val="21"/>
                <w:highlight w:val="none"/>
                <w:lang w:eastAsia="zh-CN"/>
              </w:rPr>
            </w:pPr>
            <w:r>
              <w:rPr>
                <w:rFonts w:hint="eastAsia"/>
                <w:sz w:val="21"/>
                <w:szCs w:val="21"/>
                <w:highlight w:val="none"/>
                <w:lang w:eastAsia="zh-CN"/>
              </w:rPr>
              <w:t>2025年07月0</w:t>
            </w:r>
            <w:r>
              <w:rPr>
                <w:rFonts w:hint="eastAsia"/>
                <w:sz w:val="21"/>
                <w:szCs w:val="21"/>
                <w:highlight w:val="none"/>
                <w:lang w:val="en-US" w:eastAsia="zh-CN"/>
              </w:rPr>
              <w:t>9</w:t>
            </w:r>
            <w:r>
              <w:rPr>
                <w:rFonts w:hint="eastAsia"/>
                <w:sz w:val="21"/>
                <w:szCs w:val="21"/>
                <w:highlight w:val="none"/>
                <w:lang w:eastAsia="zh-CN"/>
              </w:rPr>
              <w:t>日09时30分</w:t>
            </w:r>
          </w:p>
        </w:tc>
      </w:tr>
      <w:tr w14:paraId="24FB3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0FC1F43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2.2.3</w:t>
            </w:r>
          </w:p>
        </w:tc>
        <w:tc>
          <w:tcPr>
            <w:tcW w:w="2070" w:type="dxa"/>
            <w:vAlign w:val="center"/>
          </w:tcPr>
          <w:p w14:paraId="33D3EE3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投标人确认收到招 标文件澄清的时间</w:t>
            </w:r>
          </w:p>
        </w:tc>
        <w:tc>
          <w:tcPr>
            <w:tcW w:w="7176" w:type="dxa"/>
            <w:gridSpan w:val="2"/>
            <w:vAlign w:val="center"/>
          </w:tcPr>
          <w:p w14:paraId="6F934F78">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在收到相应澄清文件后24小时内</w:t>
            </w:r>
          </w:p>
        </w:tc>
      </w:tr>
      <w:tr w14:paraId="1DB56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4E3983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2.3.2</w:t>
            </w:r>
          </w:p>
        </w:tc>
        <w:tc>
          <w:tcPr>
            <w:tcW w:w="2070" w:type="dxa"/>
            <w:vAlign w:val="center"/>
          </w:tcPr>
          <w:p w14:paraId="5832768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投标人确认收到招 标文件修改的时间</w:t>
            </w:r>
          </w:p>
        </w:tc>
        <w:tc>
          <w:tcPr>
            <w:tcW w:w="7176" w:type="dxa"/>
            <w:gridSpan w:val="2"/>
            <w:vAlign w:val="center"/>
          </w:tcPr>
          <w:p w14:paraId="6DB56A10">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在收到相应修改文件后24小时达</w:t>
            </w:r>
          </w:p>
        </w:tc>
      </w:tr>
      <w:tr w14:paraId="25AFC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66068E72">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3.3.1</w:t>
            </w:r>
          </w:p>
        </w:tc>
        <w:tc>
          <w:tcPr>
            <w:tcW w:w="2070" w:type="dxa"/>
            <w:vAlign w:val="center"/>
          </w:tcPr>
          <w:p w14:paraId="055AF5BF">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投标有效期</w:t>
            </w:r>
          </w:p>
        </w:tc>
        <w:tc>
          <w:tcPr>
            <w:tcW w:w="7176" w:type="dxa"/>
            <w:gridSpan w:val="2"/>
            <w:vAlign w:val="center"/>
          </w:tcPr>
          <w:p w14:paraId="1901365D">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投标截止之日起90日历天</w:t>
            </w:r>
          </w:p>
        </w:tc>
      </w:tr>
      <w:tr w14:paraId="647AC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99D4E1B">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3.4.1</w:t>
            </w:r>
          </w:p>
        </w:tc>
        <w:tc>
          <w:tcPr>
            <w:tcW w:w="2070" w:type="dxa"/>
            <w:vAlign w:val="center"/>
          </w:tcPr>
          <w:p w14:paraId="6142A57A">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投标保证金</w:t>
            </w:r>
          </w:p>
        </w:tc>
        <w:tc>
          <w:tcPr>
            <w:tcW w:w="7176" w:type="dxa"/>
            <w:gridSpan w:val="2"/>
            <w:vAlign w:val="center"/>
          </w:tcPr>
          <w:p w14:paraId="7EF5D5E3">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1、对于诚信良好的供应商可免收投标保证金；但对于满足《中华人民共和国政府采购法》第二十二条有关规定，经“信用中国”网站查询存在行政处罚信息的供应商，须按规定提交投标保证金。</w:t>
            </w:r>
          </w:p>
          <w:p w14:paraId="0C2F2C2F">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2、投标保证金的金额：</w:t>
            </w:r>
            <w:r>
              <w:rPr>
                <w:rFonts w:hint="eastAsia"/>
                <w:sz w:val="21"/>
                <w:szCs w:val="21"/>
                <w:lang w:val="en-US" w:eastAsia="zh-CN"/>
              </w:rPr>
              <w:t>3</w:t>
            </w:r>
            <w:r>
              <w:rPr>
                <w:rFonts w:hint="eastAsia"/>
                <w:sz w:val="21"/>
                <w:szCs w:val="21"/>
                <w:lang w:eastAsia="zh-CN"/>
              </w:rPr>
              <w:t>万元。</w:t>
            </w:r>
          </w:p>
          <w:p w14:paraId="0413C6BC">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投标保证金的形式：支票、汇票、电汇、本票、或者金融机构、担保机构出具的保函等非现金形式提交，投标保证金须从基本账户转出，投标人未按照招标文件要求提交投标保证金的，投标无效。</w:t>
            </w:r>
          </w:p>
          <w:p w14:paraId="7671E617">
            <w:pPr>
              <w:pStyle w:val="21"/>
              <w:keepNext w:val="0"/>
              <w:keepLines w:val="0"/>
              <w:pageBreakBefore w:val="0"/>
              <w:wordWrap/>
              <w:overflowPunct/>
              <w:topLinePunct w:val="0"/>
              <w:autoSpaceDE w:val="0"/>
              <w:autoSpaceDN w:val="0"/>
              <w:bidi w:val="0"/>
              <w:adjustRightInd w:val="0"/>
              <w:snapToGrid w:val="0"/>
              <w:spacing w:line="240" w:lineRule="auto"/>
              <w:rPr>
                <w:rFonts w:hint="eastAsia"/>
                <w:sz w:val="21"/>
                <w:szCs w:val="21"/>
                <w:lang w:eastAsia="zh-CN"/>
              </w:rPr>
            </w:pPr>
            <w:r>
              <w:rPr>
                <w:rFonts w:hint="eastAsia"/>
                <w:sz w:val="21"/>
                <w:szCs w:val="21"/>
                <w:lang w:eastAsia="zh-CN"/>
              </w:rPr>
              <w:t>开户行全称：吉林管捷冠工程管理有限公司</w:t>
            </w:r>
          </w:p>
          <w:p w14:paraId="7A76EB7B">
            <w:pPr>
              <w:pStyle w:val="21"/>
              <w:keepNext w:val="0"/>
              <w:keepLines w:val="0"/>
              <w:pageBreakBefore w:val="0"/>
              <w:wordWrap/>
              <w:overflowPunct/>
              <w:topLinePunct w:val="0"/>
              <w:autoSpaceDE w:val="0"/>
              <w:autoSpaceDN w:val="0"/>
              <w:bidi w:val="0"/>
              <w:adjustRightInd w:val="0"/>
              <w:snapToGrid w:val="0"/>
              <w:spacing w:line="240" w:lineRule="auto"/>
              <w:rPr>
                <w:rFonts w:hint="eastAsia"/>
                <w:sz w:val="21"/>
                <w:szCs w:val="21"/>
                <w:lang w:eastAsia="zh-CN"/>
              </w:rPr>
            </w:pPr>
            <w:r>
              <w:rPr>
                <w:rFonts w:hint="eastAsia"/>
                <w:sz w:val="21"/>
                <w:szCs w:val="21"/>
                <w:lang w:eastAsia="zh-CN"/>
              </w:rPr>
              <w:t>开户行：中国银行股份有限公司长春朝阳支行</w:t>
            </w:r>
          </w:p>
          <w:p w14:paraId="3C56BFAF">
            <w:pPr>
              <w:pStyle w:val="21"/>
              <w:keepNext w:val="0"/>
              <w:keepLines w:val="0"/>
              <w:pageBreakBefore w:val="0"/>
              <w:wordWrap/>
              <w:overflowPunct/>
              <w:topLinePunct w:val="0"/>
              <w:autoSpaceDE w:val="0"/>
              <w:autoSpaceDN w:val="0"/>
              <w:bidi w:val="0"/>
              <w:adjustRightInd w:val="0"/>
              <w:snapToGrid w:val="0"/>
              <w:spacing w:line="240" w:lineRule="auto"/>
              <w:rPr>
                <w:rFonts w:hint="eastAsia"/>
                <w:sz w:val="21"/>
                <w:szCs w:val="21"/>
                <w:lang w:eastAsia="zh-CN"/>
              </w:rPr>
            </w:pPr>
            <w:r>
              <w:rPr>
                <w:rFonts w:hint="eastAsia"/>
                <w:sz w:val="21"/>
                <w:szCs w:val="21"/>
                <w:lang w:eastAsia="zh-CN"/>
              </w:rPr>
              <w:t>账号：160466486334</w:t>
            </w:r>
          </w:p>
          <w:p w14:paraId="6B1279E5">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※注：投标保证金应于投标截止前完成缴纳，截止时间前未到账的供应商视为未缴纳投标保证金。</w:t>
            </w:r>
          </w:p>
        </w:tc>
      </w:tr>
      <w:tr w14:paraId="0E226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2C7F808E">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3.5.2</w:t>
            </w:r>
          </w:p>
        </w:tc>
        <w:tc>
          <w:tcPr>
            <w:tcW w:w="2070" w:type="dxa"/>
            <w:vAlign w:val="center"/>
          </w:tcPr>
          <w:p w14:paraId="1CE4BA4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企业近年完成的类 似项目的年份要求</w:t>
            </w:r>
          </w:p>
        </w:tc>
        <w:tc>
          <w:tcPr>
            <w:tcW w:w="7176" w:type="dxa"/>
            <w:gridSpan w:val="2"/>
            <w:vAlign w:val="center"/>
          </w:tcPr>
          <w:p w14:paraId="1F27D6B6">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近年，指202</w:t>
            </w:r>
            <w:r>
              <w:rPr>
                <w:rFonts w:hint="eastAsia"/>
                <w:sz w:val="21"/>
                <w:szCs w:val="21"/>
                <w:lang w:val="en-US" w:eastAsia="zh-CN"/>
              </w:rPr>
              <w:t>2</w:t>
            </w:r>
            <w:r>
              <w:rPr>
                <w:sz w:val="21"/>
                <w:szCs w:val="21"/>
              </w:rPr>
              <w:t>年1月1日至今。</w:t>
            </w:r>
          </w:p>
        </w:tc>
      </w:tr>
      <w:tr w14:paraId="01AB3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50F483D9">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3.6.3</w:t>
            </w:r>
          </w:p>
        </w:tc>
        <w:tc>
          <w:tcPr>
            <w:tcW w:w="2070" w:type="dxa"/>
            <w:vAlign w:val="center"/>
          </w:tcPr>
          <w:p w14:paraId="01C81243">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签字或盖章要求</w:t>
            </w:r>
          </w:p>
        </w:tc>
        <w:tc>
          <w:tcPr>
            <w:tcW w:w="7176" w:type="dxa"/>
            <w:gridSpan w:val="2"/>
            <w:vAlign w:val="center"/>
          </w:tcPr>
          <w:p w14:paraId="6C6D301C">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按政府采购云平台</w:t>
            </w:r>
            <w:r>
              <w:rPr>
                <w:rFonts w:hint="eastAsia"/>
                <w:sz w:val="21"/>
                <w:szCs w:val="21"/>
                <w:lang w:eastAsia="zh-CN"/>
              </w:rPr>
              <w:t>（</w:t>
            </w:r>
            <w:r>
              <w:rPr>
                <w:sz w:val="21"/>
                <w:szCs w:val="21"/>
                <w:lang w:eastAsia="zh-CN"/>
              </w:rPr>
              <w:t xml:space="preserve">网址： </w:t>
            </w:r>
            <w:r>
              <w:rPr>
                <w:sz w:val="21"/>
                <w:szCs w:val="21"/>
              </w:rPr>
              <w:fldChar w:fldCharType="begin"/>
            </w:r>
            <w:r>
              <w:rPr>
                <w:sz w:val="21"/>
                <w:szCs w:val="21"/>
              </w:rPr>
              <w:instrText xml:space="preserve"> HYPERLINK "http://www.zcygov.cn" </w:instrText>
            </w:r>
            <w:r>
              <w:rPr>
                <w:sz w:val="21"/>
                <w:szCs w:val="21"/>
              </w:rPr>
              <w:fldChar w:fldCharType="separate"/>
            </w:r>
            <w:r>
              <w:rPr>
                <w:sz w:val="21"/>
                <w:szCs w:val="21"/>
                <w:lang w:eastAsia="zh-CN"/>
              </w:rPr>
              <w:t>http://www.zcygov.cn</w:t>
            </w:r>
            <w:r>
              <w:rPr>
                <w:sz w:val="21"/>
                <w:szCs w:val="21"/>
                <w:lang w:eastAsia="zh-CN"/>
              </w:rPr>
              <w:fldChar w:fldCharType="end"/>
            </w:r>
            <w:r>
              <w:rPr>
                <w:rFonts w:hint="eastAsia"/>
                <w:sz w:val="21"/>
                <w:szCs w:val="21"/>
                <w:lang w:eastAsia="zh-CN"/>
              </w:rPr>
              <w:t>）</w:t>
            </w:r>
            <w:r>
              <w:rPr>
                <w:sz w:val="21"/>
                <w:szCs w:val="21"/>
                <w:lang w:eastAsia="zh-CN"/>
              </w:rPr>
              <w:t xml:space="preserve">提供的格式及要求填写。 </w:t>
            </w:r>
          </w:p>
          <w:p w14:paraId="35DB8DAA">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投标文件应尽量避免涂改和插字，如有修改，除了按采购人书面请示进行修改的以外，均应由法定代表人</w:t>
            </w:r>
            <w:r>
              <w:rPr>
                <w:rFonts w:hint="eastAsia"/>
                <w:sz w:val="21"/>
                <w:szCs w:val="21"/>
                <w:lang w:eastAsia="zh-CN"/>
              </w:rPr>
              <w:t>（</w:t>
            </w:r>
            <w:r>
              <w:rPr>
                <w:sz w:val="21"/>
                <w:szCs w:val="21"/>
                <w:lang w:eastAsia="zh-CN"/>
              </w:rPr>
              <w:t>或授权委托人</w:t>
            </w:r>
            <w:r>
              <w:rPr>
                <w:rFonts w:hint="eastAsia"/>
                <w:sz w:val="21"/>
                <w:szCs w:val="21"/>
                <w:lang w:eastAsia="zh-CN"/>
              </w:rPr>
              <w:t>）</w:t>
            </w:r>
            <w:r>
              <w:rPr>
                <w:sz w:val="21"/>
                <w:szCs w:val="21"/>
                <w:lang w:eastAsia="zh-CN"/>
              </w:rPr>
              <w:t>在修改处盖章或签名确认。 投标文件中的投标函、开标一览表、法人接权委托书等需要盖章和签字</w:t>
            </w:r>
            <w:r>
              <w:rPr>
                <w:rFonts w:hint="eastAsia"/>
                <w:sz w:val="21"/>
                <w:szCs w:val="21"/>
                <w:lang w:eastAsia="zh-CN"/>
              </w:rPr>
              <w:t>（</w:t>
            </w:r>
            <w:r>
              <w:rPr>
                <w:sz w:val="21"/>
                <w:szCs w:val="21"/>
                <w:lang w:eastAsia="zh-CN"/>
              </w:rPr>
              <w:t>盖章不能代替签字</w:t>
            </w:r>
            <w:r>
              <w:rPr>
                <w:rFonts w:hint="eastAsia"/>
                <w:sz w:val="21"/>
                <w:szCs w:val="21"/>
                <w:lang w:eastAsia="zh-CN"/>
              </w:rPr>
              <w:t>）</w:t>
            </w:r>
            <w:r>
              <w:rPr>
                <w:sz w:val="21"/>
                <w:szCs w:val="21"/>
                <w:lang w:eastAsia="zh-CN"/>
              </w:rPr>
              <w:t>的资料都要求是原件或真迹，不得复印。</w:t>
            </w:r>
          </w:p>
        </w:tc>
      </w:tr>
      <w:tr w14:paraId="3DEE1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4" w:type="dxa"/>
            <w:vAlign w:val="center"/>
          </w:tcPr>
          <w:p w14:paraId="2036F942">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3.6.4</w:t>
            </w:r>
          </w:p>
        </w:tc>
        <w:tc>
          <w:tcPr>
            <w:tcW w:w="2070" w:type="dxa"/>
            <w:vAlign w:val="center"/>
          </w:tcPr>
          <w:p w14:paraId="3284B602">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投标文件份数</w:t>
            </w:r>
          </w:p>
        </w:tc>
        <w:tc>
          <w:tcPr>
            <w:tcW w:w="7176" w:type="dxa"/>
            <w:gridSpan w:val="2"/>
            <w:vAlign w:val="center"/>
          </w:tcPr>
          <w:p w14:paraId="7319A117">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电子投标文件</w:t>
            </w:r>
            <w:r>
              <w:rPr>
                <w:rFonts w:hint="eastAsia"/>
                <w:sz w:val="21"/>
                <w:szCs w:val="21"/>
                <w:lang w:eastAsia="zh-CN"/>
              </w:rPr>
              <w:t>：</w:t>
            </w:r>
            <w:r>
              <w:rPr>
                <w:sz w:val="21"/>
                <w:szCs w:val="21"/>
                <w:lang w:eastAsia="zh-CN"/>
              </w:rPr>
              <w:t xml:space="preserve">1 份 。 投标人在政 府 采 购 云 平 台 </w:t>
            </w:r>
            <w:r>
              <w:rPr>
                <w:rFonts w:hint="eastAsia"/>
                <w:sz w:val="21"/>
                <w:szCs w:val="21"/>
                <w:lang w:eastAsia="zh-CN"/>
              </w:rPr>
              <w:t>（</w:t>
            </w:r>
            <w:r>
              <w:rPr>
                <w:sz w:val="21"/>
                <w:szCs w:val="21"/>
                <w:lang w:eastAsia="zh-CN"/>
              </w:rPr>
              <w:t xml:space="preserve"> 网 址 ：</w:t>
            </w:r>
            <w:r>
              <w:rPr>
                <w:sz w:val="21"/>
                <w:szCs w:val="21"/>
              </w:rPr>
              <w:fldChar w:fldCharType="begin"/>
            </w:r>
            <w:r>
              <w:rPr>
                <w:sz w:val="21"/>
                <w:szCs w:val="21"/>
              </w:rPr>
              <w:instrText xml:space="preserve"> HYPERLINK "http://www.zcygov.cn" </w:instrText>
            </w:r>
            <w:r>
              <w:rPr>
                <w:sz w:val="21"/>
                <w:szCs w:val="21"/>
              </w:rPr>
              <w:fldChar w:fldCharType="separate"/>
            </w:r>
            <w:r>
              <w:rPr>
                <w:sz w:val="21"/>
                <w:szCs w:val="21"/>
                <w:lang w:eastAsia="zh-CN"/>
              </w:rPr>
              <w:t>http://www.zcygov.cn</w:t>
            </w:r>
            <w:r>
              <w:rPr>
                <w:sz w:val="21"/>
                <w:szCs w:val="21"/>
                <w:lang w:eastAsia="zh-CN"/>
              </w:rPr>
              <w:fldChar w:fldCharType="end"/>
            </w:r>
            <w:r>
              <w:rPr>
                <w:rFonts w:hint="eastAsia"/>
                <w:sz w:val="21"/>
                <w:szCs w:val="21"/>
                <w:lang w:eastAsia="zh-CN"/>
              </w:rPr>
              <w:t>）</w:t>
            </w:r>
            <w:r>
              <w:rPr>
                <w:sz w:val="21"/>
                <w:szCs w:val="21"/>
                <w:lang w:eastAsia="zh-CN"/>
              </w:rPr>
              <w:t>通过数字证书制作投标文件1份</w:t>
            </w:r>
            <w:r>
              <w:rPr>
                <w:rFonts w:hint="eastAsia"/>
                <w:sz w:val="21"/>
                <w:szCs w:val="21"/>
                <w:lang w:eastAsia="zh-CN"/>
              </w:rPr>
              <w:t>（</w:t>
            </w:r>
            <w:r>
              <w:rPr>
                <w:sz w:val="21"/>
                <w:szCs w:val="21"/>
                <w:lang w:eastAsia="zh-CN"/>
              </w:rPr>
              <w:t>此投标文件需上传至政府采购云平台，并在开标时持编制投标文件的供应商数字证书解密</w:t>
            </w:r>
            <w:r>
              <w:rPr>
                <w:rFonts w:hint="eastAsia"/>
                <w:sz w:val="21"/>
                <w:szCs w:val="21"/>
                <w:lang w:eastAsia="zh-CN"/>
              </w:rPr>
              <w:t>）</w:t>
            </w:r>
            <w:r>
              <w:rPr>
                <w:sz w:val="21"/>
                <w:szCs w:val="21"/>
                <w:lang w:eastAsia="zh-CN"/>
              </w:rPr>
              <w:t>。</w:t>
            </w:r>
          </w:p>
        </w:tc>
      </w:tr>
      <w:tr w14:paraId="76985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4B9119A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3.6.5</w:t>
            </w:r>
          </w:p>
        </w:tc>
        <w:tc>
          <w:tcPr>
            <w:tcW w:w="2070" w:type="dxa"/>
            <w:vAlign w:val="center"/>
          </w:tcPr>
          <w:p w14:paraId="33222C02">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装订要求</w:t>
            </w:r>
          </w:p>
        </w:tc>
        <w:tc>
          <w:tcPr>
            <w:tcW w:w="7176" w:type="dxa"/>
            <w:gridSpan w:val="2"/>
          </w:tcPr>
          <w:p w14:paraId="2F1A98A2">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w:t>
            </w:r>
          </w:p>
        </w:tc>
      </w:tr>
      <w:tr w14:paraId="1804C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31696AE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4.1.2</w:t>
            </w:r>
          </w:p>
        </w:tc>
        <w:tc>
          <w:tcPr>
            <w:tcW w:w="2070" w:type="dxa"/>
          </w:tcPr>
          <w:p w14:paraId="1214B755">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p>
          <w:p w14:paraId="35D8B6DD">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封套上应载明的信 息</w:t>
            </w:r>
          </w:p>
        </w:tc>
        <w:tc>
          <w:tcPr>
            <w:tcW w:w="7176" w:type="dxa"/>
            <w:gridSpan w:val="2"/>
          </w:tcPr>
          <w:p w14:paraId="77FF6EF5">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采购人地址：</w:t>
            </w:r>
          </w:p>
          <w:p w14:paraId="3AB66C53">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采购人名称：</w:t>
            </w:r>
          </w:p>
          <w:p w14:paraId="119C27E9">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投标人名称：</w:t>
            </w:r>
          </w:p>
          <w:p w14:paraId="3E0DBAD3">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w:t>
            </w:r>
            <w:r>
              <w:rPr>
                <w:sz w:val="21"/>
                <w:szCs w:val="21"/>
                <w:lang w:eastAsia="zh-CN"/>
              </w:rPr>
              <w:t>项目名称</w:t>
            </w:r>
            <w:r>
              <w:rPr>
                <w:rFonts w:hint="eastAsia"/>
                <w:sz w:val="21"/>
                <w:szCs w:val="21"/>
                <w:lang w:eastAsia="zh-CN"/>
              </w:rPr>
              <w:t>）</w:t>
            </w:r>
            <w:r>
              <w:rPr>
                <w:sz w:val="21"/>
                <w:szCs w:val="21"/>
                <w:lang w:eastAsia="zh-CN"/>
              </w:rPr>
              <w:t>投标文件</w:t>
            </w:r>
          </w:p>
          <w:p w14:paraId="0F1DC079">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在 年    月 日 时 分前不得开启</w:t>
            </w:r>
          </w:p>
        </w:tc>
      </w:tr>
      <w:tr w14:paraId="6E18B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3B1B6899">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4.2.2</w:t>
            </w:r>
          </w:p>
        </w:tc>
        <w:tc>
          <w:tcPr>
            <w:tcW w:w="2070" w:type="dxa"/>
          </w:tcPr>
          <w:p w14:paraId="30263AA5">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highlight w:val="none"/>
                <w:lang w:eastAsia="zh-CN"/>
              </w:rPr>
            </w:pPr>
            <w:r>
              <w:rPr>
                <w:sz w:val="21"/>
                <w:szCs w:val="21"/>
                <w:highlight w:val="none"/>
                <w:lang w:eastAsia="zh-CN"/>
              </w:rPr>
              <w:t>递交投标文件地点及截至时间</w:t>
            </w:r>
          </w:p>
        </w:tc>
        <w:tc>
          <w:tcPr>
            <w:tcW w:w="7176" w:type="dxa"/>
            <w:gridSpan w:val="2"/>
          </w:tcPr>
          <w:p w14:paraId="540DD147">
            <w:pPr>
              <w:pStyle w:val="21"/>
              <w:keepNext w:val="0"/>
              <w:keepLines w:val="0"/>
              <w:pageBreakBefore w:val="0"/>
              <w:wordWrap/>
              <w:overflowPunct/>
              <w:topLinePunct w:val="0"/>
              <w:autoSpaceDE w:val="0"/>
              <w:autoSpaceDN w:val="0"/>
              <w:bidi w:val="0"/>
              <w:adjustRightInd w:val="0"/>
              <w:snapToGrid w:val="0"/>
              <w:spacing w:line="240" w:lineRule="auto"/>
              <w:rPr>
                <w:sz w:val="21"/>
                <w:szCs w:val="21"/>
                <w:highlight w:val="none"/>
                <w:lang w:eastAsia="zh-CN"/>
              </w:rPr>
            </w:pPr>
            <w:r>
              <w:rPr>
                <w:sz w:val="21"/>
                <w:szCs w:val="21"/>
                <w:highlight w:val="none"/>
                <w:lang w:eastAsia="zh-CN"/>
              </w:rPr>
              <w:t>截止时间：</w:t>
            </w:r>
            <w:r>
              <w:rPr>
                <w:rFonts w:hint="eastAsia"/>
                <w:sz w:val="21"/>
                <w:szCs w:val="21"/>
                <w:highlight w:val="none"/>
                <w:lang w:eastAsia="zh-CN"/>
              </w:rPr>
              <w:t>2025年07月0</w:t>
            </w:r>
            <w:r>
              <w:rPr>
                <w:rFonts w:hint="eastAsia"/>
                <w:sz w:val="21"/>
                <w:szCs w:val="21"/>
                <w:highlight w:val="none"/>
                <w:lang w:val="en-US" w:eastAsia="zh-CN"/>
              </w:rPr>
              <w:t>9</w:t>
            </w:r>
            <w:r>
              <w:rPr>
                <w:rFonts w:hint="eastAsia"/>
                <w:sz w:val="21"/>
                <w:szCs w:val="21"/>
                <w:highlight w:val="none"/>
                <w:lang w:eastAsia="zh-CN"/>
              </w:rPr>
              <w:t>日09时30分</w:t>
            </w:r>
          </w:p>
          <w:p w14:paraId="63E0AEC2">
            <w:pPr>
              <w:pStyle w:val="21"/>
              <w:keepNext w:val="0"/>
              <w:keepLines w:val="0"/>
              <w:pageBreakBefore w:val="0"/>
              <w:wordWrap/>
              <w:overflowPunct/>
              <w:topLinePunct w:val="0"/>
              <w:autoSpaceDE w:val="0"/>
              <w:autoSpaceDN w:val="0"/>
              <w:bidi w:val="0"/>
              <w:adjustRightInd w:val="0"/>
              <w:snapToGrid w:val="0"/>
              <w:spacing w:line="240" w:lineRule="auto"/>
              <w:rPr>
                <w:sz w:val="21"/>
                <w:szCs w:val="21"/>
                <w:highlight w:val="none"/>
                <w:lang w:eastAsia="zh-CN"/>
              </w:rPr>
            </w:pPr>
            <w:r>
              <w:rPr>
                <w:sz w:val="21"/>
                <w:szCs w:val="21"/>
                <w:highlight w:val="none"/>
                <w:lang w:eastAsia="zh-CN"/>
              </w:rPr>
              <w:t>地点：</w:t>
            </w:r>
            <w:r>
              <w:rPr>
                <w:rFonts w:hint="eastAsia"/>
                <w:sz w:val="21"/>
                <w:szCs w:val="21"/>
                <w:highlight w:val="none"/>
                <w:lang w:eastAsia="zh-CN"/>
              </w:rPr>
              <w:t>长春市高新区鸿达街吉林日报副楼4楼吉利招第四开标室</w:t>
            </w:r>
          </w:p>
        </w:tc>
      </w:tr>
      <w:tr w14:paraId="20F40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1A98A19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4.2.3</w:t>
            </w:r>
          </w:p>
        </w:tc>
        <w:tc>
          <w:tcPr>
            <w:tcW w:w="2070" w:type="dxa"/>
          </w:tcPr>
          <w:p w14:paraId="1AD7283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是否退还投标文件</w:t>
            </w:r>
          </w:p>
        </w:tc>
        <w:tc>
          <w:tcPr>
            <w:tcW w:w="7176" w:type="dxa"/>
            <w:gridSpan w:val="2"/>
          </w:tcPr>
          <w:p w14:paraId="5766CF89">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否</w:t>
            </w:r>
          </w:p>
        </w:tc>
      </w:tr>
      <w:tr w14:paraId="38B82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AFE023A">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5.1</w:t>
            </w:r>
          </w:p>
        </w:tc>
        <w:tc>
          <w:tcPr>
            <w:tcW w:w="2070" w:type="dxa"/>
            <w:vAlign w:val="center"/>
          </w:tcPr>
          <w:p w14:paraId="196203B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开标时间和地点</w:t>
            </w:r>
          </w:p>
        </w:tc>
        <w:tc>
          <w:tcPr>
            <w:tcW w:w="7176" w:type="dxa"/>
            <w:gridSpan w:val="2"/>
            <w:vAlign w:val="center"/>
          </w:tcPr>
          <w:p w14:paraId="016A19D7">
            <w:pPr>
              <w:pStyle w:val="21"/>
              <w:keepNext w:val="0"/>
              <w:keepLines w:val="0"/>
              <w:pageBreakBefore w:val="0"/>
              <w:wordWrap/>
              <w:overflowPunct/>
              <w:topLinePunct w:val="0"/>
              <w:autoSpaceDE w:val="0"/>
              <w:autoSpaceDN w:val="0"/>
              <w:bidi w:val="0"/>
              <w:adjustRightInd w:val="0"/>
              <w:snapToGrid w:val="0"/>
              <w:spacing w:line="240" w:lineRule="auto"/>
              <w:rPr>
                <w:sz w:val="21"/>
                <w:szCs w:val="21"/>
                <w:highlight w:val="none"/>
                <w:lang w:eastAsia="zh-CN"/>
              </w:rPr>
            </w:pPr>
            <w:r>
              <w:rPr>
                <w:sz w:val="21"/>
                <w:szCs w:val="21"/>
                <w:highlight w:val="none"/>
                <w:lang w:eastAsia="zh-CN"/>
              </w:rPr>
              <w:t>开标时间：</w:t>
            </w:r>
            <w:r>
              <w:rPr>
                <w:rFonts w:hint="eastAsia"/>
                <w:sz w:val="21"/>
                <w:szCs w:val="21"/>
                <w:highlight w:val="none"/>
                <w:lang w:eastAsia="zh-CN"/>
              </w:rPr>
              <w:t>2025年07月0</w:t>
            </w:r>
            <w:r>
              <w:rPr>
                <w:rFonts w:hint="eastAsia"/>
                <w:sz w:val="21"/>
                <w:szCs w:val="21"/>
                <w:highlight w:val="none"/>
                <w:lang w:val="en-US" w:eastAsia="zh-CN"/>
              </w:rPr>
              <w:t>9</w:t>
            </w:r>
            <w:r>
              <w:rPr>
                <w:rFonts w:hint="eastAsia"/>
                <w:sz w:val="21"/>
                <w:szCs w:val="21"/>
                <w:highlight w:val="none"/>
                <w:lang w:eastAsia="zh-CN"/>
              </w:rPr>
              <w:t>日09时30分</w:t>
            </w:r>
          </w:p>
          <w:p w14:paraId="525ED0D7">
            <w:pPr>
              <w:pStyle w:val="21"/>
              <w:keepNext w:val="0"/>
              <w:keepLines w:val="0"/>
              <w:pageBreakBefore w:val="0"/>
              <w:wordWrap/>
              <w:overflowPunct/>
              <w:topLinePunct w:val="0"/>
              <w:autoSpaceDE w:val="0"/>
              <w:autoSpaceDN w:val="0"/>
              <w:bidi w:val="0"/>
              <w:adjustRightInd w:val="0"/>
              <w:snapToGrid w:val="0"/>
              <w:spacing w:line="240" w:lineRule="auto"/>
              <w:rPr>
                <w:sz w:val="21"/>
                <w:szCs w:val="21"/>
                <w:highlight w:val="none"/>
                <w:lang w:eastAsia="zh-CN"/>
              </w:rPr>
            </w:pPr>
            <w:r>
              <w:rPr>
                <w:sz w:val="21"/>
                <w:szCs w:val="21"/>
                <w:highlight w:val="none"/>
                <w:lang w:eastAsia="zh-CN"/>
              </w:rPr>
              <w:t>开标地点：</w:t>
            </w:r>
            <w:r>
              <w:rPr>
                <w:rFonts w:hint="eastAsia"/>
                <w:sz w:val="21"/>
                <w:szCs w:val="21"/>
                <w:highlight w:val="none"/>
                <w:lang w:eastAsia="zh-CN"/>
              </w:rPr>
              <w:t>长春市高新区鸿达街吉林日报副楼4楼吉利招第四开标室</w:t>
            </w:r>
          </w:p>
        </w:tc>
      </w:tr>
      <w:tr w14:paraId="06822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217A05D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6.1.1</w:t>
            </w:r>
          </w:p>
        </w:tc>
        <w:tc>
          <w:tcPr>
            <w:tcW w:w="2070" w:type="dxa"/>
            <w:vAlign w:val="center"/>
          </w:tcPr>
          <w:p w14:paraId="3AC7F528">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评标委员会的组建</w:t>
            </w:r>
          </w:p>
        </w:tc>
        <w:tc>
          <w:tcPr>
            <w:tcW w:w="7176" w:type="dxa"/>
            <w:gridSpan w:val="2"/>
            <w:vAlign w:val="center"/>
          </w:tcPr>
          <w:p w14:paraId="3E38F743">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评标委员会构成：社会专家5人。</w:t>
            </w:r>
          </w:p>
          <w:p w14:paraId="68FD602A">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评标专家确定方式：从“政采云”专家库中随机抽取产生。</w:t>
            </w:r>
          </w:p>
        </w:tc>
      </w:tr>
      <w:tr w14:paraId="64F52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13D5C981">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7.1</w:t>
            </w:r>
          </w:p>
        </w:tc>
        <w:tc>
          <w:tcPr>
            <w:tcW w:w="2070" w:type="dxa"/>
            <w:vAlign w:val="center"/>
          </w:tcPr>
          <w:p w14:paraId="07F49E87">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是否授权评标委员 会确定中标人</w:t>
            </w:r>
          </w:p>
        </w:tc>
        <w:tc>
          <w:tcPr>
            <w:tcW w:w="7176" w:type="dxa"/>
            <w:gridSpan w:val="2"/>
            <w:vAlign w:val="center"/>
          </w:tcPr>
          <w:p w14:paraId="2A52608A">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否，推荐的中标候选人数：3名</w:t>
            </w:r>
          </w:p>
        </w:tc>
      </w:tr>
      <w:tr w14:paraId="59E83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43F902C8">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7.4</w:t>
            </w:r>
          </w:p>
        </w:tc>
        <w:tc>
          <w:tcPr>
            <w:tcW w:w="2070" w:type="dxa"/>
            <w:vAlign w:val="center"/>
          </w:tcPr>
          <w:p w14:paraId="02AAEDB3">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履约担保</w:t>
            </w:r>
          </w:p>
        </w:tc>
        <w:tc>
          <w:tcPr>
            <w:tcW w:w="7176" w:type="dxa"/>
            <w:gridSpan w:val="2"/>
            <w:vAlign w:val="center"/>
          </w:tcPr>
          <w:p w14:paraId="089C7E16">
            <w:pPr>
              <w:pStyle w:val="21"/>
              <w:keepNext w:val="0"/>
              <w:keepLines w:val="0"/>
              <w:pageBreakBefore w:val="0"/>
              <w:wordWrap/>
              <w:overflowPunct/>
              <w:topLinePunct w:val="0"/>
              <w:autoSpaceDE w:val="0"/>
              <w:autoSpaceDN w:val="0"/>
              <w:bidi w:val="0"/>
              <w:adjustRightInd w:val="0"/>
              <w:snapToGrid w:val="0"/>
              <w:spacing w:line="240" w:lineRule="auto"/>
              <w:rPr>
                <w:sz w:val="21"/>
                <w:szCs w:val="21"/>
              </w:rPr>
            </w:pPr>
            <w:r>
              <w:rPr>
                <w:sz w:val="21"/>
                <w:szCs w:val="21"/>
              </w:rPr>
              <w:t>无</w:t>
            </w:r>
          </w:p>
        </w:tc>
      </w:tr>
      <w:tr w14:paraId="36C70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0ECC023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10.1</w:t>
            </w:r>
          </w:p>
        </w:tc>
        <w:tc>
          <w:tcPr>
            <w:tcW w:w="2070" w:type="dxa"/>
            <w:vAlign w:val="center"/>
          </w:tcPr>
          <w:p w14:paraId="4EED0BC8">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结算方式</w:t>
            </w:r>
          </w:p>
        </w:tc>
        <w:tc>
          <w:tcPr>
            <w:tcW w:w="7176" w:type="dxa"/>
            <w:gridSpan w:val="2"/>
            <w:vAlign w:val="center"/>
          </w:tcPr>
          <w:p w14:paraId="3998D170">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由甲乙双方在签订的具体合同中另行约定</w:t>
            </w:r>
          </w:p>
        </w:tc>
      </w:tr>
      <w:tr w14:paraId="56DED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5014788A">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10.2</w:t>
            </w:r>
          </w:p>
        </w:tc>
        <w:tc>
          <w:tcPr>
            <w:tcW w:w="2070" w:type="dxa"/>
            <w:vAlign w:val="center"/>
          </w:tcPr>
          <w:p w14:paraId="42FF5F17">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招标代理费</w:t>
            </w:r>
          </w:p>
        </w:tc>
        <w:tc>
          <w:tcPr>
            <w:tcW w:w="7176" w:type="dxa"/>
            <w:gridSpan w:val="2"/>
            <w:vAlign w:val="center"/>
          </w:tcPr>
          <w:p w14:paraId="7C75D23F">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招标代理费执行国家发展改革委《关于进一步放开建设项目专业服务价格的 通知》</w:t>
            </w:r>
            <w:r>
              <w:rPr>
                <w:rFonts w:hint="eastAsia"/>
                <w:sz w:val="21"/>
                <w:szCs w:val="21"/>
                <w:lang w:eastAsia="zh-CN"/>
              </w:rPr>
              <w:t>（</w:t>
            </w:r>
            <w:r>
              <w:rPr>
                <w:sz w:val="21"/>
                <w:szCs w:val="21"/>
                <w:lang w:eastAsia="zh-CN"/>
              </w:rPr>
              <w:t>发改价格〔2015〕299号</w:t>
            </w:r>
            <w:r>
              <w:rPr>
                <w:rFonts w:hint="eastAsia"/>
                <w:sz w:val="21"/>
                <w:szCs w:val="21"/>
                <w:lang w:eastAsia="zh-CN"/>
              </w:rPr>
              <w:t>）</w:t>
            </w:r>
            <w:r>
              <w:rPr>
                <w:rFonts w:hint="eastAsia"/>
                <w:sz w:val="21"/>
                <w:szCs w:val="21"/>
                <w:lang w:val="zh-CN" w:eastAsia="zh-CN"/>
              </w:rPr>
              <w:t>收取招标代理服务费</w:t>
            </w:r>
            <w:r>
              <w:rPr>
                <w:rFonts w:hint="eastAsia"/>
                <w:sz w:val="21"/>
                <w:szCs w:val="21"/>
                <w:lang w:val="en-US" w:eastAsia="zh-CN"/>
              </w:rPr>
              <w:t>60000元</w:t>
            </w:r>
            <w:r>
              <w:rPr>
                <w:rFonts w:hint="eastAsia"/>
                <w:sz w:val="21"/>
                <w:szCs w:val="21"/>
                <w:lang w:val="zh-CN" w:eastAsia="zh-CN"/>
              </w:rPr>
              <w:t>，</w:t>
            </w:r>
            <w:r>
              <w:rPr>
                <w:rFonts w:hint="eastAsia"/>
                <w:sz w:val="21"/>
                <w:szCs w:val="21"/>
                <w:lang w:eastAsia="zh-CN"/>
              </w:rPr>
              <w:t>由中标人支付。</w:t>
            </w:r>
          </w:p>
        </w:tc>
      </w:tr>
      <w:tr w14:paraId="1FE24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5CD645F">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10.3</w:t>
            </w:r>
          </w:p>
        </w:tc>
        <w:tc>
          <w:tcPr>
            <w:tcW w:w="2070" w:type="dxa"/>
            <w:vAlign w:val="center"/>
          </w:tcPr>
          <w:p w14:paraId="623E66E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采购预算</w:t>
            </w:r>
          </w:p>
        </w:tc>
        <w:tc>
          <w:tcPr>
            <w:tcW w:w="7176" w:type="dxa"/>
            <w:gridSpan w:val="2"/>
            <w:vAlign w:val="center"/>
          </w:tcPr>
          <w:p w14:paraId="677AAEE7">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300万元</w:t>
            </w:r>
          </w:p>
        </w:tc>
      </w:tr>
      <w:tr w14:paraId="60DDC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074" w:type="dxa"/>
            <w:vAlign w:val="center"/>
          </w:tcPr>
          <w:p w14:paraId="571FCA18">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10.4</w:t>
            </w:r>
          </w:p>
        </w:tc>
        <w:tc>
          <w:tcPr>
            <w:tcW w:w="2070" w:type="dxa"/>
            <w:vAlign w:val="center"/>
          </w:tcPr>
          <w:p w14:paraId="1E5DF236">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sz w:val="21"/>
                <w:szCs w:val="21"/>
                <w:lang w:eastAsia="zh-CN"/>
              </w:rPr>
              <w:t>最高限价</w:t>
            </w:r>
          </w:p>
          <w:p w14:paraId="7EA7ED4B">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lang w:eastAsia="zh-CN"/>
              </w:rPr>
            </w:pPr>
            <w:r>
              <w:rPr>
                <w:rFonts w:hint="eastAsia"/>
                <w:sz w:val="21"/>
                <w:szCs w:val="21"/>
                <w:lang w:eastAsia="zh-CN"/>
              </w:rPr>
              <w:t>（</w:t>
            </w:r>
            <w:r>
              <w:rPr>
                <w:sz w:val="21"/>
                <w:szCs w:val="21"/>
                <w:lang w:eastAsia="zh-CN"/>
              </w:rPr>
              <w:t>招标控制价</w:t>
            </w:r>
            <w:r>
              <w:rPr>
                <w:rFonts w:hint="eastAsia"/>
                <w:sz w:val="21"/>
                <w:szCs w:val="21"/>
                <w:lang w:eastAsia="zh-CN"/>
              </w:rPr>
              <w:t>）</w:t>
            </w:r>
          </w:p>
        </w:tc>
        <w:tc>
          <w:tcPr>
            <w:tcW w:w="7176" w:type="dxa"/>
            <w:gridSpan w:val="2"/>
            <w:vAlign w:val="center"/>
          </w:tcPr>
          <w:p w14:paraId="2670E53F">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300万元</w:t>
            </w:r>
            <w:r>
              <w:rPr>
                <w:sz w:val="21"/>
                <w:szCs w:val="21"/>
                <w:lang w:eastAsia="zh-CN"/>
              </w:rPr>
              <w:t>。</w:t>
            </w:r>
          </w:p>
          <w:p w14:paraId="0CBF675F">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kern w:val="15"/>
                <w:sz w:val="21"/>
                <w:szCs w:val="21"/>
                <w:lang w:eastAsia="zh-CN"/>
              </w:rPr>
              <w:t>1.超过预算价格的投标无效，分项报价均不得超过预算价；2.</w:t>
            </w:r>
            <w:r>
              <w:rPr>
                <w:rFonts w:hint="eastAsia"/>
                <w:kern w:val="1"/>
                <w:sz w:val="21"/>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kern w:val="15"/>
                <w:sz w:val="21"/>
                <w:szCs w:val="21"/>
                <w:lang w:eastAsia="zh-CN"/>
              </w:rPr>
              <w:t>。</w:t>
            </w:r>
          </w:p>
        </w:tc>
      </w:tr>
      <w:tr w14:paraId="1E150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3F96DE8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10.5</w:t>
            </w:r>
          </w:p>
        </w:tc>
        <w:tc>
          <w:tcPr>
            <w:tcW w:w="2070" w:type="dxa"/>
            <w:vAlign w:val="center"/>
          </w:tcPr>
          <w:p w14:paraId="120DDF67">
            <w:pPr>
              <w:pStyle w:val="21"/>
              <w:keepNext w:val="0"/>
              <w:keepLines w:val="0"/>
              <w:pageBreakBefore w:val="0"/>
              <w:wordWrap/>
              <w:overflowPunct/>
              <w:topLinePunct w:val="0"/>
              <w:autoSpaceDE w:val="0"/>
              <w:autoSpaceDN w:val="0"/>
              <w:bidi w:val="0"/>
              <w:adjustRightInd w:val="0"/>
              <w:snapToGrid w:val="0"/>
              <w:spacing w:line="240" w:lineRule="auto"/>
              <w:jc w:val="center"/>
              <w:rPr>
                <w:rFonts w:ascii="宋体" w:hAnsi="宋体" w:eastAsia="宋体" w:cs="宋体"/>
                <w:snapToGrid w:val="0"/>
                <w:color w:val="000000"/>
                <w:sz w:val="21"/>
                <w:szCs w:val="21"/>
                <w:lang w:val="en-US" w:eastAsia="zh-CN" w:bidi="ar-SA"/>
              </w:rPr>
            </w:pPr>
            <w:r>
              <w:rPr>
                <w:sz w:val="21"/>
                <w:szCs w:val="21"/>
                <w:lang w:eastAsia="zh-CN"/>
              </w:rPr>
              <w:t>中小企业划分标准 所属行业</w:t>
            </w:r>
          </w:p>
        </w:tc>
        <w:tc>
          <w:tcPr>
            <w:tcW w:w="7176" w:type="dxa"/>
            <w:gridSpan w:val="2"/>
            <w:vAlign w:val="center"/>
          </w:tcPr>
          <w:p w14:paraId="6F26ACAE">
            <w:pPr>
              <w:pStyle w:val="21"/>
              <w:keepNext w:val="0"/>
              <w:keepLines w:val="0"/>
              <w:pageBreakBefore w:val="0"/>
              <w:wordWrap/>
              <w:overflowPunct/>
              <w:topLinePunct w:val="0"/>
              <w:autoSpaceDE w:val="0"/>
              <w:autoSpaceDN w:val="0"/>
              <w:bidi w:val="0"/>
              <w:adjustRightInd w:val="0"/>
              <w:snapToGrid w:val="0"/>
              <w:spacing w:line="240" w:lineRule="auto"/>
              <w:rPr>
                <w:rFonts w:hint="default" w:ascii="宋体" w:hAnsi="宋体" w:eastAsia="宋体" w:cs="宋体"/>
                <w:snapToGrid w:val="0"/>
                <w:color w:val="000000"/>
                <w:sz w:val="21"/>
                <w:szCs w:val="21"/>
                <w:lang w:val="en-US" w:eastAsia="zh-CN" w:bidi="ar-SA"/>
              </w:rPr>
            </w:pPr>
            <w:r>
              <w:rPr>
                <w:sz w:val="21"/>
                <w:szCs w:val="21"/>
              </w:rPr>
              <w:t>其他未列明行业</w:t>
            </w:r>
          </w:p>
        </w:tc>
      </w:tr>
      <w:tr w14:paraId="79F3F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5F308B90">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10.6</w:t>
            </w:r>
          </w:p>
        </w:tc>
        <w:tc>
          <w:tcPr>
            <w:tcW w:w="2070" w:type="dxa"/>
            <w:vAlign w:val="center"/>
          </w:tcPr>
          <w:p w14:paraId="1387E743">
            <w:pPr>
              <w:pStyle w:val="21"/>
              <w:keepNext w:val="0"/>
              <w:keepLines w:val="0"/>
              <w:pageBreakBefore w:val="0"/>
              <w:wordWrap/>
              <w:overflowPunct/>
              <w:topLinePunct w:val="0"/>
              <w:autoSpaceDE w:val="0"/>
              <w:autoSpaceDN w:val="0"/>
              <w:bidi w:val="0"/>
              <w:adjustRightInd w:val="0"/>
              <w:snapToGrid w:val="0"/>
              <w:spacing w:line="240" w:lineRule="auto"/>
              <w:jc w:val="center"/>
              <w:rPr>
                <w:rFonts w:ascii="宋体" w:hAnsi="宋体" w:eastAsia="宋体" w:cs="宋体"/>
                <w:snapToGrid w:val="0"/>
                <w:color w:val="000000"/>
                <w:sz w:val="21"/>
                <w:szCs w:val="21"/>
                <w:lang w:val="en-US" w:eastAsia="zh-CN" w:bidi="ar-SA"/>
              </w:rPr>
            </w:pPr>
            <w:r>
              <w:rPr>
                <w:sz w:val="21"/>
                <w:szCs w:val="21"/>
              </w:rPr>
              <w:t>合同管理</w:t>
            </w:r>
          </w:p>
        </w:tc>
        <w:tc>
          <w:tcPr>
            <w:tcW w:w="7176" w:type="dxa"/>
            <w:gridSpan w:val="2"/>
            <w:vAlign w:val="center"/>
          </w:tcPr>
          <w:p w14:paraId="2DD04D6E">
            <w:pPr>
              <w:pStyle w:val="21"/>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宋体"/>
                <w:snapToGrid w:val="0"/>
                <w:color w:val="000000"/>
                <w:sz w:val="21"/>
                <w:szCs w:val="21"/>
                <w:lang w:val="en-US" w:eastAsia="zh-CN" w:bidi="ar-SA"/>
              </w:rPr>
            </w:pPr>
            <w:r>
              <w:rPr>
                <w:sz w:val="21"/>
                <w:szCs w:val="21"/>
                <w:lang w:eastAsia="zh-CN"/>
              </w:rPr>
              <w:t>中标单位应自中标通知书发出之日起30日内与采购人签订合同，签订合同 后5个工作日内除采购人要求合同份数外还需送至招标代理机构合同彩色复印件一份用于合同公示使用。</w:t>
            </w:r>
          </w:p>
        </w:tc>
      </w:tr>
      <w:tr w14:paraId="1C95E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4" w:type="dxa"/>
            <w:vAlign w:val="center"/>
          </w:tcPr>
          <w:p w14:paraId="74A8494B">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r>
              <w:rPr>
                <w:sz w:val="21"/>
                <w:szCs w:val="21"/>
              </w:rPr>
              <w:t>10.7</w:t>
            </w:r>
          </w:p>
        </w:tc>
        <w:tc>
          <w:tcPr>
            <w:tcW w:w="2070" w:type="dxa"/>
            <w:vAlign w:val="center"/>
          </w:tcPr>
          <w:p w14:paraId="3A69C274">
            <w:pPr>
              <w:pStyle w:val="21"/>
              <w:keepNext w:val="0"/>
              <w:keepLines w:val="0"/>
              <w:pageBreakBefore w:val="0"/>
              <w:wordWrap/>
              <w:overflowPunct/>
              <w:topLinePunct w:val="0"/>
              <w:autoSpaceDE w:val="0"/>
              <w:autoSpaceDN w:val="0"/>
              <w:bidi w:val="0"/>
              <w:adjustRightInd w:val="0"/>
              <w:snapToGrid w:val="0"/>
              <w:spacing w:line="240" w:lineRule="auto"/>
              <w:jc w:val="center"/>
              <w:rPr>
                <w:sz w:val="21"/>
                <w:szCs w:val="21"/>
              </w:rPr>
            </w:pPr>
          </w:p>
          <w:p w14:paraId="509322BF">
            <w:pPr>
              <w:pStyle w:val="21"/>
              <w:keepNext w:val="0"/>
              <w:keepLines w:val="0"/>
              <w:pageBreakBefore w:val="0"/>
              <w:wordWrap/>
              <w:overflowPunct/>
              <w:topLinePunct w:val="0"/>
              <w:autoSpaceDE w:val="0"/>
              <w:autoSpaceDN w:val="0"/>
              <w:bidi w:val="0"/>
              <w:adjustRightInd w:val="0"/>
              <w:snapToGrid w:val="0"/>
              <w:spacing w:line="240" w:lineRule="auto"/>
              <w:jc w:val="center"/>
              <w:rPr>
                <w:rFonts w:ascii="宋体" w:hAnsi="宋体" w:eastAsia="宋体" w:cs="宋体"/>
                <w:snapToGrid w:val="0"/>
                <w:color w:val="000000"/>
                <w:sz w:val="21"/>
                <w:szCs w:val="21"/>
                <w:lang w:val="en-US" w:eastAsia="en-US" w:bidi="ar-SA"/>
              </w:rPr>
            </w:pPr>
            <w:r>
              <w:rPr>
                <w:sz w:val="21"/>
                <w:szCs w:val="21"/>
              </w:rPr>
              <w:t>电子标说明</w:t>
            </w:r>
          </w:p>
        </w:tc>
        <w:tc>
          <w:tcPr>
            <w:tcW w:w="7176" w:type="dxa"/>
            <w:gridSpan w:val="2"/>
            <w:vAlign w:val="top"/>
          </w:tcPr>
          <w:p w14:paraId="7E21F221">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本项目采用全流程电子化招投标，开标方式为远程开标，供应商在提交投标文件截止时间前通过政府采购云平台</w:t>
            </w:r>
            <w:r>
              <w:rPr>
                <w:rFonts w:hint="eastAsia"/>
                <w:sz w:val="21"/>
                <w:szCs w:val="21"/>
                <w:lang w:eastAsia="zh-CN"/>
              </w:rPr>
              <w:t>（</w:t>
            </w:r>
            <w:r>
              <w:rPr>
                <w:sz w:val="21"/>
                <w:szCs w:val="21"/>
                <w:lang w:eastAsia="zh-CN"/>
              </w:rPr>
              <w:t xml:space="preserve">网址： </w:t>
            </w:r>
            <w:r>
              <w:rPr>
                <w:sz w:val="21"/>
                <w:szCs w:val="21"/>
              </w:rPr>
              <w:fldChar w:fldCharType="begin"/>
            </w:r>
            <w:r>
              <w:rPr>
                <w:sz w:val="21"/>
                <w:szCs w:val="21"/>
              </w:rPr>
              <w:instrText xml:space="preserve"> HYPERLINK "http://www.zcygov.cn" </w:instrText>
            </w:r>
            <w:r>
              <w:rPr>
                <w:sz w:val="21"/>
                <w:szCs w:val="21"/>
              </w:rPr>
              <w:fldChar w:fldCharType="separate"/>
            </w:r>
            <w:r>
              <w:rPr>
                <w:sz w:val="21"/>
                <w:szCs w:val="21"/>
                <w:lang w:eastAsia="zh-CN"/>
              </w:rPr>
              <w:t>http://www.zcygov.cn</w:t>
            </w:r>
            <w:r>
              <w:rPr>
                <w:sz w:val="21"/>
                <w:szCs w:val="21"/>
                <w:lang w:eastAsia="zh-CN"/>
              </w:rPr>
              <w:fldChar w:fldCharType="end"/>
            </w:r>
            <w:r>
              <w:rPr>
                <w:rFonts w:hint="eastAsia"/>
                <w:sz w:val="21"/>
                <w:szCs w:val="21"/>
                <w:lang w:eastAsia="zh-CN"/>
              </w:rPr>
              <w:t>）</w:t>
            </w:r>
            <w:r>
              <w:rPr>
                <w:sz w:val="21"/>
                <w:szCs w:val="21"/>
                <w:lang w:eastAsia="zh-CN"/>
              </w:rPr>
              <w:t>递交电子投标文件，并按照现场工作人员通知使用CA锁进行投标文件远程解密。上传的电子证件及资料均需按要求签字盖章上传，否则按未签章处理。</w:t>
            </w:r>
          </w:p>
          <w:p w14:paraId="1AAAA2AD">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投标操作流程：供应商在政府采购云平台网注册入库成为正式供应商后， 在平台上按《政府采购项目电子交易管理操作指南-供应商》进行投标操作。</w:t>
            </w:r>
          </w:p>
          <w:p w14:paraId="25029C0B">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数字证书办理及投标技术咨询：投标人须办理数字证书方可参加投标。 供应商须自行考虑数字证书办理时限，由于供应商自身原因在开标前无法完  成办理，后果自负。</w:t>
            </w:r>
          </w:p>
          <w:p w14:paraId="509CDA88">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sz w:val="21"/>
                <w:szCs w:val="21"/>
                <w:lang w:eastAsia="zh-CN"/>
              </w:rPr>
              <w:t>若对项目采购电子交易系统操作有疑问，可登录“政采云”平台</w:t>
            </w:r>
          </w:p>
          <w:p w14:paraId="094612F0">
            <w:pPr>
              <w:pStyle w:val="21"/>
              <w:keepNext w:val="0"/>
              <w:keepLines w:val="0"/>
              <w:pageBreakBefore w:val="0"/>
              <w:wordWrap/>
              <w:overflowPunct/>
              <w:topLinePunct w:val="0"/>
              <w:autoSpaceDE w:val="0"/>
              <w:autoSpaceDN w:val="0"/>
              <w:bidi w:val="0"/>
              <w:adjustRightInd w:val="0"/>
              <w:snapToGrid w:val="0"/>
              <w:spacing w:line="240" w:lineRule="auto"/>
              <w:rPr>
                <w:sz w:val="21"/>
                <w:szCs w:val="21"/>
                <w:lang w:eastAsia="zh-CN"/>
              </w:rPr>
            </w:pPr>
            <w:r>
              <w:rPr>
                <w:rFonts w:hint="eastAsia"/>
                <w:sz w:val="21"/>
                <w:szCs w:val="21"/>
                <w:lang w:eastAsia="zh-CN"/>
              </w:rPr>
              <w:t>（</w:t>
            </w:r>
            <w:r>
              <w:rPr>
                <w:sz w:val="21"/>
                <w:szCs w:val="21"/>
              </w:rPr>
              <w:fldChar w:fldCharType="begin"/>
            </w:r>
            <w:r>
              <w:rPr>
                <w:sz w:val="21"/>
                <w:szCs w:val="21"/>
              </w:rPr>
              <w:instrText xml:space="preserve"> HYPERLINK "https://www.zcygov.cn/" </w:instrText>
            </w:r>
            <w:r>
              <w:rPr>
                <w:sz w:val="21"/>
                <w:szCs w:val="21"/>
              </w:rPr>
              <w:fldChar w:fldCharType="separate"/>
            </w:r>
            <w:r>
              <w:rPr>
                <w:sz w:val="21"/>
                <w:szCs w:val="21"/>
                <w:lang w:eastAsia="zh-CN"/>
              </w:rPr>
              <w:t>https://www.zcygov.cn/</w:t>
            </w:r>
            <w:r>
              <w:rPr>
                <w:sz w:val="21"/>
                <w:szCs w:val="21"/>
                <w:lang w:eastAsia="zh-CN"/>
              </w:rPr>
              <w:fldChar w:fldCharType="end"/>
            </w:r>
            <w:r>
              <w:rPr>
                <w:rFonts w:hint="eastAsia"/>
                <w:sz w:val="21"/>
                <w:szCs w:val="21"/>
                <w:lang w:eastAsia="zh-CN"/>
              </w:rPr>
              <w:t>）</w:t>
            </w:r>
            <w:r>
              <w:rPr>
                <w:sz w:val="21"/>
                <w:szCs w:val="21"/>
                <w:lang w:eastAsia="zh-CN"/>
              </w:rPr>
              <w:t>点击右侧咨询小采，获取采小蜜智能服务管家 帮助，或拨打政采云服务热线95763获取热线服务帮助。</w:t>
            </w:r>
          </w:p>
          <w:p w14:paraId="69F32CAD">
            <w:pPr>
              <w:pStyle w:val="21"/>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宋体"/>
                <w:snapToGrid w:val="0"/>
                <w:color w:val="000000"/>
                <w:sz w:val="21"/>
                <w:szCs w:val="21"/>
                <w:lang w:val="en-US" w:eastAsia="zh-CN" w:bidi="ar-SA"/>
              </w:rPr>
            </w:pPr>
            <w:r>
              <w:rPr>
                <w:sz w:val="21"/>
                <w:szCs w:val="21"/>
                <w:lang w:eastAsia="zh-CN"/>
              </w:rPr>
              <w:t>备注：投标文件U盘电子版按招标文件规定执行，用数字证书编制的电子投标文件按政府采购项目电子交易管理操作指南-供应商》进行投标操作。</w:t>
            </w:r>
          </w:p>
        </w:tc>
      </w:tr>
      <w:tr w14:paraId="70FFF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320" w:type="dxa"/>
            <w:gridSpan w:val="4"/>
          </w:tcPr>
          <w:p w14:paraId="69ED0490">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本项目按照吉林省财政厅《关于依托政府采购数字金融服务平台开展融资业务有关事项的通知》</w:t>
            </w:r>
            <w:r>
              <w:rPr>
                <w:rFonts w:hint="eastAsia" w:ascii="宋体" w:hAnsi="宋体" w:eastAsia="宋体" w:cs="Times New Roman"/>
                <w:sz w:val="21"/>
                <w:szCs w:val="21"/>
                <w:lang w:eastAsia="zh-CN"/>
              </w:rPr>
              <w:t>（</w:t>
            </w:r>
            <w:r>
              <w:rPr>
                <w:rFonts w:ascii="宋体" w:hAnsi="宋体" w:eastAsia="宋体" w:cs="Times New Roman"/>
                <w:sz w:val="21"/>
                <w:szCs w:val="21"/>
                <w:lang w:eastAsia="zh-CN"/>
              </w:rPr>
              <w:t>吉财采购</w:t>
            </w:r>
            <w:r>
              <w:rPr>
                <w:rFonts w:hint="eastAsia" w:ascii="宋体" w:hAnsi="宋体" w:eastAsia="宋体" w:cs="Times New Roman"/>
                <w:sz w:val="21"/>
                <w:szCs w:val="21"/>
                <w:lang w:eastAsia="zh-CN"/>
              </w:rPr>
              <w:t>（</w:t>
            </w:r>
            <w:r>
              <w:rPr>
                <w:rFonts w:ascii="宋体" w:hAnsi="宋体" w:eastAsia="宋体" w:cs="Times New Roman"/>
                <w:sz w:val="21"/>
                <w:szCs w:val="21"/>
                <w:lang w:eastAsia="zh-CN"/>
              </w:rPr>
              <w:t>2023] 721号</w:t>
            </w:r>
            <w:r>
              <w:rPr>
                <w:rFonts w:hint="eastAsia" w:ascii="宋体" w:hAnsi="宋体" w:eastAsia="宋体" w:cs="Times New Roman"/>
                <w:sz w:val="21"/>
                <w:szCs w:val="21"/>
                <w:lang w:eastAsia="zh-CN"/>
              </w:rPr>
              <w:t>）</w:t>
            </w:r>
            <w:r>
              <w:rPr>
                <w:rFonts w:ascii="宋体" w:hAnsi="宋体" w:eastAsia="宋体" w:cs="Times New Roman"/>
                <w:sz w:val="21"/>
                <w:szCs w:val="21"/>
                <w:lang w:eastAsia="zh-CN"/>
              </w:rPr>
              <w:t>支持申请“政采合同贷”政策。</w:t>
            </w:r>
          </w:p>
          <w:p w14:paraId="5F632119">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“政采数金平台”联系电话：张经理0431-81888978</w:t>
            </w:r>
          </w:p>
          <w:p w14:paraId="5E6D88A1">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sz w:val="21"/>
                <w:szCs w:val="21"/>
              </w:rPr>
            </w:pPr>
            <w:r>
              <w:rPr>
                <w:rFonts w:ascii="宋体" w:hAnsi="宋体" w:eastAsia="宋体" w:cs="Times New Roman"/>
                <w:sz w:val="21"/>
                <w:szCs w:val="21"/>
                <w:lang w:eastAsia="zh-CN"/>
              </w:rPr>
              <w:t>柯经理0431-81888998</w:t>
            </w:r>
          </w:p>
        </w:tc>
      </w:tr>
      <w:tr w14:paraId="30305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320" w:type="dxa"/>
            <w:gridSpan w:val="4"/>
          </w:tcPr>
          <w:p w14:paraId="6EF73D65">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1</w:t>
            </w:r>
            <w:r>
              <w:rPr>
                <w:rFonts w:hint="eastAsia" w:ascii="宋体" w:hAnsi="宋体" w:eastAsia="宋体" w:cs="Times New Roman"/>
                <w:sz w:val="21"/>
                <w:szCs w:val="21"/>
                <w:lang w:eastAsia="zh-CN"/>
              </w:rPr>
              <w:t>投标人认为采购文件、招标过程和中标结果使自己的合法权益受到损害的，应当在知道或者应知其权益受到损害之日起七个工作日内，向招标方提出质疑。投标人对采购人的质疑答复不满意或者采购人未在规定时间内作出答复的，可以在答复期满后十五个工作日内向同级采购监管部门投诉。</w:t>
            </w:r>
          </w:p>
          <w:p w14:paraId="76CE47CE">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2</w:t>
            </w:r>
            <w:r>
              <w:rPr>
                <w:rFonts w:hint="eastAsia" w:ascii="宋体" w:hAnsi="宋体" w:eastAsia="宋体" w:cs="Times New Roman"/>
                <w:sz w:val="21"/>
                <w:szCs w:val="21"/>
                <w:lang w:eastAsia="zh-CN"/>
              </w:rPr>
              <w:t>投标人可以委托代理人进行质疑。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应当提交投标人签署的授权委托书。</w:t>
            </w:r>
          </w:p>
          <w:p w14:paraId="2740C9DC">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 xml:space="preserve">3 </w:t>
            </w:r>
            <w:r>
              <w:rPr>
                <w:rFonts w:hint="eastAsia" w:ascii="宋体" w:hAnsi="宋体" w:eastAsia="宋体" w:cs="Times New Roman"/>
                <w:sz w:val="21"/>
                <w:szCs w:val="21"/>
                <w:lang w:eastAsia="zh-CN"/>
              </w:rPr>
              <w:t>投标人提出质疑的，在法定期限内提交书面质疑函和必要的证明材料。</w:t>
            </w:r>
          </w:p>
          <w:p w14:paraId="676FF764">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4</w:t>
            </w:r>
            <w:r>
              <w:rPr>
                <w:rFonts w:hint="eastAsia" w:ascii="宋体" w:hAnsi="宋体" w:eastAsia="宋体" w:cs="Times New Roman"/>
                <w:sz w:val="21"/>
                <w:szCs w:val="21"/>
                <w:lang w:eastAsia="zh-CN"/>
              </w:rPr>
              <w:t>投标人提交的质疑函应当采用财政部发布的质疑函范本。质疑范本获取方法：登陆中国政府采购网（</w:t>
            </w:r>
            <w:r>
              <w:rPr>
                <w:rFonts w:ascii="宋体" w:hAnsi="宋体" w:eastAsia="宋体" w:cs="Times New Roman"/>
                <w:sz w:val="21"/>
                <w:szCs w:val="21"/>
                <w:lang w:eastAsia="zh-CN"/>
              </w:rPr>
              <w:t>http://www.ccgp.gov.cn/</w:t>
            </w:r>
            <w:r>
              <w:rPr>
                <w:rFonts w:hint="eastAsia" w:ascii="宋体" w:hAnsi="宋体" w:eastAsia="宋体" w:cs="Times New Roman"/>
                <w:sz w:val="21"/>
                <w:szCs w:val="21"/>
                <w:lang w:eastAsia="zh-CN"/>
              </w:rPr>
              <w:t>）首页</w:t>
            </w:r>
            <w:r>
              <w:rPr>
                <w:rFonts w:ascii="宋体" w:hAnsi="宋体" w:eastAsia="宋体" w:cs="Times New Roman"/>
                <w:sz w:val="21"/>
                <w:szCs w:val="21"/>
                <w:lang w:eastAsia="zh-CN"/>
              </w:rPr>
              <w:t>-</w:t>
            </w:r>
            <w:r>
              <w:rPr>
                <w:rFonts w:hint="eastAsia" w:ascii="宋体" w:hAnsi="宋体" w:eastAsia="宋体" w:cs="Times New Roman"/>
                <w:sz w:val="21"/>
                <w:szCs w:val="21"/>
                <w:lang w:eastAsia="zh-CN"/>
              </w:rPr>
              <w:t>下载专区</w:t>
            </w:r>
            <w:r>
              <w:rPr>
                <w:rFonts w:ascii="宋体" w:hAnsi="宋体" w:eastAsia="宋体" w:cs="Times New Roman"/>
                <w:sz w:val="21"/>
                <w:szCs w:val="21"/>
                <w:lang w:eastAsia="zh-CN"/>
              </w:rPr>
              <w:t>-</w:t>
            </w:r>
            <w:r>
              <w:rPr>
                <w:rFonts w:hint="eastAsia" w:ascii="宋体" w:hAnsi="宋体" w:eastAsia="宋体" w:cs="Times New Roman"/>
                <w:sz w:val="21"/>
                <w:szCs w:val="21"/>
                <w:lang w:eastAsia="zh-CN"/>
              </w:rPr>
              <w:t>政府采购投标人质疑函范本。</w:t>
            </w:r>
          </w:p>
          <w:p w14:paraId="6AB10944">
            <w:pPr>
              <w:keepNext w:val="0"/>
              <w:keepLines w:val="0"/>
              <w:pageBreakBefore w:val="0"/>
              <w:wordWrap/>
              <w:overflowPunct/>
              <w:topLinePunct w:val="0"/>
              <w:autoSpaceDE w:val="0"/>
              <w:autoSpaceDN w:val="0"/>
              <w:bidi w:val="0"/>
              <w:adjustRightInd w:val="0"/>
              <w:snapToGrid w:val="0"/>
              <w:spacing w:line="240" w:lineRule="auto"/>
              <w:rPr>
                <w:rFonts w:ascii="宋体" w:hAnsi="宋体" w:eastAsia="宋体" w:cs="Times New Roman"/>
                <w:sz w:val="21"/>
                <w:szCs w:val="21"/>
                <w:lang w:eastAsia="zh-CN"/>
              </w:rPr>
            </w:pPr>
            <w:r>
              <w:rPr>
                <w:rFonts w:ascii="宋体" w:hAnsi="宋体" w:eastAsia="宋体" w:cs="Times New Roman"/>
                <w:sz w:val="21"/>
                <w:szCs w:val="21"/>
                <w:lang w:eastAsia="zh-CN"/>
              </w:rPr>
              <w:t>5</w:t>
            </w:r>
            <w:r>
              <w:rPr>
                <w:rFonts w:hint="eastAsia" w:ascii="宋体" w:hAnsi="宋体" w:eastAsia="宋体" w:cs="Times New Roman"/>
                <w:sz w:val="21"/>
                <w:szCs w:val="21"/>
                <w:lang w:eastAsia="zh-CN"/>
              </w:rPr>
              <w:t>投标人应当在法定质疑期内一次性提出针对同一采购程序环节的质疑。</w:t>
            </w:r>
          </w:p>
        </w:tc>
      </w:tr>
      <w:tr w14:paraId="4A437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320" w:type="dxa"/>
            <w:gridSpan w:val="4"/>
            <w:vAlign w:val="center"/>
          </w:tcPr>
          <w:p w14:paraId="50100B69">
            <w:pPr>
              <w:pStyle w:val="21"/>
              <w:keepNext w:val="0"/>
              <w:keepLines w:val="0"/>
              <w:pageBreakBefore w:val="0"/>
              <w:wordWrap/>
              <w:overflowPunct/>
              <w:topLinePunct w:val="0"/>
              <w:autoSpaceDE w:val="0"/>
              <w:autoSpaceDN w:val="0"/>
              <w:bidi w:val="0"/>
              <w:adjustRightInd w:val="0"/>
              <w:snapToGrid w:val="0"/>
              <w:spacing w:line="240" w:lineRule="auto"/>
              <w:jc w:val="both"/>
              <w:rPr>
                <w:sz w:val="21"/>
                <w:szCs w:val="21"/>
                <w:lang w:eastAsia="zh-CN"/>
              </w:rPr>
            </w:pPr>
            <w:r>
              <w:rPr>
                <w:sz w:val="21"/>
                <w:szCs w:val="21"/>
                <w:lang w:eastAsia="zh-CN"/>
              </w:rPr>
              <w:t>招标公告与招标文件如有不一致处，以招标文件为准。</w:t>
            </w:r>
          </w:p>
        </w:tc>
      </w:tr>
    </w:tbl>
    <w:p w14:paraId="138A2FC9">
      <w:pPr>
        <w:rPr>
          <w:rFonts w:ascii="Times New Roman" w:hAnsi="Times New Roman" w:eastAsia="宋体" w:cs="宋体"/>
          <w:b/>
          <w:bCs/>
          <w:sz w:val="31"/>
          <w:szCs w:val="31"/>
          <w:lang w:eastAsia="zh-CN"/>
        </w:rPr>
      </w:pPr>
      <w:r>
        <w:rPr>
          <w:rFonts w:hint="eastAsia" w:ascii="Times New Roman" w:hAnsi="Times New Roman" w:eastAsia="宋体" w:cs="宋体"/>
          <w:b/>
          <w:bCs/>
          <w:sz w:val="31"/>
          <w:szCs w:val="31"/>
          <w:lang w:eastAsia="zh-CN"/>
        </w:rPr>
        <w:br w:type="page"/>
      </w:r>
    </w:p>
    <w:p w14:paraId="7675B45D">
      <w:pPr>
        <w:spacing w:line="360" w:lineRule="auto"/>
        <w:outlineLvl w:val="0"/>
        <w:rPr>
          <w:rFonts w:ascii="宋体" w:hAnsi="宋体" w:eastAsia="宋体" w:cs="宋体"/>
          <w:b/>
          <w:bCs/>
          <w:sz w:val="24"/>
          <w:szCs w:val="24"/>
          <w:lang w:eastAsia="zh-CN"/>
        </w:rPr>
      </w:pPr>
      <w:bookmarkStart w:id="35" w:name="_Toc15345"/>
      <w:bookmarkStart w:id="36" w:name="_Toc18841"/>
      <w:r>
        <w:rPr>
          <w:rFonts w:hint="eastAsia" w:ascii="宋体" w:hAnsi="宋体" w:eastAsia="宋体" w:cs="宋体"/>
          <w:b/>
          <w:bCs/>
          <w:sz w:val="24"/>
          <w:szCs w:val="24"/>
          <w:lang w:eastAsia="zh-CN"/>
        </w:rPr>
        <w:t>1.总</w:t>
      </w:r>
      <w:r>
        <w:rPr>
          <w:rFonts w:ascii="宋体" w:hAnsi="宋体" w:eastAsia="宋体" w:cs="宋体"/>
          <w:b/>
          <w:bCs/>
          <w:sz w:val="24"/>
          <w:szCs w:val="24"/>
          <w:lang w:eastAsia="zh-CN"/>
        </w:rPr>
        <w:t>则</w:t>
      </w:r>
      <w:bookmarkEnd w:id="35"/>
      <w:bookmarkEnd w:id="36"/>
    </w:p>
    <w:p w14:paraId="546C8D27">
      <w:pPr>
        <w:spacing w:line="360" w:lineRule="auto"/>
        <w:outlineLvl w:val="0"/>
        <w:rPr>
          <w:rFonts w:ascii="宋体" w:hAnsi="宋体" w:eastAsia="宋体" w:cs="宋体"/>
          <w:b/>
          <w:bCs/>
          <w:sz w:val="24"/>
          <w:szCs w:val="24"/>
          <w:lang w:eastAsia="zh-CN"/>
        </w:rPr>
      </w:pPr>
      <w:bookmarkStart w:id="37" w:name="_Toc28870"/>
      <w:bookmarkStart w:id="38" w:name="_Toc9986"/>
      <w:r>
        <w:rPr>
          <w:rFonts w:ascii="宋体" w:hAnsi="宋体" w:eastAsia="宋体" w:cs="宋体"/>
          <w:b/>
          <w:bCs/>
          <w:sz w:val="24"/>
          <w:szCs w:val="24"/>
          <w:lang w:eastAsia="zh-CN"/>
        </w:rPr>
        <w:t>1.1 项目概况</w:t>
      </w:r>
      <w:bookmarkEnd w:id="37"/>
      <w:bookmarkEnd w:id="38"/>
    </w:p>
    <w:p w14:paraId="72F7B415">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1.1.1根据《中华人民共和国政府采购法》等有关法律、法规和规章的规定，本招标项目 已具备招标条件，现对本项目采用资格后审方式进行招标。</w:t>
      </w:r>
    </w:p>
    <w:p w14:paraId="2AB3BF31">
      <w:pPr>
        <w:spacing w:line="360" w:lineRule="auto"/>
        <w:rPr>
          <w:rFonts w:ascii="宋体" w:hAnsi="宋体" w:eastAsia="宋体" w:cs="宋体"/>
          <w:sz w:val="24"/>
          <w:szCs w:val="24"/>
          <w:lang w:eastAsia="zh-CN"/>
        </w:rPr>
      </w:pPr>
      <w:r>
        <w:rPr>
          <w:rFonts w:ascii="宋体" w:hAnsi="宋体" w:eastAsia="宋体" w:cs="宋体"/>
          <w:sz w:val="24"/>
          <w:szCs w:val="24"/>
          <w:lang w:eastAsia="zh-CN"/>
        </w:rPr>
        <w:t>1.1.2 本招标项目建设单位、采购人：见投标人须知前附表。</w:t>
      </w:r>
    </w:p>
    <w:p w14:paraId="0067B8B0">
      <w:pPr>
        <w:spacing w:line="360" w:lineRule="auto"/>
        <w:rPr>
          <w:rFonts w:ascii="宋体" w:hAnsi="宋体" w:eastAsia="宋体" w:cs="宋体"/>
          <w:sz w:val="24"/>
          <w:szCs w:val="24"/>
          <w:lang w:eastAsia="zh-CN"/>
        </w:rPr>
      </w:pPr>
      <w:r>
        <w:rPr>
          <w:rFonts w:ascii="宋体" w:hAnsi="宋体" w:eastAsia="宋体" w:cs="宋体"/>
          <w:sz w:val="24"/>
          <w:szCs w:val="24"/>
          <w:lang w:eastAsia="zh-CN"/>
        </w:rPr>
        <w:t>1.1.3 本招标项目采购代理机构：见投标人须知前附表。</w:t>
      </w:r>
    </w:p>
    <w:p w14:paraId="5EF58A2B">
      <w:pPr>
        <w:spacing w:line="360" w:lineRule="auto"/>
        <w:rPr>
          <w:rFonts w:ascii="宋体" w:hAnsi="宋体" w:eastAsia="宋体" w:cs="宋体"/>
          <w:sz w:val="24"/>
          <w:szCs w:val="24"/>
          <w:lang w:eastAsia="zh-CN"/>
        </w:rPr>
      </w:pPr>
      <w:r>
        <w:rPr>
          <w:rFonts w:ascii="宋体" w:hAnsi="宋体" w:eastAsia="宋体" w:cs="宋体"/>
          <w:sz w:val="24"/>
          <w:szCs w:val="24"/>
          <w:lang w:eastAsia="zh-CN"/>
        </w:rPr>
        <w:t>1.1.4 本招标项目名称：见投标人须知前附表。</w:t>
      </w:r>
    </w:p>
    <w:p w14:paraId="3668B165">
      <w:pPr>
        <w:spacing w:line="360" w:lineRule="auto"/>
        <w:rPr>
          <w:rFonts w:ascii="宋体" w:hAnsi="宋体" w:eastAsia="宋体" w:cs="宋体"/>
          <w:sz w:val="24"/>
          <w:szCs w:val="24"/>
          <w:lang w:eastAsia="zh-CN"/>
        </w:rPr>
      </w:pPr>
      <w:r>
        <w:rPr>
          <w:rFonts w:ascii="宋体" w:hAnsi="宋体" w:eastAsia="宋体" w:cs="宋体"/>
          <w:sz w:val="24"/>
          <w:szCs w:val="24"/>
          <w:lang w:eastAsia="zh-CN"/>
        </w:rPr>
        <w:t>1.1.5 本招标项目服务地点：见投标人须知前附表。</w:t>
      </w:r>
    </w:p>
    <w:p w14:paraId="2D7F2857">
      <w:pPr>
        <w:spacing w:line="360" w:lineRule="auto"/>
        <w:outlineLvl w:val="0"/>
        <w:rPr>
          <w:rFonts w:ascii="宋体" w:hAnsi="宋体" w:eastAsia="宋体" w:cs="宋体"/>
          <w:sz w:val="24"/>
          <w:szCs w:val="24"/>
          <w:lang w:eastAsia="zh-CN"/>
        </w:rPr>
      </w:pPr>
      <w:bookmarkStart w:id="39" w:name="_Toc9167"/>
      <w:bookmarkStart w:id="40" w:name="_Toc2181"/>
      <w:r>
        <w:rPr>
          <w:rFonts w:ascii="宋体" w:hAnsi="宋体" w:eastAsia="宋体" w:cs="宋体"/>
          <w:b/>
          <w:bCs/>
          <w:sz w:val="24"/>
          <w:szCs w:val="24"/>
          <w:lang w:eastAsia="zh-CN"/>
        </w:rPr>
        <w:t>1.2资金来源和落实情况</w:t>
      </w:r>
      <w:bookmarkEnd w:id="39"/>
      <w:bookmarkEnd w:id="40"/>
    </w:p>
    <w:p w14:paraId="0B59DDDF">
      <w:pPr>
        <w:spacing w:line="360" w:lineRule="auto"/>
        <w:rPr>
          <w:rFonts w:ascii="宋体" w:hAnsi="宋体" w:eastAsia="宋体" w:cs="宋体"/>
          <w:sz w:val="24"/>
          <w:szCs w:val="24"/>
          <w:lang w:eastAsia="zh-CN"/>
        </w:rPr>
      </w:pPr>
      <w:r>
        <w:rPr>
          <w:rFonts w:ascii="宋体" w:hAnsi="宋体" w:eastAsia="宋体" w:cs="宋体"/>
          <w:sz w:val="24"/>
          <w:szCs w:val="24"/>
          <w:lang w:eastAsia="zh-CN"/>
        </w:rPr>
        <w:t>1.2.1 本招标项目的资金来源：见投标人须知前附表。</w:t>
      </w:r>
    </w:p>
    <w:p w14:paraId="23B2C1B7">
      <w:pPr>
        <w:spacing w:line="360" w:lineRule="auto"/>
        <w:rPr>
          <w:rFonts w:ascii="宋体" w:hAnsi="宋体" w:eastAsia="宋体" w:cs="宋体"/>
          <w:sz w:val="24"/>
          <w:szCs w:val="24"/>
          <w:lang w:eastAsia="zh-CN"/>
        </w:rPr>
      </w:pPr>
      <w:r>
        <w:rPr>
          <w:rFonts w:ascii="宋体" w:hAnsi="宋体" w:eastAsia="宋体" w:cs="宋体"/>
          <w:sz w:val="24"/>
          <w:szCs w:val="24"/>
          <w:lang w:eastAsia="zh-CN"/>
        </w:rPr>
        <w:t>1.2.2 本招标项目的资金落实情况：见投标人须知前附表。</w:t>
      </w:r>
    </w:p>
    <w:p w14:paraId="3275F451">
      <w:pPr>
        <w:spacing w:line="360" w:lineRule="auto"/>
        <w:outlineLvl w:val="0"/>
        <w:rPr>
          <w:rFonts w:ascii="宋体" w:hAnsi="宋体" w:eastAsia="宋体" w:cs="宋体"/>
          <w:sz w:val="24"/>
          <w:szCs w:val="24"/>
          <w:lang w:eastAsia="zh-CN"/>
        </w:rPr>
      </w:pPr>
      <w:bookmarkStart w:id="41" w:name="_Toc15355"/>
      <w:bookmarkStart w:id="42" w:name="_Toc10761"/>
      <w:r>
        <w:rPr>
          <w:rFonts w:ascii="宋体" w:hAnsi="宋体" w:eastAsia="宋体" w:cs="宋体"/>
          <w:b/>
          <w:bCs/>
          <w:sz w:val="24"/>
          <w:szCs w:val="24"/>
          <w:lang w:eastAsia="zh-CN"/>
        </w:rPr>
        <w:t>1.3招标范围、合同履行期限</w:t>
      </w:r>
      <w:r>
        <w:rPr>
          <w:rFonts w:hint="eastAsia" w:ascii="宋体" w:hAnsi="宋体" w:eastAsia="宋体" w:cs="宋体"/>
          <w:b/>
          <w:bCs/>
          <w:sz w:val="24"/>
          <w:szCs w:val="24"/>
          <w:lang w:eastAsia="zh-CN"/>
        </w:rPr>
        <w:t>（</w:t>
      </w:r>
      <w:r>
        <w:rPr>
          <w:rFonts w:ascii="宋体" w:hAnsi="宋体" w:eastAsia="宋体" w:cs="宋体"/>
          <w:b/>
          <w:bCs/>
          <w:sz w:val="24"/>
          <w:szCs w:val="24"/>
          <w:lang w:eastAsia="zh-CN"/>
        </w:rPr>
        <w:t>服务期</w:t>
      </w:r>
      <w:r>
        <w:rPr>
          <w:rFonts w:hint="eastAsia" w:ascii="宋体" w:hAnsi="宋体" w:eastAsia="宋体" w:cs="宋体"/>
          <w:b/>
          <w:bCs/>
          <w:sz w:val="24"/>
          <w:szCs w:val="24"/>
          <w:lang w:eastAsia="zh-CN"/>
        </w:rPr>
        <w:t>）</w:t>
      </w:r>
      <w:r>
        <w:rPr>
          <w:rFonts w:ascii="宋体" w:hAnsi="宋体" w:eastAsia="宋体" w:cs="宋体"/>
          <w:b/>
          <w:bCs/>
          <w:sz w:val="24"/>
          <w:szCs w:val="24"/>
          <w:lang w:eastAsia="zh-CN"/>
        </w:rPr>
        <w:t>、服务标准、项目概况</w:t>
      </w:r>
      <w:bookmarkEnd w:id="41"/>
      <w:bookmarkEnd w:id="42"/>
    </w:p>
    <w:p w14:paraId="46645470">
      <w:pPr>
        <w:spacing w:line="360" w:lineRule="auto"/>
        <w:rPr>
          <w:rFonts w:ascii="宋体" w:hAnsi="宋体" w:eastAsia="宋体" w:cs="宋体"/>
          <w:sz w:val="24"/>
          <w:szCs w:val="24"/>
          <w:lang w:eastAsia="zh-CN"/>
        </w:rPr>
      </w:pPr>
      <w:r>
        <w:rPr>
          <w:rFonts w:ascii="宋体" w:hAnsi="宋体" w:eastAsia="宋体" w:cs="宋体"/>
          <w:sz w:val="24"/>
          <w:szCs w:val="24"/>
          <w:lang w:eastAsia="zh-CN"/>
        </w:rPr>
        <w:t>1.3.1 本次招标范围：见投标人须知前附表。</w:t>
      </w:r>
    </w:p>
    <w:p w14:paraId="3DD975C6">
      <w:pPr>
        <w:spacing w:line="360" w:lineRule="auto"/>
        <w:rPr>
          <w:rFonts w:ascii="宋体" w:hAnsi="宋体" w:eastAsia="宋体" w:cs="宋体"/>
          <w:sz w:val="24"/>
          <w:szCs w:val="24"/>
          <w:lang w:eastAsia="zh-CN"/>
        </w:rPr>
      </w:pPr>
      <w:r>
        <w:rPr>
          <w:rFonts w:ascii="宋体" w:hAnsi="宋体" w:eastAsia="宋体" w:cs="宋体"/>
          <w:sz w:val="24"/>
          <w:szCs w:val="24"/>
          <w:lang w:eastAsia="zh-CN"/>
        </w:rPr>
        <w:t>1.3.2 本招标项目的合同履行期限：见投标人须知前附表。</w:t>
      </w:r>
    </w:p>
    <w:p w14:paraId="1D577250">
      <w:pPr>
        <w:spacing w:line="360" w:lineRule="auto"/>
        <w:rPr>
          <w:rFonts w:ascii="宋体" w:hAnsi="宋体" w:eastAsia="宋体" w:cs="宋体"/>
          <w:sz w:val="24"/>
          <w:szCs w:val="24"/>
          <w:lang w:eastAsia="zh-CN"/>
        </w:rPr>
      </w:pPr>
      <w:r>
        <w:rPr>
          <w:rFonts w:ascii="宋体" w:hAnsi="宋体" w:eastAsia="宋体" w:cs="宋体"/>
          <w:sz w:val="24"/>
          <w:szCs w:val="24"/>
          <w:lang w:eastAsia="zh-CN"/>
        </w:rPr>
        <w:t>1.3.3 本招标项目的服务标准：见投标人须知前附表。</w:t>
      </w:r>
    </w:p>
    <w:p w14:paraId="03076B6B">
      <w:pPr>
        <w:spacing w:line="360" w:lineRule="auto"/>
        <w:rPr>
          <w:rFonts w:ascii="宋体" w:hAnsi="宋体" w:eastAsia="宋体" w:cs="宋体"/>
          <w:sz w:val="24"/>
          <w:szCs w:val="24"/>
          <w:lang w:eastAsia="zh-CN"/>
        </w:rPr>
      </w:pPr>
      <w:r>
        <w:rPr>
          <w:rFonts w:ascii="宋体" w:hAnsi="宋体" w:eastAsia="宋体" w:cs="宋体"/>
          <w:sz w:val="24"/>
          <w:szCs w:val="24"/>
          <w:lang w:eastAsia="zh-CN"/>
        </w:rPr>
        <w:t>1.3.4本招标项目的项目概况：见投标人须知前附表。</w:t>
      </w:r>
    </w:p>
    <w:p w14:paraId="10CB612D">
      <w:pPr>
        <w:spacing w:line="360" w:lineRule="auto"/>
        <w:outlineLvl w:val="0"/>
        <w:rPr>
          <w:rFonts w:ascii="宋体" w:hAnsi="宋体" w:eastAsia="宋体" w:cs="宋体"/>
          <w:sz w:val="24"/>
          <w:szCs w:val="24"/>
          <w:lang w:eastAsia="zh-CN"/>
        </w:rPr>
      </w:pPr>
      <w:bookmarkStart w:id="43" w:name="_Toc10434"/>
      <w:bookmarkStart w:id="44" w:name="_Toc7892"/>
      <w:r>
        <w:rPr>
          <w:rFonts w:ascii="宋体" w:hAnsi="宋体" w:eastAsia="宋体" w:cs="宋体"/>
          <w:b/>
          <w:bCs/>
          <w:sz w:val="24"/>
          <w:szCs w:val="24"/>
          <w:lang w:eastAsia="zh-CN"/>
        </w:rPr>
        <w:t>1.4投标人资格要求</w:t>
      </w:r>
      <w:bookmarkEnd w:id="43"/>
      <w:bookmarkEnd w:id="44"/>
    </w:p>
    <w:p w14:paraId="5AE938B8">
      <w:pPr>
        <w:spacing w:line="360" w:lineRule="auto"/>
        <w:ind w:hanging="39"/>
        <w:rPr>
          <w:rFonts w:ascii="宋体" w:hAnsi="宋体" w:eastAsia="宋体" w:cs="宋体"/>
          <w:sz w:val="24"/>
          <w:szCs w:val="24"/>
          <w:lang w:eastAsia="zh-CN"/>
        </w:rPr>
      </w:pPr>
      <w:r>
        <w:rPr>
          <w:rFonts w:ascii="宋体" w:hAnsi="宋体" w:eastAsia="宋体" w:cs="宋体"/>
          <w:sz w:val="24"/>
          <w:szCs w:val="24"/>
          <w:lang w:eastAsia="zh-CN"/>
        </w:rPr>
        <w:t xml:space="preserve">1.4.1 投标人应具备承担本项目的资质条件、能力和信誉。 </w:t>
      </w: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资质条件：见投标人须知前附表；</w:t>
      </w:r>
    </w:p>
    <w:p w14:paraId="473F225D">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财务要求：见投标人须知前附表； </w:t>
      </w: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其他要求：见投标人须知前附表。</w:t>
      </w:r>
    </w:p>
    <w:p w14:paraId="3B997E3C">
      <w:pPr>
        <w:spacing w:line="360" w:lineRule="auto"/>
        <w:rPr>
          <w:rFonts w:ascii="宋体" w:hAnsi="宋体" w:eastAsia="宋体" w:cs="宋体"/>
          <w:sz w:val="24"/>
          <w:szCs w:val="24"/>
          <w:lang w:eastAsia="zh-CN"/>
        </w:rPr>
      </w:pPr>
      <w:r>
        <w:rPr>
          <w:rFonts w:ascii="宋体" w:hAnsi="宋体" w:eastAsia="宋体" w:cs="宋体"/>
          <w:sz w:val="24"/>
          <w:szCs w:val="24"/>
          <w:lang w:eastAsia="zh-CN"/>
        </w:rPr>
        <w:t>1.4.2 投标人不得存在下列情形之一：</w:t>
      </w:r>
    </w:p>
    <w:p w14:paraId="053DE8E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为采购人不具有独立法人资格的附属机构</w:t>
      </w:r>
      <w:r>
        <w:rPr>
          <w:rFonts w:hint="eastAsia" w:ascii="宋体" w:hAnsi="宋体" w:eastAsia="宋体" w:cs="宋体"/>
          <w:sz w:val="24"/>
          <w:szCs w:val="24"/>
          <w:lang w:eastAsia="zh-CN"/>
        </w:rPr>
        <w:t>（</w:t>
      </w:r>
      <w:r>
        <w:rPr>
          <w:rFonts w:ascii="宋体" w:hAnsi="宋体" w:eastAsia="宋体" w:cs="宋体"/>
          <w:sz w:val="24"/>
          <w:szCs w:val="24"/>
          <w:lang w:eastAsia="zh-CN"/>
        </w:rPr>
        <w:t>单位</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为本招标项目前期准备提供设计或咨询服务的；</w:t>
      </w:r>
    </w:p>
    <w:p w14:paraId="3C27F21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为本招标项目提供招标代理服务的；</w:t>
      </w:r>
    </w:p>
    <w:p w14:paraId="229842D7">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与本招标项目的招标代理机构同为一个法定代表人的； </w:t>
      </w:r>
      <w:r>
        <w:rPr>
          <w:rFonts w:hint="eastAsia" w:ascii="宋体" w:hAnsi="宋体" w:eastAsia="宋体" w:cs="宋体"/>
          <w:sz w:val="24"/>
          <w:szCs w:val="24"/>
          <w:lang w:eastAsia="zh-CN"/>
        </w:rPr>
        <w:t>（</w:t>
      </w:r>
      <w:r>
        <w:rPr>
          <w:rFonts w:ascii="宋体" w:hAnsi="宋体" w:eastAsia="宋体" w:cs="宋体"/>
          <w:sz w:val="24"/>
          <w:szCs w:val="24"/>
          <w:lang w:eastAsia="zh-CN"/>
        </w:rPr>
        <w:t>5</w:t>
      </w:r>
      <w:r>
        <w:rPr>
          <w:rFonts w:hint="eastAsia" w:ascii="宋体" w:hAnsi="宋体" w:eastAsia="宋体" w:cs="宋体"/>
          <w:sz w:val="24"/>
          <w:szCs w:val="24"/>
          <w:lang w:eastAsia="zh-CN"/>
        </w:rPr>
        <w:t>）</w:t>
      </w:r>
      <w:r>
        <w:rPr>
          <w:rFonts w:ascii="宋体" w:hAnsi="宋体" w:eastAsia="宋体" w:cs="宋体"/>
          <w:sz w:val="24"/>
          <w:szCs w:val="24"/>
          <w:lang w:eastAsia="zh-CN"/>
        </w:rPr>
        <w:t>与本招标项目的招标代理机构相互控股或参股的；</w:t>
      </w:r>
    </w:p>
    <w:p w14:paraId="3DC4AA7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6</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与本招标项目的招标代理机构相互任职或工作的； </w:t>
      </w:r>
      <w:r>
        <w:rPr>
          <w:rFonts w:hint="eastAsia" w:ascii="宋体" w:hAnsi="宋体" w:eastAsia="宋体" w:cs="宋体"/>
          <w:sz w:val="24"/>
          <w:szCs w:val="24"/>
          <w:lang w:eastAsia="zh-CN"/>
        </w:rPr>
        <w:t>（</w:t>
      </w:r>
      <w:r>
        <w:rPr>
          <w:rFonts w:ascii="宋体" w:hAnsi="宋体" w:eastAsia="宋体" w:cs="宋体"/>
          <w:sz w:val="24"/>
          <w:szCs w:val="24"/>
          <w:lang w:eastAsia="zh-CN"/>
        </w:rPr>
        <w:t>7</w:t>
      </w:r>
      <w:r>
        <w:rPr>
          <w:rFonts w:hint="eastAsia" w:ascii="宋体" w:hAnsi="宋体" w:eastAsia="宋体" w:cs="宋体"/>
          <w:sz w:val="24"/>
          <w:szCs w:val="24"/>
          <w:lang w:eastAsia="zh-CN"/>
        </w:rPr>
        <w:t>）</w:t>
      </w:r>
      <w:r>
        <w:rPr>
          <w:rFonts w:ascii="宋体" w:hAnsi="宋体" w:eastAsia="宋体" w:cs="宋体"/>
          <w:sz w:val="24"/>
          <w:szCs w:val="24"/>
          <w:lang w:eastAsia="zh-CN"/>
        </w:rPr>
        <w:t>被责令停业的；</w:t>
      </w:r>
    </w:p>
    <w:p w14:paraId="63414D4F">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8</w:t>
      </w:r>
      <w:r>
        <w:rPr>
          <w:rFonts w:hint="eastAsia" w:ascii="宋体" w:hAnsi="宋体" w:eastAsia="宋体" w:cs="宋体"/>
          <w:sz w:val="24"/>
          <w:szCs w:val="24"/>
          <w:lang w:eastAsia="zh-CN"/>
        </w:rPr>
        <w:t>）</w:t>
      </w:r>
      <w:r>
        <w:rPr>
          <w:rFonts w:ascii="宋体" w:hAnsi="宋体" w:eastAsia="宋体" w:cs="宋体"/>
          <w:sz w:val="24"/>
          <w:szCs w:val="24"/>
          <w:lang w:eastAsia="zh-CN"/>
        </w:rPr>
        <w:t>被暂停或取消投标资格的；</w:t>
      </w:r>
    </w:p>
    <w:p w14:paraId="6347F1A3">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9</w:t>
      </w:r>
      <w:r>
        <w:rPr>
          <w:rFonts w:hint="eastAsia" w:ascii="宋体" w:hAnsi="宋体" w:eastAsia="宋体" w:cs="宋体"/>
          <w:sz w:val="24"/>
          <w:szCs w:val="24"/>
          <w:lang w:eastAsia="zh-CN"/>
        </w:rPr>
        <w:t>）</w:t>
      </w:r>
      <w:r>
        <w:rPr>
          <w:rFonts w:ascii="宋体" w:hAnsi="宋体" w:eastAsia="宋体" w:cs="宋体"/>
          <w:sz w:val="24"/>
          <w:szCs w:val="24"/>
          <w:lang w:eastAsia="zh-CN"/>
        </w:rPr>
        <w:t>财产被接管或冻结的；</w:t>
      </w:r>
    </w:p>
    <w:p w14:paraId="419263D8">
      <w:pPr>
        <w:spacing w:line="360" w:lineRule="auto"/>
        <w:rPr>
          <w:rFonts w:ascii="宋体" w:hAnsi="宋体" w:eastAsia="宋体" w:cs="黑体"/>
          <w:sz w:val="24"/>
          <w:szCs w:val="24"/>
          <w:lang w:eastAsia="zh-CN"/>
        </w:rPr>
      </w:pPr>
      <w:r>
        <w:rPr>
          <w:rFonts w:hint="eastAsia" w:ascii="宋体" w:hAnsi="宋体" w:eastAsia="宋体" w:cs="黑体"/>
          <w:sz w:val="24"/>
          <w:szCs w:val="24"/>
          <w:lang w:eastAsia="zh-CN"/>
        </w:rPr>
        <w:t>（</w:t>
      </w:r>
      <w:r>
        <w:rPr>
          <w:rFonts w:ascii="宋体" w:hAnsi="宋体" w:eastAsia="宋体" w:cs="黑体"/>
          <w:sz w:val="24"/>
          <w:szCs w:val="24"/>
          <w:lang w:eastAsia="zh-CN"/>
        </w:rPr>
        <w:t>10</w:t>
      </w:r>
      <w:r>
        <w:rPr>
          <w:rFonts w:hint="eastAsia" w:ascii="宋体" w:hAnsi="宋体" w:eastAsia="宋体" w:cs="黑体"/>
          <w:sz w:val="24"/>
          <w:szCs w:val="24"/>
          <w:lang w:eastAsia="zh-CN"/>
        </w:rPr>
        <w:t>）</w:t>
      </w:r>
      <w:r>
        <w:rPr>
          <w:rFonts w:ascii="宋体" w:hAnsi="宋体" w:eastAsia="宋体" w:cs="黑体"/>
          <w:sz w:val="24"/>
          <w:szCs w:val="24"/>
          <w:lang w:eastAsia="zh-CN"/>
        </w:rPr>
        <w:t>在参与采购活动前三年内在经营活动中有重大违法记录。</w:t>
      </w:r>
    </w:p>
    <w:p w14:paraId="414959E0">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1.4.3单位负责人为同一人或者存在直接控股、管理关系的不同供应商，不得参加同一合同项 下的政府采购活动。</w:t>
      </w:r>
    </w:p>
    <w:p w14:paraId="7AEBCB7B">
      <w:pPr>
        <w:spacing w:line="360" w:lineRule="auto"/>
        <w:outlineLvl w:val="0"/>
        <w:rPr>
          <w:rFonts w:ascii="宋体" w:hAnsi="宋体" w:eastAsia="宋体" w:cs="宋体"/>
          <w:sz w:val="24"/>
          <w:szCs w:val="24"/>
          <w:lang w:eastAsia="zh-CN"/>
        </w:rPr>
      </w:pPr>
      <w:bookmarkStart w:id="45" w:name="_Toc30366"/>
      <w:bookmarkStart w:id="46" w:name="_Toc8827"/>
      <w:r>
        <w:rPr>
          <w:rFonts w:ascii="宋体" w:hAnsi="宋体" w:eastAsia="宋体" w:cs="宋体"/>
          <w:b/>
          <w:bCs/>
          <w:sz w:val="24"/>
          <w:szCs w:val="24"/>
          <w:lang w:eastAsia="zh-CN"/>
        </w:rPr>
        <w:t>1.5费用承担</w:t>
      </w:r>
      <w:bookmarkEnd w:id="45"/>
      <w:bookmarkEnd w:id="46"/>
    </w:p>
    <w:p w14:paraId="7C2928C5">
      <w:pPr>
        <w:spacing w:line="360" w:lineRule="auto"/>
        <w:rPr>
          <w:rFonts w:ascii="宋体" w:hAnsi="宋体" w:eastAsia="宋体" w:cs="宋体"/>
          <w:sz w:val="24"/>
          <w:szCs w:val="24"/>
          <w:lang w:eastAsia="zh-CN"/>
        </w:rPr>
      </w:pPr>
      <w:r>
        <w:rPr>
          <w:rFonts w:ascii="宋体" w:hAnsi="宋体" w:eastAsia="宋体" w:cs="宋体"/>
          <w:sz w:val="24"/>
          <w:szCs w:val="24"/>
          <w:lang w:eastAsia="zh-CN"/>
        </w:rPr>
        <w:t>投标人准备和参加投标活动发生的费用自理。</w:t>
      </w:r>
    </w:p>
    <w:p w14:paraId="041EBFDF">
      <w:pPr>
        <w:spacing w:line="360" w:lineRule="auto"/>
        <w:outlineLvl w:val="0"/>
        <w:rPr>
          <w:rFonts w:ascii="宋体" w:hAnsi="宋体" w:eastAsia="宋体" w:cs="宋体"/>
          <w:sz w:val="24"/>
          <w:szCs w:val="24"/>
          <w:lang w:eastAsia="zh-CN"/>
        </w:rPr>
      </w:pPr>
      <w:bookmarkStart w:id="47" w:name="_Toc9965"/>
      <w:bookmarkStart w:id="48" w:name="_Toc13461"/>
      <w:r>
        <w:rPr>
          <w:rFonts w:ascii="宋体" w:hAnsi="宋体" w:eastAsia="宋体" w:cs="宋体"/>
          <w:b/>
          <w:bCs/>
          <w:sz w:val="24"/>
          <w:szCs w:val="24"/>
          <w:lang w:eastAsia="zh-CN"/>
        </w:rPr>
        <w:t>1.6保密</w:t>
      </w:r>
      <w:bookmarkEnd w:id="47"/>
      <w:bookmarkEnd w:id="48"/>
    </w:p>
    <w:p w14:paraId="2817E734">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参与招标投标活动的各方应对招标文件和投标文件中的商业和技术等秘密保密，违者应对由此 造成的后果承担法律责任。</w:t>
      </w:r>
    </w:p>
    <w:p w14:paraId="38F93FAF">
      <w:pPr>
        <w:spacing w:line="360" w:lineRule="auto"/>
        <w:outlineLvl w:val="0"/>
        <w:rPr>
          <w:rFonts w:ascii="宋体" w:hAnsi="宋体" w:eastAsia="宋体" w:cs="宋体"/>
          <w:sz w:val="24"/>
          <w:szCs w:val="24"/>
          <w:lang w:eastAsia="zh-CN"/>
        </w:rPr>
      </w:pPr>
      <w:bookmarkStart w:id="49" w:name="_Toc7590"/>
      <w:bookmarkStart w:id="50" w:name="_Toc1260"/>
      <w:r>
        <w:rPr>
          <w:rFonts w:ascii="宋体" w:hAnsi="宋体" w:eastAsia="宋体" w:cs="宋体"/>
          <w:b/>
          <w:bCs/>
          <w:sz w:val="24"/>
          <w:szCs w:val="24"/>
          <w:lang w:eastAsia="zh-CN"/>
        </w:rPr>
        <w:t>1</w:t>
      </w:r>
      <w:r>
        <w:rPr>
          <w:rFonts w:hint="eastAsia" w:ascii="宋体" w:hAnsi="宋体" w:eastAsia="宋体" w:cs="宋体"/>
          <w:sz w:val="24"/>
          <w:szCs w:val="24"/>
          <w:lang w:eastAsia="zh-CN"/>
        </w:rPr>
        <w:t>.</w:t>
      </w:r>
      <w:r>
        <w:rPr>
          <w:rFonts w:ascii="宋体" w:hAnsi="宋体" w:eastAsia="宋体" w:cs="宋体"/>
          <w:b/>
          <w:bCs/>
          <w:sz w:val="24"/>
          <w:szCs w:val="24"/>
          <w:lang w:eastAsia="zh-CN"/>
        </w:rPr>
        <w:t>7语言文字</w:t>
      </w:r>
      <w:bookmarkEnd w:id="49"/>
      <w:bookmarkEnd w:id="50"/>
    </w:p>
    <w:p w14:paraId="0F5FBECF">
      <w:pPr>
        <w:spacing w:line="360" w:lineRule="auto"/>
        <w:rPr>
          <w:rFonts w:ascii="宋体" w:hAnsi="宋体" w:eastAsia="宋体" w:cs="宋体"/>
          <w:sz w:val="24"/>
          <w:szCs w:val="24"/>
          <w:lang w:eastAsia="zh-CN"/>
        </w:rPr>
      </w:pPr>
      <w:r>
        <w:rPr>
          <w:rFonts w:ascii="宋体" w:hAnsi="宋体" w:eastAsia="宋体" w:cs="宋体"/>
          <w:sz w:val="24"/>
          <w:szCs w:val="24"/>
          <w:lang w:eastAsia="zh-CN"/>
        </w:rPr>
        <w:t>招标投标文件使用的语言文字为中文。专用术语使用外文的，应附有中文注释。</w:t>
      </w:r>
    </w:p>
    <w:p w14:paraId="2C23DB7D">
      <w:pPr>
        <w:spacing w:line="360" w:lineRule="auto"/>
        <w:outlineLvl w:val="0"/>
        <w:rPr>
          <w:rFonts w:ascii="宋体" w:hAnsi="宋体" w:eastAsia="宋体" w:cs="宋体"/>
          <w:sz w:val="24"/>
          <w:szCs w:val="24"/>
          <w:lang w:eastAsia="zh-CN"/>
        </w:rPr>
      </w:pPr>
      <w:bookmarkStart w:id="51" w:name="_Toc27846"/>
      <w:bookmarkStart w:id="52" w:name="_Toc7265"/>
      <w:r>
        <w:rPr>
          <w:rFonts w:ascii="宋体" w:hAnsi="宋体" w:eastAsia="宋体" w:cs="宋体"/>
          <w:b/>
          <w:bCs/>
          <w:sz w:val="24"/>
          <w:szCs w:val="24"/>
          <w:lang w:eastAsia="zh-CN"/>
        </w:rPr>
        <w:t>1.8计量单位</w:t>
      </w:r>
      <w:bookmarkEnd w:id="51"/>
      <w:bookmarkEnd w:id="52"/>
    </w:p>
    <w:p w14:paraId="7E4CB8A0">
      <w:pPr>
        <w:spacing w:line="360" w:lineRule="auto"/>
        <w:rPr>
          <w:rFonts w:ascii="宋体" w:hAnsi="宋体" w:eastAsia="宋体" w:cs="宋体"/>
          <w:sz w:val="24"/>
          <w:szCs w:val="24"/>
          <w:lang w:eastAsia="zh-CN"/>
        </w:rPr>
      </w:pPr>
      <w:r>
        <w:rPr>
          <w:rFonts w:ascii="宋体" w:hAnsi="宋体" w:eastAsia="宋体" w:cs="宋体"/>
          <w:sz w:val="24"/>
          <w:szCs w:val="24"/>
          <w:lang w:eastAsia="zh-CN"/>
        </w:rPr>
        <w:t>所有计量均采用中华人民共和国法定计量单位。</w:t>
      </w:r>
    </w:p>
    <w:p w14:paraId="7C827676">
      <w:pPr>
        <w:spacing w:line="360" w:lineRule="auto"/>
        <w:outlineLvl w:val="0"/>
        <w:rPr>
          <w:rFonts w:ascii="宋体" w:hAnsi="宋体" w:eastAsia="宋体" w:cs="宋体"/>
          <w:sz w:val="24"/>
          <w:szCs w:val="24"/>
          <w:lang w:eastAsia="zh-CN"/>
        </w:rPr>
      </w:pPr>
      <w:bookmarkStart w:id="53" w:name="_Toc1817"/>
      <w:bookmarkStart w:id="54" w:name="_Toc26400"/>
      <w:r>
        <w:rPr>
          <w:rFonts w:ascii="宋体" w:hAnsi="宋体" w:eastAsia="宋体" w:cs="宋体"/>
          <w:b/>
          <w:bCs/>
          <w:sz w:val="24"/>
          <w:szCs w:val="24"/>
          <w:lang w:eastAsia="zh-CN"/>
        </w:rPr>
        <w:t>1</w:t>
      </w:r>
      <w:r>
        <w:rPr>
          <w:rFonts w:hint="eastAsia" w:ascii="宋体" w:hAnsi="宋体" w:eastAsia="宋体" w:cs="宋体"/>
          <w:sz w:val="24"/>
          <w:szCs w:val="24"/>
          <w:lang w:eastAsia="zh-CN"/>
        </w:rPr>
        <w:t>.</w:t>
      </w:r>
      <w:r>
        <w:rPr>
          <w:rFonts w:ascii="宋体" w:hAnsi="宋体" w:eastAsia="宋体" w:cs="宋体"/>
          <w:b/>
          <w:bCs/>
          <w:sz w:val="24"/>
          <w:szCs w:val="24"/>
          <w:lang w:eastAsia="zh-CN"/>
        </w:rPr>
        <w:t>9踏勘现场</w:t>
      </w:r>
      <w:bookmarkEnd w:id="53"/>
      <w:bookmarkEnd w:id="54"/>
    </w:p>
    <w:p w14:paraId="57598A03">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1.9.1 投标人须知前附表规定组织踏勘现场的，采购人按投标人须知前附表规定的时间、地点 组织投标人踏勘项目现场。</w:t>
      </w:r>
    </w:p>
    <w:p w14:paraId="456E156D">
      <w:pPr>
        <w:spacing w:line="360" w:lineRule="auto"/>
        <w:rPr>
          <w:rFonts w:ascii="宋体" w:hAnsi="宋体" w:eastAsia="宋体" w:cs="宋体"/>
          <w:sz w:val="24"/>
          <w:szCs w:val="24"/>
          <w:lang w:eastAsia="zh-CN"/>
        </w:rPr>
      </w:pPr>
      <w:r>
        <w:rPr>
          <w:rFonts w:ascii="宋体" w:hAnsi="宋体" w:eastAsia="宋体" w:cs="宋体"/>
          <w:sz w:val="24"/>
          <w:szCs w:val="24"/>
          <w:lang w:eastAsia="zh-CN"/>
        </w:rPr>
        <w:t>1.9.2 投标人踏勘现场发生的费用自理。</w:t>
      </w:r>
    </w:p>
    <w:p w14:paraId="51099C54">
      <w:pPr>
        <w:spacing w:line="360" w:lineRule="auto"/>
        <w:rPr>
          <w:rFonts w:ascii="宋体" w:hAnsi="宋体" w:eastAsia="宋体" w:cs="宋体"/>
          <w:sz w:val="24"/>
          <w:szCs w:val="24"/>
          <w:lang w:eastAsia="zh-CN"/>
        </w:rPr>
      </w:pPr>
      <w:r>
        <w:rPr>
          <w:rFonts w:ascii="宋体" w:hAnsi="宋体" w:eastAsia="宋体" w:cs="宋体"/>
          <w:sz w:val="24"/>
          <w:szCs w:val="24"/>
          <w:lang w:eastAsia="zh-CN"/>
        </w:rPr>
        <w:t>1.9.3 除采购人的原因外，投标人自行负责在踏勘现场中所发生的人员伤亡和财产损失。</w:t>
      </w:r>
    </w:p>
    <w:p w14:paraId="212D9E55">
      <w:pPr>
        <w:spacing w:line="360"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1.9.4 采购人在踏勘现场中介绍的工程场地和相关的周边环境情况，供投标人在编制投标文件</w:t>
      </w:r>
    </w:p>
    <w:p w14:paraId="02854397">
      <w:pPr>
        <w:spacing w:line="360" w:lineRule="auto"/>
        <w:rPr>
          <w:rFonts w:ascii="宋体" w:hAnsi="宋体" w:eastAsia="宋体" w:cs="宋体"/>
          <w:sz w:val="24"/>
          <w:szCs w:val="24"/>
          <w:lang w:eastAsia="zh-CN"/>
        </w:rPr>
      </w:pPr>
      <w:r>
        <w:rPr>
          <w:rFonts w:ascii="宋体" w:hAnsi="宋体" w:eastAsia="宋体" w:cs="宋体"/>
          <w:sz w:val="24"/>
          <w:szCs w:val="24"/>
          <w:lang w:eastAsia="zh-CN"/>
        </w:rPr>
        <w:t>时参考，采购人不对投标人据此作出的判断和决策负责。</w:t>
      </w:r>
    </w:p>
    <w:p w14:paraId="7F986464">
      <w:pPr>
        <w:spacing w:line="360" w:lineRule="auto"/>
        <w:outlineLvl w:val="0"/>
        <w:rPr>
          <w:rFonts w:ascii="宋体" w:hAnsi="宋体" w:eastAsia="宋体" w:cs="宋体"/>
          <w:sz w:val="24"/>
          <w:szCs w:val="24"/>
          <w:lang w:eastAsia="zh-CN"/>
        </w:rPr>
      </w:pPr>
      <w:bookmarkStart w:id="55" w:name="_Toc9047"/>
      <w:bookmarkStart w:id="56" w:name="_Toc27857"/>
      <w:r>
        <w:rPr>
          <w:rFonts w:ascii="宋体" w:hAnsi="宋体" w:eastAsia="宋体" w:cs="宋体"/>
          <w:b/>
          <w:bCs/>
          <w:sz w:val="24"/>
          <w:szCs w:val="24"/>
          <w:lang w:eastAsia="zh-CN"/>
        </w:rPr>
        <w:t>1.10投标预备会</w:t>
      </w:r>
      <w:bookmarkEnd w:id="55"/>
      <w:bookmarkEnd w:id="56"/>
    </w:p>
    <w:p w14:paraId="5D8C6253">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1.10.1 投标人须知前附表规定召开投标预备会的，采购人按投标人须知前附表规定的时间和 地点召开投标预备会，澄清投标人提出的问题。</w:t>
      </w:r>
    </w:p>
    <w:p w14:paraId="40EFBEB7">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1.10.2投标人应在投标人须知前附表规定的时间前，以书面形式将提出的问题送达采购人， 以便采购人在会议期间澄清。</w:t>
      </w:r>
    </w:p>
    <w:p w14:paraId="6A0EE248">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1.10.3投标预备会后，采购人在投标人须知前附表规定的时间内，将对投标人所提问题的澄 清，以书面形式通知所有获取招标文件的投标人。该澄清内容为招标文件的组成部分。</w:t>
      </w:r>
    </w:p>
    <w:p w14:paraId="39D57A6B">
      <w:pPr>
        <w:spacing w:line="360" w:lineRule="auto"/>
        <w:outlineLvl w:val="0"/>
        <w:rPr>
          <w:rFonts w:ascii="宋体" w:hAnsi="宋体" w:eastAsia="宋体" w:cs="宋体"/>
          <w:sz w:val="24"/>
          <w:szCs w:val="24"/>
          <w:lang w:eastAsia="zh-CN"/>
        </w:rPr>
      </w:pPr>
      <w:bookmarkStart w:id="57" w:name="_Toc14763"/>
      <w:bookmarkStart w:id="58" w:name="_Toc10840"/>
      <w:r>
        <w:rPr>
          <w:rFonts w:ascii="宋体" w:hAnsi="宋体" w:eastAsia="宋体" w:cs="宋体"/>
          <w:b/>
          <w:bCs/>
          <w:sz w:val="24"/>
          <w:szCs w:val="24"/>
          <w:lang w:eastAsia="zh-CN"/>
        </w:rPr>
        <w:t>1.11偏离</w:t>
      </w:r>
      <w:bookmarkEnd w:id="57"/>
      <w:bookmarkEnd w:id="58"/>
    </w:p>
    <w:p w14:paraId="459117C7">
      <w:pPr>
        <w:spacing w:line="360" w:lineRule="auto"/>
        <w:rPr>
          <w:rFonts w:ascii="宋体" w:hAnsi="宋体" w:eastAsia="宋体" w:cs="宋体"/>
          <w:sz w:val="24"/>
          <w:szCs w:val="24"/>
          <w:lang w:eastAsia="zh-CN"/>
        </w:rPr>
      </w:pPr>
      <w:r>
        <w:rPr>
          <w:rFonts w:ascii="宋体" w:hAnsi="宋体" w:eastAsia="宋体" w:cs="宋体"/>
          <w:sz w:val="24"/>
          <w:szCs w:val="24"/>
          <w:lang w:eastAsia="zh-CN"/>
        </w:rPr>
        <w:t>不允许。</w:t>
      </w:r>
    </w:p>
    <w:p w14:paraId="72084512">
      <w:pPr>
        <w:spacing w:line="360" w:lineRule="auto"/>
        <w:outlineLvl w:val="0"/>
        <w:rPr>
          <w:rFonts w:ascii="宋体" w:hAnsi="宋体" w:eastAsia="宋体" w:cs="宋体"/>
          <w:sz w:val="24"/>
          <w:szCs w:val="24"/>
          <w:lang w:eastAsia="zh-CN"/>
        </w:rPr>
      </w:pPr>
      <w:bookmarkStart w:id="59" w:name="_Toc28505"/>
      <w:bookmarkStart w:id="60" w:name="_Toc17611"/>
      <w:r>
        <w:rPr>
          <w:rFonts w:ascii="宋体" w:hAnsi="宋体" w:eastAsia="宋体" w:cs="宋体"/>
          <w:b/>
          <w:bCs/>
          <w:sz w:val="24"/>
          <w:szCs w:val="24"/>
          <w:lang w:eastAsia="zh-CN"/>
        </w:rPr>
        <w:t>2.招标文件</w:t>
      </w:r>
      <w:bookmarkEnd w:id="59"/>
      <w:bookmarkEnd w:id="60"/>
    </w:p>
    <w:p w14:paraId="2504E1B8">
      <w:pPr>
        <w:spacing w:line="360" w:lineRule="auto"/>
        <w:outlineLvl w:val="0"/>
        <w:rPr>
          <w:rFonts w:ascii="宋体" w:hAnsi="宋体" w:eastAsia="宋体" w:cs="宋体"/>
          <w:sz w:val="24"/>
          <w:szCs w:val="24"/>
          <w:lang w:eastAsia="zh-CN"/>
        </w:rPr>
      </w:pPr>
      <w:bookmarkStart w:id="61" w:name="_Toc2746"/>
      <w:bookmarkStart w:id="62" w:name="_Toc27672"/>
      <w:r>
        <w:rPr>
          <w:rFonts w:ascii="宋体" w:hAnsi="宋体" w:eastAsia="宋体" w:cs="宋体"/>
          <w:b/>
          <w:bCs/>
          <w:sz w:val="24"/>
          <w:szCs w:val="24"/>
          <w:lang w:eastAsia="zh-CN"/>
        </w:rPr>
        <w:t>2.1招标文件的组成</w:t>
      </w:r>
      <w:bookmarkEnd w:id="61"/>
      <w:bookmarkEnd w:id="62"/>
    </w:p>
    <w:p w14:paraId="5DE0BE56">
      <w:pPr>
        <w:spacing w:line="360" w:lineRule="auto"/>
        <w:rPr>
          <w:rFonts w:ascii="宋体" w:hAnsi="宋体" w:eastAsia="宋体" w:cs="宋体"/>
          <w:sz w:val="24"/>
          <w:szCs w:val="24"/>
          <w:lang w:eastAsia="zh-CN"/>
        </w:rPr>
      </w:pPr>
      <w:r>
        <w:rPr>
          <w:rFonts w:ascii="宋体" w:hAnsi="宋体" w:eastAsia="宋体" w:cs="宋体"/>
          <w:sz w:val="24"/>
          <w:szCs w:val="24"/>
          <w:lang w:eastAsia="zh-CN"/>
        </w:rPr>
        <w:t>2.1.1 本招标文件包括：</w:t>
      </w:r>
    </w:p>
    <w:p w14:paraId="13D4842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招标公告</w:t>
      </w:r>
      <w:r>
        <w:rPr>
          <w:rFonts w:hint="eastAsia" w:ascii="宋体" w:hAnsi="宋体" w:eastAsia="宋体" w:cs="宋体"/>
          <w:sz w:val="24"/>
          <w:szCs w:val="24"/>
          <w:lang w:eastAsia="zh-CN"/>
        </w:rPr>
        <w:t>（</w:t>
      </w:r>
      <w:r>
        <w:rPr>
          <w:rFonts w:ascii="宋体" w:hAnsi="宋体" w:eastAsia="宋体" w:cs="宋体"/>
          <w:sz w:val="24"/>
          <w:szCs w:val="24"/>
          <w:lang w:eastAsia="zh-CN"/>
        </w:rPr>
        <w:t>或投标邀请书</w:t>
      </w:r>
      <w:r>
        <w:rPr>
          <w:rFonts w:hint="eastAsia" w:ascii="宋体" w:hAnsi="宋体" w:eastAsia="宋体" w:cs="宋体"/>
          <w:sz w:val="24"/>
          <w:szCs w:val="24"/>
          <w:lang w:eastAsia="zh-CN"/>
        </w:rPr>
        <w:t>）</w:t>
      </w:r>
      <w:r>
        <w:rPr>
          <w:rFonts w:ascii="宋体" w:hAnsi="宋体" w:eastAsia="宋体" w:cs="宋体"/>
          <w:sz w:val="24"/>
          <w:szCs w:val="24"/>
          <w:lang w:eastAsia="zh-CN"/>
        </w:rPr>
        <w:t xml:space="preserve">; </w:t>
      </w: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投标人须知；</w:t>
      </w:r>
    </w:p>
    <w:p w14:paraId="29A46B76">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评标办法；</w:t>
      </w:r>
    </w:p>
    <w:p w14:paraId="29177B8B">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ascii="宋体" w:hAnsi="宋体" w:eastAsia="宋体" w:cs="宋体"/>
          <w:sz w:val="24"/>
          <w:szCs w:val="24"/>
          <w:lang w:eastAsia="zh-CN"/>
        </w:rPr>
        <w:t>合同条款及格式；</w:t>
      </w:r>
    </w:p>
    <w:p w14:paraId="66C8B5E8">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5</w:t>
      </w:r>
      <w:r>
        <w:rPr>
          <w:rFonts w:hint="eastAsia" w:ascii="宋体" w:hAnsi="宋体" w:eastAsia="宋体" w:cs="宋体"/>
          <w:sz w:val="24"/>
          <w:szCs w:val="24"/>
          <w:lang w:eastAsia="zh-CN"/>
        </w:rPr>
        <w:t>）</w:t>
      </w:r>
      <w:r>
        <w:rPr>
          <w:rFonts w:ascii="宋体" w:hAnsi="宋体" w:eastAsia="宋体" w:cs="宋体"/>
          <w:sz w:val="24"/>
          <w:szCs w:val="24"/>
          <w:lang w:eastAsia="zh-CN"/>
        </w:rPr>
        <w:t>投标文件格式；</w:t>
      </w:r>
    </w:p>
    <w:p w14:paraId="1BB26CC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6</w:t>
      </w:r>
      <w:r>
        <w:rPr>
          <w:rFonts w:hint="eastAsia" w:ascii="宋体" w:hAnsi="宋体" w:eastAsia="宋体" w:cs="宋体"/>
          <w:sz w:val="24"/>
          <w:szCs w:val="24"/>
          <w:lang w:eastAsia="zh-CN"/>
        </w:rPr>
        <w:t>）</w:t>
      </w:r>
      <w:r>
        <w:rPr>
          <w:rFonts w:ascii="宋体" w:hAnsi="宋体" w:eastAsia="宋体" w:cs="宋体"/>
          <w:sz w:val="24"/>
          <w:szCs w:val="24"/>
          <w:lang w:eastAsia="zh-CN"/>
        </w:rPr>
        <w:t>技术标准及要求。</w:t>
      </w:r>
    </w:p>
    <w:p w14:paraId="04BD92BF">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2.1.2 根据本章第1.10款、第2.2款和第2.3款对招标文件所作的澄清、修改，构成招标文 件的组成部分。</w:t>
      </w:r>
    </w:p>
    <w:p w14:paraId="6B11DD33">
      <w:pPr>
        <w:pStyle w:val="5"/>
        <w:spacing w:line="360" w:lineRule="auto"/>
        <w:rPr>
          <w:rFonts w:ascii="宋体" w:hAnsi="宋体" w:eastAsia="宋体"/>
          <w:sz w:val="24"/>
          <w:szCs w:val="24"/>
          <w:lang w:eastAsia="zh-CN"/>
        </w:rPr>
      </w:pPr>
    </w:p>
    <w:p w14:paraId="4C767A5E">
      <w:pPr>
        <w:spacing w:line="360" w:lineRule="auto"/>
        <w:outlineLvl w:val="0"/>
        <w:rPr>
          <w:rFonts w:ascii="宋体" w:hAnsi="宋体" w:eastAsia="宋体" w:cs="宋体"/>
          <w:sz w:val="24"/>
          <w:szCs w:val="24"/>
          <w:lang w:eastAsia="zh-CN"/>
        </w:rPr>
      </w:pPr>
      <w:bookmarkStart w:id="63" w:name="_Toc793"/>
      <w:bookmarkStart w:id="64" w:name="_Toc20502"/>
      <w:r>
        <w:rPr>
          <w:rFonts w:ascii="宋体" w:hAnsi="宋体" w:eastAsia="宋体" w:cs="宋体"/>
          <w:b/>
          <w:bCs/>
          <w:sz w:val="24"/>
          <w:szCs w:val="24"/>
          <w:lang w:eastAsia="zh-CN"/>
        </w:rPr>
        <w:t>2.2招标文件的澄清</w:t>
      </w:r>
      <w:bookmarkEnd w:id="63"/>
      <w:bookmarkEnd w:id="64"/>
    </w:p>
    <w:p w14:paraId="75B848B4">
      <w:pPr>
        <w:pStyle w:val="5"/>
        <w:spacing w:line="360" w:lineRule="auto"/>
        <w:rPr>
          <w:rFonts w:ascii="宋体" w:hAnsi="宋体" w:eastAsia="宋体"/>
          <w:sz w:val="24"/>
          <w:szCs w:val="24"/>
          <w:lang w:eastAsia="zh-CN"/>
        </w:rPr>
      </w:pPr>
    </w:p>
    <w:p w14:paraId="3F882D5C">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2.2.1 投标人应仔细阅读和检查招标文件的全部内容。如发现缺页或附件不全，应及时向采购 人提出，以便补齐。如有疑问，应在投标人须知前附表规定的时间前以书面形式</w:t>
      </w:r>
      <w:r>
        <w:rPr>
          <w:rFonts w:hint="eastAsia" w:ascii="宋体" w:hAnsi="宋体" w:eastAsia="宋体" w:cs="宋体"/>
          <w:sz w:val="24"/>
          <w:szCs w:val="24"/>
          <w:lang w:eastAsia="zh-CN"/>
        </w:rPr>
        <w:t>（</w:t>
      </w:r>
      <w:r>
        <w:rPr>
          <w:rFonts w:ascii="宋体" w:hAnsi="宋体" w:eastAsia="宋体" w:cs="宋体"/>
          <w:sz w:val="24"/>
          <w:szCs w:val="24"/>
          <w:lang w:eastAsia="zh-CN"/>
        </w:rPr>
        <w:t>包括信函、电报、 传真等可以有形地表现所载内容的形式，下同</w:t>
      </w:r>
      <w:r>
        <w:rPr>
          <w:rFonts w:hint="eastAsia" w:ascii="宋体" w:hAnsi="宋体" w:eastAsia="宋体" w:cs="宋体"/>
          <w:sz w:val="24"/>
          <w:szCs w:val="24"/>
          <w:lang w:eastAsia="zh-CN"/>
        </w:rPr>
        <w:t>）</w:t>
      </w:r>
      <w:r>
        <w:rPr>
          <w:rFonts w:ascii="宋体" w:hAnsi="宋体" w:eastAsia="宋体" w:cs="宋体"/>
          <w:sz w:val="24"/>
          <w:szCs w:val="24"/>
          <w:lang w:eastAsia="zh-CN"/>
        </w:rPr>
        <w:t>,要求采购人对招标文件予以澄清。</w:t>
      </w:r>
    </w:p>
    <w:p w14:paraId="05C34C66">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2.2.2 招标文件的澄清将以书面形式发给所有获取招标文件的投标人，但不指明澄清问题的来 源。如果澄清发出的时间距投标人须知前附表规定的投标截止时间不足15天，并且澄清内容影响 投标文件编制的，将相应延长投标截止时间。</w:t>
      </w:r>
    </w:p>
    <w:p w14:paraId="01C9C91A">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2.2.3投标人在收到澄清后，应在投标人须知前附表规定的时间内以书面形式通知采购人，确 认已收到该澄清。</w:t>
      </w:r>
    </w:p>
    <w:p w14:paraId="4DC49F36">
      <w:pPr>
        <w:pStyle w:val="5"/>
        <w:spacing w:line="360" w:lineRule="auto"/>
        <w:rPr>
          <w:rFonts w:ascii="宋体" w:hAnsi="宋体" w:eastAsia="宋体"/>
          <w:sz w:val="24"/>
          <w:szCs w:val="24"/>
          <w:lang w:eastAsia="zh-CN"/>
        </w:rPr>
      </w:pPr>
    </w:p>
    <w:p w14:paraId="796BFA1C">
      <w:pPr>
        <w:spacing w:line="360" w:lineRule="auto"/>
        <w:outlineLvl w:val="0"/>
        <w:rPr>
          <w:rFonts w:ascii="宋体" w:hAnsi="宋体" w:eastAsia="宋体" w:cs="宋体"/>
          <w:sz w:val="24"/>
          <w:szCs w:val="24"/>
          <w:lang w:eastAsia="zh-CN"/>
        </w:rPr>
      </w:pPr>
      <w:bookmarkStart w:id="65" w:name="_Toc8842"/>
      <w:bookmarkStart w:id="66" w:name="_Toc30073"/>
      <w:r>
        <w:rPr>
          <w:rFonts w:ascii="宋体" w:hAnsi="宋体" w:eastAsia="宋体" w:cs="宋体"/>
          <w:b/>
          <w:bCs/>
          <w:sz w:val="24"/>
          <w:szCs w:val="24"/>
          <w:lang w:eastAsia="zh-CN"/>
        </w:rPr>
        <w:t>2.3招标文件的修改</w:t>
      </w:r>
      <w:bookmarkEnd w:id="65"/>
      <w:bookmarkEnd w:id="66"/>
    </w:p>
    <w:p w14:paraId="71B2FC20">
      <w:pPr>
        <w:pStyle w:val="5"/>
        <w:spacing w:line="360" w:lineRule="auto"/>
        <w:rPr>
          <w:rFonts w:ascii="宋体" w:hAnsi="宋体" w:eastAsia="宋体"/>
          <w:sz w:val="24"/>
          <w:szCs w:val="24"/>
          <w:lang w:eastAsia="zh-CN"/>
        </w:rPr>
      </w:pPr>
    </w:p>
    <w:p w14:paraId="71BE5364">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2.3.1采购人可以书面形式修改招标文件，并通知所有已获取招标文件的投标人。但如果修改 招标文件的时间距投标截止时间不足15天，并且修改内容影响投标文件编制的，将相应延长投标 截止时间。</w:t>
      </w:r>
    </w:p>
    <w:p w14:paraId="0DA9AB95">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2.3.2 投标人收到修改内容后，应在投标人须知前附表规定的时间内以书面形式通知采购人， 确认已收到该修改。</w:t>
      </w:r>
    </w:p>
    <w:p w14:paraId="454B60DB">
      <w:pPr>
        <w:pStyle w:val="5"/>
        <w:spacing w:line="360" w:lineRule="auto"/>
        <w:rPr>
          <w:rFonts w:ascii="宋体" w:hAnsi="宋体" w:eastAsia="宋体"/>
          <w:sz w:val="24"/>
          <w:szCs w:val="24"/>
          <w:lang w:eastAsia="zh-CN"/>
        </w:rPr>
      </w:pPr>
    </w:p>
    <w:p w14:paraId="211AE1C4">
      <w:pPr>
        <w:spacing w:line="360" w:lineRule="auto"/>
        <w:outlineLvl w:val="0"/>
        <w:rPr>
          <w:rFonts w:ascii="宋体" w:hAnsi="宋体" w:eastAsia="宋体" w:cs="宋体"/>
          <w:sz w:val="24"/>
          <w:szCs w:val="24"/>
          <w:lang w:eastAsia="zh-CN"/>
        </w:rPr>
      </w:pPr>
      <w:bookmarkStart w:id="67" w:name="_Toc12576"/>
      <w:bookmarkStart w:id="68" w:name="_Toc13642"/>
      <w:r>
        <w:rPr>
          <w:rFonts w:ascii="宋体" w:hAnsi="宋体" w:eastAsia="宋体" w:cs="宋体"/>
          <w:b/>
          <w:bCs/>
          <w:sz w:val="24"/>
          <w:szCs w:val="24"/>
          <w:lang w:eastAsia="zh-CN"/>
        </w:rPr>
        <w:t>3.投标文件</w:t>
      </w:r>
      <w:bookmarkEnd w:id="67"/>
      <w:bookmarkEnd w:id="68"/>
    </w:p>
    <w:p w14:paraId="106D6CCB">
      <w:pPr>
        <w:spacing w:line="360" w:lineRule="auto"/>
        <w:outlineLvl w:val="0"/>
        <w:rPr>
          <w:rFonts w:ascii="宋体" w:hAnsi="宋体" w:eastAsia="宋体" w:cs="宋体"/>
          <w:sz w:val="24"/>
          <w:szCs w:val="24"/>
          <w:lang w:eastAsia="zh-CN"/>
        </w:rPr>
      </w:pPr>
      <w:bookmarkStart w:id="69" w:name="_Toc5675"/>
      <w:bookmarkStart w:id="70" w:name="_Toc3717"/>
      <w:r>
        <w:rPr>
          <w:rFonts w:ascii="宋体" w:hAnsi="宋体" w:eastAsia="宋体" w:cs="宋体"/>
          <w:b/>
          <w:bCs/>
          <w:sz w:val="24"/>
          <w:szCs w:val="24"/>
          <w:lang w:eastAsia="zh-CN"/>
        </w:rPr>
        <w:t>3.1投标文件的组成</w:t>
      </w:r>
      <w:bookmarkEnd w:id="69"/>
      <w:bookmarkEnd w:id="70"/>
    </w:p>
    <w:p w14:paraId="78AE9B6F">
      <w:pPr>
        <w:pStyle w:val="5"/>
        <w:spacing w:line="360" w:lineRule="auto"/>
        <w:rPr>
          <w:rFonts w:ascii="宋体" w:hAnsi="宋体" w:eastAsia="宋体"/>
          <w:sz w:val="24"/>
          <w:szCs w:val="24"/>
          <w:lang w:eastAsia="zh-CN"/>
        </w:rPr>
      </w:pPr>
    </w:p>
    <w:p w14:paraId="029978BF">
      <w:pPr>
        <w:spacing w:line="360" w:lineRule="auto"/>
        <w:rPr>
          <w:rFonts w:ascii="宋体" w:hAnsi="宋体" w:eastAsia="宋体" w:cs="宋体"/>
          <w:sz w:val="24"/>
          <w:szCs w:val="24"/>
          <w:lang w:eastAsia="zh-CN"/>
        </w:rPr>
      </w:pPr>
      <w:r>
        <w:rPr>
          <w:rFonts w:ascii="宋体" w:hAnsi="宋体" w:eastAsia="宋体" w:cs="宋体"/>
          <w:sz w:val="24"/>
          <w:szCs w:val="24"/>
          <w:lang w:eastAsia="zh-CN"/>
        </w:rPr>
        <w:t>投标文件应包括下列内容：</w:t>
      </w:r>
    </w:p>
    <w:p w14:paraId="0125C617">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投标函及投标函附录</w:t>
      </w:r>
    </w:p>
    <w:p w14:paraId="777DAC99">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法定代表人身份证明</w:t>
      </w:r>
    </w:p>
    <w:p w14:paraId="3A4AFA2B">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授权委托书</w:t>
      </w:r>
    </w:p>
    <w:p w14:paraId="1FCF5E91">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ascii="宋体" w:hAnsi="宋体" w:eastAsia="宋体" w:cs="宋体"/>
          <w:sz w:val="24"/>
          <w:szCs w:val="24"/>
          <w:lang w:eastAsia="zh-CN"/>
        </w:rPr>
        <w:t>开标一览表</w:t>
      </w:r>
    </w:p>
    <w:p w14:paraId="338974A0">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5</w:t>
      </w:r>
      <w:r>
        <w:rPr>
          <w:rFonts w:hint="eastAsia" w:ascii="宋体" w:hAnsi="宋体" w:eastAsia="宋体" w:cs="宋体"/>
          <w:sz w:val="24"/>
          <w:szCs w:val="24"/>
          <w:lang w:eastAsia="zh-CN"/>
        </w:rPr>
        <w:t>）</w:t>
      </w:r>
      <w:r>
        <w:rPr>
          <w:rFonts w:ascii="宋体" w:hAnsi="宋体" w:eastAsia="宋体" w:cs="宋体"/>
          <w:sz w:val="24"/>
          <w:szCs w:val="24"/>
          <w:lang w:eastAsia="zh-CN"/>
        </w:rPr>
        <w:t>投标报价说明</w:t>
      </w:r>
    </w:p>
    <w:p w14:paraId="4EDE3BC1">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6</w:t>
      </w:r>
      <w:r>
        <w:rPr>
          <w:rFonts w:hint="eastAsia" w:ascii="宋体" w:hAnsi="宋体" w:eastAsia="宋体" w:cs="宋体"/>
          <w:sz w:val="24"/>
          <w:szCs w:val="24"/>
          <w:lang w:eastAsia="zh-CN"/>
        </w:rPr>
        <w:t>）</w:t>
      </w:r>
      <w:r>
        <w:rPr>
          <w:rFonts w:ascii="宋体" w:hAnsi="宋体" w:eastAsia="宋体" w:cs="宋体"/>
          <w:sz w:val="24"/>
          <w:szCs w:val="24"/>
          <w:lang w:eastAsia="zh-CN"/>
        </w:rPr>
        <w:t>工作服务方案</w:t>
      </w:r>
    </w:p>
    <w:p w14:paraId="0A3C83A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7</w:t>
      </w:r>
      <w:r>
        <w:rPr>
          <w:rFonts w:hint="eastAsia" w:ascii="宋体" w:hAnsi="宋体" w:eastAsia="宋体" w:cs="宋体"/>
          <w:sz w:val="24"/>
          <w:szCs w:val="24"/>
          <w:lang w:eastAsia="zh-CN"/>
        </w:rPr>
        <w:t>）</w:t>
      </w:r>
      <w:r>
        <w:rPr>
          <w:rFonts w:ascii="宋体" w:hAnsi="宋体" w:eastAsia="宋体" w:cs="宋体"/>
          <w:sz w:val="24"/>
          <w:szCs w:val="24"/>
          <w:lang w:eastAsia="zh-CN"/>
        </w:rPr>
        <w:t>项目管理机构</w:t>
      </w:r>
    </w:p>
    <w:p w14:paraId="794B1F9F">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8</w:t>
      </w:r>
      <w:r>
        <w:rPr>
          <w:rFonts w:hint="eastAsia" w:ascii="宋体" w:hAnsi="宋体" w:eastAsia="宋体" w:cs="宋体"/>
          <w:sz w:val="24"/>
          <w:szCs w:val="24"/>
          <w:lang w:eastAsia="zh-CN"/>
        </w:rPr>
        <w:t>）</w:t>
      </w:r>
      <w:r>
        <w:rPr>
          <w:rFonts w:ascii="宋体" w:hAnsi="宋体" w:eastAsia="宋体" w:cs="宋体"/>
          <w:sz w:val="24"/>
          <w:szCs w:val="24"/>
          <w:lang w:eastAsia="zh-CN"/>
        </w:rPr>
        <w:t>资格审查资料</w:t>
      </w:r>
    </w:p>
    <w:p w14:paraId="701365C9">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9</w:t>
      </w:r>
      <w:r>
        <w:rPr>
          <w:rFonts w:hint="eastAsia" w:ascii="宋体" w:hAnsi="宋体" w:eastAsia="宋体" w:cs="宋体"/>
          <w:sz w:val="24"/>
          <w:szCs w:val="24"/>
          <w:lang w:eastAsia="zh-CN"/>
        </w:rPr>
        <w:t>）</w:t>
      </w:r>
      <w:r>
        <w:rPr>
          <w:rFonts w:ascii="宋体" w:hAnsi="宋体" w:eastAsia="宋体" w:cs="宋体"/>
          <w:sz w:val="24"/>
          <w:szCs w:val="24"/>
          <w:lang w:eastAsia="zh-CN"/>
        </w:rPr>
        <w:t>商务及技术条款偏离表</w:t>
      </w:r>
    </w:p>
    <w:p w14:paraId="28FE60E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10</w:t>
      </w:r>
      <w:r>
        <w:rPr>
          <w:rFonts w:hint="eastAsia" w:ascii="宋体" w:hAnsi="宋体" w:eastAsia="宋体" w:cs="宋体"/>
          <w:sz w:val="24"/>
          <w:szCs w:val="24"/>
          <w:lang w:eastAsia="zh-CN"/>
        </w:rPr>
        <w:t>）</w:t>
      </w:r>
      <w:r>
        <w:rPr>
          <w:rFonts w:ascii="宋体" w:hAnsi="宋体" w:eastAsia="宋体" w:cs="宋体"/>
          <w:sz w:val="24"/>
          <w:szCs w:val="24"/>
          <w:lang w:eastAsia="zh-CN"/>
        </w:rPr>
        <w:t>其他材料</w:t>
      </w:r>
    </w:p>
    <w:p w14:paraId="65A736EB">
      <w:pPr>
        <w:spacing w:line="360" w:lineRule="auto"/>
        <w:outlineLvl w:val="0"/>
        <w:rPr>
          <w:rFonts w:ascii="宋体" w:hAnsi="宋体" w:eastAsia="宋体" w:cs="宋体"/>
          <w:sz w:val="24"/>
          <w:szCs w:val="24"/>
          <w:lang w:eastAsia="zh-CN"/>
        </w:rPr>
      </w:pPr>
      <w:bookmarkStart w:id="71" w:name="_Toc3258"/>
      <w:bookmarkStart w:id="72" w:name="_Toc24657"/>
      <w:r>
        <w:rPr>
          <w:rFonts w:ascii="宋体" w:hAnsi="宋体" w:eastAsia="宋体" w:cs="宋体"/>
          <w:b/>
          <w:bCs/>
          <w:sz w:val="24"/>
          <w:szCs w:val="24"/>
          <w:lang w:eastAsia="zh-CN"/>
        </w:rPr>
        <w:t>3.2投标报价</w:t>
      </w:r>
      <w:bookmarkEnd w:id="71"/>
      <w:bookmarkEnd w:id="72"/>
    </w:p>
    <w:p w14:paraId="57165A6C">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3.2.1 投标人应按第五章“投标文件格式”的要求填写相应表格。投标报价为项目涉及全部内 容价格</w:t>
      </w:r>
      <w:r>
        <w:rPr>
          <w:rFonts w:hint="eastAsia" w:ascii="宋体" w:hAnsi="宋体" w:eastAsia="宋体" w:cs="宋体"/>
          <w:sz w:val="24"/>
          <w:szCs w:val="24"/>
          <w:lang w:eastAsia="zh-CN"/>
        </w:rPr>
        <w:t>（</w:t>
      </w:r>
      <w:r>
        <w:rPr>
          <w:rFonts w:ascii="宋体" w:hAnsi="宋体" w:eastAsia="宋体" w:cs="宋体"/>
          <w:sz w:val="24"/>
          <w:szCs w:val="24"/>
          <w:lang w:eastAsia="zh-CN"/>
        </w:rPr>
        <w:t>包含服务、税务发票等所有费用</w:t>
      </w:r>
      <w:r>
        <w:rPr>
          <w:rFonts w:hint="eastAsia" w:ascii="宋体" w:hAnsi="宋体" w:eastAsia="宋体" w:cs="宋体"/>
          <w:sz w:val="24"/>
          <w:szCs w:val="24"/>
          <w:lang w:eastAsia="zh-CN"/>
        </w:rPr>
        <w:t>）</w:t>
      </w:r>
      <w:r>
        <w:rPr>
          <w:rFonts w:ascii="宋体" w:hAnsi="宋体" w:eastAsia="宋体" w:cs="宋体"/>
          <w:sz w:val="24"/>
          <w:szCs w:val="24"/>
          <w:lang w:eastAsia="zh-CN"/>
        </w:rPr>
        <w:t>。</w:t>
      </w:r>
    </w:p>
    <w:p w14:paraId="6A60C490">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3.2.2 投标人在投标截止时间前修改投标函中的投标报价总额，应同时修改“投标报价表”中 的相应报价，投标报价总额为各分项金额之和。此修改须符合本章第4.3款的有关要求。</w:t>
      </w:r>
    </w:p>
    <w:p w14:paraId="731D9506">
      <w:pPr>
        <w:spacing w:line="360" w:lineRule="auto"/>
        <w:rPr>
          <w:rFonts w:ascii="宋体" w:hAnsi="宋体" w:eastAsia="宋体" w:cs="宋体"/>
          <w:sz w:val="24"/>
          <w:szCs w:val="24"/>
          <w:lang w:eastAsia="zh-CN"/>
        </w:rPr>
      </w:pPr>
      <w:r>
        <w:rPr>
          <w:rFonts w:ascii="宋体" w:hAnsi="宋体" w:eastAsia="宋体" w:cs="宋体"/>
          <w:sz w:val="24"/>
          <w:szCs w:val="24"/>
          <w:lang w:eastAsia="zh-CN"/>
        </w:rPr>
        <w:t>3.2.3 采购人设有招标控制价的，投标人的投标报价不得超过招标控制价。</w:t>
      </w:r>
    </w:p>
    <w:p w14:paraId="0BFC9AFB">
      <w:pPr>
        <w:spacing w:line="360" w:lineRule="auto"/>
        <w:outlineLvl w:val="0"/>
        <w:rPr>
          <w:rFonts w:ascii="宋体" w:hAnsi="宋体" w:eastAsia="宋体" w:cs="宋体"/>
          <w:sz w:val="24"/>
          <w:szCs w:val="24"/>
          <w:lang w:eastAsia="zh-CN"/>
        </w:rPr>
      </w:pPr>
      <w:bookmarkStart w:id="73" w:name="_Toc23717"/>
      <w:bookmarkStart w:id="74" w:name="_Toc12010"/>
      <w:r>
        <w:rPr>
          <w:rFonts w:ascii="宋体" w:hAnsi="宋体" w:eastAsia="宋体" w:cs="宋体"/>
          <w:b/>
          <w:bCs/>
          <w:sz w:val="24"/>
          <w:szCs w:val="24"/>
          <w:lang w:eastAsia="zh-CN"/>
        </w:rPr>
        <w:t>3.3投标有效期</w:t>
      </w:r>
      <w:bookmarkEnd w:id="73"/>
      <w:bookmarkEnd w:id="74"/>
    </w:p>
    <w:p w14:paraId="01FBBF71">
      <w:pPr>
        <w:spacing w:line="360" w:lineRule="auto"/>
        <w:rPr>
          <w:rFonts w:ascii="宋体" w:hAnsi="宋体" w:eastAsia="宋体" w:cs="宋体"/>
          <w:sz w:val="24"/>
          <w:szCs w:val="24"/>
          <w:lang w:eastAsia="zh-CN"/>
        </w:rPr>
      </w:pPr>
      <w:r>
        <w:rPr>
          <w:rFonts w:ascii="宋体" w:hAnsi="宋体" w:eastAsia="宋体" w:cs="宋体"/>
          <w:sz w:val="24"/>
          <w:szCs w:val="24"/>
          <w:lang w:eastAsia="zh-CN"/>
        </w:rPr>
        <w:t>3.3.1投标有效期为投标截止之日起90日历天。</w:t>
      </w:r>
    </w:p>
    <w:p w14:paraId="1743A12D">
      <w:pPr>
        <w:spacing w:line="360"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3.3.2在投标有效期内，投标人撤销或修改其投标文件的，应承担招标文件和法律规定的责任。</w:t>
      </w:r>
    </w:p>
    <w:p w14:paraId="06630B3E">
      <w:pPr>
        <w:spacing w:line="360" w:lineRule="auto"/>
        <w:rPr>
          <w:rFonts w:ascii="宋体" w:hAnsi="宋体" w:eastAsia="宋体" w:cs="宋体"/>
          <w:sz w:val="24"/>
          <w:szCs w:val="24"/>
          <w:lang w:eastAsia="zh-CN"/>
        </w:rPr>
      </w:pPr>
      <w:r>
        <w:rPr>
          <w:rFonts w:ascii="宋体" w:hAnsi="宋体" w:eastAsia="宋体" w:cs="宋体"/>
          <w:sz w:val="24"/>
          <w:szCs w:val="24"/>
          <w:lang w:eastAsia="zh-CN"/>
        </w:rPr>
        <w:t>3.3.3出现特殊情况需要延长投标有效期的，采购人以书面形式通知所有投标人延长投标有效</w:t>
      </w:r>
    </w:p>
    <w:p w14:paraId="78C88230">
      <w:pPr>
        <w:spacing w:line="360" w:lineRule="auto"/>
        <w:rPr>
          <w:rFonts w:ascii="宋体" w:hAnsi="宋体" w:eastAsia="宋体" w:cs="宋体"/>
          <w:sz w:val="24"/>
          <w:szCs w:val="24"/>
          <w:lang w:eastAsia="zh-CN"/>
        </w:rPr>
      </w:pPr>
      <w:r>
        <w:rPr>
          <w:rFonts w:ascii="宋体" w:hAnsi="宋体" w:eastAsia="宋体" w:cs="宋体"/>
          <w:sz w:val="24"/>
          <w:szCs w:val="24"/>
          <w:lang w:eastAsia="zh-CN"/>
        </w:rPr>
        <w:t>期。投标人同意延长的，应相应延长其投标保证金的有效期，但不得要求或被允许修改或撤销其投 标文件；投标人拒绝延长的，其投标失效，但投标人有权收回其投标保证金。</w:t>
      </w:r>
    </w:p>
    <w:p w14:paraId="3D8BE9B0">
      <w:pPr>
        <w:spacing w:line="360" w:lineRule="auto"/>
        <w:outlineLvl w:val="0"/>
        <w:rPr>
          <w:rFonts w:ascii="宋体" w:hAnsi="宋体" w:eastAsia="宋体" w:cs="宋体"/>
          <w:sz w:val="24"/>
          <w:szCs w:val="24"/>
          <w:lang w:eastAsia="zh-CN"/>
        </w:rPr>
      </w:pPr>
      <w:bookmarkStart w:id="75" w:name="_Toc4594"/>
      <w:bookmarkStart w:id="76" w:name="_Toc13292"/>
      <w:r>
        <w:rPr>
          <w:rFonts w:ascii="宋体" w:hAnsi="宋体" w:eastAsia="宋体" w:cs="宋体"/>
          <w:b/>
          <w:bCs/>
          <w:sz w:val="24"/>
          <w:szCs w:val="24"/>
          <w:lang w:eastAsia="zh-CN"/>
        </w:rPr>
        <w:t>3.4投标保证金</w:t>
      </w:r>
      <w:bookmarkEnd w:id="75"/>
      <w:bookmarkEnd w:id="76"/>
    </w:p>
    <w:p w14:paraId="6D019FBD">
      <w:pPr>
        <w:spacing w:line="360" w:lineRule="auto"/>
        <w:ind w:firstLine="429"/>
        <w:jc w:val="both"/>
        <w:rPr>
          <w:rFonts w:ascii="宋体" w:hAnsi="宋体" w:eastAsia="宋体" w:cs="宋体"/>
          <w:sz w:val="24"/>
          <w:szCs w:val="24"/>
          <w:lang w:eastAsia="zh-CN"/>
        </w:rPr>
      </w:pPr>
      <w:r>
        <w:rPr>
          <w:rFonts w:ascii="宋体" w:hAnsi="宋体" w:eastAsia="宋体" w:cs="宋体"/>
          <w:sz w:val="24"/>
          <w:szCs w:val="24"/>
          <w:lang w:eastAsia="zh-CN"/>
        </w:rPr>
        <w:t>3.4.1 投标人须知前附表规定递交投标保证金的，投标人在递交投标文件的同时，应按投标人 须知前附表规定的金额、担保形式和第八章“投标文件格式”规定的或者事先经过采购人认可的投 标保证金格式递交投标保证金，并作为其投标文件的组成部分。</w:t>
      </w:r>
    </w:p>
    <w:p w14:paraId="332AB0A3">
      <w:pPr>
        <w:spacing w:line="360" w:lineRule="auto"/>
        <w:rPr>
          <w:rFonts w:ascii="宋体" w:hAnsi="宋体" w:eastAsia="宋体" w:cs="宋体"/>
          <w:sz w:val="24"/>
          <w:szCs w:val="24"/>
          <w:lang w:eastAsia="zh-CN"/>
        </w:rPr>
      </w:pPr>
      <w:r>
        <w:rPr>
          <w:rFonts w:ascii="宋体" w:hAnsi="宋体" w:eastAsia="宋体" w:cs="宋体"/>
          <w:sz w:val="24"/>
          <w:szCs w:val="24"/>
          <w:lang w:eastAsia="zh-CN"/>
        </w:rPr>
        <w:t>3.4.2 投标人不按本章第3.4.1项要求提交投标保证金的，评标委员会将否决其投标。</w:t>
      </w:r>
    </w:p>
    <w:p w14:paraId="7B37D585">
      <w:pPr>
        <w:spacing w:line="360" w:lineRule="auto"/>
        <w:ind w:firstLine="429"/>
        <w:jc w:val="both"/>
        <w:rPr>
          <w:rFonts w:ascii="宋体" w:hAnsi="宋体" w:eastAsia="宋体" w:cs="宋体"/>
          <w:sz w:val="24"/>
          <w:szCs w:val="24"/>
          <w:lang w:eastAsia="zh-CN"/>
        </w:rPr>
      </w:pPr>
      <w:r>
        <w:rPr>
          <w:rFonts w:ascii="宋体" w:hAnsi="宋体" w:eastAsia="宋体" w:cs="宋体"/>
          <w:sz w:val="24"/>
          <w:szCs w:val="24"/>
          <w:lang w:eastAsia="zh-CN"/>
        </w:rPr>
        <w:t>3.4.3 采购人在中标公示期结束后十日内返还未中标投标单位的投标保证金，在签订合同后五 日内返还中标人的投标保证金。未中标单位的投标保函原件在中标公示期结束后十日内返还，中标 人的投标保函原件在签订合同后五日内返还。</w:t>
      </w:r>
    </w:p>
    <w:p w14:paraId="444F1AFC">
      <w:pPr>
        <w:spacing w:line="360" w:lineRule="auto"/>
        <w:rPr>
          <w:rFonts w:ascii="宋体" w:hAnsi="宋体" w:eastAsia="宋体" w:cs="宋体"/>
          <w:sz w:val="24"/>
          <w:szCs w:val="24"/>
          <w:lang w:eastAsia="zh-CN"/>
        </w:rPr>
      </w:pPr>
      <w:r>
        <w:rPr>
          <w:rFonts w:ascii="宋体" w:hAnsi="宋体" w:eastAsia="宋体" w:cs="宋体"/>
          <w:sz w:val="24"/>
          <w:szCs w:val="24"/>
          <w:lang w:eastAsia="zh-CN"/>
        </w:rPr>
        <w:t>3.4.4 有下列情形之一的，投标保证金将不予退还：</w:t>
      </w:r>
    </w:p>
    <w:p w14:paraId="3D47FA01">
      <w:pPr>
        <w:spacing w:line="360" w:lineRule="auto"/>
        <w:ind w:firstLine="429"/>
        <w:jc w:val="both"/>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投标人在投标有效期内撤销投标文件的；</w:t>
      </w:r>
    </w:p>
    <w:p w14:paraId="5E38C868">
      <w:pPr>
        <w:spacing w:line="360" w:lineRule="auto"/>
        <w:ind w:firstLine="429"/>
        <w:jc w:val="both"/>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中标通知书发出后，中标人无故放弃中标项目或无正当理由在规定时间内不与采购人 签订合同</w:t>
      </w:r>
      <w:r>
        <w:rPr>
          <w:rFonts w:hint="eastAsia" w:ascii="宋体" w:hAnsi="宋体" w:eastAsia="宋体" w:cs="宋体"/>
          <w:sz w:val="24"/>
          <w:szCs w:val="24"/>
          <w:lang w:eastAsia="zh-CN"/>
        </w:rPr>
        <w:t>；</w:t>
      </w:r>
    </w:p>
    <w:p w14:paraId="7325A3C1">
      <w:pPr>
        <w:spacing w:line="360" w:lineRule="auto"/>
        <w:ind w:firstLine="429"/>
        <w:jc w:val="both"/>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其他违反法律法规的情况。</w:t>
      </w:r>
    </w:p>
    <w:p w14:paraId="453930DE">
      <w:pPr>
        <w:spacing w:line="360" w:lineRule="auto"/>
        <w:ind w:firstLine="429"/>
        <w:jc w:val="both"/>
        <w:rPr>
          <w:rFonts w:ascii="宋体" w:hAnsi="宋体" w:eastAsia="宋体" w:cs="宋体"/>
          <w:sz w:val="24"/>
          <w:szCs w:val="24"/>
          <w:lang w:eastAsia="zh-CN"/>
        </w:rPr>
      </w:pPr>
      <w:r>
        <w:rPr>
          <w:rFonts w:ascii="宋体" w:hAnsi="宋体" w:eastAsia="宋体" w:cs="宋体"/>
          <w:sz w:val="24"/>
          <w:szCs w:val="24"/>
          <w:lang w:eastAsia="zh-CN"/>
        </w:rPr>
        <w:t>3.4.5投标人采取保函方式交纳投标保证金的，如违反3.4.4条规定，采购人将不予退还投标 保函，由出具保函的机构依法有关规定，将投标保证金转入采购人基本帐户。</w:t>
      </w:r>
    </w:p>
    <w:p w14:paraId="1AF0F1FC">
      <w:pPr>
        <w:spacing w:line="360" w:lineRule="auto"/>
        <w:rPr>
          <w:rFonts w:ascii="宋体" w:hAnsi="宋体" w:eastAsia="宋体" w:cs="宋体"/>
          <w:sz w:val="24"/>
          <w:szCs w:val="24"/>
          <w:lang w:eastAsia="zh-CN"/>
        </w:rPr>
      </w:pPr>
      <w:r>
        <w:rPr>
          <w:rFonts w:ascii="宋体" w:hAnsi="宋体" w:eastAsia="宋体" w:cs="宋体"/>
          <w:sz w:val="24"/>
          <w:szCs w:val="24"/>
          <w:lang w:eastAsia="zh-CN"/>
        </w:rPr>
        <w:t>3.5 资格审查资料</w:t>
      </w:r>
    </w:p>
    <w:p w14:paraId="5EA37B07">
      <w:pPr>
        <w:spacing w:line="360" w:lineRule="auto"/>
        <w:rPr>
          <w:rFonts w:ascii="宋体" w:hAnsi="宋体" w:eastAsia="宋体" w:cs="宋体"/>
          <w:sz w:val="24"/>
          <w:szCs w:val="24"/>
          <w:lang w:eastAsia="zh-CN"/>
        </w:rPr>
      </w:pPr>
      <w:r>
        <w:rPr>
          <w:rFonts w:ascii="宋体" w:hAnsi="宋体" w:eastAsia="宋体" w:cs="宋体"/>
          <w:sz w:val="24"/>
          <w:szCs w:val="24"/>
          <w:lang w:eastAsia="zh-CN"/>
        </w:rPr>
        <w:t>3.5.1“投标人基本情况表”应附投标人营业执照等材料的复印件。</w:t>
      </w:r>
    </w:p>
    <w:p w14:paraId="25F51AD4">
      <w:pPr>
        <w:spacing w:line="360" w:lineRule="auto"/>
        <w:rPr>
          <w:rFonts w:ascii="宋体" w:hAnsi="宋体" w:eastAsia="宋体" w:cs="宋体"/>
          <w:sz w:val="24"/>
          <w:szCs w:val="24"/>
          <w:lang w:eastAsia="zh-CN"/>
        </w:rPr>
      </w:pPr>
      <w:r>
        <w:rPr>
          <w:rFonts w:ascii="宋体" w:hAnsi="宋体" w:eastAsia="宋体" w:cs="宋体"/>
          <w:sz w:val="24"/>
          <w:szCs w:val="24"/>
          <w:lang w:eastAsia="zh-CN"/>
        </w:rPr>
        <w:t>3.5.2“近年完成的类似项目情况表”应附中标</w:t>
      </w:r>
      <w:r>
        <w:rPr>
          <w:rFonts w:hint="eastAsia" w:ascii="宋体" w:hAnsi="宋体" w:eastAsia="宋体" w:cs="宋体"/>
          <w:sz w:val="24"/>
          <w:szCs w:val="24"/>
          <w:lang w:eastAsia="zh-CN"/>
        </w:rPr>
        <w:t>（</w:t>
      </w:r>
      <w:r>
        <w:rPr>
          <w:rFonts w:ascii="宋体" w:hAnsi="宋体" w:eastAsia="宋体" w:cs="宋体"/>
          <w:sz w:val="24"/>
          <w:szCs w:val="24"/>
          <w:lang w:eastAsia="zh-CN"/>
        </w:rPr>
        <w:t>成交</w:t>
      </w:r>
      <w:r>
        <w:rPr>
          <w:rFonts w:hint="eastAsia" w:ascii="宋体" w:hAnsi="宋体" w:eastAsia="宋体" w:cs="宋体"/>
          <w:sz w:val="24"/>
          <w:szCs w:val="24"/>
          <w:lang w:eastAsia="zh-CN"/>
        </w:rPr>
        <w:t>）</w:t>
      </w:r>
      <w:r>
        <w:rPr>
          <w:rFonts w:ascii="宋体" w:hAnsi="宋体" w:eastAsia="宋体" w:cs="宋体"/>
          <w:sz w:val="24"/>
          <w:szCs w:val="24"/>
          <w:lang w:eastAsia="zh-CN"/>
        </w:rPr>
        <w:t>通知书或合同协议书复印件，具体</w:t>
      </w:r>
    </w:p>
    <w:p w14:paraId="723762BF">
      <w:pPr>
        <w:spacing w:line="360" w:lineRule="auto"/>
        <w:rPr>
          <w:rFonts w:ascii="宋体" w:hAnsi="宋体" w:eastAsia="宋体" w:cs="宋体"/>
          <w:sz w:val="24"/>
          <w:szCs w:val="24"/>
          <w:lang w:eastAsia="zh-CN"/>
        </w:rPr>
      </w:pPr>
      <w:r>
        <w:rPr>
          <w:rFonts w:ascii="宋体" w:hAnsi="宋体" w:eastAsia="宋体" w:cs="宋体"/>
          <w:sz w:val="24"/>
          <w:szCs w:val="24"/>
          <w:lang w:eastAsia="zh-CN"/>
        </w:rPr>
        <w:t>年份要求见投标人须知前附表。每张表格只填写一个项目，并标明序号。</w:t>
      </w:r>
    </w:p>
    <w:p w14:paraId="7C5D7682">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3.5.3“正在实施和新承接的项目情况表”应附中标</w:t>
      </w:r>
      <w:r>
        <w:rPr>
          <w:rFonts w:hint="eastAsia" w:ascii="宋体" w:hAnsi="宋体" w:eastAsia="宋体" w:cs="宋体"/>
          <w:sz w:val="24"/>
          <w:szCs w:val="24"/>
          <w:lang w:eastAsia="zh-CN"/>
        </w:rPr>
        <w:t>（</w:t>
      </w:r>
      <w:r>
        <w:rPr>
          <w:rFonts w:ascii="宋体" w:hAnsi="宋体" w:eastAsia="宋体" w:cs="宋体"/>
          <w:sz w:val="24"/>
          <w:szCs w:val="24"/>
          <w:lang w:eastAsia="zh-CN"/>
        </w:rPr>
        <w:t>成交</w:t>
      </w:r>
      <w:r>
        <w:rPr>
          <w:rFonts w:hint="eastAsia" w:ascii="宋体" w:hAnsi="宋体" w:eastAsia="宋体" w:cs="宋体"/>
          <w:sz w:val="24"/>
          <w:szCs w:val="24"/>
          <w:lang w:eastAsia="zh-CN"/>
        </w:rPr>
        <w:t>）</w:t>
      </w:r>
      <w:r>
        <w:rPr>
          <w:rFonts w:ascii="宋体" w:hAnsi="宋体" w:eastAsia="宋体" w:cs="宋体"/>
          <w:sz w:val="24"/>
          <w:szCs w:val="24"/>
          <w:lang w:eastAsia="zh-CN"/>
        </w:rPr>
        <w:t>通知书或合同协议书复印件。每 张表格只填写一个项目，并标明序号。</w:t>
      </w:r>
    </w:p>
    <w:p w14:paraId="559CCBEF">
      <w:pPr>
        <w:spacing w:line="360" w:lineRule="auto"/>
        <w:rPr>
          <w:rFonts w:ascii="宋体" w:hAnsi="宋体" w:eastAsia="宋体" w:cs="宋体"/>
          <w:sz w:val="24"/>
          <w:szCs w:val="24"/>
          <w:lang w:eastAsia="zh-CN"/>
        </w:rPr>
      </w:pPr>
      <w:r>
        <w:rPr>
          <w:rFonts w:ascii="宋体" w:hAnsi="宋体" w:eastAsia="宋体" w:cs="宋体"/>
          <w:sz w:val="24"/>
          <w:szCs w:val="24"/>
          <w:lang w:eastAsia="zh-CN"/>
        </w:rPr>
        <w:t>3.6投标文件的编制</w:t>
      </w:r>
    </w:p>
    <w:p w14:paraId="18FC0B93">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3.6.1投标文件应按第八章“投标文件格式”进行编写，如有必要，可以增加附页，作为投标 文件的组成部分。其中，投标函附录在满足招标文件实质性要求的基础上，可以提出比招标文件要 求更有利于采购人的承诺。</w:t>
      </w:r>
    </w:p>
    <w:p w14:paraId="7A798C36">
      <w:pPr>
        <w:spacing w:line="360" w:lineRule="auto"/>
        <w:ind w:firstLine="409"/>
        <w:rPr>
          <w:rFonts w:ascii="宋体" w:hAnsi="宋体" w:eastAsia="宋体" w:cs="宋体"/>
          <w:sz w:val="24"/>
          <w:szCs w:val="24"/>
          <w:lang w:eastAsia="zh-CN"/>
        </w:rPr>
      </w:pPr>
      <w:r>
        <w:rPr>
          <w:rFonts w:ascii="宋体" w:hAnsi="宋体" w:eastAsia="宋体" w:cs="宋体"/>
          <w:sz w:val="24"/>
          <w:szCs w:val="24"/>
          <w:lang w:eastAsia="zh-CN"/>
        </w:rPr>
        <w:t>3.6.2 投标文件应当对招标文件有关服务、投标有效期、服务标准、采购需求、招标范围等实 质性内容作出响应。</w:t>
      </w:r>
    </w:p>
    <w:p w14:paraId="40636A7D">
      <w:pPr>
        <w:spacing w:line="360" w:lineRule="auto"/>
        <w:ind w:firstLine="429"/>
        <w:rPr>
          <w:rFonts w:ascii="宋体" w:hAnsi="宋体" w:eastAsia="宋体" w:cs="宋体"/>
          <w:sz w:val="24"/>
          <w:szCs w:val="24"/>
          <w:lang w:eastAsia="zh-CN"/>
        </w:rPr>
      </w:pPr>
      <w:r>
        <w:rPr>
          <w:rFonts w:ascii="宋体" w:hAnsi="宋体" w:eastAsia="宋体" w:cs="宋体"/>
          <w:sz w:val="24"/>
          <w:szCs w:val="24"/>
          <w:lang w:eastAsia="zh-CN"/>
        </w:rPr>
        <w:t>3.6.3投标文件应用不褪色的材料书写或打印，并由投标人的法定代表人或其委托代理人签字 或盖单位章。委托代理人签字的，投标文件应附法定代表人签署的授权委托书。投标文件应尽量避 免涂改、行间插字或删除。如果出现上述情况，改动之处应加盖单位章或由投标人的法定代表人或 其授权的代理人签字确认。签字或盖章的具体要求见投标人须知前附表。</w:t>
      </w:r>
    </w:p>
    <w:p w14:paraId="420B99AE">
      <w:pPr>
        <w:spacing w:line="360" w:lineRule="auto"/>
        <w:ind w:firstLine="489"/>
        <w:rPr>
          <w:rFonts w:ascii="宋体" w:hAnsi="宋体" w:eastAsia="宋体" w:cs="宋体"/>
          <w:sz w:val="24"/>
          <w:szCs w:val="24"/>
          <w:lang w:eastAsia="zh-CN"/>
        </w:rPr>
      </w:pPr>
      <w:r>
        <w:rPr>
          <w:rFonts w:ascii="宋体" w:hAnsi="宋体" w:eastAsia="宋体" w:cs="宋体"/>
          <w:sz w:val="24"/>
          <w:szCs w:val="24"/>
          <w:lang w:eastAsia="zh-CN"/>
        </w:rPr>
        <w:t>3.6.4 投标文件正本一份，副本份数见投标人须知前附表。正本和副本的封面上应清楚地标记 “正本”或“副本”的字样。当副本和正本不一致时，以正本为准。</w:t>
      </w:r>
    </w:p>
    <w:p w14:paraId="05D27F2A">
      <w:pPr>
        <w:spacing w:line="360" w:lineRule="auto"/>
        <w:rPr>
          <w:rFonts w:ascii="宋体" w:hAnsi="宋体" w:eastAsia="宋体" w:cs="宋体"/>
          <w:sz w:val="24"/>
          <w:szCs w:val="24"/>
          <w:lang w:eastAsia="zh-CN"/>
        </w:rPr>
      </w:pPr>
      <w:r>
        <w:rPr>
          <w:rFonts w:ascii="宋体" w:hAnsi="宋体" w:eastAsia="宋体" w:cs="宋体"/>
          <w:sz w:val="24"/>
          <w:szCs w:val="24"/>
          <w:lang w:eastAsia="zh-CN"/>
        </w:rPr>
        <w:t>3.6.5 投标文件的正本与副本应分别装订成册，具体装订要求见投标人须知前附表规定。</w:t>
      </w:r>
    </w:p>
    <w:p w14:paraId="574EE02F">
      <w:pPr>
        <w:pStyle w:val="5"/>
        <w:spacing w:line="360" w:lineRule="auto"/>
        <w:rPr>
          <w:rFonts w:ascii="宋体" w:hAnsi="宋体" w:eastAsia="宋体"/>
          <w:sz w:val="24"/>
          <w:szCs w:val="24"/>
          <w:lang w:eastAsia="zh-CN"/>
        </w:rPr>
      </w:pPr>
    </w:p>
    <w:p w14:paraId="6FDA1646">
      <w:pPr>
        <w:spacing w:line="360" w:lineRule="auto"/>
        <w:rPr>
          <w:rFonts w:ascii="宋体" w:hAnsi="宋体" w:eastAsia="宋体" w:cs="宋体"/>
          <w:sz w:val="24"/>
          <w:szCs w:val="24"/>
          <w:lang w:eastAsia="zh-CN"/>
        </w:rPr>
      </w:pPr>
      <w:r>
        <w:rPr>
          <w:rFonts w:ascii="宋体" w:hAnsi="宋体" w:eastAsia="宋体" w:cs="宋体"/>
          <w:sz w:val="24"/>
          <w:szCs w:val="24"/>
          <w:lang w:eastAsia="zh-CN"/>
        </w:rPr>
        <w:t>4. 投标</w:t>
      </w:r>
    </w:p>
    <w:p w14:paraId="1B4706EA">
      <w:pPr>
        <w:spacing w:line="360" w:lineRule="auto"/>
        <w:rPr>
          <w:rFonts w:ascii="宋体" w:hAnsi="宋体" w:eastAsia="宋体" w:cs="宋体"/>
          <w:sz w:val="24"/>
          <w:szCs w:val="24"/>
          <w:lang w:eastAsia="zh-CN"/>
        </w:rPr>
      </w:pPr>
      <w:r>
        <w:rPr>
          <w:rFonts w:ascii="宋体" w:hAnsi="宋体" w:eastAsia="宋体" w:cs="宋体"/>
          <w:sz w:val="24"/>
          <w:szCs w:val="24"/>
          <w:lang w:eastAsia="zh-CN"/>
        </w:rPr>
        <w:t>4.1 投标文件的密封和标记</w:t>
      </w:r>
    </w:p>
    <w:p w14:paraId="4EB736B6">
      <w:pPr>
        <w:spacing w:line="360" w:lineRule="auto"/>
        <w:jc w:val="center"/>
        <w:rPr>
          <w:rFonts w:ascii="宋体" w:hAnsi="宋体" w:eastAsia="宋体" w:cs="宋体"/>
          <w:sz w:val="24"/>
          <w:szCs w:val="24"/>
          <w:lang w:eastAsia="zh-CN"/>
        </w:rPr>
      </w:pPr>
      <w:r>
        <w:rPr>
          <w:rFonts w:ascii="宋体" w:hAnsi="宋体" w:eastAsia="宋体" w:cs="宋体"/>
          <w:sz w:val="24"/>
          <w:szCs w:val="24"/>
          <w:lang w:eastAsia="zh-CN"/>
        </w:rPr>
        <w:t>4.1.1 投标文件正本、副本应密封包装在一起并加贴封条，在封套的封口处加盖投标人单章。</w:t>
      </w:r>
    </w:p>
    <w:p w14:paraId="515F2057">
      <w:pPr>
        <w:spacing w:line="360" w:lineRule="auto"/>
        <w:rPr>
          <w:rFonts w:ascii="宋体" w:hAnsi="宋体" w:eastAsia="宋体" w:cs="宋体"/>
          <w:sz w:val="24"/>
          <w:szCs w:val="24"/>
          <w:lang w:eastAsia="zh-CN"/>
        </w:rPr>
      </w:pPr>
      <w:r>
        <w:rPr>
          <w:rFonts w:ascii="宋体" w:hAnsi="宋体" w:eastAsia="宋体" w:cs="宋体"/>
          <w:sz w:val="24"/>
          <w:szCs w:val="24"/>
          <w:lang w:eastAsia="zh-CN"/>
        </w:rPr>
        <w:t>4.1.2 投标文件封套上应写明的内容见投标人须知前附表。</w:t>
      </w:r>
    </w:p>
    <w:p w14:paraId="3ACF95EF">
      <w:pPr>
        <w:spacing w:line="360" w:lineRule="auto"/>
        <w:rPr>
          <w:rFonts w:ascii="宋体" w:hAnsi="宋体" w:eastAsia="宋体" w:cs="宋体"/>
          <w:sz w:val="24"/>
          <w:szCs w:val="24"/>
          <w:lang w:eastAsia="zh-CN"/>
        </w:rPr>
      </w:pPr>
      <w:r>
        <w:rPr>
          <w:rFonts w:ascii="宋体" w:hAnsi="宋体" w:eastAsia="宋体" w:cs="宋体"/>
          <w:sz w:val="24"/>
          <w:szCs w:val="24"/>
          <w:lang w:eastAsia="zh-CN"/>
        </w:rPr>
        <w:t>4.1.3未按本章第4.1.1项或第4.1.2项要求密封和加写标记的投标文件，采购人应予拒收。</w:t>
      </w:r>
    </w:p>
    <w:p w14:paraId="52DB92AC">
      <w:pPr>
        <w:spacing w:line="360" w:lineRule="auto"/>
        <w:rPr>
          <w:rFonts w:ascii="宋体" w:hAnsi="宋体" w:eastAsia="宋体" w:cs="宋体"/>
          <w:sz w:val="24"/>
          <w:szCs w:val="24"/>
          <w:lang w:eastAsia="zh-CN"/>
        </w:rPr>
      </w:pPr>
      <w:r>
        <w:rPr>
          <w:rFonts w:ascii="宋体" w:hAnsi="宋体" w:eastAsia="宋体" w:cs="宋体"/>
          <w:sz w:val="24"/>
          <w:szCs w:val="24"/>
          <w:lang w:eastAsia="zh-CN"/>
        </w:rPr>
        <w:t>4.2 投标文件的递交</w:t>
      </w:r>
    </w:p>
    <w:p w14:paraId="66A9CBE1">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4.2.1 投标人应在本章第2.2.2项规定的投标截止时间前递交投标文件。</w:t>
      </w:r>
    </w:p>
    <w:p w14:paraId="105F3928">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4.2.2 投标人递交投标文件的地点：见投标人须知前附表。</w:t>
      </w:r>
    </w:p>
    <w:p w14:paraId="51A479C8">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4.2.3 除投标人须知前附表另有规定外，投标人所递交的投标文件不予退还。</w:t>
      </w:r>
    </w:p>
    <w:p w14:paraId="4ACC24E1">
      <w:pPr>
        <w:spacing w:line="360" w:lineRule="auto"/>
        <w:rPr>
          <w:rFonts w:ascii="宋体" w:hAnsi="宋体" w:eastAsia="宋体" w:cs="宋体"/>
          <w:sz w:val="24"/>
          <w:szCs w:val="24"/>
          <w:lang w:eastAsia="zh-CN"/>
        </w:rPr>
      </w:pPr>
      <w:r>
        <w:rPr>
          <w:rFonts w:ascii="宋体" w:hAnsi="宋体" w:eastAsia="宋体" w:cs="宋体"/>
          <w:sz w:val="24"/>
          <w:szCs w:val="24"/>
          <w:lang w:eastAsia="zh-CN"/>
        </w:rPr>
        <w:t>4.2.4 采购人收到投标文件后，向投标人出具签收凭证。</w:t>
      </w:r>
    </w:p>
    <w:p w14:paraId="1DE23F11">
      <w:pPr>
        <w:spacing w:line="360" w:lineRule="auto"/>
        <w:rPr>
          <w:rFonts w:ascii="宋体" w:hAnsi="宋体" w:eastAsia="宋体" w:cs="宋体"/>
          <w:sz w:val="24"/>
          <w:szCs w:val="24"/>
          <w:lang w:eastAsia="zh-CN"/>
        </w:rPr>
      </w:pPr>
      <w:r>
        <w:rPr>
          <w:rFonts w:ascii="宋体" w:hAnsi="宋体" w:eastAsia="宋体" w:cs="宋体"/>
          <w:sz w:val="24"/>
          <w:szCs w:val="24"/>
          <w:lang w:eastAsia="zh-CN"/>
        </w:rPr>
        <w:t>4.2.5 逾期送达的或者未送达指定地点的投标文件，采购人不予受理。</w:t>
      </w:r>
    </w:p>
    <w:p w14:paraId="4137F07F">
      <w:pPr>
        <w:spacing w:line="360" w:lineRule="auto"/>
        <w:outlineLvl w:val="0"/>
        <w:rPr>
          <w:rFonts w:ascii="宋体" w:hAnsi="宋体" w:eastAsia="宋体" w:cs="宋体"/>
          <w:sz w:val="24"/>
          <w:szCs w:val="24"/>
          <w:lang w:eastAsia="zh-CN"/>
        </w:rPr>
      </w:pPr>
      <w:bookmarkStart w:id="77" w:name="_Toc14977"/>
      <w:bookmarkStart w:id="78" w:name="_Toc9469"/>
      <w:r>
        <w:rPr>
          <w:rFonts w:ascii="宋体" w:hAnsi="宋体" w:eastAsia="宋体" w:cs="宋体"/>
          <w:b/>
          <w:bCs/>
          <w:sz w:val="24"/>
          <w:szCs w:val="24"/>
          <w:lang w:eastAsia="zh-CN"/>
        </w:rPr>
        <w:t>4.3投标文件的修改与撤回</w:t>
      </w:r>
      <w:bookmarkEnd w:id="77"/>
      <w:bookmarkEnd w:id="78"/>
    </w:p>
    <w:p w14:paraId="01107E5B">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4.3.1 在本章第2.2.2项规定的投标截止时间前，投标人可以修改或撤回已递交的投标文件， 但应以书面形式通知采购人。</w:t>
      </w:r>
    </w:p>
    <w:p w14:paraId="4F5B72C6">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4.3.2 投标人修改或撤回已递交投标文件的书面通知应按照本章第3.6.3项的要求签字或盖 章。采购人收到书面通知后，向投标人出具签收凭证。</w:t>
      </w:r>
    </w:p>
    <w:p w14:paraId="5DF55657">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4.3.3 投标人撤回投标文件的，采购人自收到投标人书面撤回通知之日起5日内退还已收取的 投标保证金。</w:t>
      </w:r>
    </w:p>
    <w:p w14:paraId="0A1E19CE">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4.3.4 修改的内容为投标文件的组成部分。修改的投标文件应按照本章第3条、第4条规定进 行编制、密封、标记和递交，并标明“修改”字样。</w:t>
      </w:r>
    </w:p>
    <w:p w14:paraId="26E6633D">
      <w:pPr>
        <w:spacing w:line="360" w:lineRule="auto"/>
        <w:outlineLvl w:val="0"/>
        <w:rPr>
          <w:rFonts w:ascii="宋体" w:hAnsi="宋体" w:eastAsia="宋体" w:cs="宋体"/>
          <w:sz w:val="24"/>
          <w:szCs w:val="24"/>
          <w:lang w:eastAsia="zh-CN"/>
        </w:rPr>
      </w:pPr>
      <w:bookmarkStart w:id="79" w:name="_Toc6663"/>
      <w:bookmarkStart w:id="80" w:name="_Toc147"/>
      <w:r>
        <w:rPr>
          <w:rFonts w:ascii="宋体" w:hAnsi="宋体" w:eastAsia="宋体" w:cs="宋体"/>
          <w:b/>
          <w:bCs/>
          <w:sz w:val="24"/>
          <w:szCs w:val="24"/>
          <w:lang w:eastAsia="zh-CN"/>
        </w:rPr>
        <w:t>5.开标</w:t>
      </w:r>
      <w:bookmarkEnd w:id="79"/>
      <w:bookmarkEnd w:id="80"/>
    </w:p>
    <w:p w14:paraId="2C34FE93">
      <w:pPr>
        <w:spacing w:line="360" w:lineRule="auto"/>
        <w:outlineLvl w:val="0"/>
        <w:rPr>
          <w:rFonts w:ascii="宋体" w:hAnsi="宋体" w:eastAsia="宋体" w:cs="宋体"/>
          <w:sz w:val="24"/>
          <w:szCs w:val="24"/>
          <w:lang w:eastAsia="zh-CN"/>
        </w:rPr>
      </w:pPr>
      <w:bookmarkStart w:id="81" w:name="_Toc4365"/>
      <w:bookmarkStart w:id="82" w:name="_Toc7012"/>
      <w:r>
        <w:rPr>
          <w:rFonts w:ascii="宋体" w:hAnsi="宋体" w:eastAsia="宋体" w:cs="宋体"/>
          <w:b/>
          <w:bCs/>
          <w:sz w:val="24"/>
          <w:szCs w:val="24"/>
          <w:lang w:eastAsia="zh-CN"/>
        </w:rPr>
        <w:t>5.1开标时间和地点</w:t>
      </w:r>
      <w:bookmarkEnd w:id="81"/>
      <w:bookmarkEnd w:id="82"/>
    </w:p>
    <w:p w14:paraId="1D122155">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采购人在本章第2.2.2项规定的投标截止时间</w:t>
      </w:r>
      <w:r>
        <w:rPr>
          <w:rFonts w:hint="eastAsia" w:ascii="宋体" w:hAnsi="宋体" w:eastAsia="宋体" w:cs="宋体"/>
          <w:sz w:val="24"/>
          <w:szCs w:val="24"/>
          <w:lang w:eastAsia="zh-CN"/>
        </w:rPr>
        <w:t>（</w:t>
      </w:r>
      <w:r>
        <w:rPr>
          <w:rFonts w:ascii="宋体" w:hAnsi="宋体" w:eastAsia="宋体" w:cs="宋体"/>
          <w:sz w:val="24"/>
          <w:szCs w:val="24"/>
          <w:lang w:eastAsia="zh-CN"/>
        </w:rPr>
        <w:t>开标时间</w:t>
      </w:r>
      <w:r>
        <w:rPr>
          <w:rFonts w:hint="eastAsia" w:ascii="宋体" w:hAnsi="宋体" w:eastAsia="宋体" w:cs="宋体"/>
          <w:sz w:val="24"/>
          <w:szCs w:val="24"/>
          <w:lang w:eastAsia="zh-CN"/>
        </w:rPr>
        <w:t>）</w:t>
      </w:r>
      <w:r>
        <w:rPr>
          <w:rFonts w:ascii="宋体" w:hAnsi="宋体" w:eastAsia="宋体" w:cs="宋体"/>
          <w:sz w:val="24"/>
          <w:szCs w:val="24"/>
          <w:lang w:eastAsia="zh-CN"/>
        </w:rPr>
        <w:t>和投标人须知前附表规定的地点公 开开标，并邀请所有投标人的法定代表人或其委托代理人准时参加。</w:t>
      </w:r>
    </w:p>
    <w:p w14:paraId="32886007">
      <w:pPr>
        <w:spacing w:line="360" w:lineRule="auto"/>
        <w:outlineLvl w:val="0"/>
        <w:rPr>
          <w:rFonts w:ascii="宋体" w:hAnsi="宋体" w:eastAsia="宋体" w:cs="宋体"/>
          <w:sz w:val="24"/>
          <w:szCs w:val="24"/>
          <w:lang w:eastAsia="zh-CN"/>
        </w:rPr>
      </w:pPr>
      <w:bookmarkStart w:id="83" w:name="_Toc2638"/>
      <w:bookmarkStart w:id="84" w:name="_Toc4542"/>
      <w:r>
        <w:rPr>
          <w:rFonts w:ascii="宋体" w:hAnsi="宋体" w:eastAsia="宋体" w:cs="宋体"/>
          <w:b/>
          <w:bCs/>
          <w:sz w:val="24"/>
          <w:szCs w:val="24"/>
          <w:lang w:eastAsia="zh-CN"/>
        </w:rPr>
        <w:t>5.2开标程序</w:t>
      </w:r>
      <w:bookmarkEnd w:id="83"/>
      <w:bookmarkEnd w:id="84"/>
    </w:p>
    <w:p w14:paraId="1131CB41">
      <w:pPr>
        <w:spacing w:line="360" w:lineRule="auto"/>
        <w:rPr>
          <w:rFonts w:ascii="宋体" w:hAnsi="宋体" w:eastAsia="宋体" w:cs="宋体"/>
          <w:sz w:val="24"/>
          <w:szCs w:val="24"/>
          <w:lang w:eastAsia="zh-CN"/>
        </w:rPr>
      </w:pPr>
      <w:r>
        <w:rPr>
          <w:rFonts w:ascii="宋体" w:hAnsi="宋体" w:eastAsia="宋体" w:cs="宋体"/>
          <w:sz w:val="24"/>
          <w:szCs w:val="24"/>
          <w:lang w:eastAsia="zh-CN"/>
        </w:rPr>
        <w:t>主持人按下列程序进行开标：</w:t>
      </w:r>
    </w:p>
    <w:p w14:paraId="4DAB1516">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宣布开标纪律；</w:t>
      </w:r>
    </w:p>
    <w:p w14:paraId="43999953">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公布在投标截止时间前递交投标文件的投标人名称，并点名确认投标人是否派人到场；</w:t>
      </w:r>
    </w:p>
    <w:p w14:paraId="376C297B">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3</w:t>
      </w:r>
      <w:r>
        <w:rPr>
          <w:rFonts w:hint="eastAsia" w:ascii="宋体" w:hAnsi="宋体" w:eastAsia="宋体" w:cs="宋体"/>
          <w:sz w:val="24"/>
          <w:szCs w:val="24"/>
          <w:lang w:eastAsia="zh-CN"/>
        </w:rPr>
        <w:t>）</w:t>
      </w:r>
      <w:r>
        <w:rPr>
          <w:rFonts w:ascii="宋体" w:hAnsi="宋体" w:eastAsia="宋体" w:cs="宋体"/>
          <w:sz w:val="24"/>
          <w:szCs w:val="24"/>
          <w:lang w:eastAsia="zh-CN"/>
        </w:rPr>
        <w:t>宣布开标人、唱标人、记录人、监标人等有关人员姓名；</w:t>
      </w:r>
    </w:p>
    <w:p w14:paraId="6165CD5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4</w:t>
      </w:r>
      <w:r>
        <w:rPr>
          <w:rFonts w:hint="eastAsia" w:ascii="宋体" w:hAnsi="宋体" w:eastAsia="宋体" w:cs="宋体"/>
          <w:sz w:val="24"/>
          <w:szCs w:val="24"/>
          <w:lang w:eastAsia="zh-CN"/>
        </w:rPr>
        <w:t>）</w:t>
      </w:r>
      <w:r>
        <w:rPr>
          <w:rFonts w:ascii="宋体" w:hAnsi="宋体" w:eastAsia="宋体" w:cs="宋体"/>
          <w:sz w:val="24"/>
          <w:szCs w:val="24"/>
          <w:lang w:eastAsia="zh-CN"/>
        </w:rPr>
        <w:t>按照投标人须知前附表规定检查投标文件的密封情况；</w:t>
      </w:r>
    </w:p>
    <w:p w14:paraId="4133F72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5</w:t>
      </w:r>
      <w:r>
        <w:rPr>
          <w:rFonts w:hint="eastAsia" w:ascii="宋体" w:hAnsi="宋体" w:eastAsia="宋体" w:cs="宋体"/>
          <w:sz w:val="24"/>
          <w:szCs w:val="24"/>
          <w:lang w:eastAsia="zh-CN"/>
        </w:rPr>
        <w:t>）</w:t>
      </w:r>
      <w:r>
        <w:rPr>
          <w:rFonts w:ascii="宋体" w:hAnsi="宋体" w:eastAsia="宋体" w:cs="宋体"/>
          <w:sz w:val="24"/>
          <w:szCs w:val="24"/>
          <w:lang w:eastAsia="zh-CN"/>
        </w:rPr>
        <w:t>按照投标人须知前附表的规定确定并宣布投标文件开标顺序；</w:t>
      </w:r>
    </w:p>
    <w:p w14:paraId="67B31ED7">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6</w:t>
      </w:r>
      <w:r>
        <w:rPr>
          <w:rFonts w:hint="eastAsia" w:ascii="宋体" w:hAnsi="宋体" w:eastAsia="宋体" w:cs="宋体"/>
          <w:sz w:val="24"/>
          <w:szCs w:val="24"/>
          <w:lang w:eastAsia="zh-CN"/>
        </w:rPr>
        <w:t>）</w:t>
      </w:r>
      <w:r>
        <w:rPr>
          <w:rFonts w:ascii="宋体" w:hAnsi="宋体" w:eastAsia="宋体" w:cs="宋体"/>
          <w:sz w:val="24"/>
          <w:szCs w:val="24"/>
          <w:lang w:eastAsia="zh-CN"/>
        </w:rPr>
        <w:t>按照宣布的开标顺序当众开标，公布投标人名称、投标保证金的递交情况</w:t>
      </w:r>
      <w:r>
        <w:rPr>
          <w:rFonts w:hint="eastAsia" w:ascii="宋体" w:hAnsi="宋体" w:eastAsia="宋体" w:cs="宋体"/>
          <w:sz w:val="24"/>
          <w:szCs w:val="24"/>
          <w:lang w:eastAsia="zh-CN"/>
        </w:rPr>
        <w:t>（</w:t>
      </w:r>
      <w:r>
        <w:rPr>
          <w:rFonts w:ascii="宋体" w:hAnsi="宋体" w:eastAsia="宋体" w:cs="宋体"/>
          <w:sz w:val="24"/>
          <w:szCs w:val="24"/>
          <w:lang w:eastAsia="zh-CN"/>
        </w:rPr>
        <w:t>若有</w:t>
      </w:r>
      <w:r>
        <w:rPr>
          <w:rFonts w:hint="eastAsia" w:ascii="宋体" w:hAnsi="宋体" w:eastAsia="宋体" w:cs="宋体"/>
          <w:sz w:val="24"/>
          <w:szCs w:val="24"/>
          <w:lang w:eastAsia="zh-CN"/>
        </w:rPr>
        <w:t>）</w:t>
      </w:r>
      <w:r>
        <w:rPr>
          <w:rFonts w:ascii="宋体" w:hAnsi="宋体" w:eastAsia="宋体" w:cs="宋体"/>
          <w:sz w:val="24"/>
          <w:szCs w:val="24"/>
          <w:lang w:eastAsia="zh-CN"/>
        </w:rPr>
        <w:t>、投标</w:t>
      </w:r>
    </w:p>
    <w:p w14:paraId="100CBAEF">
      <w:pPr>
        <w:spacing w:line="360" w:lineRule="auto"/>
        <w:rPr>
          <w:rFonts w:ascii="宋体" w:hAnsi="宋体" w:eastAsia="宋体" w:cs="宋体"/>
          <w:sz w:val="24"/>
          <w:szCs w:val="24"/>
          <w:lang w:eastAsia="zh-CN"/>
        </w:rPr>
      </w:pPr>
      <w:r>
        <w:rPr>
          <w:rFonts w:ascii="宋体" w:hAnsi="宋体" w:eastAsia="宋体" w:cs="宋体"/>
          <w:sz w:val="24"/>
          <w:szCs w:val="24"/>
          <w:lang w:eastAsia="zh-CN"/>
        </w:rPr>
        <w:t>报价、服务标准、服务期及其他内容，并记录在案；</w:t>
      </w:r>
    </w:p>
    <w:p w14:paraId="6BA6492D">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7</w:t>
      </w:r>
      <w:r>
        <w:rPr>
          <w:rFonts w:hint="eastAsia" w:ascii="宋体" w:hAnsi="宋体" w:eastAsia="宋体" w:cs="宋体"/>
          <w:sz w:val="24"/>
          <w:szCs w:val="24"/>
          <w:lang w:eastAsia="zh-CN"/>
        </w:rPr>
        <w:t>）</w:t>
      </w:r>
      <w:r>
        <w:rPr>
          <w:rFonts w:ascii="宋体" w:hAnsi="宋体" w:eastAsia="宋体" w:cs="宋体"/>
          <w:sz w:val="24"/>
          <w:szCs w:val="24"/>
          <w:lang w:eastAsia="zh-CN"/>
        </w:rPr>
        <w:t>规定采购预算的，公布采购预算；</w:t>
      </w:r>
    </w:p>
    <w:p w14:paraId="1FCE27D1">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8</w:t>
      </w:r>
      <w:r>
        <w:rPr>
          <w:rFonts w:hint="eastAsia" w:ascii="宋体" w:hAnsi="宋体" w:eastAsia="宋体" w:cs="宋体"/>
          <w:sz w:val="24"/>
          <w:szCs w:val="24"/>
          <w:lang w:eastAsia="zh-CN"/>
        </w:rPr>
        <w:t>）</w:t>
      </w:r>
      <w:r>
        <w:rPr>
          <w:rFonts w:ascii="宋体" w:hAnsi="宋体" w:eastAsia="宋体" w:cs="宋体"/>
          <w:sz w:val="24"/>
          <w:szCs w:val="24"/>
          <w:lang w:eastAsia="zh-CN"/>
        </w:rPr>
        <w:t>供应商代表、采购人代表、监标人、记录人等有关人员在开标记录上签字确认；</w:t>
      </w:r>
    </w:p>
    <w:p w14:paraId="775972E6">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9</w:t>
      </w:r>
      <w:r>
        <w:rPr>
          <w:rFonts w:hint="eastAsia" w:ascii="宋体" w:hAnsi="宋体" w:eastAsia="宋体" w:cs="宋体"/>
          <w:sz w:val="24"/>
          <w:szCs w:val="24"/>
          <w:lang w:eastAsia="zh-CN"/>
        </w:rPr>
        <w:t>）</w:t>
      </w:r>
      <w:r>
        <w:rPr>
          <w:rFonts w:ascii="宋体" w:hAnsi="宋体" w:eastAsia="宋体" w:cs="宋体"/>
          <w:sz w:val="24"/>
          <w:szCs w:val="24"/>
          <w:lang w:eastAsia="zh-CN"/>
        </w:rPr>
        <w:t>供应商若有异议应当当场提出；</w:t>
      </w:r>
    </w:p>
    <w:p w14:paraId="217922E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10</w:t>
      </w:r>
      <w:r>
        <w:rPr>
          <w:rFonts w:hint="eastAsia" w:ascii="宋体" w:hAnsi="宋体" w:eastAsia="宋体" w:cs="宋体"/>
          <w:sz w:val="24"/>
          <w:szCs w:val="24"/>
          <w:lang w:eastAsia="zh-CN"/>
        </w:rPr>
        <w:t>）</w:t>
      </w:r>
      <w:r>
        <w:rPr>
          <w:rFonts w:ascii="宋体" w:hAnsi="宋体" w:eastAsia="宋体" w:cs="宋体"/>
          <w:sz w:val="24"/>
          <w:szCs w:val="24"/>
          <w:lang w:eastAsia="zh-CN"/>
        </w:rPr>
        <w:t>开标结束。</w:t>
      </w:r>
    </w:p>
    <w:p w14:paraId="3F3143FE">
      <w:pPr>
        <w:spacing w:line="360" w:lineRule="auto"/>
        <w:outlineLvl w:val="0"/>
        <w:rPr>
          <w:rFonts w:ascii="宋体" w:hAnsi="宋体" w:eastAsia="宋体" w:cs="宋体"/>
          <w:sz w:val="24"/>
          <w:szCs w:val="24"/>
          <w:lang w:eastAsia="zh-CN"/>
        </w:rPr>
      </w:pPr>
      <w:bookmarkStart w:id="85" w:name="_Toc26430"/>
      <w:bookmarkStart w:id="86" w:name="_Toc10944"/>
      <w:r>
        <w:rPr>
          <w:rFonts w:ascii="宋体" w:hAnsi="宋体" w:eastAsia="宋体" w:cs="宋体"/>
          <w:b/>
          <w:bCs/>
          <w:sz w:val="24"/>
          <w:szCs w:val="24"/>
          <w:lang w:eastAsia="zh-CN"/>
        </w:rPr>
        <w:t>5.3开标异议</w:t>
      </w:r>
      <w:bookmarkEnd w:id="85"/>
      <w:bookmarkEnd w:id="86"/>
    </w:p>
    <w:p w14:paraId="7D127C1A">
      <w:pPr>
        <w:spacing w:line="360" w:lineRule="auto"/>
        <w:rPr>
          <w:rFonts w:ascii="宋体" w:hAnsi="宋体" w:eastAsia="宋体" w:cs="宋体"/>
          <w:sz w:val="24"/>
          <w:szCs w:val="24"/>
          <w:lang w:eastAsia="zh-CN"/>
        </w:rPr>
      </w:pPr>
      <w:r>
        <w:rPr>
          <w:rFonts w:ascii="宋体" w:hAnsi="宋体" w:eastAsia="宋体" w:cs="宋体"/>
          <w:sz w:val="24"/>
          <w:szCs w:val="24"/>
          <w:lang w:eastAsia="zh-CN"/>
        </w:rPr>
        <w:t>供应商对开标有异议的，应当在开标现场提出，采购人当场作出答复，并制作记录。</w:t>
      </w:r>
    </w:p>
    <w:p w14:paraId="46DE633C">
      <w:pPr>
        <w:spacing w:line="360" w:lineRule="auto"/>
        <w:outlineLvl w:val="0"/>
        <w:rPr>
          <w:rFonts w:ascii="宋体" w:hAnsi="宋体" w:eastAsia="宋体" w:cs="宋体"/>
          <w:sz w:val="24"/>
          <w:szCs w:val="24"/>
          <w:lang w:eastAsia="zh-CN"/>
        </w:rPr>
      </w:pPr>
      <w:bookmarkStart w:id="87" w:name="_Toc14884"/>
      <w:bookmarkStart w:id="88" w:name="_Toc2902"/>
      <w:r>
        <w:rPr>
          <w:rFonts w:ascii="宋体" w:hAnsi="宋体" w:eastAsia="宋体" w:cs="宋体"/>
          <w:b/>
          <w:bCs/>
          <w:sz w:val="24"/>
          <w:szCs w:val="24"/>
          <w:lang w:eastAsia="zh-CN"/>
        </w:rPr>
        <w:t>6.评标</w:t>
      </w:r>
      <w:bookmarkEnd w:id="87"/>
      <w:bookmarkEnd w:id="88"/>
    </w:p>
    <w:p w14:paraId="46CF9611">
      <w:pPr>
        <w:spacing w:line="360" w:lineRule="auto"/>
        <w:outlineLvl w:val="0"/>
        <w:rPr>
          <w:rFonts w:ascii="宋体" w:hAnsi="宋体" w:eastAsia="宋体" w:cs="宋体"/>
          <w:sz w:val="24"/>
          <w:szCs w:val="24"/>
          <w:lang w:eastAsia="zh-CN"/>
        </w:rPr>
      </w:pPr>
      <w:bookmarkStart w:id="89" w:name="_Toc14762"/>
      <w:bookmarkStart w:id="90" w:name="_Toc1669"/>
      <w:r>
        <w:rPr>
          <w:rFonts w:ascii="宋体" w:hAnsi="宋体" w:eastAsia="宋体" w:cs="宋体"/>
          <w:b/>
          <w:bCs/>
          <w:sz w:val="24"/>
          <w:szCs w:val="24"/>
          <w:lang w:eastAsia="zh-CN"/>
        </w:rPr>
        <w:t>6.1评标委员会</w:t>
      </w:r>
      <w:bookmarkEnd w:id="89"/>
      <w:bookmarkEnd w:id="90"/>
    </w:p>
    <w:p w14:paraId="5592122A">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6.1.1 评标由采购人依法组建的评标委员会负责。评标委员会由采购人或其委托的采购代理机 构熟悉相关业务的代表，以及有关技术、经济等方面的专家组成。评标委员会成员人数以及技术、 经济等方面专家的确定方式见投标人须知前附表。</w:t>
      </w:r>
    </w:p>
    <w:p w14:paraId="747A5186">
      <w:pPr>
        <w:spacing w:line="360" w:lineRule="auto"/>
        <w:rPr>
          <w:rFonts w:ascii="宋体" w:hAnsi="宋体" w:eastAsia="宋体" w:cs="宋体"/>
          <w:sz w:val="24"/>
          <w:szCs w:val="24"/>
          <w:lang w:eastAsia="zh-CN"/>
        </w:rPr>
      </w:pPr>
      <w:r>
        <w:rPr>
          <w:rFonts w:ascii="宋体" w:hAnsi="宋体" w:eastAsia="宋体" w:cs="宋体"/>
          <w:sz w:val="24"/>
          <w:szCs w:val="24"/>
          <w:lang w:eastAsia="zh-CN"/>
        </w:rPr>
        <w:t>6.1.2 评标委员会成员有下列情形之一的，应当回避：</w:t>
      </w:r>
    </w:p>
    <w:p w14:paraId="1F7180CD">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参加采购活动前3年内与供应商存在劳动关系；</w:t>
      </w:r>
    </w:p>
    <w:p w14:paraId="68BA3EFA">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参加采购活动前3年内担任供应商的董事、监事；</w:t>
      </w:r>
    </w:p>
    <w:p w14:paraId="52421A88">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（3）参加采购活动前3年内是供应商的控股股东或者实际控制人；</w:t>
      </w:r>
    </w:p>
    <w:p w14:paraId="38AC4F9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（4）与供应商的法定代表人或者负责人有夫妻、直系血亲、三代以内旁系血亲或者近姻亲关系；</w:t>
      </w:r>
    </w:p>
    <w:p w14:paraId="449DC805">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（5）与供应商有其他可能影响政府采购活动公平、公正进行的关系。</w:t>
      </w:r>
    </w:p>
    <w:p w14:paraId="3941ADA2">
      <w:pPr>
        <w:spacing w:line="360" w:lineRule="auto"/>
        <w:outlineLvl w:val="0"/>
        <w:rPr>
          <w:rFonts w:ascii="宋体" w:hAnsi="宋体" w:eastAsia="宋体" w:cs="宋体"/>
          <w:sz w:val="24"/>
          <w:szCs w:val="24"/>
          <w:lang w:eastAsia="zh-CN"/>
        </w:rPr>
      </w:pPr>
      <w:bookmarkStart w:id="91" w:name="_Toc15160"/>
      <w:bookmarkStart w:id="92" w:name="_Toc22017"/>
      <w:r>
        <w:rPr>
          <w:rFonts w:ascii="宋体" w:hAnsi="宋体" w:eastAsia="宋体" w:cs="宋体"/>
          <w:b/>
          <w:bCs/>
          <w:sz w:val="24"/>
          <w:szCs w:val="24"/>
          <w:lang w:eastAsia="zh-CN"/>
        </w:rPr>
        <w:t>6.2评标原则</w:t>
      </w:r>
      <w:bookmarkEnd w:id="91"/>
      <w:bookmarkEnd w:id="92"/>
    </w:p>
    <w:p w14:paraId="48D4C1B2">
      <w:pPr>
        <w:spacing w:line="360" w:lineRule="auto"/>
        <w:rPr>
          <w:rFonts w:ascii="宋体" w:hAnsi="宋体" w:eastAsia="宋体" w:cs="宋体"/>
          <w:sz w:val="24"/>
          <w:szCs w:val="24"/>
          <w:lang w:eastAsia="zh-CN"/>
        </w:rPr>
      </w:pPr>
      <w:r>
        <w:rPr>
          <w:rFonts w:ascii="宋体" w:hAnsi="宋体" w:eastAsia="宋体" w:cs="宋体"/>
          <w:sz w:val="24"/>
          <w:szCs w:val="24"/>
          <w:lang w:eastAsia="zh-CN"/>
        </w:rPr>
        <w:t>评标活动遵循公平、公正、科学和择优的原则。</w:t>
      </w:r>
    </w:p>
    <w:p w14:paraId="7EB51883">
      <w:pPr>
        <w:spacing w:line="360" w:lineRule="auto"/>
        <w:outlineLvl w:val="0"/>
        <w:rPr>
          <w:rFonts w:ascii="宋体" w:hAnsi="宋体" w:eastAsia="宋体" w:cs="宋体"/>
          <w:sz w:val="24"/>
          <w:szCs w:val="24"/>
          <w:lang w:eastAsia="zh-CN"/>
        </w:rPr>
      </w:pPr>
      <w:bookmarkStart w:id="93" w:name="_Toc23202"/>
      <w:bookmarkStart w:id="94" w:name="_Toc32285"/>
      <w:r>
        <w:rPr>
          <w:rFonts w:ascii="宋体" w:hAnsi="宋体" w:eastAsia="宋体" w:cs="宋体"/>
          <w:b/>
          <w:bCs/>
          <w:sz w:val="24"/>
          <w:szCs w:val="24"/>
          <w:lang w:eastAsia="zh-CN"/>
        </w:rPr>
        <w:t>6.3评标</w:t>
      </w:r>
      <w:bookmarkEnd w:id="93"/>
      <w:bookmarkEnd w:id="94"/>
    </w:p>
    <w:p w14:paraId="17573880">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评标委员会按照第三章“评标办法”规定的方法、评审因素、标准和程序对投标文件进行评审。 第三章“评标办法”没有规定的方法、评审因素和标准，不作为评标依据。</w:t>
      </w:r>
    </w:p>
    <w:p w14:paraId="58EFF03C">
      <w:pPr>
        <w:spacing w:line="360" w:lineRule="auto"/>
        <w:outlineLvl w:val="0"/>
        <w:rPr>
          <w:rFonts w:ascii="宋体" w:hAnsi="宋体" w:eastAsia="宋体" w:cs="宋体"/>
          <w:sz w:val="24"/>
          <w:szCs w:val="24"/>
          <w:lang w:eastAsia="zh-CN"/>
        </w:rPr>
      </w:pPr>
      <w:bookmarkStart w:id="95" w:name="_Toc29962"/>
      <w:bookmarkStart w:id="96" w:name="_Toc25301"/>
      <w:r>
        <w:rPr>
          <w:rFonts w:ascii="宋体" w:hAnsi="宋体" w:eastAsia="宋体" w:cs="宋体"/>
          <w:b/>
          <w:bCs/>
          <w:sz w:val="24"/>
          <w:szCs w:val="24"/>
          <w:lang w:eastAsia="zh-CN"/>
        </w:rPr>
        <w:t>7.合同授予</w:t>
      </w:r>
      <w:bookmarkEnd w:id="95"/>
      <w:bookmarkEnd w:id="96"/>
    </w:p>
    <w:p w14:paraId="08632140">
      <w:pPr>
        <w:spacing w:line="360" w:lineRule="auto"/>
        <w:outlineLvl w:val="0"/>
        <w:rPr>
          <w:rFonts w:ascii="宋体" w:hAnsi="宋体" w:eastAsia="宋体" w:cs="宋体"/>
          <w:sz w:val="24"/>
          <w:szCs w:val="24"/>
          <w:lang w:eastAsia="zh-CN"/>
        </w:rPr>
      </w:pPr>
      <w:bookmarkStart w:id="97" w:name="_Toc27060"/>
      <w:bookmarkStart w:id="98" w:name="_Toc24280"/>
      <w:r>
        <w:rPr>
          <w:rFonts w:ascii="宋体" w:hAnsi="宋体" w:eastAsia="宋体" w:cs="宋体"/>
          <w:b/>
          <w:bCs/>
          <w:sz w:val="24"/>
          <w:szCs w:val="24"/>
          <w:lang w:eastAsia="zh-CN"/>
        </w:rPr>
        <w:t>7.1定标方式</w:t>
      </w:r>
      <w:bookmarkEnd w:id="97"/>
      <w:bookmarkEnd w:id="98"/>
    </w:p>
    <w:p w14:paraId="31C2FF36">
      <w:pPr>
        <w:spacing w:line="360" w:lineRule="auto"/>
        <w:ind w:firstLine="419"/>
        <w:rPr>
          <w:rFonts w:ascii="宋体" w:hAnsi="宋体" w:eastAsia="宋体" w:cs="宋体"/>
          <w:sz w:val="24"/>
          <w:szCs w:val="24"/>
          <w:lang w:eastAsia="zh-CN"/>
        </w:rPr>
      </w:pPr>
      <w:r>
        <w:rPr>
          <w:rFonts w:ascii="宋体" w:hAnsi="宋体" w:eastAsia="宋体" w:cs="宋体"/>
          <w:sz w:val="24"/>
          <w:szCs w:val="24"/>
          <w:lang w:eastAsia="zh-CN"/>
        </w:rPr>
        <w:t>除投标人须知前附表规定评标委员会直接确定中标人外，采购人依据评标委员会推荐的中标候 选人确定中标人，评标委员会推荐中标候选人的人数见投标人须知前附表。</w:t>
      </w:r>
    </w:p>
    <w:p w14:paraId="59334E58">
      <w:pPr>
        <w:pStyle w:val="5"/>
        <w:spacing w:line="360" w:lineRule="auto"/>
        <w:rPr>
          <w:rFonts w:ascii="宋体" w:hAnsi="宋体" w:eastAsia="宋体"/>
          <w:sz w:val="24"/>
          <w:szCs w:val="24"/>
          <w:lang w:eastAsia="zh-CN"/>
        </w:rPr>
      </w:pPr>
    </w:p>
    <w:p w14:paraId="33537F5E">
      <w:pPr>
        <w:spacing w:line="360" w:lineRule="auto"/>
        <w:outlineLvl w:val="0"/>
        <w:rPr>
          <w:rFonts w:ascii="宋体" w:hAnsi="宋体" w:eastAsia="宋体" w:cs="宋体"/>
          <w:sz w:val="24"/>
          <w:szCs w:val="24"/>
          <w:lang w:eastAsia="zh-CN"/>
        </w:rPr>
      </w:pPr>
      <w:bookmarkStart w:id="99" w:name="_Toc18902"/>
      <w:bookmarkStart w:id="100" w:name="_Toc5418"/>
      <w:r>
        <w:rPr>
          <w:rFonts w:ascii="宋体" w:hAnsi="宋体" w:eastAsia="宋体" w:cs="宋体"/>
          <w:b/>
          <w:bCs/>
          <w:sz w:val="24"/>
          <w:szCs w:val="24"/>
          <w:lang w:eastAsia="zh-CN"/>
        </w:rPr>
        <w:t>7.2中标候选人公示</w:t>
      </w:r>
      <w:bookmarkEnd w:id="99"/>
      <w:bookmarkEnd w:id="100"/>
    </w:p>
    <w:p w14:paraId="11B0922D">
      <w:pPr>
        <w:spacing w:line="360" w:lineRule="auto"/>
        <w:rPr>
          <w:rFonts w:ascii="宋体" w:hAnsi="宋体" w:eastAsia="宋体" w:cs="宋体"/>
          <w:sz w:val="24"/>
          <w:szCs w:val="24"/>
          <w:lang w:eastAsia="zh-CN"/>
        </w:rPr>
      </w:pPr>
      <w:r>
        <w:rPr>
          <w:rFonts w:ascii="宋体" w:hAnsi="宋体" w:eastAsia="宋体" w:cs="宋体"/>
          <w:sz w:val="24"/>
          <w:szCs w:val="24"/>
          <w:lang w:eastAsia="zh-CN"/>
        </w:rPr>
        <w:t>采购人在投标人须知前附表规定的媒介公示中标候选人。</w:t>
      </w:r>
    </w:p>
    <w:p w14:paraId="746652B1">
      <w:pPr>
        <w:spacing w:line="360" w:lineRule="auto"/>
        <w:outlineLvl w:val="0"/>
        <w:rPr>
          <w:rFonts w:ascii="宋体" w:hAnsi="宋体" w:eastAsia="宋体" w:cs="宋体"/>
          <w:sz w:val="24"/>
          <w:szCs w:val="24"/>
          <w:lang w:eastAsia="zh-CN"/>
        </w:rPr>
      </w:pPr>
      <w:bookmarkStart w:id="101" w:name="_Toc31380"/>
      <w:bookmarkStart w:id="102" w:name="_Toc20416"/>
      <w:r>
        <w:rPr>
          <w:rFonts w:ascii="宋体" w:hAnsi="宋体" w:eastAsia="宋体" w:cs="宋体"/>
          <w:b/>
          <w:bCs/>
          <w:sz w:val="24"/>
          <w:szCs w:val="24"/>
          <w:lang w:eastAsia="zh-CN"/>
        </w:rPr>
        <w:t>7.3中标通知</w:t>
      </w:r>
      <w:bookmarkEnd w:id="101"/>
      <w:bookmarkEnd w:id="102"/>
    </w:p>
    <w:p w14:paraId="626E1A21">
      <w:pPr>
        <w:spacing w:line="360" w:lineRule="auto"/>
        <w:ind w:firstLine="439"/>
        <w:rPr>
          <w:rFonts w:ascii="宋体" w:hAnsi="宋体" w:eastAsia="宋体" w:cs="黑体"/>
          <w:sz w:val="24"/>
          <w:szCs w:val="24"/>
          <w:lang w:eastAsia="zh-CN"/>
        </w:rPr>
      </w:pPr>
      <w:r>
        <w:rPr>
          <w:rFonts w:ascii="宋体" w:hAnsi="宋体" w:eastAsia="宋体" w:cs="宋体"/>
          <w:sz w:val="24"/>
          <w:szCs w:val="24"/>
          <w:lang w:eastAsia="zh-CN"/>
        </w:rPr>
        <w:t xml:space="preserve">在本章第3.3款规定的投标有效期内，采购人以书面形式向中标人发出中标通知书，同时将中 </w:t>
      </w:r>
      <w:r>
        <w:rPr>
          <w:rFonts w:ascii="宋体" w:hAnsi="宋体" w:eastAsia="宋体" w:cs="黑体"/>
          <w:sz w:val="24"/>
          <w:szCs w:val="24"/>
          <w:lang w:eastAsia="zh-CN"/>
        </w:rPr>
        <w:t>标结果通知未中标的投标人。</w:t>
      </w:r>
    </w:p>
    <w:p w14:paraId="7AD9F3D4">
      <w:pPr>
        <w:spacing w:line="360" w:lineRule="auto"/>
        <w:outlineLvl w:val="0"/>
        <w:rPr>
          <w:rFonts w:ascii="宋体" w:hAnsi="宋体" w:eastAsia="宋体" w:cs="宋体"/>
          <w:sz w:val="24"/>
          <w:szCs w:val="24"/>
          <w:lang w:eastAsia="zh-CN"/>
        </w:rPr>
      </w:pPr>
      <w:bookmarkStart w:id="103" w:name="_Toc26884"/>
      <w:bookmarkStart w:id="104" w:name="_Toc23272"/>
      <w:r>
        <w:rPr>
          <w:rFonts w:ascii="宋体" w:hAnsi="宋体" w:eastAsia="宋体" w:cs="宋体"/>
          <w:b/>
          <w:bCs/>
          <w:sz w:val="24"/>
          <w:szCs w:val="24"/>
          <w:lang w:eastAsia="zh-CN"/>
        </w:rPr>
        <w:t>7.4履约担保</w:t>
      </w:r>
      <w:bookmarkEnd w:id="103"/>
      <w:bookmarkEnd w:id="104"/>
    </w:p>
    <w:p w14:paraId="3D737752">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7.4.1在签订合同前，中标人应按投标人须知前附表规定的担保形式和招标文件第四章“合同 条款及格式”规定的或者事先经过采购人书面认可的履约担保格式向采购人提交履约担保。</w:t>
      </w:r>
    </w:p>
    <w:p w14:paraId="532020F3">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7.4.2中标人不能按本章第7.4.1项要求提交履约担保的，视为放弃中标，其投标保证金不予 退还，给采购人造成的损失超过投标保证金数额的，中标人还应当对超过部分予以赔偿。</w:t>
      </w:r>
    </w:p>
    <w:p w14:paraId="6F72E137">
      <w:pPr>
        <w:spacing w:line="360" w:lineRule="auto"/>
        <w:outlineLvl w:val="0"/>
        <w:rPr>
          <w:rFonts w:ascii="宋体" w:hAnsi="宋体" w:eastAsia="宋体" w:cs="宋体"/>
          <w:sz w:val="24"/>
          <w:szCs w:val="24"/>
          <w:lang w:eastAsia="zh-CN"/>
        </w:rPr>
      </w:pPr>
      <w:bookmarkStart w:id="105" w:name="_Toc604"/>
      <w:bookmarkStart w:id="106" w:name="_Toc19233"/>
      <w:r>
        <w:rPr>
          <w:rFonts w:ascii="宋体" w:hAnsi="宋体" w:eastAsia="宋体" w:cs="宋体"/>
          <w:b/>
          <w:bCs/>
          <w:sz w:val="24"/>
          <w:szCs w:val="24"/>
          <w:lang w:eastAsia="zh-CN"/>
        </w:rPr>
        <w:t>7.5签订合同</w:t>
      </w:r>
      <w:bookmarkEnd w:id="105"/>
      <w:bookmarkEnd w:id="106"/>
    </w:p>
    <w:p w14:paraId="24C5D788">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7.5.1采购人和中标人应当自中标通知书发出之日起30天内，根据招标文件和中标人的投标文 件订立书面合同。中标人无正当理由拒签合同的，采购人取消其中标资格，其投标保证金不予退还； 给采购人造成的损失超过投标保证金数额的，中标人还应当对超过部分予以赔偿。</w:t>
      </w:r>
    </w:p>
    <w:p w14:paraId="3C3BB53B">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7.5.2 发出中标通知书后，采购人无正当理由拒签合同的，采购人向中标人退还投标保证金； 给中标人造成损失的，还应当赔偿损失。</w:t>
      </w:r>
    </w:p>
    <w:p w14:paraId="3283FC87">
      <w:pPr>
        <w:spacing w:line="360" w:lineRule="auto"/>
        <w:outlineLvl w:val="0"/>
        <w:rPr>
          <w:rFonts w:ascii="宋体" w:hAnsi="宋体" w:eastAsia="宋体" w:cs="宋体"/>
          <w:sz w:val="24"/>
          <w:szCs w:val="24"/>
          <w:lang w:eastAsia="zh-CN"/>
        </w:rPr>
      </w:pPr>
      <w:bookmarkStart w:id="107" w:name="_Toc15882"/>
      <w:bookmarkStart w:id="108" w:name="_Toc5208"/>
      <w:r>
        <w:rPr>
          <w:rFonts w:ascii="宋体" w:hAnsi="宋体" w:eastAsia="宋体" w:cs="宋体"/>
          <w:b/>
          <w:bCs/>
          <w:sz w:val="24"/>
          <w:szCs w:val="24"/>
          <w:lang w:eastAsia="zh-CN"/>
        </w:rPr>
        <w:t>8.重新招标和不再招标</w:t>
      </w:r>
      <w:bookmarkEnd w:id="107"/>
      <w:bookmarkEnd w:id="108"/>
    </w:p>
    <w:p w14:paraId="24735E3E">
      <w:pPr>
        <w:spacing w:line="360" w:lineRule="auto"/>
        <w:outlineLvl w:val="0"/>
        <w:rPr>
          <w:rFonts w:ascii="宋体" w:hAnsi="宋体" w:eastAsia="宋体" w:cs="宋体"/>
          <w:sz w:val="24"/>
          <w:szCs w:val="24"/>
          <w:lang w:eastAsia="zh-CN"/>
        </w:rPr>
      </w:pPr>
      <w:bookmarkStart w:id="109" w:name="_Toc29954"/>
      <w:bookmarkStart w:id="110" w:name="_Toc23565"/>
      <w:r>
        <w:rPr>
          <w:rFonts w:ascii="宋体" w:hAnsi="宋体" w:eastAsia="宋体" w:cs="宋体"/>
          <w:b/>
          <w:bCs/>
          <w:sz w:val="24"/>
          <w:szCs w:val="24"/>
          <w:lang w:eastAsia="zh-CN"/>
        </w:rPr>
        <w:t>8.1重新招标</w:t>
      </w:r>
      <w:bookmarkEnd w:id="109"/>
      <w:bookmarkEnd w:id="110"/>
    </w:p>
    <w:p w14:paraId="535572A5">
      <w:pPr>
        <w:spacing w:line="360" w:lineRule="auto"/>
        <w:rPr>
          <w:rFonts w:ascii="宋体" w:hAnsi="宋体" w:eastAsia="宋体" w:cs="宋体"/>
          <w:sz w:val="24"/>
          <w:szCs w:val="24"/>
          <w:lang w:eastAsia="zh-CN"/>
        </w:rPr>
      </w:pPr>
      <w:r>
        <w:rPr>
          <w:rFonts w:ascii="宋体" w:hAnsi="宋体" w:eastAsia="宋体" w:cs="宋体"/>
          <w:sz w:val="24"/>
          <w:szCs w:val="24"/>
          <w:lang w:eastAsia="zh-CN"/>
        </w:rPr>
        <w:t>有下列情形之一的，采购人将重新招标：</w:t>
      </w:r>
    </w:p>
    <w:p w14:paraId="03F32BBC">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1</w:t>
      </w:r>
      <w:r>
        <w:rPr>
          <w:rFonts w:hint="eastAsia" w:ascii="宋体" w:hAnsi="宋体" w:eastAsia="宋体" w:cs="宋体"/>
          <w:sz w:val="24"/>
          <w:szCs w:val="24"/>
          <w:lang w:eastAsia="zh-CN"/>
        </w:rPr>
        <w:t>）</w:t>
      </w:r>
      <w:r>
        <w:rPr>
          <w:rFonts w:ascii="宋体" w:hAnsi="宋体" w:eastAsia="宋体" w:cs="宋体"/>
          <w:sz w:val="24"/>
          <w:szCs w:val="24"/>
          <w:lang w:eastAsia="zh-CN"/>
        </w:rPr>
        <w:t>投标截止时间止，投标人少于3个的；</w:t>
      </w:r>
    </w:p>
    <w:p w14:paraId="259828F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w:t>
      </w:r>
      <w:r>
        <w:rPr>
          <w:rFonts w:ascii="宋体" w:hAnsi="宋体" w:eastAsia="宋体" w:cs="宋体"/>
          <w:sz w:val="24"/>
          <w:szCs w:val="24"/>
          <w:lang w:eastAsia="zh-CN"/>
        </w:rPr>
        <w:t>2</w:t>
      </w:r>
      <w:r>
        <w:rPr>
          <w:rFonts w:hint="eastAsia" w:ascii="宋体" w:hAnsi="宋体" w:eastAsia="宋体" w:cs="宋体"/>
          <w:sz w:val="24"/>
          <w:szCs w:val="24"/>
          <w:lang w:eastAsia="zh-CN"/>
        </w:rPr>
        <w:t>）</w:t>
      </w:r>
      <w:r>
        <w:rPr>
          <w:rFonts w:ascii="宋体" w:hAnsi="宋体" w:eastAsia="宋体" w:cs="宋体"/>
          <w:sz w:val="24"/>
          <w:szCs w:val="24"/>
          <w:lang w:eastAsia="zh-CN"/>
        </w:rPr>
        <w:t>经评标委员会评审后否决所有投标的。</w:t>
      </w:r>
    </w:p>
    <w:p w14:paraId="08E7C654">
      <w:pPr>
        <w:spacing w:line="360" w:lineRule="auto"/>
        <w:outlineLvl w:val="0"/>
        <w:rPr>
          <w:rFonts w:ascii="宋体" w:hAnsi="宋体" w:eastAsia="宋体" w:cs="宋体"/>
          <w:sz w:val="24"/>
          <w:szCs w:val="24"/>
          <w:lang w:eastAsia="zh-CN"/>
        </w:rPr>
      </w:pPr>
      <w:bookmarkStart w:id="111" w:name="_Toc1249"/>
      <w:bookmarkStart w:id="112" w:name="_Toc20910"/>
      <w:r>
        <w:rPr>
          <w:rFonts w:ascii="宋体" w:hAnsi="宋体" w:eastAsia="宋体" w:cs="宋体"/>
          <w:b/>
          <w:bCs/>
          <w:sz w:val="24"/>
          <w:szCs w:val="24"/>
          <w:lang w:eastAsia="zh-CN"/>
        </w:rPr>
        <w:t>8.2不再招标</w:t>
      </w:r>
      <w:bookmarkEnd w:id="111"/>
      <w:bookmarkEnd w:id="112"/>
    </w:p>
    <w:p w14:paraId="0D2E6A7F">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重新招标后投标人仍少于3个或者所有投标被否决的，属于必须审批或核准的工程建设项目， 经原审批或核准部门批准后不再进行招标。</w:t>
      </w:r>
    </w:p>
    <w:p w14:paraId="7F5B65F7">
      <w:pPr>
        <w:spacing w:line="360" w:lineRule="auto"/>
        <w:outlineLvl w:val="0"/>
        <w:rPr>
          <w:rFonts w:ascii="宋体" w:hAnsi="宋体" w:eastAsia="宋体" w:cs="宋体"/>
          <w:sz w:val="24"/>
          <w:szCs w:val="24"/>
          <w:lang w:eastAsia="zh-CN"/>
        </w:rPr>
      </w:pPr>
      <w:bookmarkStart w:id="113" w:name="_Toc25825"/>
      <w:bookmarkStart w:id="114" w:name="_Toc24508"/>
      <w:r>
        <w:rPr>
          <w:rFonts w:ascii="宋体" w:hAnsi="宋体" w:eastAsia="宋体" w:cs="宋体"/>
          <w:b/>
          <w:bCs/>
          <w:sz w:val="24"/>
          <w:szCs w:val="24"/>
          <w:lang w:eastAsia="zh-CN"/>
        </w:rPr>
        <w:t>9.纪律和监督</w:t>
      </w:r>
      <w:bookmarkEnd w:id="113"/>
      <w:bookmarkEnd w:id="114"/>
    </w:p>
    <w:p w14:paraId="4CE3CF30">
      <w:pPr>
        <w:spacing w:line="360" w:lineRule="auto"/>
        <w:outlineLvl w:val="0"/>
        <w:rPr>
          <w:rFonts w:ascii="宋体" w:hAnsi="宋体" w:eastAsia="宋体" w:cs="宋体"/>
          <w:sz w:val="24"/>
          <w:szCs w:val="24"/>
          <w:lang w:eastAsia="zh-CN"/>
        </w:rPr>
      </w:pPr>
      <w:bookmarkStart w:id="115" w:name="_Toc26066"/>
      <w:bookmarkStart w:id="116" w:name="_Toc3993"/>
      <w:r>
        <w:rPr>
          <w:rFonts w:ascii="宋体" w:hAnsi="宋体" w:eastAsia="宋体" w:cs="宋体"/>
          <w:b/>
          <w:bCs/>
          <w:sz w:val="24"/>
          <w:szCs w:val="24"/>
          <w:lang w:eastAsia="zh-CN"/>
        </w:rPr>
        <w:t>9.1对采购人的纪律要求</w:t>
      </w:r>
      <w:bookmarkEnd w:id="115"/>
      <w:bookmarkEnd w:id="116"/>
    </w:p>
    <w:p w14:paraId="3026F318">
      <w:pPr>
        <w:spacing w:line="360" w:lineRule="auto"/>
        <w:ind w:firstLine="439"/>
        <w:rPr>
          <w:rFonts w:ascii="宋体" w:hAnsi="宋体" w:eastAsia="宋体" w:cs="宋体"/>
          <w:sz w:val="24"/>
          <w:szCs w:val="24"/>
          <w:lang w:eastAsia="zh-CN"/>
        </w:rPr>
      </w:pPr>
      <w:r>
        <w:rPr>
          <w:rFonts w:ascii="宋体" w:hAnsi="宋体" w:eastAsia="宋体" w:cs="宋体"/>
          <w:sz w:val="24"/>
          <w:szCs w:val="24"/>
          <w:lang w:eastAsia="zh-CN"/>
        </w:rPr>
        <w:t>采购人不得泄漏招标投标活动中应当保密的情况和资料，不得与投标人串通损害国家利益、社 会公共利益或者他人合法权益。</w:t>
      </w:r>
    </w:p>
    <w:p w14:paraId="7B3E0A86">
      <w:pPr>
        <w:spacing w:line="360" w:lineRule="auto"/>
        <w:outlineLvl w:val="0"/>
        <w:rPr>
          <w:rFonts w:ascii="宋体" w:hAnsi="宋体" w:eastAsia="宋体" w:cs="宋体"/>
          <w:sz w:val="24"/>
          <w:szCs w:val="24"/>
          <w:lang w:eastAsia="zh-CN"/>
        </w:rPr>
      </w:pPr>
      <w:bookmarkStart w:id="117" w:name="_Toc20692"/>
      <w:bookmarkStart w:id="118" w:name="_Toc15714"/>
      <w:r>
        <w:rPr>
          <w:rFonts w:ascii="宋体" w:hAnsi="宋体" w:eastAsia="宋体" w:cs="宋体"/>
          <w:b/>
          <w:bCs/>
          <w:sz w:val="24"/>
          <w:szCs w:val="24"/>
          <w:lang w:eastAsia="zh-CN"/>
        </w:rPr>
        <w:t>9.2对投标人的纪律要求</w:t>
      </w:r>
      <w:bookmarkEnd w:id="117"/>
      <w:bookmarkEnd w:id="118"/>
    </w:p>
    <w:p w14:paraId="3EB0D86B">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投标人不得相互串通投标或者与采购人串通投标，不得向采购人或者评标委员会成员行贿谋取 中标，不得以他人名义投标或者以其他方式弄虚作假骗取中标；投标人不得以任何方式干扰、影响评标工作。</w:t>
      </w:r>
    </w:p>
    <w:p w14:paraId="10ED2F46">
      <w:pPr>
        <w:spacing w:line="360" w:lineRule="auto"/>
        <w:outlineLvl w:val="0"/>
        <w:rPr>
          <w:rFonts w:ascii="宋体" w:hAnsi="宋体" w:eastAsia="宋体" w:cs="宋体"/>
          <w:sz w:val="24"/>
          <w:szCs w:val="24"/>
          <w:lang w:eastAsia="zh-CN"/>
        </w:rPr>
      </w:pPr>
      <w:bookmarkStart w:id="119" w:name="_Toc16342"/>
      <w:bookmarkStart w:id="120" w:name="_Toc11771"/>
      <w:r>
        <w:rPr>
          <w:rFonts w:ascii="宋体" w:hAnsi="宋体" w:eastAsia="宋体" w:cs="宋体"/>
          <w:b/>
          <w:bCs/>
          <w:sz w:val="24"/>
          <w:szCs w:val="24"/>
          <w:lang w:eastAsia="zh-CN"/>
        </w:rPr>
        <w:t>9.3对评标委员会成员的纪律要求</w:t>
      </w:r>
      <w:bookmarkEnd w:id="119"/>
      <w:bookmarkEnd w:id="120"/>
    </w:p>
    <w:p w14:paraId="7115A595">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评标委员会成员不得收受他人的财物或者其他好处，不得向他人透漏对投标文件的评审和比 较、中标候选人的推荐情况以及评标有关的其他情况。在评标活动中，评标委员会成员应当客观、 公正地履行职责，遵守职业道德，不得擅离职守，影响评标程序正常进行，不得使用第三章“评标 办法”没有规定的评审因素和标准进行评标。</w:t>
      </w:r>
    </w:p>
    <w:p w14:paraId="0AA0A741">
      <w:pPr>
        <w:spacing w:line="360" w:lineRule="auto"/>
        <w:outlineLvl w:val="0"/>
        <w:rPr>
          <w:rFonts w:ascii="宋体" w:hAnsi="宋体" w:eastAsia="宋体" w:cs="宋体"/>
          <w:sz w:val="24"/>
          <w:szCs w:val="24"/>
          <w:lang w:eastAsia="zh-CN"/>
        </w:rPr>
      </w:pPr>
      <w:bookmarkStart w:id="121" w:name="_Toc17647"/>
      <w:bookmarkStart w:id="122" w:name="_Toc2365"/>
      <w:r>
        <w:rPr>
          <w:rFonts w:ascii="宋体" w:hAnsi="宋体" w:eastAsia="宋体" w:cs="宋体"/>
          <w:b/>
          <w:bCs/>
          <w:sz w:val="24"/>
          <w:szCs w:val="24"/>
          <w:lang w:eastAsia="zh-CN"/>
        </w:rPr>
        <w:t>9.4对与评标活动有关的工作人员的纪律要求</w:t>
      </w:r>
      <w:bookmarkEnd w:id="121"/>
      <w:bookmarkEnd w:id="122"/>
    </w:p>
    <w:p w14:paraId="7C527D58">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与评标活动有关的工作人员不得收受他人的财物或者其他好处，不得向他人透漏对投标文件的 评审和比较、中标候选人的推荐情况以及评标有关的其他情况。在评标活动中，与评标活动有关的 工作人员不得擅离职守，影响评标程序正常进行。</w:t>
      </w:r>
    </w:p>
    <w:p w14:paraId="560A5123">
      <w:pPr>
        <w:spacing w:line="360" w:lineRule="auto"/>
        <w:outlineLvl w:val="0"/>
        <w:rPr>
          <w:rFonts w:ascii="宋体" w:hAnsi="宋体" w:eastAsia="宋体" w:cs="宋体"/>
          <w:sz w:val="24"/>
          <w:szCs w:val="24"/>
          <w:lang w:eastAsia="zh-CN"/>
        </w:rPr>
      </w:pPr>
      <w:bookmarkStart w:id="123" w:name="_Toc6668"/>
      <w:bookmarkStart w:id="124" w:name="_Toc7730"/>
      <w:r>
        <w:rPr>
          <w:rFonts w:ascii="宋体" w:hAnsi="宋体" w:eastAsia="宋体" w:cs="宋体"/>
          <w:b/>
          <w:bCs/>
          <w:sz w:val="24"/>
          <w:szCs w:val="24"/>
          <w:lang w:eastAsia="zh-CN"/>
        </w:rPr>
        <w:t>9.5投诉</w:t>
      </w:r>
      <w:bookmarkEnd w:id="123"/>
      <w:bookmarkEnd w:id="124"/>
    </w:p>
    <w:p w14:paraId="508EC238">
      <w:pPr>
        <w:spacing w:line="360" w:lineRule="auto"/>
        <w:ind w:firstLine="419"/>
        <w:jc w:val="both"/>
        <w:rPr>
          <w:rFonts w:ascii="宋体" w:hAnsi="宋体" w:eastAsia="宋体" w:cs="宋体"/>
          <w:sz w:val="24"/>
          <w:szCs w:val="24"/>
          <w:lang w:eastAsia="zh-CN"/>
        </w:rPr>
      </w:pPr>
      <w:r>
        <w:rPr>
          <w:rFonts w:ascii="宋体" w:hAnsi="宋体" w:eastAsia="宋体" w:cs="宋体"/>
          <w:sz w:val="24"/>
          <w:szCs w:val="24"/>
          <w:lang w:eastAsia="zh-CN"/>
        </w:rPr>
        <w:t>投标人或者其他利害关系人认为招标投标活动中的招标文件和公示结果不符合法律、法规、规 章规定的，应当依法在法定期限内向采购人提出异议，采购人应当在收到异议后在规定时间内作出 答复。采购人不在规定时间内答复的或者投标人、其他利害关系人对答复有异议的，可就相关事宜 向主管部门投诉。</w:t>
      </w:r>
    </w:p>
    <w:p w14:paraId="049CD23E">
      <w:pPr>
        <w:spacing w:line="360" w:lineRule="auto"/>
        <w:outlineLvl w:val="0"/>
        <w:rPr>
          <w:rFonts w:ascii="宋体" w:hAnsi="宋体" w:eastAsia="宋体" w:cs="宋体"/>
          <w:sz w:val="24"/>
          <w:szCs w:val="24"/>
          <w:lang w:eastAsia="zh-CN"/>
        </w:rPr>
      </w:pPr>
      <w:bookmarkStart w:id="125" w:name="_Toc7481"/>
      <w:bookmarkStart w:id="126" w:name="_Toc8583"/>
      <w:r>
        <w:rPr>
          <w:rFonts w:ascii="宋体" w:hAnsi="宋体" w:eastAsia="宋体" w:cs="宋体"/>
          <w:b/>
          <w:bCs/>
          <w:sz w:val="24"/>
          <w:szCs w:val="24"/>
          <w:lang w:eastAsia="zh-CN"/>
        </w:rPr>
        <w:t>10.需要补充的其他内容</w:t>
      </w:r>
      <w:bookmarkEnd w:id="125"/>
      <w:bookmarkEnd w:id="126"/>
    </w:p>
    <w:p w14:paraId="69D3319B">
      <w:pPr>
        <w:spacing w:line="360" w:lineRule="auto"/>
        <w:rPr>
          <w:rFonts w:ascii="Times New Roman" w:hAnsi="Times New Roman" w:eastAsia="宋体" w:cs="宋体"/>
          <w:sz w:val="22"/>
          <w:szCs w:val="22"/>
          <w:lang w:eastAsia="zh-CN"/>
        </w:rPr>
      </w:pPr>
      <w:r>
        <w:rPr>
          <w:rFonts w:ascii="宋体" w:hAnsi="宋体" w:eastAsia="宋体" w:cs="宋体"/>
          <w:sz w:val="24"/>
          <w:szCs w:val="24"/>
          <w:lang w:eastAsia="zh-CN"/>
        </w:rPr>
        <w:t>需要补充的其他内容：见投标人须知前附表</w:t>
      </w:r>
    </w:p>
    <w:p w14:paraId="6B71B876">
      <w:pPr>
        <w:spacing w:line="360" w:lineRule="auto"/>
        <w:ind w:left="2299"/>
        <w:rPr>
          <w:rFonts w:ascii="Times New Roman" w:hAnsi="Times New Roman" w:eastAsia="宋体" w:cs="宋体"/>
          <w:b/>
          <w:bCs/>
          <w:sz w:val="30"/>
          <w:szCs w:val="30"/>
          <w:lang w:eastAsia="zh-CN"/>
        </w:rPr>
      </w:pPr>
    </w:p>
    <w:p w14:paraId="2F7591C6">
      <w:pPr>
        <w:rPr>
          <w:rFonts w:ascii="Times New Roman" w:hAnsi="Times New Roman" w:eastAsia="宋体" w:cs="宋体"/>
          <w:b/>
          <w:bCs/>
          <w:sz w:val="30"/>
          <w:szCs w:val="30"/>
          <w:lang w:eastAsia="zh-CN"/>
        </w:rPr>
      </w:pPr>
      <w:r>
        <w:rPr>
          <w:rFonts w:ascii="Times New Roman" w:hAnsi="Times New Roman" w:eastAsia="宋体" w:cs="宋体"/>
          <w:b/>
          <w:bCs/>
          <w:sz w:val="30"/>
          <w:szCs w:val="30"/>
          <w:lang w:eastAsia="zh-CN"/>
        </w:rPr>
        <w:br w:type="page"/>
      </w:r>
    </w:p>
    <w:p w14:paraId="116F7395">
      <w:pPr>
        <w:spacing w:line="360" w:lineRule="auto"/>
        <w:ind w:left="2299"/>
        <w:outlineLvl w:val="0"/>
        <w:rPr>
          <w:rFonts w:ascii="Times New Roman" w:hAnsi="Times New Roman" w:eastAsia="宋体" w:cs="宋体"/>
          <w:sz w:val="30"/>
          <w:szCs w:val="30"/>
          <w:lang w:eastAsia="zh-CN"/>
        </w:rPr>
      </w:pPr>
      <w:bookmarkStart w:id="127" w:name="_Toc23255"/>
      <w:r>
        <w:rPr>
          <w:rFonts w:ascii="Times New Roman" w:hAnsi="Times New Roman" w:eastAsia="宋体" w:cs="宋体"/>
          <w:b/>
          <w:bCs/>
          <w:sz w:val="30"/>
          <w:szCs w:val="30"/>
          <w:lang w:eastAsia="zh-CN"/>
        </w:rPr>
        <w:t>第三章评标办法</w:t>
      </w: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综合评分法</w:t>
      </w:r>
      <w:r>
        <w:rPr>
          <w:rFonts w:hint="eastAsia" w:ascii="Times New Roman" w:hAnsi="Times New Roman" w:eastAsia="宋体" w:cs="宋体"/>
          <w:b/>
          <w:bCs/>
          <w:sz w:val="30"/>
          <w:szCs w:val="30"/>
          <w:lang w:eastAsia="zh-CN"/>
        </w:rPr>
        <w:t>）</w:t>
      </w:r>
      <w:bookmarkEnd w:id="127"/>
    </w:p>
    <w:p w14:paraId="426A65F8">
      <w:pPr>
        <w:spacing w:line="360" w:lineRule="auto"/>
        <w:ind w:left="3689"/>
        <w:rPr>
          <w:rFonts w:ascii="Times New Roman" w:hAnsi="Times New Roman" w:eastAsia="宋体" w:cs="宋体"/>
          <w:sz w:val="30"/>
          <w:szCs w:val="30"/>
        </w:rPr>
      </w:pP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rPr>
        <w:t>一</w:t>
      </w: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rPr>
        <w:t>资格审查</w:t>
      </w:r>
    </w:p>
    <w:p w14:paraId="394017D0">
      <w:pPr>
        <w:spacing w:line="360" w:lineRule="auto"/>
        <w:rPr>
          <w:rFonts w:ascii="Times New Roman" w:hAnsi="Times New Roman"/>
        </w:rPr>
      </w:pPr>
    </w:p>
    <w:tbl>
      <w:tblPr>
        <w:tblStyle w:val="20"/>
        <w:tblW w:w="96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630"/>
        <w:gridCol w:w="485"/>
        <w:gridCol w:w="973"/>
        <w:gridCol w:w="485"/>
        <w:gridCol w:w="5843"/>
        <w:gridCol w:w="485"/>
      </w:tblGrid>
      <w:tr w14:paraId="21DA5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41" w:type="dxa"/>
            <w:gridSpan w:val="3"/>
            <w:vAlign w:val="center"/>
          </w:tcPr>
          <w:p w14:paraId="67DB78F2">
            <w:pPr>
              <w:pStyle w:val="21"/>
              <w:rPr>
                <w:sz w:val="21"/>
                <w:szCs w:val="21"/>
              </w:rPr>
            </w:pPr>
            <w:r>
              <w:rPr>
                <w:sz w:val="21"/>
                <w:szCs w:val="21"/>
              </w:rPr>
              <w:t>条款号</w:t>
            </w:r>
          </w:p>
        </w:tc>
        <w:tc>
          <w:tcPr>
            <w:tcW w:w="1458" w:type="dxa"/>
            <w:gridSpan w:val="2"/>
            <w:vAlign w:val="center"/>
          </w:tcPr>
          <w:p w14:paraId="05AC08DF">
            <w:pPr>
              <w:pStyle w:val="21"/>
              <w:rPr>
                <w:sz w:val="21"/>
                <w:szCs w:val="21"/>
              </w:rPr>
            </w:pPr>
            <w:r>
              <w:rPr>
                <w:sz w:val="21"/>
                <w:szCs w:val="21"/>
              </w:rPr>
              <w:t>评审因素</w:t>
            </w:r>
          </w:p>
        </w:tc>
        <w:tc>
          <w:tcPr>
            <w:tcW w:w="6328" w:type="dxa"/>
            <w:gridSpan w:val="2"/>
            <w:vAlign w:val="center"/>
          </w:tcPr>
          <w:p w14:paraId="3FDA0400">
            <w:pPr>
              <w:pStyle w:val="21"/>
              <w:rPr>
                <w:sz w:val="21"/>
                <w:szCs w:val="21"/>
              </w:rPr>
            </w:pPr>
            <w:r>
              <w:rPr>
                <w:sz w:val="21"/>
                <w:szCs w:val="21"/>
              </w:rPr>
              <w:t>评审标准</w:t>
            </w:r>
          </w:p>
        </w:tc>
      </w:tr>
      <w:tr w14:paraId="7AD85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restart"/>
            <w:vAlign w:val="center"/>
          </w:tcPr>
          <w:p w14:paraId="37BB944C">
            <w:pPr>
              <w:pStyle w:val="21"/>
              <w:rPr>
                <w:sz w:val="21"/>
                <w:szCs w:val="21"/>
              </w:rPr>
            </w:pPr>
            <w:r>
              <w:rPr>
                <w:sz w:val="21"/>
                <w:szCs w:val="21"/>
              </w:rPr>
              <w:t>2.1.1</w:t>
            </w:r>
          </w:p>
          <w:p w14:paraId="18952393">
            <w:pPr>
              <w:pStyle w:val="21"/>
              <w:rPr>
                <w:sz w:val="21"/>
                <w:szCs w:val="21"/>
              </w:rPr>
            </w:pPr>
          </w:p>
        </w:tc>
        <w:tc>
          <w:tcPr>
            <w:tcW w:w="630" w:type="dxa"/>
            <w:vMerge w:val="restart"/>
            <w:vAlign w:val="center"/>
          </w:tcPr>
          <w:p w14:paraId="3F65FEB6">
            <w:pPr>
              <w:pStyle w:val="21"/>
              <w:rPr>
                <w:sz w:val="21"/>
                <w:szCs w:val="21"/>
              </w:rPr>
            </w:pPr>
            <w:r>
              <w:rPr>
                <w:sz w:val="21"/>
                <w:szCs w:val="21"/>
              </w:rPr>
              <w:t>资格</w:t>
            </w:r>
          </w:p>
          <w:p w14:paraId="116D275B">
            <w:pPr>
              <w:pStyle w:val="21"/>
              <w:rPr>
                <w:sz w:val="21"/>
                <w:szCs w:val="21"/>
              </w:rPr>
            </w:pPr>
            <w:r>
              <w:rPr>
                <w:sz w:val="21"/>
                <w:szCs w:val="21"/>
              </w:rPr>
              <w:t>评审</w:t>
            </w:r>
          </w:p>
          <w:p w14:paraId="0A0B0AEE">
            <w:pPr>
              <w:pStyle w:val="21"/>
              <w:rPr>
                <w:sz w:val="21"/>
                <w:szCs w:val="21"/>
              </w:rPr>
            </w:pPr>
            <w:r>
              <w:rPr>
                <w:sz w:val="21"/>
                <w:szCs w:val="21"/>
              </w:rPr>
              <w:t>标准</w:t>
            </w:r>
          </w:p>
        </w:tc>
        <w:tc>
          <w:tcPr>
            <w:tcW w:w="1458" w:type="dxa"/>
            <w:gridSpan w:val="2"/>
            <w:vAlign w:val="center"/>
          </w:tcPr>
          <w:p w14:paraId="4F68DDBE">
            <w:pPr>
              <w:pStyle w:val="21"/>
              <w:rPr>
                <w:rFonts w:hint="eastAsia" w:eastAsia="宋体"/>
                <w:sz w:val="21"/>
                <w:szCs w:val="21"/>
                <w:lang w:val="en-US" w:eastAsia="zh-CN"/>
              </w:rPr>
            </w:pPr>
            <w:r>
              <w:rPr>
                <w:rFonts w:hint="eastAsia"/>
                <w:sz w:val="21"/>
                <w:szCs w:val="21"/>
                <w:lang w:val="en-US" w:eastAsia="zh-CN"/>
              </w:rPr>
              <w:t>基本资质</w:t>
            </w:r>
          </w:p>
        </w:tc>
        <w:tc>
          <w:tcPr>
            <w:tcW w:w="6328" w:type="dxa"/>
            <w:gridSpan w:val="2"/>
            <w:vAlign w:val="center"/>
          </w:tcPr>
          <w:p w14:paraId="46E5B7DC">
            <w:pPr>
              <w:pStyle w:val="21"/>
              <w:rPr>
                <w:sz w:val="21"/>
                <w:szCs w:val="21"/>
              </w:rPr>
            </w:pPr>
            <w:r>
              <w:rPr>
                <w:rFonts w:hint="eastAsia"/>
                <w:sz w:val="21"/>
                <w:szCs w:val="21"/>
              </w:rPr>
              <w:t>具有独立承担民事责任的能力，提供供应商信用承诺书。以上证明材料须符合要求、有效、完整。否则，响应无效。</w:t>
            </w:r>
          </w:p>
        </w:tc>
      </w:tr>
      <w:tr w14:paraId="250E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vAlign w:val="center"/>
          </w:tcPr>
          <w:p w14:paraId="7DBB6CCE">
            <w:pPr>
              <w:pStyle w:val="21"/>
              <w:rPr>
                <w:sz w:val="21"/>
                <w:szCs w:val="21"/>
              </w:rPr>
            </w:pPr>
          </w:p>
        </w:tc>
        <w:tc>
          <w:tcPr>
            <w:tcW w:w="630" w:type="dxa"/>
            <w:vMerge w:val="continue"/>
            <w:vAlign w:val="center"/>
          </w:tcPr>
          <w:p w14:paraId="5409B8B0">
            <w:pPr>
              <w:pStyle w:val="21"/>
              <w:rPr>
                <w:sz w:val="21"/>
                <w:szCs w:val="21"/>
              </w:rPr>
            </w:pPr>
          </w:p>
        </w:tc>
        <w:tc>
          <w:tcPr>
            <w:tcW w:w="1458" w:type="dxa"/>
            <w:gridSpan w:val="2"/>
            <w:vAlign w:val="center"/>
          </w:tcPr>
          <w:p w14:paraId="57717AEE">
            <w:pPr>
              <w:pStyle w:val="21"/>
              <w:rPr>
                <w:sz w:val="21"/>
                <w:szCs w:val="21"/>
              </w:rPr>
            </w:pPr>
            <w:r>
              <w:rPr>
                <w:rFonts w:hint="eastAsia"/>
                <w:sz w:val="21"/>
                <w:szCs w:val="21"/>
                <w:lang w:val="en-US" w:eastAsia="zh-CN"/>
              </w:rPr>
              <w:t>基本资质</w:t>
            </w:r>
          </w:p>
        </w:tc>
        <w:tc>
          <w:tcPr>
            <w:tcW w:w="6328" w:type="dxa"/>
            <w:gridSpan w:val="2"/>
            <w:vAlign w:val="center"/>
          </w:tcPr>
          <w:p w14:paraId="16239018">
            <w:pPr>
              <w:pStyle w:val="21"/>
              <w:rPr>
                <w:sz w:val="21"/>
                <w:szCs w:val="21"/>
              </w:rPr>
            </w:pPr>
            <w:r>
              <w:rPr>
                <w:rFonts w:hint="eastAsia"/>
                <w:sz w:val="21"/>
                <w:szCs w:val="21"/>
              </w:rPr>
              <w:t>具有良好的商业信誉和健全的财务会计制度，提供供应商信用承诺书。以上证明材料须符合要求、有效、完整。否则，响应无效。</w:t>
            </w:r>
          </w:p>
        </w:tc>
      </w:tr>
      <w:tr w14:paraId="4991C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vAlign w:val="center"/>
          </w:tcPr>
          <w:p w14:paraId="33644892">
            <w:pPr>
              <w:pStyle w:val="21"/>
              <w:rPr>
                <w:sz w:val="21"/>
                <w:szCs w:val="21"/>
              </w:rPr>
            </w:pPr>
          </w:p>
        </w:tc>
        <w:tc>
          <w:tcPr>
            <w:tcW w:w="630" w:type="dxa"/>
            <w:vMerge w:val="continue"/>
            <w:vAlign w:val="center"/>
          </w:tcPr>
          <w:p w14:paraId="20E6B587">
            <w:pPr>
              <w:pStyle w:val="21"/>
              <w:rPr>
                <w:sz w:val="21"/>
                <w:szCs w:val="21"/>
              </w:rPr>
            </w:pPr>
          </w:p>
        </w:tc>
        <w:tc>
          <w:tcPr>
            <w:tcW w:w="1458" w:type="dxa"/>
            <w:gridSpan w:val="2"/>
            <w:vAlign w:val="center"/>
          </w:tcPr>
          <w:p w14:paraId="6160352F">
            <w:pPr>
              <w:pStyle w:val="21"/>
              <w:rPr>
                <w:sz w:val="21"/>
                <w:szCs w:val="21"/>
              </w:rPr>
            </w:pPr>
            <w:r>
              <w:rPr>
                <w:rFonts w:hint="eastAsia"/>
                <w:sz w:val="21"/>
                <w:szCs w:val="21"/>
                <w:lang w:val="en-US" w:eastAsia="zh-CN"/>
              </w:rPr>
              <w:t>基本资质</w:t>
            </w:r>
          </w:p>
        </w:tc>
        <w:tc>
          <w:tcPr>
            <w:tcW w:w="6328" w:type="dxa"/>
            <w:gridSpan w:val="2"/>
            <w:vAlign w:val="center"/>
          </w:tcPr>
          <w:p w14:paraId="30BB6DF9">
            <w:pPr>
              <w:pStyle w:val="21"/>
              <w:rPr>
                <w:sz w:val="21"/>
                <w:szCs w:val="21"/>
              </w:rPr>
            </w:pPr>
            <w:r>
              <w:rPr>
                <w:rFonts w:hint="eastAsia"/>
                <w:sz w:val="21"/>
                <w:szCs w:val="21"/>
              </w:rPr>
              <w:t>具有履行合同所必需的设备和专业技术能力，提供供应商信用承诺书。以上证明材料须符合要求、有效、完整。否则，响应无效。</w:t>
            </w:r>
          </w:p>
        </w:tc>
      </w:tr>
      <w:tr w14:paraId="4711C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vAlign w:val="center"/>
          </w:tcPr>
          <w:p w14:paraId="06105AE6">
            <w:pPr>
              <w:pStyle w:val="21"/>
              <w:rPr>
                <w:sz w:val="21"/>
                <w:szCs w:val="21"/>
              </w:rPr>
            </w:pPr>
          </w:p>
        </w:tc>
        <w:tc>
          <w:tcPr>
            <w:tcW w:w="630" w:type="dxa"/>
            <w:vMerge w:val="continue"/>
            <w:vAlign w:val="center"/>
          </w:tcPr>
          <w:p w14:paraId="0C50493C">
            <w:pPr>
              <w:pStyle w:val="21"/>
              <w:rPr>
                <w:sz w:val="21"/>
                <w:szCs w:val="21"/>
              </w:rPr>
            </w:pPr>
          </w:p>
        </w:tc>
        <w:tc>
          <w:tcPr>
            <w:tcW w:w="1458" w:type="dxa"/>
            <w:gridSpan w:val="2"/>
            <w:vAlign w:val="center"/>
          </w:tcPr>
          <w:p w14:paraId="2AD1FA10">
            <w:pPr>
              <w:pStyle w:val="21"/>
              <w:rPr>
                <w:sz w:val="21"/>
                <w:szCs w:val="21"/>
              </w:rPr>
            </w:pPr>
            <w:r>
              <w:rPr>
                <w:rFonts w:hint="eastAsia"/>
                <w:sz w:val="21"/>
                <w:szCs w:val="21"/>
                <w:lang w:val="en-US" w:eastAsia="zh-CN"/>
              </w:rPr>
              <w:t>基本资质</w:t>
            </w:r>
          </w:p>
        </w:tc>
        <w:tc>
          <w:tcPr>
            <w:tcW w:w="6328" w:type="dxa"/>
            <w:gridSpan w:val="2"/>
            <w:vAlign w:val="center"/>
          </w:tcPr>
          <w:p w14:paraId="6497F4A6">
            <w:pPr>
              <w:pStyle w:val="21"/>
              <w:rPr>
                <w:sz w:val="21"/>
                <w:szCs w:val="21"/>
              </w:rPr>
            </w:pPr>
            <w:r>
              <w:rPr>
                <w:rFonts w:hint="eastAsia"/>
                <w:sz w:val="21"/>
                <w:szCs w:val="21"/>
              </w:rPr>
              <w:t>有依法缴纳税收和社会保障资金的良好记录，提供供应商信用承诺书。以上证明材料须符合要求、有效、完整。否则，响应无效。</w:t>
            </w:r>
          </w:p>
        </w:tc>
      </w:tr>
      <w:tr w14:paraId="29200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vAlign w:val="center"/>
          </w:tcPr>
          <w:p w14:paraId="21DB3CBE">
            <w:pPr>
              <w:pStyle w:val="21"/>
              <w:rPr>
                <w:sz w:val="21"/>
                <w:szCs w:val="21"/>
              </w:rPr>
            </w:pPr>
          </w:p>
        </w:tc>
        <w:tc>
          <w:tcPr>
            <w:tcW w:w="630" w:type="dxa"/>
            <w:vMerge w:val="continue"/>
            <w:vAlign w:val="center"/>
          </w:tcPr>
          <w:p w14:paraId="6995ED14">
            <w:pPr>
              <w:pStyle w:val="21"/>
              <w:rPr>
                <w:sz w:val="21"/>
                <w:szCs w:val="21"/>
              </w:rPr>
            </w:pPr>
          </w:p>
        </w:tc>
        <w:tc>
          <w:tcPr>
            <w:tcW w:w="1458" w:type="dxa"/>
            <w:gridSpan w:val="2"/>
            <w:vAlign w:val="center"/>
          </w:tcPr>
          <w:p w14:paraId="4EABF370">
            <w:pPr>
              <w:pStyle w:val="21"/>
              <w:rPr>
                <w:sz w:val="21"/>
                <w:szCs w:val="21"/>
              </w:rPr>
            </w:pPr>
            <w:r>
              <w:rPr>
                <w:rFonts w:hint="eastAsia"/>
                <w:sz w:val="21"/>
                <w:szCs w:val="21"/>
                <w:lang w:val="en-US" w:eastAsia="zh-CN"/>
              </w:rPr>
              <w:t>基本资质</w:t>
            </w:r>
          </w:p>
        </w:tc>
        <w:tc>
          <w:tcPr>
            <w:tcW w:w="6328" w:type="dxa"/>
            <w:gridSpan w:val="2"/>
            <w:vAlign w:val="center"/>
          </w:tcPr>
          <w:p w14:paraId="0F359FC3">
            <w:pPr>
              <w:pStyle w:val="21"/>
              <w:rPr>
                <w:sz w:val="21"/>
                <w:szCs w:val="21"/>
              </w:rPr>
            </w:pPr>
            <w:r>
              <w:rPr>
                <w:rFonts w:hint="eastAsia"/>
                <w:sz w:val="21"/>
                <w:szCs w:val="21"/>
              </w:rPr>
              <w:t>参加政府采购活动前三年内，在经营活动中没有重大违法记录，提供供应商信用承诺书。以上证明材料须符合要求、有效、完整。否则，响应无效。</w:t>
            </w:r>
          </w:p>
        </w:tc>
      </w:tr>
      <w:tr w14:paraId="7B155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vAlign w:val="center"/>
          </w:tcPr>
          <w:p w14:paraId="57073B7D">
            <w:pPr>
              <w:pStyle w:val="21"/>
              <w:rPr>
                <w:sz w:val="21"/>
                <w:szCs w:val="21"/>
              </w:rPr>
            </w:pPr>
          </w:p>
        </w:tc>
        <w:tc>
          <w:tcPr>
            <w:tcW w:w="630" w:type="dxa"/>
            <w:vMerge w:val="continue"/>
            <w:vAlign w:val="center"/>
          </w:tcPr>
          <w:p w14:paraId="7AF458C1">
            <w:pPr>
              <w:pStyle w:val="21"/>
              <w:rPr>
                <w:sz w:val="21"/>
                <w:szCs w:val="21"/>
              </w:rPr>
            </w:pPr>
          </w:p>
        </w:tc>
        <w:tc>
          <w:tcPr>
            <w:tcW w:w="1458" w:type="dxa"/>
            <w:gridSpan w:val="2"/>
            <w:vAlign w:val="center"/>
          </w:tcPr>
          <w:p w14:paraId="3D97E1DE">
            <w:pPr>
              <w:pStyle w:val="21"/>
              <w:rPr>
                <w:sz w:val="21"/>
                <w:szCs w:val="21"/>
              </w:rPr>
            </w:pPr>
            <w:r>
              <w:rPr>
                <w:sz w:val="21"/>
                <w:szCs w:val="21"/>
              </w:rPr>
              <w:t>营业执照</w:t>
            </w:r>
          </w:p>
        </w:tc>
        <w:tc>
          <w:tcPr>
            <w:tcW w:w="6328" w:type="dxa"/>
            <w:gridSpan w:val="2"/>
            <w:vAlign w:val="center"/>
          </w:tcPr>
          <w:p w14:paraId="47E31CF1">
            <w:pPr>
              <w:pStyle w:val="21"/>
              <w:rPr>
                <w:sz w:val="21"/>
                <w:szCs w:val="21"/>
                <w:lang w:eastAsia="zh-CN"/>
              </w:rPr>
            </w:pPr>
            <w:r>
              <w:rPr>
                <w:sz w:val="21"/>
                <w:szCs w:val="21"/>
                <w:lang w:eastAsia="zh-CN"/>
              </w:rPr>
              <w:t>具备有效的营业执照，投标文件内附营业执照</w:t>
            </w:r>
            <w:r>
              <w:rPr>
                <w:rFonts w:hint="eastAsia"/>
                <w:sz w:val="21"/>
                <w:szCs w:val="21"/>
                <w:lang w:eastAsia="zh-CN"/>
              </w:rPr>
              <w:t>（</w:t>
            </w:r>
            <w:r>
              <w:rPr>
                <w:sz w:val="21"/>
                <w:szCs w:val="21"/>
                <w:lang w:eastAsia="zh-CN"/>
              </w:rPr>
              <w:t>副本</w:t>
            </w:r>
            <w:r>
              <w:rPr>
                <w:rFonts w:hint="eastAsia"/>
                <w:sz w:val="21"/>
                <w:szCs w:val="21"/>
                <w:lang w:eastAsia="zh-CN"/>
              </w:rPr>
              <w:t>）</w:t>
            </w:r>
            <w:r>
              <w:rPr>
                <w:sz w:val="21"/>
                <w:szCs w:val="21"/>
                <w:lang w:eastAsia="zh-CN"/>
              </w:rPr>
              <w:t>复印件并加盖投标单位公章。</w:t>
            </w:r>
          </w:p>
        </w:tc>
      </w:tr>
      <w:tr w14:paraId="6FD00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tcPr>
          <w:p w14:paraId="561087D7">
            <w:pPr>
              <w:spacing w:line="400" w:lineRule="exact"/>
              <w:rPr>
                <w:rFonts w:ascii="宋体" w:hAnsi="宋体" w:eastAsia="宋体"/>
                <w:lang w:eastAsia="zh-CN"/>
              </w:rPr>
            </w:pPr>
          </w:p>
        </w:tc>
        <w:tc>
          <w:tcPr>
            <w:tcW w:w="630" w:type="dxa"/>
            <w:vMerge w:val="continue"/>
            <w:vAlign w:val="center"/>
          </w:tcPr>
          <w:p w14:paraId="52D245D8">
            <w:pPr>
              <w:spacing w:line="400" w:lineRule="exact"/>
              <w:rPr>
                <w:rFonts w:ascii="宋体" w:hAnsi="宋体" w:eastAsia="宋体"/>
                <w:lang w:eastAsia="zh-CN"/>
              </w:rPr>
            </w:pPr>
          </w:p>
        </w:tc>
        <w:tc>
          <w:tcPr>
            <w:tcW w:w="1458" w:type="dxa"/>
            <w:gridSpan w:val="2"/>
            <w:vAlign w:val="center"/>
          </w:tcPr>
          <w:p w14:paraId="3AA3AE58">
            <w:pPr>
              <w:pStyle w:val="21"/>
              <w:rPr>
                <w:sz w:val="21"/>
                <w:szCs w:val="21"/>
              </w:rPr>
            </w:pPr>
            <w:r>
              <w:rPr>
                <w:sz w:val="21"/>
                <w:szCs w:val="21"/>
                <w:lang w:eastAsia="zh-CN"/>
              </w:rPr>
              <w:t>资格条件承诺函及信用承诺</w:t>
            </w:r>
            <w:r>
              <w:rPr>
                <w:sz w:val="21"/>
                <w:szCs w:val="21"/>
              </w:rPr>
              <w:t>书</w:t>
            </w:r>
          </w:p>
        </w:tc>
        <w:tc>
          <w:tcPr>
            <w:tcW w:w="6328" w:type="dxa"/>
            <w:gridSpan w:val="2"/>
          </w:tcPr>
          <w:p w14:paraId="5058BDFE">
            <w:pPr>
              <w:pStyle w:val="21"/>
              <w:rPr>
                <w:sz w:val="21"/>
                <w:szCs w:val="21"/>
                <w:lang w:eastAsia="zh-CN"/>
              </w:rPr>
            </w:pPr>
            <w:r>
              <w:rPr>
                <w:sz w:val="21"/>
                <w:szCs w:val="21"/>
                <w:lang w:eastAsia="zh-CN"/>
              </w:rPr>
              <w:t>供应商应按照《长春市财政局关于加强政府采购信用体系建设简化投标人资格条件有关事项的通知》</w:t>
            </w:r>
            <w:r>
              <w:rPr>
                <w:rFonts w:hint="eastAsia"/>
                <w:sz w:val="21"/>
                <w:szCs w:val="21"/>
                <w:lang w:eastAsia="zh-CN"/>
              </w:rPr>
              <w:t>（</w:t>
            </w:r>
            <w:r>
              <w:rPr>
                <w:sz w:val="21"/>
                <w:szCs w:val="21"/>
                <w:lang w:eastAsia="zh-CN"/>
              </w:rPr>
              <w:t>长财采购[2022]2066号</w:t>
            </w:r>
            <w:r>
              <w:rPr>
                <w:rFonts w:hint="eastAsia"/>
                <w:sz w:val="21"/>
                <w:szCs w:val="21"/>
                <w:lang w:eastAsia="zh-CN"/>
              </w:rPr>
              <w:t>）</w:t>
            </w:r>
            <w:r>
              <w:rPr>
                <w:sz w:val="21"/>
                <w:szCs w:val="21"/>
                <w:lang w:eastAsia="zh-CN"/>
              </w:rPr>
              <w:t>文件要求</w:t>
            </w:r>
          </w:p>
          <w:p w14:paraId="46B7C17F">
            <w:pPr>
              <w:pStyle w:val="21"/>
              <w:rPr>
                <w:sz w:val="21"/>
                <w:szCs w:val="21"/>
                <w:lang w:eastAsia="zh-CN"/>
              </w:rPr>
            </w:pPr>
            <w:r>
              <w:rPr>
                <w:sz w:val="21"/>
                <w:szCs w:val="21"/>
                <w:lang w:eastAsia="zh-CN"/>
              </w:rPr>
              <w:t>在投标文件中提交反映其财务状况、依法缴纳税收和社会保障资金情 况的资格条件承诺函，并对资格条件承诺函有关内容的真实性、有效性、合法性负责。</w:t>
            </w:r>
          </w:p>
        </w:tc>
      </w:tr>
      <w:tr w14:paraId="31037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tcPr>
          <w:p w14:paraId="5400AE0C">
            <w:pPr>
              <w:spacing w:line="400" w:lineRule="exact"/>
              <w:rPr>
                <w:rFonts w:ascii="宋体" w:hAnsi="宋体" w:eastAsia="宋体"/>
                <w:lang w:eastAsia="zh-CN"/>
              </w:rPr>
            </w:pPr>
          </w:p>
        </w:tc>
        <w:tc>
          <w:tcPr>
            <w:tcW w:w="630" w:type="dxa"/>
            <w:vMerge w:val="continue"/>
            <w:vAlign w:val="center"/>
          </w:tcPr>
          <w:p w14:paraId="765DBC2E">
            <w:pPr>
              <w:spacing w:line="400" w:lineRule="exact"/>
              <w:rPr>
                <w:rFonts w:ascii="宋体" w:hAnsi="宋体" w:eastAsia="宋体"/>
                <w:lang w:eastAsia="zh-CN"/>
              </w:rPr>
            </w:pPr>
          </w:p>
        </w:tc>
        <w:tc>
          <w:tcPr>
            <w:tcW w:w="1458" w:type="dxa"/>
            <w:gridSpan w:val="2"/>
            <w:vAlign w:val="center"/>
          </w:tcPr>
          <w:p w14:paraId="497217B9">
            <w:pPr>
              <w:pStyle w:val="21"/>
              <w:rPr>
                <w:sz w:val="21"/>
                <w:szCs w:val="21"/>
              </w:rPr>
            </w:pPr>
            <w:r>
              <w:rPr>
                <w:sz w:val="21"/>
                <w:szCs w:val="21"/>
              </w:rPr>
              <w:t>信誉</w:t>
            </w:r>
          </w:p>
        </w:tc>
        <w:tc>
          <w:tcPr>
            <w:tcW w:w="6328" w:type="dxa"/>
            <w:gridSpan w:val="2"/>
          </w:tcPr>
          <w:p w14:paraId="65A2CC81">
            <w:pPr>
              <w:pStyle w:val="21"/>
              <w:rPr>
                <w:sz w:val="21"/>
                <w:szCs w:val="21"/>
                <w:lang w:eastAsia="zh-CN"/>
              </w:rPr>
            </w:pPr>
            <w:r>
              <w:rPr>
                <w:sz w:val="21"/>
                <w:szCs w:val="21"/>
                <w:lang w:eastAsia="zh-CN"/>
              </w:rPr>
              <w:t>1、供应商不得为“信用中国”网站</w:t>
            </w:r>
            <w:r>
              <w:rPr>
                <w:rFonts w:hint="eastAsia"/>
                <w:sz w:val="21"/>
                <w:szCs w:val="21"/>
                <w:lang w:eastAsia="zh-CN"/>
              </w:rPr>
              <w:t>（</w:t>
            </w:r>
            <w:r>
              <w:rPr>
                <w:sz w:val="21"/>
                <w:szCs w:val="21"/>
                <w:lang w:eastAsia="zh-CN"/>
              </w:rPr>
              <w:t>www.creditchina.gov.cn</w:t>
            </w:r>
            <w:r>
              <w:rPr>
                <w:rFonts w:hint="eastAsia"/>
                <w:sz w:val="21"/>
                <w:szCs w:val="21"/>
                <w:lang w:eastAsia="zh-CN"/>
              </w:rPr>
              <w:t>）</w:t>
            </w:r>
            <w:r>
              <w:rPr>
                <w:sz w:val="21"/>
                <w:szCs w:val="21"/>
                <w:lang w:eastAsia="zh-CN"/>
              </w:rPr>
              <w:t>中列入重大税收违法案件当事人名单的投标人，不得为中国执行信息公 开网</w:t>
            </w:r>
            <w:r>
              <w:rPr>
                <w:rFonts w:hint="eastAsia"/>
                <w:sz w:val="21"/>
                <w:szCs w:val="21"/>
                <w:lang w:eastAsia="zh-CN"/>
              </w:rPr>
              <w:t>（</w:t>
            </w:r>
            <w:r>
              <w:fldChar w:fldCharType="begin"/>
            </w:r>
            <w:r>
              <w:instrText xml:space="preserve"> HYPERLINK "http://zxgk.court.gov.cn" </w:instrText>
            </w:r>
            <w:r>
              <w:fldChar w:fldCharType="separate"/>
            </w:r>
            <w:r>
              <w:rPr>
                <w:sz w:val="21"/>
                <w:szCs w:val="21"/>
                <w:lang w:eastAsia="zh-CN"/>
              </w:rPr>
              <w:t>http://zxgk.court.gov.cn</w:t>
            </w:r>
            <w:r>
              <w:rPr>
                <w:sz w:val="21"/>
                <w:szCs w:val="21"/>
                <w:lang w:eastAsia="zh-CN"/>
              </w:rPr>
              <w:fldChar w:fldCharType="end"/>
            </w:r>
            <w:r>
              <w:rPr>
                <w:rFonts w:hint="eastAsia"/>
                <w:sz w:val="21"/>
                <w:szCs w:val="21"/>
                <w:lang w:eastAsia="zh-CN"/>
              </w:rPr>
              <w:t>）</w:t>
            </w:r>
            <w:r>
              <w:rPr>
                <w:sz w:val="21"/>
                <w:szCs w:val="21"/>
                <w:lang w:eastAsia="zh-CN"/>
              </w:rPr>
              <w:t>中列入失信被执行人名单，不得为中国政府采购网</w:t>
            </w:r>
            <w:r>
              <w:rPr>
                <w:rFonts w:hint="eastAsia"/>
                <w:sz w:val="21"/>
                <w:szCs w:val="21"/>
                <w:lang w:eastAsia="zh-CN"/>
              </w:rPr>
              <w:t>（</w:t>
            </w:r>
            <w:r>
              <w:rPr>
                <w:sz w:val="21"/>
                <w:szCs w:val="21"/>
                <w:lang w:eastAsia="zh-CN"/>
              </w:rPr>
              <w:t>www.ccgp.gov.cn</w:t>
            </w:r>
            <w:r>
              <w:rPr>
                <w:rFonts w:hint="eastAsia"/>
                <w:sz w:val="21"/>
                <w:szCs w:val="21"/>
                <w:lang w:eastAsia="zh-CN"/>
              </w:rPr>
              <w:t>）</w:t>
            </w:r>
            <w:r>
              <w:rPr>
                <w:sz w:val="21"/>
                <w:szCs w:val="21"/>
                <w:lang w:eastAsia="zh-CN"/>
              </w:rPr>
              <w:t>政府采购严重违法失信行为 记录名单中被财政部门禁止参加政府采购活动的投标人</w:t>
            </w:r>
            <w:r>
              <w:rPr>
                <w:rFonts w:hint="eastAsia"/>
                <w:sz w:val="21"/>
                <w:szCs w:val="21"/>
                <w:lang w:eastAsia="zh-CN"/>
              </w:rPr>
              <w:t>（</w:t>
            </w:r>
            <w:r>
              <w:rPr>
                <w:sz w:val="21"/>
                <w:szCs w:val="21"/>
                <w:lang w:eastAsia="zh-CN"/>
              </w:rPr>
              <w:t>详见财库[2016]125号</w:t>
            </w:r>
            <w:r>
              <w:rPr>
                <w:rFonts w:hint="eastAsia"/>
                <w:sz w:val="21"/>
                <w:szCs w:val="21"/>
                <w:lang w:eastAsia="zh-CN"/>
              </w:rPr>
              <w:t>）</w:t>
            </w:r>
            <w:r>
              <w:rPr>
                <w:sz w:val="21"/>
                <w:szCs w:val="21"/>
                <w:lang w:eastAsia="zh-CN"/>
              </w:rPr>
              <w:t>。投标人及其法定代表人不得在“中国裁判文书网” 列入存在行贿犯罪情形。</w:t>
            </w:r>
            <w:r>
              <w:rPr>
                <w:rFonts w:hint="eastAsia"/>
                <w:sz w:val="21"/>
                <w:szCs w:val="21"/>
                <w:lang w:eastAsia="zh-CN"/>
              </w:rPr>
              <w:t>（</w:t>
            </w:r>
            <w:r>
              <w:rPr>
                <w:sz w:val="21"/>
                <w:szCs w:val="21"/>
                <w:lang w:eastAsia="zh-CN"/>
              </w:rPr>
              <w:t>投标文件中提供法定代表人或其授权委托人签字并加盖公章的承诺书</w:t>
            </w:r>
            <w:r>
              <w:rPr>
                <w:rFonts w:hint="eastAsia"/>
                <w:sz w:val="21"/>
                <w:szCs w:val="21"/>
                <w:lang w:eastAsia="zh-CN"/>
              </w:rPr>
              <w:t>）</w:t>
            </w:r>
            <w:r>
              <w:rPr>
                <w:sz w:val="21"/>
                <w:szCs w:val="21"/>
                <w:lang w:eastAsia="zh-CN"/>
              </w:rPr>
              <w:t>。</w:t>
            </w:r>
          </w:p>
          <w:p w14:paraId="33328C69">
            <w:pPr>
              <w:pStyle w:val="21"/>
              <w:rPr>
                <w:sz w:val="21"/>
                <w:szCs w:val="21"/>
                <w:lang w:eastAsia="zh-CN"/>
              </w:rPr>
            </w:pPr>
            <w:r>
              <w:rPr>
                <w:sz w:val="21"/>
                <w:szCs w:val="21"/>
                <w:lang w:eastAsia="zh-CN"/>
              </w:rPr>
              <w:t>2、供应商需对公司材料和投标文件的真实性进行承诺，不得提供伪造、变造的材料，否则后果自负。投标文件中提供由法定代表人或其 授权委托人签字并加盖公章的承诺书。</w:t>
            </w:r>
          </w:p>
        </w:tc>
      </w:tr>
      <w:tr w14:paraId="57C2E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tcPr>
          <w:p w14:paraId="3D72923F">
            <w:pPr>
              <w:spacing w:line="400" w:lineRule="exact"/>
              <w:rPr>
                <w:rFonts w:ascii="宋体" w:hAnsi="宋体" w:eastAsia="宋体"/>
                <w:lang w:eastAsia="zh-CN"/>
              </w:rPr>
            </w:pPr>
          </w:p>
        </w:tc>
        <w:tc>
          <w:tcPr>
            <w:tcW w:w="630" w:type="dxa"/>
            <w:vMerge w:val="continue"/>
            <w:vAlign w:val="center"/>
          </w:tcPr>
          <w:p w14:paraId="003194D5">
            <w:pPr>
              <w:spacing w:line="400" w:lineRule="exact"/>
              <w:rPr>
                <w:rFonts w:ascii="宋体" w:hAnsi="宋体" w:eastAsia="宋体"/>
                <w:lang w:eastAsia="zh-CN"/>
              </w:rPr>
            </w:pPr>
          </w:p>
        </w:tc>
        <w:tc>
          <w:tcPr>
            <w:tcW w:w="1458" w:type="dxa"/>
            <w:gridSpan w:val="2"/>
            <w:vAlign w:val="center"/>
          </w:tcPr>
          <w:p w14:paraId="7D194614">
            <w:pPr>
              <w:pStyle w:val="21"/>
              <w:rPr>
                <w:rFonts w:hint="eastAsia" w:eastAsia="宋体"/>
                <w:sz w:val="21"/>
                <w:szCs w:val="21"/>
                <w:lang w:val="en-US" w:eastAsia="zh-CN"/>
              </w:rPr>
            </w:pPr>
            <w:r>
              <w:rPr>
                <w:rFonts w:hint="eastAsia"/>
                <w:sz w:val="21"/>
                <w:szCs w:val="21"/>
                <w:lang w:val="en-US" w:eastAsia="zh-CN"/>
              </w:rPr>
              <w:t>中小企业声明函</w:t>
            </w:r>
          </w:p>
        </w:tc>
        <w:tc>
          <w:tcPr>
            <w:tcW w:w="6328" w:type="dxa"/>
            <w:gridSpan w:val="2"/>
          </w:tcPr>
          <w:p w14:paraId="0BD06F45">
            <w:pPr>
              <w:pStyle w:val="21"/>
              <w:rPr>
                <w:sz w:val="21"/>
                <w:szCs w:val="21"/>
                <w:lang w:eastAsia="zh-CN"/>
              </w:rPr>
            </w:pPr>
            <w:r>
              <w:rPr>
                <w:rFonts w:hint="eastAsia"/>
                <w:sz w:val="21"/>
                <w:szCs w:val="21"/>
                <w:lang w:eastAsia="zh-CN"/>
              </w:rPr>
              <w:t>供应商应符合小微企业，请根据要求上传《中小企业声明函》，格式以采购文件要求为准</w:t>
            </w:r>
          </w:p>
        </w:tc>
      </w:tr>
      <w:tr w14:paraId="6604E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5" w:type="dxa"/>
          <w:jc w:val="center"/>
        </w:trPr>
        <w:tc>
          <w:tcPr>
            <w:tcW w:w="726" w:type="dxa"/>
            <w:vMerge w:val="continue"/>
          </w:tcPr>
          <w:p w14:paraId="71BDDABC">
            <w:pPr>
              <w:spacing w:line="400" w:lineRule="exact"/>
              <w:rPr>
                <w:rFonts w:ascii="宋体" w:hAnsi="宋体" w:eastAsia="宋体"/>
                <w:lang w:eastAsia="zh-CN"/>
              </w:rPr>
            </w:pPr>
          </w:p>
        </w:tc>
        <w:tc>
          <w:tcPr>
            <w:tcW w:w="630" w:type="dxa"/>
            <w:vMerge w:val="continue"/>
          </w:tcPr>
          <w:p w14:paraId="3BE15EA9">
            <w:pPr>
              <w:spacing w:line="400" w:lineRule="exact"/>
              <w:rPr>
                <w:rFonts w:ascii="宋体" w:hAnsi="宋体" w:eastAsia="宋体"/>
                <w:lang w:eastAsia="zh-CN"/>
              </w:rPr>
            </w:pPr>
          </w:p>
        </w:tc>
        <w:tc>
          <w:tcPr>
            <w:tcW w:w="1458" w:type="dxa"/>
            <w:gridSpan w:val="2"/>
          </w:tcPr>
          <w:p w14:paraId="072D526D">
            <w:pPr>
              <w:pStyle w:val="21"/>
              <w:rPr>
                <w:sz w:val="21"/>
                <w:szCs w:val="21"/>
                <w:lang w:eastAsia="zh-CN"/>
              </w:rPr>
            </w:pPr>
            <w:r>
              <w:rPr>
                <w:sz w:val="21"/>
                <w:szCs w:val="21"/>
                <w:lang w:eastAsia="zh-CN"/>
              </w:rPr>
              <w:t>不存在禁止投标的情形</w:t>
            </w:r>
          </w:p>
        </w:tc>
        <w:tc>
          <w:tcPr>
            <w:tcW w:w="6328" w:type="dxa"/>
            <w:gridSpan w:val="2"/>
          </w:tcPr>
          <w:p w14:paraId="6E8E2C8E">
            <w:pPr>
              <w:pStyle w:val="21"/>
              <w:rPr>
                <w:sz w:val="21"/>
                <w:szCs w:val="21"/>
                <w:lang w:eastAsia="zh-CN"/>
              </w:rPr>
            </w:pPr>
            <w:r>
              <w:rPr>
                <w:sz w:val="21"/>
                <w:szCs w:val="21"/>
                <w:lang w:eastAsia="zh-CN"/>
              </w:rPr>
              <w:t>不存在第二章“投标人须知”第1.4.2和1.4.3项规定的任何一种情形及 招标文件所规定的其他条款。</w:t>
            </w:r>
          </w:p>
          <w:p w14:paraId="25361CEA">
            <w:pPr>
              <w:pStyle w:val="21"/>
              <w:rPr>
                <w:sz w:val="21"/>
                <w:szCs w:val="21"/>
                <w:lang w:eastAsia="zh-CN"/>
              </w:rPr>
            </w:pPr>
            <w:r>
              <w:rPr>
                <w:sz w:val="21"/>
                <w:szCs w:val="21"/>
                <w:lang w:eastAsia="zh-CN"/>
              </w:rPr>
              <w:t>投标文件内附由法定代表人或其委托代理人签字并加盖投标单位公 章的承诺书。</w:t>
            </w:r>
          </w:p>
        </w:tc>
      </w:tr>
    </w:tbl>
    <w:p w14:paraId="79CC621A">
      <w:pPr>
        <w:spacing w:line="360" w:lineRule="auto"/>
        <w:ind w:left="454" w:right="180"/>
        <w:rPr>
          <w:rFonts w:ascii="宋体" w:hAnsi="宋体" w:eastAsia="宋体" w:cs="宋体"/>
          <w:sz w:val="24"/>
          <w:szCs w:val="24"/>
          <w:lang w:eastAsia="zh-CN"/>
        </w:rPr>
      </w:pPr>
    </w:p>
    <w:p w14:paraId="798190B5">
      <w:pPr>
        <w:spacing w:line="360" w:lineRule="auto"/>
        <w:ind w:right="180"/>
        <w:rPr>
          <w:rFonts w:ascii="宋体" w:hAnsi="宋体" w:eastAsia="宋体" w:cs="宋体"/>
          <w:lang w:eastAsia="zh-CN"/>
        </w:rPr>
      </w:pPr>
      <w:r>
        <w:rPr>
          <w:rFonts w:ascii="宋体" w:hAnsi="宋体" w:eastAsia="宋体" w:cs="宋体"/>
          <w:lang w:eastAsia="zh-CN"/>
        </w:rPr>
        <w:t>注：上述资格审查中有一项不合格，则资格评审不合格，投标按废标处理，不进入后续评审。 每项</w:t>
      </w:r>
      <w:r>
        <w:rPr>
          <w:rFonts w:hint="eastAsia" w:ascii="宋体" w:hAnsi="宋体" w:eastAsia="宋体" w:cs="宋体"/>
          <w:lang w:eastAsia="zh-CN"/>
        </w:rPr>
        <w:t>评审</w:t>
      </w:r>
      <w:r>
        <w:rPr>
          <w:rFonts w:ascii="宋体" w:hAnsi="宋体" w:eastAsia="宋体" w:cs="宋体"/>
          <w:lang w:eastAsia="zh-CN"/>
        </w:rPr>
        <w:t xml:space="preserve"> 内容合格打“ √ ”,不合格打“×”。评宙结论写“合格”或“不合格”。不合格须注明原因。投标人所提供的所有证件均需在有效期内且注册单位名称与投标人的名称一 致，如企业名称发生变更，需提供主管部门出具的变更证明材料。</w:t>
      </w:r>
    </w:p>
    <w:p w14:paraId="079DBAC7">
      <w:pPr>
        <w:spacing w:line="360" w:lineRule="auto"/>
        <w:rPr>
          <w:rFonts w:ascii="宋体" w:hAnsi="宋体" w:eastAsia="宋体" w:cs="宋体"/>
          <w:lang w:eastAsia="zh-CN"/>
        </w:rPr>
        <w:sectPr>
          <w:footerReference r:id="rId11" w:type="default"/>
          <w:pgSz w:w="11905" w:h="16838"/>
          <w:pgMar w:top="1134" w:right="1134" w:bottom="1134" w:left="1134" w:header="0" w:footer="1043" w:gutter="0"/>
          <w:cols w:space="0" w:num="1"/>
        </w:sectPr>
      </w:pPr>
    </w:p>
    <w:p w14:paraId="7B4F816B">
      <w:pPr>
        <w:pStyle w:val="5"/>
        <w:spacing w:line="360" w:lineRule="auto"/>
        <w:rPr>
          <w:rFonts w:ascii="宋体" w:hAnsi="宋体" w:eastAsia="宋体"/>
          <w:sz w:val="24"/>
          <w:szCs w:val="24"/>
          <w:lang w:eastAsia="zh-CN"/>
        </w:rPr>
      </w:pPr>
    </w:p>
    <w:p w14:paraId="045D847D">
      <w:pPr>
        <w:spacing w:line="360" w:lineRule="auto"/>
        <w:ind w:left="3549"/>
        <w:rPr>
          <w:rFonts w:ascii="宋体" w:hAnsi="宋体" w:eastAsia="宋体" w:cs="宋体"/>
          <w:sz w:val="24"/>
          <w:szCs w:val="24"/>
        </w:rPr>
      </w:pPr>
      <w:r>
        <w:rPr>
          <w:rFonts w:hint="eastAsia" w:ascii="宋体" w:hAnsi="宋体" w:eastAsia="宋体" w:cs="宋体"/>
          <w:b/>
          <w:bCs/>
          <w:sz w:val="24"/>
          <w:szCs w:val="24"/>
          <w:lang w:eastAsia="zh-CN"/>
        </w:rPr>
        <w:t>（</w:t>
      </w:r>
      <w:r>
        <w:rPr>
          <w:rFonts w:ascii="宋体" w:hAnsi="宋体" w:eastAsia="宋体" w:cs="宋体"/>
          <w:b/>
          <w:bCs/>
          <w:sz w:val="24"/>
          <w:szCs w:val="24"/>
        </w:rPr>
        <w:t>二</w:t>
      </w:r>
      <w:r>
        <w:rPr>
          <w:rFonts w:hint="eastAsia" w:ascii="宋体" w:hAnsi="宋体" w:eastAsia="宋体" w:cs="宋体"/>
          <w:b/>
          <w:bCs/>
          <w:sz w:val="24"/>
          <w:szCs w:val="24"/>
          <w:lang w:eastAsia="zh-CN"/>
        </w:rPr>
        <w:t>）</w:t>
      </w:r>
      <w:r>
        <w:rPr>
          <w:rFonts w:ascii="宋体" w:hAnsi="宋体" w:eastAsia="宋体" w:cs="宋体"/>
          <w:b/>
          <w:bCs/>
          <w:sz w:val="24"/>
          <w:szCs w:val="24"/>
        </w:rPr>
        <w:t>符合性审查</w:t>
      </w:r>
    </w:p>
    <w:p w14:paraId="6D5B3C26">
      <w:pPr>
        <w:spacing w:line="360" w:lineRule="auto"/>
        <w:rPr>
          <w:rFonts w:ascii="宋体" w:hAnsi="宋体" w:eastAsia="宋体"/>
          <w:sz w:val="24"/>
          <w:szCs w:val="24"/>
        </w:rPr>
      </w:pPr>
    </w:p>
    <w:tbl>
      <w:tblPr>
        <w:tblStyle w:val="20"/>
        <w:tblW w:w="9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849"/>
        <w:gridCol w:w="1768"/>
        <w:gridCol w:w="6079"/>
      </w:tblGrid>
      <w:tr w14:paraId="4328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1463" w:type="dxa"/>
            <w:gridSpan w:val="2"/>
            <w:vAlign w:val="center"/>
          </w:tcPr>
          <w:p w14:paraId="2AAEA661">
            <w:pPr>
              <w:pStyle w:val="21"/>
              <w:rPr>
                <w:sz w:val="21"/>
                <w:szCs w:val="21"/>
              </w:rPr>
            </w:pPr>
            <w:r>
              <w:rPr>
                <w:sz w:val="21"/>
                <w:szCs w:val="21"/>
              </w:rPr>
              <w:t>条款号</w:t>
            </w:r>
          </w:p>
        </w:tc>
        <w:tc>
          <w:tcPr>
            <w:tcW w:w="1768" w:type="dxa"/>
            <w:vAlign w:val="center"/>
          </w:tcPr>
          <w:p w14:paraId="3E1A4161">
            <w:pPr>
              <w:pStyle w:val="21"/>
              <w:rPr>
                <w:sz w:val="21"/>
                <w:szCs w:val="21"/>
              </w:rPr>
            </w:pPr>
            <w:r>
              <w:rPr>
                <w:sz w:val="21"/>
                <w:szCs w:val="21"/>
              </w:rPr>
              <w:t>评审因素</w:t>
            </w:r>
          </w:p>
        </w:tc>
        <w:tc>
          <w:tcPr>
            <w:tcW w:w="6079" w:type="dxa"/>
            <w:vAlign w:val="center"/>
          </w:tcPr>
          <w:p w14:paraId="0E8FCDCA">
            <w:pPr>
              <w:pStyle w:val="21"/>
              <w:rPr>
                <w:sz w:val="21"/>
                <w:szCs w:val="21"/>
              </w:rPr>
            </w:pPr>
            <w:r>
              <w:rPr>
                <w:sz w:val="21"/>
                <w:szCs w:val="21"/>
              </w:rPr>
              <w:t>评审标准</w:t>
            </w:r>
          </w:p>
        </w:tc>
      </w:tr>
      <w:tr w14:paraId="47E0D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14" w:type="dxa"/>
            <w:vMerge w:val="restart"/>
            <w:tcBorders>
              <w:bottom w:val="nil"/>
            </w:tcBorders>
            <w:vAlign w:val="center"/>
          </w:tcPr>
          <w:p w14:paraId="2290C5EF">
            <w:pPr>
              <w:pStyle w:val="21"/>
              <w:rPr>
                <w:sz w:val="21"/>
                <w:szCs w:val="21"/>
              </w:rPr>
            </w:pPr>
            <w:r>
              <w:rPr>
                <w:sz w:val="21"/>
                <w:szCs w:val="21"/>
              </w:rPr>
              <w:t>2.1.2</w:t>
            </w:r>
          </w:p>
        </w:tc>
        <w:tc>
          <w:tcPr>
            <w:tcW w:w="849" w:type="dxa"/>
            <w:vMerge w:val="restart"/>
            <w:tcBorders>
              <w:bottom w:val="nil"/>
            </w:tcBorders>
            <w:vAlign w:val="center"/>
          </w:tcPr>
          <w:p w14:paraId="38B7C2B1">
            <w:pPr>
              <w:pStyle w:val="21"/>
              <w:rPr>
                <w:sz w:val="21"/>
                <w:szCs w:val="21"/>
              </w:rPr>
            </w:pPr>
            <w:r>
              <w:rPr>
                <w:sz w:val="21"/>
                <w:szCs w:val="21"/>
              </w:rPr>
              <w:t>符合性 评审 标准</w:t>
            </w:r>
          </w:p>
        </w:tc>
        <w:tc>
          <w:tcPr>
            <w:tcW w:w="1768" w:type="dxa"/>
            <w:vAlign w:val="center"/>
          </w:tcPr>
          <w:p w14:paraId="37ADCD0C">
            <w:pPr>
              <w:pStyle w:val="21"/>
              <w:rPr>
                <w:sz w:val="21"/>
                <w:szCs w:val="21"/>
              </w:rPr>
            </w:pPr>
            <w:r>
              <w:rPr>
                <w:sz w:val="21"/>
                <w:szCs w:val="21"/>
              </w:rPr>
              <w:t>供应商名称</w:t>
            </w:r>
          </w:p>
        </w:tc>
        <w:tc>
          <w:tcPr>
            <w:tcW w:w="6079" w:type="dxa"/>
            <w:vAlign w:val="center"/>
          </w:tcPr>
          <w:p w14:paraId="6D3CE182">
            <w:pPr>
              <w:pStyle w:val="21"/>
              <w:rPr>
                <w:sz w:val="21"/>
                <w:szCs w:val="21"/>
              </w:rPr>
            </w:pPr>
            <w:r>
              <w:rPr>
                <w:sz w:val="21"/>
                <w:szCs w:val="21"/>
              </w:rPr>
              <w:t>与营业执照一致。</w:t>
            </w:r>
          </w:p>
        </w:tc>
      </w:tr>
      <w:tr w14:paraId="4417D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14:paraId="604165C2">
            <w:pPr>
              <w:spacing w:line="360" w:lineRule="auto"/>
              <w:jc w:val="center"/>
              <w:rPr>
                <w:rFonts w:ascii="宋体" w:hAnsi="宋体" w:eastAsia="宋体"/>
              </w:rPr>
            </w:pPr>
          </w:p>
        </w:tc>
        <w:tc>
          <w:tcPr>
            <w:tcW w:w="849" w:type="dxa"/>
            <w:vMerge w:val="continue"/>
            <w:tcBorders>
              <w:top w:val="nil"/>
              <w:bottom w:val="nil"/>
            </w:tcBorders>
            <w:vAlign w:val="center"/>
          </w:tcPr>
          <w:p w14:paraId="13E78726">
            <w:pPr>
              <w:spacing w:line="360" w:lineRule="auto"/>
              <w:jc w:val="center"/>
              <w:rPr>
                <w:rFonts w:ascii="宋体" w:hAnsi="宋体" w:eastAsia="宋体"/>
              </w:rPr>
            </w:pPr>
          </w:p>
        </w:tc>
        <w:tc>
          <w:tcPr>
            <w:tcW w:w="1768" w:type="dxa"/>
            <w:vAlign w:val="center"/>
          </w:tcPr>
          <w:p w14:paraId="28E3AC4E">
            <w:pPr>
              <w:pStyle w:val="21"/>
              <w:rPr>
                <w:sz w:val="21"/>
                <w:szCs w:val="21"/>
              </w:rPr>
            </w:pPr>
            <w:r>
              <w:rPr>
                <w:sz w:val="21"/>
                <w:szCs w:val="21"/>
              </w:rPr>
              <w:t>投标函签字盖章</w:t>
            </w:r>
          </w:p>
        </w:tc>
        <w:tc>
          <w:tcPr>
            <w:tcW w:w="6079" w:type="dxa"/>
            <w:vAlign w:val="center"/>
          </w:tcPr>
          <w:p w14:paraId="30A03495">
            <w:pPr>
              <w:pStyle w:val="21"/>
              <w:rPr>
                <w:sz w:val="21"/>
                <w:szCs w:val="21"/>
                <w:lang w:eastAsia="zh-CN"/>
              </w:rPr>
            </w:pPr>
            <w:r>
              <w:rPr>
                <w:sz w:val="21"/>
                <w:szCs w:val="21"/>
                <w:lang w:eastAsia="zh-CN"/>
              </w:rPr>
              <w:t>有法定代表人或其委托代理人签字并加盖单位章。</w:t>
            </w:r>
          </w:p>
        </w:tc>
      </w:tr>
      <w:tr w14:paraId="20995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14:paraId="3F9440E7">
            <w:pPr>
              <w:spacing w:line="360" w:lineRule="auto"/>
              <w:jc w:val="center"/>
              <w:rPr>
                <w:rFonts w:ascii="宋体" w:hAnsi="宋体" w:eastAsia="宋体"/>
                <w:lang w:eastAsia="zh-CN"/>
              </w:rPr>
            </w:pPr>
          </w:p>
        </w:tc>
        <w:tc>
          <w:tcPr>
            <w:tcW w:w="849" w:type="dxa"/>
            <w:vMerge w:val="continue"/>
            <w:tcBorders>
              <w:top w:val="nil"/>
              <w:bottom w:val="nil"/>
            </w:tcBorders>
            <w:vAlign w:val="center"/>
          </w:tcPr>
          <w:p w14:paraId="363FE893">
            <w:pPr>
              <w:spacing w:line="360" w:lineRule="auto"/>
              <w:jc w:val="center"/>
              <w:rPr>
                <w:rFonts w:ascii="宋体" w:hAnsi="宋体" w:eastAsia="宋体"/>
                <w:lang w:eastAsia="zh-CN"/>
              </w:rPr>
            </w:pPr>
          </w:p>
        </w:tc>
        <w:tc>
          <w:tcPr>
            <w:tcW w:w="1768" w:type="dxa"/>
            <w:vAlign w:val="center"/>
          </w:tcPr>
          <w:p w14:paraId="5E44AFB0">
            <w:pPr>
              <w:pStyle w:val="21"/>
              <w:rPr>
                <w:sz w:val="21"/>
                <w:szCs w:val="21"/>
              </w:rPr>
            </w:pPr>
            <w:r>
              <w:rPr>
                <w:sz w:val="21"/>
                <w:szCs w:val="21"/>
              </w:rPr>
              <w:t>投标文件格式</w:t>
            </w:r>
          </w:p>
        </w:tc>
        <w:tc>
          <w:tcPr>
            <w:tcW w:w="6079" w:type="dxa"/>
            <w:vAlign w:val="center"/>
          </w:tcPr>
          <w:p w14:paraId="16A332FD">
            <w:pPr>
              <w:pStyle w:val="21"/>
              <w:rPr>
                <w:sz w:val="21"/>
                <w:szCs w:val="21"/>
                <w:lang w:eastAsia="zh-CN"/>
              </w:rPr>
            </w:pPr>
            <w:r>
              <w:rPr>
                <w:sz w:val="21"/>
                <w:szCs w:val="21"/>
                <w:lang w:eastAsia="zh-CN"/>
              </w:rPr>
              <w:t>符合第五章“投标文件格式”的要求。</w:t>
            </w:r>
          </w:p>
        </w:tc>
      </w:tr>
      <w:tr w14:paraId="34A59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14:paraId="5B7B2E27">
            <w:pPr>
              <w:spacing w:line="360" w:lineRule="auto"/>
              <w:jc w:val="center"/>
              <w:rPr>
                <w:rFonts w:ascii="宋体" w:hAnsi="宋体" w:eastAsia="宋体"/>
                <w:lang w:eastAsia="zh-CN"/>
              </w:rPr>
            </w:pPr>
          </w:p>
        </w:tc>
        <w:tc>
          <w:tcPr>
            <w:tcW w:w="849" w:type="dxa"/>
            <w:vMerge w:val="continue"/>
            <w:tcBorders>
              <w:top w:val="nil"/>
              <w:bottom w:val="nil"/>
            </w:tcBorders>
            <w:vAlign w:val="center"/>
          </w:tcPr>
          <w:p w14:paraId="546428A7">
            <w:pPr>
              <w:spacing w:line="360" w:lineRule="auto"/>
              <w:jc w:val="center"/>
              <w:rPr>
                <w:rFonts w:ascii="宋体" w:hAnsi="宋体" w:eastAsia="宋体"/>
                <w:lang w:eastAsia="zh-CN"/>
              </w:rPr>
            </w:pPr>
          </w:p>
        </w:tc>
        <w:tc>
          <w:tcPr>
            <w:tcW w:w="1768" w:type="dxa"/>
            <w:vAlign w:val="center"/>
          </w:tcPr>
          <w:p w14:paraId="5175B9F4">
            <w:pPr>
              <w:pStyle w:val="21"/>
              <w:rPr>
                <w:sz w:val="21"/>
                <w:szCs w:val="21"/>
              </w:rPr>
            </w:pPr>
            <w:r>
              <w:rPr>
                <w:sz w:val="21"/>
                <w:szCs w:val="21"/>
              </w:rPr>
              <w:t>报价唯一</w:t>
            </w:r>
          </w:p>
        </w:tc>
        <w:tc>
          <w:tcPr>
            <w:tcW w:w="6079" w:type="dxa"/>
            <w:vAlign w:val="center"/>
          </w:tcPr>
          <w:p w14:paraId="643CF506">
            <w:pPr>
              <w:pStyle w:val="21"/>
              <w:rPr>
                <w:sz w:val="21"/>
                <w:szCs w:val="21"/>
                <w:lang w:eastAsia="zh-CN"/>
              </w:rPr>
            </w:pPr>
            <w:r>
              <w:rPr>
                <w:sz w:val="21"/>
                <w:szCs w:val="21"/>
                <w:lang w:eastAsia="zh-CN"/>
              </w:rPr>
              <w:t>只能有一个有效报价。</w:t>
            </w:r>
          </w:p>
        </w:tc>
      </w:tr>
      <w:tr w14:paraId="617A6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14" w:type="dxa"/>
            <w:vMerge w:val="continue"/>
            <w:tcBorders>
              <w:top w:val="nil"/>
              <w:bottom w:val="nil"/>
            </w:tcBorders>
            <w:vAlign w:val="center"/>
          </w:tcPr>
          <w:p w14:paraId="667CC9BC">
            <w:pPr>
              <w:spacing w:line="360" w:lineRule="auto"/>
              <w:jc w:val="center"/>
              <w:rPr>
                <w:rFonts w:ascii="宋体" w:hAnsi="宋体" w:eastAsia="宋体"/>
                <w:lang w:eastAsia="zh-CN"/>
              </w:rPr>
            </w:pPr>
          </w:p>
        </w:tc>
        <w:tc>
          <w:tcPr>
            <w:tcW w:w="849" w:type="dxa"/>
            <w:vMerge w:val="continue"/>
            <w:tcBorders>
              <w:top w:val="nil"/>
              <w:bottom w:val="nil"/>
            </w:tcBorders>
            <w:vAlign w:val="center"/>
          </w:tcPr>
          <w:p w14:paraId="4FCFE063">
            <w:pPr>
              <w:spacing w:line="360" w:lineRule="auto"/>
              <w:jc w:val="center"/>
              <w:rPr>
                <w:rFonts w:ascii="宋体" w:hAnsi="宋体" w:eastAsia="宋体"/>
                <w:lang w:eastAsia="zh-CN"/>
              </w:rPr>
            </w:pPr>
          </w:p>
        </w:tc>
        <w:tc>
          <w:tcPr>
            <w:tcW w:w="1768" w:type="dxa"/>
            <w:vAlign w:val="center"/>
          </w:tcPr>
          <w:p w14:paraId="4D85C1FF">
            <w:pPr>
              <w:pStyle w:val="21"/>
              <w:rPr>
                <w:sz w:val="21"/>
                <w:szCs w:val="21"/>
              </w:rPr>
            </w:pPr>
            <w:r>
              <w:rPr>
                <w:sz w:val="21"/>
                <w:szCs w:val="21"/>
              </w:rPr>
              <w:t>投标报价</w:t>
            </w:r>
          </w:p>
        </w:tc>
        <w:tc>
          <w:tcPr>
            <w:tcW w:w="6079" w:type="dxa"/>
            <w:vAlign w:val="center"/>
          </w:tcPr>
          <w:p w14:paraId="7613564A">
            <w:pPr>
              <w:pStyle w:val="21"/>
              <w:rPr>
                <w:sz w:val="21"/>
                <w:szCs w:val="21"/>
                <w:lang w:eastAsia="zh-CN"/>
              </w:rPr>
            </w:pPr>
            <w:r>
              <w:rPr>
                <w:sz w:val="21"/>
                <w:szCs w:val="21"/>
                <w:lang w:eastAsia="zh-CN"/>
              </w:rPr>
              <w:t>符合第二章“投标人须知”前附表第10.4款关于招标控制价的规定。 高于招标控制价的投标报价将被否决，按废标处理。</w:t>
            </w:r>
          </w:p>
        </w:tc>
      </w:tr>
      <w:tr w14:paraId="78560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14:paraId="2DC1233F">
            <w:pPr>
              <w:spacing w:line="360" w:lineRule="auto"/>
              <w:jc w:val="center"/>
              <w:rPr>
                <w:rFonts w:ascii="宋体" w:hAnsi="宋体" w:eastAsia="宋体"/>
                <w:lang w:eastAsia="zh-CN"/>
              </w:rPr>
            </w:pPr>
          </w:p>
        </w:tc>
        <w:tc>
          <w:tcPr>
            <w:tcW w:w="849" w:type="dxa"/>
            <w:vMerge w:val="continue"/>
            <w:tcBorders>
              <w:top w:val="nil"/>
              <w:bottom w:val="nil"/>
            </w:tcBorders>
            <w:vAlign w:val="center"/>
          </w:tcPr>
          <w:p w14:paraId="14212D65">
            <w:pPr>
              <w:spacing w:line="360" w:lineRule="auto"/>
              <w:jc w:val="center"/>
              <w:rPr>
                <w:rFonts w:ascii="宋体" w:hAnsi="宋体" w:eastAsia="宋体"/>
                <w:lang w:eastAsia="zh-CN"/>
              </w:rPr>
            </w:pPr>
          </w:p>
        </w:tc>
        <w:tc>
          <w:tcPr>
            <w:tcW w:w="1768" w:type="dxa"/>
            <w:vAlign w:val="center"/>
          </w:tcPr>
          <w:p w14:paraId="3E4F19F5">
            <w:pPr>
              <w:pStyle w:val="21"/>
              <w:rPr>
                <w:sz w:val="21"/>
                <w:szCs w:val="21"/>
              </w:rPr>
            </w:pPr>
            <w:r>
              <w:rPr>
                <w:sz w:val="21"/>
                <w:szCs w:val="21"/>
              </w:rPr>
              <w:t>投标内容</w:t>
            </w:r>
          </w:p>
        </w:tc>
        <w:tc>
          <w:tcPr>
            <w:tcW w:w="6079" w:type="dxa"/>
            <w:vAlign w:val="center"/>
          </w:tcPr>
          <w:p w14:paraId="3447623F">
            <w:pPr>
              <w:pStyle w:val="21"/>
              <w:rPr>
                <w:sz w:val="21"/>
                <w:szCs w:val="21"/>
                <w:lang w:eastAsia="zh-CN"/>
              </w:rPr>
            </w:pPr>
            <w:r>
              <w:rPr>
                <w:sz w:val="21"/>
                <w:szCs w:val="21"/>
                <w:lang w:eastAsia="zh-CN"/>
              </w:rPr>
              <w:t>符合第二章“投标人须知”第1.3.1项规定</w:t>
            </w:r>
            <w:r>
              <w:rPr>
                <w:rFonts w:hint="eastAsia"/>
                <w:sz w:val="21"/>
                <w:szCs w:val="21"/>
                <w:lang w:eastAsia="zh-CN"/>
              </w:rPr>
              <w:t>。</w:t>
            </w:r>
          </w:p>
        </w:tc>
      </w:tr>
      <w:tr w14:paraId="628D7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614" w:type="dxa"/>
            <w:vMerge w:val="continue"/>
            <w:tcBorders>
              <w:top w:val="nil"/>
              <w:bottom w:val="nil"/>
            </w:tcBorders>
            <w:vAlign w:val="center"/>
          </w:tcPr>
          <w:p w14:paraId="7411682A">
            <w:pPr>
              <w:spacing w:line="360" w:lineRule="auto"/>
              <w:jc w:val="center"/>
              <w:rPr>
                <w:rFonts w:ascii="宋体" w:hAnsi="宋体" w:eastAsia="宋体"/>
                <w:lang w:eastAsia="zh-CN"/>
              </w:rPr>
            </w:pPr>
          </w:p>
        </w:tc>
        <w:tc>
          <w:tcPr>
            <w:tcW w:w="849" w:type="dxa"/>
            <w:vMerge w:val="continue"/>
            <w:tcBorders>
              <w:top w:val="nil"/>
              <w:bottom w:val="nil"/>
            </w:tcBorders>
            <w:vAlign w:val="center"/>
          </w:tcPr>
          <w:p w14:paraId="780649B9">
            <w:pPr>
              <w:spacing w:line="360" w:lineRule="auto"/>
              <w:jc w:val="center"/>
              <w:rPr>
                <w:rFonts w:ascii="宋体" w:hAnsi="宋体" w:eastAsia="宋体"/>
                <w:lang w:eastAsia="zh-CN"/>
              </w:rPr>
            </w:pPr>
          </w:p>
        </w:tc>
        <w:tc>
          <w:tcPr>
            <w:tcW w:w="1768" w:type="dxa"/>
            <w:vAlign w:val="center"/>
          </w:tcPr>
          <w:p w14:paraId="185FD838">
            <w:pPr>
              <w:pStyle w:val="21"/>
              <w:rPr>
                <w:sz w:val="21"/>
                <w:szCs w:val="21"/>
                <w:lang w:eastAsia="zh-CN"/>
              </w:rPr>
            </w:pPr>
            <w:r>
              <w:rPr>
                <w:sz w:val="21"/>
                <w:szCs w:val="21"/>
                <w:lang w:eastAsia="zh-CN"/>
              </w:rPr>
              <w:t xml:space="preserve">合同履行期限 </w:t>
            </w:r>
            <w:r>
              <w:rPr>
                <w:rFonts w:hint="eastAsia"/>
                <w:sz w:val="21"/>
                <w:szCs w:val="21"/>
                <w:lang w:eastAsia="zh-CN"/>
              </w:rPr>
              <w:t>（</w:t>
            </w:r>
            <w:r>
              <w:rPr>
                <w:sz w:val="21"/>
                <w:szCs w:val="21"/>
                <w:lang w:eastAsia="zh-CN"/>
              </w:rPr>
              <w:t>服务期</w:t>
            </w:r>
            <w:r>
              <w:rPr>
                <w:rFonts w:hint="eastAsia"/>
                <w:sz w:val="21"/>
                <w:szCs w:val="21"/>
                <w:lang w:eastAsia="zh-CN"/>
              </w:rPr>
              <w:t>）</w:t>
            </w:r>
          </w:p>
        </w:tc>
        <w:tc>
          <w:tcPr>
            <w:tcW w:w="6079" w:type="dxa"/>
            <w:vAlign w:val="center"/>
          </w:tcPr>
          <w:p w14:paraId="7D222B48">
            <w:pPr>
              <w:pStyle w:val="21"/>
              <w:rPr>
                <w:sz w:val="21"/>
                <w:szCs w:val="21"/>
              </w:rPr>
            </w:pPr>
            <w:r>
              <w:rPr>
                <w:sz w:val="21"/>
                <w:szCs w:val="21"/>
              </w:rPr>
              <w:t>符合招标文件要求。</w:t>
            </w:r>
          </w:p>
        </w:tc>
      </w:tr>
      <w:tr w14:paraId="10A75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14:paraId="06BEE758">
            <w:pPr>
              <w:spacing w:line="360" w:lineRule="auto"/>
              <w:jc w:val="center"/>
              <w:rPr>
                <w:rFonts w:ascii="宋体" w:hAnsi="宋体" w:eastAsia="宋体"/>
              </w:rPr>
            </w:pPr>
          </w:p>
        </w:tc>
        <w:tc>
          <w:tcPr>
            <w:tcW w:w="849" w:type="dxa"/>
            <w:vMerge w:val="continue"/>
            <w:tcBorders>
              <w:top w:val="nil"/>
              <w:bottom w:val="nil"/>
            </w:tcBorders>
            <w:vAlign w:val="center"/>
          </w:tcPr>
          <w:p w14:paraId="0E1FC39B">
            <w:pPr>
              <w:spacing w:line="360" w:lineRule="auto"/>
              <w:jc w:val="center"/>
              <w:rPr>
                <w:rFonts w:ascii="宋体" w:hAnsi="宋体" w:eastAsia="宋体"/>
              </w:rPr>
            </w:pPr>
          </w:p>
        </w:tc>
        <w:tc>
          <w:tcPr>
            <w:tcW w:w="1768" w:type="dxa"/>
            <w:vAlign w:val="center"/>
          </w:tcPr>
          <w:p w14:paraId="55D23A3C">
            <w:pPr>
              <w:pStyle w:val="21"/>
              <w:rPr>
                <w:sz w:val="21"/>
                <w:szCs w:val="21"/>
              </w:rPr>
            </w:pPr>
            <w:r>
              <w:rPr>
                <w:sz w:val="21"/>
                <w:szCs w:val="21"/>
              </w:rPr>
              <w:t>投标有效期</w:t>
            </w:r>
          </w:p>
        </w:tc>
        <w:tc>
          <w:tcPr>
            <w:tcW w:w="6079" w:type="dxa"/>
            <w:vAlign w:val="center"/>
          </w:tcPr>
          <w:p w14:paraId="67E8CAA4">
            <w:pPr>
              <w:pStyle w:val="21"/>
              <w:rPr>
                <w:sz w:val="21"/>
                <w:szCs w:val="21"/>
                <w:lang w:eastAsia="zh-CN"/>
              </w:rPr>
            </w:pPr>
            <w:r>
              <w:rPr>
                <w:sz w:val="21"/>
                <w:szCs w:val="21"/>
                <w:lang w:eastAsia="zh-CN"/>
              </w:rPr>
              <w:t>投标截止之日起90日历天</w:t>
            </w:r>
            <w:r>
              <w:rPr>
                <w:rFonts w:hint="eastAsia"/>
                <w:sz w:val="21"/>
                <w:szCs w:val="21"/>
                <w:lang w:eastAsia="zh-CN"/>
              </w:rPr>
              <w:t>。</w:t>
            </w:r>
          </w:p>
        </w:tc>
      </w:tr>
      <w:tr w14:paraId="4A775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14" w:type="dxa"/>
            <w:vMerge w:val="continue"/>
            <w:tcBorders>
              <w:top w:val="nil"/>
            </w:tcBorders>
            <w:vAlign w:val="center"/>
          </w:tcPr>
          <w:p w14:paraId="134A43CF">
            <w:pPr>
              <w:spacing w:line="360" w:lineRule="auto"/>
              <w:jc w:val="center"/>
              <w:rPr>
                <w:rFonts w:ascii="宋体" w:hAnsi="宋体" w:eastAsia="宋体"/>
                <w:lang w:eastAsia="zh-CN"/>
              </w:rPr>
            </w:pPr>
          </w:p>
        </w:tc>
        <w:tc>
          <w:tcPr>
            <w:tcW w:w="849" w:type="dxa"/>
            <w:vMerge w:val="continue"/>
            <w:tcBorders>
              <w:top w:val="nil"/>
            </w:tcBorders>
            <w:vAlign w:val="center"/>
          </w:tcPr>
          <w:p w14:paraId="63E8F0C7">
            <w:pPr>
              <w:spacing w:line="360" w:lineRule="auto"/>
              <w:jc w:val="center"/>
              <w:rPr>
                <w:rFonts w:ascii="宋体" w:hAnsi="宋体" w:eastAsia="宋体"/>
                <w:lang w:eastAsia="zh-CN"/>
              </w:rPr>
            </w:pPr>
          </w:p>
        </w:tc>
        <w:tc>
          <w:tcPr>
            <w:tcW w:w="1768" w:type="dxa"/>
            <w:vAlign w:val="center"/>
          </w:tcPr>
          <w:p w14:paraId="61B0BE38">
            <w:pPr>
              <w:pStyle w:val="21"/>
              <w:rPr>
                <w:sz w:val="21"/>
                <w:szCs w:val="21"/>
              </w:rPr>
            </w:pPr>
            <w:r>
              <w:rPr>
                <w:sz w:val="21"/>
                <w:szCs w:val="21"/>
              </w:rPr>
              <w:t>其他要求</w:t>
            </w:r>
          </w:p>
        </w:tc>
        <w:tc>
          <w:tcPr>
            <w:tcW w:w="6079" w:type="dxa"/>
            <w:vAlign w:val="center"/>
          </w:tcPr>
          <w:p w14:paraId="6F3E4A0C">
            <w:pPr>
              <w:pStyle w:val="21"/>
              <w:rPr>
                <w:sz w:val="21"/>
                <w:szCs w:val="21"/>
                <w:lang w:eastAsia="zh-CN"/>
              </w:rPr>
            </w:pPr>
            <w:r>
              <w:rPr>
                <w:sz w:val="21"/>
                <w:szCs w:val="21"/>
                <w:lang w:eastAsia="zh-CN"/>
              </w:rPr>
              <w:t>满足招标文件的其他实质性要求。</w:t>
            </w:r>
          </w:p>
        </w:tc>
      </w:tr>
    </w:tbl>
    <w:p w14:paraId="408BE3C9">
      <w:pPr>
        <w:spacing w:line="360" w:lineRule="auto"/>
        <w:ind w:left="505" w:right="413" w:firstLine="9"/>
        <w:rPr>
          <w:rFonts w:ascii="宋体" w:hAnsi="宋体" w:eastAsia="宋体" w:cs="宋体"/>
          <w:sz w:val="24"/>
          <w:szCs w:val="24"/>
          <w:lang w:eastAsia="zh-CN"/>
        </w:rPr>
      </w:pPr>
    </w:p>
    <w:p w14:paraId="6CD0887C">
      <w:pPr>
        <w:spacing w:line="360" w:lineRule="auto"/>
        <w:ind w:left="505" w:right="413" w:firstLine="9"/>
        <w:rPr>
          <w:rFonts w:ascii="宋体" w:hAnsi="宋体" w:eastAsia="宋体" w:cs="宋体"/>
          <w:sz w:val="24"/>
          <w:szCs w:val="24"/>
          <w:lang w:eastAsia="zh-CN"/>
        </w:rPr>
      </w:pPr>
      <w:r>
        <w:rPr>
          <w:rFonts w:ascii="宋体" w:hAnsi="宋体" w:eastAsia="宋体" w:cs="宋体"/>
          <w:sz w:val="24"/>
          <w:szCs w:val="24"/>
          <w:lang w:eastAsia="zh-CN"/>
        </w:rPr>
        <w:t>注：上述符合性审查内容中有一项不合格，则符合性评审不合格，投标按废标处理，不进入 后续评审。每项审查内容合格打“ √ ”,不合格打“×”。评审结论写“合格”或“不合格”。 不合格须注明原因。</w:t>
      </w:r>
    </w:p>
    <w:p w14:paraId="4F1BBF90">
      <w:pPr>
        <w:spacing w:line="360" w:lineRule="auto"/>
        <w:ind w:left="505" w:right="413" w:firstLine="9"/>
        <w:rPr>
          <w:rFonts w:ascii="宋体" w:hAnsi="宋体" w:eastAsia="宋体" w:cs="宋体"/>
          <w:sz w:val="24"/>
          <w:szCs w:val="24"/>
          <w:lang w:eastAsia="zh-CN"/>
        </w:rPr>
        <w:sectPr>
          <w:footerReference r:id="rId12" w:type="default"/>
          <w:pgSz w:w="11905" w:h="16838"/>
          <w:pgMar w:top="1134" w:right="1134" w:bottom="1134" w:left="1134" w:header="0" w:footer="1049" w:gutter="0"/>
          <w:cols w:space="0" w:num="1"/>
        </w:sectPr>
      </w:pPr>
    </w:p>
    <w:p w14:paraId="20046CCC">
      <w:pPr>
        <w:spacing w:line="360" w:lineRule="auto"/>
        <w:ind w:left="3678"/>
        <w:rPr>
          <w:rFonts w:ascii="宋体" w:hAnsi="宋体" w:eastAsia="宋体" w:cs="黑体"/>
          <w:sz w:val="24"/>
          <w:szCs w:val="24"/>
          <w:lang w:eastAsia="zh-CN"/>
        </w:rPr>
      </w:pPr>
      <w:r>
        <w:rPr>
          <w:rFonts w:ascii="宋体" w:hAnsi="宋体" w:eastAsia="宋体" w:cs="黑体"/>
          <w:b/>
          <w:bCs/>
          <w:sz w:val="24"/>
          <w:szCs w:val="24"/>
        </w:rPr>
        <w:t>详细评审表</w:t>
      </w:r>
    </w:p>
    <w:tbl>
      <w:tblPr>
        <w:tblStyle w:val="20"/>
        <w:tblW w:w="44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47"/>
        <w:gridCol w:w="6639"/>
      </w:tblGrid>
      <w:tr w14:paraId="3BED2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1134" w:type="pct"/>
            <w:vAlign w:val="center"/>
          </w:tcPr>
          <w:p w14:paraId="16C3E77B">
            <w:pPr>
              <w:pStyle w:val="21"/>
              <w:rPr>
                <w:sz w:val="21"/>
                <w:szCs w:val="21"/>
              </w:rPr>
            </w:pPr>
            <w:r>
              <w:rPr>
                <w:sz w:val="21"/>
                <w:szCs w:val="21"/>
              </w:rPr>
              <w:t>条款内容</w:t>
            </w:r>
          </w:p>
        </w:tc>
        <w:tc>
          <w:tcPr>
            <w:tcW w:w="3865" w:type="pct"/>
            <w:vAlign w:val="center"/>
          </w:tcPr>
          <w:p w14:paraId="21737813">
            <w:pPr>
              <w:pStyle w:val="21"/>
              <w:rPr>
                <w:sz w:val="21"/>
                <w:szCs w:val="21"/>
              </w:rPr>
            </w:pPr>
            <w:r>
              <w:rPr>
                <w:sz w:val="21"/>
                <w:szCs w:val="21"/>
              </w:rPr>
              <w:t>编列内容</w:t>
            </w:r>
          </w:p>
        </w:tc>
      </w:tr>
      <w:tr w14:paraId="7FEDC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134" w:type="pct"/>
            <w:vAlign w:val="center"/>
          </w:tcPr>
          <w:p w14:paraId="47727DE5">
            <w:pPr>
              <w:pStyle w:val="21"/>
              <w:rPr>
                <w:sz w:val="21"/>
                <w:szCs w:val="21"/>
              </w:rPr>
            </w:pPr>
            <w:r>
              <w:rPr>
                <w:sz w:val="21"/>
                <w:szCs w:val="21"/>
              </w:rPr>
              <w:t>评标基准价计算 方法</w:t>
            </w:r>
          </w:p>
        </w:tc>
        <w:tc>
          <w:tcPr>
            <w:tcW w:w="3865" w:type="pct"/>
            <w:vAlign w:val="center"/>
          </w:tcPr>
          <w:p w14:paraId="58CCC2E0">
            <w:pPr>
              <w:pStyle w:val="21"/>
              <w:spacing w:line="420" w:lineRule="exact"/>
              <w:rPr>
                <w:sz w:val="21"/>
                <w:szCs w:val="21"/>
                <w:lang w:eastAsia="zh-CN"/>
              </w:rPr>
            </w:pPr>
            <w:r>
              <w:rPr>
                <w:sz w:val="21"/>
                <w:szCs w:val="21"/>
                <w:lang w:eastAsia="zh-CN"/>
              </w:rPr>
              <w:t>评标基准价为所有经过评审后的有效投标人的最低投标报价。当投标人的投标报价等于评标基准价时，得满分。因落实政府采购政策进行价格调整的，以调整后的价格计算评标基准价和投标报价。</w:t>
            </w:r>
          </w:p>
        </w:tc>
      </w:tr>
      <w:tr w14:paraId="1BFDF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134" w:type="pct"/>
            <w:vAlign w:val="center"/>
          </w:tcPr>
          <w:p w14:paraId="7023E747">
            <w:pPr>
              <w:pStyle w:val="21"/>
              <w:rPr>
                <w:sz w:val="21"/>
                <w:szCs w:val="21"/>
              </w:rPr>
            </w:pPr>
            <w:r>
              <w:rPr>
                <w:sz w:val="21"/>
                <w:szCs w:val="21"/>
              </w:rPr>
              <w:t>计算公式</w:t>
            </w:r>
          </w:p>
        </w:tc>
        <w:tc>
          <w:tcPr>
            <w:tcW w:w="3865" w:type="pct"/>
            <w:vAlign w:val="center"/>
          </w:tcPr>
          <w:p w14:paraId="504DFC05">
            <w:pPr>
              <w:pStyle w:val="21"/>
              <w:spacing w:line="420" w:lineRule="exact"/>
              <w:rPr>
                <w:sz w:val="21"/>
                <w:szCs w:val="21"/>
                <w:lang w:eastAsia="zh-CN"/>
              </w:rPr>
            </w:pPr>
            <w:r>
              <w:rPr>
                <w:sz w:val="21"/>
                <w:szCs w:val="21"/>
                <w:lang w:eastAsia="zh-CN"/>
              </w:rPr>
              <w:t>投标报价得分=</w:t>
            </w:r>
            <w:r>
              <w:rPr>
                <w:rFonts w:hint="eastAsia"/>
                <w:sz w:val="21"/>
                <w:szCs w:val="21"/>
                <w:lang w:eastAsia="zh-CN"/>
              </w:rPr>
              <w:t>（</w:t>
            </w:r>
            <w:r>
              <w:rPr>
                <w:sz w:val="21"/>
                <w:szCs w:val="21"/>
                <w:lang w:eastAsia="zh-CN"/>
              </w:rPr>
              <w:t>评标基准价/投标报价</w:t>
            </w:r>
            <w:r>
              <w:rPr>
                <w:rFonts w:hint="eastAsia"/>
                <w:sz w:val="21"/>
                <w:szCs w:val="21"/>
                <w:lang w:eastAsia="zh-CN"/>
              </w:rPr>
              <w:t>）</w:t>
            </w:r>
            <w:r>
              <w:rPr>
                <w:sz w:val="21"/>
                <w:szCs w:val="21"/>
                <w:lang w:eastAsia="zh-CN"/>
              </w:rPr>
              <w:t>*基准分值</w:t>
            </w:r>
          </w:p>
          <w:p w14:paraId="2C52DD91">
            <w:pPr>
              <w:pStyle w:val="21"/>
              <w:spacing w:line="420" w:lineRule="exact"/>
              <w:rPr>
                <w:sz w:val="21"/>
                <w:szCs w:val="21"/>
                <w:lang w:eastAsia="zh-CN"/>
              </w:rPr>
            </w:pPr>
            <w:r>
              <w:rPr>
                <w:sz w:val="21"/>
                <w:szCs w:val="21"/>
                <w:lang w:eastAsia="zh-CN"/>
              </w:rPr>
              <w:t>投标报价得分均保留小数点后两位，第三位四舍五入。</w:t>
            </w:r>
          </w:p>
        </w:tc>
      </w:tr>
    </w:tbl>
    <w:p w14:paraId="3A95B23F">
      <w:pPr>
        <w:spacing w:line="360" w:lineRule="auto"/>
        <w:rPr>
          <w:rFonts w:hint="eastAsia" w:ascii="宋体" w:hAnsi="宋体" w:eastAsia="宋体" w:cs="宋体"/>
          <w:sz w:val="24"/>
          <w:szCs w:val="24"/>
          <w:lang w:eastAsia="zh-CN"/>
        </w:rPr>
      </w:pPr>
    </w:p>
    <w:p w14:paraId="0CD0DA9D">
      <w:pPr>
        <w:pStyle w:val="2"/>
        <w:rPr>
          <w:rFonts w:hint="eastAsia" w:eastAsiaTheme="minorEastAsia"/>
          <w:lang w:eastAsia="zh-CN"/>
        </w:rPr>
      </w:pPr>
    </w:p>
    <w:p w14:paraId="515798A5">
      <w:pPr>
        <w:pStyle w:val="2"/>
        <w:rPr>
          <w:rFonts w:hint="eastAsia" w:eastAsiaTheme="minorEastAsia"/>
          <w:lang w:eastAsia="zh-CN"/>
        </w:rPr>
      </w:pPr>
    </w:p>
    <w:p w14:paraId="16D2E783">
      <w:pPr>
        <w:pStyle w:val="2"/>
        <w:rPr>
          <w:rFonts w:hint="eastAsia" w:eastAsiaTheme="minorEastAsia"/>
          <w:lang w:eastAsia="zh-CN"/>
        </w:rPr>
      </w:pPr>
    </w:p>
    <w:p w14:paraId="79C5D2ED">
      <w:pPr>
        <w:pStyle w:val="2"/>
        <w:rPr>
          <w:rFonts w:hint="eastAsia" w:eastAsiaTheme="minorEastAsia"/>
          <w:lang w:eastAsia="zh-CN"/>
        </w:rPr>
      </w:pPr>
    </w:p>
    <w:p w14:paraId="2AB4C885">
      <w:pPr>
        <w:pStyle w:val="2"/>
        <w:rPr>
          <w:rFonts w:hint="eastAsia" w:eastAsiaTheme="minorEastAsia"/>
          <w:lang w:eastAsia="zh-CN"/>
        </w:rPr>
      </w:pPr>
    </w:p>
    <w:p w14:paraId="7F897840">
      <w:pPr>
        <w:pStyle w:val="2"/>
        <w:rPr>
          <w:rFonts w:hint="eastAsia" w:eastAsiaTheme="minorEastAsia"/>
          <w:lang w:eastAsia="zh-CN"/>
        </w:rPr>
      </w:pPr>
    </w:p>
    <w:p w14:paraId="121EA903">
      <w:pPr>
        <w:pStyle w:val="2"/>
        <w:rPr>
          <w:rFonts w:hint="eastAsia" w:eastAsiaTheme="minorEastAsia"/>
          <w:lang w:eastAsia="zh-CN"/>
        </w:rPr>
      </w:pPr>
    </w:p>
    <w:p w14:paraId="20DA09B4">
      <w:pPr>
        <w:pStyle w:val="2"/>
        <w:rPr>
          <w:rFonts w:hint="eastAsia" w:eastAsiaTheme="minorEastAsia"/>
          <w:lang w:eastAsia="zh-CN"/>
        </w:rPr>
      </w:pPr>
    </w:p>
    <w:p w14:paraId="319216FC">
      <w:pPr>
        <w:pStyle w:val="2"/>
        <w:rPr>
          <w:rFonts w:hint="eastAsia" w:eastAsiaTheme="minorEastAsia"/>
          <w:lang w:eastAsia="zh-CN"/>
        </w:rPr>
      </w:pPr>
    </w:p>
    <w:p w14:paraId="084D3C27">
      <w:pPr>
        <w:pStyle w:val="2"/>
        <w:rPr>
          <w:rFonts w:hint="eastAsia" w:eastAsiaTheme="minorEastAsia"/>
          <w:lang w:eastAsia="zh-CN"/>
        </w:rPr>
      </w:pPr>
    </w:p>
    <w:p w14:paraId="3A29FDB7">
      <w:pPr>
        <w:pStyle w:val="2"/>
        <w:rPr>
          <w:rFonts w:hint="eastAsia" w:eastAsiaTheme="minorEastAsia"/>
          <w:lang w:eastAsia="zh-CN"/>
        </w:rPr>
      </w:pPr>
    </w:p>
    <w:p w14:paraId="54866082">
      <w:pPr>
        <w:pStyle w:val="2"/>
        <w:rPr>
          <w:rFonts w:hint="eastAsia" w:eastAsiaTheme="minorEastAsia"/>
          <w:lang w:eastAsia="zh-CN"/>
        </w:rPr>
      </w:pPr>
    </w:p>
    <w:p w14:paraId="1513E761">
      <w:pPr>
        <w:pStyle w:val="2"/>
        <w:rPr>
          <w:rFonts w:hint="eastAsia" w:eastAsiaTheme="minorEastAsia"/>
          <w:lang w:eastAsia="zh-CN"/>
        </w:rPr>
      </w:pPr>
    </w:p>
    <w:p w14:paraId="05A2DBEC">
      <w:pPr>
        <w:pStyle w:val="2"/>
        <w:rPr>
          <w:rFonts w:hint="eastAsia" w:eastAsiaTheme="minorEastAsia"/>
          <w:lang w:eastAsia="zh-CN"/>
        </w:rPr>
      </w:pPr>
    </w:p>
    <w:p w14:paraId="544EEE34">
      <w:pPr>
        <w:pStyle w:val="2"/>
        <w:rPr>
          <w:rFonts w:hint="eastAsia" w:eastAsiaTheme="minorEastAsia"/>
          <w:lang w:eastAsia="zh-CN"/>
        </w:rPr>
      </w:pPr>
    </w:p>
    <w:p w14:paraId="6F0D6650">
      <w:pPr>
        <w:pStyle w:val="2"/>
        <w:rPr>
          <w:rFonts w:hint="eastAsia" w:eastAsiaTheme="minorEastAsia"/>
          <w:lang w:eastAsia="zh-CN"/>
        </w:rPr>
      </w:pPr>
    </w:p>
    <w:p w14:paraId="302C3E41">
      <w:pPr>
        <w:pStyle w:val="2"/>
        <w:rPr>
          <w:rFonts w:hint="eastAsia" w:eastAsiaTheme="minorEastAsia"/>
          <w:lang w:eastAsia="zh-CN"/>
        </w:rPr>
      </w:pPr>
    </w:p>
    <w:p w14:paraId="59A97697">
      <w:pPr>
        <w:pStyle w:val="2"/>
        <w:rPr>
          <w:rFonts w:hint="eastAsia" w:eastAsiaTheme="minorEastAsia"/>
          <w:lang w:eastAsia="zh-CN"/>
        </w:rPr>
      </w:pPr>
    </w:p>
    <w:p w14:paraId="63BCE987">
      <w:pPr>
        <w:pStyle w:val="2"/>
        <w:rPr>
          <w:rFonts w:hint="eastAsia" w:eastAsiaTheme="minorEastAsia"/>
          <w:lang w:eastAsia="zh-CN"/>
        </w:rPr>
      </w:pPr>
    </w:p>
    <w:p w14:paraId="35BEB264">
      <w:pPr>
        <w:pStyle w:val="2"/>
        <w:rPr>
          <w:rFonts w:hint="eastAsia" w:eastAsiaTheme="minorEastAsia"/>
          <w:lang w:eastAsia="zh-CN"/>
        </w:rPr>
      </w:pPr>
    </w:p>
    <w:p w14:paraId="58FA279A">
      <w:pPr>
        <w:pStyle w:val="2"/>
        <w:rPr>
          <w:rFonts w:hint="eastAsia" w:eastAsiaTheme="minorEastAsia"/>
          <w:lang w:eastAsia="zh-CN"/>
        </w:rPr>
      </w:pPr>
    </w:p>
    <w:p w14:paraId="4411D86B">
      <w:pPr>
        <w:pStyle w:val="2"/>
        <w:rPr>
          <w:rFonts w:hint="eastAsia" w:eastAsiaTheme="minorEastAsia"/>
          <w:lang w:eastAsia="zh-CN"/>
        </w:rPr>
      </w:pPr>
    </w:p>
    <w:tbl>
      <w:tblPr>
        <w:tblStyle w:val="1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7789"/>
        <w:gridCol w:w="928"/>
      </w:tblGrid>
      <w:tr w14:paraId="56E8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81" w:type="dxa"/>
            <w:noWrap/>
            <w:vAlign w:val="center"/>
          </w:tcPr>
          <w:p w14:paraId="1B4AE096">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评审因素</w:t>
            </w:r>
          </w:p>
        </w:tc>
        <w:tc>
          <w:tcPr>
            <w:tcW w:w="7789" w:type="dxa"/>
            <w:noWrap/>
            <w:vAlign w:val="center"/>
          </w:tcPr>
          <w:p w14:paraId="0D552155">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评分内容</w:t>
            </w:r>
          </w:p>
        </w:tc>
        <w:tc>
          <w:tcPr>
            <w:tcW w:w="928" w:type="dxa"/>
            <w:noWrap/>
            <w:vAlign w:val="center"/>
          </w:tcPr>
          <w:p w14:paraId="79DF1336">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eastAsia="zh-CN"/>
              </w:rPr>
              <w:t>得分</w:t>
            </w:r>
          </w:p>
        </w:tc>
      </w:tr>
      <w:tr w14:paraId="329C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81" w:type="dxa"/>
            <w:noWrap/>
            <w:vAlign w:val="center"/>
          </w:tcPr>
          <w:p w14:paraId="730C1B37">
            <w:pPr>
              <w:widowControl w:val="0"/>
              <w:kinsoku/>
              <w:snapToGrid/>
              <w:spacing w:line="300" w:lineRule="exact"/>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分值构成</w:t>
            </w:r>
          </w:p>
        </w:tc>
        <w:tc>
          <w:tcPr>
            <w:tcW w:w="7789" w:type="dxa"/>
            <w:noWrap/>
            <w:vAlign w:val="center"/>
          </w:tcPr>
          <w:p w14:paraId="184C2886">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报价部分：</w:t>
            </w:r>
            <w:r>
              <w:rPr>
                <w:rFonts w:hint="eastAsia" w:ascii="宋体" w:hAnsi="宋体" w:eastAsia="宋体" w:cs="宋体"/>
                <w:bCs/>
                <w:snapToGrid/>
                <w:kern w:val="2"/>
                <w:lang w:eastAsia="zh-CN"/>
              </w:rPr>
              <w:t>10</w:t>
            </w:r>
            <w:r>
              <w:rPr>
                <w:rFonts w:hint="eastAsia" w:ascii="宋体" w:hAnsi="宋体" w:eastAsia="宋体" w:cs="宋体"/>
                <w:bCs/>
                <w:snapToGrid/>
                <w:kern w:val="2"/>
                <w:lang w:val="zh-CN" w:eastAsia="zh-CN"/>
              </w:rPr>
              <w:t>分</w:t>
            </w:r>
          </w:p>
          <w:p w14:paraId="22896993">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商务部分：</w:t>
            </w:r>
            <w:r>
              <w:rPr>
                <w:rFonts w:hint="eastAsia" w:ascii="宋体" w:hAnsi="宋体" w:eastAsia="宋体" w:cs="宋体"/>
                <w:bCs/>
                <w:snapToGrid/>
                <w:kern w:val="2"/>
                <w:lang w:eastAsia="zh-CN"/>
              </w:rPr>
              <w:t>34</w:t>
            </w:r>
            <w:r>
              <w:rPr>
                <w:rFonts w:hint="eastAsia" w:ascii="宋体" w:hAnsi="宋体" w:eastAsia="宋体" w:cs="宋体"/>
                <w:bCs/>
                <w:snapToGrid/>
                <w:kern w:val="2"/>
                <w:lang w:val="zh-CN" w:eastAsia="zh-CN"/>
              </w:rPr>
              <w:t>分</w:t>
            </w:r>
          </w:p>
          <w:p w14:paraId="6C8AD8A7">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技术部分：</w:t>
            </w:r>
            <w:r>
              <w:rPr>
                <w:rFonts w:hint="eastAsia" w:ascii="宋体" w:hAnsi="宋体" w:eastAsia="宋体" w:cs="宋体"/>
                <w:bCs/>
                <w:snapToGrid/>
                <w:kern w:val="2"/>
                <w:lang w:eastAsia="zh-CN"/>
              </w:rPr>
              <w:t>56</w:t>
            </w:r>
            <w:r>
              <w:rPr>
                <w:rFonts w:hint="eastAsia" w:ascii="宋体" w:hAnsi="宋体" w:eastAsia="宋体" w:cs="宋体"/>
                <w:bCs/>
                <w:snapToGrid/>
                <w:kern w:val="2"/>
                <w:lang w:val="zh-CN" w:eastAsia="zh-CN"/>
              </w:rPr>
              <w:t>分</w:t>
            </w:r>
          </w:p>
        </w:tc>
        <w:tc>
          <w:tcPr>
            <w:tcW w:w="928" w:type="dxa"/>
            <w:noWrap/>
            <w:vAlign w:val="center"/>
          </w:tcPr>
          <w:p w14:paraId="39314755">
            <w:pPr>
              <w:widowControl w:val="0"/>
              <w:kinsoku/>
              <w:snapToGrid/>
              <w:spacing w:line="300" w:lineRule="exact"/>
              <w:textAlignment w:val="auto"/>
              <w:rPr>
                <w:rFonts w:ascii="宋体" w:hAnsi="宋体" w:eastAsia="宋体" w:cs="宋体"/>
                <w:bCs/>
                <w:snapToGrid/>
                <w:kern w:val="2"/>
                <w:lang w:val="zh-CN" w:eastAsia="zh-CN"/>
              </w:rPr>
            </w:pPr>
          </w:p>
        </w:tc>
      </w:tr>
      <w:tr w14:paraId="6129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81" w:type="dxa"/>
            <w:noWrap/>
            <w:vAlign w:val="center"/>
          </w:tcPr>
          <w:p w14:paraId="160921DE">
            <w:pPr>
              <w:widowControl w:val="0"/>
              <w:kinsoku/>
              <w:snapToGrid/>
              <w:spacing w:line="300" w:lineRule="exact"/>
              <w:textAlignment w:val="auto"/>
              <w:rPr>
                <w:rFonts w:hint="eastAsia" w:ascii="宋体" w:hAnsi="宋体" w:eastAsia="宋体" w:cs="宋体"/>
                <w:bCs/>
                <w:snapToGrid/>
                <w:kern w:val="2"/>
                <w:lang w:eastAsia="zh-CN"/>
              </w:rPr>
            </w:pPr>
            <w:r>
              <w:rPr>
                <w:rFonts w:hint="eastAsia" w:ascii="宋体" w:hAnsi="宋体" w:eastAsia="宋体" w:cs="宋体"/>
                <w:bCs/>
                <w:snapToGrid/>
                <w:kern w:val="2"/>
                <w:lang w:eastAsia="zh-CN"/>
              </w:rPr>
              <w:t>投标报价（10分）</w:t>
            </w:r>
          </w:p>
        </w:tc>
        <w:tc>
          <w:tcPr>
            <w:tcW w:w="7789" w:type="dxa"/>
            <w:noWrap/>
            <w:vAlign w:val="center"/>
          </w:tcPr>
          <w:p w14:paraId="266C56CA">
            <w:pPr>
              <w:widowControl w:val="0"/>
              <w:kinsoku/>
              <w:snapToGrid/>
              <w:spacing w:line="360" w:lineRule="exact"/>
              <w:textAlignment w:val="auto"/>
              <w:rPr>
                <w:rFonts w:ascii="宋体" w:hAnsi="宋体" w:eastAsia="宋体"/>
                <w:bCs/>
                <w:snapToGrid/>
                <w:kern w:val="2"/>
                <w:lang w:val="zh-CN" w:eastAsia="zh-CN"/>
              </w:rPr>
            </w:pPr>
            <w:r>
              <w:rPr>
                <w:rFonts w:hint="eastAsia" w:ascii="宋体" w:hAnsi="宋体" w:eastAsia="宋体" w:cs="宋体"/>
                <w:bCs/>
                <w:snapToGrid/>
                <w:kern w:val="2"/>
                <w:lang w:val="zh-CN" w:eastAsia="zh-CN"/>
              </w:rPr>
              <w:t>价格分统一采用低价优先法计算，即满足</w:t>
            </w:r>
            <w:r>
              <w:rPr>
                <w:rFonts w:hint="eastAsia" w:ascii="宋体" w:hAnsi="宋体" w:eastAsia="宋体" w:cs="宋体"/>
                <w:bCs/>
                <w:snapToGrid/>
                <w:kern w:val="2"/>
                <w:lang w:val="en-US" w:eastAsia="zh-CN"/>
              </w:rPr>
              <w:t>招标</w:t>
            </w:r>
            <w:r>
              <w:rPr>
                <w:rFonts w:hint="eastAsia" w:ascii="宋体" w:hAnsi="宋体" w:eastAsia="宋体" w:cs="宋体"/>
                <w:bCs/>
                <w:snapToGrid/>
                <w:kern w:val="2"/>
                <w:lang w:val="zh-CN" w:eastAsia="zh-CN"/>
              </w:rPr>
              <w:t>文件要求且最后报价最低的供应商的价格为</w:t>
            </w:r>
            <w:r>
              <w:rPr>
                <w:rFonts w:hint="eastAsia" w:ascii="宋体" w:hAnsi="宋体" w:eastAsia="宋体" w:cs="宋体"/>
                <w:bCs/>
                <w:snapToGrid/>
                <w:kern w:val="2"/>
                <w:lang w:val="en-US" w:eastAsia="zh-CN"/>
              </w:rPr>
              <w:t>评标</w:t>
            </w:r>
            <w:r>
              <w:rPr>
                <w:rFonts w:hint="eastAsia" w:ascii="宋体" w:hAnsi="宋体" w:eastAsia="宋体" w:cs="宋体"/>
                <w:bCs/>
                <w:snapToGrid/>
                <w:kern w:val="2"/>
                <w:lang w:val="zh-CN" w:eastAsia="zh-CN"/>
              </w:rPr>
              <w:t>基准价，其价格分为满分。其他供应商的价格分统一按照下列公式计算：</w:t>
            </w:r>
            <w:r>
              <w:rPr>
                <w:rFonts w:hint="eastAsia" w:ascii="宋体" w:hAnsi="宋体" w:eastAsia="宋体" w:cs="宋体"/>
                <w:bCs/>
                <w:snapToGrid/>
                <w:kern w:val="2"/>
                <w:lang w:val="en-US" w:eastAsia="zh-CN"/>
              </w:rPr>
              <w:t>投标</w:t>
            </w:r>
            <w:r>
              <w:rPr>
                <w:rFonts w:hint="eastAsia" w:ascii="宋体" w:hAnsi="宋体" w:eastAsia="宋体" w:cs="宋体"/>
                <w:bCs/>
                <w:snapToGrid/>
                <w:kern w:val="2"/>
                <w:lang w:val="zh-CN" w:eastAsia="zh-CN"/>
              </w:rPr>
              <w:t>报价得分</w:t>
            </w:r>
            <w:r>
              <w:rPr>
                <w:rFonts w:ascii="宋体" w:hAnsi="宋体" w:eastAsia="宋体"/>
                <w:bCs/>
                <w:snapToGrid/>
                <w:kern w:val="2"/>
                <w:lang w:val="zh-CN" w:eastAsia="zh-CN"/>
              </w:rPr>
              <w:t>=</w:t>
            </w:r>
            <w:r>
              <w:rPr>
                <w:rFonts w:hint="eastAsia" w:ascii="宋体" w:hAnsi="宋体" w:eastAsia="宋体" w:cs="宋体"/>
                <w:bCs/>
                <w:snapToGrid/>
                <w:kern w:val="2"/>
                <w:lang w:val="zh-CN" w:eastAsia="zh-CN"/>
              </w:rPr>
              <w:t>（</w:t>
            </w:r>
            <w:r>
              <w:rPr>
                <w:rFonts w:hint="eastAsia" w:ascii="宋体" w:hAnsi="宋体" w:eastAsia="宋体" w:cs="宋体"/>
                <w:bCs/>
                <w:snapToGrid/>
                <w:kern w:val="2"/>
                <w:lang w:val="en-US" w:eastAsia="zh-CN"/>
              </w:rPr>
              <w:t>评标</w:t>
            </w:r>
            <w:r>
              <w:rPr>
                <w:rFonts w:hint="eastAsia" w:ascii="宋体" w:hAnsi="宋体" w:eastAsia="宋体" w:cs="宋体"/>
                <w:bCs/>
                <w:snapToGrid/>
                <w:kern w:val="2"/>
                <w:lang w:val="zh-CN" w:eastAsia="zh-CN"/>
              </w:rPr>
              <w:t>基准价</w:t>
            </w:r>
            <w:r>
              <w:rPr>
                <w:rFonts w:ascii="宋体" w:hAnsi="宋体" w:eastAsia="宋体"/>
                <w:bCs/>
                <w:snapToGrid/>
                <w:kern w:val="2"/>
                <w:lang w:val="zh-CN" w:eastAsia="zh-CN"/>
              </w:rPr>
              <w:t>/</w:t>
            </w:r>
            <w:r>
              <w:rPr>
                <w:rFonts w:hint="eastAsia" w:ascii="宋体" w:hAnsi="宋体" w:eastAsia="宋体" w:cs="宋体"/>
                <w:bCs/>
                <w:snapToGrid/>
                <w:kern w:val="2"/>
                <w:lang w:val="en-US" w:eastAsia="zh-CN"/>
              </w:rPr>
              <w:t>投标</w:t>
            </w:r>
            <w:r>
              <w:rPr>
                <w:rFonts w:hint="eastAsia" w:ascii="宋体" w:hAnsi="宋体" w:eastAsia="宋体" w:cs="宋体"/>
                <w:bCs/>
                <w:snapToGrid/>
                <w:kern w:val="2"/>
                <w:lang w:val="zh-CN" w:eastAsia="zh-CN"/>
              </w:rPr>
              <w:t>报价）</w:t>
            </w:r>
            <w:r>
              <w:rPr>
                <w:rFonts w:ascii="宋体" w:hAnsi="宋体" w:eastAsia="宋体"/>
                <w:bCs/>
                <w:snapToGrid/>
                <w:kern w:val="2"/>
                <w:lang w:val="zh-CN" w:eastAsia="zh-CN"/>
              </w:rPr>
              <w:t>×</w:t>
            </w:r>
            <w:r>
              <w:rPr>
                <w:rFonts w:hint="eastAsia" w:ascii="宋体" w:hAnsi="宋体" w:eastAsia="宋体" w:cs="宋体"/>
                <w:bCs/>
                <w:snapToGrid/>
                <w:kern w:val="2"/>
                <w:lang w:val="zh-CN" w:eastAsia="zh-CN"/>
              </w:rPr>
              <w:t>价格权值</w:t>
            </w:r>
            <w:r>
              <w:rPr>
                <w:rFonts w:ascii="宋体" w:hAnsi="宋体" w:eastAsia="宋体"/>
                <w:bCs/>
                <w:snapToGrid/>
                <w:kern w:val="2"/>
                <w:lang w:val="zh-CN" w:eastAsia="zh-CN"/>
              </w:rPr>
              <w:t>10%×100</w:t>
            </w:r>
          </w:p>
          <w:p w14:paraId="6C9C4BDB">
            <w:pPr>
              <w:widowControl w:val="0"/>
              <w:kinsoku/>
              <w:snapToGrid/>
              <w:spacing w:line="360" w:lineRule="exact"/>
              <w:textAlignment w:val="auto"/>
              <w:rPr>
                <w:rFonts w:hint="eastAsia" w:ascii="宋体" w:hAnsi="宋体" w:eastAsia="宋体" w:cs="宋体"/>
                <w:bCs/>
                <w:snapToGrid/>
                <w:kern w:val="2"/>
                <w:lang w:val="zh-CN" w:eastAsia="zh-CN"/>
              </w:rPr>
            </w:pPr>
            <w:r>
              <w:rPr>
                <w:rFonts w:hint="eastAsia" w:ascii="宋体" w:hAnsi="宋体" w:eastAsia="宋体" w:cs="宋体"/>
                <w:bCs/>
                <w:snapToGrid/>
                <w:kern w:val="2"/>
                <w:lang w:val="zh-CN" w:eastAsia="zh-CN"/>
              </w:rPr>
              <w:t>报价得分保留两位小数，第三位四舍五入。</w:t>
            </w:r>
          </w:p>
        </w:tc>
        <w:tc>
          <w:tcPr>
            <w:tcW w:w="928" w:type="dxa"/>
            <w:noWrap/>
            <w:vAlign w:val="center"/>
          </w:tcPr>
          <w:p w14:paraId="576E1E77">
            <w:pPr>
              <w:widowControl w:val="0"/>
              <w:kinsoku/>
              <w:snapToGrid/>
              <w:spacing w:line="300" w:lineRule="exact"/>
              <w:jc w:val="center"/>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10</w:t>
            </w:r>
          </w:p>
        </w:tc>
      </w:tr>
      <w:tr w14:paraId="7313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1" w:type="dxa"/>
            <w:vMerge w:val="restart"/>
            <w:noWrap/>
            <w:vAlign w:val="center"/>
          </w:tcPr>
          <w:p w14:paraId="6006A471">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商务部分</w:t>
            </w:r>
          </w:p>
          <w:p w14:paraId="16A74BD1">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w:t>
            </w:r>
            <w:r>
              <w:rPr>
                <w:rFonts w:hint="eastAsia" w:ascii="宋体" w:hAnsi="宋体" w:eastAsia="宋体" w:cs="宋体"/>
                <w:bCs/>
                <w:snapToGrid/>
                <w:kern w:val="2"/>
                <w:lang w:eastAsia="zh-CN"/>
              </w:rPr>
              <w:t>34</w:t>
            </w:r>
            <w:r>
              <w:rPr>
                <w:rFonts w:hint="eastAsia" w:ascii="宋体" w:hAnsi="宋体" w:eastAsia="宋体" w:cs="宋体"/>
                <w:bCs/>
                <w:snapToGrid/>
                <w:kern w:val="2"/>
                <w:lang w:val="zh-CN" w:eastAsia="zh-CN"/>
              </w:rPr>
              <w:t>分）</w:t>
            </w:r>
          </w:p>
        </w:tc>
        <w:tc>
          <w:tcPr>
            <w:tcW w:w="7789" w:type="dxa"/>
            <w:noWrap/>
            <w:vAlign w:val="center"/>
          </w:tcPr>
          <w:p w14:paraId="7F108673">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eastAsia="zh-CN"/>
              </w:rPr>
              <w:t>供应商</w:t>
            </w:r>
            <w:r>
              <w:rPr>
                <w:rFonts w:hint="eastAsia" w:ascii="宋体" w:hAnsi="宋体" w:eastAsia="宋体" w:cs="宋体"/>
                <w:bCs/>
                <w:snapToGrid/>
                <w:kern w:val="2"/>
                <w:lang w:val="zh-CN" w:eastAsia="zh-CN"/>
              </w:rPr>
              <w:t>近三年(20</w:t>
            </w:r>
            <w:r>
              <w:rPr>
                <w:rFonts w:hint="eastAsia" w:ascii="宋体" w:hAnsi="宋体" w:eastAsia="宋体" w:cs="宋体"/>
                <w:bCs/>
                <w:snapToGrid/>
                <w:kern w:val="2"/>
                <w:lang w:eastAsia="zh-CN"/>
              </w:rPr>
              <w:t>2</w:t>
            </w:r>
            <w:r>
              <w:rPr>
                <w:rFonts w:hint="eastAsia" w:ascii="宋体" w:hAnsi="宋体" w:eastAsia="宋体" w:cs="宋体"/>
                <w:bCs/>
                <w:snapToGrid/>
                <w:kern w:val="2"/>
                <w:lang w:val="en-US" w:eastAsia="zh-CN"/>
              </w:rPr>
              <w:t>2</w:t>
            </w:r>
            <w:r>
              <w:rPr>
                <w:rFonts w:hint="eastAsia" w:ascii="宋体" w:hAnsi="宋体" w:eastAsia="宋体" w:cs="宋体"/>
                <w:bCs/>
                <w:snapToGrid/>
                <w:kern w:val="2"/>
                <w:lang w:val="zh-CN" w:eastAsia="zh-CN"/>
              </w:rPr>
              <w:t>年</w:t>
            </w:r>
            <w:r>
              <w:rPr>
                <w:rFonts w:hint="eastAsia" w:ascii="宋体" w:hAnsi="宋体" w:eastAsia="宋体" w:cs="宋体"/>
                <w:bCs/>
                <w:snapToGrid/>
                <w:kern w:val="2"/>
                <w:lang w:eastAsia="zh-CN"/>
              </w:rPr>
              <w:t>至今</w:t>
            </w:r>
            <w:r>
              <w:rPr>
                <w:rFonts w:hint="eastAsia" w:ascii="宋体" w:hAnsi="宋体" w:eastAsia="宋体" w:cs="宋体"/>
                <w:bCs/>
                <w:snapToGrid/>
                <w:kern w:val="2"/>
                <w:lang w:val="zh-CN" w:eastAsia="zh-CN"/>
              </w:rPr>
              <w:t>)</w:t>
            </w:r>
            <w:r>
              <w:rPr>
                <w:rFonts w:hint="eastAsia" w:ascii="宋体" w:hAnsi="宋体" w:eastAsia="宋体" w:cs="宋体"/>
                <w:lang w:eastAsia="zh-CN"/>
              </w:rPr>
              <w:t xml:space="preserve"> </w:t>
            </w:r>
            <w:r>
              <w:rPr>
                <w:rFonts w:hint="eastAsia" w:ascii="宋体" w:hAnsi="宋体" w:eastAsia="宋体" w:cs="宋体"/>
                <w:bCs/>
                <w:snapToGrid/>
                <w:kern w:val="2"/>
                <w:lang w:val="zh-CN" w:eastAsia="zh-CN"/>
              </w:rPr>
              <w:t>承担类似业绩且甲方反馈良好的有</w:t>
            </w:r>
            <w:r>
              <w:rPr>
                <w:rFonts w:ascii="宋体" w:hAnsi="宋体" w:eastAsia="宋体" w:cs="宋体"/>
                <w:bCs/>
                <w:snapToGrid/>
                <w:kern w:val="2"/>
                <w:lang w:val="zh-CN" w:eastAsia="zh-CN"/>
              </w:rPr>
              <w:t>1</w:t>
            </w:r>
            <w:r>
              <w:rPr>
                <w:rFonts w:hint="eastAsia" w:ascii="宋体" w:hAnsi="宋体" w:eastAsia="宋体" w:cs="宋体"/>
                <w:bCs/>
                <w:snapToGrid/>
                <w:kern w:val="2"/>
                <w:lang w:val="zh-CN" w:eastAsia="zh-CN"/>
              </w:rPr>
              <w:t>项计2分，最高可计14分，应提供中标通知书或合同等相关证明文件，标书内附有复印件，否则不计分。</w:t>
            </w:r>
          </w:p>
        </w:tc>
        <w:tc>
          <w:tcPr>
            <w:tcW w:w="928" w:type="dxa"/>
            <w:noWrap/>
            <w:vAlign w:val="center"/>
          </w:tcPr>
          <w:p w14:paraId="0C273609">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14</w:t>
            </w:r>
          </w:p>
        </w:tc>
      </w:tr>
      <w:tr w14:paraId="0E08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81" w:type="dxa"/>
            <w:vMerge w:val="continue"/>
            <w:noWrap/>
            <w:vAlign w:val="center"/>
          </w:tcPr>
          <w:p w14:paraId="6EEBE895">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5A6D32BA">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eastAsia="zh-CN"/>
              </w:rPr>
              <w:t>对供应商提出的采购人可以接受的合理优惠条件进行评价，</w:t>
            </w:r>
            <w:r>
              <w:rPr>
                <w:rFonts w:hint="eastAsia" w:ascii="宋体" w:hAnsi="宋体" w:eastAsia="宋体" w:cs="宋体"/>
                <w:bCs/>
                <w:snapToGrid/>
                <w:kern w:val="2"/>
                <w:lang w:val="en-US" w:eastAsia="zh-CN"/>
              </w:rPr>
              <w:t>每有一项实质性优惠得1分，最高得5分</w:t>
            </w:r>
            <w:r>
              <w:rPr>
                <w:rFonts w:hint="eastAsia" w:ascii="宋体" w:hAnsi="宋体" w:eastAsia="宋体" w:cs="宋体"/>
                <w:bCs/>
                <w:snapToGrid/>
                <w:kern w:val="2"/>
                <w:lang w:val="zh-CN" w:eastAsia="zh-CN"/>
              </w:rPr>
              <w:t>。</w:t>
            </w:r>
          </w:p>
        </w:tc>
        <w:tc>
          <w:tcPr>
            <w:tcW w:w="928" w:type="dxa"/>
            <w:noWrap/>
            <w:vAlign w:val="center"/>
          </w:tcPr>
          <w:p w14:paraId="2F239DB4">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5</w:t>
            </w:r>
          </w:p>
        </w:tc>
      </w:tr>
      <w:tr w14:paraId="01EB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81" w:type="dxa"/>
            <w:vMerge w:val="continue"/>
            <w:noWrap/>
            <w:vAlign w:val="center"/>
          </w:tcPr>
          <w:p w14:paraId="613AC19E">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1BE21AC7">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eastAsia="zh-CN"/>
              </w:rPr>
              <w:t>对供应商提出的采购人可以接受的合理服务承诺进行评价，</w:t>
            </w:r>
            <w:r>
              <w:rPr>
                <w:rFonts w:hint="eastAsia" w:ascii="宋体" w:hAnsi="宋体" w:eastAsia="宋体" w:cs="宋体"/>
                <w:bCs/>
                <w:snapToGrid/>
                <w:kern w:val="2"/>
                <w:lang w:val="en-US" w:eastAsia="zh-CN"/>
              </w:rPr>
              <w:t>每有一项实质性承诺得1分，最高得5分</w:t>
            </w:r>
            <w:r>
              <w:rPr>
                <w:rFonts w:hint="eastAsia" w:ascii="宋体" w:hAnsi="宋体" w:eastAsia="宋体" w:cs="宋体"/>
                <w:bCs/>
                <w:snapToGrid/>
                <w:kern w:val="2"/>
                <w:lang w:val="zh-CN" w:eastAsia="zh-CN"/>
              </w:rPr>
              <w:t>。</w:t>
            </w:r>
          </w:p>
        </w:tc>
        <w:tc>
          <w:tcPr>
            <w:tcW w:w="928" w:type="dxa"/>
            <w:noWrap/>
            <w:vAlign w:val="center"/>
          </w:tcPr>
          <w:p w14:paraId="29410280">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5</w:t>
            </w:r>
          </w:p>
        </w:tc>
      </w:tr>
      <w:tr w14:paraId="1CFD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1" w:type="dxa"/>
            <w:vMerge w:val="continue"/>
            <w:noWrap/>
            <w:vAlign w:val="center"/>
          </w:tcPr>
          <w:p w14:paraId="13B3A7CB">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7874F18D">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项目组织机构配备合理，评标委员会对人员专业配置、综合实力、人员数量，进行综合评价评价优的计</w:t>
            </w:r>
            <w:r>
              <w:rPr>
                <w:rFonts w:ascii="宋体" w:hAnsi="宋体" w:eastAsia="宋体" w:cs="宋体"/>
                <w:bCs/>
                <w:snapToGrid/>
                <w:kern w:val="2"/>
                <w:lang w:val="zh-CN" w:eastAsia="zh-CN"/>
              </w:rPr>
              <w:t>10</w:t>
            </w:r>
            <w:r>
              <w:rPr>
                <w:rFonts w:hint="eastAsia" w:ascii="宋体" w:hAnsi="宋体" w:eastAsia="宋体" w:cs="宋体"/>
                <w:bCs/>
                <w:snapToGrid/>
                <w:kern w:val="2"/>
                <w:lang w:val="zh-CN" w:eastAsia="zh-CN"/>
              </w:rPr>
              <w:t>分，良的计</w:t>
            </w:r>
            <w:r>
              <w:rPr>
                <w:rFonts w:ascii="宋体" w:hAnsi="宋体" w:eastAsia="宋体" w:cs="宋体"/>
                <w:bCs/>
                <w:snapToGrid/>
                <w:kern w:val="2"/>
                <w:lang w:val="zh-CN" w:eastAsia="zh-CN"/>
              </w:rPr>
              <w:t>7</w:t>
            </w:r>
            <w:r>
              <w:rPr>
                <w:rFonts w:hint="eastAsia" w:ascii="宋体" w:hAnsi="宋体" w:eastAsia="宋体" w:cs="宋体"/>
                <w:bCs/>
                <w:snapToGrid/>
                <w:kern w:val="2"/>
                <w:lang w:val="zh-CN" w:eastAsia="zh-CN"/>
              </w:rPr>
              <w:t>分，一般的计</w:t>
            </w:r>
            <w:r>
              <w:rPr>
                <w:rFonts w:ascii="宋体" w:hAnsi="宋体" w:eastAsia="宋体" w:cs="宋体"/>
                <w:bCs/>
                <w:snapToGrid/>
                <w:kern w:val="2"/>
                <w:lang w:val="zh-CN" w:eastAsia="zh-CN"/>
              </w:rPr>
              <w:t>3</w:t>
            </w:r>
            <w:r>
              <w:rPr>
                <w:rFonts w:hint="eastAsia" w:ascii="宋体" w:hAnsi="宋体" w:eastAsia="宋体" w:cs="宋体"/>
                <w:bCs/>
                <w:snapToGrid/>
                <w:kern w:val="2"/>
                <w:lang w:val="zh-CN" w:eastAsia="zh-CN"/>
              </w:rPr>
              <w:t>分，没有此项不得分。</w:t>
            </w:r>
          </w:p>
        </w:tc>
        <w:tc>
          <w:tcPr>
            <w:tcW w:w="928" w:type="dxa"/>
            <w:noWrap/>
            <w:vAlign w:val="center"/>
          </w:tcPr>
          <w:p w14:paraId="779AA23E">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eastAsia="zh-CN"/>
              </w:rPr>
              <w:t>10</w:t>
            </w:r>
          </w:p>
        </w:tc>
      </w:tr>
      <w:tr w14:paraId="71BB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restart"/>
            <w:noWrap/>
            <w:vAlign w:val="center"/>
          </w:tcPr>
          <w:p w14:paraId="1E014BDB">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技术部分</w:t>
            </w:r>
          </w:p>
          <w:p w14:paraId="31A6B8BD">
            <w:pPr>
              <w:widowControl w:val="0"/>
              <w:kinsoku/>
              <w:snapToGrid/>
              <w:spacing w:line="30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w:t>
            </w:r>
            <w:r>
              <w:rPr>
                <w:rFonts w:hint="eastAsia" w:ascii="宋体" w:hAnsi="宋体" w:eastAsia="宋体" w:cs="宋体"/>
                <w:bCs/>
                <w:snapToGrid/>
                <w:kern w:val="2"/>
                <w:lang w:eastAsia="zh-CN"/>
              </w:rPr>
              <w:t>56</w:t>
            </w:r>
            <w:r>
              <w:rPr>
                <w:rFonts w:hint="eastAsia" w:ascii="宋体" w:hAnsi="宋体" w:eastAsia="宋体" w:cs="宋体"/>
                <w:bCs/>
                <w:snapToGrid/>
                <w:kern w:val="2"/>
                <w:lang w:val="zh-CN" w:eastAsia="zh-CN"/>
              </w:rPr>
              <w:t>分）</w:t>
            </w:r>
          </w:p>
        </w:tc>
        <w:tc>
          <w:tcPr>
            <w:tcW w:w="7789" w:type="dxa"/>
            <w:noWrap/>
            <w:vAlign w:val="center"/>
          </w:tcPr>
          <w:p w14:paraId="1AB211B2">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服务计划整体编制详细、完整、科学合理的，优得</w:t>
            </w:r>
            <w:r>
              <w:rPr>
                <w:rFonts w:hint="eastAsia" w:ascii="宋体" w:hAnsi="宋体" w:eastAsia="宋体" w:cs="宋体"/>
                <w:bCs/>
                <w:snapToGrid/>
                <w:kern w:val="2"/>
                <w:lang w:val="en-US" w:eastAsia="zh-CN"/>
              </w:rPr>
              <w:t>7</w:t>
            </w:r>
            <w:r>
              <w:rPr>
                <w:rFonts w:hint="eastAsia" w:ascii="宋体" w:hAnsi="宋体" w:eastAsia="宋体" w:cs="宋体"/>
                <w:bCs/>
                <w:snapToGrid/>
                <w:kern w:val="2"/>
                <w:lang w:val="zh-CN" w:eastAsia="zh-CN"/>
              </w:rPr>
              <w:t>分，良得</w:t>
            </w:r>
            <w:r>
              <w:rPr>
                <w:rFonts w:hint="eastAsia" w:ascii="宋体" w:hAnsi="宋体" w:eastAsia="宋体" w:cs="宋体"/>
                <w:bCs/>
                <w:snapToGrid/>
                <w:kern w:val="2"/>
                <w:lang w:val="en-US" w:eastAsia="zh-CN"/>
              </w:rPr>
              <w:t>4</w:t>
            </w:r>
            <w:r>
              <w:rPr>
                <w:rFonts w:hint="eastAsia" w:ascii="宋体" w:hAnsi="宋体" w:eastAsia="宋体" w:cs="宋体"/>
                <w:bCs/>
                <w:snapToGrid/>
                <w:kern w:val="2"/>
                <w:lang w:val="zh-CN" w:eastAsia="zh-CN"/>
              </w:rPr>
              <w:t>分，一般得1分，差或无得0分。</w:t>
            </w:r>
          </w:p>
        </w:tc>
        <w:tc>
          <w:tcPr>
            <w:tcW w:w="928" w:type="dxa"/>
            <w:noWrap/>
            <w:vAlign w:val="center"/>
          </w:tcPr>
          <w:p w14:paraId="0078F9B3">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7</w:t>
            </w:r>
          </w:p>
        </w:tc>
      </w:tr>
      <w:tr w14:paraId="1CA0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14:paraId="2F6606FD">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171C08CC">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服务进度控制方法和措施等进行综合评价，科学合理、切实可行计</w:t>
            </w:r>
            <w:r>
              <w:rPr>
                <w:rFonts w:hint="eastAsia" w:ascii="宋体" w:hAnsi="宋体" w:eastAsia="宋体" w:cs="宋体"/>
                <w:bCs/>
                <w:snapToGrid/>
                <w:kern w:val="2"/>
                <w:lang w:val="en-US" w:eastAsia="zh-CN"/>
              </w:rPr>
              <w:t>7</w:t>
            </w:r>
            <w:r>
              <w:rPr>
                <w:rFonts w:hint="eastAsia" w:ascii="宋体" w:hAnsi="宋体" w:eastAsia="宋体" w:cs="宋体"/>
                <w:bCs/>
                <w:snapToGrid/>
                <w:kern w:val="2"/>
                <w:lang w:val="zh-CN" w:eastAsia="zh-CN"/>
              </w:rPr>
              <w:t>分，进度控制方法和措施安排合理者计</w:t>
            </w:r>
            <w:r>
              <w:rPr>
                <w:rFonts w:hint="eastAsia" w:ascii="宋体" w:hAnsi="宋体" w:eastAsia="宋体" w:cs="宋体"/>
                <w:bCs/>
                <w:snapToGrid/>
                <w:kern w:val="2"/>
                <w:lang w:val="en-US" w:eastAsia="zh-CN"/>
              </w:rPr>
              <w:t>4</w:t>
            </w:r>
            <w:r>
              <w:rPr>
                <w:rFonts w:hint="eastAsia" w:ascii="宋体" w:hAnsi="宋体" w:eastAsia="宋体" w:cs="宋体"/>
                <w:bCs/>
                <w:snapToGrid/>
                <w:kern w:val="2"/>
                <w:lang w:val="zh-CN" w:eastAsia="zh-CN"/>
              </w:rPr>
              <w:t>分，安排基本合理、可行性稍差计</w:t>
            </w:r>
            <w:r>
              <w:rPr>
                <w:rFonts w:ascii="宋体" w:hAnsi="宋体" w:eastAsia="宋体" w:cs="宋体"/>
                <w:bCs/>
                <w:snapToGrid/>
                <w:kern w:val="2"/>
                <w:lang w:val="zh-CN" w:eastAsia="zh-CN"/>
              </w:rPr>
              <w:t>1</w:t>
            </w:r>
            <w:r>
              <w:rPr>
                <w:rFonts w:hint="eastAsia" w:ascii="宋体" w:hAnsi="宋体" w:eastAsia="宋体" w:cs="宋体"/>
                <w:bCs/>
                <w:snapToGrid/>
                <w:kern w:val="2"/>
                <w:lang w:val="zh-CN" w:eastAsia="zh-CN"/>
              </w:rPr>
              <w:t>分，没有得</w:t>
            </w:r>
            <w:r>
              <w:rPr>
                <w:rFonts w:ascii="宋体" w:hAnsi="宋体" w:eastAsia="宋体" w:cs="宋体"/>
                <w:bCs/>
                <w:snapToGrid/>
                <w:kern w:val="2"/>
                <w:lang w:val="zh-CN" w:eastAsia="zh-CN"/>
              </w:rPr>
              <w:t>0</w:t>
            </w:r>
            <w:r>
              <w:rPr>
                <w:rFonts w:hint="eastAsia" w:ascii="宋体" w:hAnsi="宋体" w:eastAsia="宋体" w:cs="宋体"/>
                <w:bCs/>
                <w:snapToGrid/>
                <w:kern w:val="2"/>
                <w:lang w:val="zh-CN" w:eastAsia="zh-CN"/>
              </w:rPr>
              <w:t>分。</w:t>
            </w:r>
          </w:p>
        </w:tc>
        <w:tc>
          <w:tcPr>
            <w:tcW w:w="928" w:type="dxa"/>
            <w:noWrap/>
            <w:vAlign w:val="center"/>
          </w:tcPr>
          <w:p w14:paraId="7E1EC241">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7</w:t>
            </w:r>
          </w:p>
        </w:tc>
      </w:tr>
      <w:tr w14:paraId="5708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14:paraId="452D86E2">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2C2C229F">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服务质量保证措施，科学、合理、详尽的，优得</w:t>
            </w:r>
            <w:r>
              <w:rPr>
                <w:rFonts w:hint="eastAsia" w:ascii="宋体" w:hAnsi="宋体" w:eastAsia="宋体" w:cs="宋体"/>
                <w:bCs/>
                <w:snapToGrid/>
                <w:kern w:val="2"/>
                <w:lang w:val="en-US" w:eastAsia="zh-CN"/>
              </w:rPr>
              <w:t>7</w:t>
            </w:r>
            <w:r>
              <w:rPr>
                <w:rFonts w:hint="eastAsia" w:ascii="宋体" w:hAnsi="宋体" w:eastAsia="宋体" w:cs="宋体"/>
                <w:bCs/>
                <w:snapToGrid/>
                <w:kern w:val="2"/>
                <w:lang w:val="zh-CN" w:eastAsia="zh-CN"/>
              </w:rPr>
              <w:t>分，良得</w:t>
            </w:r>
            <w:r>
              <w:rPr>
                <w:rFonts w:hint="eastAsia" w:ascii="宋体" w:hAnsi="宋体" w:eastAsia="宋体" w:cs="宋体"/>
                <w:bCs/>
                <w:snapToGrid/>
                <w:kern w:val="2"/>
                <w:lang w:val="en-US" w:eastAsia="zh-CN"/>
              </w:rPr>
              <w:t>4</w:t>
            </w:r>
            <w:r>
              <w:rPr>
                <w:rFonts w:hint="eastAsia" w:ascii="宋体" w:hAnsi="宋体" w:eastAsia="宋体" w:cs="宋体"/>
                <w:bCs/>
                <w:snapToGrid/>
                <w:kern w:val="2"/>
                <w:lang w:val="zh-CN" w:eastAsia="zh-CN"/>
              </w:rPr>
              <w:t>分，一般得1分，差或无得0分。</w:t>
            </w:r>
          </w:p>
        </w:tc>
        <w:tc>
          <w:tcPr>
            <w:tcW w:w="928" w:type="dxa"/>
            <w:noWrap/>
            <w:vAlign w:val="center"/>
          </w:tcPr>
          <w:p w14:paraId="410E88D8">
            <w:pPr>
              <w:jc w:val="center"/>
            </w:pPr>
            <w:r>
              <w:rPr>
                <w:rFonts w:hint="eastAsia" w:ascii="宋体" w:hAnsi="宋体" w:eastAsia="宋体" w:cs="宋体"/>
                <w:bCs/>
                <w:snapToGrid/>
                <w:kern w:val="2"/>
                <w:lang w:val="en-US" w:eastAsia="zh-CN"/>
              </w:rPr>
              <w:t>7</w:t>
            </w:r>
          </w:p>
        </w:tc>
      </w:tr>
      <w:tr w14:paraId="6AE8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14:paraId="5212FDDA">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24DDC035">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风险应急预案，合理、可靠、应对及时的，优得</w:t>
            </w:r>
            <w:r>
              <w:rPr>
                <w:rFonts w:hint="eastAsia" w:ascii="宋体" w:hAnsi="宋体" w:eastAsia="宋体" w:cs="宋体"/>
                <w:bCs/>
                <w:snapToGrid/>
                <w:kern w:val="2"/>
                <w:lang w:val="en-US" w:eastAsia="zh-CN"/>
              </w:rPr>
              <w:t>7</w:t>
            </w:r>
            <w:r>
              <w:rPr>
                <w:rFonts w:hint="eastAsia" w:ascii="宋体" w:hAnsi="宋体" w:eastAsia="宋体" w:cs="宋体"/>
                <w:bCs/>
                <w:snapToGrid/>
                <w:kern w:val="2"/>
                <w:lang w:val="zh-CN" w:eastAsia="zh-CN"/>
              </w:rPr>
              <w:t>分，良得</w:t>
            </w:r>
            <w:r>
              <w:rPr>
                <w:rFonts w:hint="eastAsia" w:ascii="宋体" w:hAnsi="宋体" w:eastAsia="宋体" w:cs="宋体"/>
                <w:bCs/>
                <w:snapToGrid/>
                <w:kern w:val="2"/>
                <w:lang w:val="en-US" w:eastAsia="zh-CN"/>
              </w:rPr>
              <w:t>4</w:t>
            </w:r>
            <w:r>
              <w:rPr>
                <w:rFonts w:hint="eastAsia" w:ascii="宋体" w:hAnsi="宋体" w:eastAsia="宋体" w:cs="宋体"/>
                <w:bCs/>
                <w:snapToGrid/>
                <w:kern w:val="2"/>
                <w:lang w:val="zh-CN" w:eastAsia="zh-CN"/>
              </w:rPr>
              <w:t>分，一般得1分，差或无得0分。</w:t>
            </w:r>
          </w:p>
        </w:tc>
        <w:tc>
          <w:tcPr>
            <w:tcW w:w="928" w:type="dxa"/>
            <w:noWrap/>
            <w:vAlign w:val="center"/>
          </w:tcPr>
          <w:p w14:paraId="05EA7AEA">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7</w:t>
            </w:r>
          </w:p>
        </w:tc>
      </w:tr>
      <w:tr w14:paraId="7A48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14:paraId="45EBE701">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30717881">
            <w:pPr>
              <w:widowControl w:val="0"/>
              <w:kinsoku/>
              <w:snapToGrid/>
              <w:spacing w:line="360" w:lineRule="exact"/>
              <w:textAlignment w:val="auto"/>
              <w:rPr>
                <w:rFonts w:ascii="宋体" w:hAnsi="宋体" w:eastAsia="宋体" w:cs="宋体"/>
                <w:bCs/>
                <w:snapToGrid/>
                <w:kern w:val="2"/>
                <w:lang w:val="zh-CN" w:eastAsia="zh-CN"/>
              </w:rPr>
            </w:pPr>
            <w:r>
              <w:rPr>
                <w:rFonts w:hint="eastAsia" w:ascii="宋体" w:hAnsi="宋体" w:eastAsia="宋体" w:cs="宋体"/>
                <w:bCs/>
                <w:snapToGrid/>
                <w:kern w:val="2"/>
                <w:lang w:val="zh-CN" w:eastAsia="zh-CN"/>
              </w:rPr>
              <w:t>制定切实可行的各项管理制度，科学、合理、详尽的，优得</w:t>
            </w:r>
            <w:r>
              <w:rPr>
                <w:rFonts w:hint="eastAsia" w:ascii="宋体" w:hAnsi="宋体" w:eastAsia="宋体" w:cs="宋体"/>
                <w:bCs/>
                <w:snapToGrid/>
                <w:kern w:val="2"/>
                <w:lang w:val="en-US" w:eastAsia="zh-CN"/>
              </w:rPr>
              <w:t>6</w:t>
            </w:r>
            <w:r>
              <w:rPr>
                <w:rFonts w:hint="eastAsia" w:ascii="宋体" w:hAnsi="宋体" w:eastAsia="宋体" w:cs="宋体"/>
                <w:bCs/>
                <w:snapToGrid/>
                <w:kern w:val="2"/>
                <w:lang w:val="zh-CN" w:eastAsia="zh-CN"/>
              </w:rPr>
              <w:t>分，良得</w:t>
            </w:r>
            <w:r>
              <w:rPr>
                <w:rFonts w:hint="eastAsia" w:ascii="宋体" w:hAnsi="宋体" w:eastAsia="宋体" w:cs="宋体"/>
                <w:bCs/>
                <w:snapToGrid/>
                <w:kern w:val="2"/>
                <w:lang w:val="en-US" w:eastAsia="zh-CN"/>
              </w:rPr>
              <w:t>3</w:t>
            </w:r>
            <w:r>
              <w:rPr>
                <w:rFonts w:hint="eastAsia" w:ascii="宋体" w:hAnsi="宋体" w:eastAsia="宋体" w:cs="宋体"/>
                <w:bCs/>
                <w:snapToGrid/>
                <w:kern w:val="2"/>
                <w:lang w:val="zh-CN" w:eastAsia="zh-CN"/>
              </w:rPr>
              <w:t>分，一般得1分，差或无得0分。</w:t>
            </w:r>
          </w:p>
        </w:tc>
        <w:tc>
          <w:tcPr>
            <w:tcW w:w="928" w:type="dxa"/>
            <w:noWrap/>
            <w:vAlign w:val="center"/>
          </w:tcPr>
          <w:p w14:paraId="036695A5">
            <w:pPr>
              <w:widowControl w:val="0"/>
              <w:kinsoku/>
              <w:snapToGrid/>
              <w:spacing w:line="300" w:lineRule="exact"/>
              <w:jc w:val="center"/>
              <w:textAlignment w:val="auto"/>
              <w:rPr>
                <w:rFonts w:hint="default" w:ascii="宋体" w:hAnsi="宋体" w:eastAsia="宋体" w:cs="宋体"/>
                <w:bCs/>
                <w:snapToGrid/>
                <w:kern w:val="2"/>
                <w:lang w:val="en-US" w:eastAsia="zh-CN"/>
              </w:rPr>
            </w:pPr>
            <w:r>
              <w:rPr>
                <w:rFonts w:hint="eastAsia" w:ascii="宋体" w:hAnsi="宋体" w:eastAsia="宋体" w:cs="宋体"/>
                <w:bCs/>
                <w:snapToGrid/>
                <w:kern w:val="2"/>
                <w:lang w:val="en-US" w:eastAsia="zh-CN"/>
              </w:rPr>
              <w:t>6</w:t>
            </w:r>
          </w:p>
        </w:tc>
      </w:tr>
      <w:tr w14:paraId="3A12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14:paraId="0771F6B9">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28AAC519">
            <w:pPr>
              <w:widowControl w:val="0"/>
              <w:kinsoku/>
              <w:snapToGrid/>
              <w:spacing w:line="360" w:lineRule="exact"/>
              <w:textAlignment w:val="auto"/>
              <w:rPr>
                <w:rFonts w:hint="eastAsia" w:ascii="宋体" w:hAnsi="宋体" w:eastAsia="宋体" w:cs="宋体"/>
                <w:bCs/>
                <w:snapToGrid/>
                <w:kern w:val="2"/>
                <w:lang w:val="zh-CN" w:eastAsia="zh-CN"/>
              </w:rPr>
            </w:pPr>
            <w:r>
              <w:rPr>
                <w:rFonts w:hint="eastAsia" w:ascii="宋体" w:hAnsi="宋体" w:eastAsia="宋体" w:cs="Times New Roman"/>
                <w:color w:val="auto"/>
                <w:kern w:val="2"/>
                <w:lang w:eastAsia="zh-CN"/>
              </w:rPr>
              <w:t>组织协调综合能力进行综合评价，</w:t>
            </w:r>
            <w:r>
              <w:rPr>
                <w:rFonts w:hint="eastAsia" w:ascii="宋体" w:hAnsi="宋体" w:eastAsia="宋体" w:cs="Times New Roman"/>
                <w:color w:val="auto"/>
                <w:kern w:val="2"/>
                <w:lang w:val="zh-CN" w:eastAsia="zh-CN"/>
              </w:rPr>
              <w:t>方案具体详实、针对性强、可操作性强，得</w:t>
            </w:r>
            <w:r>
              <w:rPr>
                <w:rFonts w:hint="eastAsia" w:ascii="宋体" w:hAnsi="宋体" w:eastAsia="宋体" w:cs="Times New Roman"/>
                <w:color w:val="auto"/>
                <w:kern w:val="2"/>
                <w:lang w:val="en-US" w:eastAsia="zh-CN"/>
              </w:rPr>
              <w:t>6</w:t>
            </w:r>
            <w:r>
              <w:rPr>
                <w:rFonts w:hint="eastAsia" w:ascii="宋体" w:hAnsi="宋体" w:eastAsia="宋体" w:cs="Times New Roman"/>
                <w:color w:val="auto"/>
                <w:kern w:val="2"/>
                <w:lang w:val="zh-CN" w:eastAsia="zh-CN"/>
              </w:rPr>
              <w:t>分，方案相对比较详实、针对性比较强、可操作性比较强，得</w:t>
            </w:r>
            <w:r>
              <w:rPr>
                <w:rFonts w:hint="eastAsia" w:ascii="宋体" w:hAnsi="宋体" w:eastAsia="宋体" w:cs="Times New Roman"/>
                <w:color w:val="auto"/>
                <w:kern w:val="2"/>
                <w:lang w:val="en-US" w:eastAsia="zh-CN"/>
              </w:rPr>
              <w:t>3</w:t>
            </w:r>
            <w:r>
              <w:rPr>
                <w:rFonts w:hint="eastAsia" w:ascii="宋体" w:hAnsi="宋体" w:eastAsia="宋体" w:cs="Times New Roman"/>
                <w:color w:val="auto"/>
                <w:kern w:val="2"/>
                <w:lang w:val="zh-CN" w:eastAsia="zh-CN"/>
              </w:rPr>
              <w:t>分，方案相对较差，得1分，</w:t>
            </w:r>
            <w:r>
              <w:rPr>
                <w:rFonts w:hint="eastAsia" w:ascii="宋体" w:hAnsi="宋体" w:eastAsia="宋体" w:cs="宋体"/>
                <w:bCs/>
                <w:snapToGrid/>
                <w:kern w:val="2"/>
                <w:lang w:val="zh-CN" w:eastAsia="zh-CN"/>
              </w:rPr>
              <w:t>无得0分。</w:t>
            </w:r>
          </w:p>
        </w:tc>
        <w:tc>
          <w:tcPr>
            <w:tcW w:w="928" w:type="dxa"/>
            <w:noWrap/>
            <w:vAlign w:val="center"/>
          </w:tcPr>
          <w:p w14:paraId="0807D263">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6</w:t>
            </w:r>
          </w:p>
        </w:tc>
      </w:tr>
      <w:tr w14:paraId="11DF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1" w:type="dxa"/>
            <w:vMerge w:val="continue"/>
            <w:noWrap/>
            <w:vAlign w:val="center"/>
          </w:tcPr>
          <w:p w14:paraId="3D17EA92">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0DFEBFA5">
            <w:pPr>
              <w:widowControl w:val="0"/>
              <w:kinsoku/>
              <w:snapToGrid/>
              <w:spacing w:line="360" w:lineRule="exact"/>
              <w:textAlignment w:val="auto"/>
              <w:rPr>
                <w:rFonts w:hint="eastAsia" w:ascii="宋体" w:hAnsi="宋体" w:eastAsia="宋体" w:cs="宋体"/>
                <w:bCs/>
                <w:snapToGrid/>
                <w:kern w:val="2"/>
                <w:lang w:val="zh-CN" w:eastAsia="zh-CN"/>
              </w:rPr>
            </w:pPr>
            <w:r>
              <w:rPr>
                <w:rFonts w:hint="eastAsia" w:ascii="宋体" w:hAnsi="宋体" w:eastAsia="宋体"/>
                <w:lang w:eastAsia="zh-CN"/>
              </w:rPr>
              <w:t>从培训次数、培训范围、培训预期效果以及培训内容的深入度、实用性等方面承诺进行评审。</w:t>
            </w:r>
            <w:r>
              <w:rPr>
                <w:rFonts w:hint="eastAsia" w:ascii="宋体" w:hAnsi="宋体" w:eastAsia="宋体"/>
                <w:lang w:val="en-US" w:eastAsia="zh-CN"/>
              </w:rPr>
              <w:t>针对每项方案描述完整、详细、条理清晰德8分，有一项阐述不清或不可行或未提供在8分的基础上扣2分，直至0分</w:t>
            </w:r>
            <w:r>
              <w:rPr>
                <w:rFonts w:hint="eastAsia" w:ascii="宋体" w:hAnsi="宋体" w:eastAsia="宋体"/>
                <w:lang w:eastAsia="zh-CN"/>
              </w:rPr>
              <w:t>。</w:t>
            </w:r>
          </w:p>
        </w:tc>
        <w:tc>
          <w:tcPr>
            <w:tcW w:w="928" w:type="dxa"/>
            <w:noWrap/>
            <w:vAlign w:val="center"/>
          </w:tcPr>
          <w:p w14:paraId="59BA34EB">
            <w:pPr>
              <w:widowControl w:val="0"/>
              <w:kinsoku/>
              <w:snapToGrid/>
              <w:spacing w:line="300" w:lineRule="exact"/>
              <w:jc w:val="center"/>
              <w:textAlignment w:val="auto"/>
              <w:rPr>
                <w:rFonts w:ascii="宋体" w:hAnsi="宋体" w:eastAsia="宋体" w:cs="宋体"/>
                <w:bCs/>
                <w:snapToGrid/>
                <w:kern w:val="2"/>
                <w:lang w:eastAsia="zh-CN"/>
              </w:rPr>
            </w:pPr>
            <w:r>
              <w:rPr>
                <w:rFonts w:hint="eastAsia" w:ascii="宋体" w:hAnsi="宋体" w:eastAsia="宋体" w:cs="宋体"/>
                <w:bCs/>
                <w:snapToGrid/>
                <w:kern w:val="2"/>
                <w:lang w:val="en-US" w:eastAsia="zh-CN"/>
              </w:rPr>
              <w:t>8</w:t>
            </w:r>
          </w:p>
        </w:tc>
      </w:tr>
      <w:tr w14:paraId="36FD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81" w:type="dxa"/>
            <w:vMerge w:val="continue"/>
            <w:noWrap/>
            <w:vAlign w:val="center"/>
          </w:tcPr>
          <w:p w14:paraId="001BE496">
            <w:pPr>
              <w:widowControl w:val="0"/>
              <w:kinsoku/>
              <w:snapToGrid/>
              <w:spacing w:line="300" w:lineRule="exact"/>
              <w:textAlignment w:val="auto"/>
              <w:rPr>
                <w:rFonts w:ascii="宋体" w:hAnsi="宋体" w:eastAsia="宋体" w:cs="宋体"/>
                <w:bCs/>
                <w:snapToGrid/>
                <w:kern w:val="2"/>
                <w:lang w:val="zh-CN" w:eastAsia="zh-CN"/>
              </w:rPr>
            </w:pPr>
          </w:p>
        </w:tc>
        <w:tc>
          <w:tcPr>
            <w:tcW w:w="7789" w:type="dxa"/>
            <w:noWrap/>
            <w:vAlign w:val="center"/>
          </w:tcPr>
          <w:p w14:paraId="1227F25F">
            <w:pPr>
              <w:widowControl w:val="0"/>
              <w:kinsoku/>
              <w:snapToGrid/>
              <w:spacing w:line="360" w:lineRule="exact"/>
              <w:textAlignment w:val="auto"/>
              <w:rPr>
                <w:rFonts w:hint="eastAsia" w:ascii="宋体" w:hAnsi="宋体" w:eastAsia="宋体" w:cs="宋体"/>
                <w:bCs/>
                <w:snapToGrid/>
                <w:kern w:val="2"/>
                <w:lang w:val="zh-CN" w:eastAsia="zh-CN"/>
              </w:rPr>
            </w:pPr>
            <w:r>
              <w:rPr>
                <w:rFonts w:hint="eastAsia" w:ascii="宋体" w:hAnsi="宋体" w:eastAsia="宋体"/>
                <w:lang w:eastAsia="zh-CN"/>
              </w:rPr>
              <w:t>根据供应商提供的合理化建议并详细说明建议的可行性分析，</w:t>
            </w:r>
            <w:r>
              <w:rPr>
                <w:rFonts w:hint="eastAsia" w:ascii="宋体" w:hAnsi="宋体" w:eastAsia="宋体"/>
                <w:lang w:val="en-US" w:eastAsia="zh-CN"/>
              </w:rPr>
              <w:t>每有一项实质性建议且可行性高的得2分最高得8分</w:t>
            </w:r>
            <w:r>
              <w:rPr>
                <w:rFonts w:hint="eastAsia" w:ascii="宋体" w:hAnsi="宋体" w:eastAsia="宋体"/>
                <w:lang w:eastAsia="zh-CN"/>
              </w:rPr>
              <w:t>。</w:t>
            </w:r>
          </w:p>
        </w:tc>
        <w:tc>
          <w:tcPr>
            <w:tcW w:w="928" w:type="dxa"/>
            <w:noWrap/>
            <w:vAlign w:val="center"/>
          </w:tcPr>
          <w:p w14:paraId="50A1618A">
            <w:pPr>
              <w:jc w:val="center"/>
            </w:pPr>
            <w:r>
              <w:rPr>
                <w:rFonts w:hint="eastAsia" w:ascii="宋体" w:hAnsi="宋体" w:eastAsia="宋体" w:cs="宋体"/>
                <w:bCs/>
                <w:snapToGrid/>
                <w:kern w:val="2"/>
                <w:lang w:val="en-US" w:eastAsia="zh-CN"/>
              </w:rPr>
              <w:t>8</w:t>
            </w:r>
          </w:p>
        </w:tc>
      </w:tr>
    </w:tbl>
    <w:p w14:paraId="47B3A3A2">
      <w:pPr>
        <w:spacing w:line="360" w:lineRule="auto"/>
        <w:rPr>
          <w:rFonts w:ascii="宋体" w:hAnsi="宋体" w:eastAsia="宋体" w:cs="宋体"/>
          <w:sz w:val="24"/>
          <w:szCs w:val="24"/>
          <w:lang w:eastAsia="zh-CN"/>
        </w:rPr>
      </w:pPr>
    </w:p>
    <w:p w14:paraId="167C8D95">
      <w:pPr>
        <w:spacing w:line="360" w:lineRule="auto"/>
        <w:rPr>
          <w:rFonts w:ascii="宋体" w:hAnsi="宋体" w:eastAsia="宋体" w:cs="宋体"/>
          <w:sz w:val="24"/>
          <w:szCs w:val="24"/>
          <w:lang w:eastAsia="zh-CN"/>
        </w:rPr>
      </w:pPr>
    </w:p>
    <w:p w14:paraId="2213E4CC">
      <w:pPr>
        <w:spacing w:line="360" w:lineRule="auto"/>
        <w:rPr>
          <w:rFonts w:ascii="宋体" w:hAnsi="宋体" w:eastAsia="宋体" w:cs="宋体"/>
          <w:sz w:val="24"/>
          <w:szCs w:val="24"/>
        </w:rPr>
      </w:pPr>
      <w:r>
        <w:rPr>
          <w:rFonts w:hint="eastAsia" w:ascii="宋体" w:hAnsi="宋体" w:eastAsia="宋体" w:cs="宋体"/>
          <w:sz w:val="24"/>
          <w:szCs w:val="24"/>
        </w:rPr>
        <w:t>1、评标方法</w:t>
      </w:r>
    </w:p>
    <w:p w14:paraId="6DBDB826">
      <w:pPr>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本次评标采用综合评分法。综合评分法，是指投标文件满足招标文件全部实质性要求，且按照评审因素的量化指标评审得分最高的投标人为中标候选人的评标方法。</w:t>
      </w:r>
    </w:p>
    <w:p w14:paraId="5F325EA1">
      <w:pPr>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评标委员会对满足招标文件实质性要求的投标文件，按照本章第2.2款规定 的评分标准进行打分，并按得分由高到低顺序推荐中标候选人，但投标报价低于其成本的除外。综合评分相等时，以投标报价低的优先；投标报价也相等的，以 工作服务方案评分高的优先；工作服务方案评分也相等的，由采购人采用随机抽取的方式确定中标候选人排序。</w:t>
      </w:r>
    </w:p>
    <w:p w14:paraId="4EB9A716">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2、评审标准</w:t>
      </w:r>
    </w:p>
    <w:p w14:paraId="28F94662">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2.1初步评审标准</w:t>
      </w:r>
    </w:p>
    <w:p w14:paraId="1EC577C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2.1.1资格审查标准：见初步评审表；</w:t>
      </w:r>
    </w:p>
    <w:p w14:paraId="3F179D82">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2.1.2符合性审查标准：见初步评审表； 2.2分值构成与评分标准</w:t>
      </w:r>
    </w:p>
    <w:p w14:paraId="7A3AFB21">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2.2.1分值构成</w:t>
      </w:r>
    </w:p>
    <w:p w14:paraId="48E95B8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（1）投标报价：见详细评审表；</w:t>
      </w:r>
    </w:p>
    <w:p w14:paraId="04AE8118">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（2）商务部分：见详细评审表；</w:t>
      </w:r>
    </w:p>
    <w:p w14:paraId="1EB4E3EE">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（3）其他因素：见详细评审表。</w:t>
      </w:r>
    </w:p>
    <w:p w14:paraId="1F66B8F2">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（4）工作服务方案：见详细评审表；</w:t>
      </w:r>
    </w:p>
    <w:p w14:paraId="2A079E5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2.2.2评标基准价计算</w:t>
      </w:r>
    </w:p>
    <w:p w14:paraId="502C347D">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评标基准价计算方法：见详细评审表。</w:t>
      </w:r>
    </w:p>
    <w:p w14:paraId="3B1203B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2.2.3投标报价的偏差率计算</w:t>
      </w:r>
    </w:p>
    <w:p w14:paraId="486F37F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投标报价的偏差率计算公式：见详细评审表。</w:t>
      </w:r>
    </w:p>
    <w:p w14:paraId="748EB6C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2.2.4评分标准</w:t>
      </w:r>
    </w:p>
    <w:p w14:paraId="0B4D6A8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（1）投标报价：见详细评审表；</w:t>
      </w:r>
    </w:p>
    <w:p w14:paraId="1834E55C">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（2）商务部分：见详细评审表；</w:t>
      </w:r>
    </w:p>
    <w:p w14:paraId="606B079D">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（3）其他因素：见详细评审表。</w:t>
      </w:r>
    </w:p>
    <w:p w14:paraId="48B9377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（4）工作服务方案：见详细评审表；</w:t>
      </w:r>
    </w:p>
    <w:p w14:paraId="55A35B0A">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3、评标程序</w:t>
      </w:r>
    </w:p>
    <w:p w14:paraId="7977FD13">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3.1初步评审</w:t>
      </w:r>
    </w:p>
    <w:p w14:paraId="51BF3483">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3.1.1评标委员会依据本章第2.1款规定的标准对投标文件进行初步评审。有一 项不符合评审标准的，作废标处理。</w:t>
      </w:r>
    </w:p>
    <w:p w14:paraId="289BC141">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3.1.2投标人存在下列情况之一的，投标无效：</w:t>
      </w:r>
    </w:p>
    <w:p w14:paraId="0A554E05">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（一）未按照招标文件的规定提交投标保证金的；</w:t>
      </w:r>
    </w:p>
    <w:p w14:paraId="195CD464">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（二）投标文件未按招标文件要求签署、盖章的；</w:t>
      </w:r>
    </w:p>
    <w:p w14:paraId="57F088CA">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（三）不具备招标文件中规定的资格要求的；</w:t>
      </w:r>
    </w:p>
    <w:p w14:paraId="0336153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（四）报价超过招标文件中规定的预算金额或者最高限价的； （五）投标文件含有采购人不能接受的附加条件的；</w:t>
      </w:r>
    </w:p>
    <w:p w14:paraId="49BF2245">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（六）法律、法规和招标文件规定的其他无效情形。</w:t>
      </w:r>
    </w:p>
    <w:p w14:paraId="624CB63B">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3.1.3投标文件报价出现前后不一致的，除招标文件另有规定外，按照下列规定 修正：</w:t>
      </w:r>
    </w:p>
    <w:p w14:paraId="17BB0C9C">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（一）投标文件中开标一览表（报价表）内容与投标文件中相应内容不一致 的，以开标一览表（报价表）为准；</w:t>
      </w:r>
    </w:p>
    <w:p w14:paraId="62A52AEC">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（二）大写金额和小写金额不一致的，以大写金额为准；</w:t>
      </w:r>
    </w:p>
    <w:p w14:paraId="37AF6D11">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（三）单价金额小数点或者百分比有明显错位的，以开标一览表的总价为准， 并修改单价；</w:t>
      </w:r>
    </w:p>
    <w:p w14:paraId="32F70F8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（四）总价金额与按单价汇总金额不一致的，以单价金额计算结果为准。 同时出现两种以上不一致的，按照前款规定的顺序修正。</w:t>
      </w:r>
    </w:p>
    <w:p w14:paraId="40EEEC2B">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3.2详细评审</w:t>
      </w:r>
    </w:p>
    <w:p w14:paraId="6DF901AD">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3.2.1评标委员会按本章第2.2款规定的量化因素和分值进行打分，并计算出综 合评估得分。</w:t>
      </w:r>
    </w:p>
    <w:p w14:paraId="62BA5C51">
      <w:pPr>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（1）按本章第2.2.4（1）目规定的评审因素和分值对投标报价计算出得分A1; （2）按本章第2.2.4（2）目规定的评审因素和分值对商务部分计算出得分B1; （3）按本章第2.2.4（3）目规定的评审因素和分值对其他因素计算出得分C1; （4）按本章第2.2.4（4）目规定的评审因素和分值对技术方案计算出得分D1;</w:t>
      </w:r>
    </w:p>
    <w:p w14:paraId="6E450E5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3.2.2评分分值计算保留小数点后两位，小数点后第三位“四舍五入”。</w:t>
      </w:r>
    </w:p>
    <w:p w14:paraId="30D30A67">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3.2.3得分汇总H1=A1+B1+C1+D1。投标人得分=（H1+H2+H3+H4+H5）/5</w:t>
      </w:r>
    </w:p>
    <w:p w14:paraId="28DF1A5D">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3.2.4评标委员会发现投标单位的投标报价明显低于其他通过符合性审查投标 人的报价，有可能影响产品质量或者不能诚信履约的，须提供成本构成表及相应 证明材料，内容包括但不限于生产成本（如原材成本、设备损耗成本等）,管理 成本（人员工资、福利、社保等）,交通成本（汽油、过路费等）,税费等，并 列明计算过程。投标人不能合理说明或者不能提供相应证明材料的，由评标委员 会认定该投标人以低于成本报价竞标，其投标将被否决。</w:t>
      </w:r>
    </w:p>
    <w:p w14:paraId="369B08A8">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3.3价格评审标准 （本项目不涉及）</w:t>
      </w:r>
    </w:p>
    <w:p w14:paraId="1906AA7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3.3.1投标人为小型或微型企业且投标产品含小型或微型企业产品时，报价给予(10%)的价格扣除，即：评标价格＝核实后的投标总价－小型或微型企业产品核实后的价格×(10%)；</w:t>
      </w:r>
    </w:p>
    <w:p w14:paraId="485A32E0">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3.3.2本条款所称小型或微型企业应当符合以下条件：符合小型或微型企业划分标准，提供本企业制造的货物或者提供其他小型或微型企业制造的货物（以提交的中小企业申明函为准，投标人及其代理产品的制造商均应提交）；</w:t>
      </w:r>
    </w:p>
    <w:p w14:paraId="621B4FC2">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3.3.3小型、微型企业提供中型企业制造的货物的，视同为中型企业。</w:t>
      </w:r>
    </w:p>
    <w:p w14:paraId="7368A015">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3.3.4中小企业联合协议中约定，小型企业或微型企业的协议合同金额占到联合体协议合同总金额30%以上的，可给予联合体4%的价格扣除。</w:t>
      </w:r>
    </w:p>
    <w:p w14:paraId="64BC7101">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3.4投标文件的澄清和补正</w:t>
      </w:r>
    </w:p>
    <w:p w14:paraId="1204454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3.4.1在评标过程中，评标委员会可以书面形式要求投标人对所提交投标文件中 不明确的内容进行书面澄清或说明，或者对细微偏差进行补正。评标委员会不接 受投标人主动提出的澄清、说明或补正。</w:t>
      </w:r>
    </w:p>
    <w:p w14:paraId="6D07420B">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3.4.2澄清、说明和补正不得改变投标文件的实质性内容（算术性错误修正的除</w:t>
      </w:r>
    </w:p>
    <w:p w14:paraId="08B2F3F0">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外）。投标人的书面澄清、说明和补正属于投标文件的组成部分。</w:t>
      </w:r>
    </w:p>
    <w:p w14:paraId="73B662A0">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3.4.3评标委员会对投标人提交的澄清、说明或补正有疑问的，可以要求投标人 进一步澄清、说明或补正，直至满足评标委员会的要求。</w:t>
      </w:r>
    </w:p>
    <w:p w14:paraId="3E27C3C4">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3.5评标结果</w:t>
      </w:r>
    </w:p>
    <w:p w14:paraId="057C229B">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3.5.1除第二章“投标人须知”前附表授权直接确定中标人外，评标委员会按照 综合得分由高到低的顺序推荐3名中标候选人。采购人应当确定排名第一的中标候选人为中标人。排名第一的中标候选人放弃中标、因不可抗力不能履行合同、 不按照招标文件要求提交履约保证金，或者被查实存在影响中标结果的违法行为</w:t>
      </w:r>
    </w:p>
    <w:p w14:paraId="18DAEC59">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等情形，不符合中标条件的，采购人可以按照评标委员会提出的中标候选人名单</w:t>
      </w:r>
    </w:p>
    <w:p w14:paraId="3CF979FD">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排序依次确定其他中标候选人为中标人，也可以重新招标。</w:t>
      </w:r>
    </w:p>
    <w:p w14:paraId="7B985C78">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3.5.2评标委员会完成评标后，应当向采购人提交书面评标报告。 4、有下列情形之一的，视为投标人串通投标，其投标无效：</w:t>
      </w:r>
    </w:p>
    <w:p w14:paraId="2AC51A36">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（一）不同投标人的投标文件由同一单位或者个人编制；</w:t>
      </w:r>
    </w:p>
    <w:p w14:paraId="3E02A214">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（二）不同投标人委托同一单位或者个人办理投标事宜；</w:t>
      </w:r>
    </w:p>
    <w:p w14:paraId="5C5F55A9">
      <w:pPr>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（三）不同投标人的投标文件载明的项目管理成员或者联系人员为同一人；</w:t>
      </w:r>
    </w:p>
    <w:p w14:paraId="7C3EDA0C">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（四）不同投标人的投标文件异常一致或者投标报价呈规律性差异； （五）不同投标人的投标文件相互混装；</w:t>
      </w:r>
    </w:p>
    <w:p w14:paraId="344E1B1E">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（六）不同投标人的投标保证金从同一单位或者个人的账户转出。</w:t>
      </w:r>
    </w:p>
    <w:p w14:paraId="61462F41">
      <w:pPr>
        <w:spacing w:line="360" w:lineRule="auto"/>
        <w:rPr>
          <w:rFonts w:ascii="Times New Roman" w:hAnsi="Times New Roman" w:eastAsia="黑体" w:cs="黑体"/>
          <w:sz w:val="28"/>
          <w:szCs w:val="28"/>
          <w:lang w:eastAsia="zh-CN"/>
        </w:rPr>
      </w:pPr>
    </w:p>
    <w:p w14:paraId="072C1BFD">
      <w:pPr>
        <w:rPr>
          <w:rFonts w:ascii="Times New Roman" w:hAnsi="Times New Roman" w:eastAsia="黑体" w:cs="黑体"/>
          <w:sz w:val="28"/>
          <w:szCs w:val="28"/>
          <w:lang w:eastAsia="zh-CN"/>
        </w:rPr>
      </w:pPr>
      <w:r>
        <w:rPr>
          <w:rFonts w:ascii="Times New Roman" w:hAnsi="Times New Roman" w:eastAsia="黑体" w:cs="黑体"/>
          <w:sz w:val="28"/>
          <w:szCs w:val="28"/>
          <w:lang w:eastAsia="zh-CN"/>
        </w:rPr>
        <w:br w:type="page"/>
      </w:r>
    </w:p>
    <w:p w14:paraId="13406A6A">
      <w:pPr>
        <w:spacing w:line="360" w:lineRule="auto"/>
        <w:rPr>
          <w:rFonts w:ascii="Times New Roman" w:hAnsi="Times New Roman" w:eastAsia="黑体" w:cs="黑体"/>
          <w:sz w:val="28"/>
          <w:szCs w:val="28"/>
          <w:lang w:eastAsia="zh-CN"/>
        </w:rPr>
      </w:pPr>
      <w:r>
        <w:rPr>
          <w:rFonts w:ascii="Times New Roman" w:hAnsi="Times New Roman" w:eastAsia="黑体" w:cs="黑体"/>
          <w:sz w:val="28"/>
          <w:szCs w:val="28"/>
          <w:lang w:eastAsia="zh-CN"/>
        </w:rPr>
        <w:t>附件</w:t>
      </w:r>
    </w:p>
    <w:p w14:paraId="2915553A">
      <w:pPr>
        <w:spacing w:line="360" w:lineRule="auto"/>
        <w:jc w:val="both"/>
        <w:rPr>
          <w:rFonts w:ascii="Times New Roman" w:hAnsi="Times New Roman" w:eastAsia="宋体" w:cs="宋体"/>
          <w:sz w:val="22"/>
          <w:szCs w:val="22"/>
          <w:lang w:eastAsia="zh-CN"/>
        </w:rPr>
      </w:pPr>
    </w:p>
    <w:p w14:paraId="35C4A799">
      <w:pPr>
        <w:spacing w:line="360" w:lineRule="auto"/>
        <w:jc w:val="both"/>
        <w:rPr>
          <w:rFonts w:ascii="Times New Roman" w:hAnsi="Times New Roman" w:eastAsia="宋体" w:cs="宋体"/>
          <w:sz w:val="22"/>
          <w:szCs w:val="22"/>
          <w:lang w:eastAsia="zh-CN"/>
        </w:rPr>
      </w:pPr>
      <w:r>
        <w:rPr>
          <w:rFonts w:ascii="Times New Roman" w:hAnsi="Times New Roman" w:eastAsia="宋体" w:cs="宋体"/>
          <w:sz w:val="22"/>
          <w:szCs w:val="22"/>
          <w:lang w:eastAsia="zh-CN"/>
        </w:rPr>
        <w:t>政府采购相关政策：</w:t>
      </w:r>
    </w:p>
    <w:p w14:paraId="07062359">
      <w:pPr>
        <w:spacing w:line="360" w:lineRule="auto"/>
        <w:jc w:val="center"/>
        <w:rPr>
          <w:rFonts w:ascii="Times New Roman" w:hAnsi="Times New Roman" w:eastAsia="宋体" w:cs="宋体"/>
          <w:sz w:val="32"/>
          <w:szCs w:val="32"/>
          <w:lang w:eastAsia="zh-CN"/>
        </w:rPr>
      </w:pPr>
      <w:r>
        <w:rPr>
          <w:rFonts w:ascii="Times New Roman" w:hAnsi="Times New Roman" w:eastAsia="宋体" w:cs="宋体"/>
          <w:sz w:val="32"/>
          <w:szCs w:val="32"/>
          <w:lang w:eastAsia="zh-CN"/>
        </w:rPr>
        <w:t>关于印发《政府采购促进中小企业发展管理办法》的通知</w:t>
      </w:r>
    </w:p>
    <w:p w14:paraId="2AE87625">
      <w:pPr>
        <w:spacing w:line="360" w:lineRule="auto"/>
        <w:jc w:val="center"/>
        <w:rPr>
          <w:rFonts w:ascii="Times New Roman" w:hAnsi="Times New Roman" w:eastAsia="宋体" w:cs="宋体"/>
          <w:sz w:val="32"/>
          <w:szCs w:val="32"/>
          <w:lang w:eastAsia="zh-CN"/>
        </w:rPr>
      </w:pPr>
      <w:r>
        <w:rPr>
          <w:rFonts w:ascii="Times New Roman" w:hAnsi="Times New Roman" w:eastAsia="宋体" w:cs="宋体"/>
          <w:sz w:val="32"/>
          <w:szCs w:val="32"/>
          <w:lang w:eastAsia="zh-CN"/>
        </w:rPr>
        <w:t>财库〔2020〕46号</w:t>
      </w:r>
    </w:p>
    <w:p w14:paraId="3D5C03D6">
      <w:pPr>
        <w:pStyle w:val="4"/>
        <w:spacing w:line="360" w:lineRule="auto"/>
        <w:rPr>
          <w:rFonts w:ascii="Times New Roman" w:hAnsi="Times New Roman"/>
          <w:lang w:eastAsia="zh-CN"/>
        </w:rPr>
      </w:pPr>
    </w:p>
    <w:p w14:paraId="61CFAF26">
      <w:pPr>
        <w:spacing w:line="360" w:lineRule="auto"/>
        <w:jc w:val="center"/>
        <w:rPr>
          <w:rFonts w:ascii="Times New Roman" w:hAnsi="Times New Roman" w:eastAsia="宋体" w:cs="宋体"/>
          <w:sz w:val="22"/>
          <w:szCs w:val="22"/>
          <w:lang w:eastAsia="zh-CN"/>
        </w:rPr>
      </w:pPr>
      <w:r>
        <w:rPr>
          <w:rFonts w:ascii="Times New Roman" w:hAnsi="Times New Roman" w:eastAsia="宋体" w:cs="宋体"/>
          <w:sz w:val="22"/>
          <w:szCs w:val="22"/>
          <w:lang w:eastAsia="zh-CN"/>
        </w:rPr>
        <w:t>第一条</w:t>
      </w:r>
    </w:p>
    <w:p w14:paraId="6632C48A">
      <w:pPr>
        <w:spacing w:line="360" w:lineRule="auto"/>
        <w:ind w:right="101"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为了发挥政府采购的政策功能，促进中小企业健康发展，根据《中华人民共和国政府采 购法》、《中华人民共和国中小企业促进法》等有关法律法规，制定本办法。</w:t>
      </w:r>
    </w:p>
    <w:p w14:paraId="7EA8C253">
      <w:pPr>
        <w:spacing w:line="360" w:lineRule="auto"/>
        <w:ind w:left="53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第二条</w:t>
      </w:r>
    </w:p>
    <w:p w14:paraId="55D0B571">
      <w:pPr>
        <w:spacing w:line="360" w:lineRule="auto"/>
        <w:ind w:right="52" w:firstLine="409"/>
        <w:jc w:val="both"/>
        <w:rPr>
          <w:rFonts w:ascii="Times New Roman" w:hAnsi="Times New Roman" w:eastAsia="宋体" w:cs="宋体"/>
          <w:sz w:val="22"/>
          <w:szCs w:val="22"/>
          <w:lang w:eastAsia="zh-CN"/>
        </w:rPr>
      </w:pPr>
      <w:r>
        <w:rPr>
          <w:rFonts w:ascii="Times New Roman" w:hAnsi="Times New Roman" w:eastAsia="宋体" w:cs="宋体"/>
          <w:sz w:val="22"/>
          <w:szCs w:val="22"/>
          <w:lang w:eastAsia="zh-CN"/>
        </w:rPr>
        <w:t>本办法所称中小企业，是指在中华人民共和国境内依法设立，依据国务院批准的中小企 业划分标准确定的中型企业、小型企业和微型企业，但与大企业的负责人为同一人，或者与 大企业存在直接控股、管理关系的除外。</w:t>
      </w:r>
    </w:p>
    <w:p w14:paraId="36DE19FC">
      <w:pPr>
        <w:spacing w:line="360" w:lineRule="auto"/>
        <w:ind w:left="409" w:right="1260"/>
        <w:rPr>
          <w:rFonts w:ascii="Times New Roman" w:hAnsi="Times New Roman" w:eastAsia="宋体" w:cs="宋体"/>
          <w:sz w:val="22"/>
          <w:szCs w:val="22"/>
          <w:lang w:eastAsia="zh-CN"/>
        </w:rPr>
      </w:pPr>
      <w:r>
        <w:rPr>
          <w:rFonts w:ascii="Times New Roman" w:hAnsi="Times New Roman" w:eastAsia="宋体" w:cs="宋体"/>
          <w:sz w:val="22"/>
          <w:szCs w:val="22"/>
          <w:lang w:eastAsia="zh-CN"/>
        </w:rPr>
        <w:t>符合中小企业划分标准的个体工商户，在政府采购活动中视同中小企业。 第三条</w:t>
      </w:r>
    </w:p>
    <w:p w14:paraId="13C0B7D3">
      <w:pPr>
        <w:spacing w:line="360" w:lineRule="auto"/>
        <w:ind w:right="61"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采购人在政府采购活动中应当通过加强采购需求管理，落实预留采购份额、价格评审优 惠、优先采购等措施，提高中小企业在政府采购中的份额，支持中小企业发展。</w:t>
      </w:r>
    </w:p>
    <w:p w14:paraId="6E5F237C">
      <w:pPr>
        <w:spacing w:line="360" w:lineRule="auto"/>
        <w:ind w:left="409"/>
        <w:rPr>
          <w:rFonts w:ascii="Times New Roman" w:hAnsi="Times New Roman" w:eastAsia="黑体" w:cs="黑体"/>
          <w:sz w:val="22"/>
          <w:szCs w:val="22"/>
          <w:lang w:eastAsia="zh-CN"/>
        </w:rPr>
      </w:pPr>
      <w:r>
        <w:rPr>
          <w:rFonts w:ascii="Times New Roman" w:hAnsi="Times New Roman" w:eastAsia="黑体" w:cs="黑体"/>
          <w:sz w:val="22"/>
          <w:szCs w:val="22"/>
          <w:lang w:eastAsia="zh-CN"/>
        </w:rPr>
        <w:t>第四条</w:t>
      </w:r>
    </w:p>
    <w:p w14:paraId="1C86E184">
      <w:pPr>
        <w:spacing w:line="360" w:lineRule="auto"/>
        <w:ind w:right="61"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在政府采购活动中，供应商提供的货物、工程或者服务符合下列情形的，享受本办法规 定的中小企业扶持政策：</w:t>
      </w:r>
    </w:p>
    <w:p w14:paraId="3BE01163">
      <w:pPr>
        <w:spacing w:line="360" w:lineRule="auto"/>
        <w:ind w:right="52" w:firstLine="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一</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在货物采购项目中，货物由中小企业制造，即货物由中小企业生产且使用该中小 企业商号或者注册商标；</w:t>
      </w:r>
    </w:p>
    <w:p w14:paraId="7B05AD06">
      <w:pPr>
        <w:spacing w:line="360" w:lineRule="auto"/>
        <w:ind w:left="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二</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在工程采购项目中，工程由中小企业承建，即工程施工单位为中小企业；</w:t>
      </w:r>
    </w:p>
    <w:p w14:paraId="782E22E9">
      <w:pPr>
        <w:spacing w:line="360" w:lineRule="auto"/>
        <w:ind w:right="41" w:firstLine="530"/>
        <w:rPr>
          <w:rFonts w:ascii="Times New Roman" w:hAnsi="Times New Roman" w:eastAsia="幼圆" w:cs="幼圆"/>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三</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 xml:space="preserve">在服务采购项目中，服务由中小企业承接，即提供服务的人员为中小企业依照《中 华人民共和国劳动合同法》订立劳动合同的从业人员。在货物采购项目中，供应商提供的货 物既有中小企业制造货物，也有大型企业制造货物的，不享受本办法规定的中小企业扶持政 </w:t>
      </w:r>
      <w:r>
        <w:rPr>
          <w:rFonts w:ascii="Times New Roman" w:hAnsi="Times New Roman" w:eastAsia="幼圆" w:cs="幼圆"/>
          <w:sz w:val="22"/>
          <w:szCs w:val="22"/>
          <w:lang w:eastAsia="zh-CN"/>
        </w:rPr>
        <w:t>策。</w:t>
      </w:r>
    </w:p>
    <w:p w14:paraId="73FBFDB6">
      <w:pPr>
        <w:spacing w:line="360" w:lineRule="auto"/>
        <w:ind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以联合体形式参加政府采购活动，联合体各方均为中小企业的，联合体视同中小企业。 其中，联合体各方均为小微企业的，联合体视同小微企业。</w:t>
      </w:r>
    </w:p>
    <w:p w14:paraId="0E6B05ED">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第五条</w:t>
      </w:r>
    </w:p>
    <w:p w14:paraId="09AB5DF0">
      <w:pPr>
        <w:spacing w:line="360" w:lineRule="auto"/>
        <w:ind w:right="58"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采购人在政府采购活动中应当合理确定采购项目的采购需求，不得以企业注册资本、资 产总额、营业收入、从业人员、利润、纳税额等规模条件和财务指标作为供应商的资格要求 或者评宙因素，不得在</w:t>
      </w:r>
      <w:r>
        <w:rPr>
          <w:rFonts w:ascii="Times New Roman" w:hAnsi="Times New Roman" w:eastAsia="宋体" w:cs="宋体"/>
          <w:sz w:val="22"/>
          <w:szCs w:val="22"/>
          <w:u w:val="single"/>
          <w:lang w:eastAsia="zh-CN"/>
        </w:rPr>
        <w:t>企业</w:t>
      </w:r>
      <w:r>
        <w:rPr>
          <w:rFonts w:ascii="Times New Roman" w:hAnsi="Times New Roman" w:eastAsia="宋体" w:cs="宋体"/>
          <w:sz w:val="22"/>
          <w:szCs w:val="22"/>
          <w:lang w:eastAsia="zh-CN"/>
        </w:rPr>
        <w:t>股权结构、经营年限等方面对中小企业实行差别待遇或者歧视待 遇。</w:t>
      </w:r>
    </w:p>
    <w:p w14:paraId="5804DEDA">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第六条</w:t>
      </w:r>
    </w:p>
    <w:p w14:paraId="207536C3">
      <w:pPr>
        <w:spacing w:line="360" w:lineRule="auto"/>
        <w:ind w:right="61" w:firstLine="409"/>
        <w:rPr>
          <w:rFonts w:ascii="Times New Roman" w:hAnsi="Times New Roman" w:eastAsia="宋体" w:cs="宋体"/>
          <w:sz w:val="22"/>
          <w:szCs w:val="22"/>
          <w:lang w:eastAsia="zh-CN"/>
        </w:rPr>
      </w:pPr>
      <w:r>
        <w:rPr>
          <w:rFonts w:ascii="Times New Roman" w:hAnsi="Times New Roman" w:eastAsia="宋体" w:cs="宋体"/>
          <w:sz w:val="22"/>
          <w:szCs w:val="22"/>
          <w:lang w:eastAsia="zh-CN"/>
        </w:rPr>
        <w:t>主管预算单位应当组织评估本部门及所属单位政府采购项目，统筹制定面向中小企业预 留采购份额的具体方案，对适宜由中小企业提供的采购项目和采购包，预留采购份额专门面 向中小企业采购，并在政府采购预算中单独列示。</w:t>
      </w:r>
    </w:p>
    <w:p w14:paraId="20E3F9B0">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符合下列情形之一的，可不专门面向中小企业预留采购份额：</w:t>
      </w:r>
    </w:p>
    <w:p w14:paraId="0F801995">
      <w:pPr>
        <w:spacing w:line="360" w:lineRule="auto"/>
        <w:ind w:right="60" w:firstLine="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一</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法律法规和国家有关政策明确规定优先或者应当面向事业单位、社会组织等非企 业主体采购的；</w:t>
      </w:r>
    </w:p>
    <w:p w14:paraId="3CC4663C">
      <w:pPr>
        <w:spacing w:line="360" w:lineRule="auto"/>
        <w:ind w:right="60" w:firstLine="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二</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因确需使用不可替代的专利、专有技术，基础设施限制，或者提供特定公共服务 等原因，只能从中小企业之外的供应商处采购的；</w:t>
      </w:r>
    </w:p>
    <w:p w14:paraId="3B7B3681">
      <w:pPr>
        <w:spacing w:line="360" w:lineRule="auto"/>
        <w:ind w:right="52" w:firstLine="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三</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按照本办法规定预留采购份额无法确保充分供应、充分竞争，或者存在可能影响 政府采购目标实现的情形；</w:t>
      </w:r>
    </w:p>
    <w:p w14:paraId="09219E54">
      <w:pPr>
        <w:spacing w:line="360" w:lineRule="auto"/>
        <w:ind w:left="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四</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框架协议采购项目；</w:t>
      </w:r>
    </w:p>
    <w:p w14:paraId="603D3769">
      <w:pPr>
        <w:spacing w:line="360" w:lineRule="auto"/>
        <w:ind w:left="530"/>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五</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省级以上人民政府财政部门规定的其他情形。</w:t>
      </w:r>
    </w:p>
    <w:p w14:paraId="5253C7AA">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除上述情形外，其他均为适宜由中小企业提供的情形。</w:t>
      </w:r>
    </w:p>
    <w:p w14:paraId="4C8291AF">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第七条</w:t>
      </w:r>
    </w:p>
    <w:p w14:paraId="70A5C2F1">
      <w:pPr>
        <w:spacing w:line="360" w:lineRule="auto"/>
        <w:ind w:left="409"/>
        <w:rPr>
          <w:rFonts w:ascii="Times New Roman" w:hAnsi="Times New Roman" w:eastAsia="宋体" w:cs="宋体"/>
          <w:sz w:val="22"/>
          <w:szCs w:val="22"/>
          <w:lang w:eastAsia="zh-CN"/>
        </w:rPr>
      </w:pPr>
      <w:r>
        <w:rPr>
          <w:rFonts w:ascii="Times New Roman" w:hAnsi="Times New Roman" w:eastAsia="宋体" w:cs="宋体"/>
          <w:sz w:val="22"/>
          <w:szCs w:val="22"/>
          <w:lang w:eastAsia="zh-CN"/>
        </w:rPr>
        <w:t>采购限额标准以上，200 万元以下的货物和服务采购项目、400 万元以下的工程采购项目，适宜</w:t>
      </w:r>
    </w:p>
    <w:p w14:paraId="6B572881">
      <w:pPr>
        <w:spacing w:line="360" w:lineRule="auto"/>
        <w:rPr>
          <w:rFonts w:ascii="Times New Roman" w:hAnsi="Times New Roman" w:eastAsia="宋体" w:cs="宋体"/>
          <w:sz w:val="22"/>
          <w:szCs w:val="22"/>
          <w:lang w:eastAsia="zh-CN"/>
        </w:rPr>
      </w:pPr>
      <w:r>
        <w:rPr>
          <w:rFonts w:ascii="Times New Roman" w:hAnsi="Times New Roman" w:eastAsia="宋体" w:cs="宋体"/>
          <w:sz w:val="22"/>
          <w:szCs w:val="22"/>
          <w:lang w:eastAsia="zh-CN"/>
        </w:rPr>
        <w:t>由中小企业提供的，采购人应当专门面向中小企业采购。</w:t>
      </w:r>
    </w:p>
    <w:p w14:paraId="5CA2B896">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第八条</w:t>
      </w:r>
    </w:p>
    <w:p w14:paraId="082C760B">
      <w:pPr>
        <w:spacing w:line="360" w:lineRule="auto"/>
        <w:ind w:right="88" w:firstLine="530"/>
        <w:rPr>
          <w:rFonts w:ascii="Times New Roman" w:hAnsi="Times New Roman" w:eastAsia="宋体" w:cs="宋体"/>
          <w:lang w:eastAsia="zh-CN"/>
        </w:rPr>
      </w:pPr>
      <w:r>
        <w:rPr>
          <w:rFonts w:ascii="Times New Roman" w:hAnsi="Times New Roman" w:eastAsia="宋体" w:cs="宋体"/>
          <w:lang w:eastAsia="zh-CN"/>
        </w:rPr>
        <w:t>超过200万元的货物和服务采购项目、超过400 万元的工程采购项目中适宜由中小 企业提供的，预留该部分采购项目预算总额的30%以上专门面向中小企业采购，其中预留给 小微企业的比例不低于60%。预留份额通过下列措施进行：</w:t>
      </w:r>
    </w:p>
    <w:p w14:paraId="6CF6313A">
      <w:pPr>
        <w:spacing w:line="360" w:lineRule="auto"/>
        <w:ind w:left="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一</w:t>
      </w:r>
      <w:r>
        <w:rPr>
          <w:rFonts w:hint="eastAsia" w:ascii="Times New Roman" w:hAnsi="Times New Roman" w:eastAsia="宋体" w:cs="宋体"/>
          <w:lang w:eastAsia="zh-CN"/>
        </w:rPr>
        <w:t>）</w:t>
      </w:r>
      <w:r>
        <w:rPr>
          <w:rFonts w:ascii="Times New Roman" w:hAnsi="Times New Roman" w:eastAsia="宋体" w:cs="宋体"/>
          <w:lang w:eastAsia="zh-CN"/>
        </w:rPr>
        <w:t>将采购项目整体或者设置采购包专门面向中小企业采购；</w:t>
      </w:r>
    </w:p>
    <w:p w14:paraId="4E322849">
      <w:pPr>
        <w:spacing w:line="360" w:lineRule="auto"/>
        <w:ind w:right="93" w:firstLine="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二</w:t>
      </w:r>
      <w:r>
        <w:rPr>
          <w:rFonts w:hint="eastAsia" w:ascii="Times New Roman" w:hAnsi="Times New Roman" w:eastAsia="宋体" w:cs="宋体"/>
          <w:lang w:eastAsia="zh-CN"/>
        </w:rPr>
        <w:t>）</w:t>
      </w:r>
      <w:r>
        <w:rPr>
          <w:rFonts w:ascii="Times New Roman" w:hAnsi="Times New Roman" w:eastAsia="宋体" w:cs="宋体"/>
          <w:lang w:eastAsia="zh-CN"/>
        </w:rPr>
        <w:t>要求供应商以联合体形式参加采购活动，且联合体中中小企业承担的部分达到一 定比例；</w:t>
      </w:r>
    </w:p>
    <w:p w14:paraId="10428F99">
      <w:pPr>
        <w:spacing w:line="360" w:lineRule="auto"/>
        <w:ind w:right="93" w:firstLine="530"/>
        <w:rPr>
          <w:rFonts w:ascii="Times New Roman" w:hAnsi="Times New Roman" w:eastAsia="宋体" w:cs="宋体"/>
          <w:spacing w:val="-6"/>
          <w:lang w:eastAsia="zh-CN"/>
        </w:rPr>
      </w:pPr>
      <w:r>
        <w:rPr>
          <w:rFonts w:hint="eastAsia" w:ascii="Times New Roman" w:hAnsi="Times New Roman" w:eastAsia="宋体" w:cs="宋体"/>
          <w:lang w:eastAsia="zh-CN"/>
        </w:rPr>
        <w:t>（</w:t>
      </w:r>
      <w:r>
        <w:rPr>
          <w:rFonts w:ascii="Times New Roman" w:hAnsi="Times New Roman" w:eastAsia="宋体" w:cs="宋体"/>
          <w:lang w:eastAsia="zh-CN"/>
        </w:rPr>
        <w:t>三</w:t>
      </w:r>
      <w:r>
        <w:rPr>
          <w:rFonts w:hint="eastAsia" w:ascii="Times New Roman" w:hAnsi="Times New Roman" w:eastAsia="宋体" w:cs="宋体"/>
          <w:lang w:eastAsia="zh-CN"/>
        </w:rPr>
        <w:t>）</w:t>
      </w:r>
      <w:r>
        <w:rPr>
          <w:rFonts w:ascii="Times New Roman" w:hAnsi="Times New Roman" w:eastAsia="宋体" w:cs="宋体"/>
          <w:lang w:eastAsia="zh-CN"/>
        </w:rPr>
        <w:t>要求获得采购合同的供应商将采购项目中的一定比例分包给一家或者多家中小企 业。组成</w:t>
      </w:r>
      <w:r>
        <w:rPr>
          <w:rFonts w:ascii="Times New Roman" w:hAnsi="Times New Roman" w:eastAsia="宋体" w:cs="宋体"/>
          <w:spacing w:val="-6"/>
          <w:lang w:eastAsia="zh-CN"/>
        </w:rPr>
        <w:t>联合体或者接受分包合同的中小企业与联合体内其他企业、分包企业之间不得存在 直接控股、管理关系。</w:t>
      </w:r>
    </w:p>
    <w:p w14:paraId="433FF327">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第九条</w:t>
      </w:r>
    </w:p>
    <w:p w14:paraId="5C32380D">
      <w:pPr>
        <w:spacing w:line="360" w:lineRule="auto"/>
        <w:ind w:firstLine="530"/>
        <w:rPr>
          <w:rFonts w:ascii="Times New Roman" w:hAnsi="Times New Roman" w:eastAsia="宋体" w:cs="宋体"/>
          <w:lang w:eastAsia="zh-CN"/>
        </w:rPr>
      </w:pPr>
      <w:r>
        <w:rPr>
          <w:rFonts w:ascii="Times New Roman" w:hAnsi="Times New Roman" w:eastAsia="宋体" w:cs="宋体"/>
          <w:lang w:eastAsia="zh-CN"/>
        </w:rPr>
        <w:t>对于经主管预算单位统筹后未预留份额专门面向中小企业采购的采购项目，以及预留  份额项目中的非预留部分采购包，采购人、招标代理机构应当对符合本办法规定的小微企业  报价给予6%—10%</w:t>
      </w:r>
      <w:r>
        <w:rPr>
          <w:rFonts w:hint="eastAsia" w:ascii="Times New Roman" w:hAnsi="Times New Roman" w:eastAsia="宋体" w:cs="宋体"/>
          <w:lang w:eastAsia="zh-CN"/>
        </w:rPr>
        <w:t>（</w:t>
      </w:r>
      <w:r>
        <w:rPr>
          <w:rFonts w:ascii="Times New Roman" w:hAnsi="Times New Roman" w:eastAsia="宋体" w:cs="宋体"/>
          <w:lang w:eastAsia="zh-CN"/>
        </w:rPr>
        <w:t>工程项目为3%-5%</w:t>
      </w:r>
      <w:r>
        <w:rPr>
          <w:rFonts w:hint="eastAsia" w:ascii="Times New Roman" w:hAnsi="Times New Roman" w:eastAsia="宋体" w:cs="宋体"/>
          <w:lang w:eastAsia="zh-CN"/>
        </w:rPr>
        <w:t>）</w:t>
      </w:r>
      <w:r>
        <w:rPr>
          <w:rFonts w:ascii="Times New Roman" w:hAnsi="Times New Roman" w:eastAsia="宋体" w:cs="宋体"/>
          <w:lang w:eastAsia="zh-CN"/>
        </w:rPr>
        <w:t>的扣除，用扣除后的价格参加评审。适用招标投  标法的政府采购工程建设项目，采用综合评分法但未采用低价优先法计算价格分的，评标时  应当在采用原报价进行评分的基础上增加其价格得分的3%-5%作为其价格分。接受大中型  企业与小微企业组成联合体或者允许大中型企业向一家或者多家小微企业分包的采购项目， 对于联合协议或者分包意向协议约定小微企业的合同份额占到合同总金额30%以上的，采购  人、招标代理机构应当对联合体或者大中型企业的报价给予2%-3%</w:t>
      </w:r>
      <w:r>
        <w:rPr>
          <w:rFonts w:hint="eastAsia" w:ascii="Times New Roman" w:hAnsi="Times New Roman" w:eastAsia="宋体" w:cs="宋体"/>
          <w:lang w:eastAsia="zh-CN"/>
        </w:rPr>
        <w:t>（</w:t>
      </w:r>
      <w:r>
        <w:rPr>
          <w:rFonts w:ascii="Times New Roman" w:hAnsi="Times New Roman" w:eastAsia="宋体" w:cs="宋体"/>
          <w:lang w:eastAsia="zh-CN"/>
        </w:rPr>
        <w:t>工程项目为1%-2%</w:t>
      </w:r>
      <w:r>
        <w:rPr>
          <w:rFonts w:hint="eastAsia" w:ascii="Times New Roman" w:hAnsi="Times New Roman" w:eastAsia="宋体" w:cs="宋体"/>
          <w:lang w:eastAsia="zh-CN"/>
        </w:rPr>
        <w:t>）</w:t>
      </w:r>
      <w:r>
        <w:rPr>
          <w:rFonts w:ascii="Times New Roman" w:hAnsi="Times New Roman" w:eastAsia="宋体" w:cs="宋体"/>
          <w:lang w:eastAsia="zh-CN"/>
        </w:rPr>
        <w:t xml:space="preserve">  的扣除，用扣除后的价格参加评审。适用招标投标法的政府采购工程建设项目，采用综合评  分法但未采用低价优先法计算价格分的，评标时应当在采用原报价进行评分的基础上增加其  价格得分的1%—2%作为其价格分。组成联合体或者接受分包的小微企业与联合体内其他企  业、分包企业之间存在直接控股、管理关系的，不享受价格扣除优惠政策。</w:t>
      </w:r>
    </w:p>
    <w:p w14:paraId="7E19A91B">
      <w:pPr>
        <w:spacing w:line="360" w:lineRule="auto"/>
        <w:ind w:right="22" w:firstLine="429"/>
        <w:rPr>
          <w:rFonts w:ascii="Times New Roman" w:hAnsi="Times New Roman" w:eastAsia="宋体" w:cs="宋体"/>
          <w:lang w:eastAsia="zh-CN"/>
        </w:rPr>
      </w:pPr>
      <w:r>
        <w:rPr>
          <w:rFonts w:ascii="Times New Roman" w:hAnsi="Times New Roman" w:eastAsia="宋体" w:cs="宋体"/>
          <w:lang w:eastAsia="zh-CN"/>
        </w:rPr>
        <w:t>价格扣除比例或者价格分加分比例对小型企业和微型企业同等对待，不作区分。具体采 购项目的价格扣除比例或者价格分加分比例，由采购人根据采购标的相关行业平均利润率、 市场竞争状况等，在本办法规定的幅度内确定。</w:t>
      </w:r>
    </w:p>
    <w:p w14:paraId="09752E31">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第十条</w:t>
      </w:r>
    </w:p>
    <w:p w14:paraId="6E8561D3">
      <w:pPr>
        <w:spacing w:line="360" w:lineRule="auto"/>
        <w:ind w:right="20" w:firstLine="530"/>
        <w:rPr>
          <w:rFonts w:ascii="Times New Roman" w:hAnsi="Times New Roman" w:eastAsia="宋体" w:cs="宋体"/>
          <w:lang w:eastAsia="zh-CN"/>
        </w:rPr>
      </w:pPr>
      <w:r>
        <w:rPr>
          <w:rFonts w:ascii="Times New Roman" w:hAnsi="Times New Roman" w:eastAsia="宋体" w:cs="宋体"/>
          <w:lang w:eastAsia="zh-CN"/>
        </w:rPr>
        <w:t>采购人应当严格按照本办法规定和主管预算单位制定的预留采购份额具体方案开展采 购活动。预留份额的采购项目或者采购包，通过发布公告方式邀请供应商后，符合资格条件 的中小企业数量不足3家的，应当中止采购活动，视同未预留份额的采购项目或者采购包， 按照本办法第九条有关规定重新组织采购活动。</w:t>
      </w:r>
    </w:p>
    <w:p w14:paraId="583BDB0E">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第十一条</w:t>
      </w:r>
    </w:p>
    <w:p w14:paraId="05CF4FC1">
      <w:pPr>
        <w:spacing w:line="360" w:lineRule="auto"/>
        <w:ind w:right="82" w:firstLine="530"/>
        <w:rPr>
          <w:rFonts w:ascii="Times New Roman" w:hAnsi="Times New Roman" w:eastAsia="宋体" w:cs="宋体"/>
          <w:lang w:eastAsia="zh-CN"/>
        </w:rPr>
      </w:pPr>
      <w:r>
        <w:rPr>
          <w:rFonts w:ascii="Times New Roman" w:hAnsi="Times New Roman" w:eastAsia="宋体" w:cs="宋体"/>
          <w:lang w:eastAsia="zh-CN"/>
        </w:rPr>
        <w:t>中小企业参加政府采购活动，应当出具本办法规定的《中小企业声明函》</w:t>
      </w:r>
      <w:r>
        <w:rPr>
          <w:rFonts w:hint="eastAsia" w:ascii="Times New Roman" w:hAnsi="Times New Roman" w:eastAsia="宋体" w:cs="宋体"/>
          <w:lang w:eastAsia="zh-CN"/>
        </w:rPr>
        <w:t>（</w:t>
      </w:r>
      <w:r>
        <w:rPr>
          <w:rFonts w:ascii="Times New Roman" w:hAnsi="Times New Roman" w:eastAsia="宋体" w:cs="宋体"/>
          <w:lang w:eastAsia="zh-CN"/>
        </w:rPr>
        <w:t>附1</w:t>
      </w:r>
      <w:r>
        <w:rPr>
          <w:rFonts w:hint="eastAsia" w:ascii="Times New Roman" w:hAnsi="Times New Roman" w:eastAsia="宋体" w:cs="宋体"/>
          <w:lang w:eastAsia="zh-CN"/>
        </w:rPr>
        <w:t>）</w:t>
      </w:r>
      <w:r>
        <w:rPr>
          <w:rFonts w:ascii="Times New Roman" w:hAnsi="Times New Roman" w:eastAsia="宋体" w:cs="宋体"/>
          <w:lang w:eastAsia="zh-CN"/>
        </w:rPr>
        <w:t>, 否则不得享受相关中小企业扶持政策。任何单位和个人不得要求供应商提供《中小企业声明 函》之外的中小企业身份证明文件。</w:t>
      </w:r>
    </w:p>
    <w:p w14:paraId="34D023DB">
      <w:pPr>
        <w:spacing w:line="360" w:lineRule="auto"/>
        <w:ind w:left="530"/>
        <w:rPr>
          <w:rFonts w:ascii="Times New Roman" w:hAnsi="Times New Roman" w:eastAsia="宋体" w:cs="宋体"/>
          <w:lang w:eastAsia="zh-CN"/>
        </w:rPr>
      </w:pPr>
      <w:r>
        <w:rPr>
          <w:rFonts w:ascii="Times New Roman" w:hAnsi="Times New Roman" w:eastAsia="宋体" w:cs="宋体"/>
          <w:lang w:eastAsia="zh-CN"/>
        </w:rPr>
        <w:t>第十二条</w:t>
      </w:r>
    </w:p>
    <w:p w14:paraId="5A29E833">
      <w:pPr>
        <w:spacing w:line="360" w:lineRule="auto"/>
        <w:ind w:left="530"/>
        <w:rPr>
          <w:rFonts w:ascii="Times New Roman" w:hAnsi="Times New Roman" w:eastAsia="宋体" w:cs="宋体"/>
          <w:lang w:eastAsia="zh-CN"/>
        </w:rPr>
      </w:pPr>
      <w:r>
        <w:rPr>
          <w:rFonts w:ascii="Times New Roman" w:hAnsi="Times New Roman" w:eastAsia="宋体" w:cs="宋体"/>
          <w:lang w:eastAsia="zh-CN"/>
        </w:rPr>
        <w:t>采购项目涉及中小企业采购的，采购文件应当明确以下内容：</w:t>
      </w:r>
    </w:p>
    <w:p w14:paraId="058B114C">
      <w:pPr>
        <w:spacing w:line="360" w:lineRule="auto"/>
        <w:ind w:right="96" w:firstLine="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一</w:t>
      </w:r>
      <w:r>
        <w:rPr>
          <w:rFonts w:hint="eastAsia" w:ascii="Times New Roman" w:hAnsi="Times New Roman" w:eastAsia="宋体" w:cs="宋体"/>
          <w:lang w:eastAsia="zh-CN"/>
        </w:rPr>
        <w:t>）</w:t>
      </w:r>
      <w:r>
        <w:rPr>
          <w:rFonts w:ascii="Times New Roman" w:hAnsi="Times New Roman" w:eastAsia="宋体" w:cs="宋体"/>
          <w:lang w:eastAsia="zh-CN"/>
        </w:rPr>
        <w:t>预留份额的采购项目或者采购包，明确该项目或相关采购包专门面向中小企业采 购，以及相关标的及预算金额；</w:t>
      </w:r>
    </w:p>
    <w:p w14:paraId="076BBF23">
      <w:pPr>
        <w:spacing w:line="360" w:lineRule="auto"/>
        <w:ind w:right="88" w:firstLine="530"/>
        <w:rPr>
          <w:rFonts w:ascii="Times New Roman" w:hAnsi="Times New Roman" w:eastAsia="黑体" w:cs="黑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二</w:t>
      </w:r>
      <w:r>
        <w:rPr>
          <w:rFonts w:hint="eastAsia" w:ascii="Times New Roman" w:hAnsi="Times New Roman" w:eastAsia="宋体" w:cs="宋体"/>
          <w:lang w:eastAsia="zh-CN"/>
        </w:rPr>
        <w:t>）</w:t>
      </w:r>
      <w:r>
        <w:rPr>
          <w:rFonts w:ascii="Times New Roman" w:hAnsi="Times New Roman" w:eastAsia="宋体" w:cs="宋体"/>
          <w:lang w:eastAsia="zh-CN"/>
        </w:rPr>
        <w:t xml:space="preserve">要求以联合体形式参加或者合同分包的，明确联合协议或者分包意向协议中中小 </w:t>
      </w:r>
      <w:r>
        <w:rPr>
          <w:rFonts w:ascii="Times New Roman" w:hAnsi="Times New Roman" w:eastAsia="黑体" w:cs="黑体"/>
          <w:lang w:eastAsia="zh-CN"/>
        </w:rPr>
        <w:t>企业合同金额应当达到的比例，并作为供应商资格条件；</w:t>
      </w:r>
    </w:p>
    <w:p w14:paraId="2D9B7049">
      <w:pPr>
        <w:spacing w:line="360" w:lineRule="auto"/>
        <w:ind w:right="16"/>
        <w:jc w:val="right"/>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三</w:t>
      </w:r>
      <w:r>
        <w:rPr>
          <w:rFonts w:hint="eastAsia" w:ascii="Times New Roman" w:hAnsi="Times New Roman" w:eastAsia="宋体" w:cs="宋体"/>
          <w:lang w:eastAsia="zh-CN"/>
        </w:rPr>
        <w:t>）</w:t>
      </w:r>
      <w:r>
        <w:rPr>
          <w:rFonts w:ascii="Times New Roman" w:hAnsi="Times New Roman" w:eastAsia="宋体" w:cs="宋体"/>
          <w:lang w:eastAsia="zh-CN"/>
        </w:rPr>
        <w:t>非预留份额的采购项目或者采购包，明确有关价格扣除比例或者价格分加分比例；</w:t>
      </w:r>
    </w:p>
    <w:p w14:paraId="38A7C277">
      <w:pPr>
        <w:spacing w:line="360" w:lineRule="auto"/>
        <w:ind w:left="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四</w:t>
      </w:r>
      <w:r>
        <w:rPr>
          <w:rFonts w:hint="eastAsia" w:ascii="Times New Roman" w:hAnsi="Times New Roman" w:eastAsia="宋体" w:cs="宋体"/>
          <w:lang w:eastAsia="zh-CN"/>
        </w:rPr>
        <w:t>）</w:t>
      </w:r>
      <w:r>
        <w:rPr>
          <w:rFonts w:ascii="Times New Roman" w:hAnsi="Times New Roman" w:eastAsia="宋体" w:cs="宋体"/>
          <w:lang w:eastAsia="zh-CN"/>
        </w:rPr>
        <w:t>规定依据本办法规定享受扶持政策获得政府采购合同的，小微企业不得将合同分</w:t>
      </w:r>
    </w:p>
    <w:p w14:paraId="4EDB78DC">
      <w:pPr>
        <w:spacing w:line="360" w:lineRule="auto"/>
        <w:ind w:left="3"/>
        <w:rPr>
          <w:rFonts w:ascii="Times New Roman" w:hAnsi="Times New Roman" w:eastAsia="宋体" w:cs="宋体"/>
          <w:lang w:eastAsia="zh-CN"/>
        </w:rPr>
      </w:pPr>
      <w:r>
        <w:rPr>
          <w:rFonts w:ascii="Times New Roman" w:hAnsi="Times New Roman" w:eastAsia="宋体" w:cs="宋体"/>
          <w:b/>
          <w:bCs/>
          <w:lang w:eastAsia="zh-CN"/>
        </w:rPr>
        <w:t>包给大中型企业，中型企业不得将合同分包给大型企业；</w:t>
      </w:r>
    </w:p>
    <w:p w14:paraId="30A114D1">
      <w:pPr>
        <w:spacing w:line="360" w:lineRule="auto"/>
        <w:ind w:left="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五</w:t>
      </w:r>
      <w:r>
        <w:rPr>
          <w:rFonts w:hint="eastAsia" w:ascii="Times New Roman" w:hAnsi="Times New Roman" w:eastAsia="宋体" w:cs="宋体"/>
          <w:lang w:eastAsia="zh-CN"/>
        </w:rPr>
        <w:t>）</w:t>
      </w:r>
      <w:r>
        <w:rPr>
          <w:rFonts w:ascii="Times New Roman" w:hAnsi="Times New Roman" w:eastAsia="宋体" w:cs="宋体"/>
          <w:lang w:eastAsia="zh-CN"/>
        </w:rPr>
        <w:t>采购人认为具备相关条件的，明确对中小企业在资金支付期限、预付款比例等方</w:t>
      </w:r>
    </w:p>
    <w:p w14:paraId="4CD63985">
      <w:pPr>
        <w:spacing w:line="360" w:lineRule="auto"/>
        <w:ind w:left="3"/>
        <w:rPr>
          <w:rFonts w:ascii="Times New Roman" w:hAnsi="Times New Roman" w:eastAsia="宋体" w:cs="宋体"/>
          <w:lang w:eastAsia="zh-CN"/>
        </w:rPr>
      </w:pPr>
      <w:r>
        <w:rPr>
          <w:rFonts w:ascii="Times New Roman" w:hAnsi="Times New Roman" w:eastAsia="宋体" w:cs="宋体"/>
          <w:b/>
          <w:bCs/>
          <w:lang w:eastAsia="zh-CN"/>
        </w:rPr>
        <w:t>面的优惠措施；</w:t>
      </w:r>
    </w:p>
    <w:p w14:paraId="30F97F2A">
      <w:pPr>
        <w:spacing w:line="360" w:lineRule="auto"/>
        <w:ind w:left="533"/>
        <w:rPr>
          <w:rFonts w:ascii="Times New Roman" w:hAnsi="Times New Roman" w:eastAsia="宋体" w:cs="宋体"/>
          <w:lang w:eastAsia="zh-CN"/>
        </w:rPr>
      </w:pPr>
      <w:r>
        <w:rPr>
          <w:rFonts w:hint="eastAsia" w:ascii="Times New Roman" w:hAnsi="Times New Roman" w:eastAsia="宋体" w:cs="宋体"/>
          <w:b/>
          <w:bCs/>
          <w:lang w:eastAsia="zh-CN"/>
        </w:rPr>
        <w:t>（</w:t>
      </w:r>
      <w:r>
        <w:rPr>
          <w:rFonts w:ascii="Times New Roman" w:hAnsi="Times New Roman" w:eastAsia="宋体" w:cs="宋体"/>
          <w:b/>
          <w:bCs/>
          <w:lang w:eastAsia="zh-CN"/>
        </w:rPr>
        <w:t>六</w:t>
      </w:r>
      <w:r>
        <w:rPr>
          <w:rFonts w:hint="eastAsia" w:ascii="Times New Roman" w:hAnsi="Times New Roman" w:eastAsia="宋体" w:cs="宋体"/>
          <w:b/>
          <w:bCs/>
          <w:lang w:eastAsia="zh-CN"/>
        </w:rPr>
        <w:t>）</w:t>
      </w:r>
      <w:r>
        <w:rPr>
          <w:rFonts w:ascii="Times New Roman" w:hAnsi="Times New Roman" w:eastAsia="宋体" w:cs="宋体"/>
          <w:b/>
          <w:bCs/>
          <w:lang w:eastAsia="zh-CN"/>
        </w:rPr>
        <w:t>明确采购标的对应的中小企业划分标准所属行业；</w:t>
      </w:r>
    </w:p>
    <w:p w14:paraId="70E542C8">
      <w:pPr>
        <w:spacing w:line="360" w:lineRule="auto"/>
        <w:ind w:left="53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七</w:t>
      </w:r>
      <w:r>
        <w:rPr>
          <w:rFonts w:hint="eastAsia" w:ascii="Times New Roman" w:hAnsi="Times New Roman" w:eastAsia="宋体" w:cs="宋体"/>
          <w:lang w:eastAsia="zh-CN"/>
        </w:rPr>
        <w:t>）</w:t>
      </w:r>
      <w:r>
        <w:rPr>
          <w:rFonts w:ascii="Times New Roman" w:hAnsi="Times New Roman" w:eastAsia="宋体" w:cs="宋体"/>
          <w:lang w:eastAsia="zh-CN"/>
        </w:rPr>
        <w:t>法律法规和省级以上人民政府财政部门规定的其他事项。</w:t>
      </w:r>
    </w:p>
    <w:p w14:paraId="7D278DAD">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第十三条</w:t>
      </w:r>
    </w:p>
    <w:p w14:paraId="2484BD4B">
      <w:pPr>
        <w:spacing w:line="360" w:lineRule="auto"/>
        <w:ind w:left="110" w:right="101"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中标、成交供应商享受本办法规定的中小企业扶持政策的，采购人、招标代理机构应 当随中标、成交结果公开中标、成交供应商的《中小企业声明函》。适用招标投标法的政府 采购工程建设项目，应当在公示中标候选人时公开中标候选人的《中小企业声明函》。</w:t>
      </w:r>
    </w:p>
    <w:p w14:paraId="63E4C2AD">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第十四条</w:t>
      </w:r>
    </w:p>
    <w:p w14:paraId="4271480D">
      <w:pPr>
        <w:spacing w:line="360" w:lineRule="auto"/>
        <w:ind w:left="110"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对于通过预留采购项目、预留专门采购包、要求以联合体形式参加或者合同分包等措  施签订的采购合同，应当明确标注本合同为中小企业预留合同。其中，要求以联合体形式参  加采购活动或者合同分包的，应当将联合协议或者分包意向协议作为采购合同的组成部分。</w:t>
      </w:r>
    </w:p>
    <w:p w14:paraId="79322A30">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第十五条</w:t>
      </w:r>
    </w:p>
    <w:p w14:paraId="17F15F05">
      <w:pPr>
        <w:spacing w:line="360" w:lineRule="auto"/>
        <w:ind w:left="110" w:right="71"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 xml:space="preserve">鼓励各地区、各部门在采购活动中允许中小企业引入信用担保手段，为中小企业在投标 </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响应</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保证、履约保证等方面提供专业化服务。鼓励中小企业依法合规通过政府采购合同 融资。</w:t>
      </w:r>
    </w:p>
    <w:p w14:paraId="5043753B">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第十六条</w:t>
      </w:r>
    </w:p>
    <w:p w14:paraId="51E84FE0">
      <w:pPr>
        <w:spacing w:line="360" w:lineRule="auto"/>
        <w:ind w:left="110" w:right="93"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政府采购监督检查、投诉处理及政府采购行政处罚中对中小企业的认定，由货物制造 商或者工程、服务供应商注册登记所在地的县级以上人民政府中小企业主管部门负责。中小 企业主管部门应当在收到财政部门或者有关招标投标行政监督部门关于协助开展中小企业 认定函后10 个工作日内做出书面答复。</w:t>
      </w:r>
    </w:p>
    <w:p w14:paraId="4DC99B14">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第十七条</w:t>
      </w:r>
    </w:p>
    <w:p w14:paraId="32564E49">
      <w:pPr>
        <w:spacing w:line="360" w:lineRule="auto"/>
        <w:ind w:left="110" w:right="101"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各地区、各部门应当对涉及中小企业采购的预算项目实施全过程绩效管理，合理设置 绩效目标和指标，落实扶持中小企业有关政策要求，定期开展绩效监控和评价，强化绩效评 价结果应用。</w:t>
      </w:r>
    </w:p>
    <w:p w14:paraId="57EB3132">
      <w:pPr>
        <w:spacing w:line="360" w:lineRule="auto"/>
        <w:ind w:left="529"/>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第十八条</w:t>
      </w:r>
    </w:p>
    <w:p w14:paraId="59CAB385">
      <w:pPr>
        <w:spacing w:line="360" w:lineRule="auto"/>
        <w:ind w:left="110" w:right="97"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主管预算单位应当自2022 年起向同级财政部门报告本部门上一年度面向中小企业预 留份额和采购的具体情况，并在中国政府采购网公开预留项目执行情况</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附2</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。未达到本办 法规定的预留份额比例的，应当作出说明。</w:t>
      </w:r>
    </w:p>
    <w:p w14:paraId="1780F009">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第十九条</w:t>
      </w:r>
    </w:p>
    <w:p w14:paraId="293AC044">
      <w:pPr>
        <w:spacing w:line="360" w:lineRule="auto"/>
        <w:ind w:left="110" w:right="87"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采购人未按本办法规定为中小企业预留采购份额，采购人、招标代理机构未按照本办 法规定要求实施价格扣除或者价格分加分的，属于未按照规定执行政府采购政策，依照《中 华人民共和国政府采购法》等国家有关规定追究法律责任。</w:t>
      </w:r>
    </w:p>
    <w:p w14:paraId="4B4D6812">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第二十条</w:t>
      </w:r>
    </w:p>
    <w:p w14:paraId="6A37A3EB">
      <w:pPr>
        <w:spacing w:line="360" w:lineRule="auto"/>
        <w:ind w:left="110"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供应商按照本办法规定提供声明函内容不实的，属于提供虚假材料谋取中标、成交，依  照《中华人民共和国政府采购法》等国家有关规定追究相应责任。适用招标投标法的政府采  购工程建设项目，投标人按照本办法规定提供声明函内容不实的，属于弄虚作假骗取中标， 依照《中华人民共和国招标投标法》等国家有关规定追究相应责任。</w:t>
      </w:r>
    </w:p>
    <w:p w14:paraId="5C548D72">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第二十一条</w:t>
      </w:r>
    </w:p>
    <w:p w14:paraId="305078B5">
      <w:pPr>
        <w:spacing w:line="360" w:lineRule="auto"/>
        <w:ind w:firstLine="610"/>
        <w:rPr>
          <w:rFonts w:ascii="Times New Roman" w:hAnsi="Times New Roman" w:eastAsia="宋体" w:cs="宋体"/>
          <w:sz w:val="22"/>
          <w:szCs w:val="22"/>
          <w:lang w:eastAsia="zh-CN"/>
        </w:rPr>
      </w:pPr>
      <w:r>
        <w:rPr>
          <w:rFonts w:ascii="Times New Roman" w:hAnsi="Times New Roman" w:eastAsia="宋体" w:cs="宋体"/>
          <w:sz w:val="22"/>
          <w:szCs w:val="22"/>
          <w:lang w:eastAsia="zh-CN"/>
        </w:rPr>
        <w:t>财政部门、中小企业主管部门及其工作人员在履行职责中违反本办法规定及存在其他  滥用职权、玩忽职守、徇私舞弊等违法违纪行为的，依照《中华人民共和国政府采购法》、 《中华人民共和国公务员法》、《中华人民共和国监察法》、《中华人民共和国政府采购法  实施条例》等国家</w:t>
      </w:r>
    </w:p>
    <w:p w14:paraId="505E1C52">
      <w:pPr>
        <w:spacing w:line="360" w:lineRule="auto"/>
        <w:ind w:left="529"/>
        <w:rPr>
          <w:rFonts w:ascii="Times New Roman" w:hAnsi="Times New Roman" w:eastAsia="宋体" w:cs="宋体"/>
          <w:sz w:val="22"/>
          <w:szCs w:val="22"/>
          <w:lang w:eastAsia="zh-CN"/>
        </w:rPr>
      </w:pPr>
      <w:r>
        <w:rPr>
          <w:rFonts w:ascii="Times New Roman" w:hAnsi="Times New Roman" w:eastAsia="宋体" w:cs="宋体"/>
          <w:sz w:val="22"/>
          <w:szCs w:val="22"/>
          <w:lang w:eastAsia="zh-CN"/>
        </w:rPr>
        <w:t>有关规定追究相应责任；涉嫌犯罪的，依法移送有关国家机关处理。</w:t>
      </w:r>
    </w:p>
    <w:p w14:paraId="34D37D94">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第二十二条</w:t>
      </w:r>
    </w:p>
    <w:p w14:paraId="65A9EE8C">
      <w:pPr>
        <w:spacing w:line="360" w:lineRule="auto"/>
        <w:ind w:left="529"/>
        <w:rPr>
          <w:rFonts w:ascii="Times New Roman" w:hAnsi="Times New Roman" w:eastAsia="宋体" w:cs="宋体"/>
          <w:sz w:val="22"/>
          <w:szCs w:val="22"/>
          <w:lang w:eastAsia="zh-CN"/>
        </w:rPr>
      </w:pPr>
      <w:r>
        <w:rPr>
          <w:rFonts w:ascii="Times New Roman" w:hAnsi="Times New Roman" w:eastAsia="宋体" w:cs="宋体"/>
          <w:sz w:val="22"/>
          <w:szCs w:val="22"/>
          <w:lang w:eastAsia="zh-CN"/>
        </w:rPr>
        <w:t>对外援助项目、国家相关资格或者资质管理制度另有规定的项目，不适用本办法。</w:t>
      </w:r>
    </w:p>
    <w:p w14:paraId="0D738EEA">
      <w:pPr>
        <w:spacing w:line="360" w:lineRule="auto"/>
        <w:ind w:left="529"/>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第二十三条</w:t>
      </w:r>
    </w:p>
    <w:p w14:paraId="07D948EA">
      <w:pPr>
        <w:spacing w:line="360" w:lineRule="auto"/>
        <w:jc w:val="right"/>
        <w:rPr>
          <w:rFonts w:ascii="Times New Roman" w:hAnsi="Times New Roman" w:eastAsia="宋体" w:cs="宋体"/>
          <w:sz w:val="22"/>
          <w:szCs w:val="22"/>
          <w:lang w:eastAsia="zh-CN"/>
        </w:rPr>
      </w:pPr>
      <w:r>
        <w:rPr>
          <w:rFonts w:ascii="Times New Roman" w:hAnsi="Times New Roman" w:eastAsia="宋体" w:cs="宋体"/>
          <w:sz w:val="22"/>
          <w:szCs w:val="22"/>
          <w:lang w:eastAsia="zh-CN"/>
        </w:rPr>
        <w:t>关于视同中小企业的其他主体的政府采购扶持政策，由财政部会同有关部门另行规定。</w:t>
      </w:r>
    </w:p>
    <w:p w14:paraId="2CBE1765">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第二十四条</w:t>
      </w:r>
    </w:p>
    <w:p w14:paraId="4CBCFA29">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省级财政部门可以会同中小企业主管部门根据本办法的规定制定具体实施办法。</w:t>
      </w:r>
    </w:p>
    <w:p w14:paraId="281E8BFF">
      <w:pPr>
        <w:spacing w:line="360" w:lineRule="auto"/>
        <w:ind w:left="610"/>
        <w:rPr>
          <w:rFonts w:ascii="Times New Roman" w:hAnsi="Times New Roman" w:eastAsia="宋体" w:cs="宋体"/>
          <w:sz w:val="22"/>
          <w:szCs w:val="22"/>
          <w:lang w:eastAsia="zh-CN"/>
        </w:rPr>
      </w:pPr>
      <w:r>
        <w:rPr>
          <w:rFonts w:ascii="Times New Roman" w:hAnsi="Times New Roman" w:eastAsia="宋体" w:cs="宋体"/>
          <w:sz w:val="22"/>
          <w:szCs w:val="22"/>
          <w:lang w:eastAsia="zh-CN"/>
        </w:rPr>
        <w:t>第二十五条</w:t>
      </w:r>
    </w:p>
    <w:p w14:paraId="60F43E18">
      <w:pPr>
        <w:spacing w:line="360" w:lineRule="auto"/>
        <w:ind w:left="110" w:right="101" w:firstLine="500"/>
        <w:rPr>
          <w:rFonts w:ascii="Times New Roman" w:hAnsi="Times New Roman" w:eastAsia="宋体" w:cs="宋体"/>
          <w:sz w:val="22"/>
          <w:szCs w:val="22"/>
          <w:lang w:eastAsia="zh-CN"/>
        </w:rPr>
      </w:pPr>
      <w:r>
        <w:rPr>
          <w:rFonts w:ascii="Times New Roman" w:hAnsi="Times New Roman" w:eastAsia="宋体" w:cs="宋体"/>
          <w:sz w:val="22"/>
          <w:szCs w:val="22"/>
          <w:lang w:eastAsia="zh-CN"/>
        </w:rPr>
        <w:t>本办法自2021年1月1日起施行。  财政部工业和信息化部关于印发&lt;政府采购促进 中小企业发展暂行办法&gt;的通知》</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财库〔2011〕181 号</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同时废止。</w:t>
      </w:r>
    </w:p>
    <w:p w14:paraId="431BFFC8">
      <w:pPr>
        <w:spacing w:line="360" w:lineRule="auto"/>
        <w:rPr>
          <w:rFonts w:ascii="Times New Roman" w:hAnsi="Times New Roman" w:eastAsia="宋体" w:cs="宋体"/>
          <w:sz w:val="22"/>
          <w:szCs w:val="22"/>
          <w:lang w:eastAsia="zh-CN"/>
        </w:rPr>
        <w:sectPr>
          <w:footerReference r:id="rId13" w:type="default"/>
          <w:pgSz w:w="11905" w:h="16838"/>
          <w:pgMar w:top="1134" w:right="1134" w:bottom="1134" w:left="1134" w:header="0" w:footer="1043" w:gutter="0"/>
          <w:cols w:space="0" w:num="1"/>
        </w:sectPr>
      </w:pPr>
    </w:p>
    <w:p w14:paraId="5E4A09A1">
      <w:pPr>
        <w:spacing w:beforeLines="100" w:afterLines="100" w:line="360" w:lineRule="auto"/>
        <w:ind w:left="765"/>
        <w:rPr>
          <w:rFonts w:ascii="Times New Roman" w:hAnsi="Times New Roman" w:eastAsia="宋体" w:cs="宋体"/>
          <w:lang w:eastAsia="zh-CN"/>
        </w:rPr>
      </w:pPr>
      <w:r>
        <w:rPr>
          <w:rFonts w:hint="eastAsia" w:ascii="Times New Roman" w:hAnsi="Times New Roman" w:eastAsia="宋体" w:cs="宋体"/>
          <w:b/>
          <w:bCs/>
          <w:lang w:eastAsia="zh-CN"/>
        </w:rPr>
        <w:t>（</w:t>
      </w:r>
      <w:r>
        <w:rPr>
          <w:rFonts w:ascii="Times New Roman" w:hAnsi="Times New Roman" w:eastAsia="宋体" w:cs="宋体"/>
          <w:b/>
          <w:bCs/>
          <w:lang w:eastAsia="zh-CN"/>
        </w:rPr>
        <w:t>一</w:t>
      </w:r>
      <w:r>
        <w:rPr>
          <w:rFonts w:hint="eastAsia" w:ascii="Times New Roman" w:hAnsi="Times New Roman" w:eastAsia="宋体" w:cs="宋体"/>
          <w:b/>
          <w:bCs/>
          <w:lang w:eastAsia="zh-CN"/>
        </w:rPr>
        <w:t>）</w:t>
      </w:r>
      <w:r>
        <w:rPr>
          <w:rFonts w:ascii="Times New Roman" w:hAnsi="Times New Roman" w:eastAsia="宋体" w:cs="宋体"/>
          <w:b/>
          <w:bCs/>
          <w:lang w:eastAsia="zh-CN"/>
        </w:rPr>
        <w:t>对于列入财政部、生态环境部发布的《环境标志产品政府采购品目清单》要求</w:t>
      </w:r>
    </w:p>
    <w:p w14:paraId="10D4EA75">
      <w:pPr>
        <w:spacing w:line="360" w:lineRule="auto"/>
        <w:ind w:right="80"/>
        <w:jc w:val="both"/>
        <w:rPr>
          <w:rFonts w:ascii="Times New Roman" w:hAnsi="Times New Roman" w:eastAsia="宋体" w:cs="宋体"/>
          <w:lang w:eastAsia="zh-CN"/>
        </w:rPr>
      </w:pPr>
      <w:r>
        <w:rPr>
          <w:rFonts w:ascii="Times New Roman" w:hAnsi="Times New Roman" w:eastAsia="宋体" w:cs="宋体"/>
          <w:lang w:eastAsia="zh-CN"/>
        </w:rPr>
        <w:t>的产品，对其投标价格给予3%的价格扣除，并按照扣除后的价格参加排序。采购项目或者分  包中既包含环境标志产品也包含非环境标志产品的，只对列入《环境标志产品政府采购品目 清单》要求的产品按其在总报价中所占的比例给予价格扣除，投标文件中需提供认证证明， 认证机构须在市场监管总局公布的名录内《详见市场监管总局关于发布参与实施政府采购节 能产品、环境标志产品认证机构名录的公告</w:t>
      </w:r>
      <w:r>
        <w:rPr>
          <w:rFonts w:hint="eastAsia" w:ascii="Times New Roman" w:hAnsi="Times New Roman" w:eastAsia="宋体" w:cs="宋体"/>
          <w:lang w:eastAsia="zh-CN"/>
        </w:rPr>
        <w:t>（</w:t>
      </w:r>
      <w:r>
        <w:rPr>
          <w:rFonts w:ascii="Times New Roman" w:hAnsi="Times New Roman" w:eastAsia="宋体" w:cs="宋体"/>
          <w:lang w:eastAsia="zh-CN"/>
        </w:rPr>
        <w:t>2019年第16 号文件</w:t>
      </w:r>
      <w:r>
        <w:rPr>
          <w:rFonts w:hint="eastAsia" w:ascii="Times New Roman" w:hAnsi="Times New Roman" w:eastAsia="宋体" w:cs="宋体"/>
          <w:lang w:eastAsia="zh-CN"/>
        </w:rPr>
        <w:t>）</w:t>
      </w:r>
      <w:r>
        <w:rPr>
          <w:rFonts w:ascii="Times New Roman" w:hAnsi="Times New Roman" w:eastAsia="宋体" w:cs="宋体"/>
          <w:lang w:eastAsia="zh-CN"/>
        </w:rPr>
        <w:t>》;</w:t>
      </w:r>
    </w:p>
    <w:p w14:paraId="3B3ADD52">
      <w:pPr>
        <w:spacing w:line="360" w:lineRule="auto"/>
        <w:ind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二</w:t>
      </w:r>
      <w:r>
        <w:rPr>
          <w:rFonts w:hint="eastAsia" w:ascii="Times New Roman" w:hAnsi="Times New Roman" w:eastAsia="宋体" w:cs="宋体"/>
          <w:lang w:eastAsia="zh-CN"/>
        </w:rPr>
        <w:t>）</w:t>
      </w:r>
      <w:r>
        <w:rPr>
          <w:rFonts w:ascii="Times New Roman" w:hAnsi="Times New Roman" w:eastAsia="宋体" w:cs="宋体"/>
          <w:lang w:eastAsia="zh-CN"/>
        </w:rPr>
        <w:t>对财政部、国家发展改革委发布的《节能产品政府采购品目清单》但不属于国家  强制采购的产品，对其投标价格给予3%的价格扣除，并按照扣除后的价格参加排序。采购项  目或者分包中既包含节能产品也包含非节能产品的，只对列入《节能产品政府采购品目清单》 但不属于国家强制采购的产品按其在总报价中所占的比例给予价格扣除，投标文件中需提供  认证证明，认证机构须在市场监管总局公布的名录内《详见市场监管总局关于发布参与实施  政府采购节能产品、环境标志产品认证机构名录的公告</w:t>
      </w:r>
      <w:r>
        <w:rPr>
          <w:rFonts w:hint="eastAsia" w:ascii="Times New Roman" w:hAnsi="Times New Roman" w:eastAsia="宋体" w:cs="宋体"/>
          <w:lang w:eastAsia="zh-CN"/>
        </w:rPr>
        <w:t>（</w:t>
      </w:r>
      <w:r>
        <w:rPr>
          <w:rFonts w:ascii="Times New Roman" w:hAnsi="Times New Roman" w:eastAsia="宋体" w:cs="宋体"/>
          <w:lang w:eastAsia="zh-CN"/>
        </w:rPr>
        <w:t>2019年第16号文件</w:t>
      </w:r>
      <w:r>
        <w:rPr>
          <w:rFonts w:hint="eastAsia" w:ascii="Times New Roman" w:hAnsi="Times New Roman" w:eastAsia="宋体" w:cs="宋体"/>
          <w:lang w:eastAsia="zh-CN"/>
        </w:rPr>
        <w:t>）</w:t>
      </w:r>
      <w:r>
        <w:rPr>
          <w:rFonts w:ascii="Times New Roman" w:hAnsi="Times New Roman" w:eastAsia="宋体" w:cs="宋体"/>
          <w:lang w:eastAsia="zh-CN"/>
        </w:rPr>
        <w:t>》。”</w:t>
      </w:r>
    </w:p>
    <w:p w14:paraId="2D6C63EE">
      <w:pPr>
        <w:spacing w:line="360" w:lineRule="auto"/>
        <w:ind w:right="95"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三</w:t>
      </w:r>
      <w:r>
        <w:rPr>
          <w:rFonts w:hint="eastAsia" w:ascii="Times New Roman" w:hAnsi="Times New Roman" w:eastAsia="宋体" w:cs="宋体"/>
          <w:lang w:eastAsia="zh-CN"/>
        </w:rPr>
        <w:t>）</w:t>
      </w:r>
      <w:r>
        <w:rPr>
          <w:rFonts w:ascii="Times New Roman" w:hAnsi="Times New Roman" w:eastAsia="宋体" w:cs="宋体"/>
          <w:lang w:eastAsia="zh-CN"/>
        </w:rPr>
        <w:t>对于列入财政部、国家发改委、信息产业部发布的《无线局域网认证产品政府采 购清单》的产品，对其投标价格给予3%的价格扣除，并按扣除后的价格参加排序。采购项目 或者分包中既包含清单中产品也包含非清单中产品的，只对列入清单的产品按其在总报价中 所占的比例给予价格扣除。</w:t>
      </w:r>
    </w:p>
    <w:p w14:paraId="09801027">
      <w:pPr>
        <w:spacing w:line="360" w:lineRule="auto"/>
        <w:ind w:right="126"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四</w:t>
      </w:r>
      <w:r>
        <w:rPr>
          <w:rFonts w:hint="eastAsia" w:ascii="Times New Roman" w:hAnsi="Times New Roman" w:eastAsia="宋体" w:cs="宋体"/>
          <w:lang w:eastAsia="zh-CN"/>
        </w:rPr>
        <w:t>）</w:t>
      </w:r>
      <w:r>
        <w:rPr>
          <w:rFonts w:ascii="Times New Roman" w:hAnsi="Times New Roman" w:eastAsia="宋体" w:cs="宋体"/>
          <w:lang w:eastAsia="zh-CN"/>
        </w:rPr>
        <w:t>投标产品同时列入上述多个清单的，将上述规定的价格扣除比例叠加后计算价格 扣除。</w:t>
      </w:r>
    </w:p>
    <w:p w14:paraId="7E6424E2">
      <w:pPr>
        <w:spacing w:line="360" w:lineRule="auto"/>
        <w:ind w:right="69"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五</w:t>
      </w:r>
      <w:r>
        <w:rPr>
          <w:rFonts w:hint="eastAsia" w:ascii="Times New Roman" w:hAnsi="Times New Roman" w:eastAsia="宋体" w:cs="宋体"/>
          <w:lang w:eastAsia="zh-CN"/>
        </w:rPr>
        <w:t>）</w:t>
      </w:r>
      <w:r>
        <w:rPr>
          <w:rFonts w:ascii="Times New Roman" w:hAnsi="Times New Roman" w:eastAsia="宋体" w:cs="宋体"/>
          <w:lang w:eastAsia="zh-CN"/>
        </w:rPr>
        <w:t>根据《关于进一步加大政府采购支持中小企业力度的通知》</w:t>
      </w:r>
      <w:r>
        <w:rPr>
          <w:rFonts w:hint="eastAsia" w:ascii="Times New Roman" w:hAnsi="Times New Roman" w:eastAsia="宋体" w:cs="宋体"/>
          <w:lang w:eastAsia="zh-CN"/>
        </w:rPr>
        <w:t>（</w:t>
      </w:r>
      <w:r>
        <w:rPr>
          <w:rFonts w:ascii="Times New Roman" w:hAnsi="Times New Roman" w:eastAsia="宋体" w:cs="宋体"/>
          <w:lang w:eastAsia="zh-CN"/>
        </w:rPr>
        <w:t>财库〔2022〕19  号</w:t>
      </w:r>
      <w:r>
        <w:rPr>
          <w:rFonts w:hint="eastAsia" w:ascii="Times New Roman" w:hAnsi="Times New Roman" w:eastAsia="宋体" w:cs="宋体"/>
          <w:lang w:eastAsia="zh-CN"/>
        </w:rPr>
        <w:t>）</w:t>
      </w:r>
      <w:r>
        <w:rPr>
          <w:rFonts w:ascii="Times New Roman" w:hAnsi="Times New Roman" w:eastAsia="宋体" w:cs="宋体"/>
          <w:lang w:eastAsia="zh-CN"/>
        </w:rPr>
        <w:t>文件规定，货物服务采购项目给予小微企业的价格扣除优惠，按“工信部联企业〔2011〕 300号”通知标准划分的小型和微型企业的投标报价给予10%的扣除，用扣除后的价格参加评 审；根据《政府采购促进中小企业发展管理办法》</w:t>
      </w:r>
      <w:r>
        <w:rPr>
          <w:rFonts w:hint="eastAsia" w:ascii="Times New Roman" w:hAnsi="Times New Roman" w:eastAsia="宋体" w:cs="宋体"/>
          <w:lang w:eastAsia="zh-CN"/>
        </w:rPr>
        <w:t>（</w:t>
      </w:r>
      <w:r>
        <w:rPr>
          <w:rFonts w:ascii="Times New Roman" w:hAnsi="Times New Roman" w:eastAsia="宋体" w:cs="宋体"/>
          <w:lang w:eastAsia="zh-CN"/>
        </w:rPr>
        <w:t>财库〔2020〕46号</w:t>
      </w:r>
      <w:r>
        <w:rPr>
          <w:rFonts w:hint="eastAsia" w:ascii="Times New Roman" w:hAnsi="Times New Roman" w:eastAsia="宋体" w:cs="宋体"/>
          <w:lang w:eastAsia="zh-CN"/>
        </w:rPr>
        <w:t>）</w:t>
      </w:r>
      <w:r>
        <w:rPr>
          <w:rFonts w:ascii="Times New Roman" w:hAnsi="Times New Roman" w:eastAsia="宋体" w:cs="宋体"/>
          <w:lang w:eastAsia="zh-CN"/>
        </w:rPr>
        <w:t>文件规定，工程项 目给予小微企业的价格扣除优惠，按“工信部联企业〔2011〕300号”通知标准划分的小型  和微型企业的投标报价给予3%的扣除，用扣除后的价格参加评审。适用招标投标法的政府采 购工程建设项目，采用综合评估法但未采用低价优先法计算价格分的，评标时应当在采用原 报价进行评分的基础上增加其价格得分的3%作为其价格分</w:t>
      </w:r>
      <w:r>
        <w:rPr>
          <w:rFonts w:hint="eastAsia" w:ascii="Times New Roman" w:hAnsi="Times New Roman" w:eastAsia="宋体" w:cs="宋体"/>
          <w:lang w:eastAsia="zh-CN"/>
        </w:rPr>
        <w:t>（</w:t>
      </w:r>
      <w:r>
        <w:rPr>
          <w:rFonts w:ascii="Times New Roman" w:hAnsi="Times New Roman" w:eastAsia="宋体" w:cs="宋体"/>
          <w:lang w:eastAsia="zh-CN"/>
        </w:rPr>
        <w:t>需提供中小企业声明函</w:t>
      </w:r>
      <w:r>
        <w:rPr>
          <w:rFonts w:hint="eastAsia" w:ascii="Times New Roman" w:hAnsi="Times New Roman" w:eastAsia="宋体" w:cs="宋体"/>
          <w:lang w:eastAsia="zh-CN"/>
        </w:rPr>
        <w:t>）</w:t>
      </w:r>
      <w:r>
        <w:rPr>
          <w:rFonts w:ascii="Times New Roman" w:hAnsi="Times New Roman" w:eastAsia="宋体" w:cs="宋体"/>
          <w:lang w:eastAsia="zh-CN"/>
        </w:rPr>
        <w:t>。</w:t>
      </w:r>
    </w:p>
    <w:p w14:paraId="0E691980">
      <w:pPr>
        <w:spacing w:line="360" w:lineRule="auto"/>
        <w:ind w:right="122" w:firstLine="540"/>
        <w:rPr>
          <w:rFonts w:ascii="Times New Roman" w:hAnsi="Times New Roman" w:eastAsia="黑体" w:cs="黑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六</w:t>
      </w:r>
      <w:r>
        <w:rPr>
          <w:rFonts w:hint="eastAsia" w:ascii="Times New Roman" w:hAnsi="Times New Roman" w:eastAsia="宋体" w:cs="宋体"/>
          <w:lang w:eastAsia="zh-CN"/>
        </w:rPr>
        <w:t>）</w:t>
      </w:r>
      <w:r>
        <w:rPr>
          <w:rFonts w:ascii="Times New Roman" w:hAnsi="Times New Roman" w:eastAsia="宋体" w:cs="宋体"/>
          <w:lang w:eastAsia="zh-CN"/>
        </w:rPr>
        <w:t>按照财政部《关于政府采购支持监狱企业发展有关问题的通知》</w:t>
      </w:r>
      <w:r>
        <w:rPr>
          <w:rFonts w:hint="eastAsia" w:ascii="Times New Roman" w:hAnsi="Times New Roman" w:eastAsia="宋体" w:cs="宋体"/>
          <w:lang w:eastAsia="zh-CN"/>
        </w:rPr>
        <w:t>（</w:t>
      </w:r>
      <w:r>
        <w:rPr>
          <w:rFonts w:ascii="Times New Roman" w:hAnsi="Times New Roman" w:eastAsia="宋体" w:cs="宋体"/>
          <w:lang w:eastAsia="zh-CN"/>
        </w:rPr>
        <w:t>财库[2014]68 号</w:t>
      </w:r>
      <w:r>
        <w:rPr>
          <w:rFonts w:hint="eastAsia" w:ascii="Times New Roman" w:hAnsi="Times New Roman" w:eastAsia="宋体" w:cs="宋体"/>
          <w:lang w:eastAsia="zh-CN"/>
        </w:rPr>
        <w:t>）</w:t>
      </w:r>
      <w:r>
        <w:rPr>
          <w:rFonts w:ascii="Times New Roman" w:hAnsi="Times New Roman" w:eastAsia="宋体" w:cs="宋体"/>
          <w:lang w:eastAsia="zh-CN"/>
        </w:rPr>
        <w:t xml:space="preserve">的规定，在政府采购活动中，监狱企业视同小型、微型企业，享受预留份额、评审中价 格扣除等政府采购促进中小企业发展的政府采购政策。监狱企业应当提供由省级以上监狱管 </w:t>
      </w:r>
      <w:r>
        <w:rPr>
          <w:rFonts w:ascii="Times New Roman" w:hAnsi="Times New Roman" w:eastAsia="黑体" w:cs="黑体"/>
          <w:lang w:eastAsia="zh-CN"/>
        </w:rPr>
        <w:t>理局、戒毒管理局</w:t>
      </w:r>
      <w:r>
        <w:rPr>
          <w:rFonts w:hint="eastAsia" w:ascii="Times New Roman" w:hAnsi="Times New Roman" w:eastAsia="黑体" w:cs="黑体"/>
          <w:lang w:eastAsia="zh-CN"/>
        </w:rPr>
        <w:t>（</w:t>
      </w:r>
      <w:r>
        <w:rPr>
          <w:rFonts w:ascii="Times New Roman" w:hAnsi="Times New Roman" w:eastAsia="黑体" w:cs="黑体"/>
          <w:lang w:eastAsia="zh-CN"/>
        </w:rPr>
        <w:t>含新疆生产建设兵团</w:t>
      </w:r>
      <w:r>
        <w:rPr>
          <w:rFonts w:hint="eastAsia" w:ascii="Times New Roman" w:hAnsi="Times New Roman" w:eastAsia="黑体" w:cs="黑体"/>
          <w:lang w:eastAsia="zh-CN"/>
        </w:rPr>
        <w:t>）</w:t>
      </w:r>
      <w:r>
        <w:rPr>
          <w:rFonts w:ascii="Times New Roman" w:hAnsi="Times New Roman" w:eastAsia="黑体" w:cs="黑体"/>
          <w:lang w:eastAsia="zh-CN"/>
        </w:rPr>
        <w:t>出具的属于监狱企业的证明文件。</w:t>
      </w:r>
    </w:p>
    <w:p w14:paraId="318C0430">
      <w:pPr>
        <w:spacing w:line="360" w:lineRule="auto"/>
        <w:ind w:right="58" w:firstLine="540"/>
        <w:rPr>
          <w:rFonts w:ascii="Times New Roman" w:hAnsi="Times New Roman" w:eastAsia="宋体" w:cs="宋体"/>
          <w:lang w:eastAsia="zh-CN"/>
        </w:rPr>
      </w:pPr>
      <w:r>
        <w:rPr>
          <w:rFonts w:hint="eastAsia" w:ascii="Times New Roman" w:hAnsi="Times New Roman" w:eastAsia="黑体" w:cs="黑体"/>
          <w:lang w:eastAsia="zh-CN"/>
        </w:rPr>
        <w:t>（</w:t>
      </w:r>
      <w:r>
        <w:rPr>
          <w:rFonts w:ascii="Times New Roman" w:hAnsi="Times New Roman" w:eastAsia="黑体" w:cs="黑体"/>
          <w:lang w:eastAsia="zh-CN"/>
        </w:rPr>
        <w:t>七</w:t>
      </w:r>
      <w:r>
        <w:rPr>
          <w:rFonts w:hint="eastAsia" w:ascii="Times New Roman" w:hAnsi="Times New Roman" w:eastAsia="黑体" w:cs="黑体"/>
          <w:lang w:eastAsia="zh-CN"/>
        </w:rPr>
        <w:t>）</w:t>
      </w:r>
      <w:r>
        <w:rPr>
          <w:rFonts w:ascii="Times New Roman" w:hAnsi="Times New Roman" w:eastAsia="黑体" w:cs="黑体"/>
          <w:lang w:eastAsia="zh-CN"/>
        </w:rPr>
        <w:t>按照《三部门联合发布关于促进残疾人就业政府采购政策的通知》</w:t>
      </w:r>
      <w:r>
        <w:rPr>
          <w:rFonts w:hint="eastAsia" w:ascii="Times New Roman" w:hAnsi="Times New Roman" w:eastAsia="黑体" w:cs="黑体"/>
          <w:lang w:eastAsia="zh-CN"/>
        </w:rPr>
        <w:t>（</w:t>
      </w:r>
      <w:r>
        <w:rPr>
          <w:rFonts w:ascii="Times New Roman" w:hAnsi="Times New Roman" w:eastAsia="黑体" w:cs="黑体"/>
          <w:lang w:eastAsia="zh-CN"/>
        </w:rPr>
        <w:t xml:space="preserve">财库〔2017〕 </w:t>
      </w:r>
      <w:r>
        <w:rPr>
          <w:rFonts w:ascii="Times New Roman" w:hAnsi="Times New Roman" w:eastAsia="宋体" w:cs="宋体"/>
          <w:lang w:eastAsia="zh-CN"/>
        </w:rPr>
        <w:t>141号</w:t>
      </w:r>
      <w:r>
        <w:rPr>
          <w:rFonts w:hint="eastAsia" w:ascii="Times New Roman" w:hAnsi="Times New Roman" w:eastAsia="宋体" w:cs="宋体"/>
          <w:lang w:eastAsia="zh-CN"/>
        </w:rPr>
        <w:t>）</w:t>
      </w:r>
      <w:r>
        <w:rPr>
          <w:rFonts w:ascii="Times New Roman" w:hAnsi="Times New Roman" w:eastAsia="宋体" w:cs="宋体"/>
          <w:lang w:eastAsia="zh-CN"/>
        </w:rPr>
        <w:t>的规定，在政府采购活动中，残疾人福利性单位视同小型、微</w:t>
      </w:r>
      <w:r>
        <w:rPr>
          <w:rFonts w:ascii="Times New Roman" w:hAnsi="Times New Roman" w:eastAsia="宋体" w:cs="宋体"/>
          <w:u w:val="single"/>
          <w:lang w:eastAsia="zh-CN"/>
        </w:rPr>
        <w:t>型企业</w:t>
      </w:r>
      <w:r>
        <w:rPr>
          <w:rFonts w:ascii="Times New Roman" w:hAnsi="Times New Roman" w:eastAsia="宋体" w:cs="宋体"/>
          <w:lang w:eastAsia="zh-CN"/>
        </w:rPr>
        <w:t>，享受预留份  额、评审中价格扣除等促进中小企业发展的政府采购政策。符合条件的残疾人福利性单位在 参加政府采购活动时，应当提供财库〔2017〕141号文规定的《残疾人福利性单位声明函》, 并对声明的真实性负责。经评委会审核确认供应商符合残疾人福利性单位条件的，在评定时 视同中小企业。残疾人福利性单位属于小型、微型企业的，不重复享受政策。</w:t>
      </w:r>
    </w:p>
    <w:p w14:paraId="2F90DCA2">
      <w:pPr>
        <w:spacing w:line="360" w:lineRule="auto"/>
        <w:ind w:right="64"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八</w:t>
      </w:r>
      <w:r>
        <w:rPr>
          <w:rFonts w:hint="eastAsia" w:ascii="Times New Roman" w:hAnsi="Times New Roman" w:eastAsia="宋体" w:cs="宋体"/>
          <w:lang w:eastAsia="zh-CN"/>
        </w:rPr>
        <w:t>）</w:t>
      </w:r>
      <w:r>
        <w:rPr>
          <w:rFonts w:ascii="Times New Roman" w:hAnsi="Times New Roman" w:eastAsia="宋体" w:cs="宋体"/>
          <w:lang w:eastAsia="zh-CN"/>
        </w:rPr>
        <w:t>价格扣除的依据：第</w:t>
      </w:r>
      <w:r>
        <w:rPr>
          <w:rFonts w:hint="eastAsia" w:ascii="Times New Roman" w:hAnsi="Times New Roman" w:eastAsia="宋体" w:cs="宋体"/>
          <w:lang w:eastAsia="zh-CN"/>
        </w:rPr>
        <w:t>（</w:t>
      </w:r>
      <w:r>
        <w:rPr>
          <w:rFonts w:ascii="Times New Roman" w:hAnsi="Times New Roman" w:eastAsia="宋体" w:cs="宋体"/>
          <w:lang w:eastAsia="zh-CN"/>
        </w:rPr>
        <w:t>一</w:t>
      </w:r>
      <w:r>
        <w:rPr>
          <w:rFonts w:hint="eastAsia" w:ascii="Times New Roman" w:hAnsi="Times New Roman" w:eastAsia="宋体" w:cs="宋体"/>
          <w:lang w:eastAsia="zh-CN"/>
        </w:rPr>
        <w:t>）</w:t>
      </w:r>
      <w:r>
        <w:rPr>
          <w:rFonts w:ascii="Times New Roman" w:hAnsi="Times New Roman" w:eastAsia="宋体" w:cs="宋体"/>
          <w:lang w:eastAsia="zh-CN"/>
        </w:rPr>
        <w:t>至</w:t>
      </w:r>
      <w:r>
        <w:rPr>
          <w:rFonts w:hint="eastAsia" w:ascii="Times New Roman" w:hAnsi="Times New Roman" w:eastAsia="宋体" w:cs="宋体"/>
          <w:lang w:eastAsia="zh-CN"/>
        </w:rPr>
        <w:t>（</w:t>
      </w:r>
      <w:r>
        <w:rPr>
          <w:rFonts w:ascii="Times New Roman" w:hAnsi="Times New Roman" w:eastAsia="宋体" w:cs="宋体"/>
          <w:lang w:eastAsia="zh-CN"/>
        </w:rPr>
        <w:t>四</w:t>
      </w:r>
      <w:r>
        <w:rPr>
          <w:rFonts w:hint="eastAsia" w:ascii="Times New Roman" w:hAnsi="Times New Roman" w:eastAsia="宋体" w:cs="宋体"/>
          <w:lang w:eastAsia="zh-CN"/>
        </w:rPr>
        <w:t>）</w:t>
      </w:r>
      <w:r>
        <w:rPr>
          <w:rFonts w:ascii="Times New Roman" w:hAnsi="Times New Roman" w:eastAsia="宋体" w:cs="宋体"/>
          <w:lang w:eastAsia="zh-CN"/>
        </w:rPr>
        <w:t>条提供投标货物相关认证证书复印件加盖供 应商公章。第</w:t>
      </w:r>
      <w:r>
        <w:rPr>
          <w:rFonts w:hint="eastAsia" w:ascii="Times New Roman" w:hAnsi="Times New Roman" w:eastAsia="宋体" w:cs="宋体"/>
          <w:lang w:eastAsia="zh-CN"/>
        </w:rPr>
        <w:t>（</w:t>
      </w:r>
      <w:r>
        <w:rPr>
          <w:rFonts w:ascii="Times New Roman" w:hAnsi="Times New Roman" w:eastAsia="宋体" w:cs="宋体"/>
          <w:lang w:eastAsia="zh-CN"/>
        </w:rPr>
        <w:t>五</w:t>
      </w:r>
      <w:r>
        <w:rPr>
          <w:rFonts w:hint="eastAsia" w:ascii="Times New Roman" w:hAnsi="Times New Roman" w:eastAsia="宋体" w:cs="宋体"/>
          <w:lang w:eastAsia="zh-CN"/>
        </w:rPr>
        <w:t>）</w:t>
      </w:r>
      <w:r>
        <w:rPr>
          <w:rFonts w:ascii="Times New Roman" w:hAnsi="Times New Roman" w:eastAsia="宋体" w:cs="宋体"/>
          <w:lang w:eastAsia="zh-CN"/>
        </w:rPr>
        <w:t>条属于中小微企业投标的应按照关于印发《政府采购促进中小企业发展 管理办法》的通知</w:t>
      </w:r>
      <w:r>
        <w:rPr>
          <w:rFonts w:hint="eastAsia" w:ascii="Times New Roman" w:hAnsi="Times New Roman" w:eastAsia="宋体" w:cs="宋体"/>
          <w:lang w:eastAsia="zh-CN"/>
        </w:rPr>
        <w:t>（</w:t>
      </w:r>
      <w:r>
        <w:rPr>
          <w:rFonts w:ascii="Times New Roman" w:hAnsi="Times New Roman" w:eastAsia="宋体" w:cs="宋体"/>
          <w:lang w:eastAsia="zh-CN"/>
        </w:rPr>
        <w:t>财库〔2020〕46号</w:t>
      </w:r>
      <w:r>
        <w:rPr>
          <w:rFonts w:hint="eastAsia" w:ascii="Times New Roman" w:hAnsi="Times New Roman" w:eastAsia="宋体" w:cs="宋体"/>
          <w:lang w:eastAsia="zh-CN"/>
        </w:rPr>
        <w:t>）</w:t>
      </w:r>
      <w:r>
        <w:rPr>
          <w:rFonts w:ascii="Times New Roman" w:hAnsi="Times New Roman" w:eastAsia="宋体" w:cs="宋体"/>
          <w:lang w:eastAsia="zh-CN"/>
        </w:rPr>
        <w:t>附1中小企业声明函</w:t>
      </w:r>
      <w:r>
        <w:rPr>
          <w:rFonts w:hint="eastAsia" w:ascii="Times New Roman" w:hAnsi="Times New Roman" w:eastAsia="宋体" w:cs="宋体"/>
          <w:lang w:eastAsia="zh-CN"/>
        </w:rPr>
        <w:t>（</w:t>
      </w:r>
      <w:r>
        <w:rPr>
          <w:rFonts w:ascii="Times New Roman" w:hAnsi="Times New Roman" w:eastAsia="宋体" w:cs="宋体"/>
          <w:lang w:eastAsia="zh-CN"/>
        </w:rPr>
        <w:t>工程、服务</w:t>
      </w:r>
      <w:r>
        <w:rPr>
          <w:rFonts w:hint="eastAsia" w:ascii="Times New Roman" w:hAnsi="Times New Roman" w:eastAsia="宋体" w:cs="宋体"/>
          <w:lang w:eastAsia="zh-CN"/>
        </w:rPr>
        <w:t>）</w:t>
      </w:r>
      <w:r>
        <w:rPr>
          <w:rFonts w:ascii="Times New Roman" w:hAnsi="Times New Roman" w:eastAsia="宋体" w:cs="宋体"/>
          <w:lang w:eastAsia="zh-CN"/>
        </w:rPr>
        <w:t>格式规定提供 格式正确的《中小企业声明函》,第</w:t>
      </w:r>
      <w:r>
        <w:rPr>
          <w:rFonts w:hint="eastAsia" w:ascii="Times New Roman" w:hAnsi="Times New Roman" w:eastAsia="宋体" w:cs="宋体"/>
          <w:lang w:eastAsia="zh-CN"/>
        </w:rPr>
        <w:t>（</w:t>
      </w:r>
      <w:r>
        <w:rPr>
          <w:rFonts w:ascii="Times New Roman" w:hAnsi="Times New Roman" w:eastAsia="宋体" w:cs="宋体"/>
          <w:lang w:eastAsia="zh-CN"/>
        </w:rPr>
        <w:t>六</w:t>
      </w:r>
      <w:r>
        <w:rPr>
          <w:rFonts w:hint="eastAsia" w:ascii="Times New Roman" w:hAnsi="Times New Roman" w:eastAsia="宋体" w:cs="宋体"/>
          <w:lang w:eastAsia="zh-CN"/>
        </w:rPr>
        <w:t>）</w:t>
      </w:r>
      <w:r>
        <w:rPr>
          <w:rFonts w:ascii="Times New Roman" w:hAnsi="Times New Roman" w:eastAsia="宋体" w:cs="宋体"/>
          <w:lang w:eastAsia="zh-CN"/>
        </w:rPr>
        <w:t>条提供符合该文件要求且格式正确的《监狱企业 证明</w:t>
      </w:r>
      <w:r>
        <w:rPr>
          <w:rFonts w:ascii="Times New Roman" w:hAnsi="Times New Roman" w:eastAsia="宋体" w:cs="宋体"/>
          <w:b/>
          <w:bCs/>
          <w:lang w:eastAsia="zh-CN"/>
        </w:rPr>
        <w:t>文件》,第</w:t>
      </w:r>
      <w:r>
        <w:rPr>
          <w:rFonts w:hint="eastAsia" w:ascii="Times New Roman" w:hAnsi="Times New Roman" w:eastAsia="宋体" w:cs="宋体"/>
          <w:b/>
          <w:bCs/>
          <w:lang w:eastAsia="zh-CN"/>
        </w:rPr>
        <w:t>（</w:t>
      </w:r>
      <w:r>
        <w:rPr>
          <w:rFonts w:ascii="Times New Roman" w:hAnsi="Times New Roman" w:eastAsia="宋体" w:cs="宋体"/>
          <w:b/>
          <w:bCs/>
          <w:lang w:eastAsia="zh-CN"/>
        </w:rPr>
        <w:t>七</w:t>
      </w:r>
      <w:r>
        <w:rPr>
          <w:rFonts w:hint="eastAsia" w:ascii="Times New Roman" w:hAnsi="Times New Roman" w:eastAsia="宋体" w:cs="宋体"/>
          <w:b/>
          <w:bCs/>
          <w:lang w:eastAsia="zh-CN"/>
        </w:rPr>
        <w:t>）</w:t>
      </w:r>
      <w:r>
        <w:rPr>
          <w:rFonts w:ascii="Times New Roman" w:hAnsi="Times New Roman" w:eastAsia="宋体" w:cs="宋体"/>
          <w:b/>
          <w:bCs/>
          <w:lang w:eastAsia="zh-CN"/>
        </w:rPr>
        <w:t>条提供符合该文件要求且格式正确的《残疾人福利性单位声明函》。不提供相应证明文件或提供的证明文件格式不正确，则不享受政府采购中小企业扶持政策。</w:t>
      </w:r>
    </w:p>
    <w:p w14:paraId="20921B3B">
      <w:pPr>
        <w:spacing w:line="360" w:lineRule="auto"/>
        <w:ind w:left="3" w:right="97" w:firstLine="540"/>
        <w:rPr>
          <w:rFonts w:ascii="Times New Roman" w:hAnsi="Times New Roman" w:eastAsia="宋体" w:cs="宋体"/>
          <w:lang w:eastAsia="zh-CN"/>
        </w:rPr>
      </w:pPr>
      <w:r>
        <w:rPr>
          <w:rFonts w:hint="eastAsia" w:ascii="Times New Roman" w:hAnsi="Times New Roman" w:eastAsia="宋体" w:cs="宋体"/>
          <w:b/>
          <w:bCs/>
          <w:lang w:eastAsia="zh-CN"/>
        </w:rPr>
        <w:t>（</w:t>
      </w:r>
      <w:r>
        <w:rPr>
          <w:rFonts w:ascii="Times New Roman" w:hAnsi="Times New Roman" w:eastAsia="宋体" w:cs="宋体"/>
          <w:b/>
          <w:bCs/>
          <w:lang w:eastAsia="zh-CN"/>
        </w:rPr>
        <w:t>九</w:t>
      </w:r>
      <w:r>
        <w:rPr>
          <w:rFonts w:hint="eastAsia" w:ascii="Times New Roman" w:hAnsi="Times New Roman" w:eastAsia="宋体" w:cs="宋体"/>
          <w:b/>
          <w:bCs/>
          <w:lang w:eastAsia="zh-CN"/>
        </w:rPr>
        <w:t>）</w:t>
      </w:r>
      <w:r>
        <w:rPr>
          <w:rFonts w:ascii="Times New Roman" w:hAnsi="Times New Roman" w:eastAsia="宋体" w:cs="宋体"/>
          <w:b/>
          <w:bCs/>
          <w:lang w:eastAsia="zh-CN"/>
        </w:rPr>
        <w:t>依据《政府采购促进中小企业发展政策问答》文件要求，专门面向中小企业采购的项目或者采购包，不再执行价格评审优惠的扶持政策。</w:t>
      </w:r>
    </w:p>
    <w:p w14:paraId="1B41E30D">
      <w:pPr>
        <w:spacing w:line="360" w:lineRule="auto"/>
        <w:rPr>
          <w:rFonts w:ascii="Times New Roman" w:hAnsi="Times New Roman" w:eastAsia="宋体" w:cs="宋体"/>
          <w:lang w:eastAsia="zh-CN"/>
        </w:rPr>
        <w:sectPr>
          <w:footerReference r:id="rId14" w:type="default"/>
          <w:pgSz w:w="11905" w:h="16838"/>
          <w:pgMar w:top="1134" w:right="1134" w:bottom="1134" w:left="1134" w:header="0" w:footer="1043" w:gutter="0"/>
          <w:cols w:space="0" w:num="1"/>
        </w:sectPr>
      </w:pPr>
    </w:p>
    <w:p w14:paraId="79458152">
      <w:pPr>
        <w:spacing w:beforeLines="100" w:afterLines="100" w:line="360" w:lineRule="auto"/>
        <w:jc w:val="center"/>
        <w:rPr>
          <w:rFonts w:ascii="Times New Roman" w:hAnsi="Times New Roman" w:eastAsia="宋体" w:cs="宋体"/>
          <w:b/>
          <w:bCs/>
          <w:sz w:val="24"/>
          <w:szCs w:val="24"/>
          <w:lang w:eastAsia="zh-CN"/>
        </w:rPr>
      </w:pPr>
      <w:r>
        <w:rPr>
          <w:rFonts w:ascii="Times New Roman" w:hAnsi="Times New Roman" w:eastAsia="宋体" w:cs="宋体"/>
          <w:b/>
          <w:bCs/>
          <w:sz w:val="24"/>
          <w:szCs w:val="24"/>
          <w:lang w:eastAsia="zh-CN"/>
        </w:rPr>
        <w:t>关于进一步加大政府采购支持中小企业力度的通知</w:t>
      </w:r>
    </w:p>
    <w:p w14:paraId="4F99E541">
      <w:pPr>
        <w:spacing w:line="360" w:lineRule="auto"/>
        <w:jc w:val="center"/>
        <w:rPr>
          <w:rFonts w:ascii="Times New Roman" w:hAnsi="Times New Roman" w:eastAsia="宋体" w:cs="宋体"/>
          <w:lang w:eastAsia="zh-CN"/>
        </w:rPr>
      </w:pPr>
      <w:r>
        <w:rPr>
          <w:rFonts w:ascii="Times New Roman" w:hAnsi="Times New Roman" w:eastAsia="宋体" w:cs="宋体"/>
          <w:lang w:eastAsia="zh-CN"/>
        </w:rPr>
        <w:t>财库〔2022〕19号</w:t>
      </w:r>
    </w:p>
    <w:p w14:paraId="6336B42A">
      <w:pPr>
        <w:pStyle w:val="4"/>
        <w:rPr>
          <w:lang w:eastAsia="zh-CN"/>
        </w:rPr>
      </w:pPr>
    </w:p>
    <w:p w14:paraId="3187FFBF">
      <w:pPr>
        <w:spacing w:line="360" w:lineRule="auto"/>
        <w:ind w:left="4" w:right="76" w:firstLine="419"/>
        <w:rPr>
          <w:rFonts w:ascii="Times New Roman" w:hAnsi="Times New Roman" w:eastAsia="宋体" w:cs="宋体"/>
          <w:lang w:eastAsia="zh-CN"/>
        </w:rPr>
      </w:pPr>
      <w:r>
        <w:rPr>
          <w:rFonts w:ascii="Times New Roman" w:hAnsi="Times New Roman" w:eastAsia="宋体" w:cs="宋体"/>
          <w:lang w:eastAsia="zh-CN"/>
        </w:rPr>
        <w:t>各中央预算单位，各省、自治区、直辖市、计划单列市财政厅</w:t>
      </w:r>
      <w:r>
        <w:rPr>
          <w:rFonts w:hint="eastAsia" w:ascii="Times New Roman" w:hAnsi="Times New Roman" w:eastAsia="宋体" w:cs="宋体"/>
          <w:lang w:eastAsia="zh-CN"/>
        </w:rPr>
        <w:t>（</w:t>
      </w:r>
      <w:r>
        <w:rPr>
          <w:rFonts w:ascii="Times New Roman" w:hAnsi="Times New Roman" w:eastAsia="宋体" w:cs="宋体"/>
          <w:lang w:eastAsia="zh-CN"/>
        </w:rPr>
        <w:t>局</w:t>
      </w:r>
      <w:r>
        <w:rPr>
          <w:rFonts w:hint="eastAsia" w:ascii="Times New Roman" w:hAnsi="Times New Roman" w:eastAsia="宋体" w:cs="宋体"/>
          <w:lang w:eastAsia="zh-CN"/>
        </w:rPr>
        <w:t>）</w:t>
      </w:r>
      <w:r>
        <w:rPr>
          <w:rFonts w:ascii="Times New Roman" w:hAnsi="Times New Roman" w:eastAsia="宋体" w:cs="宋体"/>
          <w:lang w:eastAsia="zh-CN"/>
        </w:rPr>
        <w:t>,新疆生产建设兵 团财政局：</w:t>
      </w:r>
    </w:p>
    <w:p w14:paraId="1B957835">
      <w:pPr>
        <w:spacing w:line="360" w:lineRule="auto"/>
        <w:ind w:left="4" w:right="70" w:firstLine="419"/>
        <w:rPr>
          <w:rFonts w:ascii="Times New Roman" w:hAnsi="Times New Roman" w:eastAsia="宋体" w:cs="宋体"/>
          <w:lang w:eastAsia="zh-CN"/>
        </w:rPr>
      </w:pPr>
      <w:r>
        <w:rPr>
          <w:rFonts w:ascii="Times New Roman" w:hAnsi="Times New Roman" w:eastAsia="宋体" w:cs="宋体"/>
          <w:lang w:eastAsia="zh-CN"/>
        </w:rPr>
        <w:t>为贯彻落实《国务院关于印发扎实稳住经济一揽子政策措施的通知》</w:t>
      </w:r>
      <w:r>
        <w:rPr>
          <w:rFonts w:hint="eastAsia" w:ascii="Times New Roman" w:hAnsi="Times New Roman" w:eastAsia="宋体" w:cs="宋体"/>
          <w:lang w:eastAsia="zh-CN"/>
        </w:rPr>
        <w:t>（</w:t>
      </w:r>
      <w:r>
        <w:rPr>
          <w:rFonts w:ascii="Times New Roman" w:hAnsi="Times New Roman" w:eastAsia="宋体" w:cs="宋体"/>
          <w:lang w:eastAsia="zh-CN"/>
        </w:rPr>
        <w:t>国发〔2022〕12 号</w:t>
      </w:r>
      <w:r>
        <w:rPr>
          <w:rFonts w:hint="eastAsia" w:ascii="Times New Roman" w:hAnsi="Times New Roman" w:eastAsia="宋体" w:cs="宋体"/>
          <w:lang w:eastAsia="zh-CN"/>
        </w:rPr>
        <w:t>）</w:t>
      </w:r>
      <w:r>
        <w:rPr>
          <w:rFonts w:ascii="Times New Roman" w:hAnsi="Times New Roman" w:eastAsia="宋体" w:cs="宋体"/>
          <w:lang w:eastAsia="zh-CN"/>
        </w:rPr>
        <w:t>有关要求，做好财政政策支持中小企业纾困解难工作，助力经济平稳健康发展，现就加 大政府采购支持中小企业力度有关事项通知如下：</w:t>
      </w:r>
    </w:p>
    <w:p w14:paraId="7CDB77E5">
      <w:pPr>
        <w:spacing w:line="360" w:lineRule="auto"/>
        <w:ind w:left="4" w:firstLine="419"/>
        <w:rPr>
          <w:rFonts w:ascii="Times New Roman" w:hAnsi="Times New Roman" w:eastAsia="宋体" w:cs="宋体"/>
          <w:lang w:eastAsia="zh-CN"/>
        </w:rPr>
      </w:pPr>
      <w:r>
        <w:rPr>
          <w:rFonts w:ascii="Times New Roman" w:hAnsi="Times New Roman" w:eastAsia="宋体" w:cs="宋体"/>
          <w:lang w:eastAsia="zh-CN"/>
        </w:rPr>
        <w:t>一、严格落实支持中小企业政府采购政策。各地区、各部门要按照国务院的统一部署， 认真落实《政府采购促进中小企业发展管理办法》</w:t>
      </w:r>
      <w:r>
        <w:rPr>
          <w:rFonts w:hint="eastAsia" w:ascii="Times New Roman" w:hAnsi="Times New Roman" w:eastAsia="宋体" w:cs="宋体"/>
          <w:lang w:eastAsia="zh-CN"/>
        </w:rPr>
        <w:t>（</w:t>
      </w:r>
      <w:r>
        <w:rPr>
          <w:rFonts w:ascii="Times New Roman" w:hAnsi="Times New Roman" w:eastAsia="宋体" w:cs="宋体"/>
          <w:lang w:eastAsia="zh-CN"/>
        </w:rPr>
        <w:t>财库〔2020〕46号</w:t>
      </w:r>
      <w:r>
        <w:rPr>
          <w:rFonts w:hint="eastAsia" w:ascii="Times New Roman" w:hAnsi="Times New Roman" w:eastAsia="宋体" w:cs="宋体"/>
          <w:lang w:eastAsia="zh-CN"/>
        </w:rPr>
        <w:t>）</w:t>
      </w:r>
      <w:r>
        <w:rPr>
          <w:rFonts w:ascii="Times New Roman" w:hAnsi="Times New Roman" w:eastAsia="宋体" w:cs="宋体"/>
          <w:lang w:eastAsia="zh-CN"/>
        </w:rPr>
        <w:t>的规定，规范资格 条件设置，降低中小企业参与门槛，灵活采取项目整体预留、合理预留采购包、要求大企业 与中小企业组成联合体、要求大</w:t>
      </w:r>
      <w:r>
        <w:rPr>
          <w:rFonts w:ascii="Times New Roman" w:hAnsi="Times New Roman" w:eastAsia="宋体" w:cs="宋体"/>
          <w:u w:val="single"/>
          <w:lang w:eastAsia="zh-CN"/>
        </w:rPr>
        <w:t>企业</w:t>
      </w:r>
      <w:r>
        <w:rPr>
          <w:rFonts w:ascii="Times New Roman" w:hAnsi="Times New Roman" w:eastAsia="宋体" w:cs="宋体"/>
          <w:lang w:eastAsia="zh-CN"/>
        </w:rPr>
        <w:t>向中小企业分包等形式，确保中小企业合同份额。要通 过提高预付款比例、引入信用担保、支持中小企业开展合同融资、免费提供电子采购文件等 方式，为中小企业参与采购活动提供便利。要严格按规定及时支付采购资金，不得收取没有 法律法规依据的保证金，有效减轻中小企业资金压力。</w:t>
      </w:r>
    </w:p>
    <w:p w14:paraId="1C7B9B9B">
      <w:pPr>
        <w:spacing w:line="360" w:lineRule="auto"/>
        <w:ind w:left="4" w:right="74" w:firstLine="419"/>
        <w:rPr>
          <w:rFonts w:ascii="Times New Roman" w:hAnsi="Times New Roman" w:eastAsia="宋体" w:cs="宋体"/>
          <w:lang w:eastAsia="zh-CN"/>
        </w:rPr>
      </w:pPr>
      <w:r>
        <w:rPr>
          <w:rFonts w:ascii="Times New Roman" w:hAnsi="Times New Roman" w:eastAsia="宋体" w:cs="宋体"/>
          <w:lang w:eastAsia="zh-CN"/>
        </w:rPr>
        <w:t>二、调整对小微企业的价格评审优惠幅度。货物服务采购项目给予小微企业的价格扣除 优惠，由财库〔2020〕46号文件规定的6%—10%提高至10%—20%。大中</w:t>
      </w:r>
      <w:r>
        <w:rPr>
          <w:rFonts w:ascii="Times New Roman" w:hAnsi="Times New Roman" w:eastAsia="宋体" w:cs="宋体"/>
          <w:u w:val="single"/>
          <w:lang w:eastAsia="zh-CN"/>
        </w:rPr>
        <w:t>型企业</w:t>
      </w:r>
      <w:r>
        <w:rPr>
          <w:rFonts w:ascii="Times New Roman" w:hAnsi="Times New Roman" w:eastAsia="宋体" w:cs="宋体"/>
          <w:lang w:eastAsia="zh-CN"/>
        </w:rPr>
        <w:t>与小微企业组 成联合体或者大中型企业向小微企业分包的，评审优惠幅度由2%—3%提高至4%—6%。政府采 购工程的价格评审优惠按照财库〔2020〕46号文件的规定执行。自本通知执行之日起发布采 购公告或者发出采购邀请的货物服务采购项目，按照本通知规定的评审优惠幅度执行。</w:t>
      </w:r>
    </w:p>
    <w:p w14:paraId="575C4D4F">
      <w:pPr>
        <w:spacing w:line="360" w:lineRule="auto"/>
        <w:ind w:left="4" w:right="46" w:firstLine="419"/>
        <w:rPr>
          <w:rFonts w:ascii="Times New Roman" w:hAnsi="Times New Roman" w:eastAsia="宋体" w:cs="宋体"/>
          <w:lang w:eastAsia="zh-CN"/>
        </w:rPr>
      </w:pPr>
      <w:r>
        <w:rPr>
          <w:rFonts w:ascii="Times New Roman" w:hAnsi="Times New Roman" w:eastAsia="宋体" w:cs="宋体"/>
          <w:lang w:eastAsia="zh-CN"/>
        </w:rPr>
        <w:t>三、提高政府采购工程面向中小企业预留份额。400万元以下的工程采购项目适宜由中 小企业提供的，采购人应当专门面向中小企业采购。超过400万元的工程采购项目中适宜由 中小企业提供的，在坚持公开公正、公平竞争原则和统一质量标准的前提下，2022年下半年 面向中小企业的预留份额由30%以上阶段性提高至40%以上。发展改革委会同相关工程招投标 行政监督部门完善工程招投标领域落实政府采购支持中小企业政策相关措施。省级财政部门 要积极协调发展改革、工业和信息化、住房和城乡建设、交通、水利、商务、铁路、民航等 部门调整完善工程招投标领域有关标准文本、评标制度等规定和做法，并于2022年6月30日 前将落实情况汇总报财政部。</w:t>
      </w:r>
    </w:p>
    <w:p w14:paraId="334A35F8">
      <w:pPr>
        <w:spacing w:line="360" w:lineRule="auto"/>
        <w:ind w:left="4" w:right="73" w:firstLine="419"/>
        <w:rPr>
          <w:rFonts w:ascii="Times New Roman" w:hAnsi="Times New Roman" w:eastAsia="宋体" w:cs="宋体"/>
          <w:lang w:eastAsia="zh-CN"/>
        </w:rPr>
      </w:pPr>
      <w:r>
        <w:rPr>
          <w:rFonts w:ascii="Times New Roman" w:hAnsi="Times New Roman" w:eastAsia="宋体" w:cs="宋体"/>
          <w:lang w:eastAsia="zh-CN"/>
        </w:rPr>
        <w:t>四 、认真做好组织实施。各地区、各部门应当加强组织领导，明确工作责任，细化执行 要求，强化监督检查，确保国务院部署落实到位，对通知执行中出现的问题要及时向财政部 报告。</w:t>
      </w:r>
    </w:p>
    <w:p w14:paraId="7514F692">
      <w:pPr>
        <w:spacing w:line="360" w:lineRule="auto"/>
        <w:ind w:left="424"/>
        <w:rPr>
          <w:rFonts w:ascii="Times New Roman" w:hAnsi="Times New Roman" w:eastAsia="宋体" w:cs="宋体"/>
          <w:lang w:eastAsia="zh-CN"/>
        </w:rPr>
      </w:pPr>
    </w:p>
    <w:p w14:paraId="35AF1A2F">
      <w:pPr>
        <w:spacing w:line="360" w:lineRule="auto"/>
        <w:ind w:left="424"/>
        <w:rPr>
          <w:rFonts w:ascii="Times New Roman" w:hAnsi="Times New Roman" w:eastAsia="宋体" w:cs="宋体"/>
          <w:lang w:eastAsia="zh-CN"/>
        </w:rPr>
      </w:pPr>
      <w:r>
        <w:rPr>
          <w:rFonts w:ascii="Times New Roman" w:hAnsi="Times New Roman" w:eastAsia="宋体" w:cs="宋体"/>
          <w:lang w:eastAsia="zh-CN"/>
        </w:rPr>
        <w:t>本通知自2022年7月1日起执行。</w:t>
      </w:r>
    </w:p>
    <w:p w14:paraId="091718B6">
      <w:pPr>
        <w:spacing w:line="360" w:lineRule="auto"/>
        <w:ind w:right="43" w:firstLine="210" w:firstLineChars="100"/>
        <w:jc w:val="center"/>
        <w:rPr>
          <w:rFonts w:ascii="Times New Roman" w:hAnsi="Times New Roman" w:eastAsia="宋体" w:cs="宋体"/>
          <w:lang w:eastAsia="zh-CN"/>
        </w:rPr>
      </w:pPr>
      <w:r>
        <w:rPr>
          <w:rFonts w:ascii="Times New Roman" w:hAnsi="Times New Roman" w:eastAsia="宋体" w:cs="宋体"/>
          <w:lang w:eastAsia="zh-CN"/>
        </w:rPr>
        <w:t>财政部</w:t>
      </w:r>
    </w:p>
    <w:p w14:paraId="3762B946">
      <w:pPr>
        <w:spacing w:line="360" w:lineRule="auto"/>
        <w:ind w:right="43" w:firstLine="210" w:firstLineChars="100"/>
        <w:jc w:val="center"/>
        <w:rPr>
          <w:rFonts w:ascii="Times New Roman" w:hAnsi="Times New Roman" w:eastAsia="宋体" w:cs="宋体"/>
          <w:lang w:eastAsia="zh-CN"/>
        </w:rPr>
      </w:pPr>
      <w:r>
        <w:rPr>
          <w:rFonts w:ascii="Times New Roman" w:hAnsi="Times New Roman" w:eastAsia="宋体" w:cs="宋体"/>
          <w:lang w:eastAsia="zh-CN"/>
        </w:rPr>
        <w:t xml:space="preserve"> 2022年5月30日</w:t>
      </w:r>
    </w:p>
    <w:p w14:paraId="7D7589FB">
      <w:pPr>
        <w:spacing w:line="360" w:lineRule="auto"/>
        <w:rPr>
          <w:rFonts w:ascii="Times New Roman" w:hAnsi="Times New Roman" w:eastAsia="宋体" w:cs="宋体"/>
          <w:lang w:eastAsia="zh-CN"/>
        </w:rPr>
      </w:pPr>
    </w:p>
    <w:p w14:paraId="2E40221B">
      <w:pPr>
        <w:pStyle w:val="4"/>
        <w:rPr>
          <w:lang w:eastAsia="zh-CN"/>
        </w:rPr>
        <w:sectPr>
          <w:footerReference r:id="rId15" w:type="default"/>
          <w:pgSz w:w="11905" w:h="16838"/>
          <w:pgMar w:top="1134" w:right="1134" w:bottom="1134" w:left="1134" w:header="0" w:footer="1043" w:gutter="0"/>
          <w:cols w:space="0" w:num="1"/>
        </w:sectPr>
      </w:pPr>
    </w:p>
    <w:p w14:paraId="41CA1EAD">
      <w:pPr>
        <w:pStyle w:val="5"/>
        <w:spacing w:line="360" w:lineRule="auto"/>
        <w:rPr>
          <w:rFonts w:ascii="Times New Roman" w:hAnsi="Times New Roman"/>
          <w:lang w:eastAsia="zh-CN"/>
        </w:rPr>
      </w:pPr>
    </w:p>
    <w:p w14:paraId="54A83FB1">
      <w:pPr>
        <w:spacing w:line="360" w:lineRule="auto"/>
        <w:jc w:val="center"/>
        <w:rPr>
          <w:rFonts w:ascii="Times New Roman" w:hAnsi="Times New Roman" w:eastAsia="宋体" w:cs="宋体"/>
          <w:b/>
          <w:bCs/>
          <w:sz w:val="28"/>
          <w:szCs w:val="28"/>
          <w:lang w:eastAsia="zh-CN"/>
        </w:rPr>
      </w:pPr>
      <w:r>
        <w:rPr>
          <w:rFonts w:ascii="Times New Roman" w:hAnsi="Times New Roman" w:eastAsia="宋体" w:cs="宋体"/>
          <w:b/>
          <w:bCs/>
          <w:sz w:val="28"/>
          <w:szCs w:val="28"/>
          <w:lang w:eastAsia="zh-CN"/>
        </w:rPr>
        <w:t>关于印发中小企业划型标准规定的通知</w:t>
      </w:r>
    </w:p>
    <w:p w14:paraId="2CD92A5E">
      <w:pPr>
        <w:spacing w:line="360" w:lineRule="auto"/>
        <w:jc w:val="center"/>
        <w:rPr>
          <w:rFonts w:ascii="Times New Roman" w:hAnsi="Times New Roman" w:eastAsia="宋体" w:cs="宋体"/>
          <w:sz w:val="22"/>
          <w:szCs w:val="22"/>
          <w:lang w:eastAsia="zh-CN"/>
        </w:rPr>
      </w:pPr>
    </w:p>
    <w:p w14:paraId="31C82849">
      <w:pPr>
        <w:spacing w:line="360" w:lineRule="auto"/>
        <w:jc w:val="center"/>
        <w:rPr>
          <w:rFonts w:ascii="Times New Roman" w:hAnsi="Times New Roman" w:eastAsia="宋体" w:cs="宋体"/>
          <w:sz w:val="22"/>
          <w:szCs w:val="22"/>
          <w:lang w:eastAsia="zh-CN"/>
        </w:rPr>
      </w:pPr>
      <w:r>
        <w:rPr>
          <w:rFonts w:ascii="Times New Roman" w:hAnsi="Times New Roman" w:eastAsia="宋体" w:cs="宋体"/>
          <w:sz w:val="22"/>
          <w:szCs w:val="22"/>
          <w:lang w:eastAsia="zh-CN"/>
        </w:rPr>
        <w:t>工信部联企业〔2011〕300号</w:t>
      </w:r>
    </w:p>
    <w:p w14:paraId="03F1C91A">
      <w:pPr>
        <w:spacing w:line="360" w:lineRule="auto"/>
        <w:rPr>
          <w:rFonts w:ascii="Times New Roman" w:hAnsi="Times New Roman" w:eastAsia="宋体" w:cs="宋体"/>
          <w:sz w:val="22"/>
          <w:szCs w:val="22"/>
          <w:lang w:eastAsia="zh-CN"/>
        </w:rPr>
      </w:pPr>
    </w:p>
    <w:p w14:paraId="49A0A454">
      <w:pPr>
        <w:spacing w:line="360" w:lineRule="auto"/>
        <w:rPr>
          <w:rFonts w:ascii="Times New Roman" w:hAnsi="Times New Roman" w:eastAsia="宋体" w:cs="宋体"/>
          <w:sz w:val="22"/>
          <w:szCs w:val="22"/>
          <w:lang w:eastAsia="zh-CN"/>
        </w:rPr>
      </w:pPr>
      <w:r>
        <w:rPr>
          <w:rFonts w:ascii="Times New Roman" w:hAnsi="Times New Roman" w:eastAsia="宋体" w:cs="宋体"/>
          <w:sz w:val="22"/>
          <w:szCs w:val="22"/>
          <w:lang w:eastAsia="zh-CN"/>
        </w:rPr>
        <w:t>各省、自治区、直辖市人民政府，国务院各部委、各直属机构及有关单位：</w:t>
      </w:r>
    </w:p>
    <w:p w14:paraId="5800CB9C">
      <w:pPr>
        <w:spacing w:line="360" w:lineRule="auto"/>
        <w:ind w:right="61" w:firstLine="419"/>
        <w:jc w:val="both"/>
        <w:rPr>
          <w:rFonts w:ascii="Times New Roman" w:hAnsi="Times New Roman" w:eastAsia="宋体" w:cs="宋体"/>
          <w:sz w:val="22"/>
          <w:szCs w:val="22"/>
          <w:lang w:eastAsia="zh-CN"/>
        </w:rPr>
      </w:pPr>
      <w:r>
        <w:rPr>
          <w:rFonts w:ascii="Times New Roman" w:hAnsi="Times New Roman" w:eastAsia="宋体" w:cs="宋体"/>
          <w:sz w:val="22"/>
          <w:szCs w:val="22"/>
          <w:lang w:eastAsia="zh-CN"/>
        </w:rPr>
        <w:t>为贯彻落实《中华人民共和国中小企业促进法》和《国务院关于进一步促进中小企业发 展的若干意见》</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国发〔2009〕36号</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,工业和信息化部、国家统计局、发展改革委、财 政部研究制定了《中小企业划型标准规定》。经国务院同意，现印发给你们，请遵照执行。</w:t>
      </w:r>
    </w:p>
    <w:p w14:paraId="55680307">
      <w:pPr>
        <w:spacing w:line="360" w:lineRule="auto"/>
        <w:ind w:left="5409" w:right="1" w:firstLine="200"/>
        <w:jc w:val="right"/>
        <w:rPr>
          <w:rFonts w:ascii="Times New Roman" w:hAnsi="Times New Roman" w:eastAsia="宋体" w:cs="宋体"/>
          <w:sz w:val="22"/>
          <w:szCs w:val="22"/>
          <w:lang w:eastAsia="zh-CN"/>
        </w:rPr>
      </w:pPr>
      <w:r>
        <w:rPr>
          <w:rFonts w:ascii="Times New Roman" w:hAnsi="Times New Roman" w:eastAsia="宋体" w:cs="宋体"/>
          <w:sz w:val="22"/>
          <w:szCs w:val="22"/>
          <w:lang w:eastAsia="zh-CN"/>
        </w:rPr>
        <w:t>工业和信息化部 国家统计局 国家发展和改革委员会 财政部 二〇——年六月十八日</w:t>
      </w:r>
    </w:p>
    <w:p w14:paraId="2C9D63BD">
      <w:pPr>
        <w:spacing w:line="360" w:lineRule="auto"/>
        <w:ind w:left="3140"/>
        <w:rPr>
          <w:rFonts w:ascii="Times New Roman" w:hAnsi="Times New Roman" w:eastAsia="宋体" w:cs="宋体"/>
          <w:sz w:val="22"/>
          <w:szCs w:val="22"/>
          <w:lang w:eastAsia="zh-CN"/>
        </w:rPr>
      </w:pPr>
    </w:p>
    <w:p w14:paraId="36FF9E1E">
      <w:pPr>
        <w:spacing w:line="360" w:lineRule="auto"/>
        <w:ind w:left="3140"/>
        <w:rPr>
          <w:rFonts w:ascii="Times New Roman" w:hAnsi="Times New Roman" w:eastAsia="宋体" w:cs="宋体"/>
          <w:sz w:val="22"/>
          <w:szCs w:val="22"/>
          <w:lang w:eastAsia="zh-CN"/>
        </w:rPr>
      </w:pPr>
      <w:r>
        <w:rPr>
          <w:rFonts w:ascii="Times New Roman" w:hAnsi="Times New Roman" w:eastAsia="宋体" w:cs="宋体"/>
          <w:sz w:val="22"/>
          <w:szCs w:val="22"/>
          <w:lang w:eastAsia="zh-CN"/>
        </w:rPr>
        <w:t>中小企业划型标准规定</w:t>
      </w:r>
    </w:p>
    <w:p w14:paraId="1842707C">
      <w:pPr>
        <w:pStyle w:val="4"/>
        <w:rPr>
          <w:lang w:eastAsia="zh-CN"/>
        </w:rPr>
      </w:pPr>
    </w:p>
    <w:p w14:paraId="26992A5D">
      <w:pPr>
        <w:spacing w:line="360" w:lineRule="auto"/>
        <w:ind w:right="28"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一、根据《中华人民共和国中小企业促进法》和《国务院关于进一步促进中小企业发展 的若干意见》</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国发〔2009〕36号</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,制定本规定。</w:t>
      </w:r>
    </w:p>
    <w:p w14:paraId="673B4502">
      <w:pPr>
        <w:spacing w:line="360" w:lineRule="auto"/>
        <w:ind w:right="61"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二、中小企业划分为中型、小型、微型三种类型，具体标准根据企业从业人员、营业收 入、资产总额等指标，结合行业特点制定。</w:t>
      </w:r>
    </w:p>
    <w:p w14:paraId="42A4E7C2">
      <w:pPr>
        <w:spacing w:line="360" w:lineRule="auto"/>
        <w:ind w:firstLine="419"/>
        <w:rPr>
          <w:rFonts w:ascii="Times New Roman" w:hAnsi="Times New Roman" w:eastAsia="宋体" w:cs="宋体"/>
          <w:sz w:val="22"/>
          <w:szCs w:val="22"/>
          <w:lang w:eastAsia="zh-CN"/>
        </w:rPr>
      </w:pPr>
      <w:r>
        <w:rPr>
          <w:rFonts w:ascii="Times New Roman" w:hAnsi="Times New Roman" w:eastAsia="宋体" w:cs="宋体"/>
          <w:sz w:val="22"/>
          <w:szCs w:val="22"/>
          <w:lang w:eastAsia="zh-CN"/>
        </w:rPr>
        <w:t>三、本规定适用的行业包括：农、林、牧、渔业，工业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包括采矿业，制造业，电力、 热力、燃气及水生产和供应业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,建筑业，批发业，零售业，交通运输业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不含铁路运输业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 仓储业，邮政业，住宿业，餐饮业，信息传输业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包括电信、互联网和相关服务</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,软件和 信息技术服务业，房地产开发经营，物业管理，租赁和商务服务业，其他未列明行业</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包括 科学研究和技术服务业，水利、环境和公共设施管理业，居民服务、修理和其他服务业，社 会工作，文化、体育和娱乐业等</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w:t>
      </w:r>
    </w:p>
    <w:p w14:paraId="26935871">
      <w:pPr>
        <w:spacing w:line="360" w:lineRule="auto"/>
        <w:ind w:left="419"/>
        <w:rPr>
          <w:rFonts w:ascii="Times New Roman" w:hAnsi="Times New Roman" w:eastAsia="宋体" w:cs="宋体"/>
          <w:sz w:val="22"/>
          <w:szCs w:val="22"/>
          <w:lang w:eastAsia="zh-CN"/>
        </w:rPr>
      </w:pPr>
      <w:r>
        <w:rPr>
          <w:rFonts w:ascii="Times New Roman" w:hAnsi="Times New Roman" w:eastAsia="宋体" w:cs="宋体"/>
          <w:sz w:val="22"/>
          <w:szCs w:val="22"/>
          <w:lang w:eastAsia="zh-CN"/>
        </w:rPr>
        <w:t>四、各行业划型标准为：</w:t>
      </w:r>
    </w:p>
    <w:p w14:paraId="5D1DEBDD">
      <w:pPr>
        <w:spacing w:line="360" w:lineRule="auto"/>
        <w:ind w:right="31" w:firstLine="540"/>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一</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农、林、牧、渔业。营业收入20000万元以下的为中小微型企业。其中，营业收 入500万元及以上的为中型企业，营业收入50万元及以上的为小型企业，营业收入50万元 以下的为微型企业。</w:t>
      </w:r>
    </w:p>
    <w:p w14:paraId="2ED317FF">
      <w:pPr>
        <w:spacing w:line="360" w:lineRule="auto"/>
        <w:ind w:right="57" w:firstLine="540"/>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二</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工业。从业人员1000人以下或营业收入40000万元以下的为中小微型企业。其 中，从业人员300人及以上，且营业收入2000万元及以上的为中型企业；从业人员20人及 以上，且营业收入300万元及以上的为小型企业；从业人员20人以下或营业收入300万元 以下的为微型企业。</w:t>
      </w:r>
    </w:p>
    <w:p w14:paraId="4C4699F9">
      <w:pPr>
        <w:spacing w:line="360" w:lineRule="auto"/>
        <w:ind w:firstLine="419"/>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三</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建筑业。营业收入80000万元以下或资产总额80000万元以下的为中小微型企业。 其中，营业收入6000万元及以上，且资产总额5000万元及以上的为中型企业；营业收入 300万元及以上，且资产总额300万元及以上的为小型企业；营业收入300万元以下或资产 总额300万元以下的为微</w:t>
      </w:r>
      <w:r>
        <w:rPr>
          <w:rFonts w:ascii="Times New Roman" w:hAnsi="Times New Roman" w:eastAsia="宋体" w:cs="宋体"/>
          <w:sz w:val="22"/>
          <w:szCs w:val="22"/>
          <w:u w:val="single"/>
          <w:lang w:eastAsia="zh-CN"/>
        </w:rPr>
        <w:t>型企业</w:t>
      </w:r>
      <w:r>
        <w:rPr>
          <w:rFonts w:ascii="Times New Roman" w:hAnsi="Times New Roman" w:eastAsia="宋体" w:cs="宋体"/>
          <w:sz w:val="22"/>
          <w:szCs w:val="22"/>
          <w:lang w:eastAsia="zh-CN"/>
        </w:rPr>
        <w:t>。</w:t>
      </w:r>
    </w:p>
    <w:p w14:paraId="4B600EA0">
      <w:pPr>
        <w:spacing w:line="360" w:lineRule="auto"/>
        <w:ind w:right="63" w:firstLine="419"/>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四</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批发业。从业人员200人以下或营业收入40000万元以下的为中小微型企业。其 中，从业人员20人及以上，且营业收入5000万元及以上的为中型企业；从业人员5人及以 上，且营业收入1000万元及以上的为小型企业；从业人员5人以下或营业收入1000 万元以 下的为微型企业。</w:t>
      </w:r>
    </w:p>
    <w:p w14:paraId="3482D424">
      <w:pPr>
        <w:spacing w:line="360" w:lineRule="auto"/>
        <w:ind w:right="70" w:firstLine="419"/>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五</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零售业。从业人员300人以下或营业收入20000万元以下的为中小</w:t>
      </w:r>
      <w:r>
        <w:rPr>
          <w:rFonts w:ascii="Times New Roman" w:hAnsi="Times New Roman" w:eastAsia="宋体" w:cs="宋体"/>
          <w:sz w:val="22"/>
          <w:szCs w:val="22"/>
          <w:u w:val="single"/>
          <w:lang w:eastAsia="zh-CN"/>
        </w:rPr>
        <w:t>微型企业</w:t>
      </w:r>
      <w:r>
        <w:rPr>
          <w:rFonts w:ascii="Times New Roman" w:hAnsi="Times New Roman" w:eastAsia="宋体" w:cs="宋体"/>
          <w:sz w:val="22"/>
          <w:szCs w:val="22"/>
          <w:lang w:eastAsia="zh-CN"/>
        </w:rPr>
        <w:t>。其 中，从业人员50人及以上，且营业收入500万元及以上的为中型企业；从业人员10人及以 上，且营业收入100万元及以上的为小型企业；从业人员10人以下或营业收入100万元以 下的为微型企业。</w:t>
      </w:r>
    </w:p>
    <w:p w14:paraId="0EE08471">
      <w:pPr>
        <w:spacing w:line="360" w:lineRule="auto"/>
        <w:ind w:right="57" w:firstLine="540"/>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六</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交通运输业。从业人员1000人以下或营业收入30000万元以下的为中小微型企 业。其中，从业人员300人及以上，且营业收入3000万元及以上的为中型企业；从业人员 20人及以上，且营业收入2,000,000.00元及以上的为小型企业；从业人员20人以下或营 业收入2,000,000.00 元以下的为微型企业。</w:t>
      </w:r>
    </w:p>
    <w:p w14:paraId="3B92DD54">
      <w:pPr>
        <w:spacing w:line="360" w:lineRule="auto"/>
        <w:ind w:right="78" w:firstLine="419"/>
        <w:jc w:val="both"/>
        <w:rPr>
          <w:rFonts w:ascii="Times New Roman" w:hAnsi="Times New Roman" w:eastAsia="宋体" w:cs="宋体"/>
          <w:sz w:val="22"/>
          <w:szCs w:val="22"/>
          <w:lang w:eastAsia="zh-CN"/>
        </w:rPr>
      </w:pP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七</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仓储业。从业人员200人以下或营业收入30000万元以下的为中小微型企业。其 中，从业人员100 人及以上，目营业收入1000万元及以上的为中</w:t>
      </w:r>
      <w:r>
        <w:rPr>
          <w:rFonts w:ascii="Times New Roman" w:hAnsi="Times New Roman" w:eastAsia="宋体" w:cs="宋体"/>
          <w:sz w:val="22"/>
          <w:szCs w:val="22"/>
          <w:u w:val="single"/>
          <w:lang w:eastAsia="zh-CN"/>
        </w:rPr>
        <w:t>型企业</w:t>
      </w:r>
      <w:r>
        <w:rPr>
          <w:rFonts w:ascii="Times New Roman" w:hAnsi="Times New Roman" w:eastAsia="宋体" w:cs="宋体"/>
          <w:sz w:val="22"/>
          <w:szCs w:val="22"/>
          <w:lang w:eastAsia="zh-CN"/>
        </w:rPr>
        <w:t>；从业人员20 人及 以上，且营业收入100万元及以上的为小型企业；从业人员20人以下或营业收入100万元 以下的为微型企业。</w:t>
      </w:r>
    </w:p>
    <w:p w14:paraId="746F41BB">
      <w:pPr>
        <w:spacing w:line="360" w:lineRule="auto"/>
        <w:ind w:left="429"/>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八</w:t>
      </w:r>
      <w:r>
        <w:rPr>
          <w:rFonts w:hint="eastAsia" w:ascii="Times New Roman" w:hAnsi="Times New Roman" w:eastAsia="宋体" w:cs="宋体"/>
          <w:lang w:eastAsia="zh-CN"/>
        </w:rPr>
        <w:t>）</w:t>
      </w:r>
      <w:r>
        <w:rPr>
          <w:rFonts w:ascii="Times New Roman" w:hAnsi="Times New Roman" w:eastAsia="宋体" w:cs="宋体"/>
          <w:lang w:eastAsia="zh-CN"/>
        </w:rPr>
        <w:t>邮政业。从业人员1000人以下或营业收入30000万元以下的为中小微型企业。</w:t>
      </w:r>
    </w:p>
    <w:p w14:paraId="6ACE658E">
      <w:pPr>
        <w:spacing w:line="360" w:lineRule="auto"/>
        <w:ind w:right="94"/>
        <w:rPr>
          <w:rFonts w:ascii="Times New Roman" w:hAnsi="Times New Roman" w:eastAsia="宋体" w:cs="宋体"/>
          <w:lang w:eastAsia="zh-CN"/>
        </w:rPr>
      </w:pPr>
      <w:r>
        <w:rPr>
          <w:rFonts w:ascii="Times New Roman" w:hAnsi="Times New Roman" w:eastAsia="宋体" w:cs="宋体"/>
          <w:lang w:eastAsia="zh-CN"/>
        </w:rPr>
        <w:t>其中，从业人员300人及以上，且营业收入2000万元及以上的为中型企业；从业人员20 人及以上，且营业收入100万元及以上的为小型企业；从业人员20人以下或营业收入100</w:t>
      </w:r>
    </w:p>
    <w:p w14:paraId="17E523AA">
      <w:pPr>
        <w:spacing w:line="360" w:lineRule="auto"/>
        <w:ind w:left="3"/>
        <w:rPr>
          <w:rFonts w:ascii="Times New Roman" w:hAnsi="Times New Roman" w:eastAsia="宋体" w:cs="宋体"/>
          <w:lang w:eastAsia="zh-CN"/>
        </w:rPr>
      </w:pPr>
      <w:r>
        <w:rPr>
          <w:rFonts w:ascii="Times New Roman" w:hAnsi="Times New Roman" w:eastAsia="宋体" w:cs="宋体"/>
          <w:b/>
          <w:bCs/>
          <w:lang w:eastAsia="zh-CN"/>
        </w:rPr>
        <w:t>万元以下的为微型企业。</w:t>
      </w:r>
    </w:p>
    <w:p w14:paraId="74325F86">
      <w:pPr>
        <w:spacing w:line="360" w:lineRule="auto"/>
        <w:ind w:right="93" w:firstLine="429"/>
        <w:jc w:val="both"/>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九</w:t>
      </w:r>
      <w:r>
        <w:rPr>
          <w:rFonts w:hint="eastAsia" w:ascii="Times New Roman" w:hAnsi="Times New Roman" w:eastAsia="宋体" w:cs="宋体"/>
          <w:lang w:eastAsia="zh-CN"/>
        </w:rPr>
        <w:t>）</w:t>
      </w:r>
      <w:r>
        <w:rPr>
          <w:rFonts w:ascii="Times New Roman" w:hAnsi="Times New Roman" w:eastAsia="宋体" w:cs="宋体"/>
          <w:lang w:eastAsia="zh-CN"/>
        </w:rPr>
        <w:t>住宿业。从业人员300人以下或营业收入10000万元以下的为中小</w:t>
      </w:r>
      <w:r>
        <w:rPr>
          <w:rFonts w:ascii="Times New Roman" w:hAnsi="Times New Roman" w:eastAsia="宋体" w:cs="宋体"/>
          <w:u w:val="single"/>
          <w:lang w:eastAsia="zh-CN"/>
        </w:rPr>
        <w:t>微型企业</w:t>
      </w:r>
      <w:r>
        <w:rPr>
          <w:rFonts w:ascii="Times New Roman" w:hAnsi="Times New Roman" w:eastAsia="宋体" w:cs="宋体"/>
          <w:lang w:eastAsia="zh-CN"/>
        </w:rPr>
        <w:t>。其 中，从业人员100人及以上，且营业收入2000万元及以上的为中型企业；从业人员10人及 以上，且营业收入100万元及以上的为小型企业；从业人员10人以下或营业收入100万元</w:t>
      </w:r>
    </w:p>
    <w:p w14:paraId="74F7C9EF">
      <w:pPr>
        <w:spacing w:line="360" w:lineRule="auto"/>
        <w:ind w:left="3"/>
        <w:rPr>
          <w:rFonts w:ascii="Times New Roman" w:hAnsi="Times New Roman" w:eastAsia="宋体" w:cs="宋体"/>
          <w:lang w:eastAsia="zh-CN"/>
        </w:rPr>
      </w:pPr>
      <w:r>
        <w:rPr>
          <w:rFonts w:ascii="Times New Roman" w:hAnsi="Times New Roman" w:eastAsia="宋体" w:cs="宋体"/>
          <w:b/>
          <w:bCs/>
          <w:lang w:eastAsia="zh-CN"/>
        </w:rPr>
        <w:t>以下的为微</w:t>
      </w:r>
      <w:r>
        <w:rPr>
          <w:rFonts w:ascii="Times New Roman" w:hAnsi="Times New Roman" w:eastAsia="宋体" w:cs="宋体"/>
          <w:b/>
          <w:bCs/>
          <w:u w:val="single"/>
          <w:lang w:eastAsia="zh-CN"/>
        </w:rPr>
        <w:t>型企业</w:t>
      </w:r>
      <w:r>
        <w:rPr>
          <w:rFonts w:ascii="Times New Roman" w:hAnsi="Times New Roman" w:eastAsia="宋体" w:cs="宋体"/>
          <w:b/>
          <w:bCs/>
          <w:lang w:eastAsia="zh-CN"/>
        </w:rPr>
        <w:t>。</w:t>
      </w:r>
    </w:p>
    <w:p w14:paraId="2CDBF6B9">
      <w:pPr>
        <w:spacing w:line="360" w:lineRule="auto"/>
        <w:ind w:right="93" w:firstLine="429"/>
        <w:jc w:val="both"/>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w:t>
      </w:r>
      <w:r>
        <w:rPr>
          <w:rFonts w:hint="eastAsia" w:ascii="Times New Roman" w:hAnsi="Times New Roman" w:eastAsia="宋体" w:cs="宋体"/>
          <w:lang w:eastAsia="zh-CN"/>
        </w:rPr>
        <w:t>）</w:t>
      </w:r>
      <w:r>
        <w:rPr>
          <w:rFonts w:ascii="Times New Roman" w:hAnsi="Times New Roman" w:eastAsia="宋体" w:cs="宋体"/>
          <w:lang w:eastAsia="zh-CN"/>
        </w:rPr>
        <w:t>餐饮业。从业人员300人以下或营业收入10000万元以下的为中小</w:t>
      </w:r>
      <w:r>
        <w:rPr>
          <w:rFonts w:ascii="Times New Roman" w:hAnsi="Times New Roman" w:eastAsia="宋体" w:cs="宋体"/>
          <w:u w:val="single"/>
          <w:lang w:eastAsia="zh-CN"/>
        </w:rPr>
        <w:t>微型企业</w:t>
      </w:r>
      <w:r>
        <w:rPr>
          <w:rFonts w:ascii="Times New Roman" w:hAnsi="Times New Roman" w:eastAsia="宋体" w:cs="宋体"/>
          <w:lang w:eastAsia="zh-CN"/>
        </w:rPr>
        <w:t>。其 中，从业人员100人及以上，且营业收入2000万元及以上的为中型企业；从业人员10人及 以上，且营业收入100万元及以上的为小型企业；从业人员10人以下或营业收入100万元 以下的为微型企业。</w:t>
      </w:r>
    </w:p>
    <w:p w14:paraId="4EB5781C">
      <w:pPr>
        <w:spacing w:line="360" w:lineRule="auto"/>
        <w:ind w:right="95" w:firstLine="429"/>
        <w:jc w:val="both"/>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十一</w:t>
      </w:r>
      <w:r>
        <w:rPr>
          <w:rFonts w:hint="eastAsia" w:ascii="Times New Roman" w:hAnsi="Times New Roman" w:eastAsia="宋体" w:cs="宋体"/>
          <w:lang w:eastAsia="zh-CN"/>
        </w:rPr>
        <w:t>）</w:t>
      </w:r>
      <w:r>
        <w:rPr>
          <w:rFonts w:ascii="Times New Roman" w:hAnsi="Times New Roman" w:eastAsia="宋体" w:cs="宋体"/>
          <w:lang w:eastAsia="zh-CN"/>
        </w:rPr>
        <w:t>信息传输业。从业人员2000人以下或营业收入100000万元以下的为中小微型 企业。其中，从业人员100人及以上，且营业收入1000万元及以上的为中型企业；从业人 员10人及以上，且营业收入100万元及以上的为小型企业；从业人员10人以下或营业收入 100万元以下的为微型企业。</w:t>
      </w:r>
    </w:p>
    <w:p w14:paraId="2B19D463">
      <w:pPr>
        <w:spacing w:line="360" w:lineRule="auto"/>
        <w:ind w:firstLine="429"/>
        <w:jc w:val="both"/>
        <w:rPr>
          <w:rFonts w:ascii="Times New Roman" w:hAnsi="Times New Roman" w:eastAsia="宋体" w:cs="宋体"/>
          <w:lang w:eastAsia="zh-CN"/>
        </w:rPr>
      </w:pPr>
      <w:r>
        <w:rPr>
          <w:rFonts w:hint="eastAsia" w:ascii="Times New Roman" w:hAnsi="Times New Roman" w:eastAsia="黑体" w:cs="黑体"/>
          <w:lang w:eastAsia="zh-CN"/>
        </w:rPr>
        <w:t>（</w:t>
      </w:r>
      <w:r>
        <w:rPr>
          <w:rFonts w:ascii="Times New Roman" w:hAnsi="Times New Roman" w:eastAsia="黑体" w:cs="黑体"/>
          <w:lang w:eastAsia="zh-CN"/>
        </w:rPr>
        <w:t>十二</w:t>
      </w:r>
      <w:r>
        <w:rPr>
          <w:rFonts w:hint="eastAsia" w:ascii="Times New Roman" w:hAnsi="Times New Roman" w:eastAsia="黑体" w:cs="黑体"/>
          <w:lang w:eastAsia="zh-CN"/>
        </w:rPr>
        <w:t>）</w:t>
      </w:r>
      <w:r>
        <w:rPr>
          <w:rFonts w:ascii="Times New Roman" w:hAnsi="Times New Roman" w:eastAsia="黑体" w:cs="黑体"/>
          <w:lang w:eastAsia="zh-CN"/>
        </w:rPr>
        <w:t xml:space="preserve">软件和信息技术服务业。从业人员300人以下或营业收入10000万元以下的为  </w:t>
      </w:r>
      <w:r>
        <w:rPr>
          <w:rFonts w:ascii="Times New Roman" w:hAnsi="Times New Roman" w:eastAsia="宋体" w:cs="宋体"/>
          <w:lang w:eastAsia="zh-CN"/>
        </w:rPr>
        <w:t>中小微型企业。其中，从业人员100人及以上，且营业收入1000万元及以上的为中型企业； 从业人员10人及以上，目营业收入50万元及以上的为小</w:t>
      </w:r>
      <w:r>
        <w:rPr>
          <w:rFonts w:ascii="Times New Roman" w:hAnsi="Times New Roman" w:eastAsia="宋体" w:cs="宋体"/>
          <w:u w:val="single"/>
          <w:lang w:eastAsia="zh-CN"/>
        </w:rPr>
        <w:t>型企业</w:t>
      </w:r>
      <w:r>
        <w:rPr>
          <w:rFonts w:ascii="Times New Roman" w:hAnsi="Times New Roman" w:eastAsia="宋体" w:cs="宋体"/>
          <w:lang w:eastAsia="zh-CN"/>
        </w:rPr>
        <w:t>；从业人员10人以下或营  业收入50 万元以下的为微型企业。</w:t>
      </w:r>
    </w:p>
    <w:p w14:paraId="0E7D98E7">
      <w:pPr>
        <w:spacing w:line="360" w:lineRule="auto"/>
        <w:ind w:right="94" w:firstLine="429"/>
        <w:jc w:val="both"/>
        <w:rPr>
          <w:rFonts w:ascii="Times New Roman" w:hAnsi="Times New Roman" w:eastAsia="宋体" w:cs="宋体"/>
          <w:lang w:eastAsia="zh-CN"/>
        </w:rPr>
      </w:pPr>
      <w:r>
        <w:rPr>
          <w:rFonts w:hint="eastAsia" w:ascii="Times New Roman" w:hAnsi="Times New Roman" w:eastAsia="黑体" w:cs="黑体"/>
          <w:lang w:eastAsia="zh-CN"/>
        </w:rPr>
        <w:t>（</w:t>
      </w:r>
      <w:r>
        <w:rPr>
          <w:rFonts w:ascii="Times New Roman" w:hAnsi="Times New Roman" w:eastAsia="黑体" w:cs="黑体"/>
          <w:lang w:eastAsia="zh-CN"/>
        </w:rPr>
        <w:t>十三</w:t>
      </w:r>
      <w:r>
        <w:rPr>
          <w:rFonts w:hint="eastAsia" w:ascii="Times New Roman" w:hAnsi="Times New Roman" w:eastAsia="黑体" w:cs="黑体"/>
          <w:lang w:eastAsia="zh-CN"/>
        </w:rPr>
        <w:t>）</w:t>
      </w:r>
      <w:r>
        <w:rPr>
          <w:rFonts w:ascii="Times New Roman" w:hAnsi="Times New Roman" w:eastAsia="黑体" w:cs="黑体"/>
          <w:lang w:eastAsia="zh-CN"/>
        </w:rPr>
        <w:t xml:space="preserve">房地产开发经营。营业收入200000万元以下或资产总额10000万元以下的为  </w:t>
      </w:r>
      <w:r>
        <w:rPr>
          <w:rFonts w:ascii="Times New Roman" w:hAnsi="Times New Roman" w:eastAsia="宋体" w:cs="宋体"/>
          <w:lang w:eastAsia="zh-CN"/>
        </w:rPr>
        <w:t>中小微型企业。其中，营业收入1000万元及以上，且资产总额5000万元及以上的为中型企 业；营业收入100万元及以上，且资产总额2000万元及以上的为小型企业；营业收入100 万元以下或资产总额2000 万元以下的为微型企业。</w:t>
      </w:r>
    </w:p>
    <w:p w14:paraId="6431A255">
      <w:pPr>
        <w:spacing w:line="360" w:lineRule="auto"/>
        <w:ind w:right="40" w:firstLine="429"/>
        <w:jc w:val="both"/>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十四</w:t>
      </w:r>
      <w:r>
        <w:rPr>
          <w:rFonts w:hint="eastAsia" w:ascii="Times New Roman" w:hAnsi="Times New Roman" w:eastAsia="宋体" w:cs="宋体"/>
          <w:lang w:eastAsia="zh-CN"/>
        </w:rPr>
        <w:t>）</w:t>
      </w:r>
      <w:r>
        <w:rPr>
          <w:rFonts w:ascii="Times New Roman" w:hAnsi="Times New Roman" w:eastAsia="宋体" w:cs="宋体"/>
          <w:lang w:eastAsia="zh-CN"/>
        </w:rPr>
        <w:t>物业管理。从业人员1000人以下或营业收入5000万元以下的为中小微型企业。 其中，从业人员300人及以上，且营业收入1000万元及以上的为中型企业；从业人员100 人及以上，且营业收入500万元及以上的为小型企业；从业人员100人以下或营业收入500 万元以下的为微型企业。</w:t>
      </w:r>
    </w:p>
    <w:p w14:paraId="0CDB6CF0">
      <w:pPr>
        <w:spacing w:line="360" w:lineRule="auto"/>
        <w:ind w:right="82"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十五</w:t>
      </w:r>
      <w:r>
        <w:rPr>
          <w:rFonts w:hint="eastAsia" w:ascii="Times New Roman" w:hAnsi="Times New Roman" w:eastAsia="宋体" w:cs="宋体"/>
          <w:lang w:eastAsia="zh-CN"/>
        </w:rPr>
        <w:t>）</w:t>
      </w:r>
      <w:r>
        <w:rPr>
          <w:rFonts w:ascii="Times New Roman" w:hAnsi="Times New Roman" w:eastAsia="宋体" w:cs="宋体"/>
          <w:lang w:eastAsia="zh-CN"/>
        </w:rPr>
        <w:t>租赁和商务服务业。从业人员300人以下或资产总额120000万元以下的为中 小微型企业。其中，从业人员100人及以上，且资产总额8000万元及以上的为中型企业； 从业人员10人及以上，目资产总额100万元及以上的为小</w:t>
      </w:r>
      <w:r>
        <w:rPr>
          <w:rFonts w:ascii="Times New Roman" w:hAnsi="Times New Roman" w:eastAsia="宋体" w:cs="宋体"/>
          <w:u w:val="single"/>
          <w:lang w:eastAsia="zh-CN"/>
        </w:rPr>
        <w:t>型企业</w:t>
      </w:r>
      <w:r>
        <w:rPr>
          <w:rFonts w:ascii="Times New Roman" w:hAnsi="Times New Roman" w:eastAsia="宋体" w:cs="宋体"/>
          <w:lang w:eastAsia="zh-CN"/>
        </w:rPr>
        <w:t>；从业人员10人以下或资 产总额100万元以下的为微型企业。</w:t>
      </w:r>
    </w:p>
    <w:p w14:paraId="3CDED0D8">
      <w:pPr>
        <w:spacing w:line="360" w:lineRule="auto"/>
        <w:ind w:right="76" w:firstLine="540"/>
        <w:rPr>
          <w:rFonts w:ascii="Times New Roman" w:hAnsi="Times New Roman" w:eastAsia="宋体" w:cs="宋体"/>
          <w:lang w:eastAsia="zh-CN"/>
        </w:rPr>
      </w:pPr>
      <w:r>
        <w:rPr>
          <w:rFonts w:hint="eastAsia" w:ascii="Times New Roman" w:hAnsi="Times New Roman" w:eastAsia="宋体" w:cs="宋体"/>
          <w:lang w:eastAsia="zh-CN"/>
        </w:rPr>
        <w:t>（</w:t>
      </w:r>
      <w:r>
        <w:rPr>
          <w:rFonts w:ascii="Times New Roman" w:hAnsi="Times New Roman" w:eastAsia="宋体" w:cs="宋体"/>
          <w:lang w:eastAsia="zh-CN"/>
        </w:rPr>
        <w:t>十六</w:t>
      </w:r>
      <w:r>
        <w:rPr>
          <w:rFonts w:hint="eastAsia" w:ascii="Times New Roman" w:hAnsi="Times New Roman" w:eastAsia="宋体" w:cs="宋体"/>
          <w:lang w:eastAsia="zh-CN"/>
        </w:rPr>
        <w:t>）</w:t>
      </w:r>
      <w:r>
        <w:rPr>
          <w:rFonts w:ascii="Times New Roman" w:hAnsi="Times New Roman" w:eastAsia="宋体" w:cs="宋体"/>
          <w:lang w:eastAsia="zh-CN"/>
        </w:rPr>
        <w:t>其他未列明行业。从业人员300人以下的为中小微型企业。其中，从业人员 100人及以上的为中</w:t>
      </w:r>
      <w:r>
        <w:rPr>
          <w:rFonts w:ascii="Times New Roman" w:hAnsi="Times New Roman" w:eastAsia="宋体" w:cs="宋体"/>
          <w:u w:val="single"/>
          <w:lang w:eastAsia="zh-CN"/>
        </w:rPr>
        <w:t>型企业</w:t>
      </w:r>
      <w:r>
        <w:rPr>
          <w:rFonts w:ascii="Times New Roman" w:hAnsi="Times New Roman" w:eastAsia="宋体" w:cs="宋体"/>
          <w:lang w:eastAsia="zh-CN"/>
        </w:rPr>
        <w:t>；从业人员10人及以上的为小型企业；从业人员10人以下的为 微型</w:t>
      </w:r>
      <w:r>
        <w:rPr>
          <w:rFonts w:ascii="Times New Roman" w:hAnsi="Times New Roman" w:eastAsia="宋体" w:cs="宋体"/>
          <w:u w:val="single"/>
          <w:lang w:eastAsia="zh-CN"/>
        </w:rPr>
        <w:t>企业</w:t>
      </w:r>
      <w:r>
        <w:rPr>
          <w:rFonts w:ascii="Times New Roman" w:hAnsi="Times New Roman" w:eastAsia="宋体" w:cs="宋体"/>
          <w:lang w:eastAsia="zh-CN"/>
        </w:rPr>
        <w:t>。</w:t>
      </w:r>
    </w:p>
    <w:p w14:paraId="055D4C21">
      <w:pPr>
        <w:spacing w:line="360" w:lineRule="auto"/>
        <w:ind w:left="419"/>
        <w:rPr>
          <w:rFonts w:ascii="Times New Roman" w:hAnsi="Times New Roman" w:eastAsia="宋体" w:cs="宋体"/>
          <w:lang w:eastAsia="zh-CN"/>
        </w:rPr>
      </w:pPr>
      <w:r>
        <w:rPr>
          <w:rFonts w:ascii="Times New Roman" w:hAnsi="Times New Roman" w:eastAsia="宋体" w:cs="宋体"/>
          <w:lang w:eastAsia="zh-CN"/>
        </w:rPr>
        <w:t>五 、企业类型的划分以统计部门的统计数据为依据。</w:t>
      </w:r>
    </w:p>
    <w:p w14:paraId="61C7ED1E">
      <w:pPr>
        <w:spacing w:line="360" w:lineRule="auto"/>
        <w:ind w:right="96" w:firstLine="429"/>
        <w:rPr>
          <w:rFonts w:ascii="Times New Roman" w:hAnsi="Times New Roman" w:eastAsia="宋体" w:cs="宋体"/>
          <w:lang w:eastAsia="zh-CN"/>
        </w:rPr>
      </w:pPr>
      <w:r>
        <w:rPr>
          <w:rFonts w:ascii="Times New Roman" w:hAnsi="Times New Roman" w:eastAsia="宋体" w:cs="宋体"/>
          <w:lang w:eastAsia="zh-CN"/>
        </w:rPr>
        <w:t>六、本规定适用于在中华人民共和国境内依法设立的各类所有制和各种组织形式的企 业。个体工商户和本规定以外的行业，参照本规定进行划型。</w:t>
      </w:r>
    </w:p>
    <w:p w14:paraId="528265B1">
      <w:pPr>
        <w:spacing w:line="360" w:lineRule="auto"/>
        <w:ind w:right="82" w:firstLine="429"/>
        <w:rPr>
          <w:rFonts w:ascii="Times New Roman" w:hAnsi="Times New Roman" w:eastAsia="宋体" w:cs="宋体"/>
          <w:lang w:eastAsia="zh-CN"/>
        </w:rPr>
      </w:pPr>
      <w:r>
        <w:rPr>
          <w:rFonts w:ascii="Times New Roman" w:hAnsi="Times New Roman" w:eastAsia="宋体" w:cs="宋体"/>
          <w:lang w:eastAsia="zh-CN"/>
        </w:rPr>
        <w:t>七、本规定的中型企业标准上限即为大型企业标准的下限，国家统计部门据此制定大中 小微型企业的统计分类。国务院有关部门据此进行相关数据分析，不得制定与本规定不一致 的企业划型标准。</w:t>
      </w:r>
    </w:p>
    <w:p w14:paraId="43AA3688">
      <w:pPr>
        <w:spacing w:line="360" w:lineRule="auto"/>
        <w:ind w:right="96" w:firstLine="429"/>
        <w:rPr>
          <w:rFonts w:ascii="Times New Roman" w:hAnsi="Times New Roman" w:eastAsia="宋体" w:cs="宋体"/>
          <w:lang w:eastAsia="zh-CN"/>
        </w:rPr>
      </w:pPr>
      <w:r>
        <w:rPr>
          <w:rFonts w:ascii="Times New Roman" w:hAnsi="Times New Roman" w:eastAsia="宋体" w:cs="宋体"/>
          <w:lang w:eastAsia="zh-CN"/>
        </w:rPr>
        <w:t>八 、本规定由工业和信息化部、国家统计局会同有关部门根据《国民经济行业分类》修 订情况和企业发展变化情况适时修订。</w:t>
      </w:r>
    </w:p>
    <w:p w14:paraId="5B8433A0">
      <w:pPr>
        <w:spacing w:line="360" w:lineRule="auto"/>
        <w:ind w:left="429"/>
        <w:rPr>
          <w:rFonts w:ascii="Times New Roman" w:hAnsi="Times New Roman" w:eastAsia="宋体" w:cs="宋体"/>
          <w:lang w:eastAsia="zh-CN"/>
        </w:rPr>
      </w:pPr>
      <w:r>
        <w:rPr>
          <w:rFonts w:ascii="Times New Roman" w:hAnsi="Times New Roman" w:eastAsia="宋体" w:cs="宋体"/>
          <w:lang w:eastAsia="zh-CN"/>
        </w:rPr>
        <w:t>九、本规定由工业和信息化部、国家统计局会同有关部门负责解释。</w:t>
      </w:r>
    </w:p>
    <w:p w14:paraId="60C22D94">
      <w:pPr>
        <w:spacing w:line="360" w:lineRule="auto"/>
        <w:ind w:right="54" w:firstLine="429"/>
        <w:rPr>
          <w:rFonts w:ascii="Times New Roman" w:hAnsi="Times New Roman" w:eastAsia="宋体" w:cs="宋体"/>
          <w:lang w:eastAsia="zh-CN"/>
        </w:rPr>
      </w:pPr>
      <w:r>
        <w:rPr>
          <w:rFonts w:ascii="Times New Roman" w:hAnsi="Times New Roman" w:eastAsia="宋体" w:cs="宋体"/>
          <w:lang w:eastAsia="zh-CN"/>
        </w:rPr>
        <w:t>十、本规定自发布之日起执行，原国家经贸委、原国家计委、财政部和国家统计局2003 年颁布的《中小企业标准暂行规定》同时废止。</w:t>
      </w:r>
    </w:p>
    <w:p w14:paraId="1564D78C">
      <w:pPr>
        <w:spacing w:line="360" w:lineRule="auto"/>
        <w:rPr>
          <w:rFonts w:ascii="Times New Roman" w:hAnsi="Times New Roman" w:eastAsia="宋体" w:cs="宋体"/>
          <w:lang w:eastAsia="zh-CN"/>
        </w:rPr>
        <w:sectPr>
          <w:footerReference r:id="rId16" w:type="default"/>
          <w:pgSz w:w="11905" w:h="16838"/>
          <w:pgMar w:top="1134" w:right="1134" w:bottom="1134" w:left="1134" w:header="0" w:footer="1043" w:gutter="0"/>
          <w:cols w:space="0" w:num="1"/>
        </w:sectPr>
      </w:pPr>
    </w:p>
    <w:p w14:paraId="058EF4E6">
      <w:pPr>
        <w:spacing w:line="360" w:lineRule="auto"/>
        <w:jc w:val="center"/>
        <w:outlineLvl w:val="0"/>
        <w:rPr>
          <w:rFonts w:ascii="Times New Roman" w:hAnsi="Times New Roman" w:eastAsia="宋体" w:cs="宋体"/>
          <w:sz w:val="43"/>
          <w:szCs w:val="43"/>
          <w:lang w:eastAsia="zh-CN"/>
        </w:rPr>
      </w:pPr>
      <w:bookmarkStart w:id="128" w:name="_Toc8319"/>
      <w:r>
        <w:rPr>
          <w:rFonts w:ascii="Times New Roman" w:hAnsi="Times New Roman" w:eastAsia="宋体" w:cs="宋体"/>
          <w:b/>
          <w:bCs/>
          <w:sz w:val="43"/>
          <w:szCs w:val="43"/>
          <w:lang w:eastAsia="zh-CN"/>
        </w:rPr>
        <w:t>第四章合同条款及格式</w:t>
      </w:r>
      <w:bookmarkEnd w:id="128"/>
    </w:p>
    <w:p w14:paraId="4DDEC234">
      <w:pPr>
        <w:spacing w:line="360" w:lineRule="auto"/>
        <w:ind w:left="437"/>
        <w:rPr>
          <w:rFonts w:ascii="Times New Roman" w:hAnsi="Times New Roman" w:eastAsia="宋体" w:cs="宋体"/>
          <w:b/>
          <w:bCs/>
          <w:sz w:val="22"/>
          <w:szCs w:val="22"/>
          <w:lang w:eastAsia="zh-CN"/>
        </w:rPr>
      </w:pPr>
    </w:p>
    <w:p w14:paraId="14EB4C04">
      <w:pPr>
        <w:spacing w:line="360" w:lineRule="auto"/>
        <w:ind w:left="437"/>
        <w:jc w:val="center"/>
        <w:rPr>
          <w:rFonts w:ascii="Times New Roman" w:hAnsi="Times New Roman" w:eastAsia="宋体" w:cs="宋体"/>
          <w:sz w:val="22"/>
          <w:szCs w:val="22"/>
          <w:lang w:eastAsia="zh-CN"/>
        </w:rPr>
      </w:pPr>
      <w:r>
        <w:rPr>
          <w:rFonts w:ascii="Times New Roman" w:hAnsi="Times New Roman" w:eastAsia="宋体" w:cs="宋体"/>
          <w:b/>
          <w:bCs/>
          <w:sz w:val="22"/>
          <w:szCs w:val="22"/>
          <w:lang w:eastAsia="zh-CN"/>
        </w:rPr>
        <w:t>以合同实际签订内容为准</w:t>
      </w:r>
    </w:p>
    <w:p w14:paraId="7E025505">
      <w:pPr>
        <w:spacing w:line="360" w:lineRule="auto"/>
        <w:rPr>
          <w:rFonts w:ascii="Times New Roman" w:hAnsi="Times New Roman" w:eastAsia="宋体" w:cs="宋体"/>
          <w:sz w:val="22"/>
          <w:szCs w:val="22"/>
          <w:lang w:eastAsia="zh-CN"/>
        </w:rPr>
        <w:sectPr>
          <w:footerReference r:id="rId17" w:type="default"/>
          <w:pgSz w:w="11905" w:h="16838"/>
          <w:pgMar w:top="1134" w:right="1134" w:bottom="1134" w:left="1134" w:header="0" w:footer="1043" w:gutter="0"/>
          <w:cols w:space="0" w:num="1"/>
        </w:sectPr>
      </w:pPr>
    </w:p>
    <w:p w14:paraId="29F7CC2A">
      <w:pPr>
        <w:jc w:val="center"/>
        <w:rPr>
          <w:sz w:val="52"/>
          <w:szCs w:val="52"/>
        </w:rPr>
      </w:pPr>
    </w:p>
    <w:p w14:paraId="1D663C0B">
      <w:pPr>
        <w:pStyle w:val="2"/>
        <w:rPr>
          <w:sz w:val="52"/>
          <w:szCs w:val="52"/>
        </w:rPr>
      </w:pPr>
    </w:p>
    <w:p w14:paraId="2A6E369A">
      <w:pPr>
        <w:pStyle w:val="2"/>
        <w:rPr>
          <w:sz w:val="52"/>
          <w:szCs w:val="52"/>
        </w:rPr>
      </w:pPr>
    </w:p>
    <w:p w14:paraId="5A87D611">
      <w:pPr>
        <w:pStyle w:val="2"/>
        <w:rPr>
          <w:sz w:val="52"/>
          <w:szCs w:val="52"/>
        </w:rPr>
      </w:pPr>
    </w:p>
    <w:p w14:paraId="2BD9895D">
      <w:pPr>
        <w:jc w:val="center"/>
        <w:rPr>
          <w:sz w:val="52"/>
          <w:szCs w:val="52"/>
        </w:rPr>
      </w:pPr>
    </w:p>
    <w:p w14:paraId="3E7F3B04">
      <w:pPr>
        <w:jc w:val="center"/>
        <w:rPr>
          <w:sz w:val="72"/>
          <w:szCs w:val="72"/>
        </w:rPr>
      </w:pPr>
      <w:r>
        <w:rPr>
          <w:rFonts w:hint="eastAsia"/>
          <w:sz w:val="52"/>
          <w:szCs w:val="52"/>
        </w:rPr>
        <w:t>人力资源</w:t>
      </w:r>
      <w:r>
        <w:rPr>
          <w:rFonts w:hint="eastAsia"/>
          <w:sz w:val="52"/>
          <w:szCs w:val="52"/>
          <w:lang w:val="en-US" w:eastAsia="zh-CN"/>
        </w:rPr>
        <w:t>服务</w:t>
      </w:r>
      <w:r>
        <w:rPr>
          <w:rFonts w:hint="eastAsia"/>
          <w:sz w:val="52"/>
          <w:szCs w:val="52"/>
        </w:rPr>
        <w:t>外包协议书</w:t>
      </w:r>
    </w:p>
    <w:p w14:paraId="4A04FAA7">
      <w:pPr>
        <w:jc w:val="center"/>
        <w:rPr>
          <w:sz w:val="52"/>
          <w:szCs w:val="52"/>
        </w:rPr>
      </w:pPr>
    </w:p>
    <w:p w14:paraId="1537B5BF">
      <w:pPr>
        <w:jc w:val="center"/>
        <w:rPr>
          <w:sz w:val="52"/>
          <w:szCs w:val="52"/>
        </w:rPr>
      </w:pPr>
    </w:p>
    <w:p w14:paraId="02EBA76B">
      <w:pPr>
        <w:jc w:val="center"/>
        <w:rPr>
          <w:sz w:val="52"/>
          <w:szCs w:val="52"/>
        </w:rPr>
      </w:pPr>
    </w:p>
    <w:p w14:paraId="20E3E6A2">
      <w:pPr>
        <w:jc w:val="center"/>
        <w:rPr>
          <w:sz w:val="52"/>
          <w:szCs w:val="52"/>
        </w:rPr>
      </w:pPr>
    </w:p>
    <w:p w14:paraId="40B1B8E3">
      <w:pPr>
        <w:jc w:val="center"/>
        <w:rPr>
          <w:sz w:val="52"/>
          <w:szCs w:val="52"/>
        </w:rPr>
      </w:pPr>
    </w:p>
    <w:p w14:paraId="397F394D">
      <w:pPr>
        <w:jc w:val="center"/>
        <w:rPr>
          <w:sz w:val="52"/>
          <w:szCs w:val="52"/>
        </w:rPr>
      </w:pPr>
    </w:p>
    <w:p w14:paraId="7BE233FA">
      <w:pPr>
        <w:jc w:val="center"/>
        <w:rPr>
          <w:sz w:val="52"/>
          <w:szCs w:val="52"/>
        </w:rPr>
      </w:pPr>
    </w:p>
    <w:p w14:paraId="099C0E37">
      <w:pPr>
        <w:jc w:val="center"/>
        <w:rPr>
          <w:sz w:val="52"/>
          <w:szCs w:val="52"/>
        </w:rPr>
      </w:pPr>
    </w:p>
    <w:p w14:paraId="320BF0E6">
      <w:pPr>
        <w:pStyle w:val="2"/>
      </w:pPr>
    </w:p>
    <w:p w14:paraId="4114F123">
      <w:pPr>
        <w:jc w:val="center"/>
        <w:rPr>
          <w:sz w:val="52"/>
          <w:szCs w:val="52"/>
        </w:rPr>
      </w:pPr>
    </w:p>
    <w:p w14:paraId="3657F8B7">
      <w:pPr>
        <w:jc w:val="center"/>
        <w:rPr>
          <w:rFonts w:hint="eastAsia"/>
          <w:sz w:val="44"/>
          <w:szCs w:val="44"/>
        </w:rPr>
      </w:pPr>
    </w:p>
    <w:p w14:paraId="23FA6A76">
      <w:pPr>
        <w:jc w:val="center"/>
        <w:rPr>
          <w:rFonts w:hint="eastAsia"/>
          <w:sz w:val="44"/>
          <w:szCs w:val="44"/>
        </w:rPr>
      </w:pPr>
    </w:p>
    <w:p w14:paraId="71E6E277">
      <w:pPr>
        <w:jc w:val="center"/>
        <w:rPr>
          <w:sz w:val="44"/>
          <w:szCs w:val="44"/>
        </w:rPr>
      </w:pPr>
      <w:r>
        <w:rPr>
          <w:rFonts w:hint="eastAsia"/>
          <w:sz w:val="44"/>
          <w:szCs w:val="44"/>
        </w:rPr>
        <w:t>人力资源</w:t>
      </w:r>
      <w:r>
        <w:rPr>
          <w:rFonts w:hint="eastAsia"/>
          <w:sz w:val="44"/>
          <w:szCs w:val="44"/>
          <w:lang w:val="en-US" w:eastAsia="zh-CN"/>
        </w:rPr>
        <w:t>服务</w:t>
      </w:r>
      <w:r>
        <w:rPr>
          <w:rFonts w:hint="eastAsia"/>
          <w:sz w:val="44"/>
          <w:szCs w:val="44"/>
        </w:rPr>
        <w:t>外包协议书</w:t>
      </w:r>
    </w:p>
    <w:p w14:paraId="60CBD3AA">
      <w:pPr>
        <w:jc w:val="center"/>
        <w:rPr>
          <w:sz w:val="28"/>
          <w:szCs w:val="28"/>
        </w:rPr>
      </w:pPr>
    </w:p>
    <w:p w14:paraId="34D02BC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bCs/>
          <w:sz w:val="32"/>
          <w:szCs w:val="32"/>
        </w:rPr>
      </w:pPr>
    </w:p>
    <w:p w14:paraId="17F467B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bCs/>
          <w:sz w:val="32"/>
          <w:szCs w:val="32"/>
        </w:rPr>
      </w:pPr>
    </w:p>
    <w:p w14:paraId="5318233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bCs/>
          <w:sz w:val="24"/>
          <w:szCs w:val="24"/>
        </w:rPr>
      </w:pPr>
      <w:r>
        <w:rPr>
          <w:rFonts w:hint="eastAsia" w:ascii="仿宋" w:hAnsi="仿宋" w:eastAsia="仿宋"/>
          <w:bCs/>
          <w:sz w:val="24"/>
          <w:szCs w:val="24"/>
        </w:rPr>
        <w:t>甲方：</w:t>
      </w:r>
    </w:p>
    <w:p w14:paraId="267581D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sz w:val="24"/>
          <w:szCs w:val="24"/>
          <w:lang w:val="en-US" w:eastAsia="zh-CN"/>
        </w:rPr>
      </w:pPr>
      <w:r>
        <w:rPr>
          <w:rFonts w:hint="eastAsia" w:ascii="仿宋" w:hAnsi="仿宋" w:eastAsia="仿宋"/>
          <w:bCs/>
          <w:sz w:val="24"/>
          <w:szCs w:val="24"/>
        </w:rPr>
        <w:t>法定代表人：</w:t>
      </w:r>
    </w:p>
    <w:p w14:paraId="4EEA03CC">
      <w:pPr>
        <w:keepNext w:val="0"/>
        <w:keepLines w:val="0"/>
        <w:pageBreakBefore w:val="0"/>
        <w:widowControl w:val="0"/>
        <w:kinsoku/>
        <w:wordWrap/>
        <w:overflowPunct/>
        <w:topLinePunct w:val="0"/>
        <w:autoSpaceDE/>
        <w:autoSpaceDN/>
        <w:bidi w:val="0"/>
        <w:adjustRightInd/>
        <w:snapToGrid/>
        <w:spacing w:line="520" w:lineRule="exact"/>
        <w:ind w:left="320" w:hanging="240" w:hangingChars="100"/>
        <w:jc w:val="left"/>
        <w:textAlignment w:val="auto"/>
        <w:rPr>
          <w:rFonts w:hint="eastAsia" w:ascii="仿宋" w:hAnsi="仿宋" w:eastAsia="仿宋"/>
          <w:bCs/>
          <w:sz w:val="24"/>
          <w:szCs w:val="24"/>
        </w:rPr>
      </w:pPr>
      <w:r>
        <w:rPr>
          <w:rFonts w:hint="eastAsia" w:ascii="仿宋" w:hAnsi="仿宋" w:eastAsia="仿宋"/>
          <w:bCs/>
          <w:sz w:val="24"/>
          <w:szCs w:val="24"/>
        </w:rPr>
        <w:t>通讯地址：</w:t>
      </w:r>
    </w:p>
    <w:p w14:paraId="654A0468">
      <w:pPr>
        <w:keepNext w:val="0"/>
        <w:keepLines w:val="0"/>
        <w:pageBreakBefore w:val="0"/>
        <w:widowControl w:val="0"/>
        <w:kinsoku/>
        <w:wordWrap/>
        <w:overflowPunct/>
        <w:topLinePunct w:val="0"/>
        <w:autoSpaceDE/>
        <w:autoSpaceDN/>
        <w:bidi w:val="0"/>
        <w:adjustRightInd/>
        <w:snapToGrid/>
        <w:spacing w:line="520" w:lineRule="exact"/>
        <w:ind w:left="320" w:hanging="240" w:hangingChars="100"/>
        <w:jc w:val="left"/>
        <w:textAlignment w:val="auto"/>
        <w:rPr>
          <w:rFonts w:hint="eastAsia" w:ascii="仿宋" w:hAnsi="仿宋" w:eastAsia="仿宋"/>
          <w:bCs/>
          <w:sz w:val="24"/>
          <w:szCs w:val="24"/>
        </w:rPr>
      </w:pPr>
      <w:r>
        <w:rPr>
          <w:rFonts w:hint="eastAsia" w:ascii="仿宋" w:hAnsi="仿宋" w:eastAsia="仿宋"/>
          <w:bCs/>
          <w:sz w:val="24"/>
          <w:szCs w:val="24"/>
        </w:rPr>
        <w:t>联系电话：</w:t>
      </w:r>
    </w:p>
    <w:p w14:paraId="138E9F9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sz w:val="24"/>
          <w:szCs w:val="24"/>
          <w:lang w:val="en-US" w:eastAsia="zh-CN"/>
        </w:rPr>
      </w:pPr>
      <w:r>
        <w:rPr>
          <w:rFonts w:hint="eastAsia" w:ascii="仿宋" w:hAnsi="仿宋" w:eastAsia="仿宋" w:cs="宋体"/>
          <w:sz w:val="24"/>
          <w:szCs w:val="24"/>
        </w:rPr>
        <w:t>乙方：</w:t>
      </w:r>
      <w:r>
        <w:rPr>
          <w:rFonts w:hint="eastAsia" w:ascii="仿宋" w:hAnsi="仿宋" w:eastAsia="仿宋" w:cs="宋体"/>
          <w:sz w:val="24"/>
          <w:szCs w:val="24"/>
          <w:lang w:val="en-US" w:eastAsia="zh-CN"/>
        </w:rPr>
        <w:t xml:space="preserve"> </w:t>
      </w:r>
    </w:p>
    <w:p w14:paraId="6082519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sz w:val="24"/>
          <w:szCs w:val="24"/>
        </w:rPr>
      </w:pPr>
      <w:r>
        <w:rPr>
          <w:rFonts w:hint="eastAsia" w:ascii="仿宋" w:hAnsi="仿宋" w:eastAsia="仿宋" w:cs="宋体"/>
          <w:sz w:val="24"/>
          <w:szCs w:val="24"/>
        </w:rPr>
        <w:t>法定代表人:</w:t>
      </w:r>
    </w:p>
    <w:p w14:paraId="211882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sz w:val="24"/>
          <w:szCs w:val="24"/>
        </w:rPr>
      </w:pPr>
      <w:r>
        <w:rPr>
          <w:rFonts w:hint="eastAsia" w:ascii="仿宋" w:hAnsi="仿宋" w:eastAsia="仿宋" w:cs="宋体"/>
          <w:sz w:val="24"/>
          <w:szCs w:val="24"/>
        </w:rPr>
        <w:t xml:space="preserve">单位地址: </w:t>
      </w:r>
    </w:p>
    <w:p w14:paraId="6237A5A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sz w:val="24"/>
          <w:szCs w:val="24"/>
        </w:rPr>
      </w:pPr>
      <w:r>
        <w:rPr>
          <w:rFonts w:hint="eastAsia" w:ascii="仿宋" w:hAnsi="仿宋" w:eastAsia="仿宋" w:cs="宋体"/>
          <w:sz w:val="24"/>
          <w:szCs w:val="24"/>
        </w:rPr>
        <w:t>开户行:</w:t>
      </w:r>
    </w:p>
    <w:p w14:paraId="60DA273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sz w:val="24"/>
          <w:szCs w:val="24"/>
        </w:rPr>
      </w:pPr>
      <w:r>
        <w:rPr>
          <w:rFonts w:hint="eastAsia" w:ascii="仿宋" w:hAnsi="仿宋" w:eastAsia="仿宋" w:cs="宋体"/>
          <w:sz w:val="24"/>
          <w:szCs w:val="24"/>
        </w:rPr>
        <w:t>帐号:</w:t>
      </w:r>
    </w:p>
    <w:p w14:paraId="06A708E1">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sz w:val="24"/>
          <w:szCs w:val="24"/>
        </w:rPr>
      </w:pPr>
      <w:r>
        <w:rPr>
          <w:rFonts w:hint="eastAsia" w:ascii="仿宋" w:hAnsi="仿宋" w:eastAsia="仿宋"/>
          <w:sz w:val="24"/>
          <w:szCs w:val="24"/>
        </w:rPr>
        <w:t>根据《中华人民共和国合同法》等有关法律法规的规定，</w:t>
      </w:r>
      <w:r>
        <w:rPr>
          <w:rFonts w:hint="eastAsia" w:ascii="仿宋" w:hAnsi="仿宋" w:eastAsia="仿宋"/>
          <w:sz w:val="24"/>
          <w:szCs w:val="24"/>
          <w:lang w:val="en-US" w:eastAsia="zh-CN"/>
        </w:rPr>
        <w:t>以及</w:t>
      </w:r>
      <w:r>
        <w:rPr>
          <w:rFonts w:hint="eastAsia" w:ascii="仿宋" w:hAnsi="仿宋" w:eastAsia="仿宋"/>
          <w:sz w:val="24"/>
          <w:szCs w:val="24"/>
          <w:lang w:eastAsia="zh-CN"/>
        </w:rPr>
        <w:t>长春特种设备检测研究院（长春市特种设备安全监控中心）人力资源服务采购项目（</w:t>
      </w:r>
      <w:r>
        <w:rPr>
          <w:rFonts w:hint="eastAsia" w:ascii="仿宋" w:hAnsi="仿宋" w:eastAsia="仿宋"/>
          <w:sz w:val="24"/>
          <w:szCs w:val="24"/>
          <w:lang w:val="en-US" w:eastAsia="zh-CN"/>
        </w:rPr>
        <w:t xml:space="preserve">招标编号             </w:t>
      </w:r>
      <w:r>
        <w:rPr>
          <w:rFonts w:hint="eastAsia" w:ascii="仿宋" w:hAnsi="仿宋" w:eastAsia="仿宋"/>
          <w:sz w:val="24"/>
          <w:szCs w:val="24"/>
          <w:lang w:eastAsia="zh-CN"/>
        </w:rPr>
        <w:t>）</w:t>
      </w:r>
      <w:r>
        <w:rPr>
          <w:rFonts w:hint="eastAsia" w:ascii="仿宋" w:hAnsi="仿宋" w:eastAsia="仿宋"/>
          <w:sz w:val="24"/>
          <w:szCs w:val="24"/>
          <w:lang w:val="en-US" w:eastAsia="zh-CN"/>
        </w:rPr>
        <w:t>招标文件以及中标通知书的相关内容。经评定，</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为服务单位。现甲乙双方</w:t>
      </w:r>
      <w:r>
        <w:rPr>
          <w:rFonts w:hint="eastAsia" w:ascii="仿宋" w:hAnsi="仿宋" w:eastAsia="仿宋"/>
          <w:sz w:val="24"/>
          <w:szCs w:val="24"/>
        </w:rPr>
        <w:t>遵循公平、自愿、诚实信用的原则，甲乙双方经协商一致，就甲方的人力资源业务外包事宜达成如下协议：</w:t>
      </w:r>
    </w:p>
    <w:p w14:paraId="05E9E85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ascii="仿宋" w:hAnsi="仿宋" w:eastAsia="仿宋"/>
          <w:b/>
          <w:sz w:val="24"/>
          <w:szCs w:val="24"/>
        </w:rPr>
      </w:pPr>
      <w:r>
        <w:rPr>
          <w:rFonts w:hint="eastAsia" w:ascii="仿宋" w:hAnsi="仿宋" w:eastAsia="仿宋"/>
          <w:b/>
          <w:sz w:val="24"/>
          <w:szCs w:val="24"/>
        </w:rPr>
        <w:t>一、总则</w:t>
      </w:r>
    </w:p>
    <w:p w14:paraId="1369D3B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 w:hAnsi="仿宋" w:eastAsia="仿宋"/>
          <w:sz w:val="24"/>
          <w:szCs w:val="24"/>
        </w:rPr>
      </w:pPr>
      <w:r>
        <w:rPr>
          <w:rFonts w:hint="eastAsia" w:ascii="仿宋" w:hAnsi="仿宋" w:eastAsia="仿宋"/>
          <w:sz w:val="24"/>
          <w:szCs w:val="24"/>
        </w:rPr>
        <w:t>1．本协议鉴于乙方接受甲方的委托，乙方为甲方的项目进行人力资源外包服务。</w:t>
      </w:r>
    </w:p>
    <w:p w14:paraId="7F516FA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 w:hAnsi="仿宋" w:eastAsia="仿宋"/>
          <w:sz w:val="24"/>
          <w:szCs w:val="24"/>
        </w:rPr>
      </w:pPr>
      <w:r>
        <w:rPr>
          <w:rFonts w:hint="eastAsia" w:ascii="仿宋" w:hAnsi="仿宋" w:eastAsia="仿宋"/>
          <w:sz w:val="24"/>
          <w:szCs w:val="24"/>
        </w:rPr>
        <w:t>2．本协议鉴于乙方有提供外包服务的合法资格及能力并愿为甲方提供外包服务。</w:t>
      </w:r>
    </w:p>
    <w:p w14:paraId="5A9696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 w:hAnsi="仿宋" w:eastAsia="仿宋"/>
          <w:sz w:val="24"/>
          <w:szCs w:val="24"/>
        </w:rPr>
      </w:pPr>
      <w:r>
        <w:rPr>
          <w:rFonts w:hint="eastAsia" w:ascii="仿宋" w:hAnsi="仿宋" w:eastAsia="仿宋"/>
          <w:sz w:val="24"/>
          <w:szCs w:val="24"/>
        </w:rPr>
        <w:t>3．本协议中乙方提供的外包服务仅适用于乙方按照甲方要求提供的劳动力。</w:t>
      </w:r>
    </w:p>
    <w:p w14:paraId="25DE1C1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 w:hAnsi="仿宋" w:eastAsia="仿宋"/>
          <w:sz w:val="24"/>
          <w:szCs w:val="24"/>
        </w:rPr>
      </w:pPr>
      <w:r>
        <w:rPr>
          <w:rFonts w:hint="eastAsia" w:ascii="仿宋" w:hAnsi="仿宋" w:eastAsia="仿宋"/>
          <w:sz w:val="24"/>
          <w:szCs w:val="24"/>
        </w:rPr>
        <w:t>4．如甲方出现有关劳动法律、法规或政策中规定的须向当地劳动行政部门审批或备案情形时，甲方应当向其所在行政区域内的劳动行政部门办理相关事项，乙方可以协助办理。</w:t>
      </w:r>
    </w:p>
    <w:p w14:paraId="319B082B">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仿宋" w:hAnsi="仿宋" w:eastAsia="仿宋"/>
          <w:b/>
          <w:sz w:val="24"/>
          <w:szCs w:val="24"/>
          <w:lang w:eastAsia="zh-CN"/>
        </w:rPr>
      </w:pPr>
      <w:r>
        <w:rPr>
          <w:rFonts w:hint="eastAsia" w:ascii="仿宋" w:hAnsi="仿宋" w:eastAsia="仿宋"/>
          <w:b/>
          <w:sz w:val="24"/>
          <w:szCs w:val="24"/>
        </w:rPr>
        <w:t>二、人力资源业务外包内容</w:t>
      </w:r>
    </w:p>
    <w:p w14:paraId="6E05180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r>
        <w:rPr>
          <w:rFonts w:hint="eastAsia" w:ascii="仿宋" w:hAnsi="仿宋" w:eastAsia="仿宋" w:cs="仿宋"/>
          <w:snapToGrid/>
          <w:sz w:val="24"/>
          <w:szCs w:val="24"/>
          <w:lang w:val="en-US" w:eastAsia="zh-CN"/>
        </w:rPr>
        <w:t xml:space="preserve"> </w:t>
      </w:r>
    </w:p>
    <w:p w14:paraId="6580605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p>
    <w:p w14:paraId="1FD593F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p>
    <w:p w14:paraId="79E69AD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p>
    <w:p w14:paraId="27F9DCD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p>
    <w:p w14:paraId="10657C9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p>
    <w:p w14:paraId="789F472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napToGrid/>
          <w:sz w:val="24"/>
          <w:szCs w:val="24"/>
          <w:lang w:val="en-US" w:eastAsia="zh-CN"/>
        </w:rPr>
      </w:pPr>
    </w:p>
    <w:p w14:paraId="35ACF667">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default" w:ascii="仿宋" w:hAnsi="仿宋" w:eastAsia="仿宋"/>
          <w:b/>
          <w:sz w:val="24"/>
          <w:szCs w:val="24"/>
          <w:lang w:val="en-US" w:eastAsia="zh-CN"/>
        </w:rPr>
      </w:pPr>
      <w:r>
        <w:rPr>
          <w:rFonts w:hint="eastAsia" w:ascii="仿宋" w:hAnsi="仿宋" w:eastAsia="仿宋"/>
          <w:b/>
          <w:sz w:val="24"/>
          <w:szCs w:val="24"/>
        </w:rPr>
        <w:t>三、协议期限</w:t>
      </w:r>
      <w:r>
        <w:rPr>
          <w:rFonts w:hint="eastAsia" w:ascii="仿宋" w:hAnsi="仿宋" w:eastAsia="仿宋"/>
          <w:b/>
          <w:sz w:val="24"/>
          <w:szCs w:val="24"/>
          <w:lang w:val="en-US" w:eastAsia="zh-CN"/>
        </w:rPr>
        <w:t>和服务地点</w:t>
      </w:r>
    </w:p>
    <w:p w14:paraId="2F1C18D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sz w:val="24"/>
          <w:szCs w:val="24"/>
        </w:rPr>
      </w:pPr>
      <w:r>
        <w:rPr>
          <w:rFonts w:hint="eastAsia" w:ascii="仿宋" w:hAnsi="仿宋" w:eastAsia="仿宋"/>
          <w:sz w:val="24"/>
          <w:szCs w:val="24"/>
          <w:u w:val="none"/>
          <w:lang w:val="en-US" w:eastAsia="zh-CN"/>
        </w:rPr>
        <w:t>1、协议期限：</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年</w:t>
      </w:r>
      <w:r>
        <w:rPr>
          <w:rFonts w:hint="eastAsia" w:ascii="仿宋" w:hAnsi="仿宋" w:eastAsia="仿宋"/>
          <w:sz w:val="24"/>
          <w:szCs w:val="24"/>
          <w:u w:val="single"/>
          <w:lang w:val="en-US" w:eastAsia="zh-CN"/>
        </w:rPr>
        <w:t xml:space="preserve"> </w:t>
      </w:r>
      <w:r>
        <w:rPr>
          <w:rFonts w:hint="eastAsia" w:ascii="仿宋" w:hAnsi="仿宋" w:eastAsia="仿宋"/>
          <w:sz w:val="24"/>
          <w:szCs w:val="24"/>
        </w:rPr>
        <w:t>月</w:t>
      </w:r>
      <w:r>
        <w:rPr>
          <w:rFonts w:hint="eastAsia" w:ascii="仿宋" w:hAnsi="仿宋" w:eastAsia="仿宋"/>
          <w:sz w:val="24"/>
          <w:szCs w:val="24"/>
          <w:u w:val="single"/>
          <w:lang w:val="en-US" w:eastAsia="zh-CN"/>
        </w:rPr>
        <w:t xml:space="preserve"> </w:t>
      </w:r>
      <w:r>
        <w:rPr>
          <w:rFonts w:hint="eastAsia" w:ascii="仿宋" w:hAnsi="仿宋" w:eastAsia="仿宋"/>
          <w:sz w:val="24"/>
          <w:szCs w:val="24"/>
        </w:rPr>
        <w:t>日至</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年</w:t>
      </w:r>
      <w:r>
        <w:rPr>
          <w:rFonts w:hint="eastAsia" w:ascii="仿宋" w:hAnsi="仿宋" w:eastAsia="仿宋"/>
          <w:sz w:val="24"/>
          <w:szCs w:val="24"/>
          <w:u w:val="single"/>
          <w:lang w:val="en-US" w:eastAsia="zh-CN"/>
        </w:rPr>
        <w:t xml:space="preserve"> </w:t>
      </w:r>
      <w:r>
        <w:rPr>
          <w:rFonts w:hint="eastAsia" w:ascii="仿宋" w:hAnsi="仿宋" w:eastAsia="仿宋"/>
          <w:sz w:val="24"/>
          <w:szCs w:val="24"/>
        </w:rPr>
        <w:t>月</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日。</w:t>
      </w:r>
    </w:p>
    <w:p w14:paraId="4584E1E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eastAsia="仿宋"/>
          <w:sz w:val="24"/>
          <w:szCs w:val="24"/>
          <w:lang w:val="en-US" w:eastAsia="zh-CN"/>
        </w:rPr>
      </w:pPr>
      <w:r>
        <w:rPr>
          <w:rFonts w:hint="eastAsia" w:ascii="仿宋" w:hAnsi="仿宋" w:eastAsia="仿宋"/>
          <w:sz w:val="24"/>
          <w:szCs w:val="24"/>
          <w:lang w:val="en-US" w:eastAsia="zh-CN"/>
        </w:rPr>
        <w:t>2、服务地点：甲方指定工作场所。</w:t>
      </w:r>
    </w:p>
    <w:p w14:paraId="2AF86441">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rPr>
        <w:t>四、相关费用及支付方式</w:t>
      </w:r>
    </w:p>
    <w:p w14:paraId="6BA3FAD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sz w:val="24"/>
          <w:szCs w:val="24"/>
          <w:lang w:val="en-US" w:eastAsia="zh-CN"/>
        </w:rPr>
        <w:t>1、合同金额：本合同金额按照购买外包服务每月按照实际发生情况支付，具体人员及费用情况以当月外包人员名单为准，全年不超过总价为大写：                     ，小写：</w:t>
      </w:r>
      <w:r>
        <w:rPr>
          <w:rFonts w:hint="eastAsia" w:ascii="仿宋" w:hAnsi="仿宋" w:eastAsia="仿宋" w:cs="仿宋"/>
          <w:sz w:val="24"/>
          <w:szCs w:val="24"/>
          <w:lang w:val="en-US" w:eastAsia="zh-CN"/>
        </w:rPr>
        <w:t xml:space="preserve">            元。</w:t>
      </w:r>
    </w:p>
    <w:p w14:paraId="2A4447C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2、合同金额应包含 ：</w:t>
      </w:r>
    </w:p>
    <w:p w14:paraId="439E9E4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lang w:val="en-US" w:eastAsia="zh-CN"/>
        </w:rPr>
      </w:pPr>
    </w:p>
    <w:p w14:paraId="6263EFD4">
      <w:pPr>
        <w:pStyle w:val="2"/>
        <w:rPr>
          <w:rFonts w:hint="eastAsia"/>
          <w:sz w:val="24"/>
          <w:szCs w:val="24"/>
          <w:lang w:val="en-US" w:eastAsia="zh-CN"/>
        </w:rPr>
      </w:pPr>
    </w:p>
    <w:p w14:paraId="11B85F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sz w:val="24"/>
          <w:szCs w:val="24"/>
          <w:lang w:val="en-US" w:eastAsia="zh-CN"/>
        </w:rPr>
      </w:pPr>
      <w:r>
        <w:rPr>
          <w:rFonts w:hint="eastAsia" w:ascii="仿宋" w:hAnsi="仿宋" w:eastAsia="仿宋" w:cs="仿宋"/>
          <w:sz w:val="24"/>
          <w:szCs w:val="24"/>
          <w:lang w:val="en-US" w:eastAsia="zh-CN"/>
        </w:rPr>
        <w:t>3、支付方式：</w:t>
      </w:r>
      <w:r>
        <w:rPr>
          <w:rFonts w:hint="eastAsia" w:ascii="仿宋" w:hAnsi="仿宋" w:eastAsia="仿宋"/>
          <w:sz w:val="24"/>
          <w:szCs w:val="24"/>
        </w:rPr>
        <w:t>甲方应于</w:t>
      </w:r>
      <w:r>
        <w:rPr>
          <w:rFonts w:hint="eastAsia" w:ascii="仿宋" w:hAnsi="仿宋" w:eastAsia="仿宋"/>
          <w:sz w:val="24"/>
          <w:szCs w:val="24"/>
          <w:lang w:val="en-US" w:eastAsia="zh-CN"/>
        </w:rPr>
        <w:t>本合同签订后，每月按照所聘人员总费用据实支付，</w:t>
      </w:r>
      <w:r>
        <w:rPr>
          <w:rFonts w:hint="eastAsia" w:ascii="仿宋" w:hAnsi="仿宋" w:eastAsia="仿宋"/>
          <w:sz w:val="24"/>
          <w:szCs w:val="24"/>
        </w:rPr>
        <w:t>包括</w:t>
      </w:r>
      <w:r>
        <w:rPr>
          <w:rFonts w:hint="eastAsia" w:ascii="仿宋" w:hAnsi="仿宋" w:eastAsia="仿宋"/>
          <w:sz w:val="24"/>
          <w:szCs w:val="24"/>
          <w:lang w:val="en-US" w:eastAsia="zh-CN"/>
        </w:rPr>
        <w:t>员工</w:t>
      </w:r>
      <w:r>
        <w:rPr>
          <w:rFonts w:hint="eastAsia" w:ascii="仿宋" w:hAnsi="仿宋" w:eastAsia="仿宋"/>
          <w:sz w:val="24"/>
          <w:szCs w:val="24"/>
        </w:rPr>
        <w:t>的工资、外包服务费用</w:t>
      </w:r>
      <w:r>
        <w:rPr>
          <w:rFonts w:hint="eastAsia" w:ascii="仿宋" w:hAnsi="仿宋" w:eastAsia="仿宋"/>
          <w:sz w:val="24"/>
          <w:szCs w:val="24"/>
          <w:lang w:val="en-US" w:eastAsia="zh-CN"/>
        </w:rPr>
        <w:t>、发票税点等，乙方为甲方出具等额的增值税普通发票。</w:t>
      </w:r>
    </w:p>
    <w:p w14:paraId="77C42627">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4、乙方应按照甲方要求，及时将外包人员工资或报酬支付给外包人员，并按规定及时足额缴纳五险一金。</w:t>
      </w:r>
    </w:p>
    <w:p w14:paraId="587B60C3">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5、甲方在收到双方确定的外包服务费用确认单和乙方相应发票后支付相关服务费用。</w:t>
      </w:r>
    </w:p>
    <w:p w14:paraId="0FEFB155">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6、乙方账户信息如下：</w:t>
      </w:r>
    </w:p>
    <w:p w14:paraId="453E55D1">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p>
    <w:p w14:paraId="324395FD">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p>
    <w:p w14:paraId="67438DE9">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p>
    <w:p w14:paraId="43E62C04">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sz w:val="24"/>
          <w:szCs w:val="24"/>
          <w:lang w:val="en-US" w:eastAsia="zh-CN"/>
        </w:rPr>
      </w:pPr>
    </w:p>
    <w:p w14:paraId="023783F7">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乙方账户信息发生变更，应提前以书面形式告知甲方，否则由此造成的全部损失由乙方承担。</w:t>
      </w:r>
    </w:p>
    <w:p w14:paraId="0B58548B">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rPr>
        <w:t>五、甲方的权利与义务</w:t>
      </w:r>
    </w:p>
    <w:p w14:paraId="618445F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1．甲方应依约以转账或支票等形式及时向乙方支付外包费用。</w:t>
      </w:r>
    </w:p>
    <w:p w14:paraId="33A2F59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2．如需甲方向乙方出具有关委托手续或法律文件，甲方应按乙方的要求及时提供。</w:t>
      </w:r>
    </w:p>
    <w:p w14:paraId="4B07407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sz w:val="24"/>
          <w:szCs w:val="24"/>
        </w:rPr>
      </w:pPr>
      <w:r>
        <w:rPr>
          <w:rFonts w:hint="eastAsia" w:ascii="仿宋" w:hAnsi="仿宋" w:eastAsia="仿宋"/>
          <w:sz w:val="24"/>
          <w:szCs w:val="24"/>
        </w:rPr>
        <w:t>3．甲方如认为乙方的外包服务工作存在问题，有权随时向乙方反映有关情况并要求乙方予以说明；如果甲方所反映的问题确实存在，并且不违反法律、法规或政策的规定，乙方应及时与甲方沟通，并及时予以纠正或弥补。</w:t>
      </w:r>
    </w:p>
    <w:p w14:paraId="32E6CA67">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甲方应当为劳务外包人员提供符合法律法规规定的工作场所、工作条件和劳动保护、劳动工具等，但并不因此认定甲方与劳务外包人员存在劳动关系乙方仍然是其派出人员的用人单位。</w:t>
      </w:r>
    </w:p>
    <w:p w14:paraId="78FDD1A9">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甲方有权根据工作需要在约定的工作范围内调整劳务外包人员的具体工作岗位，并及时通知乙方，但并不因此认定甲方与劳务外包人员存在劳动关系乙方仍然是其派出人员的用人单位。</w:t>
      </w:r>
    </w:p>
    <w:p w14:paraId="6E729D33">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劳务外包人员在派出期间出现违规违纪行为或其他意外事件，甲方应当及时通知乙方。</w:t>
      </w:r>
    </w:p>
    <w:p w14:paraId="0EC3FB76">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劳务外包人员在派出期间受到事故伤害或者患职业病的，甲方应及时送到医疗机构抢救治疗，及时通知乙方,并积极协助乙方按照《工伤保险条例》及相关政策规定妥善处理，积极配合提供有关资料。</w:t>
      </w:r>
    </w:p>
    <w:p w14:paraId="7471D563">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rPr>
        <w:t>六、乙方的权利与义务</w:t>
      </w:r>
    </w:p>
    <w:p w14:paraId="696C15A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1．乙方应按照双方约定的服务标准完成人力资源外包服务工作。</w:t>
      </w:r>
    </w:p>
    <w:p w14:paraId="7EC8A00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2．乙方应指派专业人员为甲方提供人力资源外包服务。</w:t>
      </w:r>
    </w:p>
    <w:p w14:paraId="4613EE5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3．所有乙方在本项目的用工人员只与乙方建立劳动关系，与甲方没有劳动关系。如乙方与其员工发生劳动争议，由乙方自行处理，与甲方无关。</w:t>
      </w:r>
    </w:p>
    <w:p w14:paraId="59CE992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4．乙方有权按照本协议书的约定收取外包服务费。</w:t>
      </w:r>
    </w:p>
    <w:p w14:paraId="6DF8008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5．乙方收到甲方支付的工资款后，应按甲方的要求、标准及时、正确发放工资等，不得延误，如有错误，乙方承担责任。如甲方承诺管理费未依约支付，乙方有权为其人员办理终止手续，因此造成的损失由甲方承担。</w:t>
      </w:r>
    </w:p>
    <w:p w14:paraId="03EF537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sz w:val="24"/>
          <w:szCs w:val="24"/>
        </w:rPr>
      </w:pPr>
      <w:r>
        <w:rPr>
          <w:rFonts w:hint="eastAsia" w:ascii="仿宋" w:hAnsi="仿宋" w:eastAsia="仿宋"/>
          <w:sz w:val="24"/>
          <w:szCs w:val="24"/>
        </w:rPr>
        <w:t>6．乙方应对甲方所提供的材料及信息保守秘密，不得外泄或用于非本协议约定的用途。</w:t>
      </w:r>
    </w:p>
    <w:p w14:paraId="34042C1B">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乙方根据甲方要求，制定劳务外包人员管理的各项规章制度，提供相关人力资源和社会保障方面的有关政策咨询服务,做好劳务外包人员上岗前的各项服务工作。</w:t>
      </w:r>
    </w:p>
    <w:p w14:paraId="66422B7C">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乙方在劳务外包人员派出期间，不得为劳务外包人员安排其他工作，未经甲方同意，不得随意撤回或调换人员。</w:t>
      </w:r>
    </w:p>
    <w:p w14:paraId="2BF9A7CC">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劳务外包人员发生工伤事故时，乙方负责办理劳务外包人员工伤事故申请、工伤认定、鉴定、工伤保险赔付手续及工伤档案管理等工作，有关材料甲方应积极配合提供。</w:t>
      </w:r>
    </w:p>
    <w:p w14:paraId="0CBB8786">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乙方应当定期到甲方了解劳务外包人员的思想动态、工作表现、遵守规章制度等情况，甲方应当给予积极配合和支持。</w:t>
      </w:r>
    </w:p>
    <w:p w14:paraId="711ACD3A">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仿宋" w:hAnsi="仿宋" w:eastAsia="仿宋"/>
          <w:b/>
          <w:sz w:val="24"/>
          <w:szCs w:val="24"/>
          <w:lang w:val="en-US" w:eastAsia="zh-CN"/>
        </w:rPr>
      </w:pPr>
      <w:r>
        <w:rPr>
          <w:rFonts w:hint="eastAsia" w:ascii="仿宋" w:hAnsi="仿宋" w:eastAsia="仿宋"/>
          <w:b/>
          <w:sz w:val="24"/>
          <w:szCs w:val="24"/>
        </w:rPr>
        <w:t>七、</w:t>
      </w:r>
      <w:r>
        <w:rPr>
          <w:rFonts w:hint="eastAsia" w:ascii="仿宋" w:hAnsi="仿宋" w:eastAsia="仿宋"/>
          <w:b/>
          <w:sz w:val="24"/>
          <w:szCs w:val="24"/>
          <w:lang w:val="en-US" w:eastAsia="zh-CN"/>
        </w:rPr>
        <w:t>验收标准和要求</w:t>
      </w:r>
    </w:p>
    <w:p w14:paraId="7C217685">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1.合同签订之日起3日内，完成甲方已有劳务外包人员的服务接收工作，且服务人员全部上岗。</w:t>
      </w:r>
    </w:p>
    <w:p w14:paraId="58865FF4">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2.乙方为本项目组建符合甲方要求的专门服务管理团队，提供本地化服务工作期间如遇人员调整，应及时向甲方通告并征得同意。</w:t>
      </w:r>
    </w:p>
    <w:p w14:paraId="00772DCF">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3.乙方及其劳务外包人员应当按甲方的标准,严格工作要求,严肃工作纪律,严守工作秘密，恪守职业道德，提升服务质量。</w:t>
      </w:r>
    </w:p>
    <w:p w14:paraId="0653EDB3">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4.劳务外包人员要严格遵守甲方的工作时间要求和工作岗位职责规定。甲方有权对不合格人员进行更换或退回乙方。</w:t>
      </w:r>
    </w:p>
    <w:p w14:paraId="5F1F9FDA">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5.乙方应当提供为完成本项目所需要的全部服务。</w:t>
      </w:r>
    </w:p>
    <w:p w14:paraId="4059A43F">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lang w:val="en-US" w:eastAsia="zh-CN"/>
        </w:rPr>
        <w:t>八、</w:t>
      </w:r>
      <w:r>
        <w:rPr>
          <w:rFonts w:hint="eastAsia" w:ascii="仿宋" w:hAnsi="仿宋" w:eastAsia="仿宋"/>
          <w:b/>
          <w:sz w:val="24"/>
          <w:szCs w:val="24"/>
        </w:rPr>
        <w:t>合同的变更、解除与终止</w:t>
      </w:r>
    </w:p>
    <w:p w14:paraId="312F15E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甲方根据法律法规的规定、国家政策的调整以及上级部门文件的规定，需要对本协议相关事项进行调整的，无需协商一致，乙方应根据甲方通知调整；但如明显超出双方约定的服务范围的，由双方另行协商收费事宜。</w:t>
      </w:r>
    </w:p>
    <w:p w14:paraId="627BEE3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、有下列情形之一，本合同终止：</w:t>
      </w:r>
    </w:p>
    <w:p w14:paraId="0F4AE1E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（1）因不可抗力导致合同无法履行的；</w:t>
      </w:r>
    </w:p>
    <w:p w14:paraId="4C2E89E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（2）乙方因故被解散、关闭而导致主体资格丧失的；</w:t>
      </w:r>
    </w:p>
    <w:p w14:paraId="7C0BBBB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（3）其他非因双方过错导致合同终止的。</w:t>
      </w:r>
    </w:p>
    <w:p w14:paraId="7E81273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、无论因何种原因解除或终止合同，乙方应确保其派出人员本着诚实信用的原则完成交接工作，并继续承担有关保密义务。</w:t>
      </w:r>
    </w:p>
    <w:p w14:paraId="14C0F85A">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lang w:val="en-US" w:eastAsia="zh-CN"/>
        </w:rPr>
        <w:t>九</w:t>
      </w:r>
      <w:r>
        <w:rPr>
          <w:rFonts w:hint="eastAsia" w:ascii="仿宋" w:hAnsi="仿宋" w:eastAsia="仿宋"/>
          <w:b/>
          <w:sz w:val="24"/>
          <w:szCs w:val="24"/>
        </w:rPr>
        <w:t>、违约责任</w:t>
      </w:r>
    </w:p>
    <w:p w14:paraId="7838A3D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1、双方违反本合同所约定的义务的，应向对方承担违约责任，造成对方损失的，还应赔偿损失。</w:t>
      </w:r>
    </w:p>
    <w:p w14:paraId="14D5EA1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2、甲方应按协议约定时间支付乙方外包服务费（包括外包管理费和员工工资</w:t>
      </w:r>
      <w:r>
        <w:rPr>
          <w:rFonts w:hint="eastAsia" w:ascii="仿宋" w:hAnsi="仿宋" w:eastAsia="仿宋"/>
          <w:sz w:val="24"/>
          <w:szCs w:val="24"/>
          <w:lang w:val="en-US" w:eastAsia="zh-CN"/>
        </w:rPr>
        <w:t>等</w:t>
      </w:r>
      <w:r>
        <w:rPr>
          <w:rFonts w:hint="eastAsia" w:ascii="仿宋" w:hAnsi="仿宋" w:eastAsia="仿宋"/>
          <w:sz w:val="24"/>
          <w:szCs w:val="24"/>
        </w:rPr>
        <w:t>），若因违约造成损失，承担相应责任。</w:t>
      </w:r>
    </w:p>
    <w:p w14:paraId="7DA85C72">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lang w:val="en-US" w:eastAsia="zh-CN"/>
        </w:rPr>
        <w:t>十</w:t>
      </w:r>
      <w:r>
        <w:rPr>
          <w:rFonts w:hint="eastAsia" w:ascii="仿宋" w:hAnsi="仿宋" w:eastAsia="仿宋"/>
          <w:b/>
          <w:sz w:val="24"/>
          <w:szCs w:val="24"/>
        </w:rPr>
        <w:t>、通知与送达</w:t>
      </w:r>
    </w:p>
    <w:p w14:paraId="6579EA3C">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甲乙双方在本协议履行过程中相互发出或者提供的所有通知、文件、文书、资料等，均以本协议所列明的地址送达。一方如果迁址，应当书面通知对方。</w:t>
      </w:r>
    </w:p>
    <w:p w14:paraId="57FC9D0B">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仿宋" w:hAnsi="仿宋" w:eastAsia="仿宋"/>
          <w:b/>
          <w:sz w:val="24"/>
          <w:szCs w:val="24"/>
        </w:rPr>
      </w:pPr>
      <w:r>
        <w:rPr>
          <w:rFonts w:hint="eastAsia" w:ascii="仿宋" w:hAnsi="仿宋" w:eastAsia="仿宋"/>
          <w:b/>
          <w:sz w:val="24"/>
          <w:szCs w:val="24"/>
        </w:rPr>
        <w:t>十</w:t>
      </w:r>
      <w:r>
        <w:rPr>
          <w:rFonts w:hint="eastAsia" w:ascii="仿宋" w:hAnsi="仿宋" w:eastAsia="仿宋"/>
          <w:b/>
          <w:sz w:val="24"/>
          <w:szCs w:val="24"/>
          <w:lang w:val="en-US" w:eastAsia="zh-CN"/>
        </w:rPr>
        <w:t>一</w:t>
      </w:r>
      <w:r>
        <w:rPr>
          <w:rFonts w:hint="eastAsia" w:ascii="仿宋" w:hAnsi="仿宋" w:eastAsia="仿宋"/>
          <w:b/>
          <w:sz w:val="24"/>
          <w:szCs w:val="24"/>
        </w:rPr>
        <w:t>、其他事项</w:t>
      </w:r>
    </w:p>
    <w:p w14:paraId="67DBAB5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1、本协议是专为该人力资源外包专项服务而拟定，是经双方平等协商确定的特别协议。</w:t>
      </w:r>
    </w:p>
    <w:p w14:paraId="4831254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2、在本协议履行期间，任何一方提出终止协议，均应当提前一个月书面通知对方。协议期间届满，双方如愿意续签，应在协议期满的当月办理续签手续。</w:t>
      </w:r>
    </w:p>
    <w:p w14:paraId="7CE7C95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3、本协议一式两份，经甲乙双方签字盖章后生效，甲乙双方各执一份，每份具有同等法律效力。</w:t>
      </w:r>
    </w:p>
    <w:p w14:paraId="0F9589E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sz w:val="24"/>
          <w:szCs w:val="24"/>
        </w:rPr>
      </w:pPr>
    </w:p>
    <w:p w14:paraId="6E9F7DC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甲方（盖公章）：             乙方（盖公章）：</w:t>
      </w:r>
    </w:p>
    <w:p w14:paraId="77970B4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sz w:val="24"/>
          <w:szCs w:val="24"/>
        </w:rPr>
      </w:pPr>
    </w:p>
    <w:p w14:paraId="02BCE8B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法定代表人（盖章）：         法定代表人（盖章）：</w:t>
      </w:r>
    </w:p>
    <w:p w14:paraId="2E465FD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仿宋" w:hAnsi="仿宋" w:eastAsia="仿宋"/>
          <w:sz w:val="24"/>
          <w:szCs w:val="24"/>
          <w:lang w:val="en-US" w:eastAsia="zh-CN"/>
        </w:rPr>
      </w:pPr>
      <w:r>
        <w:rPr>
          <w:rFonts w:hint="eastAsia" w:ascii="仿宋" w:hAnsi="仿宋" w:eastAsia="仿宋"/>
          <w:sz w:val="24"/>
          <w:szCs w:val="24"/>
        </w:rPr>
        <w:t>签订日期：                  签订日期：</w:t>
      </w:r>
    </w:p>
    <w:p w14:paraId="5D22C49E">
      <w:pPr>
        <w:pStyle w:val="12"/>
        <w:rPr>
          <w:sz w:val="24"/>
          <w:szCs w:val="24"/>
          <w:lang w:eastAsia="zh-CN"/>
        </w:rPr>
        <w:sectPr>
          <w:pgSz w:w="11905" w:h="16838"/>
          <w:pgMar w:top="1134" w:right="1134" w:bottom="1134" w:left="1134" w:header="0" w:footer="1043" w:gutter="0"/>
          <w:cols w:space="0" w:num="1"/>
        </w:sectPr>
      </w:pPr>
    </w:p>
    <w:p w14:paraId="67F56C6D">
      <w:pPr>
        <w:spacing w:line="360" w:lineRule="auto"/>
        <w:jc w:val="center"/>
        <w:outlineLvl w:val="0"/>
        <w:rPr>
          <w:rFonts w:ascii="Times New Roman" w:hAnsi="Times New Roman" w:eastAsia="宋体" w:cs="宋体"/>
          <w:sz w:val="42"/>
          <w:szCs w:val="42"/>
          <w:lang w:eastAsia="zh-CN"/>
        </w:rPr>
      </w:pPr>
      <w:bookmarkStart w:id="129" w:name="_Toc6188"/>
      <w:r>
        <w:rPr>
          <w:rFonts w:ascii="Times New Roman" w:hAnsi="Times New Roman" w:eastAsia="宋体" w:cs="宋体"/>
          <w:b/>
          <w:bCs/>
          <w:sz w:val="42"/>
          <w:szCs w:val="42"/>
          <w:lang w:eastAsia="zh-CN"/>
        </w:rPr>
        <w:t>第五章服务需求</w:t>
      </w:r>
      <w:bookmarkEnd w:id="129"/>
    </w:p>
    <w:p w14:paraId="38AAA03E">
      <w:pPr>
        <w:rPr>
          <w:rFonts w:ascii="宋体" w:hAnsi="宋体" w:eastAsia="宋体" w:cs="宋体"/>
          <w:b/>
          <w:bCs/>
          <w:sz w:val="28"/>
          <w:szCs w:val="28"/>
          <w:lang w:eastAsia="zh-CN"/>
        </w:rPr>
      </w:pPr>
    </w:p>
    <w:p w14:paraId="4385A777">
      <w:pPr>
        <w:jc w:val="center"/>
        <w:rPr>
          <w:b/>
          <w:bCs/>
          <w:sz w:val="32"/>
          <w:szCs w:val="40"/>
          <w:lang w:eastAsia="zh-CN"/>
        </w:rPr>
      </w:pPr>
      <w:r>
        <w:rPr>
          <w:rFonts w:hint="eastAsia"/>
          <w:b/>
          <w:bCs/>
          <w:sz w:val="32"/>
          <w:szCs w:val="40"/>
          <w:lang w:eastAsia="zh-CN"/>
        </w:rPr>
        <w:t>长春特种设备检测研究院（长春市特种设备安全监控中心）人力资源外包服务采购项目需求</w:t>
      </w:r>
    </w:p>
    <w:p w14:paraId="39F2B5B3">
      <w:pPr>
        <w:pStyle w:val="2"/>
        <w:rPr>
          <w:b/>
          <w:bCs/>
          <w:sz w:val="32"/>
          <w:szCs w:val="40"/>
          <w:lang w:eastAsia="zh-CN"/>
        </w:rPr>
      </w:pPr>
    </w:p>
    <w:p w14:paraId="525A55A5">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一、项目名称:人力资源外包</w:t>
      </w:r>
    </w:p>
    <w:p w14:paraId="73B0B713">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二、采购预算总额:</w:t>
      </w:r>
      <w:r>
        <w:rPr>
          <w:rFonts w:hint="eastAsia" w:ascii="宋体" w:hAnsi="宋体" w:eastAsia="宋体" w:cs="宋体"/>
          <w:snapToGrid/>
          <w:lang w:val="en-US" w:eastAsia="zh-CN"/>
        </w:rPr>
        <w:t>30</w:t>
      </w:r>
      <w:r>
        <w:rPr>
          <w:rFonts w:hint="eastAsia" w:ascii="宋体" w:hAnsi="宋体" w:eastAsia="宋体" w:cs="宋体"/>
          <w:snapToGrid/>
          <w:lang w:eastAsia="zh-CN"/>
        </w:rPr>
        <w:t>00000 元</w:t>
      </w:r>
    </w:p>
    <w:p w14:paraId="44EA4247">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三、服务期限：</w:t>
      </w:r>
      <w:r>
        <w:rPr>
          <w:rFonts w:hint="eastAsia" w:ascii="宋体" w:hAnsi="宋体" w:eastAsia="宋体" w:cs="宋体"/>
          <w:snapToGrid/>
          <w:lang w:val="en-US" w:eastAsia="zh-CN"/>
        </w:rPr>
        <w:t>自合同签订之日起至2025年12月31日止</w:t>
      </w:r>
    </w:p>
    <w:p w14:paraId="3C211752">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四、服务需求：</w:t>
      </w:r>
    </w:p>
    <w:p w14:paraId="4B5203BC">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1、负责提供20-30人左右用工需求，具体以实际发生为准。</w:t>
      </w:r>
    </w:p>
    <w:p w14:paraId="210EFD82">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2、要求该供应商团队至少配备投入此项目的人员不少于5人，项目经理1人，招聘专员1人，人事专员1人，财务人员1人，法律顾问1人。负责该项目的统筹协调、人员招聘、劳动关系办理、缴纳保险、发放工资等服务。</w:t>
      </w:r>
    </w:p>
    <w:p w14:paraId="25C8E664">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3、供应商必须依据采购人招录条件及要求配备人员，并且所有人员上岗前，均需经采购人确认无误后方可上岗。</w:t>
      </w:r>
    </w:p>
    <w:p w14:paraId="593DC372">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4、招录用工包含承压类高级检验师、话务接线员、特种设备检验检测人员等。</w:t>
      </w:r>
    </w:p>
    <w:p w14:paraId="0609A588">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5、如供应商配备的人员上岗后不能胜任岗位要求，采购人有权要求更换。</w:t>
      </w:r>
    </w:p>
    <w:p w14:paraId="3722B2C2">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五、采购人信息</w:t>
      </w:r>
    </w:p>
    <w:p w14:paraId="1F109756">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名称：长春特种设备检测研究院（长春市特种设备安全监控中心）</w:t>
      </w:r>
    </w:p>
    <w:p w14:paraId="2139897D">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地址：吉林省长春市经开区浦东路333号</w:t>
      </w:r>
    </w:p>
    <w:p w14:paraId="62B8E6FC">
      <w:pPr>
        <w:widowControl w:val="0"/>
        <w:kinsoku/>
        <w:autoSpaceDE/>
        <w:autoSpaceDN/>
        <w:adjustRightInd/>
        <w:snapToGrid/>
        <w:spacing w:line="480" w:lineRule="auto"/>
        <w:ind w:firstLine="420" w:firstLineChars="200"/>
        <w:textAlignment w:val="auto"/>
        <w:rPr>
          <w:rFonts w:hint="eastAsia" w:ascii="宋体" w:hAnsi="宋体" w:eastAsia="宋体" w:cs="宋体"/>
          <w:snapToGrid/>
          <w:lang w:eastAsia="zh-CN"/>
        </w:rPr>
      </w:pPr>
      <w:r>
        <w:rPr>
          <w:rFonts w:hint="eastAsia" w:ascii="宋体" w:hAnsi="宋体" w:eastAsia="宋体" w:cs="宋体"/>
          <w:snapToGrid/>
          <w:lang w:eastAsia="zh-CN"/>
        </w:rPr>
        <w:t>联 系 人：高建国</w:t>
      </w:r>
    </w:p>
    <w:p w14:paraId="65FBA92F">
      <w:pPr>
        <w:widowControl w:val="0"/>
        <w:kinsoku/>
        <w:autoSpaceDE/>
        <w:autoSpaceDN/>
        <w:adjustRightInd/>
        <w:snapToGrid/>
        <w:spacing w:line="480" w:lineRule="auto"/>
        <w:ind w:firstLine="420" w:firstLineChars="200"/>
        <w:textAlignment w:val="auto"/>
        <w:rPr>
          <w:rFonts w:ascii="宋体" w:hAnsi="宋体" w:eastAsia="宋体" w:cs="宋体"/>
          <w:snapToGrid/>
          <w:lang w:eastAsia="zh-CN"/>
        </w:rPr>
      </w:pPr>
      <w:r>
        <w:rPr>
          <w:rFonts w:hint="eastAsia" w:ascii="宋体" w:hAnsi="宋体" w:eastAsia="宋体" w:cs="宋体"/>
          <w:snapToGrid/>
          <w:lang w:eastAsia="zh-CN"/>
        </w:rPr>
        <w:t>联系电话：0431-87605719</w:t>
      </w:r>
    </w:p>
    <w:p w14:paraId="03008588">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5BA5DCB7">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308625EF">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59825E99">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2AF39664">
      <w:pPr>
        <w:widowControl w:val="0"/>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03DDB3D8">
      <w:pPr>
        <w:widowControl w:val="0"/>
        <w:kinsoku/>
        <w:autoSpaceDE/>
        <w:autoSpaceDN/>
        <w:adjustRightInd/>
        <w:snapToGrid/>
        <w:ind w:firstLine="560" w:firstLineChars="200"/>
        <w:textAlignment w:val="auto"/>
        <w:rPr>
          <w:rFonts w:ascii="Calibri" w:hAnsi="Calibri" w:eastAsia="宋体" w:cs="Times New Roman"/>
          <w:snapToGrid/>
          <w:kern w:val="2"/>
          <w:sz w:val="28"/>
          <w:szCs w:val="28"/>
          <w:lang w:eastAsia="zh-CN"/>
        </w:rPr>
      </w:pPr>
    </w:p>
    <w:p w14:paraId="724907B0">
      <w:pPr>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7B694996">
      <w:pPr>
        <w:kinsoku/>
        <w:autoSpaceDE/>
        <w:autoSpaceDN/>
        <w:adjustRightInd/>
        <w:snapToGrid/>
        <w:ind w:firstLine="560" w:firstLineChars="200"/>
        <w:textAlignment w:val="auto"/>
        <w:rPr>
          <w:rFonts w:ascii="仿宋_GB2312" w:hAnsi="仿宋_GB2312" w:eastAsia="仿宋_GB2312" w:cs="仿宋_GB2312"/>
          <w:snapToGrid/>
          <w:sz w:val="28"/>
          <w:szCs w:val="28"/>
          <w:lang w:eastAsia="zh-CN"/>
        </w:rPr>
      </w:pPr>
    </w:p>
    <w:p w14:paraId="103187E5">
      <w:pPr>
        <w:widowControl w:val="0"/>
        <w:kinsoku/>
        <w:autoSpaceDE/>
        <w:autoSpaceDN/>
        <w:adjustRightInd/>
        <w:snapToGrid/>
        <w:jc w:val="both"/>
        <w:textAlignment w:val="auto"/>
        <w:rPr>
          <w:rFonts w:ascii="Calibri" w:hAnsi="Calibri" w:eastAsia="宋体" w:cs="Times New Roman"/>
          <w:snapToGrid/>
          <w:kern w:val="2"/>
          <w:szCs w:val="24"/>
          <w:lang w:eastAsia="zh-CN"/>
        </w:rPr>
      </w:pPr>
    </w:p>
    <w:p w14:paraId="3F268045">
      <w:pPr>
        <w:spacing w:line="360" w:lineRule="auto"/>
        <w:jc w:val="center"/>
        <w:rPr>
          <w:rFonts w:ascii="Times New Roman" w:hAnsi="Times New Roman" w:eastAsia="宋体" w:cs="宋体"/>
          <w:b/>
          <w:bCs/>
          <w:sz w:val="42"/>
          <w:szCs w:val="42"/>
          <w:lang w:eastAsia="zh-CN"/>
        </w:rPr>
      </w:pPr>
    </w:p>
    <w:p w14:paraId="4D306146">
      <w:pPr>
        <w:spacing w:line="360" w:lineRule="auto"/>
        <w:jc w:val="center"/>
        <w:outlineLvl w:val="0"/>
        <w:rPr>
          <w:rFonts w:ascii="Times New Roman" w:hAnsi="Times New Roman" w:eastAsia="宋体" w:cs="宋体"/>
          <w:b/>
          <w:bCs/>
          <w:sz w:val="42"/>
          <w:szCs w:val="42"/>
          <w:lang w:eastAsia="zh-CN"/>
        </w:rPr>
      </w:pPr>
      <w:bookmarkStart w:id="130" w:name="_Toc19107"/>
      <w:r>
        <w:rPr>
          <w:rFonts w:ascii="Times New Roman" w:hAnsi="Times New Roman" w:eastAsia="宋体" w:cs="宋体"/>
          <w:b/>
          <w:bCs/>
          <w:sz w:val="42"/>
          <w:szCs w:val="42"/>
          <w:lang w:eastAsia="zh-CN"/>
        </w:rPr>
        <w:t>第六章 投标文件格式</w:t>
      </w:r>
      <w:bookmarkEnd w:id="130"/>
    </w:p>
    <w:p w14:paraId="7B95C869">
      <w:pPr>
        <w:pStyle w:val="5"/>
        <w:spacing w:line="360" w:lineRule="auto"/>
        <w:rPr>
          <w:rFonts w:ascii="Times New Roman" w:hAnsi="Times New Roman"/>
          <w:lang w:eastAsia="zh-CN"/>
        </w:rPr>
      </w:pPr>
    </w:p>
    <w:p w14:paraId="34934E57">
      <w:pPr>
        <w:pStyle w:val="5"/>
        <w:spacing w:line="360" w:lineRule="auto"/>
        <w:rPr>
          <w:rFonts w:ascii="Times New Roman" w:hAnsi="Times New Roman"/>
          <w:lang w:eastAsia="zh-CN"/>
        </w:rPr>
      </w:pPr>
    </w:p>
    <w:p w14:paraId="4D56EE0F">
      <w:pPr>
        <w:pStyle w:val="5"/>
        <w:spacing w:line="360" w:lineRule="auto"/>
        <w:rPr>
          <w:rFonts w:ascii="Times New Roman" w:hAnsi="Times New Roman"/>
          <w:lang w:eastAsia="zh-CN"/>
        </w:rPr>
      </w:pPr>
    </w:p>
    <w:p w14:paraId="71D4FEED">
      <w:pPr>
        <w:pStyle w:val="5"/>
        <w:spacing w:line="360" w:lineRule="auto"/>
        <w:rPr>
          <w:rFonts w:ascii="Times New Roman" w:hAnsi="Times New Roman"/>
          <w:lang w:eastAsia="zh-CN"/>
        </w:rPr>
      </w:pPr>
    </w:p>
    <w:p w14:paraId="0EB6C2FE">
      <w:pPr>
        <w:pStyle w:val="5"/>
        <w:spacing w:line="360" w:lineRule="auto"/>
        <w:rPr>
          <w:rFonts w:ascii="Times New Roman" w:hAnsi="Times New Roman"/>
          <w:lang w:eastAsia="zh-CN"/>
        </w:rPr>
      </w:pPr>
    </w:p>
    <w:p w14:paraId="67D71FDE">
      <w:pPr>
        <w:tabs>
          <w:tab w:val="left" w:pos="4445"/>
        </w:tabs>
        <w:spacing w:line="360" w:lineRule="auto"/>
        <w:ind w:firstLine="280" w:firstLineChars="100"/>
        <w:jc w:val="center"/>
        <w:rPr>
          <w:rFonts w:ascii="Times New Roman" w:hAnsi="Times New Roman" w:eastAsia="宋体" w:cs="宋体"/>
          <w:sz w:val="28"/>
          <w:szCs w:val="28"/>
          <w:lang w:eastAsia="zh-CN"/>
        </w:rPr>
      </w:pPr>
      <w:r>
        <w:rPr>
          <w:rFonts w:hint="eastAsia" w:ascii="Times New Roman" w:hAnsi="Times New Roman" w:eastAsia="宋体" w:cs="宋体"/>
          <w:sz w:val="28"/>
          <w:szCs w:val="28"/>
          <w:lang w:eastAsia="zh-CN"/>
        </w:rPr>
        <w:t>（项目</w:t>
      </w:r>
      <w:r>
        <w:rPr>
          <w:rFonts w:ascii="Times New Roman" w:hAnsi="Times New Roman" w:eastAsia="宋体" w:cs="宋体"/>
          <w:sz w:val="28"/>
          <w:szCs w:val="28"/>
          <w:lang w:eastAsia="zh-CN"/>
        </w:rPr>
        <w:t>名称</w:t>
      </w:r>
      <w:r>
        <w:rPr>
          <w:rFonts w:hint="eastAsia" w:ascii="Times New Roman" w:hAnsi="Times New Roman" w:eastAsia="宋体" w:cs="宋体"/>
          <w:sz w:val="28"/>
          <w:szCs w:val="28"/>
          <w:lang w:eastAsia="zh-CN"/>
        </w:rPr>
        <w:t>）</w:t>
      </w:r>
    </w:p>
    <w:p w14:paraId="3A8A5CF8">
      <w:pPr>
        <w:pStyle w:val="5"/>
        <w:spacing w:line="360" w:lineRule="auto"/>
        <w:rPr>
          <w:rFonts w:ascii="Times New Roman" w:hAnsi="Times New Roman"/>
          <w:lang w:eastAsia="zh-CN"/>
        </w:rPr>
      </w:pPr>
    </w:p>
    <w:p w14:paraId="5E0784F8">
      <w:pPr>
        <w:pStyle w:val="5"/>
        <w:spacing w:line="360" w:lineRule="auto"/>
        <w:rPr>
          <w:rFonts w:ascii="Times New Roman" w:hAnsi="Times New Roman"/>
          <w:lang w:eastAsia="zh-CN"/>
        </w:rPr>
      </w:pPr>
    </w:p>
    <w:p w14:paraId="49242574">
      <w:pPr>
        <w:spacing w:line="360" w:lineRule="auto"/>
        <w:jc w:val="center"/>
        <w:rPr>
          <w:rFonts w:ascii="Times New Roman" w:hAnsi="Times New Roman" w:eastAsia="宋体" w:cs="宋体"/>
          <w:sz w:val="66"/>
          <w:szCs w:val="66"/>
          <w:lang w:eastAsia="zh-CN"/>
        </w:rPr>
      </w:pPr>
      <w:r>
        <w:rPr>
          <w:rFonts w:ascii="Times New Roman" w:hAnsi="Times New Roman" w:eastAsia="宋体" w:cs="宋体"/>
          <w:b/>
          <w:bCs/>
          <w:sz w:val="66"/>
          <w:szCs w:val="66"/>
          <w:lang w:eastAsia="zh-CN"/>
        </w:rPr>
        <w:t>投标文件</w:t>
      </w:r>
    </w:p>
    <w:p w14:paraId="426302D5">
      <w:pPr>
        <w:pStyle w:val="5"/>
        <w:spacing w:line="360" w:lineRule="auto"/>
        <w:rPr>
          <w:rFonts w:ascii="Times New Roman" w:hAnsi="Times New Roman"/>
          <w:lang w:eastAsia="zh-CN"/>
        </w:rPr>
      </w:pPr>
    </w:p>
    <w:p w14:paraId="34FE8FCC">
      <w:pPr>
        <w:pStyle w:val="5"/>
        <w:spacing w:line="360" w:lineRule="auto"/>
        <w:rPr>
          <w:rFonts w:ascii="Times New Roman" w:hAnsi="Times New Roman"/>
          <w:lang w:eastAsia="zh-CN"/>
        </w:rPr>
      </w:pPr>
    </w:p>
    <w:p w14:paraId="50C82B15">
      <w:pPr>
        <w:pStyle w:val="5"/>
        <w:spacing w:line="360" w:lineRule="auto"/>
        <w:rPr>
          <w:rFonts w:ascii="Times New Roman" w:hAnsi="Times New Roman"/>
          <w:lang w:eastAsia="zh-CN"/>
        </w:rPr>
      </w:pPr>
    </w:p>
    <w:p w14:paraId="7B8E9590">
      <w:pPr>
        <w:pStyle w:val="5"/>
        <w:spacing w:line="360" w:lineRule="auto"/>
        <w:rPr>
          <w:rFonts w:ascii="Times New Roman" w:hAnsi="Times New Roman"/>
          <w:lang w:eastAsia="zh-CN"/>
        </w:rPr>
      </w:pPr>
    </w:p>
    <w:p w14:paraId="302ED877">
      <w:pPr>
        <w:pStyle w:val="5"/>
        <w:spacing w:line="360" w:lineRule="auto"/>
        <w:rPr>
          <w:rFonts w:ascii="Times New Roman" w:hAnsi="Times New Roman"/>
          <w:lang w:eastAsia="zh-CN"/>
        </w:rPr>
      </w:pPr>
    </w:p>
    <w:p w14:paraId="7FFDAC9C">
      <w:pPr>
        <w:spacing w:line="360" w:lineRule="auto"/>
        <w:ind w:left="3475"/>
        <w:rPr>
          <w:rFonts w:ascii="Times New Roman" w:hAnsi="Times New Roman" w:eastAsia="宋体" w:cs="宋体"/>
          <w:sz w:val="28"/>
          <w:szCs w:val="28"/>
          <w:lang w:eastAsia="zh-CN"/>
        </w:rPr>
      </w:pPr>
      <w:r>
        <w:rPr>
          <w:rFonts w:ascii="Times New Roman" w:hAnsi="Times New Roman" w:eastAsia="宋体" w:cs="宋体"/>
          <w:sz w:val="28"/>
          <w:szCs w:val="28"/>
          <w:lang w:eastAsia="zh-CN"/>
        </w:rPr>
        <w:t>招标编号：</w:t>
      </w:r>
    </w:p>
    <w:p w14:paraId="16835B05">
      <w:pPr>
        <w:pStyle w:val="5"/>
        <w:spacing w:line="360" w:lineRule="auto"/>
        <w:rPr>
          <w:rFonts w:ascii="Times New Roman" w:hAnsi="Times New Roman"/>
          <w:lang w:eastAsia="zh-CN"/>
        </w:rPr>
      </w:pPr>
    </w:p>
    <w:p w14:paraId="7CA2B2AE">
      <w:pPr>
        <w:pStyle w:val="5"/>
        <w:spacing w:line="360" w:lineRule="auto"/>
        <w:rPr>
          <w:rFonts w:ascii="Times New Roman" w:hAnsi="Times New Roman"/>
          <w:lang w:eastAsia="zh-CN"/>
        </w:rPr>
      </w:pPr>
    </w:p>
    <w:p w14:paraId="4A287C8A">
      <w:pPr>
        <w:pStyle w:val="5"/>
        <w:spacing w:line="360" w:lineRule="auto"/>
        <w:rPr>
          <w:rFonts w:ascii="Times New Roman" w:hAnsi="Times New Roman"/>
          <w:lang w:eastAsia="zh-CN"/>
        </w:rPr>
      </w:pPr>
    </w:p>
    <w:p w14:paraId="17370072">
      <w:pPr>
        <w:pStyle w:val="5"/>
        <w:spacing w:line="360" w:lineRule="auto"/>
        <w:rPr>
          <w:rFonts w:ascii="Times New Roman" w:hAnsi="Times New Roman"/>
          <w:lang w:eastAsia="zh-CN"/>
        </w:rPr>
      </w:pPr>
    </w:p>
    <w:p w14:paraId="09531A80">
      <w:pPr>
        <w:pStyle w:val="5"/>
        <w:spacing w:line="360" w:lineRule="auto"/>
        <w:rPr>
          <w:rFonts w:ascii="Times New Roman" w:hAnsi="Times New Roman"/>
          <w:lang w:eastAsia="zh-CN"/>
        </w:rPr>
      </w:pPr>
    </w:p>
    <w:p w14:paraId="4A8895D5">
      <w:pPr>
        <w:pStyle w:val="5"/>
        <w:spacing w:line="360" w:lineRule="auto"/>
        <w:rPr>
          <w:rFonts w:ascii="Times New Roman" w:hAnsi="Times New Roman"/>
          <w:lang w:eastAsia="zh-CN"/>
        </w:rPr>
      </w:pPr>
    </w:p>
    <w:p w14:paraId="45687885">
      <w:pPr>
        <w:pStyle w:val="5"/>
        <w:spacing w:line="360" w:lineRule="auto"/>
        <w:rPr>
          <w:rFonts w:ascii="Times New Roman" w:hAnsi="Times New Roman"/>
          <w:lang w:eastAsia="zh-CN"/>
        </w:rPr>
      </w:pPr>
    </w:p>
    <w:p w14:paraId="0EF9BC24">
      <w:pPr>
        <w:spacing w:line="360" w:lineRule="auto"/>
        <w:ind w:left="644"/>
        <w:rPr>
          <w:rFonts w:ascii="Times New Roman" w:hAnsi="Times New Roman" w:eastAsia="宋体" w:cs="宋体"/>
          <w:sz w:val="28"/>
          <w:szCs w:val="28"/>
          <w:lang w:eastAsia="zh-CN"/>
        </w:rPr>
      </w:pPr>
      <w:r>
        <w:rPr>
          <w:rFonts w:ascii="Times New Roman" w:hAnsi="Times New Roman" w:eastAsia="宋体" w:cs="宋体"/>
          <w:sz w:val="28"/>
          <w:szCs w:val="28"/>
          <w:lang w:eastAsia="zh-CN"/>
        </w:rPr>
        <w:t xml:space="preserve">投标人： </w:t>
      </w:r>
      <w:r>
        <w:rPr>
          <w:rFonts w:hint="eastAsia" w:ascii="Times New Roman" w:hAnsi="Times New Roman" w:eastAsia="宋体" w:cs="宋体"/>
          <w:sz w:val="28"/>
          <w:szCs w:val="28"/>
          <w:lang w:eastAsia="zh-CN"/>
        </w:rPr>
        <w:t>（</w:t>
      </w:r>
      <w:r>
        <w:rPr>
          <w:rFonts w:ascii="Times New Roman" w:hAnsi="Times New Roman" w:eastAsia="宋体" w:cs="宋体"/>
          <w:sz w:val="28"/>
          <w:szCs w:val="28"/>
          <w:lang w:eastAsia="zh-CN"/>
        </w:rPr>
        <w:t>盖单位章</w:t>
      </w:r>
      <w:r>
        <w:rPr>
          <w:rFonts w:hint="eastAsia" w:ascii="Times New Roman" w:hAnsi="Times New Roman" w:eastAsia="宋体" w:cs="宋体"/>
          <w:sz w:val="28"/>
          <w:szCs w:val="28"/>
          <w:lang w:eastAsia="zh-CN"/>
        </w:rPr>
        <w:t>）</w:t>
      </w:r>
    </w:p>
    <w:p w14:paraId="010E0455">
      <w:pPr>
        <w:spacing w:line="360" w:lineRule="auto"/>
        <w:ind w:left="674"/>
        <w:rPr>
          <w:rFonts w:ascii="Times New Roman" w:hAnsi="Times New Roman" w:eastAsia="宋体" w:cs="宋体"/>
          <w:sz w:val="28"/>
          <w:szCs w:val="28"/>
          <w:lang w:eastAsia="zh-CN"/>
        </w:rPr>
      </w:pPr>
    </w:p>
    <w:p w14:paraId="427E568E">
      <w:pPr>
        <w:spacing w:line="360" w:lineRule="auto"/>
        <w:ind w:left="674"/>
        <w:rPr>
          <w:rFonts w:ascii="Times New Roman" w:hAnsi="Times New Roman" w:eastAsia="宋体" w:cs="宋体"/>
          <w:sz w:val="28"/>
          <w:szCs w:val="28"/>
          <w:lang w:eastAsia="zh-CN"/>
        </w:rPr>
      </w:pPr>
      <w:r>
        <w:rPr>
          <w:rFonts w:ascii="Times New Roman" w:hAnsi="Times New Roman" w:eastAsia="宋体" w:cs="宋体"/>
          <w:sz w:val="28"/>
          <w:szCs w:val="28"/>
          <w:lang w:eastAsia="zh-CN"/>
        </w:rPr>
        <w:t xml:space="preserve">法定代表人或其委托代理人： </w:t>
      </w:r>
      <w:r>
        <w:rPr>
          <w:rFonts w:hint="eastAsia" w:ascii="Times New Roman" w:hAnsi="Times New Roman" w:eastAsia="宋体" w:cs="宋体"/>
          <w:sz w:val="28"/>
          <w:szCs w:val="28"/>
          <w:lang w:eastAsia="zh-CN"/>
        </w:rPr>
        <w:t>（</w:t>
      </w:r>
      <w:r>
        <w:rPr>
          <w:rFonts w:ascii="Times New Roman" w:hAnsi="Times New Roman" w:eastAsia="宋体" w:cs="宋体"/>
          <w:sz w:val="28"/>
          <w:szCs w:val="28"/>
          <w:lang w:eastAsia="zh-CN"/>
        </w:rPr>
        <w:t>签字</w:t>
      </w:r>
      <w:r>
        <w:rPr>
          <w:rFonts w:hint="eastAsia" w:ascii="Times New Roman" w:hAnsi="Times New Roman" w:eastAsia="宋体" w:cs="宋体"/>
          <w:sz w:val="28"/>
          <w:szCs w:val="28"/>
          <w:lang w:eastAsia="zh-CN"/>
        </w:rPr>
        <w:t>）</w:t>
      </w:r>
    </w:p>
    <w:p w14:paraId="40068F28">
      <w:pPr>
        <w:pStyle w:val="4"/>
        <w:rPr>
          <w:lang w:eastAsia="zh-CN"/>
        </w:rPr>
      </w:pPr>
    </w:p>
    <w:p w14:paraId="1E447551">
      <w:pPr>
        <w:tabs>
          <w:tab w:val="left" w:pos="3185"/>
        </w:tabs>
        <w:spacing w:line="360" w:lineRule="auto"/>
        <w:jc w:val="center"/>
        <w:rPr>
          <w:rFonts w:ascii="Times New Roman" w:hAnsi="Times New Roman" w:eastAsia="黑体" w:cs="黑体"/>
          <w:sz w:val="28"/>
          <w:szCs w:val="28"/>
          <w:lang w:eastAsia="zh-CN"/>
        </w:rPr>
      </w:pPr>
      <w:r>
        <w:rPr>
          <w:rFonts w:ascii="Times New Roman" w:hAnsi="Times New Roman" w:eastAsia="宋体" w:cs="宋体"/>
          <w:sz w:val="28"/>
          <w:szCs w:val="28"/>
          <w:lang w:eastAsia="zh-CN"/>
        </w:rPr>
        <w:t>年  月</w:t>
      </w:r>
      <w:r>
        <w:rPr>
          <w:rFonts w:hint="eastAsia" w:ascii="Times New Roman" w:hAnsi="Times New Roman" w:eastAsia="宋体" w:cs="宋体"/>
          <w:sz w:val="28"/>
          <w:szCs w:val="28"/>
          <w:lang w:val="en-US" w:eastAsia="zh-CN"/>
        </w:rPr>
        <w:t xml:space="preserve">    </w:t>
      </w:r>
      <w:r>
        <w:rPr>
          <w:rFonts w:ascii="Times New Roman" w:hAnsi="Times New Roman" w:eastAsia="宋体" w:cs="宋体"/>
          <w:sz w:val="28"/>
          <w:szCs w:val="28"/>
          <w:lang w:eastAsia="zh-CN"/>
        </w:rPr>
        <w:t>日</w:t>
      </w:r>
    </w:p>
    <w:p w14:paraId="0315ACB7">
      <w:pPr>
        <w:spacing w:line="360" w:lineRule="auto"/>
        <w:rPr>
          <w:rFonts w:ascii="Times New Roman" w:hAnsi="Times New Roman" w:eastAsia="黑体" w:cs="黑体"/>
          <w:sz w:val="28"/>
          <w:szCs w:val="28"/>
          <w:lang w:eastAsia="zh-CN"/>
        </w:rPr>
      </w:pPr>
    </w:p>
    <w:p w14:paraId="10732561">
      <w:pPr>
        <w:pStyle w:val="4"/>
        <w:rPr>
          <w:lang w:eastAsia="zh-CN"/>
        </w:rPr>
        <w:sectPr>
          <w:footerReference r:id="rId18" w:type="default"/>
          <w:pgSz w:w="11905" w:h="16838"/>
          <w:pgMar w:top="1134" w:right="1134" w:bottom="1134" w:left="1134" w:header="0" w:footer="1043" w:gutter="0"/>
          <w:cols w:space="0" w:num="1"/>
        </w:sectPr>
      </w:pPr>
    </w:p>
    <w:p w14:paraId="02279B01">
      <w:pPr>
        <w:spacing w:line="360" w:lineRule="auto"/>
        <w:ind w:left="3589"/>
        <w:rPr>
          <w:rFonts w:ascii="Times New Roman" w:hAnsi="Times New Roman" w:eastAsia="宋体" w:cs="宋体"/>
          <w:sz w:val="33"/>
          <w:szCs w:val="33"/>
          <w:lang w:eastAsia="zh-CN"/>
        </w:rPr>
      </w:pPr>
      <w:r>
        <w:rPr>
          <w:rFonts w:ascii="Times New Roman" w:hAnsi="Times New Roman" w:eastAsia="宋体" w:cs="宋体"/>
          <w:b/>
          <w:bCs/>
          <w:sz w:val="33"/>
          <w:szCs w:val="33"/>
          <w:lang w:eastAsia="zh-CN"/>
        </w:rPr>
        <w:t>目录</w:t>
      </w:r>
    </w:p>
    <w:p w14:paraId="2CDAFF02">
      <w:pPr>
        <w:pStyle w:val="5"/>
        <w:spacing w:line="360" w:lineRule="auto"/>
        <w:rPr>
          <w:rFonts w:ascii="Times New Roman" w:hAnsi="Times New Roman"/>
          <w:lang w:eastAsia="zh-CN"/>
        </w:rPr>
      </w:pPr>
    </w:p>
    <w:p w14:paraId="63831006">
      <w:pPr>
        <w:pStyle w:val="5"/>
        <w:spacing w:line="360" w:lineRule="auto"/>
        <w:rPr>
          <w:rFonts w:ascii="Times New Roman" w:hAnsi="Times New Roman"/>
          <w:lang w:eastAsia="zh-CN"/>
        </w:rPr>
      </w:pPr>
    </w:p>
    <w:p w14:paraId="295A1916">
      <w:pPr>
        <w:spacing w:line="360" w:lineRule="auto"/>
        <w:ind w:left="1948"/>
        <w:rPr>
          <w:rFonts w:ascii="Times New Roman" w:hAnsi="Times New Roman" w:eastAsia="黑体" w:cs="黑体"/>
          <w:sz w:val="22"/>
          <w:szCs w:val="22"/>
          <w:lang w:eastAsia="zh-CN"/>
        </w:rPr>
      </w:pPr>
      <w:r>
        <w:rPr>
          <w:rFonts w:hint="eastAsia" w:ascii="Times New Roman" w:hAnsi="Times New Roman" w:eastAsia="黑体" w:cs="黑体"/>
          <w:b/>
          <w:bCs/>
          <w:sz w:val="22"/>
          <w:szCs w:val="22"/>
          <w:lang w:eastAsia="zh-CN"/>
        </w:rPr>
        <w:t>（</w:t>
      </w:r>
      <w:r>
        <w:rPr>
          <w:rFonts w:ascii="Times New Roman" w:hAnsi="Times New Roman" w:eastAsia="黑体" w:cs="黑体"/>
          <w:b/>
          <w:bCs/>
          <w:sz w:val="22"/>
          <w:szCs w:val="22"/>
          <w:lang w:eastAsia="zh-CN"/>
        </w:rPr>
        <w:t>投标人需自行编制详细目录，并标注详细页码</w:t>
      </w:r>
      <w:r>
        <w:rPr>
          <w:rFonts w:hint="eastAsia" w:ascii="Times New Roman" w:hAnsi="Times New Roman" w:eastAsia="黑体" w:cs="黑体"/>
          <w:b/>
          <w:bCs/>
          <w:sz w:val="22"/>
          <w:szCs w:val="22"/>
          <w:lang w:eastAsia="zh-CN"/>
        </w:rPr>
        <w:t>）</w:t>
      </w:r>
    </w:p>
    <w:p w14:paraId="69D94981">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一、投标函及投标函附录</w:t>
      </w:r>
    </w:p>
    <w:p w14:paraId="239F114A">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二、法定代表人身份证明</w:t>
      </w:r>
    </w:p>
    <w:p w14:paraId="0406337C">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三、授权委托书</w:t>
      </w:r>
    </w:p>
    <w:p w14:paraId="4ED87016">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四、开标一览表</w:t>
      </w:r>
    </w:p>
    <w:p w14:paraId="05AC952B">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五、投标报价说明</w:t>
      </w:r>
    </w:p>
    <w:p w14:paraId="72C69901">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六、工作服务方案</w:t>
      </w:r>
    </w:p>
    <w:p w14:paraId="77B7E9D4">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七、本项目投入的设备</w:t>
      </w:r>
    </w:p>
    <w:p w14:paraId="49CB83EB">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八、资格审查资料</w:t>
      </w:r>
    </w:p>
    <w:p w14:paraId="262BB383">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九、商务及技术条款偏离表</w:t>
      </w:r>
    </w:p>
    <w:p w14:paraId="6E0E8046">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十 、其他资料</w:t>
      </w:r>
    </w:p>
    <w:p w14:paraId="6702959E">
      <w:pPr>
        <w:spacing w:line="360" w:lineRule="auto"/>
        <w:rPr>
          <w:rFonts w:ascii="Times New Roman" w:hAnsi="Times New Roman" w:eastAsia="宋体" w:cs="宋体"/>
          <w:sz w:val="22"/>
          <w:szCs w:val="22"/>
          <w:lang w:eastAsia="zh-CN"/>
        </w:rPr>
        <w:sectPr>
          <w:footerReference r:id="rId19" w:type="default"/>
          <w:pgSz w:w="11905" w:h="16838"/>
          <w:pgMar w:top="1134" w:right="1134" w:bottom="1134" w:left="1134" w:header="0" w:footer="1027" w:gutter="0"/>
          <w:cols w:space="0" w:num="1"/>
        </w:sectPr>
      </w:pPr>
    </w:p>
    <w:p w14:paraId="102232E2">
      <w:pPr>
        <w:pStyle w:val="5"/>
        <w:spacing w:line="360" w:lineRule="auto"/>
        <w:rPr>
          <w:rFonts w:ascii="Times New Roman" w:hAnsi="Times New Roman"/>
          <w:lang w:eastAsia="zh-CN"/>
        </w:rPr>
      </w:pPr>
    </w:p>
    <w:p w14:paraId="7CC56B21">
      <w:pPr>
        <w:pStyle w:val="5"/>
        <w:spacing w:line="360" w:lineRule="auto"/>
        <w:rPr>
          <w:rFonts w:ascii="Times New Roman" w:hAnsi="Times New Roman"/>
          <w:lang w:eastAsia="zh-CN"/>
        </w:rPr>
      </w:pPr>
    </w:p>
    <w:p w14:paraId="19522A22">
      <w:pPr>
        <w:spacing w:line="360" w:lineRule="auto"/>
        <w:ind w:left="2444"/>
        <w:outlineLvl w:val="6"/>
        <w:rPr>
          <w:rFonts w:ascii="Times New Roman" w:hAnsi="Times New Roman" w:eastAsia="宋体" w:cs="宋体"/>
          <w:sz w:val="29"/>
          <w:szCs w:val="29"/>
          <w:lang w:eastAsia="zh-CN"/>
        </w:rPr>
      </w:pPr>
      <w:r>
        <w:rPr>
          <w:rFonts w:ascii="Times New Roman" w:hAnsi="Times New Roman" w:eastAsia="宋体" w:cs="宋体"/>
          <w:b/>
          <w:bCs/>
          <w:sz w:val="29"/>
          <w:szCs w:val="29"/>
          <w:lang w:eastAsia="zh-CN"/>
        </w:rPr>
        <w:t>一、投标函及投标函附录</w:t>
      </w:r>
    </w:p>
    <w:p w14:paraId="50D87346">
      <w:pPr>
        <w:pStyle w:val="5"/>
        <w:spacing w:line="360" w:lineRule="auto"/>
        <w:rPr>
          <w:rFonts w:ascii="Times New Roman" w:hAnsi="Times New Roman"/>
          <w:lang w:eastAsia="zh-CN"/>
        </w:rPr>
      </w:pPr>
    </w:p>
    <w:p w14:paraId="16AAD5EF">
      <w:pPr>
        <w:spacing w:line="360" w:lineRule="auto"/>
        <w:ind w:left="3603"/>
        <w:rPr>
          <w:rFonts w:ascii="Times New Roman" w:hAnsi="Times New Roman" w:eastAsia="宋体" w:cs="宋体"/>
          <w:sz w:val="24"/>
          <w:szCs w:val="24"/>
          <w:lang w:eastAsia="zh-CN"/>
        </w:rPr>
      </w:pPr>
      <w:r>
        <w:rPr>
          <w:rFonts w:hint="eastAsia" w:ascii="Times New Roman" w:hAnsi="Times New Roman" w:eastAsia="宋体" w:cs="宋体"/>
          <w:b/>
          <w:bCs/>
          <w:sz w:val="24"/>
          <w:szCs w:val="24"/>
          <w:lang w:eastAsia="zh-CN"/>
        </w:rPr>
        <w:t>（</w:t>
      </w:r>
      <w:r>
        <w:rPr>
          <w:rFonts w:ascii="Times New Roman" w:hAnsi="Times New Roman" w:eastAsia="宋体" w:cs="宋体"/>
          <w:b/>
          <w:bCs/>
          <w:sz w:val="24"/>
          <w:szCs w:val="24"/>
          <w:lang w:eastAsia="zh-CN"/>
        </w:rPr>
        <w:t>一</w:t>
      </w:r>
      <w:r>
        <w:rPr>
          <w:rFonts w:hint="eastAsia" w:ascii="Times New Roman" w:hAnsi="Times New Roman" w:eastAsia="宋体" w:cs="宋体"/>
          <w:b/>
          <w:bCs/>
          <w:sz w:val="24"/>
          <w:szCs w:val="24"/>
          <w:lang w:eastAsia="zh-CN"/>
        </w:rPr>
        <w:t>）</w:t>
      </w:r>
      <w:r>
        <w:rPr>
          <w:rFonts w:ascii="Times New Roman" w:hAnsi="Times New Roman" w:eastAsia="宋体" w:cs="宋体"/>
          <w:b/>
          <w:bCs/>
          <w:sz w:val="24"/>
          <w:szCs w:val="24"/>
          <w:lang w:eastAsia="zh-CN"/>
        </w:rPr>
        <w:t>投标函</w:t>
      </w:r>
    </w:p>
    <w:p w14:paraId="23E8D85A">
      <w:pPr>
        <w:pStyle w:val="5"/>
        <w:spacing w:line="360" w:lineRule="auto"/>
        <w:rPr>
          <w:rFonts w:ascii="Times New Roman" w:hAnsi="Times New Roman"/>
          <w:lang w:eastAsia="zh-CN"/>
        </w:rPr>
      </w:pPr>
    </w:p>
    <w:p w14:paraId="32BE2CD3">
      <w:pPr>
        <w:tabs>
          <w:tab w:val="left" w:pos="2570"/>
        </w:tabs>
        <w:spacing w:line="360" w:lineRule="auto"/>
        <w:rPr>
          <w:rFonts w:ascii="Times New Roman" w:hAnsi="Times New Roman" w:eastAsia="宋体" w:cs="宋体"/>
          <w:sz w:val="20"/>
          <w:szCs w:val="20"/>
          <w:lang w:eastAsia="zh-CN"/>
        </w:rPr>
      </w:pPr>
      <w:r>
        <w:rPr>
          <w:rFonts w:ascii="Times New Roman" w:hAnsi="Times New Roman" w:eastAsia="宋体" w:cs="宋体"/>
          <w:sz w:val="20"/>
          <w:szCs w:val="20"/>
          <w:u w:val="single"/>
          <w:lang w:eastAsia="zh-CN"/>
        </w:rPr>
        <w:tab/>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采购人名称</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 xml:space="preserve"> :</w:t>
      </w:r>
    </w:p>
    <w:p w14:paraId="6F6B8BB0">
      <w:pPr>
        <w:pStyle w:val="5"/>
        <w:spacing w:line="360" w:lineRule="auto"/>
        <w:rPr>
          <w:rFonts w:ascii="Times New Roman" w:hAnsi="Times New Roman"/>
          <w:lang w:eastAsia="zh-CN"/>
        </w:rPr>
      </w:pPr>
    </w:p>
    <w:p w14:paraId="45E78B8E">
      <w:pPr>
        <w:pStyle w:val="5"/>
        <w:spacing w:line="360" w:lineRule="auto"/>
        <w:rPr>
          <w:rFonts w:ascii="Times New Roman" w:hAnsi="Times New Roman"/>
          <w:lang w:eastAsia="zh-CN"/>
        </w:rPr>
      </w:pPr>
    </w:p>
    <w:p w14:paraId="15B97739">
      <w:pPr>
        <w:spacing w:line="360" w:lineRule="auto"/>
        <w:ind w:right="47" w:firstLine="429"/>
        <w:jc w:val="both"/>
        <w:rPr>
          <w:rFonts w:ascii="Times New Roman" w:hAnsi="Times New Roman" w:eastAsia="宋体" w:cs="Times New Roman"/>
          <w:sz w:val="34"/>
          <w:szCs w:val="34"/>
          <w:lang w:eastAsia="zh-CN"/>
        </w:rPr>
      </w:pPr>
      <w:r>
        <w:rPr>
          <w:rFonts w:ascii="Times New Roman" w:hAnsi="Times New Roman" w:eastAsia="宋体" w:cs="宋体"/>
          <w:sz w:val="20"/>
          <w:szCs w:val="20"/>
          <w:lang w:eastAsia="zh-CN"/>
        </w:rPr>
        <w:t xml:space="preserve">1. 我方已仔细研究了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项目名称</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 xml:space="preserve">招标文件的全部内容，愿意按招标文件要求以 投标报价为折扣系数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完成本项目的全部工作。合同履行期限</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服务期</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 xml:space="preserve">服务标准： </w:t>
      </w:r>
      <w:r>
        <w:rPr>
          <w:rFonts w:hint="eastAsia" w:ascii="Times New Roman" w:hAnsi="Times New Roman" w:eastAsia="宋体" w:cs="宋体"/>
          <w:sz w:val="20"/>
          <w:szCs w:val="20"/>
          <w:lang w:eastAsia="zh-CN"/>
        </w:rPr>
        <w:t>。</w:t>
      </w:r>
    </w:p>
    <w:p w14:paraId="5FE378AB">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2. 我方承诺在投标有效期内不修改、撤销投标文件。</w:t>
      </w:r>
    </w:p>
    <w:p w14:paraId="6FEF7467">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3. 随同本投标函提交投标保证金一份，金额为人民币</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大写</w:t>
      </w:r>
      <w:r>
        <w:rPr>
          <w:rFonts w:hint="eastAsia" w:ascii="Times New Roman" w:hAnsi="Times New Roman" w:eastAsia="宋体" w:cs="宋体"/>
          <w:sz w:val="20"/>
          <w:szCs w:val="20"/>
          <w:lang w:eastAsia="zh-CN"/>
        </w:rPr>
        <w:t>）</w:t>
      </w:r>
      <w:r>
        <w:rPr>
          <w:rFonts w:ascii="Times New Roman" w:hAnsi="Times New Roman" w:eastAsia="宋体" w:cs="宋体"/>
          <w:i/>
          <w:iCs/>
          <w:u w:val="single"/>
          <w:lang w:eastAsia="zh-CN"/>
        </w:rPr>
        <w:t>/</w:t>
      </w:r>
      <w:r>
        <w:rPr>
          <w:rFonts w:ascii="Times New Roman" w:hAnsi="Times New Roman" w:eastAsia="宋体" w:cs="宋体"/>
          <w:i/>
          <w:iCs/>
          <w:lang w:eastAsia="zh-CN"/>
        </w:rPr>
        <w:t>元</w:t>
      </w:r>
      <w:r>
        <w:rPr>
          <w:rFonts w:hint="eastAsia" w:ascii="Times New Roman" w:hAnsi="Times New Roman" w:eastAsia="宋体" w:cs="宋体"/>
          <w:i/>
          <w:iCs/>
          <w:lang w:eastAsia="zh-CN"/>
        </w:rPr>
        <w:t>（</w:t>
      </w:r>
      <w:r>
        <w:rPr>
          <w:rFonts w:ascii="Times New Roman" w:hAnsi="Times New Roman" w:eastAsia="宋体" w:cs="宋体"/>
          <w:i/>
          <w:iCs/>
          <w:lang w:eastAsia="zh-CN"/>
        </w:rPr>
        <w:t>¥</w:t>
      </w:r>
      <w:r>
        <w:rPr>
          <w:rFonts w:ascii="Times New Roman" w:hAnsi="Times New Roman" w:eastAsia="宋体" w:cs="宋体"/>
          <w:sz w:val="20"/>
          <w:szCs w:val="20"/>
          <w:u w:val="single"/>
          <w:lang w:eastAsia="zh-CN"/>
        </w:rPr>
        <w:t xml:space="preserve">  /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w:t>
      </w:r>
    </w:p>
    <w:p w14:paraId="3A793BC9">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4. 如我方中标：</w:t>
      </w:r>
    </w:p>
    <w:p w14:paraId="1DB11A4A">
      <w:pPr>
        <w:spacing w:line="360" w:lineRule="auto"/>
        <w:ind w:left="550"/>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1</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我方承诺在收到中标通知书后，在中标通知书规定的期限内与你方签订合同。</w:t>
      </w:r>
    </w:p>
    <w:p w14:paraId="7420F785">
      <w:pPr>
        <w:spacing w:line="360" w:lineRule="auto"/>
        <w:ind w:left="550"/>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2</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随同本投标函递交的投标函附录属于合同文件的组成部分。</w:t>
      </w:r>
    </w:p>
    <w:p w14:paraId="62E3838A">
      <w:pPr>
        <w:spacing w:line="360" w:lineRule="auto"/>
        <w:ind w:left="550"/>
        <w:rPr>
          <w:rFonts w:ascii="Times New Roman" w:hAnsi="Times New Roman" w:eastAsia="宋体" w:cs="宋体"/>
          <w:sz w:val="20"/>
          <w:szCs w:val="20"/>
          <w:lang w:eastAsia="zh-CN"/>
        </w:rPr>
      </w:pP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3</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我方承诺在合同约定的期限内完成并移交全部合同工程。</w:t>
      </w:r>
    </w:p>
    <w:p w14:paraId="64E27C3C">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5. 我方在此声明，所递交的投标文件及有关资料内容完整、真实和准确。</w:t>
      </w:r>
    </w:p>
    <w:p w14:paraId="7AF0FCCD">
      <w:pPr>
        <w:spacing w:line="360" w:lineRule="auto"/>
        <w:ind w:left="429"/>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6.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其他补充说明</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w:t>
      </w:r>
    </w:p>
    <w:p w14:paraId="7ABEAB45">
      <w:pPr>
        <w:pStyle w:val="5"/>
        <w:spacing w:line="360" w:lineRule="auto"/>
        <w:rPr>
          <w:rFonts w:ascii="Times New Roman" w:hAnsi="Times New Roman"/>
          <w:lang w:eastAsia="zh-CN"/>
        </w:rPr>
      </w:pPr>
    </w:p>
    <w:p w14:paraId="62C5F947">
      <w:pPr>
        <w:spacing w:line="360" w:lineRule="auto"/>
        <w:ind w:left="550"/>
        <w:rPr>
          <w:rFonts w:ascii="Times New Roman" w:hAnsi="Times New Roman" w:eastAsia="宋体" w:cs="宋体"/>
          <w:sz w:val="20"/>
          <w:szCs w:val="20"/>
          <w:lang w:eastAsia="zh-CN"/>
        </w:rPr>
      </w:pPr>
    </w:p>
    <w:p w14:paraId="154258C0">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供应商：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盖单位章</w:t>
      </w:r>
      <w:r>
        <w:rPr>
          <w:rFonts w:hint="eastAsia" w:ascii="Times New Roman" w:hAnsi="Times New Roman" w:eastAsia="宋体" w:cs="宋体"/>
          <w:sz w:val="20"/>
          <w:szCs w:val="20"/>
          <w:lang w:eastAsia="zh-CN"/>
        </w:rPr>
        <w:t>）</w:t>
      </w:r>
    </w:p>
    <w:p w14:paraId="4A6E8AEB">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法定代表人或其委托代理人：            </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签字</w:t>
      </w:r>
      <w:r>
        <w:rPr>
          <w:rFonts w:hint="eastAsia" w:ascii="Times New Roman" w:hAnsi="Times New Roman" w:eastAsia="宋体" w:cs="宋体"/>
          <w:sz w:val="20"/>
          <w:szCs w:val="20"/>
          <w:lang w:eastAsia="zh-CN"/>
        </w:rPr>
        <w:t>）</w:t>
      </w:r>
    </w:p>
    <w:p w14:paraId="240E6DD5">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地址：                                         </w:t>
      </w:r>
    </w:p>
    <w:p w14:paraId="5DDAA8D4">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网址：                                         </w:t>
      </w:r>
    </w:p>
    <w:p w14:paraId="5A391E1C">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电话：                                         </w:t>
      </w:r>
    </w:p>
    <w:p w14:paraId="334C0D76">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传直：                                         </w:t>
      </w:r>
    </w:p>
    <w:p w14:paraId="2F00D13F">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邮政编码：                                     </w:t>
      </w:r>
    </w:p>
    <w:p w14:paraId="12F74F17">
      <w:pPr>
        <w:spacing w:line="360" w:lineRule="auto"/>
        <w:ind w:left="550"/>
        <w:rPr>
          <w:rFonts w:ascii="Times New Roman" w:hAnsi="Times New Roman" w:eastAsia="宋体" w:cs="宋体"/>
          <w:sz w:val="20"/>
          <w:szCs w:val="20"/>
          <w:lang w:eastAsia="zh-CN"/>
        </w:rPr>
      </w:pPr>
      <w:r>
        <w:rPr>
          <w:rFonts w:ascii="Times New Roman" w:hAnsi="Times New Roman" w:eastAsia="宋体" w:cs="宋体"/>
          <w:sz w:val="20"/>
          <w:szCs w:val="20"/>
          <w:lang w:eastAsia="zh-CN"/>
        </w:rPr>
        <w:tab/>
      </w:r>
      <w:r>
        <w:rPr>
          <w:rFonts w:ascii="Times New Roman" w:hAnsi="Times New Roman" w:eastAsia="宋体" w:cs="宋体"/>
          <w:sz w:val="20"/>
          <w:szCs w:val="20"/>
          <w:lang w:eastAsia="zh-CN"/>
        </w:rPr>
        <w:t>年         月              日</w:t>
      </w:r>
    </w:p>
    <w:p w14:paraId="3BDF59DE">
      <w:pPr>
        <w:spacing w:line="360" w:lineRule="auto"/>
        <w:rPr>
          <w:rFonts w:ascii="Times New Roman" w:hAnsi="Times New Roman" w:eastAsia="华文琥珀" w:cs="华文琥珀"/>
          <w:sz w:val="24"/>
          <w:szCs w:val="24"/>
          <w:lang w:eastAsia="zh-CN"/>
        </w:rPr>
        <w:sectPr>
          <w:footerReference r:id="rId20" w:type="default"/>
          <w:pgSz w:w="11905" w:h="16838"/>
          <w:pgMar w:top="1134" w:right="1134" w:bottom="1134" w:left="1134" w:header="0" w:footer="1043" w:gutter="0"/>
          <w:cols w:space="0" w:num="1"/>
        </w:sectPr>
      </w:pPr>
    </w:p>
    <w:p w14:paraId="58CD3807">
      <w:pPr>
        <w:pStyle w:val="5"/>
        <w:spacing w:line="360" w:lineRule="auto"/>
        <w:rPr>
          <w:rFonts w:ascii="Times New Roman" w:hAnsi="Times New Roman"/>
          <w:lang w:eastAsia="zh-CN"/>
        </w:rPr>
      </w:pPr>
    </w:p>
    <w:p w14:paraId="7BE4C79E">
      <w:pPr>
        <w:pStyle w:val="5"/>
        <w:spacing w:line="360" w:lineRule="auto"/>
        <w:rPr>
          <w:rFonts w:ascii="Times New Roman" w:hAnsi="Times New Roman"/>
          <w:lang w:eastAsia="zh-CN"/>
        </w:rPr>
      </w:pPr>
    </w:p>
    <w:p w14:paraId="70B769AA">
      <w:pPr>
        <w:pStyle w:val="5"/>
        <w:spacing w:line="360" w:lineRule="auto"/>
        <w:rPr>
          <w:rFonts w:ascii="Times New Roman" w:hAnsi="Times New Roman"/>
          <w:lang w:eastAsia="zh-CN"/>
        </w:rPr>
      </w:pPr>
    </w:p>
    <w:p w14:paraId="168475E9">
      <w:pPr>
        <w:spacing w:line="360" w:lineRule="auto"/>
        <w:ind w:left="3868"/>
        <w:rPr>
          <w:rFonts w:ascii="Times New Roman" w:hAnsi="Times New Roman" w:eastAsia="宋体" w:cs="宋体"/>
          <w:sz w:val="25"/>
          <w:szCs w:val="25"/>
          <w:lang w:eastAsia="zh-CN"/>
        </w:rPr>
      </w:pPr>
      <w:r>
        <w:rPr>
          <w:rFonts w:hint="eastAsia" w:ascii="Times New Roman" w:hAnsi="Times New Roman" w:eastAsia="宋体" w:cs="宋体"/>
          <w:b/>
          <w:bCs/>
          <w:sz w:val="25"/>
          <w:szCs w:val="25"/>
          <w:lang w:eastAsia="zh-CN"/>
        </w:rPr>
        <w:t>（</w:t>
      </w:r>
      <w:r>
        <w:rPr>
          <w:rFonts w:ascii="Times New Roman" w:hAnsi="Times New Roman" w:eastAsia="宋体" w:cs="宋体"/>
          <w:b/>
          <w:bCs/>
          <w:sz w:val="25"/>
          <w:szCs w:val="25"/>
          <w:lang w:eastAsia="zh-CN"/>
        </w:rPr>
        <w:t>二</w:t>
      </w:r>
      <w:r>
        <w:rPr>
          <w:rFonts w:hint="eastAsia" w:ascii="Times New Roman" w:hAnsi="Times New Roman" w:eastAsia="宋体" w:cs="宋体"/>
          <w:b/>
          <w:bCs/>
          <w:sz w:val="25"/>
          <w:szCs w:val="25"/>
          <w:lang w:eastAsia="zh-CN"/>
        </w:rPr>
        <w:t>）</w:t>
      </w:r>
      <w:r>
        <w:rPr>
          <w:rFonts w:ascii="Times New Roman" w:hAnsi="Times New Roman" w:eastAsia="宋体" w:cs="宋体"/>
          <w:b/>
          <w:bCs/>
          <w:sz w:val="25"/>
          <w:szCs w:val="25"/>
          <w:lang w:eastAsia="zh-CN"/>
        </w:rPr>
        <w:t>投标函附录</w:t>
      </w:r>
    </w:p>
    <w:p w14:paraId="173C6D37">
      <w:pPr>
        <w:spacing w:line="360" w:lineRule="auto"/>
        <w:ind w:left="545"/>
        <w:rPr>
          <w:rFonts w:ascii="Times New Roman" w:hAnsi="Times New Roman" w:eastAsia="宋体" w:cs="宋体"/>
          <w:sz w:val="23"/>
          <w:szCs w:val="23"/>
        </w:rPr>
      </w:pPr>
      <w:r>
        <w:rPr>
          <w:rFonts w:ascii="Times New Roman" w:hAnsi="Times New Roman" w:eastAsia="宋体" w:cs="宋体"/>
          <w:sz w:val="23"/>
          <w:szCs w:val="23"/>
        </w:rPr>
        <w:t>项目名称：</w:t>
      </w:r>
    </w:p>
    <w:tbl>
      <w:tblPr>
        <w:tblStyle w:val="20"/>
        <w:tblW w:w="93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768"/>
        <w:gridCol w:w="5275"/>
        <w:gridCol w:w="1563"/>
      </w:tblGrid>
      <w:tr w14:paraId="0AE26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774" w:type="dxa"/>
            <w:vAlign w:val="center"/>
          </w:tcPr>
          <w:p w14:paraId="59FAFF71">
            <w:pPr>
              <w:pStyle w:val="21"/>
              <w:jc w:val="center"/>
            </w:pPr>
            <w:r>
              <w:t>序号</w:t>
            </w:r>
          </w:p>
        </w:tc>
        <w:tc>
          <w:tcPr>
            <w:tcW w:w="1768" w:type="dxa"/>
            <w:vAlign w:val="center"/>
          </w:tcPr>
          <w:p w14:paraId="4FC34CD3">
            <w:pPr>
              <w:pStyle w:val="21"/>
              <w:jc w:val="center"/>
            </w:pPr>
            <w:r>
              <w:t>条款名称</w:t>
            </w:r>
          </w:p>
        </w:tc>
        <w:tc>
          <w:tcPr>
            <w:tcW w:w="5275" w:type="dxa"/>
            <w:vAlign w:val="center"/>
          </w:tcPr>
          <w:p w14:paraId="3698B1C0">
            <w:pPr>
              <w:pStyle w:val="21"/>
              <w:jc w:val="center"/>
            </w:pPr>
            <w:r>
              <w:t>约定内容</w:t>
            </w:r>
          </w:p>
        </w:tc>
        <w:tc>
          <w:tcPr>
            <w:tcW w:w="1563" w:type="dxa"/>
            <w:vAlign w:val="center"/>
          </w:tcPr>
          <w:p w14:paraId="0D34A332">
            <w:pPr>
              <w:pStyle w:val="21"/>
              <w:jc w:val="center"/>
            </w:pPr>
            <w:r>
              <w:t>是否响应</w:t>
            </w:r>
          </w:p>
        </w:tc>
      </w:tr>
      <w:tr w14:paraId="22D7E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74" w:type="dxa"/>
            <w:vAlign w:val="center"/>
          </w:tcPr>
          <w:p w14:paraId="7254ABDB">
            <w:pPr>
              <w:pStyle w:val="21"/>
              <w:jc w:val="center"/>
            </w:pPr>
            <w:r>
              <w:t>1</w:t>
            </w:r>
          </w:p>
        </w:tc>
        <w:tc>
          <w:tcPr>
            <w:tcW w:w="1768" w:type="dxa"/>
            <w:vAlign w:val="center"/>
          </w:tcPr>
          <w:p w14:paraId="68D3ECB2">
            <w:pPr>
              <w:pStyle w:val="21"/>
              <w:jc w:val="center"/>
            </w:pPr>
            <w:r>
              <w:t>服务期限</w:t>
            </w:r>
          </w:p>
        </w:tc>
        <w:tc>
          <w:tcPr>
            <w:tcW w:w="5275" w:type="dxa"/>
            <w:vAlign w:val="center"/>
          </w:tcPr>
          <w:p w14:paraId="5F406CBD">
            <w:pPr>
              <w:pStyle w:val="21"/>
              <w:jc w:val="left"/>
              <w:rPr>
                <w:lang w:eastAsia="zh-CN"/>
              </w:rPr>
            </w:pPr>
            <w:r>
              <w:rPr>
                <w:rFonts w:hint="eastAsia"/>
                <w:lang w:eastAsia="zh-CN"/>
              </w:rPr>
              <w:t>符合招标文件要求</w:t>
            </w:r>
          </w:p>
        </w:tc>
        <w:tc>
          <w:tcPr>
            <w:tcW w:w="1563" w:type="dxa"/>
            <w:vAlign w:val="center"/>
          </w:tcPr>
          <w:p w14:paraId="071DEA26">
            <w:pPr>
              <w:spacing w:line="360" w:lineRule="auto"/>
              <w:jc w:val="center"/>
              <w:rPr>
                <w:rFonts w:ascii="Times New Roman" w:hAnsi="Times New Roman"/>
              </w:rPr>
            </w:pPr>
          </w:p>
        </w:tc>
      </w:tr>
      <w:tr w14:paraId="7E880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774" w:type="dxa"/>
            <w:vAlign w:val="center"/>
          </w:tcPr>
          <w:p w14:paraId="09218830">
            <w:pPr>
              <w:pStyle w:val="21"/>
              <w:jc w:val="center"/>
            </w:pPr>
            <w:r>
              <w:t>2</w:t>
            </w:r>
          </w:p>
        </w:tc>
        <w:tc>
          <w:tcPr>
            <w:tcW w:w="1768" w:type="dxa"/>
            <w:vAlign w:val="center"/>
          </w:tcPr>
          <w:p w14:paraId="7527B42A">
            <w:pPr>
              <w:pStyle w:val="21"/>
              <w:jc w:val="center"/>
            </w:pPr>
            <w:r>
              <w:t>投标有效期</w:t>
            </w:r>
          </w:p>
        </w:tc>
        <w:tc>
          <w:tcPr>
            <w:tcW w:w="5275" w:type="dxa"/>
            <w:vAlign w:val="center"/>
          </w:tcPr>
          <w:p w14:paraId="64FC89C1">
            <w:pPr>
              <w:pStyle w:val="21"/>
              <w:jc w:val="left"/>
              <w:rPr>
                <w:lang w:eastAsia="zh-CN"/>
              </w:rPr>
            </w:pPr>
            <w:r>
              <w:rPr>
                <w:lang w:eastAsia="zh-CN"/>
              </w:rPr>
              <w:t>投标截止之日起90日历天</w:t>
            </w:r>
          </w:p>
        </w:tc>
        <w:tc>
          <w:tcPr>
            <w:tcW w:w="1563" w:type="dxa"/>
            <w:vAlign w:val="center"/>
          </w:tcPr>
          <w:p w14:paraId="6DA4AAF8">
            <w:pPr>
              <w:spacing w:line="360" w:lineRule="auto"/>
              <w:jc w:val="center"/>
              <w:rPr>
                <w:rFonts w:ascii="Times New Roman" w:hAnsi="Times New Roman"/>
                <w:lang w:eastAsia="zh-CN"/>
              </w:rPr>
            </w:pPr>
          </w:p>
        </w:tc>
      </w:tr>
      <w:tr w14:paraId="3765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774" w:type="dxa"/>
            <w:vAlign w:val="center"/>
          </w:tcPr>
          <w:p w14:paraId="30AEB49B">
            <w:pPr>
              <w:pStyle w:val="21"/>
              <w:jc w:val="center"/>
            </w:pPr>
            <w:r>
              <w:t>3</w:t>
            </w:r>
          </w:p>
        </w:tc>
        <w:tc>
          <w:tcPr>
            <w:tcW w:w="1768" w:type="dxa"/>
            <w:vAlign w:val="center"/>
          </w:tcPr>
          <w:p w14:paraId="596C0648">
            <w:pPr>
              <w:pStyle w:val="21"/>
              <w:jc w:val="center"/>
            </w:pPr>
            <w:r>
              <w:t>服务标准</w:t>
            </w:r>
          </w:p>
        </w:tc>
        <w:tc>
          <w:tcPr>
            <w:tcW w:w="5275" w:type="dxa"/>
            <w:vAlign w:val="center"/>
          </w:tcPr>
          <w:p w14:paraId="7E0A7DD2">
            <w:pPr>
              <w:pStyle w:val="21"/>
              <w:jc w:val="left"/>
            </w:pPr>
            <w:r>
              <w:t>优质服务</w:t>
            </w:r>
          </w:p>
        </w:tc>
        <w:tc>
          <w:tcPr>
            <w:tcW w:w="1563" w:type="dxa"/>
            <w:vAlign w:val="center"/>
          </w:tcPr>
          <w:p w14:paraId="454D44BD">
            <w:pPr>
              <w:spacing w:line="360" w:lineRule="auto"/>
              <w:jc w:val="center"/>
              <w:rPr>
                <w:rFonts w:ascii="Times New Roman" w:hAnsi="Times New Roman"/>
              </w:rPr>
            </w:pPr>
          </w:p>
        </w:tc>
      </w:tr>
      <w:tr w14:paraId="1F6BD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74" w:type="dxa"/>
            <w:vAlign w:val="center"/>
          </w:tcPr>
          <w:p w14:paraId="3C8F1B82">
            <w:pPr>
              <w:pStyle w:val="21"/>
              <w:jc w:val="center"/>
            </w:pPr>
            <w:r>
              <w:t>4</w:t>
            </w:r>
          </w:p>
        </w:tc>
        <w:tc>
          <w:tcPr>
            <w:tcW w:w="1768" w:type="dxa"/>
            <w:vAlign w:val="center"/>
          </w:tcPr>
          <w:p w14:paraId="1EA6BE6F">
            <w:pPr>
              <w:pStyle w:val="21"/>
              <w:jc w:val="center"/>
            </w:pPr>
            <w:r>
              <w:t>……</w:t>
            </w:r>
          </w:p>
        </w:tc>
        <w:tc>
          <w:tcPr>
            <w:tcW w:w="5275" w:type="dxa"/>
            <w:vAlign w:val="center"/>
          </w:tcPr>
          <w:p w14:paraId="1EC00883">
            <w:pPr>
              <w:pStyle w:val="21"/>
              <w:jc w:val="center"/>
            </w:pPr>
            <w:r>
              <w:t>……</w:t>
            </w:r>
          </w:p>
        </w:tc>
        <w:tc>
          <w:tcPr>
            <w:tcW w:w="1563" w:type="dxa"/>
            <w:vAlign w:val="center"/>
          </w:tcPr>
          <w:p w14:paraId="64D62B6C">
            <w:pPr>
              <w:spacing w:line="360" w:lineRule="auto"/>
              <w:jc w:val="center"/>
              <w:rPr>
                <w:rFonts w:ascii="Times New Roman" w:hAnsi="Times New Roman"/>
              </w:rPr>
            </w:pPr>
          </w:p>
        </w:tc>
      </w:tr>
    </w:tbl>
    <w:p w14:paraId="775BFABB">
      <w:pPr>
        <w:spacing w:line="360" w:lineRule="auto"/>
        <w:ind w:left="1015"/>
        <w:rPr>
          <w:rFonts w:ascii="Times New Roman" w:hAnsi="Times New Roman" w:eastAsia="宋体" w:cs="宋体"/>
          <w:sz w:val="25"/>
          <w:szCs w:val="25"/>
        </w:rPr>
      </w:pPr>
    </w:p>
    <w:p w14:paraId="201D0C15">
      <w:pPr>
        <w:spacing w:line="360" w:lineRule="auto"/>
        <w:ind w:left="1015"/>
        <w:rPr>
          <w:rFonts w:ascii="Times New Roman" w:hAnsi="Times New Roman" w:eastAsia="宋体" w:cs="宋体"/>
          <w:sz w:val="25"/>
          <w:szCs w:val="25"/>
        </w:rPr>
      </w:pPr>
    </w:p>
    <w:p w14:paraId="5C29250B">
      <w:pPr>
        <w:spacing w:line="360" w:lineRule="auto"/>
        <w:ind w:left="1015"/>
        <w:rPr>
          <w:rFonts w:ascii="Times New Roman" w:hAnsi="Times New Roman" w:eastAsia="宋体" w:cs="宋体"/>
          <w:sz w:val="25"/>
          <w:szCs w:val="25"/>
        </w:rPr>
      </w:pPr>
      <w:r>
        <w:rPr>
          <w:rFonts w:hint="eastAsia" w:ascii="Times New Roman" w:hAnsi="Times New Roman" w:eastAsia="宋体" w:cs="宋体"/>
          <w:sz w:val="25"/>
          <w:szCs w:val="25"/>
          <w:lang w:eastAsia="zh-CN"/>
        </w:rPr>
        <w:t>投标人（</w:t>
      </w:r>
      <w:r>
        <w:rPr>
          <w:rFonts w:ascii="Times New Roman" w:hAnsi="Times New Roman" w:eastAsia="宋体" w:cs="宋体"/>
          <w:sz w:val="25"/>
          <w:szCs w:val="25"/>
        </w:rPr>
        <w:t>盖章</w:t>
      </w:r>
      <w:r>
        <w:rPr>
          <w:rFonts w:hint="eastAsia" w:ascii="Times New Roman" w:hAnsi="Times New Roman" w:eastAsia="宋体" w:cs="宋体"/>
          <w:sz w:val="25"/>
          <w:szCs w:val="25"/>
          <w:lang w:eastAsia="zh-CN"/>
        </w:rPr>
        <w:t>）</w:t>
      </w:r>
      <w:r>
        <w:rPr>
          <w:rFonts w:ascii="Times New Roman" w:hAnsi="Times New Roman" w:eastAsia="宋体" w:cs="宋体"/>
          <w:sz w:val="25"/>
          <w:szCs w:val="25"/>
        </w:rPr>
        <w:t>:</w:t>
      </w:r>
    </w:p>
    <w:p w14:paraId="52CB9ABC">
      <w:pPr>
        <w:spacing w:line="360" w:lineRule="auto"/>
        <w:ind w:left="1015"/>
        <w:rPr>
          <w:rFonts w:ascii="Times New Roman" w:hAnsi="Times New Roman" w:eastAsia="宋体" w:cs="宋体"/>
          <w:sz w:val="25"/>
          <w:szCs w:val="25"/>
          <w:lang w:eastAsia="zh-CN"/>
        </w:rPr>
      </w:pPr>
      <w:r>
        <w:rPr>
          <w:rFonts w:ascii="Times New Roman" w:hAnsi="Times New Roman" w:eastAsia="宋体" w:cs="宋体"/>
          <w:sz w:val="25"/>
          <w:szCs w:val="25"/>
          <w:lang w:eastAsia="zh-CN"/>
        </w:rPr>
        <w:t>法人代表或委托代理人</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签字或盖章</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w:t>
      </w:r>
    </w:p>
    <w:p w14:paraId="79A21E79">
      <w:pPr>
        <w:spacing w:line="360" w:lineRule="auto"/>
        <w:ind w:left="1015"/>
        <w:rPr>
          <w:rFonts w:ascii="Times New Roman" w:hAnsi="Times New Roman" w:eastAsia="宋体" w:cs="宋体"/>
          <w:sz w:val="25"/>
          <w:szCs w:val="25"/>
          <w:lang w:eastAsia="zh-CN"/>
        </w:rPr>
      </w:pPr>
      <w:r>
        <w:rPr>
          <w:rFonts w:ascii="Times New Roman" w:hAnsi="Times New Roman" w:eastAsia="宋体" w:cs="宋体"/>
          <w:sz w:val="25"/>
          <w:szCs w:val="25"/>
          <w:lang w:eastAsia="zh-CN"/>
        </w:rPr>
        <w:t>日期：    年     月      日</w:t>
      </w:r>
    </w:p>
    <w:p w14:paraId="489E3A08">
      <w:pPr>
        <w:spacing w:line="360" w:lineRule="auto"/>
        <w:rPr>
          <w:rFonts w:ascii="Times New Roman" w:hAnsi="Times New Roman" w:eastAsia="宋体" w:cs="宋体"/>
          <w:sz w:val="25"/>
          <w:szCs w:val="25"/>
          <w:lang w:eastAsia="zh-CN"/>
        </w:rPr>
        <w:sectPr>
          <w:footerReference r:id="rId21" w:type="default"/>
          <w:pgSz w:w="11905" w:h="16838"/>
          <w:pgMar w:top="1134" w:right="1134" w:bottom="1134" w:left="1134" w:header="0" w:footer="1043" w:gutter="0"/>
          <w:cols w:space="0" w:num="1"/>
        </w:sectPr>
      </w:pPr>
    </w:p>
    <w:p w14:paraId="4A5FC58B">
      <w:pPr>
        <w:spacing w:line="360" w:lineRule="auto"/>
        <w:ind w:left="2429"/>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二、法定代表人身份证明</w:t>
      </w:r>
    </w:p>
    <w:p w14:paraId="3F3A277B">
      <w:pPr>
        <w:pStyle w:val="5"/>
        <w:spacing w:line="360" w:lineRule="auto"/>
        <w:rPr>
          <w:rFonts w:ascii="Times New Roman" w:hAnsi="Times New Roman"/>
          <w:lang w:eastAsia="zh-CN"/>
        </w:rPr>
      </w:pPr>
    </w:p>
    <w:p w14:paraId="4752D4CD">
      <w:pPr>
        <w:pStyle w:val="5"/>
        <w:spacing w:line="360" w:lineRule="auto"/>
        <w:rPr>
          <w:rFonts w:ascii="Times New Roman" w:hAnsi="Times New Roman"/>
          <w:lang w:eastAsia="zh-CN"/>
        </w:rPr>
      </w:pPr>
    </w:p>
    <w:p w14:paraId="3D476B68">
      <w:pPr>
        <w:pStyle w:val="5"/>
        <w:spacing w:line="360" w:lineRule="auto"/>
        <w:rPr>
          <w:rFonts w:ascii="Times New Roman" w:hAnsi="Times New Roman"/>
          <w:lang w:eastAsia="zh-CN"/>
        </w:rPr>
      </w:pPr>
    </w:p>
    <w:p w14:paraId="2EC09C82">
      <w:pPr>
        <w:pStyle w:val="5"/>
        <w:spacing w:line="360" w:lineRule="auto"/>
        <w:rPr>
          <w:rFonts w:ascii="Times New Roman" w:hAnsi="Times New Roman"/>
          <w:lang w:eastAsia="zh-CN"/>
        </w:rPr>
      </w:pPr>
    </w:p>
    <w:p w14:paraId="23A4CA76">
      <w:pPr>
        <w:pStyle w:val="5"/>
        <w:spacing w:line="360" w:lineRule="auto"/>
        <w:rPr>
          <w:rFonts w:ascii="Times New Roman" w:hAnsi="Times New Roman"/>
          <w:lang w:eastAsia="zh-CN"/>
        </w:rPr>
      </w:pPr>
    </w:p>
    <w:p w14:paraId="5A74D74B">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供应商名称： </w:t>
      </w:r>
    </w:p>
    <w:p w14:paraId="743522C2">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单位性质： </w:t>
      </w:r>
    </w:p>
    <w:p w14:paraId="5FC484A3">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地址： </w:t>
      </w:r>
    </w:p>
    <w:p w14:paraId="3649EE38">
      <w:pPr>
        <w:spacing w:line="360" w:lineRule="auto"/>
        <w:ind w:left="4"/>
        <w:rPr>
          <w:rFonts w:ascii="Times New Roman" w:hAnsi="Times New Roman" w:eastAsia="宋体" w:cs="宋体"/>
          <w:sz w:val="27"/>
          <w:szCs w:val="27"/>
          <w:lang w:eastAsia="zh-CN"/>
        </w:rPr>
      </w:pPr>
      <w:r>
        <w:rPr>
          <w:rFonts w:ascii="Times New Roman" w:hAnsi="Times New Roman" w:eastAsia="宋体" w:cs="宋体"/>
          <w:sz w:val="23"/>
          <w:szCs w:val="23"/>
          <w:lang w:eastAsia="zh-CN"/>
        </w:rPr>
        <w:t xml:space="preserve">成立时间： </w:t>
      </w:r>
      <w:r>
        <w:rPr>
          <w:rFonts w:ascii="Times New Roman" w:hAnsi="Times New Roman" w:eastAsia="宋体" w:cs="宋体"/>
          <w:sz w:val="24"/>
          <w:szCs w:val="24"/>
          <w:lang w:eastAsia="zh-CN"/>
        </w:rPr>
        <w:t xml:space="preserve">年 </w:t>
      </w:r>
      <w:r>
        <w:rPr>
          <w:rFonts w:ascii="Times New Roman" w:hAnsi="Times New Roman" w:eastAsia="黑体" w:cs="黑体"/>
          <w:sz w:val="22"/>
          <w:szCs w:val="22"/>
          <w:lang w:eastAsia="zh-CN"/>
        </w:rPr>
        <w:t>月</w:t>
      </w:r>
      <w:r>
        <w:rPr>
          <w:rFonts w:ascii="Times New Roman" w:hAnsi="Times New Roman" w:eastAsia="宋体" w:cs="宋体"/>
          <w:sz w:val="27"/>
          <w:szCs w:val="27"/>
          <w:lang w:eastAsia="zh-CN"/>
        </w:rPr>
        <w:t>日</w:t>
      </w:r>
    </w:p>
    <w:p w14:paraId="18C90EAD">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经营期限： </w:t>
      </w:r>
    </w:p>
    <w:p w14:paraId="4E422983">
      <w:pPr>
        <w:spacing w:line="360" w:lineRule="auto"/>
        <w:ind w:left="4"/>
        <w:rPr>
          <w:rFonts w:ascii="Times New Roman" w:hAnsi="Times New Roman" w:eastAsia="宋体" w:cs="宋体"/>
          <w:sz w:val="24"/>
          <w:szCs w:val="24"/>
          <w:lang w:eastAsia="zh-CN"/>
        </w:rPr>
      </w:pPr>
      <w:r>
        <w:rPr>
          <w:rFonts w:ascii="Times New Roman" w:hAnsi="Times New Roman" w:eastAsia="宋体" w:cs="宋体"/>
          <w:sz w:val="23"/>
          <w:szCs w:val="23"/>
          <w:lang w:eastAsia="zh-CN"/>
        </w:rPr>
        <w:t>姓名：  性 别 ：</w:t>
      </w:r>
      <w:r>
        <w:rPr>
          <w:rFonts w:ascii="Times New Roman" w:hAnsi="Times New Roman" w:eastAsia="宋体" w:cs="宋体"/>
          <w:sz w:val="25"/>
          <w:szCs w:val="25"/>
          <w:lang w:eastAsia="zh-CN"/>
        </w:rPr>
        <w:t>年龄：</w:t>
      </w:r>
      <w:r>
        <w:rPr>
          <w:rFonts w:ascii="Times New Roman" w:hAnsi="Times New Roman" w:eastAsia="宋体" w:cs="宋体"/>
          <w:sz w:val="24"/>
          <w:szCs w:val="24"/>
          <w:lang w:eastAsia="zh-CN"/>
        </w:rPr>
        <w:t xml:space="preserve">职务： </w:t>
      </w:r>
    </w:p>
    <w:p w14:paraId="4A1914C5">
      <w:pPr>
        <w:spacing w:line="360" w:lineRule="auto"/>
        <w:ind w:left="4"/>
        <w:rPr>
          <w:rFonts w:ascii="Times New Roman" w:hAnsi="Times New Roman" w:eastAsia="宋体" w:cs="宋体"/>
          <w:sz w:val="23"/>
          <w:szCs w:val="23"/>
          <w:lang w:eastAsia="zh-CN"/>
        </w:rPr>
      </w:pPr>
      <w:r>
        <w:rPr>
          <w:rFonts w:ascii="Times New Roman" w:hAnsi="Times New Roman" w:eastAsia="宋体" w:cs="宋体"/>
          <w:sz w:val="24"/>
          <w:szCs w:val="24"/>
          <w:lang w:eastAsia="zh-CN"/>
        </w:rPr>
        <w:t xml:space="preserve">系 </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投标人名称</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的法定代表人。</w:t>
      </w:r>
    </w:p>
    <w:p w14:paraId="12BAA3EE">
      <w:pPr>
        <w:spacing w:line="360" w:lineRule="auto"/>
        <w:ind w:left="434"/>
        <w:rPr>
          <w:rFonts w:ascii="宋体" w:hAnsi="宋体" w:eastAsia="宋体" w:cs="宋体"/>
          <w:sz w:val="23"/>
          <w:szCs w:val="23"/>
          <w:lang w:eastAsia="zh-CN"/>
        </w:rPr>
      </w:pPr>
      <w:r>
        <w:rPr>
          <w:rFonts w:hint="eastAsia" w:ascii="宋体" w:hAnsi="宋体" w:eastAsia="宋体" w:cs="宋体"/>
          <w:sz w:val="23"/>
          <w:szCs w:val="23"/>
          <w:lang w:eastAsia="zh-CN"/>
        </w:rPr>
        <w:t>特此证明。</w:t>
      </w:r>
    </w:p>
    <w:p w14:paraId="156F2FB2">
      <w:pPr>
        <w:pStyle w:val="5"/>
        <w:spacing w:line="360" w:lineRule="auto"/>
        <w:rPr>
          <w:rFonts w:ascii="宋体" w:hAnsi="宋体" w:eastAsia="宋体" w:cs="宋体"/>
          <w:lang w:eastAsia="zh-CN"/>
        </w:rPr>
      </w:pPr>
    </w:p>
    <w:p w14:paraId="6F97944B">
      <w:pPr>
        <w:pStyle w:val="5"/>
        <w:spacing w:line="360" w:lineRule="auto"/>
        <w:rPr>
          <w:rFonts w:ascii="宋体" w:hAnsi="宋体" w:eastAsia="宋体" w:cs="宋体"/>
          <w:lang w:eastAsia="zh-CN"/>
        </w:rPr>
      </w:pPr>
    </w:p>
    <w:p w14:paraId="0276B7E8">
      <w:pPr>
        <w:pStyle w:val="5"/>
        <w:spacing w:line="360" w:lineRule="auto"/>
        <w:rPr>
          <w:rFonts w:ascii="宋体" w:hAnsi="宋体" w:eastAsia="宋体" w:cs="宋体"/>
          <w:lang w:eastAsia="zh-CN"/>
        </w:rPr>
      </w:pPr>
    </w:p>
    <w:p w14:paraId="4068EFA3">
      <w:pPr>
        <w:spacing w:line="360" w:lineRule="auto"/>
        <w:ind w:left="2724"/>
        <w:rPr>
          <w:rFonts w:ascii="宋体" w:hAnsi="宋体" w:eastAsia="宋体" w:cs="宋体"/>
          <w:sz w:val="23"/>
          <w:szCs w:val="23"/>
          <w:lang w:eastAsia="zh-CN"/>
        </w:rPr>
      </w:pPr>
      <w:r>
        <w:rPr>
          <w:rFonts w:hint="eastAsia" w:ascii="宋体" w:hAnsi="宋体" w:eastAsia="宋体" w:cs="宋体"/>
          <w:sz w:val="23"/>
          <w:szCs w:val="23"/>
          <w:lang w:eastAsia="zh-CN"/>
        </w:rPr>
        <w:t>投标人： （盖单位章）</w:t>
      </w:r>
    </w:p>
    <w:p w14:paraId="05CBFAD1">
      <w:pPr>
        <w:tabs>
          <w:tab w:val="left" w:pos="4415"/>
        </w:tabs>
        <w:spacing w:line="360" w:lineRule="auto"/>
        <w:ind w:left="3674"/>
        <w:rPr>
          <w:rFonts w:ascii="宋体" w:hAnsi="宋体" w:eastAsia="宋体" w:cs="宋体"/>
          <w:sz w:val="27"/>
          <w:szCs w:val="27"/>
          <w:lang w:eastAsia="zh-CN"/>
        </w:rPr>
      </w:pPr>
      <w:r>
        <w:rPr>
          <w:rFonts w:hint="eastAsia" w:ascii="宋体" w:hAnsi="宋体" w:eastAsia="宋体" w:cs="宋体"/>
          <w:sz w:val="23"/>
          <w:szCs w:val="23"/>
          <w:u w:val="single"/>
          <w:lang w:eastAsia="zh-CN"/>
        </w:rPr>
        <w:tab/>
      </w:r>
      <w:r>
        <w:rPr>
          <w:rFonts w:hint="eastAsia" w:ascii="宋体" w:hAnsi="宋体" w:eastAsia="宋体" w:cs="宋体"/>
          <w:sz w:val="23"/>
          <w:szCs w:val="23"/>
          <w:lang w:eastAsia="zh-CN"/>
        </w:rPr>
        <w:t>年月</w:t>
      </w:r>
      <w:r>
        <w:rPr>
          <w:rFonts w:hint="eastAsia" w:ascii="宋体" w:hAnsi="宋体" w:eastAsia="宋体" w:cs="宋体"/>
          <w:sz w:val="27"/>
          <w:szCs w:val="27"/>
          <w:lang w:eastAsia="zh-CN"/>
        </w:rPr>
        <w:t>日</w:t>
      </w:r>
    </w:p>
    <w:p w14:paraId="7CC4E611">
      <w:pPr>
        <w:spacing w:line="360" w:lineRule="auto"/>
        <w:rPr>
          <w:rFonts w:ascii="宋体" w:hAnsi="宋体" w:eastAsia="宋体" w:cs="宋体"/>
          <w:sz w:val="27"/>
          <w:szCs w:val="27"/>
          <w:lang w:eastAsia="zh-CN"/>
        </w:rPr>
        <w:sectPr>
          <w:footerReference r:id="rId22" w:type="default"/>
          <w:pgSz w:w="11905" w:h="16838"/>
          <w:pgMar w:top="1134" w:right="1134" w:bottom="1134" w:left="1134" w:header="0" w:footer="1027" w:gutter="0"/>
          <w:cols w:space="0" w:num="1"/>
        </w:sectPr>
      </w:pPr>
    </w:p>
    <w:p w14:paraId="329C415F">
      <w:pPr>
        <w:spacing w:line="360" w:lineRule="auto"/>
        <w:ind w:left="3064"/>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三、授权委托书</w:t>
      </w:r>
    </w:p>
    <w:p w14:paraId="04D5DD95">
      <w:pPr>
        <w:pStyle w:val="5"/>
        <w:spacing w:line="360" w:lineRule="auto"/>
        <w:rPr>
          <w:rFonts w:ascii="Times New Roman" w:hAnsi="Times New Roman"/>
          <w:lang w:eastAsia="zh-CN"/>
        </w:rPr>
      </w:pPr>
    </w:p>
    <w:p w14:paraId="7A40AEB4">
      <w:pPr>
        <w:pStyle w:val="5"/>
        <w:spacing w:line="360" w:lineRule="auto"/>
        <w:rPr>
          <w:rFonts w:ascii="Times New Roman" w:hAnsi="Times New Roman"/>
          <w:lang w:eastAsia="zh-CN"/>
        </w:rPr>
      </w:pPr>
    </w:p>
    <w:p w14:paraId="59865F24">
      <w:pPr>
        <w:spacing w:line="360" w:lineRule="auto"/>
        <w:ind w:firstLine="630" w:firstLineChars="300"/>
        <w:jc w:val="both"/>
        <w:rPr>
          <w:rFonts w:ascii="Times New Roman" w:hAnsi="Times New Roman" w:eastAsia="黑体" w:cs="黑体"/>
          <w:lang w:eastAsia="zh-CN"/>
        </w:rPr>
      </w:pPr>
      <w:r>
        <w:rPr>
          <w:rFonts w:ascii="Times New Roman" w:hAnsi="Times New Roman" w:eastAsia="宋体" w:cs="宋体"/>
          <w:lang w:eastAsia="zh-CN"/>
        </w:rPr>
        <w:t xml:space="preserve">本人 </w:t>
      </w:r>
      <w:r>
        <w:rPr>
          <w:rFonts w:hint="eastAsia" w:ascii="Times New Roman" w:hAnsi="Times New Roman" w:eastAsia="宋体" w:cs="宋体"/>
          <w:lang w:eastAsia="zh-CN"/>
        </w:rPr>
        <w:t>（</w:t>
      </w:r>
      <w:r>
        <w:rPr>
          <w:rFonts w:ascii="Times New Roman" w:hAnsi="Times New Roman" w:eastAsia="宋体" w:cs="宋体"/>
          <w:lang w:eastAsia="zh-CN"/>
        </w:rPr>
        <w:t>姓名</w:t>
      </w:r>
      <w:r>
        <w:rPr>
          <w:rFonts w:hint="eastAsia" w:ascii="Times New Roman" w:hAnsi="Times New Roman" w:eastAsia="宋体" w:cs="宋体"/>
          <w:lang w:eastAsia="zh-CN"/>
        </w:rPr>
        <w:t>）</w:t>
      </w:r>
      <w:r>
        <w:rPr>
          <w:rFonts w:ascii="Times New Roman" w:hAnsi="Times New Roman" w:eastAsia="宋体" w:cs="宋体"/>
          <w:lang w:eastAsia="zh-CN"/>
        </w:rPr>
        <w:t>系</w:t>
      </w:r>
      <w:r>
        <w:rPr>
          <w:rFonts w:hint="eastAsia" w:ascii="Times New Roman" w:hAnsi="Times New Roman" w:eastAsia="宋体" w:cs="宋体"/>
          <w:lang w:eastAsia="zh-CN"/>
        </w:rPr>
        <w:t>（</w:t>
      </w:r>
      <w:r>
        <w:rPr>
          <w:rFonts w:ascii="Times New Roman" w:hAnsi="Times New Roman" w:eastAsia="宋体" w:cs="宋体"/>
          <w:lang w:eastAsia="zh-CN"/>
        </w:rPr>
        <w:t>投标人名称</w:t>
      </w:r>
      <w:r>
        <w:rPr>
          <w:rFonts w:hint="eastAsia" w:ascii="Times New Roman" w:hAnsi="Times New Roman" w:eastAsia="宋体" w:cs="宋体"/>
          <w:lang w:eastAsia="zh-CN"/>
        </w:rPr>
        <w:t>）</w:t>
      </w:r>
      <w:r>
        <w:rPr>
          <w:rFonts w:ascii="Times New Roman" w:hAnsi="Times New Roman" w:eastAsia="宋体" w:cs="宋体"/>
          <w:lang w:eastAsia="zh-CN"/>
        </w:rPr>
        <w:t>的法定代表人，现委托</w:t>
      </w:r>
      <w:r>
        <w:rPr>
          <w:rFonts w:hint="eastAsia" w:ascii="Times New Roman" w:hAnsi="Times New Roman" w:eastAsia="宋体" w:cs="宋体"/>
          <w:lang w:eastAsia="zh-CN"/>
        </w:rPr>
        <w:t>（</w:t>
      </w:r>
      <w:r>
        <w:rPr>
          <w:rFonts w:ascii="Times New Roman" w:hAnsi="Times New Roman" w:eastAsia="宋体" w:cs="宋体"/>
          <w:lang w:eastAsia="zh-CN"/>
        </w:rPr>
        <w:t>姓名</w:t>
      </w:r>
      <w:r>
        <w:rPr>
          <w:rFonts w:hint="eastAsia" w:ascii="Times New Roman" w:hAnsi="Times New Roman" w:eastAsia="宋体" w:cs="宋体"/>
          <w:lang w:eastAsia="zh-CN"/>
        </w:rPr>
        <w:t>）</w:t>
      </w:r>
      <w:r>
        <w:rPr>
          <w:rFonts w:ascii="Times New Roman" w:hAnsi="Times New Roman" w:eastAsia="宋体" w:cs="宋体"/>
          <w:lang w:eastAsia="zh-CN"/>
        </w:rPr>
        <w:t xml:space="preserve">为我方代理人。代理人根据接权，以我方名义签署、澄清、说明、补正、递交、撤回、修改 </w:t>
      </w:r>
      <w:r>
        <w:rPr>
          <w:rFonts w:hint="eastAsia" w:ascii="Times New Roman" w:hAnsi="Times New Roman" w:eastAsia="宋体" w:cs="宋体"/>
          <w:lang w:eastAsia="zh-CN"/>
        </w:rPr>
        <w:t>（</w:t>
      </w:r>
      <w:r>
        <w:rPr>
          <w:rFonts w:ascii="Times New Roman" w:hAnsi="Times New Roman" w:eastAsia="宋体" w:cs="宋体"/>
          <w:lang w:eastAsia="zh-CN"/>
        </w:rPr>
        <w:t>工程名称</w:t>
      </w:r>
      <w:r>
        <w:rPr>
          <w:rFonts w:hint="eastAsia" w:ascii="Times New Roman" w:hAnsi="Times New Roman" w:eastAsia="宋体" w:cs="宋体"/>
          <w:lang w:eastAsia="zh-CN"/>
        </w:rPr>
        <w:t>）</w:t>
      </w:r>
      <w:r>
        <w:rPr>
          <w:rFonts w:ascii="Times New Roman" w:hAnsi="Times New Roman" w:eastAsia="宋体" w:cs="宋体"/>
          <w:lang w:eastAsia="zh-CN"/>
        </w:rPr>
        <w:t xml:space="preserve">投标文件、签订合同和处理有关事宜，其法律后果由我方承担 </w:t>
      </w:r>
      <w:r>
        <w:rPr>
          <w:rFonts w:ascii="Times New Roman" w:hAnsi="Times New Roman" w:eastAsia="黑体" w:cs="黑体"/>
          <w:lang w:eastAsia="zh-CN"/>
        </w:rPr>
        <w:t>。</w:t>
      </w:r>
    </w:p>
    <w:p w14:paraId="12ECA6D0">
      <w:pPr>
        <w:spacing w:line="360" w:lineRule="auto"/>
        <w:ind w:left="459"/>
        <w:rPr>
          <w:rFonts w:ascii="Times New Roman" w:hAnsi="Times New Roman" w:eastAsia="宋体" w:cs="宋体"/>
          <w:lang w:eastAsia="zh-CN"/>
        </w:rPr>
      </w:pPr>
      <w:r>
        <w:rPr>
          <w:rFonts w:ascii="Times New Roman" w:hAnsi="Times New Roman" w:eastAsia="宋体" w:cs="宋体"/>
          <w:lang w:eastAsia="zh-CN"/>
        </w:rPr>
        <w:t>委托期限： 。</w:t>
      </w:r>
    </w:p>
    <w:p w14:paraId="40080E61">
      <w:pPr>
        <w:spacing w:line="360" w:lineRule="auto"/>
        <w:ind w:left="459"/>
        <w:rPr>
          <w:rFonts w:ascii="Times New Roman" w:hAnsi="Times New Roman" w:eastAsia="宋体" w:cs="宋体"/>
          <w:lang w:eastAsia="zh-CN"/>
        </w:rPr>
      </w:pPr>
      <w:r>
        <w:rPr>
          <w:rFonts w:ascii="Times New Roman" w:hAnsi="Times New Roman" w:eastAsia="宋体" w:cs="宋体"/>
          <w:lang w:eastAsia="zh-CN"/>
        </w:rPr>
        <w:t>代理人无转委托权。</w:t>
      </w:r>
    </w:p>
    <w:p w14:paraId="22AD2CC4">
      <w:pPr>
        <w:spacing w:line="360" w:lineRule="auto"/>
        <w:ind w:left="459"/>
        <w:rPr>
          <w:rFonts w:ascii="Times New Roman" w:hAnsi="Times New Roman" w:eastAsia="宋体" w:cs="宋体"/>
          <w:lang w:eastAsia="zh-CN"/>
        </w:rPr>
      </w:pPr>
      <w:r>
        <w:rPr>
          <w:rFonts w:ascii="Times New Roman" w:hAnsi="Times New Roman" w:eastAsia="宋体" w:cs="宋体"/>
          <w:lang w:eastAsia="zh-CN"/>
        </w:rPr>
        <w:t>附：法定代表人及委托代理人身份正反面复印件</w:t>
      </w:r>
    </w:p>
    <w:p w14:paraId="1D5CCB92">
      <w:pPr>
        <w:pStyle w:val="5"/>
        <w:spacing w:line="360" w:lineRule="auto"/>
        <w:rPr>
          <w:rFonts w:ascii="Times New Roman" w:hAnsi="Times New Roman"/>
          <w:lang w:eastAsia="zh-CN"/>
        </w:rPr>
      </w:pPr>
    </w:p>
    <w:p w14:paraId="4AD7DBB3">
      <w:pPr>
        <w:pStyle w:val="5"/>
        <w:spacing w:line="360" w:lineRule="auto"/>
        <w:rPr>
          <w:rFonts w:ascii="Times New Roman" w:hAnsi="Times New Roman"/>
          <w:lang w:eastAsia="zh-CN"/>
        </w:rPr>
      </w:pPr>
    </w:p>
    <w:p w14:paraId="3F0393E6">
      <w:pPr>
        <w:pStyle w:val="5"/>
        <w:spacing w:line="360" w:lineRule="auto"/>
        <w:rPr>
          <w:rFonts w:ascii="Times New Roman" w:hAnsi="Times New Roman"/>
          <w:lang w:eastAsia="zh-CN"/>
        </w:rPr>
      </w:pPr>
    </w:p>
    <w:p w14:paraId="7F543800">
      <w:pPr>
        <w:pStyle w:val="5"/>
        <w:spacing w:line="360" w:lineRule="auto"/>
        <w:rPr>
          <w:rFonts w:ascii="宋体" w:hAnsi="宋体" w:eastAsia="宋体" w:cs="宋体"/>
          <w:lang w:eastAsia="zh-CN"/>
        </w:rPr>
      </w:pPr>
    </w:p>
    <w:p w14:paraId="3ABEF2C6">
      <w:pPr>
        <w:spacing w:line="360" w:lineRule="auto"/>
        <w:rPr>
          <w:rFonts w:ascii="宋体" w:hAnsi="宋体" w:eastAsia="宋体" w:cs="宋体"/>
          <w:lang w:eastAsia="zh-CN"/>
        </w:rPr>
      </w:pPr>
      <w:r>
        <w:rPr>
          <w:rFonts w:hint="eastAsia" w:ascii="宋体" w:hAnsi="宋体" w:eastAsia="宋体" w:cs="宋体"/>
          <w:lang w:eastAsia="zh-CN"/>
        </w:rPr>
        <w:t>投标人： （盖单位章）</w:t>
      </w:r>
    </w:p>
    <w:p w14:paraId="79B83235">
      <w:pPr>
        <w:pStyle w:val="5"/>
        <w:spacing w:line="360" w:lineRule="auto"/>
        <w:rPr>
          <w:rFonts w:ascii="宋体" w:hAnsi="宋体" w:eastAsia="宋体" w:cs="宋体"/>
          <w:lang w:eastAsia="zh-CN"/>
        </w:rPr>
      </w:pPr>
    </w:p>
    <w:p w14:paraId="35B21E64">
      <w:pPr>
        <w:pStyle w:val="5"/>
        <w:spacing w:line="360" w:lineRule="auto"/>
        <w:rPr>
          <w:rFonts w:ascii="宋体" w:hAnsi="宋体" w:eastAsia="宋体" w:cs="宋体"/>
          <w:lang w:eastAsia="zh-CN"/>
        </w:rPr>
      </w:pPr>
    </w:p>
    <w:p w14:paraId="498D1E72">
      <w:pPr>
        <w:spacing w:line="360" w:lineRule="auto"/>
        <w:rPr>
          <w:rFonts w:ascii="宋体" w:hAnsi="宋体" w:eastAsia="宋体" w:cs="宋体"/>
          <w:lang w:eastAsia="zh-CN"/>
        </w:rPr>
      </w:pPr>
      <w:r>
        <w:rPr>
          <w:rFonts w:hint="eastAsia" w:ascii="宋体" w:hAnsi="宋体" w:eastAsia="宋体" w:cs="宋体"/>
          <w:lang w:eastAsia="zh-CN"/>
        </w:rPr>
        <w:t>法定代表人： （签字或盖章）</w:t>
      </w:r>
    </w:p>
    <w:p w14:paraId="3EB1DE01">
      <w:pPr>
        <w:spacing w:line="360" w:lineRule="auto"/>
        <w:rPr>
          <w:rFonts w:ascii="宋体" w:hAnsi="宋体" w:eastAsia="宋体" w:cs="宋体"/>
          <w:lang w:eastAsia="zh-CN"/>
        </w:rPr>
      </w:pPr>
      <w:r>
        <w:rPr>
          <w:rFonts w:hint="eastAsia" w:ascii="宋体" w:hAnsi="宋体" w:eastAsia="宋体" w:cs="宋体"/>
          <w:lang w:eastAsia="zh-CN"/>
        </w:rPr>
        <w:t xml:space="preserve">身份证号码： </w:t>
      </w:r>
    </w:p>
    <w:p w14:paraId="58CE9EAE">
      <w:pPr>
        <w:pStyle w:val="5"/>
        <w:spacing w:line="360" w:lineRule="auto"/>
        <w:rPr>
          <w:rFonts w:ascii="宋体" w:hAnsi="宋体" w:eastAsia="宋体" w:cs="宋体"/>
          <w:lang w:eastAsia="zh-CN"/>
        </w:rPr>
      </w:pPr>
    </w:p>
    <w:p w14:paraId="4953F3BC">
      <w:pPr>
        <w:pStyle w:val="5"/>
        <w:spacing w:line="360" w:lineRule="auto"/>
        <w:rPr>
          <w:rFonts w:ascii="宋体" w:hAnsi="宋体" w:eastAsia="宋体" w:cs="宋体"/>
          <w:lang w:eastAsia="zh-CN"/>
        </w:rPr>
      </w:pPr>
    </w:p>
    <w:p w14:paraId="5F153B20">
      <w:pPr>
        <w:spacing w:line="360" w:lineRule="auto"/>
        <w:rPr>
          <w:rFonts w:ascii="宋体" w:hAnsi="宋体" w:eastAsia="宋体" w:cs="宋体"/>
          <w:lang w:eastAsia="zh-CN"/>
        </w:rPr>
      </w:pPr>
      <w:r>
        <w:rPr>
          <w:rFonts w:hint="eastAsia" w:ascii="宋体" w:hAnsi="宋体" w:eastAsia="宋体" w:cs="宋体"/>
          <w:sz w:val="23"/>
          <w:szCs w:val="23"/>
          <w:lang w:eastAsia="zh-CN"/>
        </w:rPr>
        <w:t xml:space="preserve">委托代理人： </w:t>
      </w:r>
      <w:r>
        <w:rPr>
          <w:rFonts w:hint="eastAsia" w:ascii="宋体" w:hAnsi="宋体" w:eastAsia="宋体" w:cs="宋体"/>
          <w:lang w:eastAsia="zh-CN"/>
        </w:rPr>
        <w:t>（签字）</w:t>
      </w:r>
    </w:p>
    <w:p w14:paraId="35F9E860">
      <w:pPr>
        <w:spacing w:line="360" w:lineRule="auto"/>
        <w:rPr>
          <w:rFonts w:ascii="宋体" w:hAnsi="宋体" w:eastAsia="宋体" w:cs="宋体"/>
          <w:lang w:eastAsia="zh-CN"/>
        </w:rPr>
      </w:pPr>
      <w:r>
        <w:rPr>
          <w:rFonts w:hint="eastAsia" w:ascii="宋体" w:hAnsi="宋体" w:eastAsia="宋体" w:cs="宋体"/>
          <w:lang w:eastAsia="zh-CN"/>
        </w:rPr>
        <w:t xml:space="preserve">身份证号码： </w:t>
      </w:r>
    </w:p>
    <w:p w14:paraId="4A7429D0">
      <w:pPr>
        <w:pStyle w:val="5"/>
        <w:spacing w:line="360" w:lineRule="auto"/>
        <w:rPr>
          <w:rFonts w:ascii="宋体" w:hAnsi="宋体" w:eastAsia="宋体" w:cs="宋体"/>
          <w:lang w:eastAsia="zh-CN"/>
        </w:rPr>
      </w:pPr>
    </w:p>
    <w:p w14:paraId="43CB6A5A">
      <w:pPr>
        <w:pStyle w:val="5"/>
        <w:spacing w:line="360" w:lineRule="auto"/>
        <w:rPr>
          <w:rFonts w:ascii="宋体" w:hAnsi="宋体" w:eastAsia="宋体" w:cs="宋体"/>
          <w:lang w:eastAsia="zh-CN"/>
        </w:rPr>
      </w:pPr>
    </w:p>
    <w:p w14:paraId="09CE9F48">
      <w:pPr>
        <w:pStyle w:val="5"/>
        <w:spacing w:line="360" w:lineRule="auto"/>
        <w:rPr>
          <w:rFonts w:ascii="宋体" w:hAnsi="宋体" w:eastAsia="宋体" w:cs="宋体"/>
          <w:lang w:eastAsia="zh-CN"/>
        </w:rPr>
      </w:pPr>
    </w:p>
    <w:p w14:paraId="42B7DE93">
      <w:pPr>
        <w:tabs>
          <w:tab w:val="left" w:pos="3078"/>
        </w:tabs>
        <w:spacing w:line="360" w:lineRule="auto"/>
        <w:ind w:left="2350"/>
        <w:rPr>
          <w:rFonts w:ascii="宋体" w:hAnsi="宋体" w:eastAsia="宋体" w:cs="宋体"/>
          <w:sz w:val="25"/>
          <w:szCs w:val="25"/>
          <w:lang w:eastAsia="zh-CN"/>
        </w:rPr>
      </w:pPr>
      <w:r>
        <w:rPr>
          <w:rFonts w:hint="eastAsia" w:ascii="宋体" w:hAnsi="宋体" w:eastAsia="宋体" w:cs="宋体"/>
          <w:sz w:val="20"/>
          <w:szCs w:val="20"/>
          <w:u w:val="single"/>
          <w:lang w:eastAsia="zh-CN"/>
        </w:rPr>
        <w:tab/>
      </w:r>
      <w:r>
        <w:rPr>
          <w:rFonts w:hint="eastAsia" w:ascii="宋体" w:hAnsi="宋体" w:eastAsia="宋体" w:cs="宋体"/>
          <w:sz w:val="20"/>
          <w:szCs w:val="20"/>
          <w:lang w:eastAsia="zh-CN"/>
        </w:rPr>
        <w:t xml:space="preserve">年 </w:t>
      </w:r>
      <w:r>
        <w:rPr>
          <w:rFonts w:hint="eastAsia" w:ascii="宋体" w:hAnsi="宋体" w:eastAsia="宋体" w:cs="宋体"/>
          <w:sz w:val="25"/>
          <w:szCs w:val="25"/>
          <w:lang w:eastAsia="zh-CN"/>
        </w:rPr>
        <w:t>月</w:t>
      </w:r>
      <w:r>
        <w:rPr>
          <w:rFonts w:hint="eastAsia" w:ascii="宋体" w:hAnsi="宋体" w:eastAsia="宋体" w:cs="宋体"/>
          <w:sz w:val="25"/>
          <w:szCs w:val="25"/>
          <w:u w:val="single"/>
          <w:lang w:eastAsia="zh-CN"/>
        </w:rPr>
        <w:t xml:space="preserve">     日</w:t>
      </w:r>
    </w:p>
    <w:p w14:paraId="4AE57B09">
      <w:pPr>
        <w:spacing w:line="360" w:lineRule="auto"/>
        <w:rPr>
          <w:rFonts w:ascii="宋体" w:hAnsi="宋体" w:eastAsia="宋体" w:cs="宋体"/>
          <w:sz w:val="25"/>
          <w:szCs w:val="25"/>
          <w:lang w:eastAsia="zh-CN"/>
        </w:rPr>
        <w:sectPr>
          <w:footerReference r:id="rId23" w:type="default"/>
          <w:pgSz w:w="11905" w:h="16838"/>
          <w:pgMar w:top="1134" w:right="1134" w:bottom="1134" w:left="1134" w:header="0" w:footer="1043" w:gutter="0"/>
          <w:cols w:space="0" w:num="1"/>
        </w:sectPr>
      </w:pPr>
    </w:p>
    <w:p w14:paraId="46EF72B8">
      <w:pPr>
        <w:pStyle w:val="5"/>
        <w:spacing w:line="360" w:lineRule="auto"/>
        <w:rPr>
          <w:rFonts w:ascii="Times New Roman" w:hAnsi="Times New Roman"/>
          <w:lang w:eastAsia="zh-CN"/>
        </w:rPr>
      </w:pPr>
    </w:p>
    <w:p w14:paraId="0A922FF3">
      <w:pPr>
        <w:pStyle w:val="5"/>
        <w:spacing w:line="360" w:lineRule="auto"/>
        <w:rPr>
          <w:rFonts w:ascii="Times New Roman" w:hAnsi="Times New Roman"/>
          <w:lang w:eastAsia="zh-CN"/>
        </w:rPr>
      </w:pPr>
    </w:p>
    <w:p w14:paraId="090D7D0C">
      <w:pPr>
        <w:spacing w:line="360" w:lineRule="auto"/>
        <w:ind w:left="3649"/>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四、开标一览表</w:t>
      </w:r>
    </w:p>
    <w:p w14:paraId="2BE02A11">
      <w:pPr>
        <w:spacing w:line="360" w:lineRule="auto"/>
        <w:ind w:left="455"/>
        <w:rPr>
          <w:rFonts w:ascii="Times New Roman" w:hAnsi="Times New Roman" w:eastAsia="宋体" w:cs="宋体"/>
          <w:sz w:val="22"/>
          <w:szCs w:val="22"/>
        </w:rPr>
      </w:pPr>
      <w:r>
        <w:rPr>
          <w:rFonts w:ascii="Times New Roman" w:hAnsi="Times New Roman" w:eastAsia="宋体" w:cs="宋体"/>
          <w:sz w:val="22"/>
          <w:szCs w:val="22"/>
        </w:rPr>
        <w:t>项目名称：</w:t>
      </w:r>
    </w:p>
    <w:p w14:paraId="72E41E70">
      <w:pPr>
        <w:spacing w:line="360" w:lineRule="auto"/>
        <w:ind w:left="445"/>
        <w:rPr>
          <w:rFonts w:ascii="Times New Roman" w:hAnsi="Times New Roman" w:eastAsia="宋体" w:cs="宋体"/>
          <w:sz w:val="22"/>
          <w:szCs w:val="22"/>
        </w:rPr>
      </w:pPr>
      <w:r>
        <w:rPr>
          <w:rFonts w:ascii="Times New Roman" w:hAnsi="Times New Roman" w:eastAsia="宋体" w:cs="宋体"/>
          <w:sz w:val="22"/>
          <w:szCs w:val="22"/>
        </w:rPr>
        <w:t>招标编号：</w:t>
      </w:r>
    </w:p>
    <w:p w14:paraId="74E02C01">
      <w:pPr>
        <w:spacing w:line="360" w:lineRule="auto"/>
        <w:rPr>
          <w:rFonts w:ascii="Times New Roman" w:hAnsi="Times New Roman"/>
        </w:rPr>
      </w:pPr>
    </w:p>
    <w:tbl>
      <w:tblPr>
        <w:tblStyle w:val="20"/>
        <w:tblW w:w="94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3"/>
        <w:gridCol w:w="7737"/>
      </w:tblGrid>
      <w:tr w14:paraId="55CAB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703" w:type="dxa"/>
            <w:vAlign w:val="center"/>
          </w:tcPr>
          <w:p w14:paraId="00D7D62D">
            <w:pPr>
              <w:pStyle w:val="21"/>
              <w:jc w:val="center"/>
            </w:pPr>
            <w:r>
              <w:t>供应商名称</w:t>
            </w:r>
          </w:p>
        </w:tc>
        <w:tc>
          <w:tcPr>
            <w:tcW w:w="7737" w:type="dxa"/>
            <w:vAlign w:val="center"/>
          </w:tcPr>
          <w:p w14:paraId="0E868D45">
            <w:pPr>
              <w:spacing w:line="360" w:lineRule="auto"/>
              <w:jc w:val="center"/>
              <w:rPr>
                <w:rFonts w:ascii="Times New Roman" w:hAnsi="Times New Roman"/>
              </w:rPr>
            </w:pPr>
          </w:p>
        </w:tc>
      </w:tr>
      <w:tr w14:paraId="02EF5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703" w:type="dxa"/>
            <w:vAlign w:val="center"/>
          </w:tcPr>
          <w:p w14:paraId="4AFE0E5F">
            <w:pPr>
              <w:spacing w:line="360" w:lineRule="auto"/>
              <w:jc w:val="center"/>
              <w:rPr>
                <w:rFonts w:ascii="Times New Roman" w:hAnsi="Times New Roman"/>
              </w:rPr>
            </w:pPr>
          </w:p>
          <w:p w14:paraId="1668037D">
            <w:pPr>
              <w:pStyle w:val="21"/>
              <w:jc w:val="center"/>
            </w:pPr>
            <w:r>
              <w:t>投标报价</w:t>
            </w:r>
          </w:p>
        </w:tc>
        <w:tc>
          <w:tcPr>
            <w:tcW w:w="7737" w:type="dxa"/>
            <w:vAlign w:val="center"/>
          </w:tcPr>
          <w:p w14:paraId="167D061D">
            <w:pPr>
              <w:spacing w:line="360" w:lineRule="auto"/>
              <w:jc w:val="center"/>
              <w:rPr>
                <w:rFonts w:ascii="Times New Roman" w:hAnsi="Times New Roman"/>
              </w:rPr>
            </w:pPr>
          </w:p>
          <w:p w14:paraId="06D695F0">
            <w:pPr>
              <w:pStyle w:val="21"/>
              <w:jc w:val="center"/>
            </w:pPr>
          </w:p>
        </w:tc>
      </w:tr>
      <w:tr w14:paraId="1F373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703" w:type="dxa"/>
            <w:vAlign w:val="center"/>
          </w:tcPr>
          <w:p w14:paraId="7432AFE2">
            <w:pPr>
              <w:spacing w:line="360" w:lineRule="auto"/>
              <w:jc w:val="center"/>
              <w:rPr>
                <w:rFonts w:ascii="Times New Roman" w:hAnsi="Times New Roman"/>
              </w:rPr>
            </w:pPr>
          </w:p>
          <w:p w14:paraId="53E4E9B1">
            <w:pPr>
              <w:pStyle w:val="21"/>
              <w:jc w:val="center"/>
            </w:pPr>
            <w:r>
              <w:t>服务标准</w:t>
            </w:r>
          </w:p>
        </w:tc>
        <w:tc>
          <w:tcPr>
            <w:tcW w:w="7737" w:type="dxa"/>
            <w:vAlign w:val="center"/>
          </w:tcPr>
          <w:p w14:paraId="7E940273">
            <w:pPr>
              <w:spacing w:line="360" w:lineRule="auto"/>
              <w:jc w:val="center"/>
              <w:rPr>
                <w:rFonts w:ascii="Times New Roman" w:hAnsi="Times New Roman"/>
              </w:rPr>
            </w:pPr>
          </w:p>
        </w:tc>
      </w:tr>
      <w:tr w14:paraId="1B0A3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703" w:type="dxa"/>
            <w:vAlign w:val="center"/>
          </w:tcPr>
          <w:p w14:paraId="0FE4E495">
            <w:pPr>
              <w:pStyle w:val="21"/>
              <w:jc w:val="center"/>
              <w:rPr>
                <w:lang w:eastAsia="zh-CN"/>
              </w:rPr>
            </w:pPr>
            <w:r>
              <w:rPr>
                <w:lang w:eastAsia="zh-CN"/>
              </w:rPr>
              <w:t xml:space="preserve">合同履行期限 </w:t>
            </w:r>
            <w:r>
              <w:rPr>
                <w:rFonts w:hint="eastAsia"/>
                <w:lang w:eastAsia="zh-CN"/>
              </w:rPr>
              <w:t>（</w:t>
            </w:r>
            <w:r>
              <w:rPr>
                <w:lang w:eastAsia="zh-CN"/>
              </w:rPr>
              <w:t>服务期</w:t>
            </w:r>
            <w:r>
              <w:rPr>
                <w:rFonts w:hint="eastAsia"/>
                <w:lang w:eastAsia="zh-CN"/>
              </w:rPr>
              <w:t>）</w:t>
            </w:r>
          </w:p>
        </w:tc>
        <w:tc>
          <w:tcPr>
            <w:tcW w:w="7737" w:type="dxa"/>
            <w:vAlign w:val="center"/>
          </w:tcPr>
          <w:p w14:paraId="45DFF331">
            <w:pPr>
              <w:spacing w:line="360" w:lineRule="auto"/>
              <w:jc w:val="center"/>
              <w:rPr>
                <w:rFonts w:ascii="Times New Roman" w:hAnsi="Times New Roman"/>
                <w:lang w:eastAsia="zh-CN"/>
              </w:rPr>
            </w:pPr>
          </w:p>
        </w:tc>
      </w:tr>
      <w:tr w14:paraId="34A3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03" w:type="dxa"/>
            <w:vAlign w:val="center"/>
          </w:tcPr>
          <w:p w14:paraId="54BB1603">
            <w:pPr>
              <w:pStyle w:val="21"/>
              <w:jc w:val="center"/>
            </w:pPr>
            <w:r>
              <w:t>服务承诺</w:t>
            </w:r>
          </w:p>
        </w:tc>
        <w:tc>
          <w:tcPr>
            <w:tcW w:w="7737" w:type="dxa"/>
            <w:vAlign w:val="center"/>
          </w:tcPr>
          <w:p w14:paraId="7DCECA78">
            <w:pPr>
              <w:pStyle w:val="21"/>
              <w:jc w:val="center"/>
            </w:pPr>
            <w:r>
              <w:t>有/无</w:t>
            </w:r>
          </w:p>
        </w:tc>
      </w:tr>
      <w:tr w14:paraId="36E7A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1703" w:type="dxa"/>
          </w:tcPr>
          <w:p w14:paraId="5B8E5E8D">
            <w:pPr>
              <w:spacing w:line="360" w:lineRule="auto"/>
              <w:jc w:val="center"/>
              <w:rPr>
                <w:rFonts w:ascii="Times New Roman" w:hAnsi="Times New Roman"/>
              </w:rPr>
            </w:pPr>
          </w:p>
          <w:p w14:paraId="10145E8E">
            <w:pPr>
              <w:spacing w:line="360" w:lineRule="auto"/>
              <w:jc w:val="center"/>
              <w:rPr>
                <w:rFonts w:ascii="Times New Roman" w:hAnsi="Times New Roman"/>
              </w:rPr>
            </w:pPr>
          </w:p>
          <w:p w14:paraId="1A80D0B4">
            <w:pPr>
              <w:spacing w:line="360" w:lineRule="auto"/>
              <w:jc w:val="center"/>
              <w:rPr>
                <w:rFonts w:ascii="Times New Roman" w:hAnsi="Times New Roman"/>
              </w:rPr>
            </w:pPr>
          </w:p>
          <w:p w14:paraId="0092D502">
            <w:pPr>
              <w:pStyle w:val="21"/>
              <w:jc w:val="center"/>
            </w:pPr>
            <w:r>
              <w:t>备注</w:t>
            </w:r>
          </w:p>
        </w:tc>
        <w:tc>
          <w:tcPr>
            <w:tcW w:w="7737" w:type="dxa"/>
          </w:tcPr>
          <w:p w14:paraId="1570451B">
            <w:pPr>
              <w:pStyle w:val="21"/>
              <w:rPr>
                <w:lang w:eastAsia="zh-CN"/>
              </w:rPr>
            </w:pPr>
            <w:r>
              <w:rPr>
                <w:lang w:eastAsia="zh-CN"/>
              </w:rPr>
              <w:t>1、填报的内容必须和投标文件及投标函中的内容一致。</w:t>
            </w:r>
          </w:p>
          <w:p w14:paraId="6D09BAEA">
            <w:pPr>
              <w:pStyle w:val="21"/>
              <w:rPr>
                <w:lang w:eastAsia="zh-CN"/>
              </w:rPr>
            </w:pPr>
            <w:r>
              <w:rPr>
                <w:lang w:eastAsia="zh-CN"/>
              </w:rPr>
              <w:t>2、服务承诺详细内容必须在投标书中载明，如内容较多，本表只填写“有”“无”</w:t>
            </w:r>
          </w:p>
          <w:p w14:paraId="35684941">
            <w:pPr>
              <w:pStyle w:val="21"/>
              <w:rPr>
                <w:lang w:eastAsia="zh-CN"/>
              </w:rPr>
            </w:pPr>
            <w:r>
              <w:rPr>
                <w:lang w:eastAsia="zh-CN"/>
              </w:rPr>
              <w:t>即可。</w:t>
            </w:r>
          </w:p>
          <w:p w14:paraId="3F08E382">
            <w:pPr>
              <w:pStyle w:val="21"/>
              <w:rPr>
                <w:lang w:eastAsia="zh-CN"/>
              </w:rPr>
            </w:pPr>
            <w:r>
              <w:rPr>
                <w:lang w:eastAsia="zh-CN"/>
              </w:rPr>
              <w:t>3、投标报价位数保留到小数点后二位。</w:t>
            </w:r>
          </w:p>
          <w:p w14:paraId="71A6BBF7">
            <w:pPr>
              <w:pStyle w:val="21"/>
              <w:rPr>
                <w:lang w:eastAsia="zh-CN"/>
              </w:rPr>
            </w:pPr>
          </w:p>
        </w:tc>
      </w:tr>
      <w:tr w14:paraId="26D93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9440" w:type="dxa"/>
            <w:gridSpan w:val="2"/>
          </w:tcPr>
          <w:p w14:paraId="10E9D75E">
            <w:pPr>
              <w:spacing w:line="360" w:lineRule="auto"/>
              <w:rPr>
                <w:rFonts w:ascii="Times New Roman" w:hAnsi="Times New Roman"/>
                <w:lang w:eastAsia="zh-CN"/>
              </w:rPr>
            </w:pPr>
          </w:p>
          <w:p w14:paraId="64071E73">
            <w:pPr>
              <w:spacing w:line="360" w:lineRule="auto"/>
              <w:rPr>
                <w:rFonts w:ascii="Times New Roman" w:hAnsi="Times New Roman"/>
                <w:lang w:eastAsia="zh-CN"/>
              </w:rPr>
            </w:pPr>
          </w:p>
          <w:p w14:paraId="42E75C7B">
            <w:pPr>
              <w:spacing w:line="360" w:lineRule="auto"/>
              <w:rPr>
                <w:rFonts w:ascii="Times New Roman" w:hAnsi="Times New Roman"/>
                <w:lang w:eastAsia="zh-CN"/>
              </w:rPr>
            </w:pPr>
          </w:p>
          <w:p w14:paraId="3755C949">
            <w:pPr>
              <w:spacing w:line="360" w:lineRule="auto"/>
              <w:rPr>
                <w:rFonts w:ascii="Times New Roman" w:hAnsi="Times New Roman"/>
                <w:lang w:eastAsia="zh-CN"/>
              </w:rPr>
            </w:pPr>
          </w:p>
          <w:p w14:paraId="76B2095F">
            <w:pPr>
              <w:pStyle w:val="21"/>
              <w:rPr>
                <w:lang w:eastAsia="zh-CN"/>
              </w:rPr>
            </w:pPr>
            <w:r>
              <w:rPr>
                <w:lang w:eastAsia="zh-CN"/>
              </w:rPr>
              <w:t xml:space="preserve">供应商：         </w:t>
            </w:r>
            <w:r>
              <w:rPr>
                <w:rFonts w:hint="eastAsia"/>
                <w:lang w:eastAsia="zh-CN"/>
              </w:rPr>
              <w:t>（</w:t>
            </w:r>
            <w:r>
              <w:rPr>
                <w:lang w:eastAsia="zh-CN"/>
              </w:rPr>
              <w:t>盖章</w:t>
            </w:r>
            <w:r>
              <w:rPr>
                <w:rFonts w:hint="eastAsia"/>
                <w:lang w:eastAsia="zh-CN"/>
              </w:rPr>
              <w:t>）</w:t>
            </w:r>
            <w:r>
              <w:rPr>
                <w:lang w:eastAsia="zh-CN"/>
              </w:rPr>
              <w:t xml:space="preserve">                 法定代表人或被授权人：           </w:t>
            </w:r>
            <w:r>
              <w:rPr>
                <w:rFonts w:hint="eastAsia"/>
                <w:lang w:eastAsia="zh-CN"/>
              </w:rPr>
              <w:t>（</w:t>
            </w:r>
            <w:r>
              <w:rPr>
                <w:lang w:eastAsia="zh-CN"/>
              </w:rPr>
              <w:t>签字或盖章</w:t>
            </w:r>
            <w:r>
              <w:rPr>
                <w:rFonts w:hint="eastAsia"/>
                <w:lang w:eastAsia="zh-CN"/>
              </w:rPr>
              <w:t>）</w:t>
            </w:r>
          </w:p>
        </w:tc>
      </w:tr>
    </w:tbl>
    <w:p w14:paraId="7D72043D">
      <w:pPr>
        <w:pStyle w:val="5"/>
        <w:spacing w:line="360" w:lineRule="auto"/>
        <w:rPr>
          <w:rFonts w:ascii="Times New Roman" w:hAnsi="Times New Roman"/>
          <w:lang w:eastAsia="zh-CN"/>
        </w:rPr>
      </w:pPr>
    </w:p>
    <w:p w14:paraId="5FA83E55">
      <w:pPr>
        <w:spacing w:line="360" w:lineRule="auto"/>
        <w:rPr>
          <w:rFonts w:ascii="Times New Roman" w:hAnsi="Times New Roman"/>
          <w:lang w:eastAsia="zh-CN"/>
        </w:rPr>
        <w:sectPr>
          <w:footerReference r:id="rId24" w:type="default"/>
          <w:pgSz w:w="11905" w:h="16838"/>
          <w:pgMar w:top="1134" w:right="1134" w:bottom="1134" w:left="1134" w:header="0" w:footer="1043" w:gutter="0"/>
          <w:cols w:space="0" w:num="1"/>
        </w:sectPr>
      </w:pPr>
    </w:p>
    <w:p w14:paraId="15C5472E">
      <w:pPr>
        <w:pStyle w:val="5"/>
        <w:spacing w:line="360" w:lineRule="auto"/>
        <w:rPr>
          <w:rFonts w:ascii="Times New Roman" w:hAnsi="Times New Roman"/>
          <w:lang w:eastAsia="zh-CN"/>
        </w:rPr>
      </w:pPr>
    </w:p>
    <w:p w14:paraId="4B49151D">
      <w:pPr>
        <w:pStyle w:val="5"/>
        <w:spacing w:line="360" w:lineRule="auto"/>
        <w:rPr>
          <w:rFonts w:ascii="Times New Roman" w:hAnsi="Times New Roman"/>
          <w:lang w:eastAsia="zh-CN"/>
        </w:rPr>
      </w:pPr>
    </w:p>
    <w:p w14:paraId="3917C77E">
      <w:pPr>
        <w:spacing w:line="360" w:lineRule="auto"/>
        <w:jc w:val="center"/>
        <w:outlineLvl w:val="6"/>
        <w:rPr>
          <w:rFonts w:ascii="Times New Roman" w:hAnsi="Times New Roman" w:eastAsia="宋体" w:cs="宋体"/>
          <w:sz w:val="36"/>
          <w:szCs w:val="36"/>
          <w:lang w:eastAsia="zh-CN"/>
        </w:rPr>
      </w:pPr>
      <w:r>
        <w:rPr>
          <w:rFonts w:ascii="Times New Roman" w:hAnsi="Times New Roman" w:eastAsia="宋体" w:cs="宋体"/>
          <w:b/>
          <w:bCs/>
          <w:sz w:val="36"/>
          <w:szCs w:val="36"/>
          <w:lang w:eastAsia="zh-CN"/>
        </w:rPr>
        <w:t>五、投标报价说明</w:t>
      </w:r>
    </w:p>
    <w:p w14:paraId="50F6D04E">
      <w:pPr>
        <w:pStyle w:val="5"/>
        <w:spacing w:line="360" w:lineRule="auto"/>
        <w:rPr>
          <w:rFonts w:ascii="Times New Roman" w:hAnsi="Times New Roman"/>
          <w:lang w:eastAsia="zh-CN"/>
        </w:rPr>
      </w:pPr>
    </w:p>
    <w:p w14:paraId="3DD11C0E">
      <w:pPr>
        <w:pStyle w:val="5"/>
        <w:spacing w:line="360" w:lineRule="auto"/>
        <w:rPr>
          <w:rFonts w:ascii="Times New Roman" w:hAnsi="Times New Roman"/>
          <w:lang w:eastAsia="zh-CN"/>
        </w:rPr>
      </w:pPr>
    </w:p>
    <w:p w14:paraId="0E42DE9E">
      <w:pPr>
        <w:pStyle w:val="5"/>
        <w:spacing w:line="360" w:lineRule="auto"/>
        <w:rPr>
          <w:rFonts w:ascii="Times New Roman" w:hAnsi="Times New Roman"/>
          <w:lang w:eastAsia="zh-CN"/>
        </w:rPr>
      </w:pPr>
    </w:p>
    <w:p w14:paraId="1A5E9893">
      <w:pPr>
        <w:spacing w:line="360" w:lineRule="auto"/>
        <w:jc w:val="center"/>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格式自拟</w:t>
      </w:r>
    </w:p>
    <w:p w14:paraId="09DCB5FA">
      <w:pPr>
        <w:pStyle w:val="5"/>
        <w:spacing w:line="360" w:lineRule="auto"/>
        <w:rPr>
          <w:rFonts w:ascii="Times New Roman" w:hAnsi="Times New Roman"/>
          <w:lang w:eastAsia="zh-CN"/>
        </w:rPr>
      </w:pPr>
    </w:p>
    <w:p w14:paraId="093F4F45">
      <w:pPr>
        <w:pStyle w:val="5"/>
        <w:spacing w:line="360" w:lineRule="auto"/>
        <w:rPr>
          <w:rFonts w:ascii="Times New Roman" w:hAnsi="Times New Roman"/>
          <w:lang w:eastAsia="zh-CN"/>
        </w:rPr>
      </w:pPr>
    </w:p>
    <w:p w14:paraId="298A97F8">
      <w:pPr>
        <w:pStyle w:val="5"/>
        <w:spacing w:line="360" w:lineRule="auto"/>
        <w:rPr>
          <w:rFonts w:ascii="Times New Roman" w:hAnsi="Times New Roman"/>
          <w:lang w:eastAsia="zh-CN"/>
        </w:rPr>
      </w:pPr>
    </w:p>
    <w:p w14:paraId="7DB60D2F">
      <w:pPr>
        <w:pStyle w:val="5"/>
        <w:spacing w:line="360" w:lineRule="auto"/>
        <w:rPr>
          <w:rFonts w:ascii="Times New Roman" w:hAnsi="Times New Roman"/>
          <w:lang w:eastAsia="zh-CN"/>
        </w:rPr>
      </w:pPr>
    </w:p>
    <w:p w14:paraId="5508C8B2">
      <w:pPr>
        <w:pStyle w:val="5"/>
        <w:spacing w:line="360" w:lineRule="auto"/>
        <w:rPr>
          <w:rFonts w:ascii="Times New Roman" w:hAnsi="Times New Roman"/>
          <w:lang w:eastAsia="zh-CN"/>
        </w:rPr>
      </w:pPr>
    </w:p>
    <w:p w14:paraId="07AB21C1">
      <w:pPr>
        <w:pStyle w:val="5"/>
        <w:spacing w:line="360" w:lineRule="auto"/>
        <w:rPr>
          <w:rFonts w:ascii="Times New Roman" w:hAnsi="Times New Roman"/>
          <w:lang w:eastAsia="zh-CN"/>
        </w:rPr>
      </w:pPr>
    </w:p>
    <w:p w14:paraId="55E203E5">
      <w:pPr>
        <w:pStyle w:val="5"/>
        <w:spacing w:line="360" w:lineRule="auto"/>
        <w:rPr>
          <w:rFonts w:ascii="Times New Roman" w:hAnsi="Times New Roman"/>
          <w:lang w:eastAsia="zh-CN"/>
        </w:rPr>
      </w:pPr>
    </w:p>
    <w:p w14:paraId="3992C06C">
      <w:pPr>
        <w:spacing w:line="360" w:lineRule="auto"/>
        <w:jc w:val="center"/>
        <w:rPr>
          <w:rFonts w:ascii="Times New Roman" w:hAnsi="Times New Roman" w:eastAsia="宋体" w:cs="宋体"/>
          <w:sz w:val="25"/>
          <w:szCs w:val="25"/>
          <w:lang w:eastAsia="zh-CN"/>
        </w:rPr>
      </w:pPr>
      <w:r>
        <w:rPr>
          <w:rFonts w:ascii="Times New Roman" w:hAnsi="Times New Roman" w:eastAsia="宋体" w:cs="宋体"/>
          <w:b/>
          <w:bCs/>
          <w:sz w:val="25"/>
          <w:szCs w:val="25"/>
          <w:lang w:eastAsia="zh-CN"/>
        </w:rPr>
        <w:t>注：投标报价应包含为完成本项目的所有费用。</w:t>
      </w:r>
    </w:p>
    <w:p w14:paraId="3A0E5AC7">
      <w:pPr>
        <w:pStyle w:val="5"/>
        <w:spacing w:line="360" w:lineRule="auto"/>
        <w:rPr>
          <w:rFonts w:ascii="Times New Roman" w:hAnsi="Times New Roman"/>
          <w:lang w:eastAsia="zh-CN"/>
        </w:rPr>
      </w:pPr>
    </w:p>
    <w:p w14:paraId="4A52EBA8">
      <w:pPr>
        <w:pStyle w:val="5"/>
        <w:spacing w:line="360" w:lineRule="auto"/>
        <w:rPr>
          <w:rFonts w:ascii="Times New Roman" w:hAnsi="Times New Roman"/>
          <w:lang w:eastAsia="zh-CN"/>
        </w:rPr>
      </w:pPr>
    </w:p>
    <w:p w14:paraId="1FBADB17">
      <w:pPr>
        <w:pStyle w:val="5"/>
        <w:spacing w:line="360" w:lineRule="auto"/>
        <w:rPr>
          <w:rFonts w:ascii="Times New Roman" w:hAnsi="Times New Roman"/>
          <w:lang w:eastAsia="zh-CN"/>
        </w:rPr>
      </w:pPr>
    </w:p>
    <w:p w14:paraId="12234708">
      <w:pPr>
        <w:pStyle w:val="5"/>
        <w:spacing w:line="360" w:lineRule="auto"/>
        <w:rPr>
          <w:rFonts w:ascii="Times New Roman" w:hAnsi="Times New Roman"/>
          <w:lang w:eastAsia="zh-CN"/>
        </w:rPr>
      </w:pPr>
    </w:p>
    <w:p w14:paraId="05DF368A">
      <w:pPr>
        <w:pStyle w:val="5"/>
        <w:spacing w:line="360" w:lineRule="auto"/>
        <w:rPr>
          <w:rFonts w:ascii="Times New Roman" w:hAnsi="Times New Roman"/>
          <w:lang w:eastAsia="zh-CN"/>
        </w:rPr>
      </w:pPr>
    </w:p>
    <w:p w14:paraId="2E7FE9A6">
      <w:pPr>
        <w:pStyle w:val="5"/>
        <w:spacing w:line="360" w:lineRule="auto"/>
        <w:rPr>
          <w:rFonts w:ascii="Times New Roman" w:hAnsi="Times New Roman"/>
          <w:lang w:eastAsia="zh-CN"/>
        </w:rPr>
      </w:pPr>
    </w:p>
    <w:p w14:paraId="03A85A6C">
      <w:pPr>
        <w:pStyle w:val="5"/>
        <w:spacing w:line="360" w:lineRule="auto"/>
        <w:rPr>
          <w:rFonts w:ascii="Times New Roman" w:hAnsi="Times New Roman"/>
          <w:lang w:eastAsia="zh-CN"/>
        </w:rPr>
      </w:pPr>
    </w:p>
    <w:p w14:paraId="2D539257">
      <w:pPr>
        <w:pStyle w:val="5"/>
        <w:spacing w:line="360" w:lineRule="auto"/>
        <w:rPr>
          <w:rFonts w:ascii="Times New Roman" w:hAnsi="Times New Roman"/>
          <w:lang w:eastAsia="zh-CN"/>
        </w:rPr>
      </w:pPr>
    </w:p>
    <w:p w14:paraId="3C3ED186">
      <w:pPr>
        <w:pStyle w:val="5"/>
        <w:spacing w:line="360" w:lineRule="auto"/>
        <w:rPr>
          <w:rFonts w:ascii="Times New Roman" w:hAnsi="Times New Roman"/>
          <w:lang w:eastAsia="zh-CN"/>
        </w:rPr>
      </w:pPr>
    </w:p>
    <w:p w14:paraId="1BB34E04">
      <w:pPr>
        <w:pStyle w:val="5"/>
        <w:spacing w:line="360" w:lineRule="auto"/>
        <w:rPr>
          <w:rFonts w:ascii="Times New Roman" w:hAnsi="Times New Roman"/>
          <w:lang w:eastAsia="zh-CN"/>
        </w:rPr>
      </w:pPr>
    </w:p>
    <w:p w14:paraId="2A6BB6AE">
      <w:pPr>
        <w:spacing w:line="360" w:lineRule="auto"/>
        <w:ind w:left="485"/>
        <w:rPr>
          <w:rFonts w:ascii="Times New Roman" w:hAnsi="Times New Roman" w:eastAsia="宋体" w:cs="宋体"/>
          <w:sz w:val="25"/>
          <w:szCs w:val="25"/>
          <w:lang w:eastAsia="zh-CN"/>
        </w:rPr>
      </w:pPr>
      <w:r>
        <w:rPr>
          <w:rFonts w:hint="eastAsia" w:ascii="Times New Roman" w:hAnsi="Times New Roman" w:eastAsia="宋体" w:cs="宋体"/>
          <w:sz w:val="25"/>
          <w:szCs w:val="25"/>
          <w:lang w:eastAsia="zh-CN"/>
        </w:rPr>
        <w:t>投标人（</w:t>
      </w:r>
      <w:r>
        <w:rPr>
          <w:rFonts w:ascii="Times New Roman" w:hAnsi="Times New Roman" w:eastAsia="宋体" w:cs="宋体"/>
          <w:sz w:val="25"/>
          <w:szCs w:val="25"/>
          <w:lang w:eastAsia="zh-CN"/>
        </w:rPr>
        <w:t>盖章</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w:t>
      </w:r>
    </w:p>
    <w:p w14:paraId="79EE03B4">
      <w:pPr>
        <w:pStyle w:val="5"/>
        <w:spacing w:line="360" w:lineRule="auto"/>
        <w:rPr>
          <w:rFonts w:ascii="Times New Roman" w:hAnsi="Times New Roman"/>
          <w:lang w:eastAsia="zh-CN"/>
        </w:rPr>
      </w:pPr>
    </w:p>
    <w:p w14:paraId="458A33C0">
      <w:pPr>
        <w:spacing w:line="360" w:lineRule="auto"/>
        <w:ind w:left="485"/>
        <w:rPr>
          <w:rFonts w:ascii="Times New Roman" w:hAnsi="Times New Roman" w:eastAsia="宋体" w:cs="宋体"/>
          <w:sz w:val="25"/>
          <w:szCs w:val="25"/>
          <w:lang w:eastAsia="zh-CN"/>
        </w:rPr>
      </w:pPr>
      <w:r>
        <w:rPr>
          <w:rFonts w:ascii="Times New Roman" w:hAnsi="Times New Roman" w:eastAsia="宋体" w:cs="宋体"/>
          <w:sz w:val="25"/>
          <w:szCs w:val="25"/>
          <w:lang w:eastAsia="zh-CN"/>
        </w:rPr>
        <w:t>法人代表或委托代理人</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签字或盖章</w:t>
      </w:r>
      <w:r>
        <w:rPr>
          <w:rFonts w:hint="eastAsia" w:ascii="Times New Roman" w:hAnsi="Times New Roman" w:eastAsia="宋体" w:cs="宋体"/>
          <w:sz w:val="25"/>
          <w:szCs w:val="25"/>
          <w:lang w:eastAsia="zh-CN"/>
        </w:rPr>
        <w:t>）</w:t>
      </w:r>
      <w:r>
        <w:rPr>
          <w:rFonts w:ascii="Times New Roman" w:hAnsi="Times New Roman" w:eastAsia="宋体" w:cs="宋体"/>
          <w:sz w:val="25"/>
          <w:szCs w:val="25"/>
          <w:lang w:eastAsia="zh-CN"/>
        </w:rPr>
        <w:t>:</w:t>
      </w:r>
    </w:p>
    <w:p w14:paraId="35EE16D6">
      <w:pPr>
        <w:spacing w:line="360" w:lineRule="auto"/>
        <w:ind w:left="485"/>
        <w:rPr>
          <w:rFonts w:ascii="Times New Roman" w:hAnsi="Times New Roman" w:eastAsia="宋体" w:cs="宋体"/>
          <w:sz w:val="25"/>
          <w:szCs w:val="25"/>
          <w:lang w:eastAsia="zh-CN"/>
        </w:rPr>
      </w:pPr>
    </w:p>
    <w:p w14:paraId="54D05CE4">
      <w:pPr>
        <w:spacing w:line="360" w:lineRule="auto"/>
        <w:ind w:left="485"/>
        <w:rPr>
          <w:rFonts w:ascii="Times New Roman" w:hAnsi="Times New Roman" w:eastAsia="宋体" w:cs="宋体"/>
          <w:sz w:val="25"/>
          <w:szCs w:val="25"/>
          <w:lang w:eastAsia="zh-CN"/>
        </w:rPr>
        <w:sectPr>
          <w:footerReference r:id="rId25" w:type="default"/>
          <w:pgSz w:w="11905" w:h="16838"/>
          <w:pgMar w:top="1134" w:right="1134" w:bottom="1134" w:left="1134" w:header="0" w:footer="1043" w:gutter="0"/>
          <w:cols w:space="0" w:num="1"/>
        </w:sectPr>
      </w:pPr>
      <w:r>
        <w:rPr>
          <w:rFonts w:ascii="Times New Roman" w:hAnsi="Times New Roman" w:eastAsia="宋体" w:cs="宋体"/>
          <w:sz w:val="25"/>
          <w:szCs w:val="25"/>
          <w:lang w:eastAsia="zh-CN"/>
        </w:rPr>
        <w:t>日期：    年     月      日</w:t>
      </w:r>
    </w:p>
    <w:p w14:paraId="2E57F837">
      <w:pPr>
        <w:spacing w:line="360" w:lineRule="auto"/>
        <w:ind w:left="2899"/>
        <w:outlineLvl w:val="6"/>
        <w:rPr>
          <w:rFonts w:ascii="Times New Roman" w:hAnsi="Times New Roman" w:eastAsia="宋体" w:cs="宋体"/>
          <w:b/>
          <w:bCs/>
          <w:sz w:val="32"/>
          <w:szCs w:val="32"/>
          <w:lang w:eastAsia="zh-CN"/>
        </w:rPr>
      </w:pPr>
    </w:p>
    <w:p w14:paraId="57EC1EA5">
      <w:pPr>
        <w:spacing w:line="360" w:lineRule="auto"/>
        <w:jc w:val="center"/>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六、工作服务方案</w:t>
      </w:r>
    </w:p>
    <w:p w14:paraId="43D431D7">
      <w:pPr>
        <w:spacing w:line="360" w:lineRule="auto"/>
        <w:rPr>
          <w:rFonts w:ascii="Times New Roman" w:hAnsi="Times New Roman" w:eastAsia="宋体" w:cs="宋体"/>
          <w:sz w:val="32"/>
          <w:szCs w:val="32"/>
          <w:lang w:eastAsia="zh-CN"/>
        </w:rPr>
        <w:sectPr>
          <w:footerReference r:id="rId26" w:type="default"/>
          <w:pgSz w:w="11905" w:h="16838"/>
          <w:pgMar w:top="1134" w:right="1134" w:bottom="1134" w:left="1134" w:header="0" w:footer="1043" w:gutter="0"/>
          <w:cols w:space="0" w:num="1"/>
        </w:sectPr>
      </w:pPr>
    </w:p>
    <w:p w14:paraId="6E6C03EE">
      <w:pPr>
        <w:pStyle w:val="5"/>
        <w:spacing w:line="360" w:lineRule="auto"/>
        <w:jc w:val="center"/>
        <w:rPr>
          <w:rFonts w:ascii="Times New Roman" w:hAnsi="Times New Roman"/>
          <w:lang w:eastAsia="zh-CN"/>
        </w:rPr>
      </w:pPr>
    </w:p>
    <w:p w14:paraId="06916B05">
      <w:pPr>
        <w:spacing w:line="360" w:lineRule="auto"/>
        <w:ind w:left="119"/>
        <w:jc w:val="center"/>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七、拟投入本项目的设备汇总表</w:t>
      </w:r>
    </w:p>
    <w:p w14:paraId="1315F50C">
      <w:pPr>
        <w:spacing w:line="360" w:lineRule="auto"/>
        <w:rPr>
          <w:rFonts w:ascii="Times New Roman" w:hAnsi="Times New Roman"/>
          <w:lang w:eastAsia="zh-CN"/>
        </w:rPr>
      </w:pPr>
    </w:p>
    <w:tbl>
      <w:tblPr>
        <w:tblStyle w:val="20"/>
        <w:tblW w:w="85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1069"/>
        <w:gridCol w:w="1548"/>
        <w:gridCol w:w="1119"/>
        <w:gridCol w:w="1278"/>
        <w:gridCol w:w="1119"/>
        <w:gridCol w:w="1293"/>
      </w:tblGrid>
      <w:tr w14:paraId="7BD5F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083" w:type="dxa"/>
          </w:tcPr>
          <w:p w14:paraId="6FF2A372">
            <w:pPr>
              <w:spacing w:line="360" w:lineRule="auto"/>
              <w:jc w:val="center"/>
              <w:rPr>
                <w:rFonts w:ascii="Times New Roman" w:hAnsi="Times New Roman"/>
                <w:lang w:eastAsia="zh-CN"/>
              </w:rPr>
            </w:pPr>
          </w:p>
          <w:p w14:paraId="2580F51E">
            <w:pPr>
              <w:pStyle w:val="21"/>
              <w:jc w:val="center"/>
            </w:pPr>
            <w:r>
              <w:t>序号</w:t>
            </w:r>
          </w:p>
        </w:tc>
        <w:tc>
          <w:tcPr>
            <w:tcW w:w="1069" w:type="dxa"/>
          </w:tcPr>
          <w:p w14:paraId="4DFF1E70">
            <w:pPr>
              <w:spacing w:line="360" w:lineRule="auto"/>
              <w:jc w:val="center"/>
              <w:rPr>
                <w:rFonts w:ascii="Times New Roman" w:hAnsi="Times New Roman"/>
              </w:rPr>
            </w:pPr>
          </w:p>
          <w:p w14:paraId="536B39A8">
            <w:pPr>
              <w:pStyle w:val="21"/>
              <w:jc w:val="center"/>
            </w:pPr>
            <w:r>
              <w:t>设备名称</w:t>
            </w:r>
          </w:p>
        </w:tc>
        <w:tc>
          <w:tcPr>
            <w:tcW w:w="1548" w:type="dxa"/>
          </w:tcPr>
          <w:p w14:paraId="3F67878E">
            <w:pPr>
              <w:spacing w:line="360" w:lineRule="auto"/>
              <w:jc w:val="center"/>
              <w:rPr>
                <w:rFonts w:ascii="Times New Roman" w:hAnsi="Times New Roman"/>
              </w:rPr>
            </w:pPr>
          </w:p>
          <w:p w14:paraId="2CC28AED">
            <w:pPr>
              <w:pStyle w:val="21"/>
              <w:jc w:val="center"/>
            </w:pPr>
            <w:r>
              <w:t>规格型号</w:t>
            </w:r>
          </w:p>
        </w:tc>
        <w:tc>
          <w:tcPr>
            <w:tcW w:w="1119" w:type="dxa"/>
          </w:tcPr>
          <w:p w14:paraId="1489200A">
            <w:pPr>
              <w:spacing w:line="360" w:lineRule="auto"/>
              <w:jc w:val="center"/>
              <w:rPr>
                <w:rFonts w:ascii="Times New Roman" w:hAnsi="Times New Roman"/>
              </w:rPr>
            </w:pPr>
          </w:p>
          <w:p w14:paraId="3C76F7B0">
            <w:pPr>
              <w:pStyle w:val="21"/>
              <w:jc w:val="center"/>
            </w:pPr>
            <w:r>
              <w:t>数量</w:t>
            </w:r>
          </w:p>
        </w:tc>
        <w:tc>
          <w:tcPr>
            <w:tcW w:w="1278" w:type="dxa"/>
          </w:tcPr>
          <w:p w14:paraId="06E8A123">
            <w:pPr>
              <w:spacing w:line="360" w:lineRule="auto"/>
              <w:jc w:val="center"/>
              <w:rPr>
                <w:rFonts w:ascii="Times New Roman" w:hAnsi="Times New Roman"/>
              </w:rPr>
            </w:pPr>
          </w:p>
          <w:p w14:paraId="48A3C316">
            <w:pPr>
              <w:pStyle w:val="21"/>
              <w:jc w:val="center"/>
            </w:pPr>
            <w:r>
              <w:t>使用情况</w:t>
            </w:r>
          </w:p>
        </w:tc>
        <w:tc>
          <w:tcPr>
            <w:tcW w:w="1119" w:type="dxa"/>
          </w:tcPr>
          <w:p w14:paraId="746C1D61">
            <w:pPr>
              <w:spacing w:line="360" w:lineRule="auto"/>
              <w:jc w:val="center"/>
              <w:rPr>
                <w:rFonts w:ascii="Times New Roman" w:hAnsi="Times New Roman"/>
              </w:rPr>
            </w:pPr>
          </w:p>
          <w:p w14:paraId="44A88401">
            <w:pPr>
              <w:pStyle w:val="21"/>
              <w:jc w:val="center"/>
            </w:pPr>
            <w:r>
              <w:t>投入时间</w:t>
            </w:r>
          </w:p>
        </w:tc>
        <w:tc>
          <w:tcPr>
            <w:tcW w:w="1293" w:type="dxa"/>
          </w:tcPr>
          <w:p w14:paraId="139FE1E2">
            <w:pPr>
              <w:spacing w:line="360" w:lineRule="auto"/>
              <w:jc w:val="center"/>
              <w:rPr>
                <w:rFonts w:ascii="Times New Roman" w:hAnsi="Times New Roman"/>
              </w:rPr>
            </w:pPr>
          </w:p>
          <w:p w14:paraId="10446F65">
            <w:pPr>
              <w:pStyle w:val="21"/>
              <w:jc w:val="center"/>
            </w:pPr>
            <w:r>
              <w:t>备  注</w:t>
            </w:r>
          </w:p>
        </w:tc>
      </w:tr>
      <w:tr w14:paraId="553F2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83" w:type="dxa"/>
          </w:tcPr>
          <w:p w14:paraId="149441C8">
            <w:pPr>
              <w:spacing w:line="360" w:lineRule="auto"/>
              <w:rPr>
                <w:rFonts w:ascii="Times New Roman" w:hAnsi="Times New Roman"/>
              </w:rPr>
            </w:pPr>
          </w:p>
        </w:tc>
        <w:tc>
          <w:tcPr>
            <w:tcW w:w="1069" w:type="dxa"/>
          </w:tcPr>
          <w:p w14:paraId="62E63FB8">
            <w:pPr>
              <w:spacing w:line="360" w:lineRule="auto"/>
              <w:rPr>
                <w:rFonts w:ascii="Times New Roman" w:hAnsi="Times New Roman"/>
              </w:rPr>
            </w:pPr>
          </w:p>
        </w:tc>
        <w:tc>
          <w:tcPr>
            <w:tcW w:w="1548" w:type="dxa"/>
          </w:tcPr>
          <w:p w14:paraId="2FF73EE4">
            <w:pPr>
              <w:spacing w:line="360" w:lineRule="auto"/>
              <w:rPr>
                <w:rFonts w:ascii="Times New Roman" w:hAnsi="Times New Roman"/>
              </w:rPr>
            </w:pPr>
          </w:p>
        </w:tc>
        <w:tc>
          <w:tcPr>
            <w:tcW w:w="1119" w:type="dxa"/>
          </w:tcPr>
          <w:p w14:paraId="481D5794">
            <w:pPr>
              <w:spacing w:line="360" w:lineRule="auto"/>
              <w:rPr>
                <w:rFonts w:ascii="Times New Roman" w:hAnsi="Times New Roman"/>
              </w:rPr>
            </w:pPr>
          </w:p>
        </w:tc>
        <w:tc>
          <w:tcPr>
            <w:tcW w:w="1278" w:type="dxa"/>
          </w:tcPr>
          <w:p w14:paraId="2EA57446">
            <w:pPr>
              <w:spacing w:line="360" w:lineRule="auto"/>
              <w:rPr>
                <w:rFonts w:ascii="Times New Roman" w:hAnsi="Times New Roman"/>
              </w:rPr>
            </w:pPr>
          </w:p>
        </w:tc>
        <w:tc>
          <w:tcPr>
            <w:tcW w:w="1119" w:type="dxa"/>
          </w:tcPr>
          <w:p w14:paraId="48FDD8DE">
            <w:pPr>
              <w:spacing w:line="360" w:lineRule="auto"/>
              <w:rPr>
                <w:rFonts w:ascii="Times New Roman" w:hAnsi="Times New Roman"/>
              </w:rPr>
            </w:pPr>
          </w:p>
        </w:tc>
        <w:tc>
          <w:tcPr>
            <w:tcW w:w="1293" w:type="dxa"/>
          </w:tcPr>
          <w:p w14:paraId="08888B5A">
            <w:pPr>
              <w:spacing w:line="360" w:lineRule="auto"/>
              <w:rPr>
                <w:rFonts w:ascii="Times New Roman" w:hAnsi="Times New Roman"/>
              </w:rPr>
            </w:pPr>
          </w:p>
        </w:tc>
      </w:tr>
      <w:tr w14:paraId="482B9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83" w:type="dxa"/>
          </w:tcPr>
          <w:p w14:paraId="7CE3FAF0">
            <w:pPr>
              <w:spacing w:line="360" w:lineRule="auto"/>
              <w:rPr>
                <w:rFonts w:ascii="Times New Roman" w:hAnsi="Times New Roman"/>
              </w:rPr>
            </w:pPr>
          </w:p>
        </w:tc>
        <w:tc>
          <w:tcPr>
            <w:tcW w:w="1069" w:type="dxa"/>
          </w:tcPr>
          <w:p w14:paraId="5AAF630A">
            <w:pPr>
              <w:spacing w:line="360" w:lineRule="auto"/>
              <w:rPr>
                <w:rFonts w:ascii="Times New Roman" w:hAnsi="Times New Roman"/>
              </w:rPr>
            </w:pPr>
          </w:p>
        </w:tc>
        <w:tc>
          <w:tcPr>
            <w:tcW w:w="1548" w:type="dxa"/>
          </w:tcPr>
          <w:p w14:paraId="728E72AD">
            <w:pPr>
              <w:spacing w:line="360" w:lineRule="auto"/>
              <w:rPr>
                <w:rFonts w:ascii="Times New Roman" w:hAnsi="Times New Roman"/>
              </w:rPr>
            </w:pPr>
          </w:p>
        </w:tc>
        <w:tc>
          <w:tcPr>
            <w:tcW w:w="1119" w:type="dxa"/>
          </w:tcPr>
          <w:p w14:paraId="513CAE4B">
            <w:pPr>
              <w:spacing w:line="360" w:lineRule="auto"/>
              <w:rPr>
                <w:rFonts w:ascii="Times New Roman" w:hAnsi="Times New Roman"/>
              </w:rPr>
            </w:pPr>
          </w:p>
        </w:tc>
        <w:tc>
          <w:tcPr>
            <w:tcW w:w="1278" w:type="dxa"/>
          </w:tcPr>
          <w:p w14:paraId="22F630C6">
            <w:pPr>
              <w:spacing w:line="360" w:lineRule="auto"/>
              <w:rPr>
                <w:rFonts w:ascii="Times New Roman" w:hAnsi="Times New Roman"/>
              </w:rPr>
            </w:pPr>
          </w:p>
        </w:tc>
        <w:tc>
          <w:tcPr>
            <w:tcW w:w="1119" w:type="dxa"/>
          </w:tcPr>
          <w:p w14:paraId="71EC2097">
            <w:pPr>
              <w:spacing w:line="360" w:lineRule="auto"/>
              <w:rPr>
                <w:rFonts w:ascii="Times New Roman" w:hAnsi="Times New Roman"/>
              </w:rPr>
            </w:pPr>
          </w:p>
        </w:tc>
        <w:tc>
          <w:tcPr>
            <w:tcW w:w="1293" w:type="dxa"/>
          </w:tcPr>
          <w:p w14:paraId="48C8BBAC">
            <w:pPr>
              <w:spacing w:line="360" w:lineRule="auto"/>
              <w:rPr>
                <w:rFonts w:ascii="Times New Roman" w:hAnsi="Times New Roman"/>
              </w:rPr>
            </w:pPr>
          </w:p>
        </w:tc>
      </w:tr>
      <w:tr w14:paraId="609A6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83" w:type="dxa"/>
          </w:tcPr>
          <w:p w14:paraId="3CA264DF">
            <w:pPr>
              <w:spacing w:line="360" w:lineRule="auto"/>
              <w:rPr>
                <w:rFonts w:ascii="Times New Roman" w:hAnsi="Times New Roman"/>
              </w:rPr>
            </w:pPr>
          </w:p>
        </w:tc>
        <w:tc>
          <w:tcPr>
            <w:tcW w:w="1069" w:type="dxa"/>
          </w:tcPr>
          <w:p w14:paraId="01C4FB53">
            <w:pPr>
              <w:spacing w:line="360" w:lineRule="auto"/>
              <w:rPr>
                <w:rFonts w:ascii="Times New Roman" w:hAnsi="Times New Roman"/>
              </w:rPr>
            </w:pPr>
          </w:p>
        </w:tc>
        <w:tc>
          <w:tcPr>
            <w:tcW w:w="1548" w:type="dxa"/>
          </w:tcPr>
          <w:p w14:paraId="71DE7880">
            <w:pPr>
              <w:spacing w:line="360" w:lineRule="auto"/>
              <w:rPr>
                <w:rFonts w:ascii="Times New Roman" w:hAnsi="Times New Roman"/>
              </w:rPr>
            </w:pPr>
          </w:p>
        </w:tc>
        <w:tc>
          <w:tcPr>
            <w:tcW w:w="1119" w:type="dxa"/>
          </w:tcPr>
          <w:p w14:paraId="78B71DBB">
            <w:pPr>
              <w:spacing w:line="360" w:lineRule="auto"/>
              <w:rPr>
                <w:rFonts w:ascii="Times New Roman" w:hAnsi="Times New Roman"/>
              </w:rPr>
            </w:pPr>
          </w:p>
        </w:tc>
        <w:tc>
          <w:tcPr>
            <w:tcW w:w="1278" w:type="dxa"/>
          </w:tcPr>
          <w:p w14:paraId="579847B8">
            <w:pPr>
              <w:spacing w:line="360" w:lineRule="auto"/>
              <w:rPr>
                <w:rFonts w:ascii="Times New Roman" w:hAnsi="Times New Roman"/>
              </w:rPr>
            </w:pPr>
          </w:p>
        </w:tc>
        <w:tc>
          <w:tcPr>
            <w:tcW w:w="1119" w:type="dxa"/>
          </w:tcPr>
          <w:p w14:paraId="30654DAD">
            <w:pPr>
              <w:spacing w:line="360" w:lineRule="auto"/>
              <w:rPr>
                <w:rFonts w:ascii="Times New Roman" w:hAnsi="Times New Roman"/>
              </w:rPr>
            </w:pPr>
          </w:p>
        </w:tc>
        <w:tc>
          <w:tcPr>
            <w:tcW w:w="1293" w:type="dxa"/>
          </w:tcPr>
          <w:p w14:paraId="714A6A4C">
            <w:pPr>
              <w:spacing w:line="360" w:lineRule="auto"/>
              <w:rPr>
                <w:rFonts w:ascii="Times New Roman" w:hAnsi="Times New Roman"/>
              </w:rPr>
            </w:pPr>
          </w:p>
        </w:tc>
      </w:tr>
      <w:tr w14:paraId="720DB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83" w:type="dxa"/>
          </w:tcPr>
          <w:p w14:paraId="544A564B">
            <w:pPr>
              <w:spacing w:line="360" w:lineRule="auto"/>
              <w:rPr>
                <w:rFonts w:ascii="Times New Roman" w:hAnsi="Times New Roman"/>
              </w:rPr>
            </w:pPr>
          </w:p>
        </w:tc>
        <w:tc>
          <w:tcPr>
            <w:tcW w:w="1069" w:type="dxa"/>
          </w:tcPr>
          <w:p w14:paraId="580B324A">
            <w:pPr>
              <w:spacing w:line="360" w:lineRule="auto"/>
              <w:rPr>
                <w:rFonts w:ascii="Times New Roman" w:hAnsi="Times New Roman"/>
              </w:rPr>
            </w:pPr>
          </w:p>
        </w:tc>
        <w:tc>
          <w:tcPr>
            <w:tcW w:w="1548" w:type="dxa"/>
          </w:tcPr>
          <w:p w14:paraId="61873E0A">
            <w:pPr>
              <w:spacing w:line="360" w:lineRule="auto"/>
              <w:rPr>
                <w:rFonts w:ascii="Times New Roman" w:hAnsi="Times New Roman"/>
              </w:rPr>
            </w:pPr>
          </w:p>
        </w:tc>
        <w:tc>
          <w:tcPr>
            <w:tcW w:w="1119" w:type="dxa"/>
          </w:tcPr>
          <w:p w14:paraId="0AAF0DCE">
            <w:pPr>
              <w:spacing w:line="360" w:lineRule="auto"/>
              <w:rPr>
                <w:rFonts w:ascii="Times New Roman" w:hAnsi="Times New Roman"/>
              </w:rPr>
            </w:pPr>
          </w:p>
        </w:tc>
        <w:tc>
          <w:tcPr>
            <w:tcW w:w="1278" w:type="dxa"/>
          </w:tcPr>
          <w:p w14:paraId="45E2FF37">
            <w:pPr>
              <w:spacing w:line="360" w:lineRule="auto"/>
              <w:rPr>
                <w:rFonts w:ascii="Times New Roman" w:hAnsi="Times New Roman"/>
              </w:rPr>
            </w:pPr>
          </w:p>
        </w:tc>
        <w:tc>
          <w:tcPr>
            <w:tcW w:w="1119" w:type="dxa"/>
          </w:tcPr>
          <w:p w14:paraId="27C18905">
            <w:pPr>
              <w:spacing w:line="360" w:lineRule="auto"/>
              <w:rPr>
                <w:rFonts w:ascii="Times New Roman" w:hAnsi="Times New Roman"/>
              </w:rPr>
            </w:pPr>
          </w:p>
        </w:tc>
        <w:tc>
          <w:tcPr>
            <w:tcW w:w="1293" w:type="dxa"/>
          </w:tcPr>
          <w:p w14:paraId="08E33CF2">
            <w:pPr>
              <w:spacing w:line="360" w:lineRule="auto"/>
              <w:rPr>
                <w:rFonts w:ascii="Times New Roman" w:hAnsi="Times New Roman"/>
              </w:rPr>
            </w:pPr>
          </w:p>
        </w:tc>
      </w:tr>
      <w:tr w14:paraId="77B7B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083" w:type="dxa"/>
          </w:tcPr>
          <w:p w14:paraId="20550766">
            <w:pPr>
              <w:spacing w:line="360" w:lineRule="auto"/>
              <w:rPr>
                <w:rFonts w:ascii="Times New Roman" w:hAnsi="Times New Roman"/>
              </w:rPr>
            </w:pPr>
          </w:p>
        </w:tc>
        <w:tc>
          <w:tcPr>
            <w:tcW w:w="1069" w:type="dxa"/>
          </w:tcPr>
          <w:p w14:paraId="4EC09324">
            <w:pPr>
              <w:spacing w:line="360" w:lineRule="auto"/>
              <w:rPr>
                <w:rFonts w:ascii="Times New Roman" w:hAnsi="Times New Roman"/>
              </w:rPr>
            </w:pPr>
          </w:p>
        </w:tc>
        <w:tc>
          <w:tcPr>
            <w:tcW w:w="1548" w:type="dxa"/>
          </w:tcPr>
          <w:p w14:paraId="0AB612EE">
            <w:pPr>
              <w:spacing w:line="360" w:lineRule="auto"/>
              <w:rPr>
                <w:rFonts w:ascii="Times New Roman" w:hAnsi="Times New Roman"/>
              </w:rPr>
            </w:pPr>
          </w:p>
        </w:tc>
        <w:tc>
          <w:tcPr>
            <w:tcW w:w="1119" w:type="dxa"/>
          </w:tcPr>
          <w:p w14:paraId="0A6B22B7">
            <w:pPr>
              <w:spacing w:line="360" w:lineRule="auto"/>
              <w:rPr>
                <w:rFonts w:ascii="Times New Roman" w:hAnsi="Times New Roman"/>
              </w:rPr>
            </w:pPr>
          </w:p>
        </w:tc>
        <w:tc>
          <w:tcPr>
            <w:tcW w:w="1278" w:type="dxa"/>
          </w:tcPr>
          <w:p w14:paraId="41D19579">
            <w:pPr>
              <w:spacing w:line="360" w:lineRule="auto"/>
              <w:rPr>
                <w:rFonts w:ascii="Times New Roman" w:hAnsi="Times New Roman"/>
              </w:rPr>
            </w:pPr>
          </w:p>
        </w:tc>
        <w:tc>
          <w:tcPr>
            <w:tcW w:w="1119" w:type="dxa"/>
          </w:tcPr>
          <w:p w14:paraId="68069F28">
            <w:pPr>
              <w:spacing w:line="360" w:lineRule="auto"/>
              <w:rPr>
                <w:rFonts w:ascii="Times New Roman" w:hAnsi="Times New Roman"/>
              </w:rPr>
            </w:pPr>
          </w:p>
        </w:tc>
        <w:tc>
          <w:tcPr>
            <w:tcW w:w="1293" w:type="dxa"/>
          </w:tcPr>
          <w:p w14:paraId="4A270DED">
            <w:pPr>
              <w:spacing w:line="360" w:lineRule="auto"/>
              <w:rPr>
                <w:rFonts w:ascii="Times New Roman" w:hAnsi="Times New Roman"/>
              </w:rPr>
            </w:pPr>
          </w:p>
        </w:tc>
      </w:tr>
      <w:tr w14:paraId="7294D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83" w:type="dxa"/>
          </w:tcPr>
          <w:p w14:paraId="61040C74">
            <w:pPr>
              <w:spacing w:line="360" w:lineRule="auto"/>
              <w:rPr>
                <w:rFonts w:ascii="Times New Roman" w:hAnsi="Times New Roman"/>
              </w:rPr>
            </w:pPr>
          </w:p>
        </w:tc>
        <w:tc>
          <w:tcPr>
            <w:tcW w:w="1069" w:type="dxa"/>
          </w:tcPr>
          <w:p w14:paraId="017B2077">
            <w:pPr>
              <w:spacing w:line="360" w:lineRule="auto"/>
              <w:rPr>
                <w:rFonts w:ascii="Times New Roman" w:hAnsi="Times New Roman"/>
              </w:rPr>
            </w:pPr>
          </w:p>
        </w:tc>
        <w:tc>
          <w:tcPr>
            <w:tcW w:w="1548" w:type="dxa"/>
          </w:tcPr>
          <w:p w14:paraId="0DE9CE4F">
            <w:pPr>
              <w:spacing w:line="360" w:lineRule="auto"/>
              <w:rPr>
                <w:rFonts w:ascii="Times New Roman" w:hAnsi="Times New Roman"/>
              </w:rPr>
            </w:pPr>
          </w:p>
        </w:tc>
        <w:tc>
          <w:tcPr>
            <w:tcW w:w="1119" w:type="dxa"/>
          </w:tcPr>
          <w:p w14:paraId="78ADEB74">
            <w:pPr>
              <w:spacing w:line="360" w:lineRule="auto"/>
              <w:rPr>
                <w:rFonts w:ascii="Times New Roman" w:hAnsi="Times New Roman"/>
              </w:rPr>
            </w:pPr>
          </w:p>
        </w:tc>
        <w:tc>
          <w:tcPr>
            <w:tcW w:w="1278" w:type="dxa"/>
          </w:tcPr>
          <w:p w14:paraId="555209B9">
            <w:pPr>
              <w:spacing w:line="360" w:lineRule="auto"/>
              <w:rPr>
                <w:rFonts w:ascii="Times New Roman" w:hAnsi="Times New Roman"/>
              </w:rPr>
            </w:pPr>
          </w:p>
        </w:tc>
        <w:tc>
          <w:tcPr>
            <w:tcW w:w="1119" w:type="dxa"/>
          </w:tcPr>
          <w:p w14:paraId="399E61A8">
            <w:pPr>
              <w:spacing w:line="360" w:lineRule="auto"/>
              <w:rPr>
                <w:rFonts w:ascii="Times New Roman" w:hAnsi="Times New Roman"/>
              </w:rPr>
            </w:pPr>
          </w:p>
        </w:tc>
        <w:tc>
          <w:tcPr>
            <w:tcW w:w="1293" w:type="dxa"/>
          </w:tcPr>
          <w:p w14:paraId="156252D8">
            <w:pPr>
              <w:spacing w:line="360" w:lineRule="auto"/>
              <w:rPr>
                <w:rFonts w:ascii="Times New Roman" w:hAnsi="Times New Roman"/>
              </w:rPr>
            </w:pPr>
          </w:p>
        </w:tc>
      </w:tr>
      <w:tr w14:paraId="5668B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083" w:type="dxa"/>
          </w:tcPr>
          <w:p w14:paraId="3FB199B6">
            <w:pPr>
              <w:spacing w:line="360" w:lineRule="auto"/>
              <w:rPr>
                <w:rFonts w:ascii="Times New Roman" w:hAnsi="Times New Roman"/>
              </w:rPr>
            </w:pPr>
          </w:p>
        </w:tc>
        <w:tc>
          <w:tcPr>
            <w:tcW w:w="1069" w:type="dxa"/>
          </w:tcPr>
          <w:p w14:paraId="08B0F4A7">
            <w:pPr>
              <w:spacing w:line="360" w:lineRule="auto"/>
              <w:rPr>
                <w:rFonts w:ascii="Times New Roman" w:hAnsi="Times New Roman"/>
              </w:rPr>
            </w:pPr>
          </w:p>
        </w:tc>
        <w:tc>
          <w:tcPr>
            <w:tcW w:w="1548" w:type="dxa"/>
          </w:tcPr>
          <w:p w14:paraId="5BF3D0E8">
            <w:pPr>
              <w:spacing w:line="360" w:lineRule="auto"/>
              <w:rPr>
                <w:rFonts w:ascii="Times New Roman" w:hAnsi="Times New Roman"/>
              </w:rPr>
            </w:pPr>
          </w:p>
        </w:tc>
        <w:tc>
          <w:tcPr>
            <w:tcW w:w="1119" w:type="dxa"/>
          </w:tcPr>
          <w:p w14:paraId="1635234F">
            <w:pPr>
              <w:spacing w:line="360" w:lineRule="auto"/>
              <w:rPr>
                <w:rFonts w:ascii="Times New Roman" w:hAnsi="Times New Roman"/>
              </w:rPr>
            </w:pPr>
          </w:p>
        </w:tc>
        <w:tc>
          <w:tcPr>
            <w:tcW w:w="1278" w:type="dxa"/>
          </w:tcPr>
          <w:p w14:paraId="4AD721A9">
            <w:pPr>
              <w:spacing w:line="360" w:lineRule="auto"/>
              <w:rPr>
                <w:rFonts w:ascii="Times New Roman" w:hAnsi="Times New Roman"/>
              </w:rPr>
            </w:pPr>
          </w:p>
        </w:tc>
        <w:tc>
          <w:tcPr>
            <w:tcW w:w="1119" w:type="dxa"/>
          </w:tcPr>
          <w:p w14:paraId="76287C5C">
            <w:pPr>
              <w:spacing w:line="360" w:lineRule="auto"/>
              <w:rPr>
                <w:rFonts w:ascii="Times New Roman" w:hAnsi="Times New Roman"/>
              </w:rPr>
            </w:pPr>
          </w:p>
        </w:tc>
        <w:tc>
          <w:tcPr>
            <w:tcW w:w="1293" w:type="dxa"/>
          </w:tcPr>
          <w:p w14:paraId="3BD339AD">
            <w:pPr>
              <w:spacing w:line="360" w:lineRule="auto"/>
              <w:rPr>
                <w:rFonts w:ascii="Times New Roman" w:hAnsi="Times New Roman"/>
              </w:rPr>
            </w:pPr>
          </w:p>
        </w:tc>
      </w:tr>
      <w:tr w14:paraId="09D93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83" w:type="dxa"/>
          </w:tcPr>
          <w:p w14:paraId="07171928">
            <w:pPr>
              <w:spacing w:line="360" w:lineRule="auto"/>
              <w:rPr>
                <w:rFonts w:ascii="Times New Roman" w:hAnsi="Times New Roman"/>
              </w:rPr>
            </w:pPr>
          </w:p>
        </w:tc>
        <w:tc>
          <w:tcPr>
            <w:tcW w:w="1069" w:type="dxa"/>
          </w:tcPr>
          <w:p w14:paraId="3D8C1AE7">
            <w:pPr>
              <w:spacing w:line="360" w:lineRule="auto"/>
              <w:rPr>
                <w:rFonts w:ascii="Times New Roman" w:hAnsi="Times New Roman"/>
              </w:rPr>
            </w:pPr>
          </w:p>
        </w:tc>
        <w:tc>
          <w:tcPr>
            <w:tcW w:w="1548" w:type="dxa"/>
          </w:tcPr>
          <w:p w14:paraId="416B4DC1">
            <w:pPr>
              <w:spacing w:line="360" w:lineRule="auto"/>
              <w:rPr>
                <w:rFonts w:ascii="Times New Roman" w:hAnsi="Times New Roman"/>
              </w:rPr>
            </w:pPr>
          </w:p>
        </w:tc>
        <w:tc>
          <w:tcPr>
            <w:tcW w:w="1119" w:type="dxa"/>
          </w:tcPr>
          <w:p w14:paraId="67CE4B7D">
            <w:pPr>
              <w:spacing w:line="360" w:lineRule="auto"/>
              <w:rPr>
                <w:rFonts w:ascii="Times New Roman" w:hAnsi="Times New Roman"/>
              </w:rPr>
            </w:pPr>
          </w:p>
        </w:tc>
        <w:tc>
          <w:tcPr>
            <w:tcW w:w="1278" w:type="dxa"/>
          </w:tcPr>
          <w:p w14:paraId="6C176FBF">
            <w:pPr>
              <w:spacing w:line="360" w:lineRule="auto"/>
              <w:rPr>
                <w:rFonts w:ascii="Times New Roman" w:hAnsi="Times New Roman"/>
              </w:rPr>
            </w:pPr>
          </w:p>
        </w:tc>
        <w:tc>
          <w:tcPr>
            <w:tcW w:w="1119" w:type="dxa"/>
          </w:tcPr>
          <w:p w14:paraId="0881A175">
            <w:pPr>
              <w:spacing w:line="360" w:lineRule="auto"/>
              <w:rPr>
                <w:rFonts w:ascii="Times New Roman" w:hAnsi="Times New Roman"/>
              </w:rPr>
            </w:pPr>
          </w:p>
        </w:tc>
        <w:tc>
          <w:tcPr>
            <w:tcW w:w="1293" w:type="dxa"/>
          </w:tcPr>
          <w:p w14:paraId="3E2A8755">
            <w:pPr>
              <w:spacing w:line="360" w:lineRule="auto"/>
              <w:rPr>
                <w:rFonts w:ascii="Times New Roman" w:hAnsi="Times New Roman"/>
              </w:rPr>
            </w:pPr>
          </w:p>
        </w:tc>
      </w:tr>
      <w:tr w14:paraId="2F000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83" w:type="dxa"/>
          </w:tcPr>
          <w:p w14:paraId="5F3B676B">
            <w:pPr>
              <w:spacing w:line="360" w:lineRule="auto"/>
              <w:rPr>
                <w:rFonts w:ascii="Times New Roman" w:hAnsi="Times New Roman"/>
              </w:rPr>
            </w:pPr>
          </w:p>
        </w:tc>
        <w:tc>
          <w:tcPr>
            <w:tcW w:w="1069" w:type="dxa"/>
          </w:tcPr>
          <w:p w14:paraId="3268B2F6">
            <w:pPr>
              <w:spacing w:line="360" w:lineRule="auto"/>
              <w:rPr>
                <w:rFonts w:ascii="Times New Roman" w:hAnsi="Times New Roman"/>
              </w:rPr>
            </w:pPr>
          </w:p>
        </w:tc>
        <w:tc>
          <w:tcPr>
            <w:tcW w:w="1548" w:type="dxa"/>
          </w:tcPr>
          <w:p w14:paraId="01BED90E">
            <w:pPr>
              <w:spacing w:line="360" w:lineRule="auto"/>
              <w:rPr>
                <w:rFonts w:ascii="Times New Roman" w:hAnsi="Times New Roman"/>
              </w:rPr>
            </w:pPr>
          </w:p>
        </w:tc>
        <w:tc>
          <w:tcPr>
            <w:tcW w:w="1119" w:type="dxa"/>
          </w:tcPr>
          <w:p w14:paraId="21F1FE1B">
            <w:pPr>
              <w:spacing w:line="360" w:lineRule="auto"/>
              <w:rPr>
                <w:rFonts w:ascii="Times New Roman" w:hAnsi="Times New Roman"/>
              </w:rPr>
            </w:pPr>
          </w:p>
        </w:tc>
        <w:tc>
          <w:tcPr>
            <w:tcW w:w="1278" w:type="dxa"/>
          </w:tcPr>
          <w:p w14:paraId="1C957FCA">
            <w:pPr>
              <w:spacing w:line="360" w:lineRule="auto"/>
              <w:rPr>
                <w:rFonts w:ascii="Times New Roman" w:hAnsi="Times New Roman"/>
              </w:rPr>
            </w:pPr>
          </w:p>
        </w:tc>
        <w:tc>
          <w:tcPr>
            <w:tcW w:w="1119" w:type="dxa"/>
          </w:tcPr>
          <w:p w14:paraId="715F49F2">
            <w:pPr>
              <w:spacing w:line="360" w:lineRule="auto"/>
              <w:rPr>
                <w:rFonts w:ascii="Times New Roman" w:hAnsi="Times New Roman"/>
              </w:rPr>
            </w:pPr>
          </w:p>
        </w:tc>
        <w:tc>
          <w:tcPr>
            <w:tcW w:w="1293" w:type="dxa"/>
          </w:tcPr>
          <w:p w14:paraId="4CED4890">
            <w:pPr>
              <w:spacing w:line="360" w:lineRule="auto"/>
              <w:rPr>
                <w:rFonts w:ascii="Times New Roman" w:hAnsi="Times New Roman"/>
              </w:rPr>
            </w:pPr>
          </w:p>
        </w:tc>
      </w:tr>
      <w:tr w14:paraId="30D51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83" w:type="dxa"/>
          </w:tcPr>
          <w:p w14:paraId="0D6BF260">
            <w:pPr>
              <w:spacing w:line="360" w:lineRule="auto"/>
              <w:rPr>
                <w:rFonts w:ascii="Times New Roman" w:hAnsi="Times New Roman"/>
              </w:rPr>
            </w:pPr>
          </w:p>
        </w:tc>
        <w:tc>
          <w:tcPr>
            <w:tcW w:w="1069" w:type="dxa"/>
          </w:tcPr>
          <w:p w14:paraId="5C86DC27">
            <w:pPr>
              <w:spacing w:line="360" w:lineRule="auto"/>
              <w:rPr>
                <w:rFonts w:ascii="Times New Roman" w:hAnsi="Times New Roman"/>
              </w:rPr>
            </w:pPr>
          </w:p>
        </w:tc>
        <w:tc>
          <w:tcPr>
            <w:tcW w:w="1548" w:type="dxa"/>
          </w:tcPr>
          <w:p w14:paraId="5066C2B0">
            <w:pPr>
              <w:spacing w:line="360" w:lineRule="auto"/>
              <w:rPr>
                <w:rFonts w:ascii="Times New Roman" w:hAnsi="Times New Roman"/>
              </w:rPr>
            </w:pPr>
          </w:p>
        </w:tc>
        <w:tc>
          <w:tcPr>
            <w:tcW w:w="1119" w:type="dxa"/>
          </w:tcPr>
          <w:p w14:paraId="38BFC450">
            <w:pPr>
              <w:spacing w:line="360" w:lineRule="auto"/>
              <w:rPr>
                <w:rFonts w:ascii="Times New Roman" w:hAnsi="Times New Roman"/>
              </w:rPr>
            </w:pPr>
          </w:p>
        </w:tc>
        <w:tc>
          <w:tcPr>
            <w:tcW w:w="1278" w:type="dxa"/>
          </w:tcPr>
          <w:p w14:paraId="3F5949F9">
            <w:pPr>
              <w:spacing w:line="360" w:lineRule="auto"/>
              <w:rPr>
                <w:rFonts w:ascii="Times New Roman" w:hAnsi="Times New Roman"/>
              </w:rPr>
            </w:pPr>
          </w:p>
        </w:tc>
        <w:tc>
          <w:tcPr>
            <w:tcW w:w="1119" w:type="dxa"/>
          </w:tcPr>
          <w:p w14:paraId="1A03C587">
            <w:pPr>
              <w:spacing w:line="360" w:lineRule="auto"/>
              <w:rPr>
                <w:rFonts w:ascii="Times New Roman" w:hAnsi="Times New Roman"/>
              </w:rPr>
            </w:pPr>
          </w:p>
        </w:tc>
        <w:tc>
          <w:tcPr>
            <w:tcW w:w="1293" w:type="dxa"/>
          </w:tcPr>
          <w:p w14:paraId="7D17F578">
            <w:pPr>
              <w:spacing w:line="360" w:lineRule="auto"/>
              <w:rPr>
                <w:rFonts w:ascii="Times New Roman" w:hAnsi="Times New Roman"/>
              </w:rPr>
            </w:pPr>
          </w:p>
        </w:tc>
      </w:tr>
      <w:tr w14:paraId="45273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83" w:type="dxa"/>
          </w:tcPr>
          <w:p w14:paraId="1A1F0390">
            <w:pPr>
              <w:spacing w:line="360" w:lineRule="auto"/>
              <w:rPr>
                <w:rFonts w:ascii="Times New Roman" w:hAnsi="Times New Roman"/>
              </w:rPr>
            </w:pPr>
          </w:p>
        </w:tc>
        <w:tc>
          <w:tcPr>
            <w:tcW w:w="1069" w:type="dxa"/>
          </w:tcPr>
          <w:p w14:paraId="6B7A6717">
            <w:pPr>
              <w:spacing w:line="360" w:lineRule="auto"/>
              <w:rPr>
                <w:rFonts w:ascii="Times New Roman" w:hAnsi="Times New Roman"/>
              </w:rPr>
            </w:pPr>
          </w:p>
        </w:tc>
        <w:tc>
          <w:tcPr>
            <w:tcW w:w="1548" w:type="dxa"/>
          </w:tcPr>
          <w:p w14:paraId="3A994237">
            <w:pPr>
              <w:spacing w:line="360" w:lineRule="auto"/>
              <w:rPr>
                <w:rFonts w:ascii="Times New Roman" w:hAnsi="Times New Roman"/>
              </w:rPr>
            </w:pPr>
          </w:p>
        </w:tc>
        <w:tc>
          <w:tcPr>
            <w:tcW w:w="1119" w:type="dxa"/>
          </w:tcPr>
          <w:p w14:paraId="000D3280">
            <w:pPr>
              <w:spacing w:line="360" w:lineRule="auto"/>
              <w:rPr>
                <w:rFonts w:ascii="Times New Roman" w:hAnsi="Times New Roman"/>
              </w:rPr>
            </w:pPr>
          </w:p>
        </w:tc>
        <w:tc>
          <w:tcPr>
            <w:tcW w:w="1278" w:type="dxa"/>
          </w:tcPr>
          <w:p w14:paraId="0377ECD0">
            <w:pPr>
              <w:spacing w:line="360" w:lineRule="auto"/>
              <w:rPr>
                <w:rFonts w:ascii="Times New Roman" w:hAnsi="Times New Roman"/>
              </w:rPr>
            </w:pPr>
          </w:p>
        </w:tc>
        <w:tc>
          <w:tcPr>
            <w:tcW w:w="1119" w:type="dxa"/>
          </w:tcPr>
          <w:p w14:paraId="11186A91">
            <w:pPr>
              <w:spacing w:line="360" w:lineRule="auto"/>
              <w:rPr>
                <w:rFonts w:ascii="Times New Roman" w:hAnsi="Times New Roman"/>
              </w:rPr>
            </w:pPr>
          </w:p>
        </w:tc>
        <w:tc>
          <w:tcPr>
            <w:tcW w:w="1293" w:type="dxa"/>
          </w:tcPr>
          <w:p w14:paraId="26941732">
            <w:pPr>
              <w:spacing w:line="360" w:lineRule="auto"/>
              <w:rPr>
                <w:rFonts w:ascii="Times New Roman" w:hAnsi="Times New Roman"/>
              </w:rPr>
            </w:pPr>
          </w:p>
        </w:tc>
      </w:tr>
      <w:tr w14:paraId="71AB0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83" w:type="dxa"/>
          </w:tcPr>
          <w:p w14:paraId="2F3C8F53">
            <w:pPr>
              <w:spacing w:line="360" w:lineRule="auto"/>
              <w:rPr>
                <w:rFonts w:ascii="Times New Roman" w:hAnsi="Times New Roman"/>
              </w:rPr>
            </w:pPr>
          </w:p>
        </w:tc>
        <w:tc>
          <w:tcPr>
            <w:tcW w:w="1069" w:type="dxa"/>
          </w:tcPr>
          <w:p w14:paraId="0C41999D">
            <w:pPr>
              <w:spacing w:line="360" w:lineRule="auto"/>
              <w:rPr>
                <w:rFonts w:ascii="Times New Roman" w:hAnsi="Times New Roman"/>
              </w:rPr>
            </w:pPr>
          </w:p>
        </w:tc>
        <w:tc>
          <w:tcPr>
            <w:tcW w:w="1548" w:type="dxa"/>
          </w:tcPr>
          <w:p w14:paraId="038E46CB">
            <w:pPr>
              <w:spacing w:line="360" w:lineRule="auto"/>
              <w:rPr>
                <w:rFonts w:ascii="Times New Roman" w:hAnsi="Times New Roman"/>
              </w:rPr>
            </w:pPr>
          </w:p>
        </w:tc>
        <w:tc>
          <w:tcPr>
            <w:tcW w:w="1119" w:type="dxa"/>
          </w:tcPr>
          <w:p w14:paraId="62A24025">
            <w:pPr>
              <w:spacing w:line="360" w:lineRule="auto"/>
              <w:rPr>
                <w:rFonts w:ascii="Times New Roman" w:hAnsi="Times New Roman"/>
              </w:rPr>
            </w:pPr>
          </w:p>
        </w:tc>
        <w:tc>
          <w:tcPr>
            <w:tcW w:w="1278" w:type="dxa"/>
          </w:tcPr>
          <w:p w14:paraId="1E36E417">
            <w:pPr>
              <w:spacing w:line="360" w:lineRule="auto"/>
              <w:rPr>
                <w:rFonts w:ascii="Times New Roman" w:hAnsi="Times New Roman"/>
              </w:rPr>
            </w:pPr>
          </w:p>
        </w:tc>
        <w:tc>
          <w:tcPr>
            <w:tcW w:w="1119" w:type="dxa"/>
          </w:tcPr>
          <w:p w14:paraId="3A98692D">
            <w:pPr>
              <w:spacing w:line="360" w:lineRule="auto"/>
              <w:rPr>
                <w:rFonts w:ascii="Times New Roman" w:hAnsi="Times New Roman"/>
              </w:rPr>
            </w:pPr>
          </w:p>
        </w:tc>
        <w:tc>
          <w:tcPr>
            <w:tcW w:w="1293" w:type="dxa"/>
          </w:tcPr>
          <w:p w14:paraId="3C575710">
            <w:pPr>
              <w:spacing w:line="360" w:lineRule="auto"/>
              <w:rPr>
                <w:rFonts w:ascii="Times New Roman" w:hAnsi="Times New Roman"/>
              </w:rPr>
            </w:pPr>
          </w:p>
        </w:tc>
      </w:tr>
      <w:tr w14:paraId="447C9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83" w:type="dxa"/>
          </w:tcPr>
          <w:p w14:paraId="2E375E3C">
            <w:pPr>
              <w:spacing w:line="360" w:lineRule="auto"/>
              <w:rPr>
                <w:rFonts w:ascii="Times New Roman" w:hAnsi="Times New Roman"/>
              </w:rPr>
            </w:pPr>
          </w:p>
        </w:tc>
        <w:tc>
          <w:tcPr>
            <w:tcW w:w="1069" w:type="dxa"/>
          </w:tcPr>
          <w:p w14:paraId="22FAC916">
            <w:pPr>
              <w:spacing w:line="360" w:lineRule="auto"/>
              <w:rPr>
                <w:rFonts w:ascii="Times New Roman" w:hAnsi="Times New Roman"/>
              </w:rPr>
            </w:pPr>
          </w:p>
        </w:tc>
        <w:tc>
          <w:tcPr>
            <w:tcW w:w="1548" w:type="dxa"/>
          </w:tcPr>
          <w:p w14:paraId="7A64ACB6">
            <w:pPr>
              <w:spacing w:line="360" w:lineRule="auto"/>
              <w:rPr>
                <w:rFonts w:ascii="Times New Roman" w:hAnsi="Times New Roman"/>
              </w:rPr>
            </w:pPr>
          </w:p>
        </w:tc>
        <w:tc>
          <w:tcPr>
            <w:tcW w:w="1119" w:type="dxa"/>
          </w:tcPr>
          <w:p w14:paraId="3A9297E9">
            <w:pPr>
              <w:spacing w:line="360" w:lineRule="auto"/>
              <w:rPr>
                <w:rFonts w:ascii="Times New Roman" w:hAnsi="Times New Roman"/>
              </w:rPr>
            </w:pPr>
          </w:p>
        </w:tc>
        <w:tc>
          <w:tcPr>
            <w:tcW w:w="1278" w:type="dxa"/>
          </w:tcPr>
          <w:p w14:paraId="341848FD">
            <w:pPr>
              <w:spacing w:line="360" w:lineRule="auto"/>
              <w:rPr>
                <w:rFonts w:ascii="Times New Roman" w:hAnsi="Times New Roman"/>
              </w:rPr>
            </w:pPr>
          </w:p>
        </w:tc>
        <w:tc>
          <w:tcPr>
            <w:tcW w:w="1119" w:type="dxa"/>
          </w:tcPr>
          <w:p w14:paraId="2169C422">
            <w:pPr>
              <w:spacing w:line="360" w:lineRule="auto"/>
              <w:rPr>
                <w:rFonts w:ascii="Times New Roman" w:hAnsi="Times New Roman"/>
              </w:rPr>
            </w:pPr>
          </w:p>
        </w:tc>
        <w:tc>
          <w:tcPr>
            <w:tcW w:w="1293" w:type="dxa"/>
          </w:tcPr>
          <w:p w14:paraId="5C5CB840">
            <w:pPr>
              <w:spacing w:line="360" w:lineRule="auto"/>
              <w:rPr>
                <w:rFonts w:ascii="Times New Roman" w:hAnsi="Times New Roman"/>
              </w:rPr>
            </w:pPr>
          </w:p>
        </w:tc>
      </w:tr>
      <w:tr w14:paraId="73F14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83" w:type="dxa"/>
          </w:tcPr>
          <w:p w14:paraId="520C1B41">
            <w:pPr>
              <w:spacing w:line="360" w:lineRule="auto"/>
              <w:rPr>
                <w:rFonts w:ascii="Times New Roman" w:hAnsi="Times New Roman"/>
              </w:rPr>
            </w:pPr>
          </w:p>
        </w:tc>
        <w:tc>
          <w:tcPr>
            <w:tcW w:w="1069" w:type="dxa"/>
          </w:tcPr>
          <w:p w14:paraId="736C5D7D">
            <w:pPr>
              <w:spacing w:line="360" w:lineRule="auto"/>
              <w:rPr>
                <w:rFonts w:ascii="Times New Roman" w:hAnsi="Times New Roman"/>
              </w:rPr>
            </w:pPr>
          </w:p>
        </w:tc>
        <w:tc>
          <w:tcPr>
            <w:tcW w:w="1548" w:type="dxa"/>
          </w:tcPr>
          <w:p w14:paraId="5B283803">
            <w:pPr>
              <w:spacing w:line="360" w:lineRule="auto"/>
              <w:rPr>
                <w:rFonts w:ascii="Times New Roman" w:hAnsi="Times New Roman"/>
              </w:rPr>
            </w:pPr>
          </w:p>
        </w:tc>
        <w:tc>
          <w:tcPr>
            <w:tcW w:w="1119" w:type="dxa"/>
          </w:tcPr>
          <w:p w14:paraId="2D18136C">
            <w:pPr>
              <w:spacing w:line="360" w:lineRule="auto"/>
              <w:rPr>
                <w:rFonts w:ascii="Times New Roman" w:hAnsi="Times New Roman"/>
              </w:rPr>
            </w:pPr>
          </w:p>
        </w:tc>
        <w:tc>
          <w:tcPr>
            <w:tcW w:w="1278" w:type="dxa"/>
          </w:tcPr>
          <w:p w14:paraId="48102376">
            <w:pPr>
              <w:spacing w:line="360" w:lineRule="auto"/>
              <w:rPr>
                <w:rFonts w:ascii="Times New Roman" w:hAnsi="Times New Roman"/>
              </w:rPr>
            </w:pPr>
          </w:p>
        </w:tc>
        <w:tc>
          <w:tcPr>
            <w:tcW w:w="1119" w:type="dxa"/>
          </w:tcPr>
          <w:p w14:paraId="2D348F0E">
            <w:pPr>
              <w:spacing w:line="360" w:lineRule="auto"/>
              <w:rPr>
                <w:rFonts w:ascii="Times New Roman" w:hAnsi="Times New Roman"/>
              </w:rPr>
            </w:pPr>
          </w:p>
        </w:tc>
        <w:tc>
          <w:tcPr>
            <w:tcW w:w="1293" w:type="dxa"/>
          </w:tcPr>
          <w:p w14:paraId="63BA4BA4">
            <w:pPr>
              <w:spacing w:line="360" w:lineRule="auto"/>
              <w:rPr>
                <w:rFonts w:ascii="Times New Roman" w:hAnsi="Times New Roman"/>
              </w:rPr>
            </w:pPr>
          </w:p>
        </w:tc>
      </w:tr>
      <w:tr w14:paraId="6E53A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83" w:type="dxa"/>
          </w:tcPr>
          <w:p w14:paraId="17E7C539">
            <w:pPr>
              <w:spacing w:line="360" w:lineRule="auto"/>
              <w:rPr>
                <w:rFonts w:ascii="Times New Roman" w:hAnsi="Times New Roman"/>
              </w:rPr>
            </w:pPr>
          </w:p>
        </w:tc>
        <w:tc>
          <w:tcPr>
            <w:tcW w:w="1069" w:type="dxa"/>
          </w:tcPr>
          <w:p w14:paraId="6DE27927">
            <w:pPr>
              <w:spacing w:line="360" w:lineRule="auto"/>
              <w:rPr>
                <w:rFonts w:ascii="Times New Roman" w:hAnsi="Times New Roman"/>
              </w:rPr>
            </w:pPr>
          </w:p>
        </w:tc>
        <w:tc>
          <w:tcPr>
            <w:tcW w:w="1548" w:type="dxa"/>
          </w:tcPr>
          <w:p w14:paraId="6DFB924E">
            <w:pPr>
              <w:spacing w:line="360" w:lineRule="auto"/>
              <w:rPr>
                <w:rFonts w:ascii="Times New Roman" w:hAnsi="Times New Roman"/>
              </w:rPr>
            </w:pPr>
          </w:p>
        </w:tc>
        <w:tc>
          <w:tcPr>
            <w:tcW w:w="1119" w:type="dxa"/>
          </w:tcPr>
          <w:p w14:paraId="21AC300E">
            <w:pPr>
              <w:spacing w:line="360" w:lineRule="auto"/>
              <w:rPr>
                <w:rFonts w:ascii="Times New Roman" w:hAnsi="Times New Roman"/>
              </w:rPr>
            </w:pPr>
          </w:p>
        </w:tc>
        <w:tc>
          <w:tcPr>
            <w:tcW w:w="1278" w:type="dxa"/>
          </w:tcPr>
          <w:p w14:paraId="0FFCAED5">
            <w:pPr>
              <w:spacing w:line="360" w:lineRule="auto"/>
              <w:rPr>
                <w:rFonts w:ascii="Times New Roman" w:hAnsi="Times New Roman"/>
              </w:rPr>
            </w:pPr>
          </w:p>
        </w:tc>
        <w:tc>
          <w:tcPr>
            <w:tcW w:w="1119" w:type="dxa"/>
          </w:tcPr>
          <w:p w14:paraId="4F2E120D">
            <w:pPr>
              <w:spacing w:line="360" w:lineRule="auto"/>
              <w:rPr>
                <w:rFonts w:ascii="Times New Roman" w:hAnsi="Times New Roman"/>
              </w:rPr>
            </w:pPr>
          </w:p>
        </w:tc>
        <w:tc>
          <w:tcPr>
            <w:tcW w:w="1293" w:type="dxa"/>
          </w:tcPr>
          <w:p w14:paraId="5FEAA3F1">
            <w:pPr>
              <w:spacing w:line="360" w:lineRule="auto"/>
              <w:rPr>
                <w:rFonts w:ascii="Times New Roman" w:hAnsi="Times New Roman"/>
              </w:rPr>
            </w:pPr>
          </w:p>
        </w:tc>
      </w:tr>
      <w:tr w14:paraId="1A36B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83" w:type="dxa"/>
          </w:tcPr>
          <w:p w14:paraId="289B207B">
            <w:pPr>
              <w:spacing w:line="360" w:lineRule="auto"/>
              <w:rPr>
                <w:rFonts w:ascii="Times New Roman" w:hAnsi="Times New Roman"/>
              </w:rPr>
            </w:pPr>
          </w:p>
        </w:tc>
        <w:tc>
          <w:tcPr>
            <w:tcW w:w="1069" w:type="dxa"/>
          </w:tcPr>
          <w:p w14:paraId="5283053A">
            <w:pPr>
              <w:spacing w:line="360" w:lineRule="auto"/>
              <w:rPr>
                <w:rFonts w:ascii="Times New Roman" w:hAnsi="Times New Roman"/>
              </w:rPr>
            </w:pPr>
          </w:p>
        </w:tc>
        <w:tc>
          <w:tcPr>
            <w:tcW w:w="1548" w:type="dxa"/>
          </w:tcPr>
          <w:p w14:paraId="5D2BA161">
            <w:pPr>
              <w:spacing w:line="360" w:lineRule="auto"/>
              <w:rPr>
                <w:rFonts w:ascii="Times New Roman" w:hAnsi="Times New Roman"/>
              </w:rPr>
            </w:pPr>
          </w:p>
        </w:tc>
        <w:tc>
          <w:tcPr>
            <w:tcW w:w="1119" w:type="dxa"/>
          </w:tcPr>
          <w:p w14:paraId="39727FD2">
            <w:pPr>
              <w:spacing w:line="360" w:lineRule="auto"/>
              <w:rPr>
                <w:rFonts w:ascii="Times New Roman" w:hAnsi="Times New Roman"/>
              </w:rPr>
            </w:pPr>
          </w:p>
        </w:tc>
        <w:tc>
          <w:tcPr>
            <w:tcW w:w="1278" w:type="dxa"/>
          </w:tcPr>
          <w:p w14:paraId="09541AE0">
            <w:pPr>
              <w:spacing w:line="360" w:lineRule="auto"/>
              <w:rPr>
                <w:rFonts w:ascii="Times New Roman" w:hAnsi="Times New Roman"/>
              </w:rPr>
            </w:pPr>
          </w:p>
        </w:tc>
        <w:tc>
          <w:tcPr>
            <w:tcW w:w="1119" w:type="dxa"/>
          </w:tcPr>
          <w:p w14:paraId="7F3E4097">
            <w:pPr>
              <w:spacing w:line="360" w:lineRule="auto"/>
              <w:rPr>
                <w:rFonts w:ascii="Times New Roman" w:hAnsi="Times New Roman"/>
              </w:rPr>
            </w:pPr>
          </w:p>
        </w:tc>
        <w:tc>
          <w:tcPr>
            <w:tcW w:w="1293" w:type="dxa"/>
          </w:tcPr>
          <w:p w14:paraId="0B92EF58">
            <w:pPr>
              <w:spacing w:line="360" w:lineRule="auto"/>
              <w:rPr>
                <w:rFonts w:ascii="Times New Roman" w:hAnsi="Times New Roman"/>
              </w:rPr>
            </w:pPr>
          </w:p>
        </w:tc>
      </w:tr>
      <w:tr w14:paraId="7D238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083" w:type="dxa"/>
          </w:tcPr>
          <w:p w14:paraId="4B936608">
            <w:pPr>
              <w:spacing w:line="360" w:lineRule="auto"/>
              <w:rPr>
                <w:rFonts w:ascii="Times New Roman" w:hAnsi="Times New Roman"/>
              </w:rPr>
            </w:pPr>
          </w:p>
        </w:tc>
        <w:tc>
          <w:tcPr>
            <w:tcW w:w="1069" w:type="dxa"/>
          </w:tcPr>
          <w:p w14:paraId="2B355A50">
            <w:pPr>
              <w:spacing w:line="360" w:lineRule="auto"/>
              <w:rPr>
                <w:rFonts w:ascii="Times New Roman" w:hAnsi="Times New Roman"/>
              </w:rPr>
            </w:pPr>
          </w:p>
        </w:tc>
        <w:tc>
          <w:tcPr>
            <w:tcW w:w="1548" w:type="dxa"/>
          </w:tcPr>
          <w:p w14:paraId="2EB863FC">
            <w:pPr>
              <w:spacing w:line="360" w:lineRule="auto"/>
              <w:rPr>
                <w:rFonts w:ascii="Times New Roman" w:hAnsi="Times New Roman"/>
              </w:rPr>
            </w:pPr>
          </w:p>
        </w:tc>
        <w:tc>
          <w:tcPr>
            <w:tcW w:w="1119" w:type="dxa"/>
          </w:tcPr>
          <w:p w14:paraId="79640A9B">
            <w:pPr>
              <w:spacing w:line="360" w:lineRule="auto"/>
              <w:rPr>
                <w:rFonts w:ascii="Times New Roman" w:hAnsi="Times New Roman"/>
              </w:rPr>
            </w:pPr>
          </w:p>
        </w:tc>
        <w:tc>
          <w:tcPr>
            <w:tcW w:w="1278" w:type="dxa"/>
          </w:tcPr>
          <w:p w14:paraId="30447B22">
            <w:pPr>
              <w:spacing w:line="360" w:lineRule="auto"/>
              <w:rPr>
                <w:rFonts w:ascii="Times New Roman" w:hAnsi="Times New Roman"/>
              </w:rPr>
            </w:pPr>
          </w:p>
        </w:tc>
        <w:tc>
          <w:tcPr>
            <w:tcW w:w="1119" w:type="dxa"/>
          </w:tcPr>
          <w:p w14:paraId="3B0D10DE">
            <w:pPr>
              <w:spacing w:line="360" w:lineRule="auto"/>
              <w:rPr>
                <w:rFonts w:ascii="Times New Roman" w:hAnsi="Times New Roman"/>
              </w:rPr>
            </w:pPr>
          </w:p>
        </w:tc>
        <w:tc>
          <w:tcPr>
            <w:tcW w:w="1293" w:type="dxa"/>
          </w:tcPr>
          <w:p w14:paraId="7D7C9E7A">
            <w:pPr>
              <w:spacing w:line="360" w:lineRule="auto"/>
              <w:rPr>
                <w:rFonts w:ascii="Times New Roman" w:hAnsi="Times New Roman"/>
              </w:rPr>
            </w:pPr>
          </w:p>
        </w:tc>
      </w:tr>
      <w:tr w14:paraId="75E28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083" w:type="dxa"/>
          </w:tcPr>
          <w:p w14:paraId="4315DBFF">
            <w:pPr>
              <w:spacing w:line="360" w:lineRule="auto"/>
              <w:rPr>
                <w:rFonts w:ascii="Times New Roman" w:hAnsi="Times New Roman"/>
              </w:rPr>
            </w:pPr>
          </w:p>
        </w:tc>
        <w:tc>
          <w:tcPr>
            <w:tcW w:w="1069" w:type="dxa"/>
          </w:tcPr>
          <w:p w14:paraId="1258D3D6">
            <w:pPr>
              <w:spacing w:line="360" w:lineRule="auto"/>
              <w:rPr>
                <w:rFonts w:ascii="Times New Roman" w:hAnsi="Times New Roman"/>
              </w:rPr>
            </w:pPr>
          </w:p>
        </w:tc>
        <w:tc>
          <w:tcPr>
            <w:tcW w:w="1548" w:type="dxa"/>
          </w:tcPr>
          <w:p w14:paraId="35667BCB">
            <w:pPr>
              <w:spacing w:line="360" w:lineRule="auto"/>
              <w:rPr>
                <w:rFonts w:ascii="Times New Roman" w:hAnsi="Times New Roman"/>
              </w:rPr>
            </w:pPr>
          </w:p>
        </w:tc>
        <w:tc>
          <w:tcPr>
            <w:tcW w:w="1119" w:type="dxa"/>
          </w:tcPr>
          <w:p w14:paraId="46AE9E45">
            <w:pPr>
              <w:spacing w:line="360" w:lineRule="auto"/>
              <w:rPr>
                <w:rFonts w:ascii="Times New Roman" w:hAnsi="Times New Roman"/>
              </w:rPr>
            </w:pPr>
          </w:p>
        </w:tc>
        <w:tc>
          <w:tcPr>
            <w:tcW w:w="1278" w:type="dxa"/>
          </w:tcPr>
          <w:p w14:paraId="2FC12327">
            <w:pPr>
              <w:spacing w:line="360" w:lineRule="auto"/>
              <w:rPr>
                <w:rFonts w:ascii="Times New Roman" w:hAnsi="Times New Roman"/>
              </w:rPr>
            </w:pPr>
          </w:p>
        </w:tc>
        <w:tc>
          <w:tcPr>
            <w:tcW w:w="1119" w:type="dxa"/>
          </w:tcPr>
          <w:p w14:paraId="6D6D210E">
            <w:pPr>
              <w:spacing w:line="360" w:lineRule="auto"/>
              <w:rPr>
                <w:rFonts w:ascii="Times New Roman" w:hAnsi="Times New Roman"/>
              </w:rPr>
            </w:pPr>
          </w:p>
        </w:tc>
        <w:tc>
          <w:tcPr>
            <w:tcW w:w="1293" w:type="dxa"/>
          </w:tcPr>
          <w:p w14:paraId="7AC82E6F">
            <w:pPr>
              <w:spacing w:line="360" w:lineRule="auto"/>
              <w:rPr>
                <w:rFonts w:ascii="Times New Roman" w:hAnsi="Times New Roman"/>
              </w:rPr>
            </w:pPr>
          </w:p>
        </w:tc>
      </w:tr>
      <w:tr w14:paraId="018B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083" w:type="dxa"/>
          </w:tcPr>
          <w:p w14:paraId="027F3D55">
            <w:pPr>
              <w:spacing w:line="360" w:lineRule="auto"/>
              <w:rPr>
                <w:rFonts w:ascii="Times New Roman" w:hAnsi="Times New Roman"/>
              </w:rPr>
            </w:pPr>
          </w:p>
        </w:tc>
        <w:tc>
          <w:tcPr>
            <w:tcW w:w="1069" w:type="dxa"/>
          </w:tcPr>
          <w:p w14:paraId="52CB880D">
            <w:pPr>
              <w:spacing w:line="360" w:lineRule="auto"/>
              <w:rPr>
                <w:rFonts w:ascii="Times New Roman" w:hAnsi="Times New Roman"/>
              </w:rPr>
            </w:pPr>
          </w:p>
        </w:tc>
        <w:tc>
          <w:tcPr>
            <w:tcW w:w="1548" w:type="dxa"/>
          </w:tcPr>
          <w:p w14:paraId="506C5F6E">
            <w:pPr>
              <w:spacing w:line="360" w:lineRule="auto"/>
              <w:rPr>
                <w:rFonts w:ascii="Times New Roman" w:hAnsi="Times New Roman"/>
              </w:rPr>
            </w:pPr>
          </w:p>
        </w:tc>
        <w:tc>
          <w:tcPr>
            <w:tcW w:w="1119" w:type="dxa"/>
          </w:tcPr>
          <w:p w14:paraId="4BCB79F8">
            <w:pPr>
              <w:spacing w:line="360" w:lineRule="auto"/>
              <w:rPr>
                <w:rFonts w:ascii="Times New Roman" w:hAnsi="Times New Roman"/>
              </w:rPr>
            </w:pPr>
          </w:p>
        </w:tc>
        <w:tc>
          <w:tcPr>
            <w:tcW w:w="1278" w:type="dxa"/>
          </w:tcPr>
          <w:p w14:paraId="19CA6870">
            <w:pPr>
              <w:spacing w:line="360" w:lineRule="auto"/>
              <w:rPr>
                <w:rFonts w:ascii="Times New Roman" w:hAnsi="Times New Roman"/>
              </w:rPr>
            </w:pPr>
          </w:p>
        </w:tc>
        <w:tc>
          <w:tcPr>
            <w:tcW w:w="1119" w:type="dxa"/>
          </w:tcPr>
          <w:p w14:paraId="31DFA813">
            <w:pPr>
              <w:spacing w:line="360" w:lineRule="auto"/>
              <w:rPr>
                <w:rFonts w:ascii="Times New Roman" w:hAnsi="Times New Roman"/>
              </w:rPr>
            </w:pPr>
          </w:p>
        </w:tc>
        <w:tc>
          <w:tcPr>
            <w:tcW w:w="1293" w:type="dxa"/>
          </w:tcPr>
          <w:p w14:paraId="2A1CF08E">
            <w:pPr>
              <w:spacing w:line="360" w:lineRule="auto"/>
              <w:rPr>
                <w:rFonts w:ascii="Times New Roman" w:hAnsi="Times New Roman"/>
              </w:rPr>
            </w:pPr>
          </w:p>
        </w:tc>
      </w:tr>
    </w:tbl>
    <w:p w14:paraId="2C5AAA73">
      <w:pPr>
        <w:pStyle w:val="5"/>
        <w:spacing w:line="360" w:lineRule="auto"/>
        <w:rPr>
          <w:rFonts w:ascii="Times New Roman" w:hAnsi="Times New Roman"/>
        </w:rPr>
      </w:pPr>
    </w:p>
    <w:p w14:paraId="3AEA856F">
      <w:pPr>
        <w:spacing w:line="360" w:lineRule="auto"/>
        <w:rPr>
          <w:rFonts w:ascii="Times New Roman" w:hAnsi="Times New Roman"/>
        </w:rPr>
        <w:sectPr>
          <w:footerReference r:id="rId27" w:type="default"/>
          <w:pgSz w:w="11905" w:h="16838"/>
          <w:pgMar w:top="1134" w:right="1134" w:bottom="1134" w:left="1134" w:header="0" w:footer="1056" w:gutter="0"/>
          <w:cols w:space="0" w:num="1"/>
        </w:sectPr>
      </w:pPr>
    </w:p>
    <w:p w14:paraId="5C0B32E7">
      <w:pPr>
        <w:spacing w:line="360" w:lineRule="auto"/>
        <w:ind w:left="2999"/>
        <w:rPr>
          <w:rFonts w:ascii="Times New Roman" w:hAnsi="Times New Roman" w:eastAsia="宋体" w:cs="宋体"/>
          <w:sz w:val="32"/>
          <w:szCs w:val="32"/>
        </w:rPr>
      </w:pPr>
      <w:r>
        <w:rPr>
          <w:rFonts w:ascii="Times New Roman" w:hAnsi="Times New Roman" w:eastAsia="宋体" w:cs="宋体"/>
          <w:b/>
          <w:bCs/>
          <w:sz w:val="32"/>
          <w:szCs w:val="32"/>
        </w:rPr>
        <w:t>八、资格审查资料</w:t>
      </w:r>
    </w:p>
    <w:p w14:paraId="524AEEA8">
      <w:pPr>
        <w:spacing w:line="360" w:lineRule="auto"/>
        <w:ind w:left="2679"/>
        <w:rPr>
          <w:rFonts w:ascii="Times New Roman" w:hAnsi="Times New Roman" w:eastAsia="宋体" w:cs="宋体"/>
          <w:sz w:val="32"/>
          <w:szCs w:val="32"/>
          <w:lang w:eastAsia="zh-CN"/>
        </w:rPr>
      </w:pPr>
      <w:r>
        <w:rPr>
          <w:rFonts w:hint="eastAsia" w:ascii="Times New Roman" w:hAnsi="Times New Roman" w:eastAsia="宋体" w:cs="宋体"/>
          <w:b/>
          <w:bCs/>
          <w:sz w:val="32"/>
          <w:szCs w:val="32"/>
          <w:lang w:eastAsia="zh-CN"/>
        </w:rPr>
        <w:t>（</w:t>
      </w:r>
      <w:r>
        <w:rPr>
          <w:rFonts w:ascii="Times New Roman" w:hAnsi="Times New Roman" w:eastAsia="宋体" w:cs="宋体"/>
          <w:b/>
          <w:bCs/>
          <w:sz w:val="32"/>
          <w:szCs w:val="32"/>
          <w:lang w:eastAsia="zh-CN"/>
        </w:rPr>
        <w:t>一</w:t>
      </w:r>
      <w:r>
        <w:rPr>
          <w:rFonts w:hint="eastAsia" w:ascii="Times New Roman" w:hAnsi="Times New Roman" w:eastAsia="宋体" w:cs="宋体"/>
          <w:b/>
          <w:bCs/>
          <w:sz w:val="32"/>
          <w:szCs w:val="32"/>
          <w:lang w:eastAsia="zh-CN"/>
        </w:rPr>
        <w:t>）</w:t>
      </w:r>
      <w:r>
        <w:rPr>
          <w:rFonts w:ascii="Times New Roman" w:hAnsi="Times New Roman" w:eastAsia="宋体" w:cs="宋体"/>
          <w:b/>
          <w:bCs/>
          <w:sz w:val="32"/>
          <w:szCs w:val="32"/>
          <w:lang w:eastAsia="zh-CN"/>
        </w:rPr>
        <w:t>投标人基本情况表</w:t>
      </w:r>
    </w:p>
    <w:p w14:paraId="36A45C5D">
      <w:pPr>
        <w:spacing w:line="360" w:lineRule="auto"/>
        <w:rPr>
          <w:rFonts w:ascii="Times New Roman" w:hAnsi="Times New Roman"/>
          <w:lang w:eastAsia="zh-CN"/>
        </w:rPr>
      </w:pPr>
    </w:p>
    <w:tbl>
      <w:tblPr>
        <w:tblStyle w:val="20"/>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949"/>
        <w:gridCol w:w="1258"/>
        <w:gridCol w:w="819"/>
        <w:gridCol w:w="290"/>
        <w:gridCol w:w="1109"/>
        <w:gridCol w:w="329"/>
        <w:gridCol w:w="1059"/>
        <w:gridCol w:w="1553"/>
      </w:tblGrid>
      <w:tr w14:paraId="012A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563" w:type="dxa"/>
          </w:tcPr>
          <w:p w14:paraId="4876A284">
            <w:pPr>
              <w:pStyle w:val="21"/>
            </w:pPr>
            <w:r>
              <w:t>供应商名称</w:t>
            </w:r>
          </w:p>
        </w:tc>
        <w:tc>
          <w:tcPr>
            <w:tcW w:w="7366" w:type="dxa"/>
            <w:gridSpan w:val="8"/>
          </w:tcPr>
          <w:p w14:paraId="7BD020EE">
            <w:pPr>
              <w:spacing w:line="360" w:lineRule="auto"/>
              <w:rPr>
                <w:rFonts w:ascii="Times New Roman" w:hAnsi="Times New Roman"/>
              </w:rPr>
            </w:pPr>
          </w:p>
        </w:tc>
      </w:tr>
      <w:tr w14:paraId="43A0F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14:paraId="12CDA11C">
            <w:pPr>
              <w:pStyle w:val="21"/>
            </w:pPr>
            <w:r>
              <w:t>注册地址</w:t>
            </w:r>
          </w:p>
        </w:tc>
        <w:tc>
          <w:tcPr>
            <w:tcW w:w="3316" w:type="dxa"/>
            <w:gridSpan w:val="4"/>
          </w:tcPr>
          <w:p w14:paraId="274E6522">
            <w:pPr>
              <w:spacing w:line="360" w:lineRule="auto"/>
              <w:rPr>
                <w:rFonts w:ascii="Times New Roman" w:hAnsi="Times New Roman"/>
              </w:rPr>
            </w:pPr>
          </w:p>
        </w:tc>
        <w:tc>
          <w:tcPr>
            <w:tcW w:w="1109" w:type="dxa"/>
          </w:tcPr>
          <w:p w14:paraId="11B7F3BC">
            <w:pPr>
              <w:pStyle w:val="21"/>
            </w:pPr>
            <w:r>
              <w:t>邮政编码</w:t>
            </w:r>
          </w:p>
        </w:tc>
        <w:tc>
          <w:tcPr>
            <w:tcW w:w="2941" w:type="dxa"/>
            <w:gridSpan w:val="3"/>
          </w:tcPr>
          <w:p w14:paraId="40918FD4">
            <w:pPr>
              <w:spacing w:line="360" w:lineRule="auto"/>
              <w:rPr>
                <w:rFonts w:ascii="Times New Roman" w:hAnsi="Times New Roman"/>
              </w:rPr>
            </w:pPr>
          </w:p>
        </w:tc>
      </w:tr>
      <w:tr w14:paraId="5B02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14:paraId="544E5F4A">
            <w:pPr>
              <w:pStyle w:val="21"/>
            </w:pPr>
            <w:r>
              <w:t>联系方式</w:t>
            </w:r>
          </w:p>
        </w:tc>
        <w:tc>
          <w:tcPr>
            <w:tcW w:w="949" w:type="dxa"/>
          </w:tcPr>
          <w:p w14:paraId="3DEDE518">
            <w:pPr>
              <w:pStyle w:val="21"/>
            </w:pPr>
            <w:r>
              <w:t>联系人</w:t>
            </w:r>
          </w:p>
        </w:tc>
        <w:tc>
          <w:tcPr>
            <w:tcW w:w="2367" w:type="dxa"/>
            <w:gridSpan w:val="3"/>
          </w:tcPr>
          <w:p w14:paraId="108D4BFB">
            <w:pPr>
              <w:spacing w:line="360" w:lineRule="auto"/>
              <w:rPr>
                <w:rFonts w:ascii="Times New Roman" w:hAnsi="Times New Roman"/>
              </w:rPr>
            </w:pPr>
          </w:p>
        </w:tc>
        <w:tc>
          <w:tcPr>
            <w:tcW w:w="1109" w:type="dxa"/>
          </w:tcPr>
          <w:p w14:paraId="194A44B6">
            <w:pPr>
              <w:pStyle w:val="21"/>
            </w:pPr>
            <w:r>
              <w:t>电 话</w:t>
            </w:r>
          </w:p>
        </w:tc>
        <w:tc>
          <w:tcPr>
            <w:tcW w:w="2941" w:type="dxa"/>
            <w:gridSpan w:val="3"/>
          </w:tcPr>
          <w:p w14:paraId="147FBAC7">
            <w:pPr>
              <w:spacing w:line="360" w:lineRule="auto"/>
              <w:rPr>
                <w:rFonts w:ascii="Times New Roman" w:hAnsi="Times New Roman"/>
              </w:rPr>
            </w:pPr>
          </w:p>
        </w:tc>
      </w:tr>
      <w:tr w14:paraId="4C440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563" w:type="dxa"/>
          </w:tcPr>
          <w:p w14:paraId="630F6C22">
            <w:pPr>
              <w:spacing w:line="360" w:lineRule="auto"/>
              <w:rPr>
                <w:rFonts w:ascii="Times New Roman" w:hAnsi="Times New Roman"/>
              </w:rPr>
            </w:pPr>
          </w:p>
        </w:tc>
        <w:tc>
          <w:tcPr>
            <w:tcW w:w="949" w:type="dxa"/>
          </w:tcPr>
          <w:p w14:paraId="7801DF88">
            <w:pPr>
              <w:pStyle w:val="21"/>
            </w:pPr>
            <w:r>
              <w:t>传 真</w:t>
            </w:r>
          </w:p>
        </w:tc>
        <w:tc>
          <w:tcPr>
            <w:tcW w:w="2367" w:type="dxa"/>
            <w:gridSpan w:val="3"/>
          </w:tcPr>
          <w:p w14:paraId="0D2D9C1C">
            <w:pPr>
              <w:spacing w:line="360" w:lineRule="auto"/>
              <w:rPr>
                <w:rFonts w:ascii="Times New Roman" w:hAnsi="Times New Roman"/>
              </w:rPr>
            </w:pPr>
          </w:p>
        </w:tc>
        <w:tc>
          <w:tcPr>
            <w:tcW w:w="1109" w:type="dxa"/>
          </w:tcPr>
          <w:p w14:paraId="633C10B3">
            <w:pPr>
              <w:pStyle w:val="21"/>
            </w:pPr>
            <w:r>
              <w:t>网 址</w:t>
            </w:r>
          </w:p>
        </w:tc>
        <w:tc>
          <w:tcPr>
            <w:tcW w:w="2941" w:type="dxa"/>
            <w:gridSpan w:val="3"/>
          </w:tcPr>
          <w:p w14:paraId="1920BDA9">
            <w:pPr>
              <w:spacing w:line="360" w:lineRule="auto"/>
              <w:rPr>
                <w:rFonts w:ascii="Times New Roman" w:hAnsi="Times New Roman"/>
              </w:rPr>
            </w:pPr>
          </w:p>
        </w:tc>
      </w:tr>
      <w:tr w14:paraId="1CD85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563" w:type="dxa"/>
          </w:tcPr>
          <w:p w14:paraId="3E4488B4">
            <w:pPr>
              <w:pStyle w:val="21"/>
            </w:pPr>
            <w:r>
              <w:t>组织结构</w:t>
            </w:r>
          </w:p>
        </w:tc>
        <w:tc>
          <w:tcPr>
            <w:tcW w:w="7366" w:type="dxa"/>
            <w:gridSpan w:val="8"/>
          </w:tcPr>
          <w:p w14:paraId="442A2637">
            <w:pPr>
              <w:spacing w:line="360" w:lineRule="auto"/>
              <w:rPr>
                <w:rFonts w:ascii="Times New Roman" w:hAnsi="Times New Roman"/>
              </w:rPr>
            </w:pPr>
          </w:p>
        </w:tc>
      </w:tr>
      <w:tr w14:paraId="58888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63" w:type="dxa"/>
          </w:tcPr>
          <w:p w14:paraId="223504F9">
            <w:pPr>
              <w:pStyle w:val="21"/>
            </w:pPr>
            <w:r>
              <w:t>法定代表人</w:t>
            </w:r>
          </w:p>
        </w:tc>
        <w:tc>
          <w:tcPr>
            <w:tcW w:w="949" w:type="dxa"/>
          </w:tcPr>
          <w:p w14:paraId="2E9B2408">
            <w:pPr>
              <w:pStyle w:val="21"/>
            </w:pPr>
            <w:r>
              <w:t>姓 名</w:t>
            </w:r>
          </w:p>
        </w:tc>
        <w:tc>
          <w:tcPr>
            <w:tcW w:w="1258" w:type="dxa"/>
          </w:tcPr>
          <w:p w14:paraId="24B5B91C">
            <w:pPr>
              <w:spacing w:line="360" w:lineRule="auto"/>
              <w:rPr>
                <w:rFonts w:ascii="Times New Roman" w:hAnsi="Times New Roman"/>
              </w:rPr>
            </w:pPr>
          </w:p>
        </w:tc>
        <w:tc>
          <w:tcPr>
            <w:tcW w:w="1109" w:type="dxa"/>
            <w:gridSpan w:val="2"/>
          </w:tcPr>
          <w:p w14:paraId="77BE09C7">
            <w:pPr>
              <w:pStyle w:val="21"/>
            </w:pPr>
            <w:r>
              <w:t>技术职称</w:t>
            </w:r>
          </w:p>
        </w:tc>
        <w:tc>
          <w:tcPr>
            <w:tcW w:w="1438" w:type="dxa"/>
            <w:gridSpan w:val="2"/>
          </w:tcPr>
          <w:p w14:paraId="2971C732">
            <w:pPr>
              <w:spacing w:line="360" w:lineRule="auto"/>
              <w:rPr>
                <w:rFonts w:ascii="Times New Roman" w:hAnsi="Times New Roman"/>
              </w:rPr>
            </w:pPr>
          </w:p>
        </w:tc>
        <w:tc>
          <w:tcPr>
            <w:tcW w:w="1059" w:type="dxa"/>
          </w:tcPr>
          <w:p w14:paraId="1F06C8B3">
            <w:pPr>
              <w:pStyle w:val="21"/>
            </w:pPr>
            <w:r>
              <w:t>电话</w:t>
            </w:r>
          </w:p>
        </w:tc>
        <w:tc>
          <w:tcPr>
            <w:tcW w:w="1553" w:type="dxa"/>
          </w:tcPr>
          <w:p w14:paraId="585FE1A9">
            <w:pPr>
              <w:spacing w:line="360" w:lineRule="auto"/>
              <w:rPr>
                <w:rFonts w:ascii="Times New Roman" w:hAnsi="Times New Roman"/>
              </w:rPr>
            </w:pPr>
          </w:p>
        </w:tc>
      </w:tr>
      <w:tr w14:paraId="47192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14:paraId="71D466AD">
            <w:pPr>
              <w:pStyle w:val="21"/>
            </w:pPr>
            <w:r>
              <w:t>技术负责人</w:t>
            </w:r>
          </w:p>
        </w:tc>
        <w:tc>
          <w:tcPr>
            <w:tcW w:w="949" w:type="dxa"/>
          </w:tcPr>
          <w:p w14:paraId="6CE138E8">
            <w:pPr>
              <w:pStyle w:val="21"/>
            </w:pPr>
            <w:r>
              <w:t>姓 名</w:t>
            </w:r>
          </w:p>
        </w:tc>
        <w:tc>
          <w:tcPr>
            <w:tcW w:w="1258" w:type="dxa"/>
          </w:tcPr>
          <w:p w14:paraId="4A7660C4">
            <w:pPr>
              <w:spacing w:line="360" w:lineRule="auto"/>
              <w:rPr>
                <w:rFonts w:ascii="Times New Roman" w:hAnsi="Times New Roman"/>
              </w:rPr>
            </w:pPr>
          </w:p>
        </w:tc>
        <w:tc>
          <w:tcPr>
            <w:tcW w:w="1109" w:type="dxa"/>
            <w:gridSpan w:val="2"/>
          </w:tcPr>
          <w:p w14:paraId="640E9607">
            <w:pPr>
              <w:pStyle w:val="21"/>
            </w:pPr>
            <w:r>
              <w:t>技术职称</w:t>
            </w:r>
          </w:p>
        </w:tc>
        <w:tc>
          <w:tcPr>
            <w:tcW w:w="1438" w:type="dxa"/>
            <w:gridSpan w:val="2"/>
          </w:tcPr>
          <w:p w14:paraId="37E1BC96">
            <w:pPr>
              <w:spacing w:line="360" w:lineRule="auto"/>
              <w:rPr>
                <w:rFonts w:ascii="Times New Roman" w:hAnsi="Times New Roman"/>
              </w:rPr>
            </w:pPr>
          </w:p>
        </w:tc>
        <w:tc>
          <w:tcPr>
            <w:tcW w:w="1059" w:type="dxa"/>
          </w:tcPr>
          <w:p w14:paraId="5A9AB10C">
            <w:pPr>
              <w:pStyle w:val="21"/>
            </w:pPr>
            <w:r>
              <w:t>电话</w:t>
            </w:r>
          </w:p>
        </w:tc>
        <w:tc>
          <w:tcPr>
            <w:tcW w:w="1553" w:type="dxa"/>
          </w:tcPr>
          <w:p w14:paraId="61B39331">
            <w:pPr>
              <w:spacing w:line="360" w:lineRule="auto"/>
              <w:rPr>
                <w:rFonts w:ascii="Times New Roman" w:hAnsi="Times New Roman"/>
              </w:rPr>
            </w:pPr>
          </w:p>
        </w:tc>
      </w:tr>
      <w:tr w14:paraId="07A16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63" w:type="dxa"/>
          </w:tcPr>
          <w:p w14:paraId="156D7135">
            <w:pPr>
              <w:pStyle w:val="21"/>
            </w:pPr>
            <w:r>
              <w:t>成立时间</w:t>
            </w:r>
          </w:p>
        </w:tc>
        <w:tc>
          <w:tcPr>
            <w:tcW w:w="2207" w:type="dxa"/>
            <w:gridSpan w:val="2"/>
          </w:tcPr>
          <w:p w14:paraId="39CB365F">
            <w:pPr>
              <w:spacing w:line="360" w:lineRule="auto"/>
              <w:rPr>
                <w:rFonts w:ascii="Times New Roman" w:hAnsi="Times New Roman"/>
              </w:rPr>
            </w:pPr>
          </w:p>
        </w:tc>
        <w:tc>
          <w:tcPr>
            <w:tcW w:w="5159" w:type="dxa"/>
            <w:gridSpan w:val="6"/>
          </w:tcPr>
          <w:p w14:paraId="3EDC4305">
            <w:pPr>
              <w:pStyle w:val="21"/>
            </w:pPr>
            <w:r>
              <w:t>员工总人数：         人</w:t>
            </w:r>
          </w:p>
        </w:tc>
      </w:tr>
      <w:tr w14:paraId="62562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63" w:type="dxa"/>
          </w:tcPr>
          <w:p w14:paraId="1844D6E7">
            <w:pPr>
              <w:pStyle w:val="21"/>
            </w:pPr>
            <w:r>
              <w:t>企业资质等级</w:t>
            </w:r>
          </w:p>
        </w:tc>
        <w:tc>
          <w:tcPr>
            <w:tcW w:w="2207" w:type="dxa"/>
            <w:gridSpan w:val="2"/>
          </w:tcPr>
          <w:p w14:paraId="065C6EC6">
            <w:pPr>
              <w:pStyle w:val="21"/>
            </w:pPr>
            <w:r>
              <w:t>/</w:t>
            </w:r>
          </w:p>
        </w:tc>
        <w:tc>
          <w:tcPr>
            <w:tcW w:w="819" w:type="dxa"/>
            <w:vMerge w:val="restart"/>
            <w:tcBorders>
              <w:bottom w:val="nil"/>
            </w:tcBorders>
          </w:tcPr>
          <w:p w14:paraId="61F853BC">
            <w:pPr>
              <w:spacing w:line="360" w:lineRule="auto"/>
              <w:rPr>
                <w:rFonts w:ascii="Times New Roman" w:hAnsi="Times New Roman"/>
              </w:rPr>
            </w:pPr>
          </w:p>
          <w:p w14:paraId="03BF7C6E">
            <w:pPr>
              <w:spacing w:line="360" w:lineRule="auto"/>
              <w:rPr>
                <w:rFonts w:ascii="Times New Roman" w:hAnsi="Times New Roman"/>
              </w:rPr>
            </w:pPr>
          </w:p>
          <w:p w14:paraId="77EF780D">
            <w:pPr>
              <w:spacing w:line="360" w:lineRule="auto"/>
              <w:rPr>
                <w:rFonts w:ascii="Times New Roman" w:hAnsi="Times New Roman"/>
              </w:rPr>
            </w:pPr>
          </w:p>
          <w:p w14:paraId="019C3FDE">
            <w:pPr>
              <w:spacing w:line="360" w:lineRule="auto"/>
              <w:rPr>
                <w:rFonts w:ascii="Times New Roman" w:hAnsi="Times New Roman"/>
              </w:rPr>
            </w:pPr>
          </w:p>
          <w:p w14:paraId="6F1C3A09">
            <w:pPr>
              <w:spacing w:line="360" w:lineRule="auto"/>
              <w:rPr>
                <w:rFonts w:ascii="Times New Roman" w:hAnsi="Times New Roman"/>
              </w:rPr>
            </w:pPr>
          </w:p>
          <w:p w14:paraId="320B6BDA">
            <w:pPr>
              <w:spacing w:line="360" w:lineRule="auto"/>
              <w:rPr>
                <w:rFonts w:ascii="Times New Roman" w:hAnsi="Times New Roman"/>
              </w:rPr>
            </w:pPr>
          </w:p>
          <w:p w14:paraId="372638AB">
            <w:pPr>
              <w:pStyle w:val="21"/>
            </w:pPr>
            <w:r>
              <w:t>其中</w:t>
            </w:r>
          </w:p>
        </w:tc>
        <w:tc>
          <w:tcPr>
            <w:tcW w:w="1728" w:type="dxa"/>
            <w:gridSpan w:val="3"/>
          </w:tcPr>
          <w:p w14:paraId="0BF8B709">
            <w:pPr>
              <w:pStyle w:val="21"/>
            </w:pPr>
            <w:r>
              <w:t>高级职称人员</w:t>
            </w:r>
          </w:p>
        </w:tc>
        <w:tc>
          <w:tcPr>
            <w:tcW w:w="2612" w:type="dxa"/>
            <w:gridSpan w:val="2"/>
          </w:tcPr>
          <w:p w14:paraId="7EA8669A">
            <w:pPr>
              <w:pStyle w:val="21"/>
            </w:pPr>
            <w:r>
              <w:t>人</w:t>
            </w:r>
          </w:p>
        </w:tc>
      </w:tr>
      <w:tr w14:paraId="01ED0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14:paraId="3D33FC5C">
            <w:pPr>
              <w:pStyle w:val="21"/>
            </w:pPr>
            <w:r>
              <w:t>营业执照号</w:t>
            </w:r>
          </w:p>
        </w:tc>
        <w:tc>
          <w:tcPr>
            <w:tcW w:w="2207" w:type="dxa"/>
            <w:gridSpan w:val="2"/>
          </w:tcPr>
          <w:p w14:paraId="6C0DA434">
            <w:pPr>
              <w:spacing w:line="360" w:lineRule="auto"/>
              <w:rPr>
                <w:rFonts w:ascii="Times New Roman" w:hAnsi="Times New Roman"/>
              </w:rPr>
            </w:pPr>
          </w:p>
        </w:tc>
        <w:tc>
          <w:tcPr>
            <w:tcW w:w="819" w:type="dxa"/>
            <w:vMerge w:val="continue"/>
            <w:tcBorders>
              <w:top w:val="nil"/>
              <w:bottom w:val="nil"/>
            </w:tcBorders>
          </w:tcPr>
          <w:p w14:paraId="391236D4">
            <w:pPr>
              <w:spacing w:line="360" w:lineRule="auto"/>
              <w:rPr>
                <w:rFonts w:ascii="Times New Roman" w:hAnsi="Times New Roman"/>
              </w:rPr>
            </w:pPr>
          </w:p>
        </w:tc>
        <w:tc>
          <w:tcPr>
            <w:tcW w:w="1728" w:type="dxa"/>
            <w:gridSpan w:val="3"/>
          </w:tcPr>
          <w:p w14:paraId="102AFA59">
            <w:pPr>
              <w:pStyle w:val="21"/>
            </w:pPr>
            <w:r>
              <w:t>注册 ……</w:t>
            </w:r>
          </w:p>
        </w:tc>
        <w:tc>
          <w:tcPr>
            <w:tcW w:w="2612" w:type="dxa"/>
            <w:gridSpan w:val="2"/>
          </w:tcPr>
          <w:p w14:paraId="4C409F13">
            <w:pPr>
              <w:pStyle w:val="21"/>
            </w:pPr>
            <w:r>
              <w:t>人</w:t>
            </w:r>
          </w:p>
        </w:tc>
      </w:tr>
      <w:tr w14:paraId="44D41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63" w:type="dxa"/>
          </w:tcPr>
          <w:p w14:paraId="3A580728">
            <w:pPr>
              <w:pStyle w:val="21"/>
            </w:pPr>
            <w:r>
              <w:t>注册资金</w:t>
            </w:r>
          </w:p>
        </w:tc>
        <w:tc>
          <w:tcPr>
            <w:tcW w:w="2207" w:type="dxa"/>
            <w:gridSpan w:val="2"/>
          </w:tcPr>
          <w:p w14:paraId="5E9758AC">
            <w:pPr>
              <w:spacing w:line="360" w:lineRule="auto"/>
              <w:rPr>
                <w:rFonts w:ascii="Times New Roman" w:hAnsi="Times New Roman"/>
              </w:rPr>
            </w:pPr>
          </w:p>
        </w:tc>
        <w:tc>
          <w:tcPr>
            <w:tcW w:w="819" w:type="dxa"/>
            <w:vMerge w:val="continue"/>
            <w:tcBorders>
              <w:top w:val="nil"/>
              <w:bottom w:val="nil"/>
            </w:tcBorders>
          </w:tcPr>
          <w:p w14:paraId="060C5240">
            <w:pPr>
              <w:spacing w:line="360" w:lineRule="auto"/>
              <w:rPr>
                <w:rFonts w:ascii="Times New Roman" w:hAnsi="Times New Roman"/>
              </w:rPr>
            </w:pPr>
          </w:p>
        </w:tc>
        <w:tc>
          <w:tcPr>
            <w:tcW w:w="1728" w:type="dxa"/>
            <w:gridSpan w:val="3"/>
          </w:tcPr>
          <w:p w14:paraId="180CD6F0">
            <w:pPr>
              <w:spacing w:line="360" w:lineRule="auto"/>
              <w:rPr>
                <w:rFonts w:ascii="Times New Roman" w:hAnsi="Times New Roman"/>
              </w:rPr>
            </w:pPr>
          </w:p>
          <w:p w14:paraId="00A47563">
            <w:pPr>
              <w:pStyle w:val="21"/>
            </w:pPr>
            <w:r>
              <w:t>……</w:t>
            </w:r>
          </w:p>
        </w:tc>
        <w:tc>
          <w:tcPr>
            <w:tcW w:w="2612" w:type="dxa"/>
            <w:gridSpan w:val="2"/>
          </w:tcPr>
          <w:p w14:paraId="2125C385">
            <w:pPr>
              <w:pStyle w:val="21"/>
            </w:pPr>
            <w:r>
              <w:t>人</w:t>
            </w:r>
          </w:p>
        </w:tc>
      </w:tr>
      <w:tr w14:paraId="63635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563" w:type="dxa"/>
          </w:tcPr>
          <w:p w14:paraId="2D02F197">
            <w:pPr>
              <w:pStyle w:val="21"/>
            </w:pPr>
            <w:r>
              <w:t>开户银行</w:t>
            </w:r>
          </w:p>
        </w:tc>
        <w:tc>
          <w:tcPr>
            <w:tcW w:w="2207" w:type="dxa"/>
            <w:gridSpan w:val="2"/>
          </w:tcPr>
          <w:p w14:paraId="6AD21768">
            <w:pPr>
              <w:spacing w:line="360" w:lineRule="auto"/>
              <w:rPr>
                <w:rFonts w:ascii="Times New Roman" w:hAnsi="Times New Roman"/>
              </w:rPr>
            </w:pPr>
          </w:p>
        </w:tc>
        <w:tc>
          <w:tcPr>
            <w:tcW w:w="819" w:type="dxa"/>
            <w:vMerge w:val="continue"/>
            <w:tcBorders>
              <w:top w:val="nil"/>
              <w:bottom w:val="nil"/>
            </w:tcBorders>
          </w:tcPr>
          <w:p w14:paraId="02492BD3">
            <w:pPr>
              <w:spacing w:line="360" w:lineRule="auto"/>
              <w:rPr>
                <w:rFonts w:ascii="Times New Roman" w:hAnsi="Times New Roman"/>
              </w:rPr>
            </w:pPr>
          </w:p>
        </w:tc>
        <w:tc>
          <w:tcPr>
            <w:tcW w:w="1728" w:type="dxa"/>
            <w:gridSpan w:val="3"/>
          </w:tcPr>
          <w:p w14:paraId="0A388950">
            <w:pPr>
              <w:pStyle w:val="21"/>
            </w:pPr>
            <w:r>
              <w:t>工程师</w:t>
            </w:r>
          </w:p>
        </w:tc>
        <w:tc>
          <w:tcPr>
            <w:tcW w:w="2612" w:type="dxa"/>
            <w:gridSpan w:val="2"/>
          </w:tcPr>
          <w:p w14:paraId="36CD7C58">
            <w:pPr>
              <w:pStyle w:val="21"/>
            </w:pPr>
            <w:r>
              <w:t>人</w:t>
            </w:r>
          </w:p>
        </w:tc>
      </w:tr>
      <w:tr w14:paraId="376A6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63" w:type="dxa"/>
          </w:tcPr>
          <w:p w14:paraId="310AACD3">
            <w:pPr>
              <w:pStyle w:val="21"/>
            </w:pPr>
            <w:r>
              <w:t>账    号</w:t>
            </w:r>
          </w:p>
        </w:tc>
        <w:tc>
          <w:tcPr>
            <w:tcW w:w="2207" w:type="dxa"/>
            <w:gridSpan w:val="2"/>
          </w:tcPr>
          <w:p w14:paraId="2BB07931">
            <w:pPr>
              <w:spacing w:line="360" w:lineRule="auto"/>
              <w:rPr>
                <w:rFonts w:ascii="Times New Roman" w:hAnsi="Times New Roman"/>
              </w:rPr>
            </w:pPr>
          </w:p>
        </w:tc>
        <w:tc>
          <w:tcPr>
            <w:tcW w:w="819" w:type="dxa"/>
            <w:vMerge w:val="continue"/>
            <w:tcBorders>
              <w:top w:val="nil"/>
            </w:tcBorders>
          </w:tcPr>
          <w:p w14:paraId="29175618">
            <w:pPr>
              <w:spacing w:line="360" w:lineRule="auto"/>
              <w:rPr>
                <w:rFonts w:ascii="Times New Roman" w:hAnsi="Times New Roman"/>
              </w:rPr>
            </w:pPr>
          </w:p>
        </w:tc>
        <w:tc>
          <w:tcPr>
            <w:tcW w:w="1728" w:type="dxa"/>
            <w:gridSpan w:val="3"/>
          </w:tcPr>
          <w:p w14:paraId="4A45CA64">
            <w:pPr>
              <w:pStyle w:val="21"/>
            </w:pPr>
            <w:r>
              <w:t>其他</w:t>
            </w:r>
          </w:p>
        </w:tc>
        <w:tc>
          <w:tcPr>
            <w:tcW w:w="2612" w:type="dxa"/>
            <w:gridSpan w:val="2"/>
          </w:tcPr>
          <w:p w14:paraId="60DC17D0">
            <w:pPr>
              <w:pStyle w:val="21"/>
            </w:pPr>
            <w:r>
              <w:t>人</w:t>
            </w:r>
          </w:p>
        </w:tc>
      </w:tr>
      <w:tr w14:paraId="52005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63" w:type="dxa"/>
          </w:tcPr>
          <w:p w14:paraId="37CF5EF0">
            <w:pPr>
              <w:pStyle w:val="21"/>
            </w:pPr>
            <w:r>
              <w:t>经营范围</w:t>
            </w:r>
          </w:p>
        </w:tc>
        <w:tc>
          <w:tcPr>
            <w:tcW w:w="7366" w:type="dxa"/>
            <w:gridSpan w:val="8"/>
          </w:tcPr>
          <w:p w14:paraId="78FE4F9F">
            <w:pPr>
              <w:spacing w:line="360" w:lineRule="auto"/>
              <w:rPr>
                <w:rFonts w:ascii="Times New Roman" w:hAnsi="Times New Roman"/>
              </w:rPr>
            </w:pPr>
          </w:p>
        </w:tc>
      </w:tr>
      <w:tr w14:paraId="50260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563" w:type="dxa"/>
          </w:tcPr>
          <w:p w14:paraId="2EB77FA3">
            <w:pPr>
              <w:pStyle w:val="21"/>
            </w:pPr>
            <w:r>
              <w:t>备   注</w:t>
            </w:r>
          </w:p>
        </w:tc>
        <w:tc>
          <w:tcPr>
            <w:tcW w:w="7366" w:type="dxa"/>
            <w:gridSpan w:val="8"/>
          </w:tcPr>
          <w:p w14:paraId="52C5423C">
            <w:pPr>
              <w:spacing w:line="360" w:lineRule="auto"/>
              <w:rPr>
                <w:rFonts w:ascii="Times New Roman" w:hAnsi="Times New Roman"/>
              </w:rPr>
            </w:pPr>
          </w:p>
        </w:tc>
      </w:tr>
    </w:tbl>
    <w:p w14:paraId="6D54071E">
      <w:pPr>
        <w:spacing w:line="360" w:lineRule="auto"/>
        <w:jc w:val="right"/>
        <w:rPr>
          <w:rFonts w:ascii="Times New Roman" w:hAnsi="Times New Roman" w:eastAsia="宋体" w:cs="宋体"/>
          <w:sz w:val="24"/>
          <w:szCs w:val="24"/>
          <w:lang w:eastAsia="zh-CN"/>
        </w:rPr>
      </w:pPr>
      <w:r>
        <w:rPr>
          <w:rFonts w:ascii="Times New Roman" w:hAnsi="Times New Roman" w:eastAsia="宋体" w:cs="宋体"/>
          <w:sz w:val="24"/>
          <w:szCs w:val="24"/>
          <w:lang w:eastAsia="zh-CN"/>
        </w:rPr>
        <w:t>备注：本表后应附企业法人营业执照副本、开户证明文件等材料的复印件并加盖单位</w:t>
      </w:r>
    </w:p>
    <w:p w14:paraId="6E51EE5D">
      <w:pPr>
        <w:spacing w:line="360" w:lineRule="auto"/>
        <w:ind w:left="104"/>
        <w:rPr>
          <w:rFonts w:ascii="Times New Roman" w:hAnsi="Times New Roman" w:eastAsia="宋体" w:cs="宋体"/>
          <w:sz w:val="25"/>
          <w:szCs w:val="25"/>
          <w:lang w:eastAsia="zh-CN"/>
        </w:rPr>
      </w:pPr>
      <w:r>
        <w:rPr>
          <w:rFonts w:ascii="Times New Roman" w:hAnsi="Times New Roman" w:eastAsia="宋体" w:cs="宋体"/>
          <w:sz w:val="25"/>
          <w:szCs w:val="25"/>
          <w:lang w:eastAsia="zh-CN"/>
        </w:rPr>
        <w:t>公章。</w:t>
      </w:r>
    </w:p>
    <w:p w14:paraId="7AED1155">
      <w:pPr>
        <w:spacing w:line="360" w:lineRule="auto"/>
        <w:rPr>
          <w:rFonts w:ascii="Times New Roman" w:hAnsi="Times New Roman" w:eastAsia="宋体" w:cs="宋体"/>
          <w:sz w:val="25"/>
          <w:szCs w:val="25"/>
          <w:lang w:eastAsia="zh-CN"/>
        </w:rPr>
        <w:sectPr>
          <w:footerReference r:id="rId28" w:type="default"/>
          <w:pgSz w:w="11905" w:h="16838"/>
          <w:pgMar w:top="1134" w:right="1134" w:bottom="1134" w:left="1134" w:header="0" w:footer="1043" w:gutter="0"/>
          <w:cols w:space="0" w:num="1"/>
        </w:sectPr>
      </w:pPr>
    </w:p>
    <w:p w14:paraId="41675FB9">
      <w:pPr>
        <w:spacing w:line="360" w:lineRule="auto"/>
        <w:ind w:left="2774"/>
        <w:rPr>
          <w:rFonts w:ascii="Times New Roman" w:hAnsi="Times New Roman" w:eastAsia="宋体" w:cs="宋体"/>
          <w:sz w:val="30"/>
          <w:szCs w:val="30"/>
          <w:lang w:eastAsia="zh-CN"/>
        </w:rPr>
      </w:pP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二</w:t>
      </w: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资格条件承诺函</w:t>
      </w:r>
    </w:p>
    <w:p w14:paraId="44DFBAB3">
      <w:pPr>
        <w:pStyle w:val="5"/>
        <w:spacing w:line="360" w:lineRule="auto"/>
        <w:rPr>
          <w:rFonts w:ascii="Times New Roman" w:hAnsi="Times New Roman"/>
          <w:lang w:eastAsia="zh-CN"/>
        </w:rPr>
      </w:pPr>
    </w:p>
    <w:p w14:paraId="7C0949B7">
      <w:pPr>
        <w:spacing w:line="360" w:lineRule="auto"/>
        <w:rPr>
          <w:rFonts w:ascii="Times New Roman" w:hAnsi="Times New Roman" w:eastAsia="宋体" w:cs="宋体"/>
          <w:sz w:val="23"/>
          <w:szCs w:val="23"/>
          <w:lang w:eastAsia="zh-CN"/>
        </w:rPr>
      </w:pPr>
      <w:r>
        <w:rPr>
          <w:rFonts w:ascii="Times New Roman" w:hAnsi="Times New Roman" w:eastAsia="宋体" w:cs="宋体"/>
          <w:sz w:val="23"/>
          <w:szCs w:val="23"/>
          <w:lang w:eastAsia="zh-CN"/>
        </w:rPr>
        <w:t xml:space="preserve">致： </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u w:val="single"/>
          <w:lang w:eastAsia="zh-CN"/>
        </w:rPr>
        <w:t xml:space="preserve"> 采 购 人 、 采 购 代 理 机 构 </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lang w:eastAsia="zh-CN"/>
        </w:rPr>
        <w:t xml:space="preserve"> :</w:t>
      </w:r>
    </w:p>
    <w:p w14:paraId="75B018B4">
      <w:pPr>
        <w:pStyle w:val="5"/>
        <w:spacing w:line="360" w:lineRule="auto"/>
        <w:rPr>
          <w:rFonts w:ascii="Times New Roman" w:hAnsi="Times New Roman"/>
          <w:lang w:eastAsia="zh-CN"/>
        </w:rPr>
      </w:pPr>
    </w:p>
    <w:p w14:paraId="0584C0F2">
      <w:pPr>
        <w:spacing w:line="360" w:lineRule="auto"/>
        <w:ind w:right="174" w:firstLine="439"/>
        <w:rPr>
          <w:rFonts w:ascii="Times New Roman" w:hAnsi="Times New Roman" w:eastAsia="宋体" w:cs="宋体"/>
          <w:sz w:val="23"/>
          <w:szCs w:val="23"/>
          <w:lang w:eastAsia="zh-CN"/>
        </w:rPr>
      </w:pPr>
      <w:r>
        <w:rPr>
          <w:rFonts w:ascii="Times New Roman" w:hAnsi="Times New Roman" w:eastAsia="宋体" w:cs="宋体"/>
          <w:sz w:val="23"/>
          <w:szCs w:val="23"/>
          <w:lang w:eastAsia="zh-CN"/>
        </w:rPr>
        <w:t>我单位</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公司</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参与</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u w:val="single"/>
          <w:lang w:eastAsia="zh-CN"/>
        </w:rPr>
        <w:t xml:space="preserve"> 采 购 项 目 名 称 项 目 编 号 </w:t>
      </w:r>
      <w:r>
        <w:rPr>
          <w:rFonts w:hint="eastAsia" w:ascii="Times New Roman" w:hAnsi="Times New Roman" w:eastAsia="宋体" w:cs="宋体"/>
          <w:sz w:val="23"/>
          <w:szCs w:val="23"/>
          <w:u w:val="single"/>
          <w:lang w:eastAsia="zh-CN"/>
        </w:rPr>
        <w:t>）</w:t>
      </w:r>
      <w:r>
        <w:rPr>
          <w:rFonts w:ascii="Times New Roman" w:hAnsi="Times New Roman" w:eastAsia="宋体" w:cs="宋体"/>
          <w:sz w:val="23"/>
          <w:szCs w:val="23"/>
          <w:lang w:eastAsia="zh-CN"/>
        </w:rPr>
        <w:t xml:space="preserve"> 采购项目的政府采购活动，现承诺如下：</w:t>
      </w:r>
    </w:p>
    <w:p w14:paraId="30B58F77">
      <w:pPr>
        <w:pStyle w:val="5"/>
        <w:spacing w:line="360" w:lineRule="auto"/>
        <w:rPr>
          <w:rFonts w:ascii="Times New Roman" w:hAnsi="Times New Roman"/>
          <w:lang w:eastAsia="zh-CN"/>
        </w:rPr>
      </w:pPr>
    </w:p>
    <w:p w14:paraId="46086DB9">
      <w:pPr>
        <w:spacing w:line="360" w:lineRule="auto"/>
        <w:ind w:left="439"/>
        <w:rPr>
          <w:rFonts w:ascii="Times New Roman" w:hAnsi="Times New Roman" w:eastAsia="宋体" w:cs="宋体"/>
          <w:sz w:val="23"/>
          <w:szCs w:val="23"/>
          <w:lang w:eastAsia="zh-CN"/>
        </w:rPr>
      </w:pPr>
      <w:r>
        <w:rPr>
          <w:rFonts w:ascii="Times New Roman" w:hAnsi="Times New Roman" w:eastAsia="宋体" w:cs="宋体"/>
          <w:sz w:val="23"/>
          <w:szCs w:val="23"/>
          <w:lang w:eastAsia="zh-CN"/>
        </w:rPr>
        <w:t>1.具有良好的商业信誉和健全的财务会计制度；</w:t>
      </w:r>
    </w:p>
    <w:p w14:paraId="4DADBF21">
      <w:pPr>
        <w:spacing w:line="360" w:lineRule="auto"/>
        <w:ind w:left="439"/>
        <w:rPr>
          <w:rFonts w:ascii="Times New Roman" w:hAnsi="Times New Roman"/>
          <w:lang w:eastAsia="zh-CN"/>
        </w:rPr>
      </w:pPr>
      <w:r>
        <w:rPr>
          <w:rFonts w:ascii="Times New Roman" w:hAnsi="Times New Roman" w:eastAsia="宋体" w:cs="宋体"/>
          <w:sz w:val="23"/>
          <w:szCs w:val="23"/>
          <w:lang w:eastAsia="zh-CN"/>
        </w:rPr>
        <w:t>2.具有依法缴纳税收的良好记录；</w:t>
      </w:r>
    </w:p>
    <w:p w14:paraId="5695763C">
      <w:pPr>
        <w:spacing w:line="360" w:lineRule="auto"/>
        <w:ind w:left="439"/>
        <w:rPr>
          <w:rFonts w:ascii="Times New Roman" w:hAnsi="Times New Roman" w:eastAsia="宋体" w:cs="宋体"/>
          <w:sz w:val="23"/>
          <w:szCs w:val="23"/>
          <w:lang w:eastAsia="zh-CN"/>
        </w:rPr>
      </w:pPr>
      <w:r>
        <w:rPr>
          <w:rFonts w:ascii="Times New Roman" w:hAnsi="Times New Roman" w:eastAsia="宋体" w:cs="宋体"/>
          <w:sz w:val="23"/>
          <w:szCs w:val="23"/>
          <w:lang w:eastAsia="zh-CN"/>
        </w:rPr>
        <w:t>3.具有依法缴纳社会保障金的良好记录。</w:t>
      </w:r>
    </w:p>
    <w:p w14:paraId="1948BEDB">
      <w:pPr>
        <w:pStyle w:val="5"/>
        <w:spacing w:line="360" w:lineRule="auto"/>
        <w:rPr>
          <w:rFonts w:ascii="Times New Roman" w:hAnsi="Times New Roman"/>
          <w:lang w:eastAsia="zh-CN"/>
        </w:rPr>
      </w:pPr>
    </w:p>
    <w:p w14:paraId="70164217">
      <w:pPr>
        <w:spacing w:line="360" w:lineRule="auto"/>
        <w:ind w:right="45" w:firstLine="439"/>
        <w:jc w:val="both"/>
        <w:rPr>
          <w:rFonts w:ascii="Times New Roman" w:hAnsi="Times New Roman" w:eastAsia="宋体" w:cs="宋体"/>
          <w:sz w:val="23"/>
          <w:szCs w:val="23"/>
          <w:lang w:eastAsia="zh-CN"/>
        </w:rPr>
      </w:pPr>
      <w:r>
        <w:rPr>
          <w:rFonts w:ascii="Times New Roman" w:hAnsi="Times New Roman" w:eastAsia="宋体" w:cs="宋体"/>
          <w:sz w:val="23"/>
          <w:szCs w:val="23"/>
          <w:lang w:eastAsia="zh-CN"/>
        </w:rPr>
        <w:t>我方在采购项目评审</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评标</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环节结束后，随时接受采购人、采购代理机构的 检查验证，配合提供相关证明材料，证明符合《中华人民共和国政府采购法》规 定的供应商基本资格条件。</w:t>
      </w:r>
    </w:p>
    <w:p w14:paraId="2F194881">
      <w:pPr>
        <w:pStyle w:val="5"/>
        <w:spacing w:line="360" w:lineRule="auto"/>
        <w:rPr>
          <w:rFonts w:ascii="Times New Roman" w:hAnsi="Times New Roman"/>
          <w:lang w:eastAsia="zh-CN"/>
        </w:rPr>
      </w:pPr>
    </w:p>
    <w:p w14:paraId="59F30B36">
      <w:pPr>
        <w:spacing w:line="360" w:lineRule="auto"/>
        <w:jc w:val="right"/>
        <w:rPr>
          <w:rFonts w:ascii="Times New Roman" w:hAnsi="Times New Roman" w:eastAsia="宋体" w:cs="宋体"/>
          <w:sz w:val="23"/>
          <w:szCs w:val="23"/>
          <w:lang w:eastAsia="zh-CN"/>
        </w:rPr>
      </w:pPr>
      <w:r>
        <w:rPr>
          <w:rFonts w:ascii="Times New Roman" w:hAnsi="Times New Roman" w:eastAsia="宋体" w:cs="宋体"/>
          <w:sz w:val="23"/>
          <w:szCs w:val="23"/>
          <w:lang w:eastAsia="zh-CN"/>
        </w:rPr>
        <w:t>我单位</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公司</w:t>
      </w:r>
      <w:r>
        <w:rPr>
          <w:rFonts w:hint="eastAsia" w:ascii="Times New Roman" w:hAnsi="Times New Roman" w:eastAsia="宋体" w:cs="宋体"/>
          <w:sz w:val="23"/>
          <w:szCs w:val="23"/>
          <w:lang w:eastAsia="zh-CN"/>
        </w:rPr>
        <w:t>）</w:t>
      </w:r>
      <w:r>
        <w:rPr>
          <w:rFonts w:ascii="Times New Roman" w:hAnsi="Times New Roman" w:eastAsia="宋体" w:cs="宋体"/>
          <w:sz w:val="23"/>
          <w:szCs w:val="23"/>
          <w:lang w:eastAsia="zh-CN"/>
        </w:rPr>
        <w:t>对上述承诺的真实性负责。如有虚假，将依法承担相应责任。</w:t>
      </w:r>
    </w:p>
    <w:p w14:paraId="442B827C">
      <w:pPr>
        <w:spacing w:line="360" w:lineRule="auto"/>
        <w:ind w:left="439"/>
        <w:rPr>
          <w:rFonts w:ascii="Times New Roman" w:hAnsi="Times New Roman" w:eastAsia="宋体" w:cs="宋体"/>
          <w:sz w:val="23"/>
          <w:szCs w:val="23"/>
          <w:lang w:eastAsia="zh-CN"/>
        </w:rPr>
      </w:pPr>
      <w:r>
        <w:rPr>
          <w:rFonts w:ascii="Times New Roman" w:hAnsi="Times New Roman" w:eastAsia="宋体" w:cs="宋体"/>
          <w:sz w:val="23"/>
          <w:szCs w:val="23"/>
          <w:lang w:eastAsia="zh-CN"/>
        </w:rPr>
        <w:t>特此承诺。</w:t>
      </w:r>
    </w:p>
    <w:p w14:paraId="72101F1C">
      <w:pPr>
        <w:pStyle w:val="5"/>
        <w:spacing w:line="360" w:lineRule="auto"/>
        <w:rPr>
          <w:rFonts w:ascii="Times New Roman" w:hAnsi="Times New Roman"/>
          <w:lang w:eastAsia="zh-CN"/>
        </w:rPr>
      </w:pPr>
    </w:p>
    <w:p w14:paraId="7BEBE084">
      <w:pPr>
        <w:pStyle w:val="5"/>
        <w:spacing w:line="360" w:lineRule="auto"/>
        <w:rPr>
          <w:rFonts w:ascii="Times New Roman" w:hAnsi="Times New Roman"/>
          <w:lang w:eastAsia="zh-CN"/>
        </w:rPr>
      </w:pPr>
    </w:p>
    <w:p w14:paraId="32459C36">
      <w:pPr>
        <w:pStyle w:val="5"/>
        <w:spacing w:line="360" w:lineRule="auto"/>
        <w:rPr>
          <w:rFonts w:ascii="Times New Roman" w:hAnsi="Times New Roman"/>
          <w:lang w:eastAsia="zh-CN"/>
        </w:rPr>
      </w:pPr>
    </w:p>
    <w:p w14:paraId="14C532D8">
      <w:pPr>
        <w:spacing w:line="360" w:lineRule="auto"/>
        <w:ind w:left="5449"/>
        <w:rPr>
          <w:rFonts w:ascii="Times New Roman" w:hAnsi="Times New Roman" w:eastAsia="黑体" w:cs="黑体"/>
          <w:sz w:val="23"/>
          <w:szCs w:val="23"/>
          <w:lang w:eastAsia="zh-CN"/>
        </w:rPr>
      </w:pPr>
      <w:r>
        <w:rPr>
          <w:rFonts w:ascii="Times New Roman" w:hAnsi="Times New Roman" w:eastAsia="黑体" w:cs="黑体"/>
          <w:sz w:val="23"/>
          <w:szCs w:val="23"/>
          <w:lang w:eastAsia="zh-CN"/>
        </w:rPr>
        <w:t>盖章：</w:t>
      </w:r>
    </w:p>
    <w:p w14:paraId="757840E6">
      <w:pPr>
        <w:spacing w:line="360" w:lineRule="auto"/>
        <w:ind w:left="5449"/>
        <w:rPr>
          <w:rFonts w:ascii="Times New Roman" w:hAnsi="Times New Roman" w:eastAsia="宋体" w:cs="宋体"/>
          <w:sz w:val="23"/>
          <w:szCs w:val="23"/>
          <w:lang w:eastAsia="zh-CN"/>
        </w:rPr>
      </w:pPr>
      <w:r>
        <w:rPr>
          <w:rFonts w:ascii="Times New Roman" w:hAnsi="Times New Roman" w:eastAsia="宋体" w:cs="宋体"/>
          <w:sz w:val="23"/>
          <w:szCs w:val="23"/>
          <w:lang w:eastAsia="zh-CN"/>
        </w:rPr>
        <w:t>签字：</w:t>
      </w:r>
    </w:p>
    <w:p w14:paraId="124CCAFF">
      <w:pPr>
        <w:pStyle w:val="5"/>
        <w:spacing w:line="360" w:lineRule="auto"/>
        <w:rPr>
          <w:rFonts w:ascii="Times New Roman" w:hAnsi="Times New Roman"/>
          <w:lang w:eastAsia="zh-CN"/>
        </w:rPr>
      </w:pPr>
    </w:p>
    <w:p w14:paraId="4D9F6171">
      <w:pPr>
        <w:spacing w:line="360" w:lineRule="auto"/>
        <w:ind w:left="5449"/>
        <w:rPr>
          <w:rFonts w:ascii="Times New Roman" w:hAnsi="Times New Roman" w:eastAsia="宋体" w:cs="宋体"/>
          <w:sz w:val="23"/>
          <w:szCs w:val="23"/>
          <w:lang w:eastAsia="zh-CN"/>
        </w:rPr>
      </w:pPr>
      <w:r>
        <w:rPr>
          <w:rFonts w:ascii="Times New Roman" w:hAnsi="Times New Roman" w:eastAsia="宋体" w:cs="宋体"/>
          <w:sz w:val="23"/>
          <w:szCs w:val="23"/>
          <w:lang w:eastAsia="zh-CN"/>
        </w:rPr>
        <w:t>日期：</w:t>
      </w:r>
    </w:p>
    <w:p w14:paraId="15267675">
      <w:pPr>
        <w:spacing w:line="360" w:lineRule="auto"/>
        <w:rPr>
          <w:rFonts w:ascii="Times New Roman" w:hAnsi="Times New Roman" w:eastAsia="宋体" w:cs="宋体"/>
          <w:sz w:val="23"/>
          <w:szCs w:val="23"/>
          <w:lang w:eastAsia="zh-CN"/>
        </w:rPr>
        <w:sectPr>
          <w:footerReference r:id="rId29" w:type="default"/>
          <w:pgSz w:w="11905" w:h="16838"/>
          <w:pgMar w:top="1134" w:right="1134" w:bottom="1134" w:left="1134" w:header="0" w:footer="1043" w:gutter="0"/>
          <w:cols w:space="0" w:num="1"/>
        </w:sectPr>
      </w:pPr>
    </w:p>
    <w:p w14:paraId="58B63D61">
      <w:pPr>
        <w:spacing w:line="360" w:lineRule="auto"/>
        <w:ind w:left="1504"/>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符合提供资格条件承诺函的信用承诺书</w:t>
      </w:r>
    </w:p>
    <w:p w14:paraId="42A5C1FD">
      <w:pPr>
        <w:spacing w:line="360" w:lineRule="auto"/>
        <w:rPr>
          <w:rFonts w:ascii="Times New Roman" w:hAnsi="Times New Roman" w:eastAsia="宋体" w:cs="宋体"/>
          <w:sz w:val="24"/>
          <w:szCs w:val="24"/>
          <w:lang w:eastAsia="zh-CN"/>
        </w:rPr>
      </w:pPr>
    </w:p>
    <w:p w14:paraId="6AD9C149">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致： </w:t>
      </w:r>
      <w:r>
        <w:rPr>
          <w:rFonts w:hint="eastAsia" w:ascii="宋体" w:hAnsi="宋体" w:eastAsia="宋体" w:cs="宋体"/>
          <w:sz w:val="24"/>
          <w:szCs w:val="24"/>
          <w:u w:val="single"/>
          <w:lang w:eastAsia="zh-CN"/>
        </w:rPr>
        <w:t>（ 采 购 人 、 采 购 代 理 机 构 ）</w:t>
      </w:r>
      <w:r>
        <w:rPr>
          <w:rFonts w:hint="eastAsia" w:ascii="宋体" w:hAnsi="宋体" w:eastAsia="宋体" w:cs="宋体"/>
          <w:sz w:val="24"/>
          <w:szCs w:val="24"/>
          <w:lang w:eastAsia="zh-CN"/>
        </w:rPr>
        <w:t xml:space="preserve"> :</w:t>
      </w:r>
    </w:p>
    <w:p w14:paraId="1A2E4379">
      <w:pPr>
        <w:pStyle w:val="5"/>
        <w:spacing w:line="360" w:lineRule="auto"/>
        <w:rPr>
          <w:rFonts w:ascii="宋体" w:hAnsi="宋体" w:eastAsia="宋体" w:cs="宋体"/>
          <w:lang w:eastAsia="zh-CN"/>
        </w:rPr>
      </w:pPr>
    </w:p>
    <w:p w14:paraId="08B7CC5D">
      <w:pPr>
        <w:spacing w:line="360" w:lineRule="auto"/>
        <w:ind w:left="439"/>
        <w:rPr>
          <w:rFonts w:ascii="宋体" w:hAnsi="宋体" w:eastAsia="宋体" w:cs="宋体"/>
          <w:sz w:val="24"/>
          <w:szCs w:val="24"/>
          <w:lang w:eastAsia="zh-CN"/>
        </w:rPr>
      </w:pPr>
      <w:r>
        <w:rPr>
          <w:rFonts w:hint="eastAsia" w:ascii="宋体" w:hAnsi="宋体" w:eastAsia="宋体" w:cs="宋体"/>
          <w:sz w:val="24"/>
          <w:szCs w:val="24"/>
          <w:lang w:eastAsia="zh-CN"/>
        </w:rPr>
        <w:t>我单位（公司）参与</w:t>
      </w:r>
      <w:r>
        <w:rPr>
          <w:rFonts w:hint="eastAsia" w:ascii="宋体" w:hAnsi="宋体" w:eastAsia="宋体" w:cs="宋体"/>
          <w:sz w:val="24"/>
          <w:szCs w:val="24"/>
          <w:u w:val="single"/>
          <w:lang w:eastAsia="zh-CN"/>
        </w:rPr>
        <w:t>（ 采 购 项 目 名 称 项 目 编 号 ）</w:t>
      </w:r>
    </w:p>
    <w:p w14:paraId="7590923E">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采购项目的政府采购活动，我单位（公司）现承诺不属于下列任何一种情形：</w:t>
      </w:r>
    </w:p>
    <w:p w14:paraId="62181DC6">
      <w:pPr>
        <w:spacing w:line="360" w:lineRule="auto"/>
        <w:ind w:right="99" w:firstLine="439"/>
        <w:rPr>
          <w:rFonts w:ascii="宋体" w:hAnsi="宋体" w:eastAsia="宋体" w:cs="宋体"/>
          <w:sz w:val="24"/>
          <w:szCs w:val="24"/>
          <w:lang w:eastAsia="zh-CN"/>
        </w:rPr>
      </w:pPr>
      <w:r>
        <w:rPr>
          <w:rFonts w:hint="eastAsia" w:ascii="宋体" w:hAnsi="宋体" w:eastAsia="宋体" w:cs="宋体"/>
          <w:sz w:val="24"/>
          <w:szCs w:val="24"/>
          <w:lang w:eastAsia="zh-CN"/>
        </w:rPr>
        <w:t>1.被列入政府采购不良行为记录名单的，被禁止参加政府采购活动且尚在处 罚有效期内的；</w:t>
      </w:r>
    </w:p>
    <w:p w14:paraId="70B4CAC6">
      <w:pPr>
        <w:pStyle w:val="5"/>
        <w:spacing w:line="360" w:lineRule="auto"/>
        <w:rPr>
          <w:rFonts w:ascii="宋体" w:hAnsi="宋体" w:eastAsia="宋体" w:cs="宋体"/>
          <w:lang w:eastAsia="zh-CN"/>
        </w:rPr>
      </w:pPr>
    </w:p>
    <w:p w14:paraId="36FFF87B">
      <w:pPr>
        <w:spacing w:line="360" w:lineRule="auto"/>
        <w:ind w:right="99" w:firstLine="439"/>
        <w:rPr>
          <w:rFonts w:ascii="宋体" w:hAnsi="宋体" w:eastAsia="宋体" w:cs="宋体"/>
          <w:sz w:val="24"/>
          <w:szCs w:val="24"/>
          <w:lang w:eastAsia="zh-CN"/>
        </w:rPr>
      </w:pPr>
      <w:r>
        <w:rPr>
          <w:rFonts w:hint="eastAsia" w:ascii="宋体" w:hAnsi="宋体" w:eastAsia="宋体" w:cs="宋体"/>
          <w:sz w:val="24"/>
          <w:szCs w:val="24"/>
          <w:lang w:eastAsia="zh-CN"/>
        </w:rPr>
        <w:t>2.被有关部门列入失信被执行人、联合惩戒对象、严重违法失信行为记录等 情形的；</w:t>
      </w:r>
    </w:p>
    <w:p w14:paraId="17BE3C69">
      <w:pPr>
        <w:pStyle w:val="5"/>
        <w:spacing w:line="360" w:lineRule="auto"/>
        <w:rPr>
          <w:rFonts w:ascii="宋体" w:hAnsi="宋体" w:eastAsia="宋体" w:cs="宋体"/>
          <w:lang w:eastAsia="zh-CN"/>
        </w:rPr>
      </w:pPr>
    </w:p>
    <w:p w14:paraId="3C9F1479">
      <w:pPr>
        <w:spacing w:line="360" w:lineRule="auto"/>
        <w:ind w:left="439"/>
        <w:rPr>
          <w:rFonts w:ascii="宋体" w:hAnsi="宋体" w:eastAsia="宋体" w:cs="宋体"/>
          <w:sz w:val="24"/>
          <w:szCs w:val="24"/>
          <w:lang w:eastAsia="zh-CN"/>
        </w:rPr>
      </w:pPr>
      <w:r>
        <w:rPr>
          <w:rFonts w:hint="eastAsia" w:ascii="宋体" w:hAnsi="宋体" w:eastAsia="宋体" w:cs="宋体"/>
          <w:sz w:val="24"/>
          <w:szCs w:val="24"/>
          <w:lang w:eastAsia="zh-CN"/>
        </w:rPr>
        <w:t>3.其他法律法规规定的不适用于资格条件信用承诺的情形。</w:t>
      </w:r>
    </w:p>
    <w:p w14:paraId="24123C2E">
      <w:pPr>
        <w:pStyle w:val="5"/>
        <w:spacing w:line="360" w:lineRule="auto"/>
        <w:rPr>
          <w:rFonts w:ascii="宋体" w:hAnsi="宋体" w:eastAsia="宋体" w:cs="宋体"/>
          <w:lang w:eastAsia="zh-CN"/>
        </w:rPr>
      </w:pPr>
    </w:p>
    <w:p w14:paraId="35768C1D">
      <w:pPr>
        <w:spacing w:line="360" w:lineRule="auto"/>
        <w:jc w:val="right"/>
        <w:rPr>
          <w:rFonts w:ascii="宋体" w:hAnsi="宋体" w:eastAsia="宋体" w:cs="宋体"/>
          <w:sz w:val="24"/>
          <w:szCs w:val="24"/>
          <w:lang w:eastAsia="zh-CN"/>
        </w:rPr>
      </w:pPr>
      <w:r>
        <w:rPr>
          <w:rFonts w:hint="eastAsia" w:ascii="宋体" w:hAnsi="宋体" w:eastAsia="宋体" w:cs="宋体"/>
          <w:sz w:val="24"/>
          <w:szCs w:val="24"/>
          <w:lang w:eastAsia="zh-CN"/>
        </w:rPr>
        <w:t>我单位（公司）对上述承诺的真实性负责。如有虚假，将依法承担相应责任。</w:t>
      </w:r>
    </w:p>
    <w:p w14:paraId="4F72A2AF">
      <w:pPr>
        <w:spacing w:line="360" w:lineRule="auto"/>
        <w:ind w:left="439"/>
        <w:rPr>
          <w:rFonts w:ascii="宋体" w:hAnsi="宋体" w:eastAsia="宋体" w:cs="宋体"/>
          <w:sz w:val="24"/>
          <w:szCs w:val="24"/>
          <w:lang w:eastAsia="zh-CN"/>
        </w:rPr>
      </w:pPr>
      <w:r>
        <w:rPr>
          <w:rFonts w:hint="eastAsia" w:ascii="宋体" w:hAnsi="宋体" w:eastAsia="宋体" w:cs="宋体"/>
          <w:sz w:val="24"/>
          <w:szCs w:val="24"/>
          <w:lang w:eastAsia="zh-CN"/>
        </w:rPr>
        <w:t>特此承诺。</w:t>
      </w:r>
    </w:p>
    <w:p w14:paraId="3243993C">
      <w:pPr>
        <w:pStyle w:val="5"/>
        <w:spacing w:line="360" w:lineRule="auto"/>
        <w:rPr>
          <w:rFonts w:ascii="宋体" w:hAnsi="宋体" w:eastAsia="宋体" w:cs="宋体"/>
          <w:lang w:eastAsia="zh-CN"/>
        </w:rPr>
      </w:pPr>
    </w:p>
    <w:p w14:paraId="6988DA39">
      <w:pPr>
        <w:pStyle w:val="5"/>
        <w:spacing w:line="360" w:lineRule="auto"/>
        <w:rPr>
          <w:rFonts w:ascii="宋体" w:hAnsi="宋体" w:eastAsia="宋体" w:cs="宋体"/>
          <w:lang w:eastAsia="zh-CN"/>
        </w:rPr>
      </w:pPr>
    </w:p>
    <w:p w14:paraId="7FEAC04A">
      <w:pPr>
        <w:pStyle w:val="5"/>
        <w:spacing w:line="360" w:lineRule="auto"/>
        <w:rPr>
          <w:rFonts w:ascii="宋体" w:hAnsi="宋体" w:eastAsia="宋体" w:cs="宋体"/>
          <w:lang w:eastAsia="zh-CN"/>
        </w:rPr>
      </w:pPr>
    </w:p>
    <w:p w14:paraId="08B5ECD4">
      <w:pPr>
        <w:spacing w:line="360" w:lineRule="auto"/>
        <w:ind w:left="5479"/>
        <w:rPr>
          <w:rFonts w:ascii="宋体" w:hAnsi="宋体" w:eastAsia="宋体" w:cs="宋体"/>
          <w:sz w:val="24"/>
          <w:szCs w:val="24"/>
          <w:lang w:eastAsia="zh-CN"/>
        </w:rPr>
      </w:pPr>
      <w:r>
        <w:rPr>
          <w:rFonts w:hint="eastAsia" w:ascii="宋体" w:hAnsi="宋体" w:eastAsia="宋体" w:cs="宋体"/>
          <w:sz w:val="24"/>
          <w:szCs w:val="24"/>
          <w:lang w:eastAsia="zh-CN"/>
        </w:rPr>
        <w:t>盖章：</w:t>
      </w:r>
    </w:p>
    <w:p w14:paraId="6F9AD44C">
      <w:pPr>
        <w:spacing w:line="360" w:lineRule="auto"/>
        <w:ind w:left="5479"/>
        <w:rPr>
          <w:rFonts w:ascii="宋体" w:hAnsi="宋体" w:eastAsia="宋体" w:cs="宋体"/>
          <w:lang w:eastAsia="zh-CN"/>
        </w:rPr>
      </w:pPr>
      <w:r>
        <w:rPr>
          <w:rFonts w:hint="eastAsia" w:ascii="宋体" w:hAnsi="宋体" w:eastAsia="宋体" w:cs="宋体"/>
          <w:sz w:val="24"/>
          <w:szCs w:val="24"/>
          <w:lang w:eastAsia="zh-CN"/>
        </w:rPr>
        <w:t>签字：</w:t>
      </w:r>
    </w:p>
    <w:p w14:paraId="79DFD8E4">
      <w:pPr>
        <w:spacing w:line="360" w:lineRule="auto"/>
        <w:ind w:left="5519"/>
        <w:rPr>
          <w:rFonts w:ascii="宋体" w:hAnsi="宋体" w:eastAsia="宋体" w:cs="宋体"/>
          <w:sz w:val="24"/>
          <w:szCs w:val="24"/>
          <w:lang w:eastAsia="zh-CN"/>
        </w:rPr>
      </w:pPr>
      <w:r>
        <w:rPr>
          <w:rFonts w:hint="eastAsia" w:ascii="宋体" w:hAnsi="宋体" w:eastAsia="宋体" w:cs="宋体"/>
          <w:sz w:val="24"/>
          <w:szCs w:val="24"/>
          <w:lang w:eastAsia="zh-CN"/>
        </w:rPr>
        <w:t>日期：</w:t>
      </w:r>
    </w:p>
    <w:p w14:paraId="660D3431">
      <w:pPr>
        <w:spacing w:line="360" w:lineRule="auto"/>
        <w:rPr>
          <w:rFonts w:ascii="宋体" w:hAnsi="宋体" w:eastAsia="宋体" w:cs="宋体"/>
          <w:sz w:val="24"/>
          <w:szCs w:val="24"/>
          <w:lang w:eastAsia="zh-CN"/>
        </w:rPr>
      </w:pPr>
    </w:p>
    <w:p w14:paraId="16B7FAFA">
      <w:pPr>
        <w:pStyle w:val="12"/>
        <w:rPr>
          <w:lang w:eastAsia="zh-CN"/>
        </w:rPr>
      </w:pPr>
    </w:p>
    <w:p w14:paraId="5296A3AF">
      <w:pPr>
        <w:pStyle w:val="11"/>
        <w:ind w:firstLine="200"/>
        <w:rPr>
          <w:rFonts w:eastAsiaTheme="minorEastAsia"/>
          <w:lang w:eastAsia="zh-CN"/>
        </w:rPr>
      </w:pPr>
    </w:p>
    <w:p w14:paraId="0504CDC0">
      <w:pPr>
        <w:pStyle w:val="11"/>
        <w:ind w:firstLine="200"/>
        <w:rPr>
          <w:rFonts w:eastAsiaTheme="minorEastAsia"/>
          <w:lang w:eastAsia="zh-CN"/>
        </w:rPr>
      </w:pPr>
    </w:p>
    <w:p w14:paraId="774998E4">
      <w:pPr>
        <w:pStyle w:val="11"/>
        <w:ind w:firstLine="200"/>
        <w:rPr>
          <w:rFonts w:eastAsiaTheme="minorEastAsia"/>
          <w:lang w:eastAsia="zh-CN"/>
        </w:rPr>
      </w:pPr>
    </w:p>
    <w:p w14:paraId="579D03F5">
      <w:pPr>
        <w:pStyle w:val="11"/>
        <w:ind w:firstLine="200"/>
        <w:rPr>
          <w:rFonts w:eastAsiaTheme="minorEastAsia"/>
          <w:lang w:eastAsia="zh-CN"/>
        </w:rPr>
      </w:pPr>
    </w:p>
    <w:p w14:paraId="465707B1">
      <w:pPr>
        <w:pStyle w:val="11"/>
        <w:ind w:firstLine="200"/>
        <w:rPr>
          <w:rFonts w:eastAsiaTheme="minorEastAsia"/>
          <w:lang w:eastAsia="zh-CN"/>
        </w:rPr>
      </w:pPr>
    </w:p>
    <w:p w14:paraId="1D9E974E">
      <w:pPr>
        <w:pStyle w:val="11"/>
        <w:ind w:firstLine="200"/>
        <w:rPr>
          <w:rFonts w:eastAsiaTheme="minorEastAsia"/>
          <w:lang w:eastAsia="zh-CN"/>
        </w:rPr>
      </w:pPr>
    </w:p>
    <w:p w14:paraId="3233A96F">
      <w:pPr>
        <w:pStyle w:val="11"/>
        <w:ind w:firstLine="200"/>
        <w:rPr>
          <w:rFonts w:eastAsiaTheme="minorEastAsia"/>
          <w:lang w:eastAsia="zh-CN"/>
        </w:rPr>
      </w:pPr>
    </w:p>
    <w:p w14:paraId="6648094F">
      <w:pPr>
        <w:pStyle w:val="11"/>
        <w:ind w:firstLine="200"/>
        <w:rPr>
          <w:rFonts w:eastAsiaTheme="minorEastAsia"/>
          <w:lang w:eastAsia="zh-CN"/>
        </w:rPr>
      </w:pPr>
    </w:p>
    <w:p w14:paraId="1860CB9E">
      <w:pPr>
        <w:pStyle w:val="11"/>
        <w:ind w:firstLine="200"/>
        <w:rPr>
          <w:rFonts w:eastAsiaTheme="minorEastAsia"/>
          <w:lang w:eastAsia="zh-CN"/>
        </w:rPr>
      </w:pPr>
    </w:p>
    <w:p w14:paraId="51A05A83">
      <w:pPr>
        <w:pStyle w:val="11"/>
        <w:ind w:firstLine="200"/>
        <w:rPr>
          <w:rFonts w:eastAsiaTheme="minorEastAsia"/>
          <w:lang w:eastAsia="zh-CN"/>
        </w:rPr>
      </w:pPr>
    </w:p>
    <w:p w14:paraId="4E06E8E3">
      <w:pPr>
        <w:pStyle w:val="11"/>
        <w:ind w:firstLine="200"/>
        <w:rPr>
          <w:rFonts w:eastAsiaTheme="minorEastAsia"/>
          <w:lang w:eastAsia="zh-CN"/>
        </w:rPr>
      </w:pPr>
    </w:p>
    <w:p w14:paraId="3C332F6C">
      <w:pPr>
        <w:pStyle w:val="11"/>
        <w:ind w:firstLine="200"/>
        <w:rPr>
          <w:rFonts w:eastAsiaTheme="minorEastAsia"/>
          <w:lang w:eastAsia="zh-CN"/>
        </w:rPr>
      </w:pPr>
    </w:p>
    <w:p w14:paraId="0BD77EBF">
      <w:pPr>
        <w:pStyle w:val="11"/>
        <w:ind w:firstLine="200"/>
        <w:rPr>
          <w:rFonts w:eastAsiaTheme="minorEastAsia"/>
          <w:lang w:eastAsia="zh-CN"/>
        </w:rPr>
      </w:pPr>
    </w:p>
    <w:p w14:paraId="30F505FD">
      <w:pPr>
        <w:pStyle w:val="11"/>
        <w:ind w:firstLine="200"/>
        <w:rPr>
          <w:rFonts w:eastAsiaTheme="minorEastAsia"/>
          <w:lang w:eastAsia="zh-CN"/>
        </w:rPr>
      </w:pPr>
    </w:p>
    <w:p w14:paraId="7D30305C">
      <w:pPr>
        <w:pStyle w:val="11"/>
        <w:ind w:firstLine="200"/>
        <w:rPr>
          <w:rFonts w:eastAsiaTheme="minorEastAsia"/>
          <w:lang w:eastAsia="zh-CN"/>
        </w:rPr>
      </w:pPr>
    </w:p>
    <w:p w14:paraId="548EACE6">
      <w:pPr>
        <w:pStyle w:val="11"/>
        <w:ind w:firstLine="200"/>
        <w:rPr>
          <w:rFonts w:eastAsiaTheme="minorEastAsia"/>
          <w:lang w:eastAsia="zh-CN"/>
        </w:rPr>
      </w:pPr>
    </w:p>
    <w:p w14:paraId="64AC04C4">
      <w:pPr>
        <w:pStyle w:val="11"/>
        <w:ind w:firstLine="200"/>
        <w:rPr>
          <w:rFonts w:eastAsiaTheme="minorEastAsia"/>
          <w:lang w:eastAsia="zh-CN"/>
        </w:rPr>
      </w:pPr>
    </w:p>
    <w:p w14:paraId="566E838A">
      <w:pPr>
        <w:pStyle w:val="11"/>
        <w:ind w:firstLine="200"/>
        <w:rPr>
          <w:rFonts w:eastAsiaTheme="minorEastAsia"/>
          <w:lang w:eastAsia="zh-CN"/>
        </w:rPr>
      </w:pPr>
    </w:p>
    <w:p w14:paraId="7986908A">
      <w:pPr>
        <w:pStyle w:val="11"/>
        <w:ind w:firstLine="200"/>
        <w:rPr>
          <w:rFonts w:eastAsiaTheme="minorEastAsia"/>
          <w:lang w:eastAsia="zh-CN"/>
        </w:rPr>
      </w:pPr>
    </w:p>
    <w:p w14:paraId="4CCAE63B">
      <w:pPr>
        <w:keepNext/>
        <w:keepLines/>
        <w:kinsoku/>
        <w:autoSpaceDE/>
        <w:autoSpaceDN/>
        <w:adjustRightInd/>
        <w:snapToGrid/>
        <w:spacing w:before="260" w:after="260"/>
        <w:jc w:val="center"/>
        <w:textAlignment w:val="auto"/>
        <w:outlineLvl w:val="1"/>
        <w:rPr>
          <w:rFonts w:ascii="宋体" w:hAnsi="宋体" w:eastAsia="宋体" w:cs="宋体"/>
          <w:snapToGrid/>
          <w:color w:val="auto"/>
          <w:sz w:val="24"/>
          <w:szCs w:val="20"/>
          <w:lang w:eastAsia="zh-CN"/>
        </w:rPr>
      </w:pPr>
      <w:r>
        <w:rPr>
          <w:rFonts w:hint="eastAsia" w:ascii="宋体" w:hAnsi="宋体" w:eastAsia="宋体" w:cs="宋体"/>
          <w:b/>
          <w:snapToGrid/>
          <w:color w:val="auto"/>
          <w:kern w:val="2"/>
          <w:sz w:val="36"/>
          <w:szCs w:val="36"/>
          <w:lang w:val="zh-CN" w:eastAsia="zh-CN"/>
        </w:rPr>
        <w:t>中小企业声明函</w:t>
      </w:r>
    </w:p>
    <w:p w14:paraId="43D26AF3">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本公司(联合体)郑重声明，根据《政府采购促进中小企业发展管理办法》(财库(2020)46号)的规定，本公司(联合体</w:t>
      </w:r>
      <w:r>
        <w:rPr>
          <w:rFonts w:hint="eastAsia" w:ascii="宋体" w:hAnsi="宋体" w:eastAsia="宋体" w:cs="宋体"/>
          <w:snapToGrid/>
          <w:color w:val="auto"/>
          <w:kern w:val="2"/>
          <w:sz w:val="24"/>
          <w:szCs w:val="24"/>
          <w:u w:val="single"/>
          <w:lang w:eastAsia="zh-CN"/>
        </w:rPr>
        <w:t>)参加   (单位名称)</w:t>
      </w:r>
      <w:r>
        <w:rPr>
          <w:rFonts w:hint="eastAsia" w:ascii="宋体" w:hAnsi="宋体" w:eastAsia="宋体" w:cs="宋体"/>
          <w:snapToGrid/>
          <w:color w:val="auto"/>
          <w:kern w:val="2"/>
          <w:sz w:val="24"/>
          <w:szCs w:val="24"/>
          <w:lang w:eastAsia="zh-CN"/>
        </w:rPr>
        <w:t xml:space="preserve">的 </w:t>
      </w:r>
      <w:r>
        <w:rPr>
          <w:rFonts w:hint="eastAsia" w:ascii="宋体" w:hAnsi="宋体" w:eastAsia="宋体" w:cs="宋体"/>
          <w:snapToGrid/>
          <w:color w:val="auto"/>
          <w:kern w:val="2"/>
          <w:sz w:val="24"/>
          <w:szCs w:val="24"/>
          <w:u w:val="single"/>
          <w:lang w:eastAsia="zh-CN"/>
        </w:rPr>
        <w:t xml:space="preserve">  (项目名称)</w:t>
      </w:r>
      <w:r>
        <w:rPr>
          <w:rFonts w:hint="eastAsia" w:ascii="宋体" w:hAnsi="宋体" w:eastAsia="宋体" w:cs="宋体"/>
          <w:snapToGrid/>
          <w:color w:val="auto"/>
          <w:kern w:val="2"/>
          <w:sz w:val="24"/>
          <w:szCs w:val="24"/>
          <w:lang w:eastAsia="zh-CN"/>
        </w:rPr>
        <w:t>采购活动，工程的施工单位全部为由符合政策要求的中小企业（或者：服务全部由符合政策要求的中小企业承接）。相关企业（含联合体中的中小企业、签订分包意向协议的中小企业)的具体情况如下:</w:t>
      </w:r>
    </w:p>
    <w:p w14:paraId="0BC17944">
      <w:pPr>
        <w:widowControl w:val="0"/>
        <w:kinsoku/>
        <w:autoSpaceDE/>
        <w:autoSpaceDN/>
        <w:adjustRightInd/>
        <w:snapToGrid/>
        <w:spacing w:line="500" w:lineRule="exact"/>
        <w:ind w:firstLine="240" w:firstLineChars="1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1、(标的名称)，属于</w:t>
      </w:r>
      <w:r>
        <w:rPr>
          <w:rFonts w:hint="eastAsia" w:ascii="宋体" w:hAnsi="宋体" w:eastAsia="宋体" w:cs="宋体"/>
          <w:snapToGrid/>
          <w:color w:val="auto"/>
          <w:kern w:val="2"/>
          <w:sz w:val="24"/>
          <w:szCs w:val="24"/>
          <w:u w:val="single"/>
          <w:lang w:eastAsia="zh-CN"/>
        </w:rPr>
        <w:t xml:space="preserve">  (采购文件中明确的所属行业）</w:t>
      </w:r>
      <w:r>
        <w:rPr>
          <w:rFonts w:hint="eastAsia" w:ascii="宋体" w:hAnsi="宋体" w:eastAsia="宋体" w:cs="宋体"/>
          <w:snapToGrid/>
          <w:color w:val="auto"/>
          <w:kern w:val="2"/>
          <w:sz w:val="24"/>
          <w:szCs w:val="24"/>
          <w:lang w:eastAsia="zh-CN"/>
        </w:rPr>
        <w:t>；承建（承接）企业为</w:t>
      </w:r>
      <w:r>
        <w:rPr>
          <w:rFonts w:hint="eastAsia" w:ascii="宋体" w:hAnsi="宋体" w:eastAsia="宋体" w:cs="宋体"/>
          <w:snapToGrid/>
          <w:color w:val="auto"/>
          <w:kern w:val="2"/>
          <w:sz w:val="24"/>
          <w:szCs w:val="24"/>
          <w:u w:val="single"/>
          <w:lang w:eastAsia="zh-CN"/>
        </w:rPr>
        <w:t xml:space="preserve">   (企业名称)</w:t>
      </w:r>
      <w:r>
        <w:rPr>
          <w:rFonts w:hint="eastAsia" w:ascii="宋体" w:hAnsi="宋体" w:eastAsia="宋体" w:cs="宋体"/>
          <w:snapToGrid/>
          <w:color w:val="auto"/>
          <w:kern w:val="2"/>
          <w:sz w:val="24"/>
          <w:szCs w:val="24"/>
          <w:lang w:eastAsia="zh-CN"/>
        </w:rPr>
        <w:t>，从业人员人，营业收入为</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lang w:eastAsia="zh-CN"/>
        </w:rPr>
        <w:t>，资产总额为</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vertAlign w:val="superscript"/>
          <w:lang w:eastAsia="zh-CN"/>
        </w:rPr>
        <w:t>1</w:t>
      </w:r>
      <w:r>
        <w:rPr>
          <w:rFonts w:hint="eastAsia" w:ascii="宋体" w:hAnsi="宋体" w:eastAsia="宋体" w:cs="宋体"/>
          <w:snapToGrid/>
          <w:color w:val="auto"/>
          <w:kern w:val="2"/>
          <w:sz w:val="24"/>
          <w:szCs w:val="24"/>
          <w:lang w:eastAsia="zh-CN"/>
        </w:rPr>
        <w:t>，属于</w:t>
      </w:r>
      <w:r>
        <w:rPr>
          <w:rFonts w:hint="eastAsia" w:ascii="宋体" w:hAnsi="宋体" w:eastAsia="宋体" w:cs="宋体"/>
          <w:snapToGrid/>
          <w:color w:val="auto"/>
          <w:kern w:val="2"/>
          <w:sz w:val="24"/>
          <w:szCs w:val="24"/>
          <w:u w:val="single"/>
          <w:lang w:eastAsia="zh-CN"/>
        </w:rPr>
        <w:t xml:space="preserve">   (中型企业、小型企业、微型企业)；</w:t>
      </w:r>
    </w:p>
    <w:p w14:paraId="2A9DDA95">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p>
    <w:p w14:paraId="13DC3907">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2.(标的名称)，属于</w:t>
      </w:r>
      <w:r>
        <w:rPr>
          <w:rFonts w:hint="eastAsia" w:ascii="宋体" w:hAnsi="宋体" w:eastAsia="宋体" w:cs="宋体"/>
          <w:snapToGrid/>
          <w:color w:val="auto"/>
          <w:kern w:val="2"/>
          <w:sz w:val="24"/>
          <w:szCs w:val="24"/>
          <w:u w:val="single"/>
          <w:lang w:eastAsia="zh-CN"/>
        </w:rPr>
        <w:t xml:space="preserve">  (采购文件中明确的所属行业）</w:t>
      </w:r>
      <w:r>
        <w:rPr>
          <w:rFonts w:hint="eastAsia" w:ascii="宋体" w:hAnsi="宋体" w:eastAsia="宋体" w:cs="宋体"/>
          <w:snapToGrid/>
          <w:color w:val="auto"/>
          <w:kern w:val="2"/>
          <w:sz w:val="24"/>
          <w:szCs w:val="24"/>
          <w:lang w:eastAsia="zh-CN"/>
        </w:rPr>
        <w:t>；承建（承接）企业为</w:t>
      </w:r>
      <w:r>
        <w:rPr>
          <w:rFonts w:hint="eastAsia" w:ascii="宋体" w:hAnsi="宋体" w:eastAsia="宋体" w:cs="宋体"/>
          <w:snapToGrid/>
          <w:color w:val="auto"/>
          <w:kern w:val="2"/>
          <w:sz w:val="24"/>
          <w:szCs w:val="24"/>
          <w:u w:val="single"/>
          <w:lang w:eastAsia="zh-CN"/>
        </w:rPr>
        <w:t xml:space="preserve">   (企业名称)</w:t>
      </w:r>
      <w:r>
        <w:rPr>
          <w:rFonts w:hint="eastAsia" w:ascii="宋体" w:hAnsi="宋体" w:eastAsia="宋体" w:cs="宋体"/>
          <w:snapToGrid/>
          <w:color w:val="auto"/>
          <w:kern w:val="2"/>
          <w:sz w:val="24"/>
          <w:szCs w:val="24"/>
          <w:lang w:eastAsia="zh-CN"/>
        </w:rPr>
        <w:t>，从业人员人，营业收入为</w:t>
      </w:r>
      <w:r>
        <w:rPr>
          <w:rFonts w:hint="eastAsia" w:ascii="宋体" w:hAnsi="宋体" w:eastAsia="宋体" w:cs="宋体"/>
          <w:snapToGrid/>
          <w:color w:val="auto"/>
          <w:kern w:val="2"/>
          <w:sz w:val="24"/>
          <w:szCs w:val="24"/>
          <w:u w:val="single"/>
          <w:lang w:eastAsia="zh-CN"/>
        </w:rPr>
        <w:t xml:space="preserve"> </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lang w:eastAsia="zh-CN"/>
        </w:rPr>
        <w:t>，资产总额为</w:t>
      </w:r>
      <w:r>
        <w:rPr>
          <w:rFonts w:hint="eastAsia" w:ascii="宋体" w:hAnsi="宋体" w:eastAsia="宋体" w:cs="宋体"/>
          <w:snapToGrid/>
          <w:color w:val="auto"/>
          <w:kern w:val="2"/>
          <w:sz w:val="24"/>
          <w:szCs w:val="24"/>
          <w:u w:val="single"/>
          <w:lang w:val="en-US" w:eastAsia="zh-CN"/>
        </w:rPr>
        <w:t xml:space="preserve">  </w:t>
      </w:r>
      <w:r>
        <w:rPr>
          <w:rFonts w:hint="eastAsia" w:ascii="宋体" w:hAnsi="宋体" w:eastAsia="宋体" w:cs="宋体"/>
          <w:snapToGrid/>
          <w:color w:val="auto"/>
          <w:kern w:val="2"/>
          <w:sz w:val="24"/>
          <w:szCs w:val="24"/>
          <w:u w:val="single"/>
          <w:lang w:eastAsia="zh-CN"/>
        </w:rPr>
        <w:t>万元</w:t>
      </w:r>
      <w:r>
        <w:rPr>
          <w:rFonts w:hint="eastAsia" w:ascii="宋体" w:hAnsi="宋体" w:eastAsia="宋体" w:cs="宋体"/>
          <w:snapToGrid/>
          <w:color w:val="auto"/>
          <w:kern w:val="2"/>
          <w:sz w:val="24"/>
          <w:szCs w:val="24"/>
          <w:lang w:eastAsia="zh-CN"/>
        </w:rPr>
        <w:t>，属于</w:t>
      </w:r>
      <w:r>
        <w:rPr>
          <w:rFonts w:hint="eastAsia" w:ascii="宋体" w:hAnsi="宋体" w:eastAsia="宋体" w:cs="宋体"/>
          <w:snapToGrid/>
          <w:color w:val="auto"/>
          <w:kern w:val="2"/>
          <w:sz w:val="24"/>
          <w:szCs w:val="24"/>
          <w:u w:val="single"/>
          <w:lang w:eastAsia="zh-CN"/>
        </w:rPr>
        <w:t xml:space="preserve">    (中型企业、小型企业、微型企业)；</w:t>
      </w:r>
    </w:p>
    <w:p w14:paraId="7F93034A">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w:t>
      </w:r>
    </w:p>
    <w:p w14:paraId="53291C30">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以上企业，不属于大企业的分支机构，不存在控股股东为大企业的情形，也不存在与大企业的负责人为同一人的情形。</w:t>
      </w:r>
    </w:p>
    <w:p w14:paraId="6A50143B">
      <w:pPr>
        <w:widowControl w:val="0"/>
        <w:kinsoku/>
        <w:autoSpaceDE/>
        <w:autoSpaceDN/>
        <w:adjustRightInd/>
        <w:snapToGrid/>
        <w:spacing w:line="500" w:lineRule="exact"/>
        <w:ind w:firstLine="482" w:firstLineChars="200"/>
        <w:jc w:val="both"/>
        <w:textAlignment w:val="auto"/>
        <w:rPr>
          <w:rFonts w:ascii="宋体" w:hAnsi="宋体" w:eastAsia="宋体" w:cs="宋体"/>
          <w:b/>
          <w:bCs/>
          <w:snapToGrid/>
          <w:color w:val="auto"/>
          <w:kern w:val="2"/>
          <w:sz w:val="24"/>
          <w:szCs w:val="24"/>
          <w:lang w:eastAsia="zh-CN"/>
        </w:rPr>
      </w:pPr>
      <w:r>
        <w:rPr>
          <w:rFonts w:hint="eastAsia" w:ascii="宋体" w:hAnsi="宋体" w:eastAsia="宋体" w:cs="宋体"/>
          <w:b/>
          <w:bCs/>
          <w:snapToGrid/>
          <w:color w:val="auto"/>
          <w:kern w:val="2"/>
          <w:sz w:val="24"/>
          <w:szCs w:val="24"/>
          <w:lang w:eastAsia="zh-CN"/>
        </w:rPr>
        <w:t>本企业对上述声明内容的真实性负责。如有虚假，将依法承担相应责任。</w:t>
      </w:r>
    </w:p>
    <w:p w14:paraId="3C4F39FC">
      <w:pPr>
        <w:widowControl w:val="0"/>
        <w:kinsoku/>
        <w:autoSpaceDE/>
        <w:autoSpaceDN/>
        <w:adjustRightInd/>
        <w:snapToGrid/>
        <w:spacing w:line="500" w:lineRule="exact"/>
        <w:jc w:val="both"/>
        <w:textAlignment w:val="auto"/>
        <w:rPr>
          <w:rFonts w:ascii="宋体" w:hAnsi="宋体" w:eastAsia="宋体" w:cs="宋体"/>
          <w:snapToGrid/>
          <w:color w:val="auto"/>
          <w:kern w:val="2"/>
          <w:sz w:val="24"/>
          <w:szCs w:val="24"/>
          <w:lang w:eastAsia="zh-CN"/>
        </w:rPr>
      </w:pPr>
    </w:p>
    <w:p w14:paraId="39E09345">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企业名称（盖单）：</w:t>
      </w:r>
    </w:p>
    <w:p w14:paraId="13D8B4F2">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u w:val="single"/>
          <w:lang w:eastAsia="zh-CN"/>
        </w:rPr>
      </w:pPr>
      <w:r>
        <w:rPr>
          <w:rFonts w:hint="eastAsia" w:ascii="宋体" w:hAnsi="宋体" w:eastAsia="宋体" w:cs="宋体"/>
          <w:snapToGrid/>
          <w:color w:val="auto"/>
          <w:kern w:val="2"/>
          <w:sz w:val="24"/>
          <w:szCs w:val="24"/>
          <w:lang w:eastAsia="zh-CN"/>
        </w:rPr>
        <w:t>日期：</w:t>
      </w:r>
    </w:p>
    <w:p w14:paraId="1C758583">
      <w:pPr>
        <w:widowControl w:val="0"/>
        <w:kinsoku/>
        <w:autoSpaceDE/>
        <w:autoSpaceDN/>
        <w:adjustRightInd/>
        <w:snapToGrid/>
        <w:spacing w:line="500" w:lineRule="exact"/>
        <w:ind w:firstLine="480" w:firstLineChars="200"/>
        <w:jc w:val="both"/>
        <w:textAlignment w:val="auto"/>
        <w:rPr>
          <w:rFonts w:ascii="宋体" w:hAnsi="宋体" w:eastAsia="宋体" w:cs="宋体"/>
          <w:snapToGrid/>
          <w:color w:val="auto"/>
          <w:kern w:val="2"/>
          <w:sz w:val="24"/>
          <w:szCs w:val="24"/>
          <w:lang w:eastAsia="zh-CN"/>
        </w:rPr>
      </w:pPr>
    </w:p>
    <w:p w14:paraId="1EB4A83A">
      <w:pPr>
        <w:keepNext/>
        <w:keepLines/>
        <w:kinsoku/>
        <w:autoSpaceDE/>
        <w:autoSpaceDN/>
        <w:adjustRightInd/>
        <w:snapToGrid/>
        <w:spacing w:before="260" w:after="260"/>
        <w:jc w:val="both"/>
        <w:textAlignment w:val="auto"/>
        <w:rPr>
          <w:rFonts w:ascii="宋体" w:hAnsi="宋体" w:eastAsia="宋体" w:cs="宋体"/>
          <w:snapToGrid/>
          <w:color w:val="auto"/>
          <w:sz w:val="24"/>
          <w:szCs w:val="24"/>
          <w:lang w:eastAsia="zh-CN"/>
        </w:rPr>
      </w:pPr>
    </w:p>
    <w:p w14:paraId="6D297123">
      <w:pPr>
        <w:pStyle w:val="11"/>
        <w:ind w:firstLine="240"/>
        <w:rPr>
          <w:rFonts w:eastAsiaTheme="minorEastAsia"/>
          <w:lang w:eastAsia="zh-CN"/>
        </w:rPr>
        <w:sectPr>
          <w:footerReference r:id="rId30" w:type="default"/>
          <w:pgSz w:w="11905" w:h="16838"/>
          <w:pgMar w:top="1134" w:right="1134" w:bottom="1134" w:left="1134" w:header="0" w:footer="1085" w:gutter="0"/>
          <w:cols w:space="0" w:num="1"/>
        </w:sectPr>
      </w:pPr>
      <w:r>
        <w:rPr>
          <w:rFonts w:hint="eastAsia" w:ascii="宋体" w:hAnsi="宋体" w:eastAsia="宋体" w:cs="宋体"/>
          <w:snapToGrid/>
          <w:color w:val="auto"/>
          <w:kern w:val="2"/>
          <w:sz w:val="24"/>
          <w:szCs w:val="24"/>
          <w:lang w:eastAsia="zh-CN"/>
        </w:rPr>
        <w:t>从业人员，营业收入、资产总额填报上一年度数据，无上一年度数据的新成立企业可不填报。</w:t>
      </w:r>
    </w:p>
    <w:p w14:paraId="1C3BF122">
      <w:pPr>
        <w:spacing w:line="360" w:lineRule="auto"/>
        <w:ind w:left="2339"/>
        <w:rPr>
          <w:rFonts w:ascii="Times New Roman" w:hAnsi="Times New Roman" w:eastAsia="宋体" w:cs="宋体"/>
          <w:sz w:val="29"/>
          <w:szCs w:val="29"/>
          <w:lang w:eastAsia="zh-CN"/>
        </w:rPr>
      </w:pPr>
      <w:r>
        <w:rPr>
          <w:rFonts w:hint="eastAsia" w:ascii="Times New Roman" w:hAnsi="Times New Roman" w:eastAsia="宋体" w:cs="宋体"/>
          <w:b/>
          <w:bCs/>
          <w:sz w:val="29"/>
          <w:szCs w:val="29"/>
          <w:lang w:eastAsia="zh-CN"/>
        </w:rPr>
        <w:t>（</w:t>
      </w:r>
      <w:r>
        <w:rPr>
          <w:rFonts w:ascii="Times New Roman" w:hAnsi="Times New Roman" w:eastAsia="宋体" w:cs="宋体"/>
          <w:b/>
          <w:bCs/>
          <w:sz w:val="29"/>
          <w:szCs w:val="29"/>
          <w:lang w:eastAsia="zh-CN"/>
        </w:rPr>
        <w:t>三</w:t>
      </w:r>
      <w:r>
        <w:rPr>
          <w:rFonts w:hint="eastAsia" w:ascii="Times New Roman" w:hAnsi="Times New Roman" w:eastAsia="宋体" w:cs="宋体"/>
          <w:b/>
          <w:bCs/>
          <w:sz w:val="29"/>
          <w:szCs w:val="29"/>
          <w:lang w:eastAsia="zh-CN"/>
        </w:rPr>
        <w:t>）</w:t>
      </w:r>
      <w:r>
        <w:rPr>
          <w:rFonts w:ascii="Times New Roman" w:hAnsi="Times New Roman" w:eastAsia="宋体" w:cs="宋体"/>
          <w:b/>
          <w:bCs/>
          <w:sz w:val="29"/>
          <w:szCs w:val="29"/>
          <w:lang w:eastAsia="zh-CN"/>
        </w:rPr>
        <w:t>近年完成的类似项目一览表</w:t>
      </w:r>
    </w:p>
    <w:p w14:paraId="681D59F6">
      <w:pPr>
        <w:spacing w:line="360" w:lineRule="auto"/>
        <w:rPr>
          <w:rFonts w:ascii="Times New Roman" w:hAnsi="Times New Roman"/>
          <w:lang w:eastAsia="zh-CN"/>
        </w:rPr>
      </w:pPr>
    </w:p>
    <w:tbl>
      <w:tblPr>
        <w:tblStyle w:val="20"/>
        <w:tblW w:w="94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
        <w:gridCol w:w="1468"/>
        <w:gridCol w:w="1302"/>
        <w:gridCol w:w="1914"/>
        <w:gridCol w:w="1301"/>
        <w:gridCol w:w="1312"/>
        <w:gridCol w:w="1263"/>
      </w:tblGrid>
      <w:tr w14:paraId="63352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918" w:type="dxa"/>
          </w:tcPr>
          <w:p w14:paraId="3DF25697">
            <w:pPr>
              <w:spacing w:line="360" w:lineRule="auto"/>
              <w:jc w:val="center"/>
              <w:rPr>
                <w:rFonts w:ascii="Times New Roman" w:hAnsi="Times New Roman"/>
                <w:lang w:eastAsia="zh-CN"/>
              </w:rPr>
            </w:pPr>
          </w:p>
          <w:p w14:paraId="624A7A92">
            <w:pPr>
              <w:pStyle w:val="21"/>
              <w:jc w:val="center"/>
            </w:pPr>
            <w:r>
              <w:t>序号</w:t>
            </w:r>
          </w:p>
        </w:tc>
        <w:tc>
          <w:tcPr>
            <w:tcW w:w="1468" w:type="dxa"/>
          </w:tcPr>
          <w:p w14:paraId="42DC1270">
            <w:pPr>
              <w:spacing w:line="360" w:lineRule="auto"/>
              <w:jc w:val="center"/>
              <w:rPr>
                <w:rFonts w:ascii="Times New Roman" w:hAnsi="Times New Roman"/>
              </w:rPr>
            </w:pPr>
          </w:p>
          <w:p w14:paraId="73FE7870">
            <w:pPr>
              <w:pStyle w:val="21"/>
              <w:jc w:val="center"/>
            </w:pPr>
            <w:r>
              <w:t>项目名称</w:t>
            </w:r>
          </w:p>
        </w:tc>
        <w:tc>
          <w:tcPr>
            <w:tcW w:w="1302" w:type="dxa"/>
          </w:tcPr>
          <w:p w14:paraId="75BFD38F">
            <w:pPr>
              <w:spacing w:line="360" w:lineRule="auto"/>
              <w:jc w:val="center"/>
              <w:rPr>
                <w:rFonts w:ascii="Times New Roman" w:hAnsi="Times New Roman"/>
              </w:rPr>
            </w:pPr>
          </w:p>
          <w:p w14:paraId="1D7212D0">
            <w:pPr>
              <w:pStyle w:val="21"/>
              <w:jc w:val="center"/>
            </w:pPr>
            <w:r>
              <w:t>服务时间</w:t>
            </w:r>
          </w:p>
        </w:tc>
        <w:tc>
          <w:tcPr>
            <w:tcW w:w="1914" w:type="dxa"/>
          </w:tcPr>
          <w:p w14:paraId="1F47C24D">
            <w:pPr>
              <w:spacing w:line="360" w:lineRule="auto"/>
              <w:jc w:val="center"/>
              <w:rPr>
                <w:rFonts w:ascii="Times New Roman" w:hAnsi="Times New Roman"/>
              </w:rPr>
            </w:pPr>
          </w:p>
          <w:p w14:paraId="6D3F29ED">
            <w:pPr>
              <w:pStyle w:val="21"/>
              <w:jc w:val="center"/>
            </w:pPr>
            <w:r>
              <w:t>项目总投资额</w:t>
            </w:r>
          </w:p>
        </w:tc>
        <w:tc>
          <w:tcPr>
            <w:tcW w:w="1301" w:type="dxa"/>
          </w:tcPr>
          <w:p w14:paraId="2F8E9D92">
            <w:pPr>
              <w:spacing w:line="360" w:lineRule="auto"/>
              <w:jc w:val="center"/>
              <w:rPr>
                <w:rFonts w:ascii="Times New Roman" w:hAnsi="Times New Roman"/>
              </w:rPr>
            </w:pPr>
          </w:p>
          <w:p w14:paraId="439B1E46">
            <w:pPr>
              <w:pStyle w:val="21"/>
              <w:jc w:val="center"/>
            </w:pPr>
            <w:r>
              <w:t>委托单位</w:t>
            </w:r>
          </w:p>
        </w:tc>
        <w:tc>
          <w:tcPr>
            <w:tcW w:w="1312" w:type="dxa"/>
          </w:tcPr>
          <w:p w14:paraId="77C1EFCF">
            <w:pPr>
              <w:spacing w:line="360" w:lineRule="auto"/>
              <w:jc w:val="center"/>
              <w:rPr>
                <w:rFonts w:ascii="Times New Roman" w:hAnsi="Times New Roman"/>
              </w:rPr>
            </w:pPr>
          </w:p>
          <w:p w14:paraId="299B47A8">
            <w:pPr>
              <w:pStyle w:val="21"/>
              <w:jc w:val="center"/>
            </w:pPr>
            <w:r>
              <w:t>委托事项</w:t>
            </w:r>
          </w:p>
        </w:tc>
        <w:tc>
          <w:tcPr>
            <w:tcW w:w="1263" w:type="dxa"/>
          </w:tcPr>
          <w:p w14:paraId="27F2205A">
            <w:pPr>
              <w:spacing w:line="360" w:lineRule="auto"/>
              <w:jc w:val="center"/>
              <w:rPr>
                <w:rFonts w:ascii="Times New Roman" w:hAnsi="Times New Roman"/>
              </w:rPr>
            </w:pPr>
          </w:p>
          <w:p w14:paraId="438E1BBE">
            <w:pPr>
              <w:pStyle w:val="21"/>
              <w:jc w:val="center"/>
            </w:pPr>
            <w:r>
              <w:t>备注</w:t>
            </w:r>
          </w:p>
        </w:tc>
      </w:tr>
      <w:tr w14:paraId="4221A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918" w:type="dxa"/>
          </w:tcPr>
          <w:p w14:paraId="1DF52839">
            <w:pPr>
              <w:spacing w:line="360" w:lineRule="auto"/>
              <w:jc w:val="center"/>
              <w:rPr>
                <w:rFonts w:ascii="Times New Roman" w:hAnsi="Times New Roman"/>
              </w:rPr>
            </w:pPr>
          </w:p>
          <w:p w14:paraId="1893DF04">
            <w:pPr>
              <w:pStyle w:val="21"/>
              <w:jc w:val="center"/>
            </w:pPr>
            <w:r>
              <w:t>1</w:t>
            </w:r>
          </w:p>
        </w:tc>
        <w:tc>
          <w:tcPr>
            <w:tcW w:w="1468" w:type="dxa"/>
          </w:tcPr>
          <w:p w14:paraId="4EDE489B">
            <w:pPr>
              <w:spacing w:line="360" w:lineRule="auto"/>
              <w:jc w:val="center"/>
              <w:rPr>
                <w:rFonts w:ascii="Times New Roman" w:hAnsi="Times New Roman"/>
              </w:rPr>
            </w:pPr>
          </w:p>
        </w:tc>
        <w:tc>
          <w:tcPr>
            <w:tcW w:w="1302" w:type="dxa"/>
          </w:tcPr>
          <w:p w14:paraId="752E7CAF">
            <w:pPr>
              <w:spacing w:line="360" w:lineRule="auto"/>
              <w:jc w:val="center"/>
              <w:rPr>
                <w:rFonts w:ascii="Times New Roman" w:hAnsi="Times New Roman"/>
              </w:rPr>
            </w:pPr>
          </w:p>
        </w:tc>
        <w:tc>
          <w:tcPr>
            <w:tcW w:w="1914" w:type="dxa"/>
          </w:tcPr>
          <w:p w14:paraId="35F716EE">
            <w:pPr>
              <w:spacing w:line="360" w:lineRule="auto"/>
              <w:jc w:val="center"/>
              <w:rPr>
                <w:rFonts w:ascii="Times New Roman" w:hAnsi="Times New Roman"/>
              </w:rPr>
            </w:pPr>
          </w:p>
        </w:tc>
        <w:tc>
          <w:tcPr>
            <w:tcW w:w="1301" w:type="dxa"/>
          </w:tcPr>
          <w:p w14:paraId="3CF58B1B">
            <w:pPr>
              <w:spacing w:line="360" w:lineRule="auto"/>
              <w:jc w:val="center"/>
              <w:rPr>
                <w:rFonts w:ascii="Times New Roman" w:hAnsi="Times New Roman"/>
              </w:rPr>
            </w:pPr>
          </w:p>
        </w:tc>
        <w:tc>
          <w:tcPr>
            <w:tcW w:w="1312" w:type="dxa"/>
          </w:tcPr>
          <w:p w14:paraId="0336D4D2">
            <w:pPr>
              <w:spacing w:line="360" w:lineRule="auto"/>
              <w:jc w:val="center"/>
              <w:rPr>
                <w:rFonts w:ascii="Times New Roman" w:hAnsi="Times New Roman"/>
              </w:rPr>
            </w:pPr>
          </w:p>
        </w:tc>
        <w:tc>
          <w:tcPr>
            <w:tcW w:w="1263" w:type="dxa"/>
          </w:tcPr>
          <w:p w14:paraId="1A19B058">
            <w:pPr>
              <w:spacing w:line="360" w:lineRule="auto"/>
              <w:jc w:val="center"/>
              <w:rPr>
                <w:rFonts w:ascii="Times New Roman" w:hAnsi="Times New Roman"/>
              </w:rPr>
            </w:pPr>
          </w:p>
        </w:tc>
      </w:tr>
      <w:tr w14:paraId="1C4C6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918" w:type="dxa"/>
          </w:tcPr>
          <w:p w14:paraId="4078F7D4">
            <w:pPr>
              <w:spacing w:line="360" w:lineRule="auto"/>
              <w:jc w:val="center"/>
              <w:rPr>
                <w:rFonts w:ascii="Times New Roman" w:hAnsi="Times New Roman"/>
              </w:rPr>
            </w:pPr>
          </w:p>
          <w:p w14:paraId="64720371">
            <w:pPr>
              <w:pStyle w:val="21"/>
              <w:jc w:val="center"/>
            </w:pPr>
            <w:r>
              <w:t>2</w:t>
            </w:r>
          </w:p>
        </w:tc>
        <w:tc>
          <w:tcPr>
            <w:tcW w:w="1468" w:type="dxa"/>
          </w:tcPr>
          <w:p w14:paraId="7AF8F0D1">
            <w:pPr>
              <w:spacing w:line="360" w:lineRule="auto"/>
              <w:jc w:val="center"/>
              <w:rPr>
                <w:rFonts w:ascii="Times New Roman" w:hAnsi="Times New Roman"/>
              </w:rPr>
            </w:pPr>
          </w:p>
        </w:tc>
        <w:tc>
          <w:tcPr>
            <w:tcW w:w="1302" w:type="dxa"/>
          </w:tcPr>
          <w:p w14:paraId="23FE5A9D">
            <w:pPr>
              <w:spacing w:line="360" w:lineRule="auto"/>
              <w:jc w:val="center"/>
              <w:rPr>
                <w:rFonts w:ascii="Times New Roman" w:hAnsi="Times New Roman"/>
              </w:rPr>
            </w:pPr>
          </w:p>
        </w:tc>
        <w:tc>
          <w:tcPr>
            <w:tcW w:w="1914" w:type="dxa"/>
          </w:tcPr>
          <w:p w14:paraId="3DFE7993">
            <w:pPr>
              <w:spacing w:line="360" w:lineRule="auto"/>
              <w:jc w:val="center"/>
              <w:rPr>
                <w:rFonts w:ascii="Times New Roman" w:hAnsi="Times New Roman"/>
              </w:rPr>
            </w:pPr>
          </w:p>
        </w:tc>
        <w:tc>
          <w:tcPr>
            <w:tcW w:w="1301" w:type="dxa"/>
          </w:tcPr>
          <w:p w14:paraId="2FA24513">
            <w:pPr>
              <w:spacing w:line="360" w:lineRule="auto"/>
              <w:jc w:val="center"/>
              <w:rPr>
                <w:rFonts w:ascii="Times New Roman" w:hAnsi="Times New Roman"/>
              </w:rPr>
            </w:pPr>
          </w:p>
        </w:tc>
        <w:tc>
          <w:tcPr>
            <w:tcW w:w="1312" w:type="dxa"/>
          </w:tcPr>
          <w:p w14:paraId="7D41AB68">
            <w:pPr>
              <w:spacing w:line="360" w:lineRule="auto"/>
              <w:jc w:val="center"/>
              <w:rPr>
                <w:rFonts w:ascii="Times New Roman" w:hAnsi="Times New Roman"/>
              </w:rPr>
            </w:pPr>
          </w:p>
        </w:tc>
        <w:tc>
          <w:tcPr>
            <w:tcW w:w="1263" w:type="dxa"/>
          </w:tcPr>
          <w:p w14:paraId="24909CD7">
            <w:pPr>
              <w:spacing w:line="360" w:lineRule="auto"/>
              <w:jc w:val="center"/>
              <w:rPr>
                <w:rFonts w:ascii="Times New Roman" w:hAnsi="Times New Roman"/>
              </w:rPr>
            </w:pPr>
          </w:p>
        </w:tc>
      </w:tr>
      <w:tr w14:paraId="7DDE2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918" w:type="dxa"/>
          </w:tcPr>
          <w:p w14:paraId="5CE5561F">
            <w:pPr>
              <w:spacing w:line="360" w:lineRule="auto"/>
              <w:jc w:val="center"/>
              <w:rPr>
                <w:rFonts w:ascii="Times New Roman" w:hAnsi="Times New Roman"/>
              </w:rPr>
            </w:pPr>
          </w:p>
          <w:p w14:paraId="295C5832">
            <w:pPr>
              <w:pStyle w:val="21"/>
              <w:jc w:val="center"/>
            </w:pPr>
            <w:r>
              <w:t>3</w:t>
            </w:r>
          </w:p>
        </w:tc>
        <w:tc>
          <w:tcPr>
            <w:tcW w:w="1468" w:type="dxa"/>
          </w:tcPr>
          <w:p w14:paraId="3E7B05B2">
            <w:pPr>
              <w:spacing w:line="360" w:lineRule="auto"/>
              <w:jc w:val="center"/>
              <w:rPr>
                <w:rFonts w:ascii="Times New Roman" w:hAnsi="Times New Roman"/>
              </w:rPr>
            </w:pPr>
          </w:p>
        </w:tc>
        <w:tc>
          <w:tcPr>
            <w:tcW w:w="1302" w:type="dxa"/>
          </w:tcPr>
          <w:p w14:paraId="1A5510EB">
            <w:pPr>
              <w:spacing w:line="360" w:lineRule="auto"/>
              <w:jc w:val="center"/>
              <w:rPr>
                <w:rFonts w:ascii="Times New Roman" w:hAnsi="Times New Roman"/>
              </w:rPr>
            </w:pPr>
          </w:p>
        </w:tc>
        <w:tc>
          <w:tcPr>
            <w:tcW w:w="1914" w:type="dxa"/>
          </w:tcPr>
          <w:p w14:paraId="36DAFF09">
            <w:pPr>
              <w:spacing w:line="360" w:lineRule="auto"/>
              <w:jc w:val="center"/>
              <w:rPr>
                <w:rFonts w:ascii="Times New Roman" w:hAnsi="Times New Roman"/>
              </w:rPr>
            </w:pPr>
          </w:p>
        </w:tc>
        <w:tc>
          <w:tcPr>
            <w:tcW w:w="1301" w:type="dxa"/>
          </w:tcPr>
          <w:p w14:paraId="7A264F3E">
            <w:pPr>
              <w:spacing w:line="360" w:lineRule="auto"/>
              <w:jc w:val="center"/>
              <w:rPr>
                <w:rFonts w:ascii="Times New Roman" w:hAnsi="Times New Roman"/>
              </w:rPr>
            </w:pPr>
          </w:p>
        </w:tc>
        <w:tc>
          <w:tcPr>
            <w:tcW w:w="1312" w:type="dxa"/>
          </w:tcPr>
          <w:p w14:paraId="7B2C9C7B">
            <w:pPr>
              <w:spacing w:line="360" w:lineRule="auto"/>
              <w:jc w:val="center"/>
              <w:rPr>
                <w:rFonts w:ascii="Times New Roman" w:hAnsi="Times New Roman"/>
              </w:rPr>
            </w:pPr>
          </w:p>
        </w:tc>
        <w:tc>
          <w:tcPr>
            <w:tcW w:w="1263" w:type="dxa"/>
          </w:tcPr>
          <w:p w14:paraId="1A20E80D">
            <w:pPr>
              <w:spacing w:line="360" w:lineRule="auto"/>
              <w:jc w:val="center"/>
              <w:rPr>
                <w:rFonts w:ascii="Times New Roman" w:hAnsi="Times New Roman"/>
              </w:rPr>
            </w:pPr>
          </w:p>
        </w:tc>
      </w:tr>
      <w:tr w14:paraId="509A3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918" w:type="dxa"/>
          </w:tcPr>
          <w:p w14:paraId="401EE049">
            <w:pPr>
              <w:spacing w:line="360" w:lineRule="auto"/>
              <w:jc w:val="center"/>
              <w:rPr>
                <w:rFonts w:ascii="Times New Roman" w:hAnsi="Times New Roman"/>
              </w:rPr>
            </w:pPr>
          </w:p>
          <w:p w14:paraId="4483E79E">
            <w:pPr>
              <w:pStyle w:val="21"/>
              <w:jc w:val="center"/>
            </w:pPr>
            <w:r>
              <w:t>4</w:t>
            </w:r>
          </w:p>
        </w:tc>
        <w:tc>
          <w:tcPr>
            <w:tcW w:w="1468" w:type="dxa"/>
          </w:tcPr>
          <w:p w14:paraId="091156DC">
            <w:pPr>
              <w:spacing w:line="360" w:lineRule="auto"/>
              <w:jc w:val="center"/>
              <w:rPr>
                <w:rFonts w:ascii="Times New Roman" w:hAnsi="Times New Roman"/>
              </w:rPr>
            </w:pPr>
          </w:p>
        </w:tc>
        <w:tc>
          <w:tcPr>
            <w:tcW w:w="1302" w:type="dxa"/>
          </w:tcPr>
          <w:p w14:paraId="1017B67B">
            <w:pPr>
              <w:spacing w:line="360" w:lineRule="auto"/>
              <w:jc w:val="center"/>
              <w:rPr>
                <w:rFonts w:ascii="Times New Roman" w:hAnsi="Times New Roman"/>
              </w:rPr>
            </w:pPr>
          </w:p>
        </w:tc>
        <w:tc>
          <w:tcPr>
            <w:tcW w:w="1914" w:type="dxa"/>
          </w:tcPr>
          <w:p w14:paraId="07CEABED">
            <w:pPr>
              <w:spacing w:line="360" w:lineRule="auto"/>
              <w:jc w:val="center"/>
              <w:rPr>
                <w:rFonts w:ascii="Times New Roman" w:hAnsi="Times New Roman"/>
              </w:rPr>
            </w:pPr>
          </w:p>
        </w:tc>
        <w:tc>
          <w:tcPr>
            <w:tcW w:w="1301" w:type="dxa"/>
          </w:tcPr>
          <w:p w14:paraId="370B222A">
            <w:pPr>
              <w:spacing w:line="360" w:lineRule="auto"/>
              <w:jc w:val="center"/>
              <w:rPr>
                <w:rFonts w:ascii="Times New Roman" w:hAnsi="Times New Roman"/>
              </w:rPr>
            </w:pPr>
          </w:p>
        </w:tc>
        <w:tc>
          <w:tcPr>
            <w:tcW w:w="1312" w:type="dxa"/>
          </w:tcPr>
          <w:p w14:paraId="027ED292">
            <w:pPr>
              <w:spacing w:line="360" w:lineRule="auto"/>
              <w:jc w:val="center"/>
              <w:rPr>
                <w:rFonts w:ascii="Times New Roman" w:hAnsi="Times New Roman"/>
              </w:rPr>
            </w:pPr>
          </w:p>
        </w:tc>
        <w:tc>
          <w:tcPr>
            <w:tcW w:w="1263" w:type="dxa"/>
          </w:tcPr>
          <w:p w14:paraId="3A66058A">
            <w:pPr>
              <w:spacing w:line="360" w:lineRule="auto"/>
              <w:jc w:val="center"/>
              <w:rPr>
                <w:rFonts w:ascii="Times New Roman" w:hAnsi="Times New Roman"/>
              </w:rPr>
            </w:pPr>
          </w:p>
        </w:tc>
      </w:tr>
      <w:tr w14:paraId="2B0DB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918" w:type="dxa"/>
          </w:tcPr>
          <w:p w14:paraId="20FDB474">
            <w:pPr>
              <w:spacing w:line="360" w:lineRule="auto"/>
              <w:jc w:val="center"/>
              <w:rPr>
                <w:rFonts w:ascii="Times New Roman" w:hAnsi="Times New Roman"/>
              </w:rPr>
            </w:pPr>
          </w:p>
          <w:p w14:paraId="61E16F11">
            <w:pPr>
              <w:pStyle w:val="21"/>
              <w:jc w:val="center"/>
            </w:pPr>
            <w:r>
              <w:t>5</w:t>
            </w:r>
          </w:p>
        </w:tc>
        <w:tc>
          <w:tcPr>
            <w:tcW w:w="1468" w:type="dxa"/>
          </w:tcPr>
          <w:p w14:paraId="7F5E5935">
            <w:pPr>
              <w:spacing w:line="360" w:lineRule="auto"/>
              <w:jc w:val="center"/>
              <w:rPr>
                <w:rFonts w:ascii="Times New Roman" w:hAnsi="Times New Roman"/>
              </w:rPr>
            </w:pPr>
          </w:p>
        </w:tc>
        <w:tc>
          <w:tcPr>
            <w:tcW w:w="1302" w:type="dxa"/>
          </w:tcPr>
          <w:p w14:paraId="79BED9CB">
            <w:pPr>
              <w:spacing w:line="360" w:lineRule="auto"/>
              <w:jc w:val="center"/>
              <w:rPr>
                <w:rFonts w:ascii="Times New Roman" w:hAnsi="Times New Roman"/>
              </w:rPr>
            </w:pPr>
          </w:p>
        </w:tc>
        <w:tc>
          <w:tcPr>
            <w:tcW w:w="1914" w:type="dxa"/>
          </w:tcPr>
          <w:p w14:paraId="313065B7">
            <w:pPr>
              <w:spacing w:line="360" w:lineRule="auto"/>
              <w:jc w:val="center"/>
              <w:rPr>
                <w:rFonts w:ascii="Times New Roman" w:hAnsi="Times New Roman"/>
              </w:rPr>
            </w:pPr>
          </w:p>
        </w:tc>
        <w:tc>
          <w:tcPr>
            <w:tcW w:w="1301" w:type="dxa"/>
          </w:tcPr>
          <w:p w14:paraId="5D628529">
            <w:pPr>
              <w:spacing w:line="360" w:lineRule="auto"/>
              <w:jc w:val="center"/>
              <w:rPr>
                <w:rFonts w:ascii="Times New Roman" w:hAnsi="Times New Roman"/>
              </w:rPr>
            </w:pPr>
          </w:p>
        </w:tc>
        <w:tc>
          <w:tcPr>
            <w:tcW w:w="1312" w:type="dxa"/>
          </w:tcPr>
          <w:p w14:paraId="32616500">
            <w:pPr>
              <w:spacing w:line="360" w:lineRule="auto"/>
              <w:jc w:val="center"/>
              <w:rPr>
                <w:rFonts w:ascii="Times New Roman" w:hAnsi="Times New Roman"/>
              </w:rPr>
            </w:pPr>
          </w:p>
        </w:tc>
        <w:tc>
          <w:tcPr>
            <w:tcW w:w="1263" w:type="dxa"/>
          </w:tcPr>
          <w:p w14:paraId="6EF6BCF7">
            <w:pPr>
              <w:spacing w:line="360" w:lineRule="auto"/>
              <w:jc w:val="center"/>
              <w:rPr>
                <w:rFonts w:ascii="Times New Roman" w:hAnsi="Times New Roman"/>
              </w:rPr>
            </w:pPr>
          </w:p>
        </w:tc>
      </w:tr>
      <w:tr w14:paraId="4B43A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918" w:type="dxa"/>
          </w:tcPr>
          <w:p w14:paraId="759E911D">
            <w:pPr>
              <w:spacing w:line="360" w:lineRule="auto"/>
              <w:jc w:val="center"/>
              <w:rPr>
                <w:rFonts w:ascii="Times New Roman" w:hAnsi="Times New Roman"/>
              </w:rPr>
            </w:pPr>
          </w:p>
          <w:p w14:paraId="6D517478">
            <w:pPr>
              <w:pStyle w:val="21"/>
              <w:jc w:val="center"/>
            </w:pPr>
            <w:r>
              <w:t>6</w:t>
            </w:r>
          </w:p>
        </w:tc>
        <w:tc>
          <w:tcPr>
            <w:tcW w:w="1468" w:type="dxa"/>
          </w:tcPr>
          <w:p w14:paraId="55B896C1">
            <w:pPr>
              <w:spacing w:line="360" w:lineRule="auto"/>
              <w:jc w:val="center"/>
              <w:rPr>
                <w:rFonts w:ascii="Times New Roman" w:hAnsi="Times New Roman"/>
              </w:rPr>
            </w:pPr>
          </w:p>
        </w:tc>
        <w:tc>
          <w:tcPr>
            <w:tcW w:w="1302" w:type="dxa"/>
          </w:tcPr>
          <w:p w14:paraId="369011B7">
            <w:pPr>
              <w:spacing w:line="360" w:lineRule="auto"/>
              <w:jc w:val="center"/>
              <w:rPr>
                <w:rFonts w:ascii="Times New Roman" w:hAnsi="Times New Roman"/>
              </w:rPr>
            </w:pPr>
          </w:p>
        </w:tc>
        <w:tc>
          <w:tcPr>
            <w:tcW w:w="1914" w:type="dxa"/>
          </w:tcPr>
          <w:p w14:paraId="34D3C8B2">
            <w:pPr>
              <w:spacing w:line="360" w:lineRule="auto"/>
              <w:jc w:val="center"/>
              <w:rPr>
                <w:rFonts w:ascii="Times New Roman" w:hAnsi="Times New Roman"/>
              </w:rPr>
            </w:pPr>
          </w:p>
        </w:tc>
        <w:tc>
          <w:tcPr>
            <w:tcW w:w="1301" w:type="dxa"/>
          </w:tcPr>
          <w:p w14:paraId="191900A8">
            <w:pPr>
              <w:spacing w:line="360" w:lineRule="auto"/>
              <w:jc w:val="center"/>
              <w:rPr>
                <w:rFonts w:ascii="Times New Roman" w:hAnsi="Times New Roman"/>
              </w:rPr>
            </w:pPr>
          </w:p>
        </w:tc>
        <w:tc>
          <w:tcPr>
            <w:tcW w:w="1312" w:type="dxa"/>
          </w:tcPr>
          <w:p w14:paraId="6273EEDE">
            <w:pPr>
              <w:spacing w:line="360" w:lineRule="auto"/>
              <w:jc w:val="center"/>
              <w:rPr>
                <w:rFonts w:ascii="Times New Roman" w:hAnsi="Times New Roman"/>
              </w:rPr>
            </w:pPr>
          </w:p>
        </w:tc>
        <w:tc>
          <w:tcPr>
            <w:tcW w:w="1263" w:type="dxa"/>
          </w:tcPr>
          <w:p w14:paraId="78240AED">
            <w:pPr>
              <w:spacing w:line="360" w:lineRule="auto"/>
              <w:jc w:val="center"/>
              <w:rPr>
                <w:rFonts w:ascii="Times New Roman" w:hAnsi="Times New Roman"/>
              </w:rPr>
            </w:pPr>
          </w:p>
        </w:tc>
      </w:tr>
      <w:tr w14:paraId="42766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918" w:type="dxa"/>
          </w:tcPr>
          <w:p w14:paraId="1FBBFCE1">
            <w:pPr>
              <w:spacing w:line="360" w:lineRule="auto"/>
              <w:jc w:val="center"/>
              <w:rPr>
                <w:rFonts w:ascii="Times New Roman" w:hAnsi="Times New Roman"/>
              </w:rPr>
            </w:pPr>
          </w:p>
          <w:p w14:paraId="53DA6EC9">
            <w:pPr>
              <w:pStyle w:val="21"/>
              <w:jc w:val="center"/>
            </w:pPr>
            <w:r>
              <w:t>7</w:t>
            </w:r>
          </w:p>
        </w:tc>
        <w:tc>
          <w:tcPr>
            <w:tcW w:w="1468" w:type="dxa"/>
          </w:tcPr>
          <w:p w14:paraId="11A3B1C3">
            <w:pPr>
              <w:spacing w:line="360" w:lineRule="auto"/>
              <w:jc w:val="center"/>
              <w:rPr>
                <w:rFonts w:ascii="Times New Roman" w:hAnsi="Times New Roman"/>
              </w:rPr>
            </w:pPr>
          </w:p>
        </w:tc>
        <w:tc>
          <w:tcPr>
            <w:tcW w:w="1302" w:type="dxa"/>
          </w:tcPr>
          <w:p w14:paraId="54266C32">
            <w:pPr>
              <w:spacing w:line="360" w:lineRule="auto"/>
              <w:jc w:val="center"/>
              <w:rPr>
                <w:rFonts w:ascii="Times New Roman" w:hAnsi="Times New Roman"/>
              </w:rPr>
            </w:pPr>
          </w:p>
        </w:tc>
        <w:tc>
          <w:tcPr>
            <w:tcW w:w="1914" w:type="dxa"/>
          </w:tcPr>
          <w:p w14:paraId="20D66A13">
            <w:pPr>
              <w:spacing w:line="360" w:lineRule="auto"/>
              <w:jc w:val="center"/>
              <w:rPr>
                <w:rFonts w:ascii="Times New Roman" w:hAnsi="Times New Roman"/>
              </w:rPr>
            </w:pPr>
          </w:p>
        </w:tc>
        <w:tc>
          <w:tcPr>
            <w:tcW w:w="1301" w:type="dxa"/>
          </w:tcPr>
          <w:p w14:paraId="2874B107">
            <w:pPr>
              <w:spacing w:line="360" w:lineRule="auto"/>
              <w:jc w:val="center"/>
              <w:rPr>
                <w:rFonts w:ascii="Times New Roman" w:hAnsi="Times New Roman"/>
              </w:rPr>
            </w:pPr>
          </w:p>
        </w:tc>
        <w:tc>
          <w:tcPr>
            <w:tcW w:w="1312" w:type="dxa"/>
          </w:tcPr>
          <w:p w14:paraId="0C392843">
            <w:pPr>
              <w:spacing w:line="360" w:lineRule="auto"/>
              <w:jc w:val="center"/>
              <w:rPr>
                <w:rFonts w:ascii="Times New Roman" w:hAnsi="Times New Roman"/>
              </w:rPr>
            </w:pPr>
          </w:p>
        </w:tc>
        <w:tc>
          <w:tcPr>
            <w:tcW w:w="1263" w:type="dxa"/>
          </w:tcPr>
          <w:p w14:paraId="1FC9D4B8">
            <w:pPr>
              <w:spacing w:line="360" w:lineRule="auto"/>
              <w:jc w:val="center"/>
              <w:rPr>
                <w:rFonts w:ascii="Times New Roman" w:hAnsi="Times New Roman"/>
              </w:rPr>
            </w:pPr>
          </w:p>
        </w:tc>
      </w:tr>
      <w:tr w14:paraId="6ACF0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918" w:type="dxa"/>
          </w:tcPr>
          <w:p w14:paraId="446C5919">
            <w:pPr>
              <w:spacing w:line="360" w:lineRule="auto"/>
              <w:jc w:val="center"/>
              <w:rPr>
                <w:rFonts w:ascii="Times New Roman" w:hAnsi="Times New Roman"/>
              </w:rPr>
            </w:pPr>
          </w:p>
          <w:p w14:paraId="40954D15">
            <w:pPr>
              <w:pStyle w:val="21"/>
              <w:jc w:val="center"/>
            </w:pPr>
            <w:r>
              <w:t>8</w:t>
            </w:r>
          </w:p>
        </w:tc>
        <w:tc>
          <w:tcPr>
            <w:tcW w:w="1468" w:type="dxa"/>
          </w:tcPr>
          <w:p w14:paraId="392B82D4">
            <w:pPr>
              <w:spacing w:line="360" w:lineRule="auto"/>
              <w:jc w:val="center"/>
              <w:rPr>
                <w:rFonts w:ascii="Times New Roman" w:hAnsi="Times New Roman"/>
              </w:rPr>
            </w:pPr>
          </w:p>
        </w:tc>
        <w:tc>
          <w:tcPr>
            <w:tcW w:w="1302" w:type="dxa"/>
          </w:tcPr>
          <w:p w14:paraId="13AE1055">
            <w:pPr>
              <w:spacing w:line="360" w:lineRule="auto"/>
              <w:jc w:val="center"/>
              <w:rPr>
                <w:rFonts w:ascii="Times New Roman" w:hAnsi="Times New Roman"/>
              </w:rPr>
            </w:pPr>
          </w:p>
        </w:tc>
        <w:tc>
          <w:tcPr>
            <w:tcW w:w="1914" w:type="dxa"/>
          </w:tcPr>
          <w:p w14:paraId="6C0719B9">
            <w:pPr>
              <w:spacing w:line="360" w:lineRule="auto"/>
              <w:jc w:val="center"/>
              <w:rPr>
                <w:rFonts w:ascii="Times New Roman" w:hAnsi="Times New Roman"/>
              </w:rPr>
            </w:pPr>
          </w:p>
        </w:tc>
        <w:tc>
          <w:tcPr>
            <w:tcW w:w="1301" w:type="dxa"/>
          </w:tcPr>
          <w:p w14:paraId="6E526F0E">
            <w:pPr>
              <w:spacing w:line="360" w:lineRule="auto"/>
              <w:jc w:val="center"/>
              <w:rPr>
                <w:rFonts w:ascii="Times New Roman" w:hAnsi="Times New Roman"/>
              </w:rPr>
            </w:pPr>
          </w:p>
        </w:tc>
        <w:tc>
          <w:tcPr>
            <w:tcW w:w="1312" w:type="dxa"/>
          </w:tcPr>
          <w:p w14:paraId="356C1DF4">
            <w:pPr>
              <w:spacing w:line="360" w:lineRule="auto"/>
              <w:jc w:val="center"/>
              <w:rPr>
                <w:rFonts w:ascii="Times New Roman" w:hAnsi="Times New Roman"/>
              </w:rPr>
            </w:pPr>
          </w:p>
        </w:tc>
        <w:tc>
          <w:tcPr>
            <w:tcW w:w="1263" w:type="dxa"/>
          </w:tcPr>
          <w:p w14:paraId="6BB06F0E">
            <w:pPr>
              <w:spacing w:line="360" w:lineRule="auto"/>
              <w:jc w:val="center"/>
              <w:rPr>
                <w:rFonts w:ascii="Times New Roman" w:hAnsi="Times New Roman"/>
              </w:rPr>
            </w:pPr>
          </w:p>
        </w:tc>
      </w:tr>
      <w:tr w14:paraId="43F3B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918" w:type="dxa"/>
          </w:tcPr>
          <w:p w14:paraId="2D25172E">
            <w:pPr>
              <w:spacing w:line="360" w:lineRule="auto"/>
              <w:jc w:val="center"/>
              <w:rPr>
                <w:rFonts w:ascii="Times New Roman" w:hAnsi="Times New Roman"/>
              </w:rPr>
            </w:pPr>
          </w:p>
          <w:p w14:paraId="4B7ACE9D">
            <w:pPr>
              <w:pStyle w:val="21"/>
              <w:jc w:val="center"/>
            </w:pPr>
            <w:r>
              <w:t>9</w:t>
            </w:r>
          </w:p>
        </w:tc>
        <w:tc>
          <w:tcPr>
            <w:tcW w:w="1468" w:type="dxa"/>
          </w:tcPr>
          <w:p w14:paraId="5CD1BFB8">
            <w:pPr>
              <w:spacing w:line="360" w:lineRule="auto"/>
              <w:jc w:val="center"/>
              <w:rPr>
                <w:rFonts w:ascii="Times New Roman" w:hAnsi="Times New Roman"/>
              </w:rPr>
            </w:pPr>
          </w:p>
        </w:tc>
        <w:tc>
          <w:tcPr>
            <w:tcW w:w="1302" w:type="dxa"/>
          </w:tcPr>
          <w:p w14:paraId="08B0B5FA">
            <w:pPr>
              <w:spacing w:line="360" w:lineRule="auto"/>
              <w:jc w:val="center"/>
              <w:rPr>
                <w:rFonts w:ascii="Times New Roman" w:hAnsi="Times New Roman"/>
              </w:rPr>
            </w:pPr>
          </w:p>
        </w:tc>
        <w:tc>
          <w:tcPr>
            <w:tcW w:w="1914" w:type="dxa"/>
          </w:tcPr>
          <w:p w14:paraId="3B0E9B4C">
            <w:pPr>
              <w:spacing w:line="360" w:lineRule="auto"/>
              <w:jc w:val="center"/>
              <w:rPr>
                <w:rFonts w:ascii="Times New Roman" w:hAnsi="Times New Roman"/>
              </w:rPr>
            </w:pPr>
          </w:p>
        </w:tc>
        <w:tc>
          <w:tcPr>
            <w:tcW w:w="1301" w:type="dxa"/>
          </w:tcPr>
          <w:p w14:paraId="28C6A221">
            <w:pPr>
              <w:spacing w:line="360" w:lineRule="auto"/>
              <w:jc w:val="center"/>
              <w:rPr>
                <w:rFonts w:ascii="Times New Roman" w:hAnsi="Times New Roman"/>
              </w:rPr>
            </w:pPr>
          </w:p>
        </w:tc>
        <w:tc>
          <w:tcPr>
            <w:tcW w:w="1312" w:type="dxa"/>
          </w:tcPr>
          <w:p w14:paraId="24A63BC9">
            <w:pPr>
              <w:spacing w:line="360" w:lineRule="auto"/>
              <w:jc w:val="center"/>
              <w:rPr>
                <w:rFonts w:ascii="Times New Roman" w:hAnsi="Times New Roman"/>
              </w:rPr>
            </w:pPr>
          </w:p>
        </w:tc>
        <w:tc>
          <w:tcPr>
            <w:tcW w:w="1263" w:type="dxa"/>
          </w:tcPr>
          <w:p w14:paraId="7137AB10">
            <w:pPr>
              <w:spacing w:line="360" w:lineRule="auto"/>
              <w:jc w:val="center"/>
              <w:rPr>
                <w:rFonts w:ascii="Times New Roman" w:hAnsi="Times New Roman"/>
              </w:rPr>
            </w:pPr>
          </w:p>
        </w:tc>
      </w:tr>
      <w:tr w14:paraId="28CFB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918" w:type="dxa"/>
          </w:tcPr>
          <w:p w14:paraId="74975DB9">
            <w:pPr>
              <w:spacing w:line="360" w:lineRule="auto"/>
              <w:jc w:val="center"/>
              <w:rPr>
                <w:rFonts w:ascii="Times New Roman" w:hAnsi="Times New Roman"/>
              </w:rPr>
            </w:pPr>
          </w:p>
          <w:p w14:paraId="165B650B">
            <w:pPr>
              <w:pStyle w:val="21"/>
              <w:jc w:val="center"/>
            </w:pPr>
            <w:r>
              <w:t>10</w:t>
            </w:r>
          </w:p>
        </w:tc>
        <w:tc>
          <w:tcPr>
            <w:tcW w:w="1468" w:type="dxa"/>
          </w:tcPr>
          <w:p w14:paraId="4DA618C1">
            <w:pPr>
              <w:spacing w:line="360" w:lineRule="auto"/>
              <w:jc w:val="center"/>
              <w:rPr>
                <w:rFonts w:ascii="Times New Roman" w:hAnsi="Times New Roman"/>
              </w:rPr>
            </w:pPr>
          </w:p>
        </w:tc>
        <w:tc>
          <w:tcPr>
            <w:tcW w:w="1302" w:type="dxa"/>
          </w:tcPr>
          <w:p w14:paraId="27FB6F26">
            <w:pPr>
              <w:spacing w:line="360" w:lineRule="auto"/>
              <w:jc w:val="center"/>
              <w:rPr>
                <w:rFonts w:ascii="Times New Roman" w:hAnsi="Times New Roman"/>
              </w:rPr>
            </w:pPr>
          </w:p>
        </w:tc>
        <w:tc>
          <w:tcPr>
            <w:tcW w:w="1914" w:type="dxa"/>
          </w:tcPr>
          <w:p w14:paraId="3D4D0E1B">
            <w:pPr>
              <w:spacing w:line="360" w:lineRule="auto"/>
              <w:jc w:val="center"/>
              <w:rPr>
                <w:rFonts w:ascii="Times New Roman" w:hAnsi="Times New Roman"/>
              </w:rPr>
            </w:pPr>
          </w:p>
        </w:tc>
        <w:tc>
          <w:tcPr>
            <w:tcW w:w="1301" w:type="dxa"/>
          </w:tcPr>
          <w:p w14:paraId="3DB653E2">
            <w:pPr>
              <w:spacing w:line="360" w:lineRule="auto"/>
              <w:jc w:val="center"/>
              <w:rPr>
                <w:rFonts w:ascii="Times New Roman" w:hAnsi="Times New Roman"/>
              </w:rPr>
            </w:pPr>
          </w:p>
        </w:tc>
        <w:tc>
          <w:tcPr>
            <w:tcW w:w="1312" w:type="dxa"/>
          </w:tcPr>
          <w:p w14:paraId="6164D93F">
            <w:pPr>
              <w:spacing w:line="360" w:lineRule="auto"/>
              <w:jc w:val="center"/>
              <w:rPr>
                <w:rFonts w:ascii="Times New Roman" w:hAnsi="Times New Roman"/>
              </w:rPr>
            </w:pPr>
          </w:p>
        </w:tc>
        <w:tc>
          <w:tcPr>
            <w:tcW w:w="1263" w:type="dxa"/>
          </w:tcPr>
          <w:p w14:paraId="6F191289">
            <w:pPr>
              <w:spacing w:line="360" w:lineRule="auto"/>
              <w:jc w:val="center"/>
              <w:rPr>
                <w:rFonts w:ascii="Times New Roman" w:hAnsi="Times New Roman"/>
              </w:rPr>
            </w:pPr>
          </w:p>
        </w:tc>
      </w:tr>
      <w:tr w14:paraId="1B713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918" w:type="dxa"/>
          </w:tcPr>
          <w:p w14:paraId="762E5BA8">
            <w:pPr>
              <w:spacing w:line="360" w:lineRule="auto"/>
              <w:jc w:val="center"/>
              <w:rPr>
                <w:rFonts w:ascii="Times New Roman" w:hAnsi="Times New Roman"/>
              </w:rPr>
            </w:pPr>
          </w:p>
          <w:p w14:paraId="114F40A0">
            <w:pPr>
              <w:pStyle w:val="21"/>
              <w:jc w:val="center"/>
            </w:pPr>
            <w:r>
              <w:t>……</w:t>
            </w:r>
          </w:p>
        </w:tc>
        <w:tc>
          <w:tcPr>
            <w:tcW w:w="1468" w:type="dxa"/>
          </w:tcPr>
          <w:p w14:paraId="066693BE">
            <w:pPr>
              <w:spacing w:line="360" w:lineRule="auto"/>
              <w:jc w:val="center"/>
              <w:rPr>
                <w:rFonts w:ascii="Times New Roman" w:hAnsi="Times New Roman"/>
              </w:rPr>
            </w:pPr>
          </w:p>
        </w:tc>
        <w:tc>
          <w:tcPr>
            <w:tcW w:w="1302" w:type="dxa"/>
          </w:tcPr>
          <w:p w14:paraId="1E90DA32">
            <w:pPr>
              <w:spacing w:line="360" w:lineRule="auto"/>
              <w:jc w:val="center"/>
              <w:rPr>
                <w:rFonts w:ascii="Times New Roman" w:hAnsi="Times New Roman"/>
              </w:rPr>
            </w:pPr>
          </w:p>
        </w:tc>
        <w:tc>
          <w:tcPr>
            <w:tcW w:w="1914" w:type="dxa"/>
          </w:tcPr>
          <w:p w14:paraId="662716BE">
            <w:pPr>
              <w:spacing w:line="360" w:lineRule="auto"/>
              <w:jc w:val="center"/>
              <w:rPr>
                <w:rFonts w:ascii="Times New Roman" w:hAnsi="Times New Roman"/>
              </w:rPr>
            </w:pPr>
          </w:p>
        </w:tc>
        <w:tc>
          <w:tcPr>
            <w:tcW w:w="1301" w:type="dxa"/>
          </w:tcPr>
          <w:p w14:paraId="3D24505A">
            <w:pPr>
              <w:spacing w:line="360" w:lineRule="auto"/>
              <w:jc w:val="center"/>
              <w:rPr>
                <w:rFonts w:ascii="Times New Roman" w:hAnsi="Times New Roman"/>
              </w:rPr>
            </w:pPr>
          </w:p>
        </w:tc>
        <w:tc>
          <w:tcPr>
            <w:tcW w:w="1312" w:type="dxa"/>
          </w:tcPr>
          <w:p w14:paraId="4119EBC5">
            <w:pPr>
              <w:spacing w:line="360" w:lineRule="auto"/>
              <w:jc w:val="center"/>
              <w:rPr>
                <w:rFonts w:ascii="Times New Roman" w:hAnsi="Times New Roman"/>
              </w:rPr>
            </w:pPr>
          </w:p>
        </w:tc>
        <w:tc>
          <w:tcPr>
            <w:tcW w:w="1263" w:type="dxa"/>
          </w:tcPr>
          <w:p w14:paraId="7517AF89">
            <w:pPr>
              <w:spacing w:line="360" w:lineRule="auto"/>
              <w:jc w:val="center"/>
              <w:rPr>
                <w:rFonts w:ascii="Times New Roman" w:hAnsi="Times New Roman"/>
              </w:rPr>
            </w:pPr>
          </w:p>
        </w:tc>
      </w:tr>
    </w:tbl>
    <w:p w14:paraId="277A0283">
      <w:pPr>
        <w:pStyle w:val="5"/>
        <w:spacing w:line="360" w:lineRule="auto"/>
        <w:rPr>
          <w:rFonts w:ascii="Times New Roman" w:hAnsi="Times New Roman"/>
        </w:rPr>
      </w:pPr>
    </w:p>
    <w:p w14:paraId="352DAEF1">
      <w:pPr>
        <w:spacing w:line="360" w:lineRule="auto"/>
        <w:rPr>
          <w:rFonts w:ascii="Times New Roman" w:hAnsi="Times New Roman"/>
        </w:rPr>
        <w:sectPr>
          <w:footerReference r:id="rId31" w:type="default"/>
          <w:pgSz w:w="11905" w:h="16838"/>
          <w:pgMar w:top="1134" w:right="1134" w:bottom="1134" w:left="1134" w:header="0" w:footer="1043" w:gutter="0"/>
          <w:cols w:space="0" w:num="1"/>
        </w:sectPr>
      </w:pPr>
    </w:p>
    <w:p w14:paraId="335DFE15">
      <w:pPr>
        <w:spacing w:line="360" w:lineRule="auto"/>
        <w:ind w:left="2888"/>
        <w:rPr>
          <w:rFonts w:ascii="Times New Roman" w:hAnsi="Times New Roman" w:eastAsia="宋体" w:cs="宋体"/>
          <w:sz w:val="28"/>
          <w:szCs w:val="28"/>
          <w:lang w:eastAsia="zh-CN"/>
        </w:rPr>
      </w:pPr>
      <w:r>
        <w:rPr>
          <w:rFonts w:ascii="Times New Roman" w:hAnsi="Times New Roman" w:eastAsia="宋体" w:cs="宋体"/>
          <w:b/>
          <w:bCs/>
          <w:sz w:val="28"/>
          <w:szCs w:val="28"/>
          <w:lang w:eastAsia="zh-CN"/>
        </w:rPr>
        <w:t>已完成类似项目情况说明</w:t>
      </w:r>
    </w:p>
    <w:p w14:paraId="058DED4F">
      <w:pPr>
        <w:spacing w:line="360" w:lineRule="auto"/>
        <w:rPr>
          <w:rFonts w:ascii="Times New Roman" w:hAnsi="Times New Roman"/>
          <w:lang w:eastAsia="zh-CN"/>
        </w:rPr>
      </w:pPr>
    </w:p>
    <w:tbl>
      <w:tblPr>
        <w:tblStyle w:val="20"/>
        <w:tblW w:w="8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2"/>
        <w:gridCol w:w="6447"/>
      </w:tblGrid>
      <w:tr w14:paraId="3AE7B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2062" w:type="dxa"/>
            <w:vAlign w:val="center"/>
          </w:tcPr>
          <w:p w14:paraId="2A0F4FA5">
            <w:pPr>
              <w:pStyle w:val="21"/>
              <w:jc w:val="center"/>
            </w:pPr>
            <w:r>
              <w:t>招标人</w:t>
            </w:r>
          </w:p>
        </w:tc>
        <w:tc>
          <w:tcPr>
            <w:tcW w:w="6447" w:type="dxa"/>
          </w:tcPr>
          <w:p w14:paraId="3630FCDE">
            <w:pPr>
              <w:spacing w:line="360" w:lineRule="auto"/>
              <w:rPr>
                <w:rFonts w:ascii="Times New Roman" w:hAnsi="Times New Roman"/>
              </w:rPr>
            </w:pPr>
          </w:p>
        </w:tc>
      </w:tr>
      <w:tr w14:paraId="4754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062" w:type="dxa"/>
            <w:vAlign w:val="center"/>
          </w:tcPr>
          <w:p w14:paraId="367956C4">
            <w:pPr>
              <w:pStyle w:val="21"/>
              <w:jc w:val="center"/>
            </w:pPr>
            <w:r>
              <w:t>项目名称</w:t>
            </w:r>
          </w:p>
        </w:tc>
        <w:tc>
          <w:tcPr>
            <w:tcW w:w="6447" w:type="dxa"/>
          </w:tcPr>
          <w:p w14:paraId="690A4362">
            <w:pPr>
              <w:spacing w:line="360" w:lineRule="auto"/>
              <w:rPr>
                <w:rFonts w:ascii="Times New Roman" w:hAnsi="Times New Roman"/>
              </w:rPr>
            </w:pPr>
          </w:p>
        </w:tc>
      </w:tr>
      <w:tr w14:paraId="50870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062" w:type="dxa"/>
            <w:vAlign w:val="center"/>
          </w:tcPr>
          <w:p w14:paraId="5378E3E9">
            <w:pPr>
              <w:pStyle w:val="21"/>
              <w:jc w:val="center"/>
            </w:pPr>
            <w:r>
              <w:t>合同金额</w:t>
            </w:r>
          </w:p>
        </w:tc>
        <w:tc>
          <w:tcPr>
            <w:tcW w:w="6447" w:type="dxa"/>
          </w:tcPr>
          <w:p w14:paraId="208045E2">
            <w:pPr>
              <w:spacing w:line="360" w:lineRule="auto"/>
              <w:rPr>
                <w:rFonts w:ascii="Times New Roman" w:hAnsi="Times New Roman"/>
              </w:rPr>
            </w:pPr>
          </w:p>
        </w:tc>
      </w:tr>
      <w:tr w14:paraId="47B2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062" w:type="dxa"/>
            <w:vAlign w:val="center"/>
          </w:tcPr>
          <w:p w14:paraId="41FA33F7">
            <w:pPr>
              <w:pStyle w:val="21"/>
              <w:jc w:val="center"/>
            </w:pPr>
            <w:r>
              <w:t>完 成 日 期</w:t>
            </w:r>
          </w:p>
          <w:p w14:paraId="1A6E014E">
            <w:pPr>
              <w:pStyle w:val="21"/>
              <w:jc w:val="center"/>
            </w:pPr>
            <w:r>
              <w:rPr>
                <w:rFonts w:hint="eastAsia"/>
                <w:lang w:eastAsia="zh-CN"/>
              </w:rPr>
              <w:t>（</w:t>
            </w:r>
            <w:r>
              <w:t>年/月/日</w:t>
            </w:r>
            <w:r>
              <w:rPr>
                <w:rFonts w:hint="eastAsia"/>
                <w:lang w:eastAsia="zh-CN"/>
              </w:rPr>
              <w:t>）</w:t>
            </w:r>
          </w:p>
        </w:tc>
        <w:tc>
          <w:tcPr>
            <w:tcW w:w="6447" w:type="dxa"/>
          </w:tcPr>
          <w:p w14:paraId="6563ABAB">
            <w:pPr>
              <w:spacing w:line="360" w:lineRule="auto"/>
              <w:rPr>
                <w:rFonts w:ascii="Times New Roman" w:hAnsi="Times New Roman"/>
              </w:rPr>
            </w:pPr>
          </w:p>
        </w:tc>
      </w:tr>
      <w:tr w14:paraId="6EB01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8" w:hRule="atLeast"/>
          <w:jc w:val="center"/>
        </w:trPr>
        <w:tc>
          <w:tcPr>
            <w:tcW w:w="8509" w:type="dxa"/>
            <w:gridSpan w:val="2"/>
          </w:tcPr>
          <w:p w14:paraId="74352EC4">
            <w:pPr>
              <w:pStyle w:val="21"/>
            </w:pPr>
            <w:r>
              <w:t>服务主要内容：</w:t>
            </w:r>
          </w:p>
        </w:tc>
      </w:tr>
    </w:tbl>
    <w:p w14:paraId="15E4DE2B">
      <w:pPr>
        <w:spacing w:line="360" w:lineRule="auto"/>
        <w:ind w:left="113" w:hanging="29"/>
        <w:rPr>
          <w:rFonts w:ascii="Times New Roman" w:hAnsi="Times New Roman" w:eastAsia="宋体" w:cs="宋体"/>
          <w:lang w:eastAsia="zh-CN"/>
        </w:rPr>
      </w:pPr>
      <w:r>
        <w:rPr>
          <w:rFonts w:ascii="Times New Roman" w:hAnsi="Times New Roman" w:eastAsia="宋体" w:cs="宋体"/>
          <w:sz w:val="22"/>
          <w:szCs w:val="22"/>
          <w:lang w:eastAsia="zh-CN"/>
        </w:rPr>
        <w:t>注：本表后附提供加盖公章的中标</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成交</w:t>
      </w:r>
      <w:r>
        <w:rPr>
          <w:rFonts w:hint="eastAsia" w:ascii="Times New Roman" w:hAnsi="Times New Roman" w:eastAsia="宋体" w:cs="宋体"/>
          <w:sz w:val="22"/>
          <w:szCs w:val="22"/>
          <w:lang w:eastAsia="zh-CN"/>
        </w:rPr>
        <w:t>）</w:t>
      </w:r>
      <w:r>
        <w:rPr>
          <w:rFonts w:ascii="Times New Roman" w:hAnsi="Times New Roman" w:eastAsia="宋体" w:cs="宋体"/>
          <w:sz w:val="22"/>
          <w:szCs w:val="22"/>
          <w:lang w:eastAsia="zh-CN"/>
        </w:rPr>
        <w:t xml:space="preserve">通知书或合同协议书复印件并加盖单位公章，具 </w:t>
      </w:r>
      <w:r>
        <w:rPr>
          <w:rFonts w:ascii="Times New Roman" w:hAnsi="Times New Roman" w:eastAsia="宋体" w:cs="宋体"/>
          <w:lang w:eastAsia="zh-CN"/>
        </w:rPr>
        <w:t>体年份要求见投标人须知前附表。每张表格只填写一个项目，并标明序号。</w:t>
      </w:r>
    </w:p>
    <w:p w14:paraId="0B1ADB17">
      <w:pPr>
        <w:spacing w:line="360" w:lineRule="auto"/>
        <w:rPr>
          <w:rFonts w:ascii="Times New Roman" w:hAnsi="Times New Roman" w:eastAsia="宋体" w:cs="宋体"/>
          <w:lang w:eastAsia="zh-CN"/>
        </w:rPr>
        <w:sectPr>
          <w:footerReference r:id="rId32" w:type="default"/>
          <w:pgSz w:w="11905" w:h="16838"/>
          <w:pgMar w:top="1134" w:right="1134" w:bottom="1134" w:left="1134" w:header="0" w:footer="1043" w:gutter="0"/>
          <w:cols w:space="0" w:num="1"/>
        </w:sectPr>
      </w:pPr>
    </w:p>
    <w:p w14:paraId="4BD94AD5">
      <w:pPr>
        <w:spacing w:line="360" w:lineRule="auto"/>
        <w:ind w:left="1789"/>
        <w:rPr>
          <w:rFonts w:ascii="Times New Roman" w:hAnsi="Times New Roman" w:eastAsia="宋体" w:cs="宋体"/>
          <w:sz w:val="30"/>
          <w:szCs w:val="30"/>
          <w:lang w:eastAsia="zh-CN"/>
        </w:rPr>
      </w:pP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四</w:t>
      </w:r>
      <w:r>
        <w:rPr>
          <w:rFonts w:hint="eastAsia" w:ascii="Times New Roman" w:hAnsi="Times New Roman" w:eastAsia="宋体" w:cs="宋体"/>
          <w:b/>
          <w:bCs/>
          <w:sz w:val="30"/>
          <w:szCs w:val="30"/>
          <w:lang w:eastAsia="zh-CN"/>
        </w:rPr>
        <w:t>）</w:t>
      </w:r>
      <w:r>
        <w:rPr>
          <w:rFonts w:ascii="Times New Roman" w:hAnsi="Times New Roman" w:eastAsia="宋体" w:cs="宋体"/>
          <w:b/>
          <w:bCs/>
          <w:sz w:val="30"/>
          <w:szCs w:val="30"/>
          <w:lang w:eastAsia="zh-CN"/>
        </w:rPr>
        <w:t>正在实施的和新承接的项目情况表</w:t>
      </w:r>
    </w:p>
    <w:p w14:paraId="72FD0A4E">
      <w:pPr>
        <w:spacing w:line="360" w:lineRule="auto"/>
        <w:rPr>
          <w:rFonts w:ascii="Times New Roman" w:hAnsi="Times New Roman"/>
          <w:lang w:eastAsia="zh-CN"/>
        </w:rPr>
      </w:pPr>
    </w:p>
    <w:tbl>
      <w:tblPr>
        <w:tblStyle w:val="20"/>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258"/>
      </w:tblGrid>
      <w:tr w14:paraId="5FF4D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2731" w:type="dxa"/>
            <w:vAlign w:val="center"/>
          </w:tcPr>
          <w:p w14:paraId="496D0E42">
            <w:pPr>
              <w:pStyle w:val="21"/>
              <w:jc w:val="center"/>
            </w:pPr>
            <w:r>
              <w:t>招标人</w:t>
            </w:r>
          </w:p>
        </w:tc>
        <w:tc>
          <w:tcPr>
            <w:tcW w:w="6258" w:type="dxa"/>
          </w:tcPr>
          <w:p w14:paraId="070C2136">
            <w:pPr>
              <w:spacing w:line="360" w:lineRule="auto"/>
              <w:rPr>
                <w:rFonts w:ascii="Times New Roman" w:hAnsi="Times New Roman"/>
              </w:rPr>
            </w:pPr>
          </w:p>
        </w:tc>
      </w:tr>
      <w:tr w14:paraId="4BB79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2731" w:type="dxa"/>
            <w:vAlign w:val="center"/>
          </w:tcPr>
          <w:p w14:paraId="4DDA9C8B">
            <w:pPr>
              <w:pStyle w:val="21"/>
              <w:jc w:val="center"/>
            </w:pPr>
            <w:r>
              <w:t>项目名称</w:t>
            </w:r>
          </w:p>
        </w:tc>
        <w:tc>
          <w:tcPr>
            <w:tcW w:w="6258" w:type="dxa"/>
          </w:tcPr>
          <w:p w14:paraId="2118F14A">
            <w:pPr>
              <w:spacing w:line="360" w:lineRule="auto"/>
              <w:rPr>
                <w:rFonts w:ascii="Times New Roman" w:hAnsi="Times New Roman"/>
              </w:rPr>
            </w:pPr>
          </w:p>
        </w:tc>
      </w:tr>
      <w:tr w14:paraId="0BC2B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2731" w:type="dxa"/>
            <w:vAlign w:val="center"/>
          </w:tcPr>
          <w:p w14:paraId="70663409">
            <w:pPr>
              <w:pStyle w:val="21"/>
              <w:jc w:val="center"/>
            </w:pPr>
            <w:r>
              <w:t>合同金额</w:t>
            </w:r>
          </w:p>
        </w:tc>
        <w:tc>
          <w:tcPr>
            <w:tcW w:w="6258" w:type="dxa"/>
          </w:tcPr>
          <w:p w14:paraId="34852E9C">
            <w:pPr>
              <w:spacing w:line="360" w:lineRule="auto"/>
              <w:rPr>
                <w:rFonts w:ascii="Times New Roman" w:hAnsi="Times New Roman"/>
              </w:rPr>
            </w:pPr>
          </w:p>
        </w:tc>
      </w:tr>
      <w:tr w14:paraId="2775B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2731" w:type="dxa"/>
            <w:vAlign w:val="center"/>
          </w:tcPr>
          <w:p w14:paraId="241501AF">
            <w:pPr>
              <w:pStyle w:val="21"/>
              <w:jc w:val="center"/>
            </w:pPr>
            <w:r>
              <w:t>完 成 日 期</w:t>
            </w:r>
          </w:p>
          <w:p w14:paraId="133D9333">
            <w:pPr>
              <w:pStyle w:val="21"/>
              <w:jc w:val="center"/>
              <w:rPr>
                <w:lang w:eastAsia="zh-CN"/>
              </w:rPr>
            </w:pPr>
            <w:r>
              <w:rPr>
                <w:rFonts w:hint="eastAsia"/>
                <w:lang w:eastAsia="zh-CN"/>
              </w:rPr>
              <w:t>（</w:t>
            </w:r>
            <w:r>
              <w:t>年/月/日</w:t>
            </w:r>
            <w:r>
              <w:rPr>
                <w:rFonts w:hint="eastAsia"/>
                <w:lang w:eastAsia="zh-CN"/>
              </w:rPr>
              <w:t>）</w:t>
            </w:r>
          </w:p>
        </w:tc>
        <w:tc>
          <w:tcPr>
            <w:tcW w:w="6258" w:type="dxa"/>
          </w:tcPr>
          <w:p w14:paraId="2C2FE7C3">
            <w:pPr>
              <w:spacing w:line="360" w:lineRule="auto"/>
              <w:rPr>
                <w:rFonts w:ascii="Times New Roman" w:hAnsi="Times New Roman"/>
              </w:rPr>
            </w:pPr>
          </w:p>
        </w:tc>
      </w:tr>
      <w:tr w14:paraId="57547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731" w:type="dxa"/>
          </w:tcPr>
          <w:p w14:paraId="4318C0EC">
            <w:pPr>
              <w:spacing w:line="360" w:lineRule="auto"/>
              <w:rPr>
                <w:rFonts w:ascii="Times New Roman" w:hAnsi="Times New Roman"/>
              </w:rPr>
            </w:pPr>
          </w:p>
          <w:p w14:paraId="37DEACD8">
            <w:pPr>
              <w:pStyle w:val="21"/>
              <w:jc w:val="center"/>
            </w:pPr>
            <w:r>
              <w:t>……</w:t>
            </w:r>
          </w:p>
        </w:tc>
        <w:tc>
          <w:tcPr>
            <w:tcW w:w="6258" w:type="dxa"/>
          </w:tcPr>
          <w:p w14:paraId="345AC2B6">
            <w:pPr>
              <w:spacing w:line="360" w:lineRule="auto"/>
              <w:rPr>
                <w:rFonts w:ascii="Times New Roman" w:hAnsi="Times New Roman"/>
              </w:rPr>
            </w:pPr>
          </w:p>
        </w:tc>
      </w:tr>
    </w:tbl>
    <w:p w14:paraId="40173FB3">
      <w:pPr>
        <w:spacing w:line="360" w:lineRule="auto"/>
        <w:ind w:left="604"/>
        <w:rPr>
          <w:rFonts w:ascii="Times New Roman" w:hAnsi="Times New Roman" w:eastAsia="宋体" w:cs="宋体"/>
          <w:sz w:val="20"/>
          <w:szCs w:val="20"/>
          <w:lang w:eastAsia="zh-CN"/>
        </w:rPr>
      </w:pPr>
      <w:r>
        <w:rPr>
          <w:rFonts w:ascii="Times New Roman" w:hAnsi="Times New Roman" w:eastAsia="宋体" w:cs="宋体"/>
          <w:sz w:val="20"/>
          <w:szCs w:val="20"/>
          <w:lang w:eastAsia="zh-CN"/>
        </w:rPr>
        <w:t>备注：本表后附提供中标</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成交</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通知书或合同协议书复印件并加盖单位公章，具体年</w:t>
      </w:r>
    </w:p>
    <w:p w14:paraId="17CDE07E">
      <w:pPr>
        <w:spacing w:line="360" w:lineRule="auto"/>
        <w:ind w:left="595"/>
        <w:rPr>
          <w:rFonts w:ascii="Times New Roman" w:hAnsi="Times New Roman" w:eastAsia="宋体" w:cs="宋体"/>
          <w:sz w:val="20"/>
          <w:szCs w:val="20"/>
          <w:lang w:eastAsia="zh-CN"/>
        </w:rPr>
      </w:pPr>
      <w:r>
        <w:rPr>
          <w:rFonts w:ascii="Times New Roman" w:hAnsi="Times New Roman" w:eastAsia="宋体" w:cs="宋体"/>
          <w:sz w:val="20"/>
          <w:szCs w:val="20"/>
          <w:lang w:eastAsia="zh-CN"/>
        </w:rPr>
        <w:t>份要求见投标人须知前附表。每张表格只填写一个项目，并标明序号。</w:t>
      </w:r>
    </w:p>
    <w:p w14:paraId="31DF32E0">
      <w:pPr>
        <w:spacing w:line="360" w:lineRule="auto"/>
        <w:rPr>
          <w:rFonts w:ascii="Times New Roman" w:hAnsi="Times New Roman" w:eastAsia="宋体" w:cs="宋体"/>
          <w:sz w:val="20"/>
          <w:szCs w:val="20"/>
          <w:lang w:eastAsia="zh-CN"/>
        </w:rPr>
        <w:sectPr>
          <w:footerReference r:id="rId33" w:type="default"/>
          <w:pgSz w:w="11905" w:h="16838"/>
          <w:pgMar w:top="1134" w:right="1134" w:bottom="1134" w:left="1134" w:header="0" w:footer="1066" w:gutter="0"/>
          <w:cols w:space="0" w:num="1"/>
        </w:sectPr>
      </w:pPr>
    </w:p>
    <w:p w14:paraId="4B889AD1">
      <w:pPr>
        <w:numPr>
          <w:ilvl w:val="0"/>
          <w:numId w:val="2"/>
        </w:numPr>
        <w:spacing w:line="360" w:lineRule="auto"/>
        <w:ind w:left="779"/>
        <w:rPr>
          <w:rFonts w:ascii="Times New Roman" w:hAnsi="Times New Roman" w:eastAsia="宋体" w:cs="宋体"/>
          <w:sz w:val="31"/>
          <w:szCs w:val="31"/>
          <w:lang w:eastAsia="zh-CN"/>
        </w:rPr>
      </w:pPr>
      <w:r>
        <w:rPr>
          <w:rFonts w:ascii="Times New Roman" w:hAnsi="Times New Roman" w:eastAsia="宋体" w:cs="宋体"/>
          <w:b/>
          <w:bCs/>
          <w:sz w:val="31"/>
          <w:szCs w:val="31"/>
          <w:lang w:eastAsia="zh-CN"/>
        </w:rPr>
        <w:t>近三年</w:t>
      </w:r>
      <w:r>
        <w:rPr>
          <w:rFonts w:hint="eastAsia" w:ascii="Times New Roman" w:hAnsi="Times New Roman" w:eastAsia="宋体" w:cs="宋体"/>
          <w:b/>
          <w:bCs/>
          <w:sz w:val="31"/>
          <w:szCs w:val="31"/>
          <w:lang w:eastAsia="zh-CN"/>
        </w:rPr>
        <w:t>（</w:t>
      </w:r>
      <w:r>
        <w:rPr>
          <w:rFonts w:ascii="Times New Roman" w:hAnsi="Times New Roman" w:eastAsia="宋体" w:cs="宋体"/>
          <w:b/>
          <w:bCs/>
          <w:sz w:val="31"/>
          <w:szCs w:val="31"/>
          <w:lang w:eastAsia="zh-CN"/>
        </w:rPr>
        <w:t>202</w:t>
      </w:r>
      <w:r>
        <w:rPr>
          <w:rFonts w:hint="eastAsia" w:ascii="Times New Roman" w:hAnsi="Times New Roman" w:eastAsia="宋体" w:cs="宋体"/>
          <w:b/>
          <w:bCs/>
          <w:sz w:val="31"/>
          <w:szCs w:val="31"/>
          <w:lang w:val="en-US" w:eastAsia="zh-CN"/>
        </w:rPr>
        <w:t>2</w:t>
      </w:r>
      <w:r>
        <w:rPr>
          <w:rFonts w:ascii="Times New Roman" w:hAnsi="Times New Roman" w:eastAsia="宋体" w:cs="宋体"/>
          <w:b/>
          <w:bCs/>
          <w:sz w:val="31"/>
          <w:szCs w:val="31"/>
          <w:lang w:eastAsia="zh-CN"/>
        </w:rPr>
        <w:t>至今</w:t>
      </w:r>
      <w:r>
        <w:rPr>
          <w:rFonts w:hint="eastAsia" w:ascii="Times New Roman" w:hAnsi="Times New Roman" w:eastAsia="宋体" w:cs="宋体"/>
          <w:b/>
          <w:bCs/>
          <w:sz w:val="31"/>
          <w:szCs w:val="31"/>
          <w:lang w:eastAsia="zh-CN"/>
        </w:rPr>
        <w:t>）</w:t>
      </w:r>
      <w:r>
        <w:rPr>
          <w:rFonts w:ascii="Times New Roman" w:hAnsi="Times New Roman" w:eastAsia="宋体" w:cs="宋体"/>
          <w:b/>
          <w:bCs/>
          <w:sz w:val="31"/>
          <w:szCs w:val="31"/>
          <w:lang w:eastAsia="zh-CN"/>
        </w:rPr>
        <w:t>发生的诉讼及仲裁情况</w:t>
      </w:r>
    </w:p>
    <w:p w14:paraId="7EC4A0F3">
      <w:pPr>
        <w:pStyle w:val="5"/>
        <w:spacing w:line="360" w:lineRule="auto"/>
        <w:rPr>
          <w:rFonts w:ascii="Times New Roman" w:hAnsi="Times New Roman"/>
          <w:lang w:eastAsia="zh-CN"/>
        </w:rPr>
      </w:pPr>
    </w:p>
    <w:p w14:paraId="4A0C4714">
      <w:pPr>
        <w:pStyle w:val="5"/>
        <w:spacing w:line="360" w:lineRule="auto"/>
        <w:rPr>
          <w:rFonts w:ascii="Times New Roman" w:hAnsi="Times New Roman"/>
          <w:lang w:eastAsia="zh-CN"/>
        </w:rPr>
      </w:pPr>
    </w:p>
    <w:p w14:paraId="150823A3">
      <w:pPr>
        <w:pStyle w:val="5"/>
        <w:spacing w:line="360" w:lineRule="auto"/>
        <w:rPr>
          <w:rFonts w:ascii="Times New Roman" w:hAnsi="Times New Roman"/>
          <w:lang w:eastAsia="zh-CN"/>
        </w:rPr>
      </w:pPr>
    </w:p>
    <w:p w14:paraId="124A682B">
      <w:pPr>
        <w:spacing w:line="360" w:lineRule="auto"/>
        <w:ind w:left="4"/>
        <w:rPr>
          <w:rFonts w:ascii="Times New Roman" w:hAnsi="Times New Roman" w:eastAsia="宋体" w:cs="宋体"/>
          <w:sz w:val="22"/>
          <w:szCs w:val="22"/>
          <w:lang w:eastAsia="zh-CN"/>
        </w:rPr>
      </w:pPr>
      <w:r>
        <w:rPr>
          <w:rFonts w:ascii="Times New Roman" w:hAnsi="Times New Roman" w:eastAsia="宋体" w:cs="宋体"/>
          <w:sz w:val="22"/>
          <w:szCs w:val="22"/>
          <w:lang w:eastAsia="zh-CN"/>
        </w:rPr>
        <w:t>说明：近年发生的诉讼和仲裁情况仅限于投标人败诉的，且与履行合同有关的案</w:t>
      </w:r>
    </w:p>
    <w:p w14:paraId="74802C50">
      <w:pPr>
        <w:spacing w:line="360" w:lineRule="auto"/>
        <w:ind w:left="755"/>
        <w:rPr>
          <w:rFonts w:ascii="Times New Roman" w:hAnsi="Times New Roman" w:eastAsia="宋体" w:cs="宋体"/>
          <w:sz w:val="22"/>
          <w:szCs w:val="22"/>
          <w:lang w:eastAsia="zh-CN"/>
        </w:rPr>
      </w:pPr>
      <w:r>
        <w:rPr>
          <w:rFonts w:ascii="Times New Roman" w:hAnsi="Times New Roman" w:eastAsia="宋体" w:cs="宋体"/>
          <w:sz w:val="22"/>
          <w:szCs w:val="22"/>
          <w:lang w:eastAsia="zh-CN"/>
        </w:rPr>
        <w:t>件，不包括调解结案以及未裁决的仲裁或未终审判决的诉讼。</w:t>
      </w:r>
    </w:p>
    <w:p w14:paraId="6D1122F6">
      <w:pPr>
        <w:spacing w:line="360" w:lineRule="auto"/>
        <w:rPr>
          <w:rFonts w:ascii="Times New Roman" w:hAnsi="Times New Roman" w:eastAsia="宋体" w:cs="宋体"/>
          <w:sz w:val="22"/>
          <w:szCs w:val="22"/>
          <w:lang w:eastAsia="zh-CN"/>
        </w:rPr>
        <w:sectPr>
          <w:footerReference r:id="rId34" w:type="default"/>
          <w:pgSz w:w="11905" w:h="16838"/>
          <w:pgMar w:top="1134" w:right="1134" w:bottom="1134" w:left="1134" w:header="0" w:footer="1049" w:gutter="0"/>
          <w:cols w:space="0" w:num="1"/>
        </w:sectPr>
      </w:pPr>
    </w:p>
    <w:p w14:paraId="2AADA97E">
      <w:pPr>
        <w:spacing w:line="360" w:lineRule="auto"/>
        <w:ind w:left="3219"/>
        <w:rPr>
          <w:rFonts w:ascii="Times New Roman" w:hAnsi="Times New Roman" w:eastAsia="宋体" w:cs="宋体"/>
          <w:sz w:val="32"/>
          <w:szCs w:val="32"/>
          <w:lang w:eastAsia="zh-CN"/>
        </w:rPr>
      </w:pPr>
      <w:r>
        <w:rPr>
          <w:rFonts w:hint="eastAsia" w:ascii="Times New Roman" w:hAnsi="Times New Roman" w:eastAsia="宋体" w:cs="宋体"/>
          <w:b/>
          <w:bCs/>
          <w:sz w:val="32"/>
          <w:szCs w:val="32"/>
          <w:lang w:eastAsia="zh-CN"/>
        </w:rPr>
        <w:t>（</w:t>
      </w:r>
      <w:r>
        <w:rPr>
          <w:rFonts w:ascii="Times New Roman" w:hAnsi="Times New Roman" w:eastAsia="宋体" w:cs="宋体"/>
          <w:b/>
          <w:bCs/>
          <w:sz w:val="32"/>
          <w:szCs w:val="32"/>
          <w:lang w:eastAsia="zh-CN"/>
        </w:rPr>
        <w:t>六</w:t>
      </w:r>
      <w:r>
        <w:rPr>
          <w:rFonts w:hint="eastAsia" w:ascii="Times New Roman" w:hAnsi="Times New Roman" w:eastAsia="宋体" w:cs="宋体"/>
          <w:b/>
          <w:bCs/>
          <w:sz w:val="32"/>
          <w:szCs w:val="32"/>
          <w:lang w:eastAsia="zh-CN"/>
        </w:rPr>
        <w:t>）</w:t>
      </w:r>
      <w:r>
        <w:rPr>
          <w:rFonts w:ascii="Times New Roman" w:hAnsi="Times New Roman" w:eastAsia="宋体" w:cs="宋体"/>
          <w:b/>
          <w:bCs/>
          <w:sz w:val="32"/>
          <w:szCs w:val="32"/>
          <w:lang w:eastAsia="zh-CN"/>
        </w:rPr>
        <w:t>信誉承诺</w:t>
      </w:r>
    </w:p>
    <w:p w14:paraId="6EEE9DC7">
      <w:pPr>
        <w:pStyle w:val="5"/>
        <w:spacing w:line="360" w:lineRule="auto"/>
        <w:ind w:left="4" w:right="31"/>
        <w:jc w:val="both"/>
        <w:rPr>
          <w:rFonts w:ascii="Times New Roman" w:hAnsi="Times New Roman" w:eastAsia="宋体" w:cs="宋体"/>
          <w:sz w:val="20"/>
          <w:szCs w:val="20"/>
          <w:lang w:eastAsia="zh-CN"/>
        </w:rPr>
      </w:pPr>
      <w:r>
        <w:rPr>
          <w:rFonts w:ascii="Times New Roman" w:hAnsi="Times New Roman" w:eastAsia="宋体" w:cs="宋体"/>
          <w:sz w:val="20"/>
          <w:szCs w:val="20"/>
          <w:lang w:eastAsia="zh-CN"/>
        </w:rPr>
        <w:t xml:space="preserve">1、供应商不得为“信用中国”网站 </w:t>
      </w:r>
      <w:r>
        <w:rPr>
          <w:rFonts w:hint="eastAsia" w:ascii="Times New Roman" w:hAnsi="Times New Roman" w:eastAsia="宋体"/>
          <w:sz w:val="20"/>
          <w:szCs w:val="20"/>
          <w:lang w:eastAsia="zh-CN"/>
        </w:rPr>
        <w:t>（</w:t>
      </w:r>
      <w:r>
        <w:rPr>
          <w:rFonts w:ascii="Times New Roman" w:hAnsi="Times New Roman"/>
          <w:sz w:val="20"/>
          <w:szCs w:val="20"/>
          <w:lang w:eastAsia="zh-CN"/>
        </w:rPr>
        <w:t>www.creditchina.gov.cn</w:t>
      </w:r>
      <w:r>
        <w:rPr>
          <w:rFonts w:hint="eastAsia" w:ascii="Times New Roman" w:hAnsi="Times New Roman" w:eastAsia="宋体"/>
          <w:sz w:val="20"/>
          <w:szCs w:val="20"/>
          <w:lang w:eastAsia="zh-CN"/>
        </w:rPr>
        <w:t>）</w:t>
      </w:r>
      <w:r>
        <w:rPr>
          <w:rFonts w:ascii="Times New Roman" w:hAnsi="Times New Roman" w:eastAsia="宋体" w:cs="宋体"/>
          <w:sz w:val="20"/>
          <w:szCs w:val="20"/>
          <w:lang w:eastAsia="zh-CN"/>
        </w:rPr>
        <w:t>中列入重大税收违法案件 当事人名单的投标人，不得为中国执行信息公开网</w:t>
      </w:r>
      <w:r>
        <w:rPr>
          <w:rFonts w:hint="eastAsia" w:ascii="Times New Roman" w:hAnsi="Times New Roman" w:eastAsia="宋体" w:cs="宋体"/>
          <w:sz w:val="20"/>
          <w:szCs w:val="20"/>
          <w:lang w:eastAsia="zh-CN"/>
        </w:rPr>
        <w:t>（</w:t>
      </w:r>
      <w:r>
        <w:fldChar w:fldCharType="begin"/>
      </w:r>
      <w:r>
        <w:instrText xml:space="preserve"> HYPERLINK "http://zxgk.court.gov.cn" </w:instrText>
      </w:r>
      <w:r>
        <w:fldChar w:fldCharType="separate"/>
      </w:r>
      <w:r>
        <w:rPr>
          <w:rFonts w:ascii="Times New Roman" w:hAnsi="Times New Roman" w:eastAsia="宋体" w:cs="宋体"/>
          <w:sz w:val="20"/>
          <w:szCs w:val="20"/>
          <w:lang w:eastAsia="zh-CN"/>
        </w:rPr>
        <w:t>http://zxgk.court.gov.cn</w:t>
      </w:r>
      <w:r>
        <w:rPr>
          <w:rFonts w:ascii="Times New Roman" w:hAnsi="Times New Roman" w:eastAsia="宋体" w:cs="宋体"/>
          <w:sz w:val="20"/>
          <w:szCs w:val="20"/>
          <w:lang w:eastAsia="zh-CN"/>
        </w:rPr>
        <w:fldChar w:fldCharType="end"/>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 xml:space="preserve">  中列入失 信被执行人名单，不得为中国政府采购网 </w:t>
      </w:r>
      <w:r>
        <w:rPr>
          <w:rFonts w:hint="eastAsia" w:ascii="Times New Roman" w:hAnsi="Times New Roman" w:eastAsia="宋体"/>
          <w:sz w:val="20"/>
          <w:szCs w:val="20"/>
          <w:lang w:eastAsia="zh-CN"/>
        </w:rPr>
        <w:t>（</w:t>
      </w:r>
      <w:r>
        <w:rPr>
          <w:rFonts w:ascii="Times New Roman" w:hAnsi="Times New Roman"/>
          <w:sz w:val="20"/>
          <w:szCs w:val="20"/>
          <w:lang w:eastAsia="zh-CN"/>
        </w:rPr>
        <w:t>www.ccgp.gov.cn</w:t>
      </w:r>
      <w:r>
        <w:rPr>
          <w:rFonts w:hint="eastAsia" w:ascii="Times New Roman" w:hAnsi="Times New Roman" w:eastAsia="宋体"/>
          <w:sz w:val="20"/>
          <w:szCs w:val="20"/>
          <w:lang w:eastAsia="zh-CN"/>
        </w:rPr>
        <w:t>）</w:t>
      </w:r>
      <w:r>
        <w:rPr>
          <w:rFonts w:ascii="Times New Roman" w:hAnsi="Times New Roman" w:eastAsia="宋体" w:cs="宋体"/>
          <w:sz w:val="20"/>
          <w:szCs w:val="20"/>
          <w:lang w:eastAsia="zh-CN"/>
        </w:rPr>
        <w:t>政府采购严重违法失信行为 记录名单中被财政部门禁止参加政府采购活动的投标人</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详见财库[2016]125号</w:t>
      </w:r>
      <w:r>
        <w:rPr>
          <w:rFonts w:hint="eastAsia" w:ascii="Times New Roman" w:hAnsi="Times New Roman" w:eastAsia="宋体" w:cs="宋体"/>
          <w:sz w:val="20"/>
          <w:szCs w:val="20"/>
          <w:lang w:eastAsia="zh-CN"/>
        </w:rPr>
        <w:t>）</w:t>
      </w:r>
      <w:r>
        <w:rPr>
          <w:rFonts w:ascii="Times New Roman" w:hAnsi="Times New Roman" w:eastAsia="宋体" w:cs="宋体"/>
          <w:sz w:val="20"/>
          <w:szCs w:val="20"/>
          <w:lang w:eastAsia="zh-CN"/>
        </w:rPr>
        <w:t>。供应商 及其法定代表人不得在“中国裁判文书网”列入存在行贿犯罪情形。</w:t>
      </w:r>
    </w:p>
    <w:p w14:paraId="32DB4589">
      <w:pPr>
        <w:spacing w:line="360" w:lineRule="auto"/>
        <w:ind w:left="4"/>
        <w:rPr>
          <w:rFonts w:ascii="Times New Roman" w:hAnsi="Times New Roman" w:eastAsia="宋体" w:cs="宋体"/>
          <w:sz w:val="20"/>
          <w:szCs w:val="20"/>
          <w:lang w:eastAsia="zh-CN"/>
        </w:rPr>
      </w:pPr>
      <w:r>
        <w:rPr>
          <w:rFonts w:ascii="Times New Roman" w:hAnsi="Times New Roman" w:eastAsia="宋体" w:cs="宋体"/>
          <w:sz w:val="20"/>
          <w:szCs w:val="20"/>
          <w:lang w:eastAsia="zh-CN"/>
        </w:rPr>
        <w:t>2、 供应商不存在招标文件第二章“投标人须知”第1.4.2和1.4.3项规定内容的承诺书。</w:t>
      </w:r>
    </w:p>
    <w:p w14:paraId="07AA490D">
      <w:pPr>
        <w:pStyle w:val="5"/>
        <w:spacing w:line="360" w:lineRule="auto"/>
        <w:rPr>
          <w:rFonts w:ascii="Times New Roman" w:hAnsi="Times New Roman"/>
          <w:lang w:eastAsia="zh-CN"/>
        </w:rPr>
      </w:pPr>
    </w:p>
    <w:p w14:paraId="4E7030C1">
      <w:pPr>
        <w:spacing w:line="360" w:lineRule="auto"/>
        <w:ind w:left="7"/>
        <w:rPr>
          <w:rFonts w:ascii="Times New Roman" w:hAnsi="Times New Roman" w:eastAsia="黑体" w:cs="黑体"/>
          <w:sz w:val="20"/>
          <w:szCs w:val="20"/>
          <w:lang w:eastAsia="zh-CN"/>
        </w:rPr>
      </w:pPr>
      <w:r>
        <w:rPr>
          <w:rFonts w:ascii="Times New Roman" w:hAnsi="Times New Roman" w:eastAsia="黑体" w:cs="黑体"/>
          <w:b/>
          <w:bCs/>
          <w:sz w:val="20"/>
          <w:szCs w:val="20"/>
          <w:lang w:eastAsia="zh-CN"/>
        </w:rPr>
        <w:t>提供由法定代表人或其接权委托人签字并加盖公章的承诺书。承诺书格式自拟。</w:t>
      </w:r>
    </w:p>
    <w:p w14:paraId="3D38FC96">
      <w:pPr>
        <w:spacing w:line="360" w:lineRule="auto"/>
        <w:rPr>
          <w:rFonts w:ascii="Times New Roman" w:hAnsi="Times New Roman" w:eastAsia="黑体" w:cs="黑体"/>
          <w:sz w:val="20"/>
          <w:szCs w:val="20"/>
          <w:lang w:eastAsia="zh-CN"/>
        </w:rPr>
        <w:sectPr>
          <w:footerReference r:id="rId35" w:type="default"/>
          <w:pgSz w:w="11905" w:h="16838"/>
          <w:pgMar w:top="1134" w:right="1134" w:bottom="1134" w:left="1134" w:header="0" w:footer="1043" w:gutter="0"/>
          <w:cols w:space="0" w:num="1"/>
        </w:sectPr>
      </w:pPr>
    </w:p>
    <w:p w14:paraId="7C9279F7">
      <w:pPr>
        <w:spacing w:line="360" w:lineRule="auto"/>
        <w:ind w:left="3009"/>
        <w:outlineLvl w:val="6"/>
        <w:rPr>
          <w:rFonts w:ascii="Times New Roman" w:hAnsi="Times New Roman" w:eastAsia="宋体" w:cs="宋体"/>
          <w:sz w:val="32"/>
          <w:szCs w:val="32"/>
          <w:lang w:eastAsia="zh-CN"/>
        </w:rPr>
      </w:pPr>
      <w:r>
        <w:rPr>
          <w:rFonts w:ascii="Times New Roman" w:hAnsi="Times New Roman" w:eastAsia="宋体" w:cs="宋体"/>
          <w:b/>
          <w:bCs/>
          <w:sz w:val="32"/>
          <w:szCs w:val="32"/>
          <w:lang w:eastAsia="zh-CN"/>
        </w:rPr>
        <w:t>九、商务及技术条款偏离表</w:t>
      </w:r>
    </w:p>
    <w:p w14:paraId="2702C8B7">
      <w:pPr>
        <w:spacing w:line="360" w:lineRule="auto"/>
        <w:ind w:left="354"/>
        <w:rPr>
          <w:rFonts w:ascii="Times New Roman" w:hAnsi="Times New Roman" w:eastAsia="宋体" w:cs="宋体"/>
          <w:sz w:val="24"/>
          <w:szCs w:val="24"/>
        </w:rPr>
      </w:pPr>
      <w:r>
        <w:rPr>
          <w:rFonts w:ascii="Times New Roman" w:hAnsi="Times New Roman" w:eastAsia="宋体" w:cs="宋体"/>
          <w:sz w:val="24"/>
          <w:szCs w:val="24"/>
        </w:rPr>
        <w:t>项目名称：</w:t>
      </w:r>
    </w:p>
    <w:p w14:paraId="4A860001">
      <w:pPr>
        <w:spacing w:line="360" w:lineRule="auto"/>
        <w:rPr>
          <w:rFonts w:ascii="Times New Roman" w:hAnsi="Times New Roman"/>
        </w:rPr>
      </w:pPr>
    </w:p>
    <w:tbl>
      <w:tblPr>
        <w:tblStyle w:val="20"/>
        <w:tblW w:w="90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3596"/>
        <w:gridCol w:w="3156"/>
        <w:gridCol w:w="1493"/>
      </w:tblGrid>
      <w:tr w14:paraId="06F30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824" w:type="dxa"/>
          </w:tcPr>
          <w:p w14:paraId="587D2DAF">
            <w:pPr>
              <w:pStyle w:val="21"/>
            </w:pPr>
            <w:r>
              <w:t>序号</w:t>
            </w:r>
          </w:p>
        </w:tc>
        <w:tc>
          <w:tcPr>
            <w:tcW w:w="3596" w:type="dxa"/>
          </w:tcPr>
          <w:p w14:paraId="2C03B030">
            <w:pPr>
              <w:pStyle w:val="21"/>
            </w:pPr>
            <w:r>
              <w:t>招标文件的条款</w:t>
            </w:r>
          </w:p>
        </w:tc>
        <w:tc>
          <w:tcPr>
            <w:tcW w:w="3156" w:type="dxa"/>
          </w:tcPr>
          <w:p w14:paraId="71FEA40F">
            <w:pPr>
              <w:pStyle w:val="21"/>
            </w:pPr>
            <w:r>
              <w:t>投标文件的条款</w:t>
            </w:r>
          </w:p>
        </w:tc>
        <w:tc>
          <w:tcPr>
            <w:tcW w:w="1493" w:type="dxa"/>
          </w:tcPr>
          <w:p w14:paraId="62C721D9">
            <w:pPr>
              <w:pStyle w:val="21"/>
            </w:pPr>
            <w:r>
              <w:t>说明</w:t>
            </w:r>
          </w:p>
        </w:tc>
      </w:tr>
      <w:tr w14:paraId="605E8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24" w:type="dxa"/>
          </w:tcPr>
          <w:p w14:paraId="0B14D9FA">
            <w:pPr>
              <w:spacing w:line="360" w:lineRule="auto"/>
              <w:rPr>
                <w:rFonts w:ascii="Times New Roman" w:hAnsi="Times New Roman"/>
              </w:rPr>
            </w:pPr>
          </w:p>
        </w:tc>
        <w:tc>
          <w:tcPr>
            <w:tcW w:w="3596" w:type="dxa"/>
          </w:tcPr>
          <w:p w14:paraId="2D2795FC">
            <w:pPr>
              <w:spacing w:line="360" w:lineRule="auto"/>
              <w:rPr>
                <w:rFonts w:ascii="Times New Roman" w:hAnsi="Times New Roman"/>
              </w:rPr>
            </w:pPr>
          </w:p>
        </w:tc>
        <w:tc>
          <w:tcPr>
            <w:tcW w:w="3156" w:type="dxa"/>
          </w:tcPr>
          <w:p w14:paraId="18A2442C">
            <w:pPr>
              <w:spacing w:line="360" w:lineRule="auto"/>
              <w:rPr>
                <w:rFonts w:ascii="Times New Roman" w:hAnsi="Times New Roman"/>
              </w:rPr>
            </w:pPr>
          </w:p>
        </w:tc>
        <w:tc>
          <w:tcPr>
            <w:tcW w:w="1493" w:type="dxa"/>
          </w:tcPr>
          <w:p w14:paraId="282CF8D7">
            <w:pPr>
              <w:spacing w:line="360" w:lineRule="auto"/>
              <w:rPr>
                <w:rFonts w:ascii="Times New Roman" w:hAnsi="Times New Roman"/>
              </w:rPr>
            </w:pPr>
          </w:p>
        </w:tc>
      </w:tr>
      <w:tr w14:paraId="1D7BF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24" w:type="dxa"/>
          </w:tcPr>
          <w:p w14:paraId="0AE242D3">
            <w:pPr>
              <w:spacing w:line="360" w:lineRule="auto"/>
              <w:rPr>
                <w:rFonts w:ascii="Times New Roman" w:hAnsi="Times New Roman"/>
              </w:rPr>
            </w:pPr>
          </w:p>
        </w:tc>
        <w:tc>
          <w:tcPr>
            <w:tcW w:w="3596" w:type="dxa"/>
          </w:tcPr>
          <w:p w14:paraId="261F51DF">
            <w:pPr>
              <w:spacing w:line="360" w:lineRule="auto"/>
              <w:rPr>
                <w:rFonts w:ascii="Times New Roman" w:hAnsi="Times New Roman"/>
              </w:rPr>
            </w:pPr>
          </w:p>
        </w:tc>
        <w:tc>
          <w:tcPr>
            <w:tcW w:w="3156" w:type="dxa"/>
          </w:tcPr>
          <w:p w14:paraId="6A065526">
            <w:pPr>
              <w:spacing w:line="360" w:lineRule="auto"/>
              <w:rPr>
                <w:rFonts w:ascii="Times New Roman" w:hAnsi="Times New Roman"/>
              </w:rPr>
            </w:pPr>
          </w:p>
        </w:tc>
        <w:tc>
          <w:tcPr>
            <w:tcW w:w="1493" w:type="dxa"/>
          </w:tcPr>
          <w:p w14:paraId="3187224E">
            <w:pPr>
              <w:spacing w:line="360" w:lineRule="auto"/>
              <w:rPr>
                <w:rFonts w:ascii="Times New Roman" w:hAnsi="Times New Roman"/>
              </w:rPr>
            </w:pPr>
          </w:p>
        </w:tc>
      </w:tr>
      <w:tr w14:paraId="40965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24" w:type="dxa"/>
          </w:tcPr>
          <w:p w14:paraId="3E5DDC1F">
            <w:pPr>
              <w:spacing w:line="360" w:lineRule="auto"/>
              <w:rPr>
                <w:rFonts w:ascii="Times New Roman" w:hAnsi="Times New Roman"/>
              </w:rPr>
            </w:pPr>
          </w:p>
        </w:tc>
        <w:tc>
          <w:tcPr>
            <w:tcW w:w="3596" w:type="dxa"/>
          </w:tcPr>
          <w:p w14:paraId="611533F6">
            <w:pPr>
              <w:spacing w:line="360" w:lineRule="auto"/>
              <w:rPr>
                <w:rFonts w:ascii="Times New Roman" w:hAnsi="Times New Roman"/>
              </w:rPr>
            </w:pPr>
          </w:p>
        </w:tc>
        <w:tc>
          <w:tcPr>
            <w:tcW w:w="3156" w:type="dxa"/>
          </w:tcPr>
          <w:p w14:paraId="2370E1D2">
            <w:pPr>
              <w:spacing w:line="360" w:lineRule="auto"/>
              <w:rPr>
                <w:rFonts w:ascii="Times New Roman" w:hAnsi="Times New Roman"/>
              </w:rPr>
            </w:pPr>
          </w:p>
        </w:tc>
        <w:tc>
          <w:tcPr>
            <w:tcW w:w="1493" w:type="dxa"/>
          </w:tcPr>
          <w:p w14:paraId="59DE57A0">
            <w:pPr>
              <w:spacing w:line="360" w:lineRule="auto"/>
              <w:rPr>
                <w:rFonts w:ascii="Times New Roman" w:hAnsi="Times New Roman"/>
              </w:rPr>
            </w:pPr>
          </w:p>
        </w:tc>
      </w:tr>
      <w:tr w14:paraId="13F90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24" w:type="dxa"/>
          </w:tcPr>
          <w:p w14:paraId="6FD21EF8">
            <w:pPr>
              <w:spacing w:line="360" w:lineRule="auto"/>
              <w:rPr>
                <w:rFonts w:ascii="Times New Roman" w:hAnsi="Times New Roman"/>
              </w:rPr>
            </w:pPr>
          </w:p>
        </w:tc>
        <w:tc>
          <w:tcPr>
            <w:tcW w:w="3596" w:type="dxa"/>
          </w:tcPr>
          <w:p w14:paraId="610B4336">
            <w:pPr>
              <w:spacing w:line="360" w:lineRule="auto"/>
              <w:rPr>
                <w:rFonts w:ascii="Times New Roman" w:hAnsi="Times New Roman"/>
              </w:rPr>
            </w:pPr>
          </w:p>
        </w:tc>
        <w:tc>
          <w:tcPr>
            <w:tcW w:w="3156" w:type="dxa"/>
          </w:tcPr>
          <w:p w14:paraId="642CC7F5">
            <w:pPr>
              <w:spacing w:line="360" w:lineRule="auto"/>
              <w:rPr>
                <w:rFonts w:ascii="Times New Roman" w:hAnsi="Times New Roman"/>
              </w:rPr>
            </w:pPr>
          </w:p>
        </w:tc>
        <w:tc>
          <w:tcPr>
            <w:tcW w:w="1493" w:type="dxa"/>
          </w:tcPr>
          <w:p w14:paraId="2C24A352">
            <w:pPr>
              <w:spacing w:line="360" w:lineRule="auto"/>
              <w:rPr>
                <w:rFonts w:ascii="Times New Roman" w:hAnsi="Times New Roman"/>
              </w:rPr>
            </w:pPr>
          </w:p>
        </w:tc>
      </w:tr>
      <w:tr w14:paraId="359A7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24" w:type="dxa"/>
          </w:tcPr>
          <w:p w14:paraId="742FDEA0">
            <w:pPr>
              <w:spacing w:line="360" w:lineRule="auto"/>
              <w:rPr>
                <w:rFonts w:ascii="Times New Roman" w:hAnsi="Times New Roman"/>
              </w:rPr>
            </w:pPr>
          </w:p>
        </w:tc>
        <w:tc>
          <w:tcPr>
            <w:tcW w:w="3596" w:type="dxa"/>
          </w:tcPr>
          <w:p w14:paraId="01A84AEA">
            <w:pPr>
              <w:spacing w:line="360" w:lineRule="auto"/>
              <w:rPr>
                <w:rFonts w:ascii="Times New Roman" w:hAnsi="Times New Roman"/>
              </w:rPr>
            </w:pPr>
          </w:p>
        </w:tc>
        <w:tc>
          <w:tcPr>
            <w:tcW w:w="3156" w:type="dxa"/>
          </w:tcPr>
          <w:p w14:paraId="0AEDE897">
            <w:pPr>
              <w:spacing w:line="360" w:lineRule="auto"/>
              <w:rPr>
                <w:rFonts w:ascii="Times New Roman" w:hAnsi="Times New Roman"/>
              </w:rPr>
            </w:pPr>
          </w:p>
        </w:tc>
        <w:tc>
          <w:tcPr>
            <w:tcW w:w="1493" w:type="dxa"/>
          </w:tcPr>
          <w:p w14:paraId="05006E69">
            <w:pPr>
              <w:spacing w:line="360" w:lineRule="auto"/>
              <w:rPr>
                <w:rFonts w:ascii="Times New Roman" w:hAnsi="Times New Roman"/>
              </w:rPr>
            </w:pPr>
          </w:p>
        </w:tc>
      </w:tr>
      <w:tr w14:paraId="6EB57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24" w:type="dxa"/>
          </w:tcPr>
          <w:p w14:paraId="5C006189">
            <w:pPr>
              <w:spacing w:line="360" w:lineRule="auto"/>
              <w:rPr>
                <w:rFonts w:ascii="Times New Roman" w:hAnsi="Times New Roman"/>
              </w:rPr>
            </w:pPr>
          </w:p>
        </w:tc>
        <w:tc>
          <w:tcPr>
            <w:tcW w:w="3596" w:type="dxa"/>
          </w:tcPr>
          <w:p w14:paraId="36B06C06">
            <w:pPr>
              <w:spacing w:line="360" w:lineRule="auto"/>
              <w:rPr>
                <w:rFonts w:ascii="Times New Roman" w:hAnsi="Times New Roman"/>
              </w:rPr>
            </w:pPr>
          </w:p>
        </w:tc>
        <w:tc>
          <w:tcPr>
            <w:tcW w:w="3156" w:type="dxa"/>
          </w:tcPr>
          <w:p w14:paraId="75EB8FEC">
            <w:pPr>
              <w:spacing w:line="360" w:lineRule="auto"/>
              <w:rPr>
                <w:rFonts w:ascii="Times New Roman" w:hAnsi="Times New Roman"/>
              </w:rPr>
            </w:pPr>
          </w:p>
        </w:tc>
        <w:tc>
          <w:tcPr>
            <w:tcW w:w="1493" w:type="dxa"/>
          </w:tcPr>
          <w:p w14:paraId="49ABC791">
            <w:pPr>
              <w:spacing w:line="360" w:lineRule="auto"/>
              <w:rPr>
                <w:rFonts w:ascii="Times New Roman" w:hAnsi="Times New Roman"/>
              </w:rPr>
            </w:pPr>
          </w:p>
        </w:tc>
      </w:tr>
      <w:tr w14:paraId="51661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24" w:type="dxa"/>
          </w:tcPr>
          <w:p w14:paraId="4AD113EF">
            <w:pPr>
              <w:spacing w:line="360" w:lineRule="auto"/>
              <w:rPr>
                <w:rFonts w:ascii="Times New Roman" w:hAnsi="Times New Roman"/>
              </w:rPr>
            </w:pPr>
          </w:p>
        </w:tc>
        <w:tc>
          <w:tcPr>
            <w:tcW w:w="3596" w:type="dxa"/>
          </w:tcPr>
          <w:p w14:paraId="0FB0019C">
            <w:pPr>
              <w:spacing w:line="360" w:lineRule="auto"/>
              <w:rPr>
                <w:rFonts w:ascii="Times New Roman" w:hAnsi="Times New Roman"/>
              </w:rPr>
            </w:pPr>
          </w:p>
        </w:tc>
        <w:tc>
          <w:tcPr>
            <w:tcW w:w="3156" w:type="dxa"/>
          </w:tcPr>
          <w:p w14:paraId="12EFDC98">
            <w:pPr>
              <w:spacing w:line="360" w:lineRule="auto"/>
              <w:rPr>
                <w:rFonts w:ascii="Times New Roman" w:hAnsi="Times New Roman"/>
              </w:rPr>
            </w:pPr>
          </w:p>
        </w:tc>
        <w:tc>
          <w:tcPr>
            <w:tcW w:w="1493" w:type="dxa"/>
          </w:tcPr>
          <w:p w14:paraId="39F1D176">
            <w:pPr>
              <w:spacing w:line="360" w:lineRule="auto"/>
              <w:rPr>
                <w:rFonts w:ascii="Times New Roman" w:hAnsi="Times New Roman"/>
              </w:rPr>
            </w:pPr>
          </w:p>
        </w:tc>
      </w:tr>
      <w:tr w14:paraId="4367B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824" w:type="dxa"/>
          </w:tcPr>
          <w:p w14:paraId="7807AD6C">
            <w:pPr>
              <w:spacing w:line="360" w:lineRule="auto"/>
              <w:rPr>
                <w:rFonts w:ascii="Times New Roman" w:hAnsi="Times New Roman"/>
              </w:rPr>
            </w:pPr>
          </w:p>
        </w:tc>
        <w:tc>
          <w:tcPr>
            <w:tcW w:w="3596" w:type="dxa"/>
          </w:tcPr>
          <w:p w14:paraId="68D2C7CD">
            <w:pPr>
              <w:spacing w:line="360" w:lineRule="auto"/>
              <w:rPr>
                <w:rFonts w:ascii="Times New Roman" w:hAnsi="Times New Roman"/>
              </w:rPr>
            </w:pPr>
          </w:p>
        </w:tc>
        <w:tc>
          <w:tcPr>
            <w:tcW w:w="3156" w:type="dxa"/>
          </w:tcPr>
          <w:p w14:paraId="1609233E">
            <w:pPr>
              <w:spacing w:line="360" w:lineRule="auto"/>
              <w:rPr>
                <w:rFonts w:ascii="Times New Roman" w:hAnsi="Times New Roman"/>
              </w:rPr>
            </w:pPr>
          </w:p>
        </w:tc>
        <w:tc>
          <w:tcPr>
            <w:tcW w:w="1493" w:type="dxa"/>
          </w:tcPr>
          <w:p w14:paraId="02A2A37F">
            <w:pPr>
              <w:spacing w:line="360" w:lineRule="auto"/>
              <w:rPr>
                <w:rFonts w:ascii="Times New Roman" w:hAnsi="Times New Roman"/>
              </w:rPr>
            </w:pPr>
          </w:p>
        </w:tc>
      </w:tr>
    </w:tbl>
    <w:p w14:paraId="1393846C">
      <w:pPr>
        <w:spacing w:line="360" w:lineRule="auto"/>
        <w:ind w:left="413" w:hanging="9"/>
        <w:rPr>
          <w:rFonts w:ascii="Times New Roman" w:hAnsi="Times New Roman" w:eastAsia="宋体" w:cs="宋体"/>
          <w:sz w:val="24"/>
          <w:szCs w:val="24"/>
          <w:lang w:eastAsia="zh-CN"/>
        </w:rPr>
      </w:pPr>
      <w:r>
        <w:rPr>
          <w:rFonts w:ascii="Times New Roman" w:hAnsi="Times New Roman" w:eastAsia="宋体" w:cs="宋体"/>
          <w:sz w:val="24"/>
          <w:szCs w:val="24"/>
          <w:lang w:eastAsia="zh-CN"/>
        </w:rPr>
        <w:t xml:space="preserve">注：投标人所提供的文件与招标文件中的要求如有任何偏差，都必须在“偏离表” 中列出。 </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没有偏离请填无或无偏离</w:t>
      </w:r>
      <w:r>
        <w:rPr>
          <w:rFonts w:hint="eastAsia" w:ascii="Times New Roman" w:hAnsi="Times New Roman" w:eastAsia="宋体" w:cs="宋体"/>
          <w:sz w:val="24"/>
          <w:szCs w:val="24"/>
          <w:lang w:eastAsia="zh-CN"/>
        </w:rPr>
        <w:t>）</w:t>
      </w:r>
    </w:p>
    <w:p w14:paraId="7B885BF0">
      <w:pPr>
        <w:pStyle w:val="5"/>
        <w:spacing w:line="360" w:lineRule="auto"/>
        <w:rPr>
          <w:rFonts w:ascii="Times New Roman" w:hAnsi="Times New Roman"/>
          <w:lang w:eastAsia="zh-CN"/>
        </w:rPr>
      </w:pPr>
    </w:p>
    <w:p w14:paraId="268683C6">
      <w:pPr>
        <w:spacing w:line="360" w:lineRule="auto"/>
        <w:ind w:left="855"/>
        <w:rPr>
          <w:rFonts w:ascii="Times New Roman" w:hAnsi="Times New Roman" w:eastAsia="宋体" w:cs="宋体"/>
          <w:sz w:val="24"/>
          <w:szCs w:val="24"/>
          <w:lang w:eastAsia="zh-CN"/>
        </w:rPr>
      </w:pPr>
      <w:r>
        <w:rPr>
          <w:rFonts w:ascii="Times New Roman" w:hAnsi="Times New Roman" w:eastAsia="宋体" w:cs="宋体"/>
          <w:sz w:val="24"/>
          <w:szCs w:val="24"/>
          <w:lang w:eastAsia="zh-CN"/>
        </w:rPr>
        <w:t>供应商</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盖章</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w:t>
      </w:r>
    </w:p>
    <w:p w14:paraId="08324245">
      <w:pPr>
        <w:spacing w:line="360" w:lineRule="auto"/>
        <w:ind w:left="855"/>
        <w:rPr>
          <w:rFonts w:ascii="Times New Roman" w:hAnsi="Times New Roman" w:eastAsia="宋体" w:cs="宋体"/>
          <w:sz w:val="24"/>
          <w:szCs w:val="24"/>
          <w:lang w:eastAsia="zh-CN"/>
        </w:rPr>
      </w:pPr>
      <w:r>
        <w:rPr>
          <w:rFonts w:ascii="Times New Roman" w:hAnsi="Times New Roman" w:eastAsia="宋体" w:cs="宋体"/>
          <w:sz w:val="24"/>
          <w:szCs w:val="24"/>
          <w:lang w:eastAsia="zh-CN"/>
        </w:rPr>
        <w:t>法人代表或委托代理人</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签字或盖章</w:t>
      </w:r>
      <w:r>
        <w:rPr>
          <w:rFonts w:hint="eastAsia" w:ascii="Times New Roman" w:hAnsi="Times New Roman" w:eastAsia="宋体" w:cs="宋体"/>
          <w:sz w:val="24"/>
          <w:szCs w:val="24"/>
          <w:lang w:eastAsia="zh-CN"/>
        </w:rPr>
        <w:t>）</w:t>
      </w:r>
      <w:r>
        <w:rPr>
          <w:rFonts w:ascii="Times New Roman" w:hAnsi="Times New Roman" w:eastAsia="宋体" w:cs="宋体"/>
          <w:sz w:val="24"/>
          <w:szCs w:val="24"/>
          <w:lang w:eastAsia="zh-CN"/>
        </w:rPr>
        <w:t>:</w:t>
      </w:r>
    </w:p>
    <w:p w14:paraId="630E871E">
      <w:pPr>
        <w:spacing w:line="360" w:lineRule="auto"/>
        <w:ind w:left="855"/>
        <w:rPr>
          <w:rFonts w:ascii="Times New Roman" w:hAnsi="Times New Roman" w:eastAsia="宋体" w:cs="宋体"/>
          <w:sz w:val="24"/>
          <w:szCs w:val="24"/>
        </w:rPr>
      </w:pPr>
      <w:r>
        <w:rPr>
          <w:rFonts w:ascii="Times New Roman" w:hAnsi="Times New Roman" w:eastAsia="宋体" w:cs="宋体"/>
          <w:sz w:val="24"/>
          <w:szCs w:val="24"/>
        </w:rPr>
        <w:t>日 期 ：  年      月       日</w:t>
      </w:r>
    </w:p>
    <w:p w14:paraId="515F1C16">
      <w:pPr>
        <w:spacing w:line="360" w:lineRule="auto"/>
        <w:rPr>
          <w:rFonts w:ascii="Times New Roman" w:hAnsi="Times New Roman" w:eastAsia="宋体" w:cs="宋体"/>
          <w:sz w:val="24"/>
          <w:szCs w:val="24"/>
        </w:rPr>
        <w:sectPr>
          <w:footerReference r:id="rId36" w:type="default"/>
          <w:pgSz w:w="11905" w:h="16838"/>
          <w:pgMar w:top="1134" w:right="1134" w:bottom="1134" w:left="1134" w:header="0" w:footer="1043" w:gutter="0"/>
          <w:cols w:space="0" w:num="1"/>
        </w:sectPr>
      </w:pPr>
    </w:p>
    <w:p w14:paraId="694141AB">
      <w:pPr>
        <w:spacing w:line="360" w:lineRule="auto"/>
        <w:ind w:left="3219"/>
        <w:rPr>
          <w:rFonts w:ascii="Times New Roman" w:hAnsi="Times New Roman" w:eastAsia="宋体" w:cs="宋体"/>
          <w:sz w:val="33"/>
          <w:szCs w:val="33"/>
        </w:rPr>
      </w:pPr>
      <w:r>
        <w:rPr>
          <w:rFonts w:ascii="Times New Roman" w:hAnsi="Times New Roman" w:eastAsia="宋体" w:cs="宋体"/>
          <w:b/>
          <w:bCs/>
          <w:sz w:val="33"/>
          <w:szCs w:val="33"/>
        </w:rPr>
        <w:t>十、其他材料</w:t>
      </w:r>
    </w:p>
    <w:p w14:paraId="17F5CED1">
      <w:pPr>
        <w:pStyle w:val="5"/>
        <w:spacing w:line="360" w:lineRule="auto"/>
        <w:rPr>
          <w:rFonts w:ascii="Times New Roman" w:hAnsi="Times New Roman"/>
        </w:rPr>
      </w:pPr>
    </w:p>
    <w:p w14:paraId="567C8EDF">
      <w:pPr>
        <w:pStyle w:val="5"/>
        <w:spacing w:line="360" w:lineRule="auto"/>
        <w:rPr>
          <w:rFonts w:ascii="Times New Roman" w:hAnsi="Times New Roman"/>
        </w:rPr>
      </w:pPr>
    </w:p>
    <w:p w14:paraId="46DA9D4C">
      <w:pPr>
        <w:pStyle w:val="5"/>
        <w:spacing w:line="360" w:lineRule="auto"/>
        <w:rPr>
          <w:rFonts w:ascii="Times New Roman" w:hAnsi="Times New Roman"/>
        </w:rPr>
      </w:pPr>
    </w:p>
    <w:p w14:paraId="1874928E">
      <w:pPr>
        <w:pStyle w:val="5"/>
        <w:spacing w:line="360" w:lineRule="auto"/>
        <w:rPr>
          <w:rFonts w:ascii="Times New Roman" w:hAnsi="Times New Roman"/>
        </w:rPr>
      </w:pPr>
    </w:p>
    <w:p w14:paraId="4755D606">
      <w:pPr>
        <w:spacing w:line="360" w:lineRule="auto"/>
        <w:ind w:left="1068"/>
        <w:outlineLvl w:val="6"/>
        <w:rPr>
          <w:rFonts w:ascii="Times New Roman" w:hAnsi="Times New Roman" w:eastAsia="宋体" w:cs="宋体"/>
          <w:sz w:val="22"/>
          <w:szCs w:val="22"/>
          <w:lang w:eastAsia="zh-CN"/>
        </w:rPr>
      </w:pPr>
      <w:r>
        <w:rPr>
          <w:rFonts w:ascii="Times New Roman" w:hAnsi="Times New Roman" w:eastAsia="宋体" w:cs="宋体"/>
          <w:sz w:val="22"/>
          <w:szCs w:val="22"/>
          <w:lang w:eastAsia="zh-CN"/>
        </w:rPr>
        <w:t>1、投标人认为有必要的其它资料及评标办法评审项目的其他证明材料。</w:t>
      </w:r>
    </w:p>
    <w:p w14:paraId="14C5F59B">
      <w:pPr>
        <w:spacing w:line="360" w:lineRule="auto"/>
        <w:rPr>
          <w:rFonts w:ascii="Times New Roman" w:hAnsi="Times New Roman" w:eastAsia="宋体" w:cs="宋体"/>
          <w:sz w:val="22"/>
          <w:szCs w:val="22"/>
          <w:lang w:eastAsia="zh-CN"/>
        </w:rPr>
        <w:sectPr>
          <w:footerReference r:id="rId37" w:type="default"/>
          <w:pgSz w:w="11905" w:h="16838"/>
          <w:pgMar w:top="1134" w:right="1134" w:bottom="1134" w:left="1134" w:header="0" w:footer="1056" w:gutter="0"/>
          <w:cols w:space="0" w:num="1"/>
        </w:sectPr>
      </w:pPr>
    </w:p>
    <w:p w14:paraId="0A8B3894">
      <w:pPr>
        <w:pStyle w:val="3"/>
        <w:jc w:val="center"/>
        <w:rPr>
          <w:sz w:val="32"/>
          <w:szCs w:val="22"/>
          <w:lang w:eastAsia="zh-CN"/>
        </w:rPr>
      </w:pPr>
      <w:bookmarkStart w:id="131" w:name="_Toc19574"/>
      <w:r>
        <w:rPr>
          <w:sz w:val="32"/>
          <w:szCs w:val="22"/>
          <w:lang w:eastAsia="zh-CN"/>
        </w:rPr>
        <w:t>第七章技术标准及要求</w:t>
      </w:r>
      <w:bookmarkEnd w:id="131"/>
    </w:p>
    <w:p w14:paraId="4E785D48">
      <w:pPr>
        <w:pStyle w:val="5"/>
        <w:spacing w:line="360" w:lineRule="auto"/>
        <w:rPr>
          <w:rFonts w:ascii="Times New Roman" w:hAnsi="Times New Roman"/>
          <w:lang w:eastAsia="zh-CN"/>
        </w:rPr>
      </w:pPr>
    </w:p>
    <w:p w14:paraId="3CAE123D">
      <w:pPr>
        <w:pStyle w:val="5"/>
        <w:spacing w:line="360" w:lineRule="auto"/>
        <w:rPr>
          <w:rFonts w:ascii="Times New Roman" w:hAnsi="Times New Roman"/>
          <w:lang w:eastAsia="zh-CN"/>
        </w:rPr>
      </w:pPr>
    </w:p>
    <w:p w14:paraId="726B08CB">
      <w:pPr>
        <w:pStyle w:val="5"/>
        <w:spacing w:line="360" w:lineRule="auto"/>
        <w:rPr>
          <w:rFonts w:ascii="Times New Roman" w:hAnsi="Times New Roman"/>
          <w:lang w:eastAsia="zh-CN"/>
        </w:rPr>
      </w:pPr>
    </w:p>
    <w:p w14:paraId="3EAC5F1B">
      <w:pPr>
        <w:pStyle w:val="5"/>
        <w:spacing w:line="360" w:lineRule="auto"/>
        <w:rPr>
          <w:rFonts w:ascii="Times New Roman" w:hAnsi="Times New Roman"/>
          <w:lang w:eastAsia="zh-CN"/>
        </w:rPr>
      </w:pPr>
    </w:p>
    <w:p w14:paraId="48D22AD6">
      <w:pPr>
        <w:spacing w:line="360" w:lineRule="auto"/>
        <w:ind w:left="805"/>
        <w:rPr>
          <w:rFonts w:ascii="Times New Roman" w:hAnsi="Times New Roman" w:eastAsia="宋体" w:cs="宋体"/>
          <w:sz w:val="22"/>
          <w:szCs w:val="22"/>
          <w:lang w:eastAsia="zh-CN"/>
        </w:rPr>
      </w:pPr>
      <w:r>
        <w:rPr>
          <w:rFonts w:ascii="Times New Roman" w:hAnsi="Times New Roman" w:eastAsia="宋体" w:cs="宋体"/>
          <w:sz w:val="22"/>
          <w:szCs w:val="22"/>
          <w:lang w:eastAsia="zh-CN"/>
        </w:rPr>
        <w:t>需严格执行国家及省、市相应的规范、标准及规定、强制性标准和要求。</w:t>
      </w:r>
    </w:p>
    <w:sectPr>
      <w:footerReference r:id="rId38" w:type="default"/>
      <w:pgSz w:w="11905" w:h="16838"/>
      <w:pgMar w:top="1134" w:right="1134" w:bottom="1134" w:left="1134" w:header="0" w:footer="104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6293">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674B6">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4C768C">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4vhk6AgAAc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COL4ZOgIAAHEEAAAOAAAAAAAAAAEAIAAAAB8BAABkcnMvZTJvRG9j&#10;LnhtbFBLBQYAAAAABgAGAFkBAADLBQAAAAA=&#10;">
              <v:fill on="f" focussize="0,0"/>
              <v:stroke on="f" weight="0.5pt"/>
              <v:imagedata o:title=""/>
              <o:lock v:ext="edit" aspectratio="f"/>
              <v:textbox inset="0mm,0mm,0mm,0mm" style="mso-fit-shape-to-text:t;">
                <w:txbxContent>
                  <w:p w14:paraId="284C768C">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857D">
    <w:pPr>
      <w:pStyle w:val="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F268C3">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K9Fw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jivRcOgIAAHEEAAAOAAAAAAAAAAEAIAAAAB8BAABkcnMvZTJvRG9j&#10;LnhtbFBLBQYAAAAABgAGAFkBAADLBQAAAAA=&#10;">
              <v:fill on="f" focussize="0,0"/>
              <v:stroke on="f" weight="0.5pt"/>
              <v:imagedata o:title=""/>
              <o:lock v:ext="edit" aspectratio="f"/>
              <v:textbox inset="0mm,0mm,0mm,0mm" style="mso-fit-shape-to-text:t;">
                <w:txbxContent>
                  <w:p w14:paraId="37F268C3">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0F82C">
    <w:pPr>
      <w:pStyle w:val="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142783">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cK5M5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BcK5M5AgAAcQQAAA4AAAAAAAAAAQAgAAAAHwEAAGRycy9lMm9Eb2Mu&#10;eG1sUEsFBgAAAAAGAAYAWQEAAMoFAAAAAA==&#10;">
              <v:fill on="f" focussize="0,0"/>
              <v:stroke on="f" weight="0.5pt"/>
              <v:imagedata o:title=""/>
              <o:lock v:ext="edit" aspectratio="f"/>
              <v:textbox inset="0mm,0mm,0mm,0mm" style="mso-fit-shape-to-text:t;">
                <w:txbxContent>
                  <w:p w14:paraId="67142783">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5032A">
    <w:pPr>
      <w:pStyle w:val="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F5E7B0">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YdY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HuYdY5AgAAcQQAAA4AAAAAAAAAAQAgAAAAHwEAAGRycy9lMm9Eb2Mu&#10;eG1sUEsFBgAAAAAGAAYAWQEAAMoFAAAAAA==&#10;">
              <v:fill on="f" focussize="0,0"/>
              <v:stroke on="f" weight="0.5pt"/>
              <v:imagedata o:title=""/>
              <o:lock v:ext="edit" aspectratio="f"/>
              <v:textbox inset="0mm,0mm,0mm,0mm" style="mso-fit-shape-to-text:t;">
                <w:txbxContent>
                  <w:p w14:paraId="3BF5E7B0">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E3DD">
    <w:pPr>
      <w:pStyle w:val="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C0F5BA">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fill on="f" focussize="0,0"/>
              <v:stroke on="f" weight="0.5pt"/>
              <v:imagedata o:title=""/>
              <o:lock v:ext="edit" aspectratio="f"/>
              <v:textbox inset="0mm,0mm,0mm,0mm" style="mso-fit-shape-to-text:t;">
                <w:txbxContent>
                  <w:p w14:paraId="34C0F5BA">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645E0">
    <w:pPr>
      <w:pStyle w:val="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6A27C5">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14:paraId="656A27C5">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AF4BF">
    <w:pPr>
      <w:pStyle w:val="8"/>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B79206">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rMmbNwIAAHEEAAAOAAAAAAAAAAEAIAAAAB8BAABkcnMvZTJvRG9jLnht&#10;bFBLBQYAAAAABgAGAFkBAADIBQAAAAA=&#10;">
              <v:fill on="f" focussize="0,0"/>
              <v:stroke on="f" weight="0.5pt"/>
              <v:imagedata o:title=""/>
              <o:lock v:ext="edit" aspectratio="f"/>
              <v:textbox inset="0mm,0mm,0mm,0mm" style="mso-fit-shape-to-text:t;">
                <w:txbxContent>
                  <w:p w14:paraId="77B79206">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CA1FA">
    <w:pPr>
      <w:pStyle w:val="8"/>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E1B285">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eg94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oeg945AgAAcQQAAA4AAAAAAAAAAQAgAAAAHwEAAGRycy9lMm9Eb2Mu&#10;eG1sUEsFBgAAAAAGAAYAWQEAAMoFAAAAAA==&#10;">
              <v:fill on="f" focussize="0,0"/>
              <v:stroke on="f" weight="0.5pt"/>
              <v:imagedata o:title=""/>
              <o:lock v:ext="edit" aspectratio="f"/>
              <v:textbox inset="0mm,0mm,0mm,0mm" style="mso-fit-shape-to-text:t;">
                <w:txbxContent>
                  <w:p w14:paraId="1EE1B285">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95A2">
    <w:pPr>
      <w:pStyle w:val="8"/>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3940EC">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IXBE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pyFwROgIAAHEEAAAOAAAAAAAAAAEAIAAAAB8BAABkcnMvZTJvRG9j&#10;LnhtbFBLBQYAAAAABgAGAFkBAADLBQAAAAA=&#10;">
              <v:fill on="f" focussize="0,0"/>
              <v:stroke on="f" weight="0.5pt"/>
              <v:imagedata o:title=""/>
              <o:lock v:ext="edit" aspectratio="f"/>
              <v:textbox inset="0mm,0mm,0mm,0mm" style="mso-fit-shape-to-text:t;">
                <w:txbxContent>
                  <w:p w14:paraId="413940EC">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03C33">
    <w:pPr>
      <w:pStyle w:val="8"/>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3FD2D6">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6FlQ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ehZUOgIAAHEEAAAOAAAAAAAAAAEAIAAAAB8BAABkcnMvZTJvRG9j&#10;LnhtbFBLBQYAAAAABgAGAFkBAADLBQAAAAA=&#10;">
              <v:fill on="f" focussize="0,0"/>
              <v:stroke on="f" weight="0.5pt"/>
              <v:imagedata o:title=""/>
              <o:lock v:ext="edit" aspectratio="f"/>
              <v:textbox inset="0mm,0mm,0mm,0mm" style="mso-fit-shape-to-text:t;">
                <w:txbxContent>
                  <w:p w14:paraId="783FD2D6">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0A87B">
    <w:pPr>
      <w:pStyle w:val="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7E12">
    <w:pPr>
      <w:pStyle w:val="8"/>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1193D7">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iklU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uYpJVOgIAAHEEAAAOAAAAAAAAAAEAIAAAAB8BAABkcnMvZTJvRG9j&#10;LnhtbFBLBQYAAAAABgAGAFkBAADLBQAAAAA=&#10;">
              <v:fill on="f" focussize="0,0"/>
              <v:stroke on="f" weight="0.5pt"/>
              <v:imagedata o:title=""/>
              <o:lock v:ext="edit" aspectratio="f"/>
              <v:textbox inset="0mm,0mm,0mm,0mm" style="mso-fit-shape-to-text:t;">
                <w:txbxContent>
                  <w:p w14:paraId="761193D7">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AE335">
    <w:pPr>
      <w:pStyle w:val="8"/>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B23849">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2BA5AgAAc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cAeBGutniNtaRIb2nWkxNv29x2Xk3ZZOxV8wIvBD3tNVXtEGwuOj6Xg6HcLF4esPwM+e&#10;nlvnw3thFIlGTh36l2Rlx40PXWgfErNps66lTD2UmjQ5vXk7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Q2BA5AgAAcQQAAA4AAAAAAAAAAQAgAAAAHwEAAGRycy9lMm9Eb2Mu&#10;eG1sUEsFBgAAAAAGAAYAWQEAAMoFAAAAAA==&#10;">
              <v:fill on="f" focussize="0,0"/>
              <v:stroke on="f" weight="0.5pt"/>
              <v:imagedata o:title=""/>
              <o:lock v:ext="edit" aspectratio="f"/>
              <v:textbox inset="0mm,0mm,0mm,0mm" style="mso-fit-shape-to-text:t;">
                <w:txbxContent>
                  <w:p w14:paraId="03B23849">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F088">
    <w:pPr>
      <w:pStyle w:val="8"/>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895332">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GB985AgAAc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by9G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wGB985AgAAcQQAAA4AAAAAAAAAAQAgAAAAHwEAAGRycy9lMm9Eb2Mu&#10;eG1sUEsFBgAAAAAGAAYAWQEAAMoFAAAAAA==&#10;">
              <v:fill on="f" focussize="0,0"/>
              <v:stroke on="f" weight="0.5pt"/>
              <v:imagedata o:title=""/>
              <o:lock v:ext="edit" aspectratio="f"/>
              <v:textbox inset="0mm,0mm,0mm,0mm" style="mso-fit-shape-to-text:t;">
                <w:txbxContent>
                  <w:p w14:paraId="60895332">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BAD5">
    <w:pPr>
      <w:pStyle w:val="8"/>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417605">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0TZo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tE2aOgIAAHEEAAAOAAAAAAAAAAEAIAAAAB8BAABkcnMvZTJvRG9j&#10;LnhtbFBLBQYAAAAABgAGAFkBAADLBQAAAAA=&#10;">
              <v:fill on="f" focussize="0,0"/>
              <v:stroke on="f" weight="0.5pt"/>
              <v:imagedata o:title=""/>
              <o:lock v:ext="edit" aspectratio="f"/>
              <v:textbox inset="0mm,0mm,0mm,0mm" style="mso-fit-shape-to-text:t;">
                <w:txbxContent>
                  <w:p w14:paraId="00417605">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98F6">
    <w:pPr>
      <w:pStyle w:val="8"/>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B4D4A6">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3D9w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t1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A3D9w5AgAAcQQAAA4AAAAAAAAAAQAgAAAAHwEAAGRycy9lMm9Eb2Mu&#10;eG1sUEsFBgAAAAAGAAYAWQEAAMoFAAAAAA==&#10;">
              <v:fill on="f" focussize="0,0"/>
              <v:stroke on="f" weight="0.5pt"/>
              <v:imagedata o:title=""/>
              <o:lock v:ext="edit" aspectratio="f"/>
              <v:textbox inset="0mm,0mm,0mm,0mm" style="mso-fit-shape-to-text:t;">
                <w:txbxContent>
                  <w:p w14:paraId="7BB4D4A6">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9646">
    <w:pPr>
      <w:pStyle w:val="8"/>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1868EB">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RZk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hUWZOgIAAHEEAAAOAAAAAAAAAAEAIAAAAB8BAABkcnMvZTJvRG9j&#10;LnhtbFBLBQYAAAAABgAGAFkBAADLBQAAAAA=&#10;">
              <v:fill on="f" focussize="0,0"/>
              <v:stroke on="f" weight="0.5pt"/>
              <v:imagedata o:title=""/>
              <o:lock v:ext="edit" aspectratio="f"/>
              <v:textbox inset="0mm,0mm,0mm,0mm" style="mso-fit-shape-to-text:t;">
                <w:txbxContent>
                  <w:p w14:paraId="521868EB">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802B">
    <w:pPr>
      <w:pStyle w:val="8"/>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D0FD59">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DvU8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Q71PNwIAAHEEAAAOAAAAAAAAAAEAIAAAAB8BAABkcnMvZTJvRG9jLnht&#10;bFBLBQYAAAAABgAGAFkBAADIBQAAAAA=&#10;">
              <v:fill on="f" focussize="0,0"/>
              <v:stroke on="f" weight="0.5pt"/>
              <v:imagedata o:title=""/>
              <o:lock v:ext="edit" aspectratio="f"/>
              <v:textbox inset="0mm,0mm,0mm,0mm" style="mso-fit-shape-to-text:t;">
                <w:txbxContent>
                  <w:p w14:paraId="38D0FD59">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AFA7">
    <w:pPr>
      <w:pStyle w:val="8"/>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4FC0A8">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fill on="f" focussize="0,0"/>
              <v:stroke on="f" weight="0.5pt"/>
              <v:imagedata o:title=""/>
              <o:lock v:ext="edit" aspectratio="f"/>
              <v:textbox inset="0mm,0mm,0mm,0mm" style="mso-fit-shape-to-text:t;">
                <w:txbxContent>
                  <w:p w14:paraId="374FC0A8">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E59AF">
    <w:pPr>
      <w:pStyle w:val="8"/>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3A4E24">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14:paraId="0B3A4E24">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75B68">
    <w:pPr>
      <w:pStyle w:val="8"/>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CC146C">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VYo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Ha2rD1X3&#10;AHNoWdjqneUxTZTK29UxQNqkeBSoUwWdigdMYupZvzVx1P88p6jHf4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8lWKANwIAAHEEAAAOAAAAAAAAAAEAIAAAAB8BAABkcnMvZTJvRG9jLnht&#10;bFBLBQYAAAAABgAGAFkBAADIBQAAAAA=&#10;">
              <v:fill on="f" focussize="0,0"/>
              <v:stroke on="f" weight="0.5pt"/>
              <v:imagedata o:title=""/>
              <o:lock v:ext="edit" aspectratio="f"/>
              <v:textbox inset="0mm,0mm,0mm,0mm" style="mso-fit-shape-to-text:t;">
                <w:txbxContent>
                  <w:p w14:paraId="0ACC146C">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AF5E">
    <w:pPr>
      <w:pStyle w:val="8"/>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CF555">
    <w:pPr>
      <w:pStyle w:val="8"/>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341024">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N5oE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oUQzhY6ffnw/&#10;/Xw4/fpGcAeBWutniLu3iAzdO9NhbIZ7j8vIu6ucir9gROCHvMeLvKILhMdH08l0msPF4RsOwM8e&#10;n1vnw3thFIlGQR36l2Rlh40PfegQErNps26kTD2UmrQg8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qN5oE5AgAAcQQAAA4AAAAAAAAAAQAgAAAAHwEAAGRycy9lMm9Eb2Mu&#10;eG1sUEsFBgAAAAAGAAYAWQEAAMoFAAAAAA==&#10;">
              <v:fill on="f" focussize="0,0"/>
              <v:stroke on="f" weight="0.5pt"/>
              <v:imagedata o:title=""/>
              <o:lock v:ext="edit" aspectratio="f"/>
              <v:textbox inset="0mm,0mm,0mm,0mm" style="mso-fit-shape-to-text:t;">
                <w:txbxContent>
                  <w:p w14:paraId="5D341024">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000E">
    <w:pPr>
      <w:pStyle w:val="8"/>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547C2B">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rMQ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rK0o0U+j4+cf3&#10;88/f51/fCO4gUGP9HHEPFpGhfWdajM1w73EZebelU/EXjAj8kPd0kVe0gfD4aDadzcZwcfiGA/Cz&#10;p+fW+fBeGEWikVOH/iVZ2XHrQxc6hMRs2mxqKVMPpSYNSLy9Gq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s/rMQ5AgAAcQQAAA4AAAAAAAAAAQAgAAAAHwEAAGRycy9lMm9Eb2Mu&#10;eG1sUEsFBgAAAAAGAAYAWQEAAMoFAAAAAA==&#10;">
              <v:fill on="f" focussize="0,0"/>
              <v:stroke on="f" weight="0.5pt"/>
              <v:imagedata o:title=""/>
              <o:lock v:ext="edit" aspectratio="f"/>
              <v:textbox inset="0mm,0mm,0mm,0mm" style="mso-fit-shape-to-text:t;">
                <w:txbxContent>
                  <w:p w14:paraId="32547C2B">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6531">
    <w:pPr>
      <w:pStyle w:val="8"/>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DD3C7E">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pcws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OlzCzgCAABxBAAADgAAAAAAAAABACAAAAAfAQAAZHJzL2Uyb0RvYy54&#10;bWxQSwUGAAAAAAYABgBZAQAAyQUAAAAA&#10;">
              <v:fill on="f" focussize="0,0"/>
              <v:stroke on="f" weight="0.5pt"/>
              <v:imagedata o:title=""/>
              <o:lock v:ext="edit" aspectratio="f"/>
              <v:textbox inset="0mm,0mm,0mm,0mm" style="mso-fit-shape-to-text:t;">
                <w:txbxContent>
                  <w:p w14:paraId="4BDD3C7E">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B1B6E">
    <w:pPr>
      <w:pStyle w:val="8"/>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324966">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bOU4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lbOU45AgAAcQQAAA4AAAAAAAAAAQAgAAAAHwEAAGRycy9lMm9Eb2Mu&#10;eG1sUEsFBgAAAAAGAAYAWQEAAMoFAAAAAA==&#10;">
              <v:fill on="f" focussize="0,0"/>
              <v:stroke on="f" weight="0.5pt"/>
              <v:imagedata o:title=""/>
              <o:lock v:ext="edit" aspectratio="f"/>
              <v:textbox inset="0mm,0mm,0mm,0mm" style="mso-fit-shape-to-text:t;">
                <w:txbxContent>
                  <w:p w14:paraId="3C324966">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9C06D">
    <w:pPr>
      <w:spacing w:line="172" w:lineRule="auto"/>
      <w:ind w:left="4434"/>
      <w:rPr>
        <w:rFonts w:ascii="宋体" w:hAnsi="宋体" w:eastAsia="宋体" w:cs="宋体"/>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03E9">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7A49B7">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14:paraId="117A49B7">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57CD">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A30461">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14:paraId="17A30461">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EFBE">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13ECDA">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14:paraId="6813ECDA">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079DE">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1527A4">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ScF0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WScF05AgAAcQQAAA4AAAAAAAAAAQAgAAAAHwEAAGRycy9lMm9Eb2Mu&#10;eG1sUEsFBgAAAAAGAAYAWQEAAMoFAAAAAA==&#10;">
              <v:fill on="f" focussize="0,0"/>
              <v:stroke on="f" weight="0.5pt"/>
              <v:imagedata o:title=""/>
              <o:lock v:ext="edit" aspectratio="f"/>
              <v:textbox inset="0mm,0mm,0mm,0mm" style="mso-fit-shape-to-text:t;">
                <w:txbxContent>
                  <w:p w14:paraId="221527A4">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FF4A">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D46A67">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gOhg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IDoYOgIAAHEEAAAOAAAAAAAAAAEAIAAAAB8BAABkcnMvZTJvRG9j&#10;LnhtbFBLBQYAAAAABgAGAFkBAADLBQAAAAA=&#10;">
              <v:fill on="f" focussize="0,0"/>
              <v:stroke on="f" weight="0.5pt"/>
              <v:imagedata o:title=""/>
              <o:lock v:ext="edit" aspectratio="f"/>
              <v:textbox inset="0mm,0mm,0mm,0mm" style="mso-fit-shape-to-text:t;">
                <w:txbxContent>
                  <w:p w14:paraId="41D46A67">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328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ED87D">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FBA3">
    <w:pPr>
      <w:pStyle w:val="9"/>
      <w:pBdr>
        <w:bottom w:val="none" w:color="auto" w:sz="0" w:space="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CD9DC"/>
    <w:multiLevelType w:val="singleLevel"/>
    <w:tmpl w:val="A50CD9DC"/>
    <w:lvl w:ilvl="0" w:tentative="0">
      <w:start w:val="5"/>
      <w:numFmt w:val="chineseCounting"/>
      <w:suff w:val="nothing"/>
      <w:lvlText w:val="（%1）"/>
      <w:lvlJc w:val="left"/>
      <w:rPr>
        <w:rFonts w:hint="eastAsia"/>
      </w:rPr>
    </w:lvl>
  </w:abstractNum>
  <w:abstractNum w:abstractNumId="1">
    <w:nsid w:val="ED5A0121"/>
    <w:multiLevelType w:val="multilevel"/>
    <w:tmpl w:val="ED5A0121"/>
    <w:lvl w:ilvl="0" w:tentative="0">
      <w:start w:val="1"/>
      <w:numFmt w:val="bullet"/>
      <w:pStyle w:val="1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99"/>
  <w:noPunctuationKerning w:val="1"/>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2YzY2FkMGJjMGM4YjhjYWIzMTZkYWRmZDgyMmQifQ=="/>
    <w:docVar w:name="KSO_WPS_MARK_KEY" w:val="56fb1725-26a3-419b-a9e0-d5ecddc54e73"/>
  </w:docVars>
  <w:rsids>
    <w:rsidRoot w:val="004823B6"/>
    <w:rsid w:val="00066203"/>
    <w:rsid w:val="00186E5F"/>
    <w:rsid w:val="002239E6"/>
    <w:rsid w:val="0026247C"/>
    <w:rsid w:val="004823B6"/>
    <w:rsid w:val="004942F9"/>
    <w:rsid w:val="005F037B"/>
    <w:rsid w:val="00603C22"/>
    <w:rsid w:val="006D51E4"/>
    <w:rsid w:val="006F2EEA"/>
    <w:rsid w:val="006F5AB7"/>
    <w:rsid w:val="0088486C"/>
    <w:rsid w:val="008C311E"/>
    <w:rsid w:val="009A2A0D"/>
    <w:rsid w:val="00B539F5"/>
    <w:rsid w:val="00BE7797"/>
    <w:rsid w:val="00C11658"/>
    <w:rsid w:val="00E336F1"/>
    <w:rsid w:val="00F15729"/>
    <w:rsid w:val="00F20DF0"/>
    <w:rsid w:val="00F5343D"/>
    <w:rsid w:val="00FE23DA"/>
    <w:rsid w:val="00FE5D70"/>
    <w:rsid w:val="011937D7"/>
    <w:rsid w:val="01DF5C17"/>
    <w:rsid w:val="025C7268"/>
    <w:rsid w:val="025F567B"/>
    <w:rsid w:val="026779BA"/>
    <w:rsid w:val="027C16B8"/>
    <w:rsid w:val="029035E2"/>
    <w:rsid w:val="029B04C9"/>
    <w:rsid w:val="02A8731C"/>
    <w:rsid w:val="02AD7AC3"/>
    <w:rsid w:val="02B01361"/>
    <w:rsid w:val="02B0310F"/>
    <w:rsid w:val="02B85023"/>
    <w:rsid w:val="030516AD"/>
    <w:rsid w:val="030F3F35"/>
    <w:rsid w:val="0316204F"/>
    <w:rsid w:val="03541CED"/>
    <w:rsid w:val="043164D2"/>
    <w:rsid w:val="049B394B"/>
    <w:rsid w:val="04B30C95"/>
    <w:rsid w:val="05222D89"/>
    <w:rsid w:val="05592701"/>
    <w:rsid w:val="056B1570"/>
    <w:rsid w:val="057E12A3"/>
    <w:rsid w:val="05A131E3"/>
    <w:rsid w:val="05F45A09"/>
    <w:rsid w:val="060914B4"/>
    <w:rsid w:val="06684BBA"/>
    <w:rsid w:val="06D04346"/>
    <w:rsid w:val="06D575E9"/>
    <w:rsid w:val="06F141E7"/>
    <w:rsid w:val="06F55595"/>
    <w:rsid w:val="070B125C"/>
    <w:rsid w:val="07320597"/>
    <w:rsid w:val="074E2EF7"/>
    <w:rsid w:val="07746E01"/>
    <w:rsid w:val="078057A6"/>
    <w:rsid w:val="078E3996"/>
    <w:rsid w:val="07944DAE"/>
    <w:rsid w:val="07B05960"/>
    <w:rsid w:val="07CF5DE6"/>
    <w:rsid w:val="082425D6"/>
    <w:rsid w:val="088210AA"/>
    <w:rsid w:val="08997829"/>
    <w:rsid w:val="08B9642C"/>
    <w:rsid w:val="09121B08"/>
    <w:rsid w:val="09594501"/>
    <w:rsid w:val="09A17C56"/>
    <w:rsid w:val="09B96D4E"/>
    <w:rsid w:val="09D05E45"/>
    <w:rsid w:val="0A540824"/>
    <w:rsid w:val="0A92134D"/>
    <w:rsid w:val="0A9652E1"/>
    <w:rsid w:val="0AA01CBB"/>
    <w:rsid w:val="0ACC485F"/>
    <w:rsid w:val="0AE91AF9"/>
    <w:rsid w:val="0B260413"/>
    <w:rsid w:val="0B297F03"/>
    <w:rsid w:val="0B3D7072"/>
    <w:rsid w:val="0B3D750A"/>
    <w:rsid w:val="0B4765DB"/>
    <w:rsid w:val="0B626F71"/>
    <w:rsid w:val="0C05627A"/>
    <w:rsid w:val="0C0A59CB"/>
    <w:rsid w:val="0C403756"/>
    <w:rsid w:val="0C6D3E1F"/>
    <w:rsid w:val="0C8C24F7"/>
    <w:rsid w:val="0CA23AC9"/>
    <w:rsid w:val="0CD55B98"/>
    <w:rsid w:val="0CD8050E"/>
    <w:rsid w:val="0CF84031"/>
    <w:rsid w:val="0D006E92"/>
    <w:rsid w:val="0D1B387B"/>
    <w:rsid w:val="0D270472"/>
    <w:rsid w:val="0D705975"/>
    <w:rsid w:val="0D887163"/>
    <w:rsid w:val="0D8B084E"/>
    <w:rsid w:val="0D927FE1"/>
    <w:rsid w:val="0DA25D4B"/>
    <w:rsid w:val="0DB03D36"/>
    <w:rsid w:val="0DCA2386"/>
    <w:rsid w:val="0DFC36AD"/>
    <w:rsid w:val="0E0662D9"/>
    <w:rsid w:val="0E0E518E"/>
    <w:rsid w:val="0E4A08BC"/>
    <w:rsid w:val="0E511C4A"/>
    <w:rsid w:val="0E686F94"/>
    <w:rsid w:val="0E6F0323"/>
    <w:rsid w:val="0E7C47EE"/>
    <w:rsid w:val="0E884F40"/>
    <w:rsid w:val="0E9733D5"/>
    <w:rsid w:val="0EF923EE"/>
    <w:rsid w:val="0F206DCD"/>
    <w:rsid w:val="0F2837E8"/>
    <w:rsid w:val="0F2F0D51"/>
    <w:rsid w:val="0FCB1589"/>
    <w:rsid w:val="0FE8038D"/>
    <w:rsid w:val="0FFD54BA"/>
    <w:rsid w:val="101D790A"/>
    <w:rsid w:val="10246EEB"/>
    <w:rsid w:val="10270CA8"/>
    <w:rsid w:val="102962AF"/>
    <w:rsid w:val="10352EA6"/>
    <w:rsid w:val="105E41AB"/>
    <w:rsid w:val="1077526D"/>
    <w:rsid w:val="108654B0"/>
    <w:rsid w:val="109A0F5B"/>
    <w:rsid w:val="10BE2E9B"/>
    <w:rsid w:val="10C2298C"/>
    <w:rsid w:val="10EC0A38"/>
    <w:rsid w:val="111B02EE"/>
    <w:rsid w:val="111C6B89"/>
    <w:rsid w:val="1125116C"/>
    <w:rsid w:val="11407D54"/>
    <w:rsid w:val="114A3997"/>
    <w:rsid w:val="11DB3201"/>
    <w:rsid w:val="11F748B7"/>
    <w:rsid w:val="12303925"/>
    <w:rsid w:val="12661A3D"/>
    <w:rsid w:val="12AB744F"/>
    <w:rsid w:val="13117BFA"/>
    <w:rsid w:val="131C20FB"/>
    <w:rsid w:val="13297348"/>
    <w:rsid w:val="136D1943"/>
    <w:rsid w:val="137A283D"/>
    <w:rsid w:val="13AA7707"/>
    <w:rsid w:val="13B35FF1"/>
    <w:rsid w:val="13D34EB0"/>
    <w:rsid w:val="13DA4490"/>
    <w:rsid w:val="13E470BD"/>
    <w:rsid w:val="145A553C"/>
    <w:rsid w:val="146C0B28"/>
    <w:rsid w:val="14795475"/>
    <w:rsid w:val="14AC432D"/>
    <w:rsid w:val="14B60A59"/>
    <w:rsid w:val="14E11805"/>
    <w:rsid w:val="152C0D1B"/>
    <w:rsid w:val="15374ED2"/>
    <w:rsid w:val="154C6CC8"/>
    <w:rsid w:val="15B30AF5"/>
    <w:rsid w:val="15DF7B3C"/>
    <w:rsid w:val="161A6DC6"/>
    <w:rsid w:val="164107F7"/>
    <w:rsid w:val="164B51D1"/>
    <w:rsid w:val="1674297A"/>
    <w:rsid w:val="16810BF3"/>
    <w:rsid w:val="16921052"/>
    <w:rsid w:val="169923E1"/>
    <w:rsid w:val="16DB47A7"/>
    <w:rsid w:val="16FF5E45"/>
    <w:rsid w:val="1767428D"/>
    <w:rsid w:val="17DB07D7"/>
    <w:rsid w:val="17DD00AB"/>
    <w:rsid w:val="18015B6E"/>
    <w:rsid w:val="186B4E30"/>
    <w:rsid w:val="18754787"/>
    <w:rsid w:val="1881137E"/>
    <w:rsid w:val="18846779"/>
    <w:rsid w:val="18B76B4E"/>
    <w:rsid w:val="18E436BB"/>
    <w:rsid w:val="19572765"/>
    <w:rsid w:val="19874772"/>
    <w:rsid w:val="19BC47E2"/>
    <w:rsid w:val="19DB686C"/>
    <w:rsid w:val="19EA2F53"/>
    <w:rsid w:val="19EC4C52"/>
    <w:rsid w:val="19FB6F0E"/>
    <w:rsid w:val="19FC4ED3"/>
    <w:rsid w:val="1A293A7B"/>
    <w:rsid w:val="1A412F43"/>
    <w:rsid w:val="1AA2738A"/>
    <w:rsid w:val="1ABE480F"/>
    <w:rsid w:val="1AEB5933"/>
    <w:rsid w:val="1AF5395E"/>
    <w:rsid w:val="1B0D6EF9"/>
    <w:rsid w:val="1B102545"/>
    <w:rsid w:val="1B302BE8"/>
    <w:rsid w:val="1B32070E"/>
    <w:rsid w:val="1B5E64BF"/>
    <w:rsid w:val="1B75684C"/>
    <w:rsid w:val="1B8371BB"/>
    <w:rsid w:val="1B90760A"/>
    <w:rsid w:val="1B99078D"/>
    <w:rsid w:val="1BC05D1A"/>
    <w:rsid w:val="1BD619E1"/>
    <w:rsid w:val="1C135997"/>
    <w:rsid w:val="1C353A9B"/>
    <w:rsid w:val="1C850D11"/>
    <w:rsid w:val="1C967551"/>
    <w:rsid w:val="1CBC0BD7"/>
    <w:rsid w:val="1D352737"/>
    <w:rsid w:val="1D484219"/>
    <w:rsid w:val="1D6E430A"/>
    <w:rsid w:val="1DBC4C07"/>
    <w:rsid w:val="1DCF0496"/>
    <w:rsid w:val="1DD71A40"/>
    <w:rsid w:val="1E05035C"/>
    <w:rsid w:val="1E162569"/>
    <w:rsid w:val="1E256308"/>
    <w:rsid w:val="1E9F255E"/>
    <w:rsid w:val="1EA77665"/>
    <w:rsid w:val="1EAC4C7B"/>
    <w:rsid w:val="1EC2624D"/>
    <w:rsid w:val="1EF83A1C"/>
    <w:rsid w:val="1EFD7285"/>
    <w:rsid w:val="1F132604"/>
    <w:rsid w:val="1F2B2044"/>
    <w:rsid w:val="1F301408"/>
    <w:rsid w:val="1F42429F"/>
    <w:rsid w:val="1F5A46D7"/>
    <w:rsid w:val="1F664E2A"/>
    <w:rsid w:val="1F927A01"/>
    <w:rsid w:val="1F9A0F77"/>
    <w:rsid w:val="1FA616CA"/>
    <w:rsid w:val="1FAA6E36"/>
    <w:rsid w:val="1FB931AC"/>
    <w:rsid w:val="1FDF698A"/>
    <w:rsid w:val="1FEF6BCD"/>
    <w:rsid w:val="20337402"/>
    <w:rsid w:val="20515ADA"/>
    <w:rsid w:val="20547F60"/>
    <w:rsid w:val="205F2E5C"/>
    <w:rsid w:val="20EA16D6"/>
    <w:rsid w:val="210E39CB"/>
    <w:rsid w:val="21556529"/>
    <w:rsid w:val="217750CC"/>
    <w:rsid w:val="217832C3"/>
    <w:rsid w:val="21895CBD"/>
    <w:rsid w:val="2197751D"/>
    <w:rsid w:val="21BE719F"/>
    <w:rsid w:val="22026C30"/>
    <w:rsid w:val="22602004"/>
    <w:rsid w:val="226C09A9"/>
    <w:rsid w:val="228026A7"/>
    <w:rsid w:val="22877591"/>
    <w:rsid w:val="228F4698"/>
    <w:rsid w:val="235B16F9"/>
    <w:rsid w:val="235C6C70"/>
    <w:rsid w:val="23607DE2"/>
    <w:rsid w:val="23807B6F"/>
    <w:rsid w:val="23F073B8"/>
    <w:rsid w:val="23FF75FB"/>
    <w:rsid w:val="243472A5"/>
    <w:rsid w:val="243C084F"/>
    <w:rsid w:val="2443398C"/>
    <w:rsid w:val="2443573A"/>
    <w:rsid w:val="246062EC"/>
    <w:rsid w:val="2479115B"/>
    <w:rsid w:val="247955FF"/>
    <w:rsid w:val="247E2C16"/>
    <w:rsid w:val="24B44889"/>
    <w:rsid w:val="24D64800"/>
    <w:rsid w:val="24E011DB"/>
    <w:rsid w:val="24FA6740"/>
    <w:rsid w:val="252A06A8"/>
    <w:rsid w:val="25781413"/>
    <w:rsid w:val="25D77399"/>
    <w:rsid w:val="2604714B"/>
    <w:rsid w:val="260B2287"/>
    <w:rsid w:val="2647055B"/>
    <w:rsid w:val="26793695"/>
    <w:rsid w:val="26A92FFB"/>
    <w:rsid w:val="26EF7DFB"/>
    <w:rsid w:val="273E668C"/>
    <w:rsid w:val="27402404"/>
    <w:rsid w:val="276500BD"/>
    <w:rsid w:val="27A209C9"/>
    <w:rsid w:val="27B84691"/>
    <w:rsid w:val="27C2106B"/>
    <w:rsid w:val="28045EDF"/>
    <w:rsid w:val="280E2503"/>
    <w:rsid w:val="28277120"/>
    <w:rsid w:val="28305FD5"/>
    <w:rsid w:val="28321D4D"/>
    <w:rsid w:val="285A74F6"/>
    <w:rsid w:val="28610884"/>
    <w:rsid w:val="286345FC"/>
    <w:rsid w:val="28757E8C"/>
    <w:rsid w:val="28EF40E2"/>
    <w:rsid w:val="29622B06"/>
    <w:rsid w:val="297805EA"/>
    <w:rsid w:val="297D349C"/>
    <w:rsid w:val="29A361C6"/>
    <w:rsid w:val="29C0782D"/>
    <w:rsid w:val="29D56D78"/>
    <w:rsid w:val="29FF6315"/>
    <w:rsid w:val="2A24600D"/>
    <w:rsid w:val="2A663F30"/>
    <w:rsid w:val="2A697EC4"/>
    <w:rsid w:val="2A742AF1"/>
    <w:rsid w:val="2A7501E7"/>
    <w:rsid w:val="2A97058D"/>
    <w:rsid w:val="2ABA24CE"/>
    <w:rsid w:val="2ABB0720"/>
    <w:rsid w:val="2AE61515"/>
    <w:rsid w:val="2AED63FF"/>
    <w:rsid w:val="2B4C3BF3"/>
    <w:rsid w:val="2B4F2C16"/>
    <w:rsid w:val="2B8C3E6A"/>
    <w:rsid w:val="2B8C60F0"/>
    <w:rsid w:val="2BFA7026"/>
    <w:rsid w:val="2C0559CB"/>
    <w:rsid w:val="2C4E6D35"/>
    <w:rsid w:val="2C956596"/>
    <w:rsid w:val="2CF41CC7"/>
    <w:rsid w:val="2D012636"/>
    <w:rsid w:val="2D5F6719"/>
    <w:rsid w:val="2DAF2092"/>
    <w:rsid w:val="2DE47F8D"/>
    <w:rsid w:val="2E5C3A70"/>
    <w:rsid w:val="2EA74B17"/>
    <w:rsid w:val="2EAF6A86"/>
    <w:rsid w:val="2EC27BA3"/>
    <w:rsid w:val="2ED2428A"/>
    <w:rsid w:val="2EF7784D"/>
    <w:rsid w:val="2F0F43EF"/>
    <w:rsid w:val="2F3C5BA7"/>
    <w:rsid w:val="2F587F49"/>
    <w:rsid w:val="2F8D1F5F"/>
    <w:rsid w:val="2FB41BE1"/>
    <w:rsid w:val="2FE04BDD"/>
    <w:rsid w:val="302208F9"/>
    <w:rsid w:val="30442F65"/>
    <w:rsid w:val="309061AB"/>
    <w:rsid w:val="30937A49"/>
    <w:rsid w:val="30AE4883"/>
    <w:rsid w:val="30C10112"/>
    <w:rsid w:val="30EC0F07"/>
    <w:rsid w:val="30ED53AB"/>
    <w:rsid w:val="30F2476F"/>
    <w:rsid w:val="311F5076"/>
    <w:rsid w:val="316519E7"/>
    <w:rsid w:val="319475D5"/>
    <w:rsid w:val="31973569"/>
    <w:rsid w:val="31AA329C"/>
    <w:rsid w:val="31ED4F37"/>
    <w:rsid w:val="32250B75"/>
    <w:rsid w:val="32476D3D"/>
    <w:rsid w:val="32780CA4"/>
    <w:rsid w:val="32D37E41"/>
    <w:rsid w:val="32EB76C8"/>
    <w:rsid w:val="334B0167"/>
    <w:rsid w:val="33596D28"/>
    <w:rsid w:val="336F654B"/>
    <w:rsid w:val="33784CD4"/>
    <w:rsid w:val="33DB773D"/>
    <w:rsid w:val="342804A8"/>
    <w:rsid w:val="34603342"/>
    <w:rsid w:val="34897199"/>
    <w:rsid w:val="349077F1"/>
    <w:rsid w:val="34AC2E87"/>
    <w:rsid w:val="34E2354C"/>
    <w:rsid w:val="351849C1"/>
    <w:rsid w:val="3550415A"/>
    <w:rsid w:val="35643762"/>
    <w:rsid w:val="357F059C"/>
    <w:rsid w:val="35944047"/>
    <w:rsid w:val="35CD57AB"/>
    <w:rsid w:val="35EF38C5"/>
    <w:rsid w:val="36257395"/>
    <w:rsid w:val="36A726E3"/>
    <w:rsid w:val="36C02C1A"/>
    <w:rsid w:val="36F54FB9"/>
    <w:rsid w:val="36FA437E"/>
    <w:rsid w:val="36FD5C1C"/>
    <w:rsid w:val="37691D16"/>
    <w:rsid w:val="37866434"/>
    <w:rsid w:val="37D56B99"/>
    <w:rsid w:val="37E138A3"/>
    <w:rsid w:val="37EB798A"/>
    <w:rsid w:val="385555E4"/>
    <w:rsid w:val="38591578"/>
    <w:rsid w:val="38C066BA"/>
    <w:rsid w:val="38DD3F57"/>
    <w:rsid w:val="39186D3D"/>
    <w:rsid w:val="39657AA9"/>
    <w:rsid w:val="397F0B7A"/>
    <w:rsid w:val="399B34CA"/>
    <w:rsid w:val="3A004FB1"/>
    <w:rsid w:val="3A0D43C8"/>
    <w:rsid w:val="3A500759"/>
    <w:rsid w:val="3BC1546A"/>
    <w:rsid w:val="3BF84C04"/>
    <w:rsid w:val="3C2E5A2F"/>
    <w:rsid w:val="3CA37266"/>
    <w:rsid w:val="3CAD1E92"/>
    <w:rsid w:val="3CE07B72"/>
    <w:rsid w:val="3D2E2FD3"/>
    <w:rsid w:val="3D3305EA"/>
    <w:rsid w:val="3D4A76E1"/>
    <w:rsid w:val="3D4C5207"/>
    <w:rsid w:val="3D5E4F3B"/>
    <w:rsid w:val="3DD0408A"/>
    <w:rsid w:val="3DE3068C"/>
    <w:rsid w:val="3DF31B27"/>
    <w:rsid w:val="3DF37D79"/>
    <w:rsid w:val="3E8B6203"/>
    <w:rsid w:val="3EC51715"/>
    <w:rsid w:val="3ECA0ADA"/>
    <w:rsid w:val="3F312907"/>
    <w:rsid w:val="3FD31C10"/>
    <w:rsid w:val="3FFF0C57"/>
    <w:rsid w:val="3FFF47B3"/>
    <w:rsid w:val="40023106"/>
    <w:rsid w:val="401A783F"/>
    <w:rsid w:val="40A84E4B"/>
    <w:rsid w:val="40B27A77"/>
    <w:rsid w:val="40E02836"/>
    <w:rsid w:val="40E21E26"/>
    <w:rsid w:val="40EA7AAF"/>
    <w:rsid w:val="412C5A7C"/>
    <w:rsid w:val="418F600A"/>
    <w:rsid w:val="41A970CC"/>
    <w:rsid w:val="41F36599"/>
    <w:rsid w:val="41F84884"/>
    <w:rsid w:val="424E37D0"/>
    <w:rsid w:val="42995053"/>
    <w:rsid w:val="42B775C7"/>
    <w:rsid w:val="42D53EF1"/>
    <w:rsid w:val="430345BA"/>
    <w:rsid w:val="431B5DA8"/>
    <w:rsid w:val="438C45B0"/>
    <w:rsid w:val="43B77719"/>
    <w:rsid w:val="43BF2BD7"/>
    <w:rsid w:val="43D83C99"/>
    <w:rsid w:val="444529B0"/>
    <w:rsid w:val="445873A3"/>
    <w:rsid w:val="448636F5"/>
    <w:rsid w:val="44AB4F09"/>
    <w:rsid w:val="44C71617"/>
    <w:rsid w:val="44D74953"/>
    <w:rsid w:val="44D77AAC"/>
    <w:rsid w:val="44E421C9"/>
    <w:rsid w:val="44FE5271"/>
    <w:rsid w:val="4508235C"/>
    <w:rsid w:val="45216F7A"/>
    <w:rsid w:val="45413CBB"/>
    <w:rsid w:val="458662BF"/>
    <w:rsid w:val="45A71B75"/>
    <w:rsid w:val="45AA1FB1"/>
    <w:rsid w:val="45C5002E"/>
    <w:rsid w:val="45FA7D5B"/>
    <w:rsid w:val="460D5750"/>
    <w:rsid w:val="46431172"/>
    <w:rsid w:val="464E1FF0"/>
    <w:rsid w:val="468E4AE3"/>
    <w:rsid w:val="469A68D7"/>
    <w:rsid w:val="46AF4534"/>
    <w:rsid w:val="46DA1AD6"/>
    <w:rsid w:val="46F34946"/>
    <w:rsid w:val="46FA5CD4"/>
    <w:rsid w:val="47266AC9"/>
    <w:rsid w:val="475A49C5"/>
    <w:rsid w:val="47857C94"/>
    <w:rsid w:val="4799373F"/>
    <w:rsid w:val="482C010F"/>
    <w:rsid w:val="486F26F2"/>
    <w:rsid w:val="488C6E00"/>
    <w:rsid w:val="48AC417A"/>
    <w:rsid w:val="48BD520B"/>
    <w:rsid w:val="49080B7C"/>
    <w:rsid w:val="49227202"/>
    <w:rsid w:val="49777AB0"/>
    <w:rsid w:val="498A77E3"/>
    <w:rsid w:val="498B355B"/>
    <w:rsid w:val="49AA56FB"/>
    <w:rsid w:val="49BE56DF"/>
    <w:rsid w:val="4A2F399F"/>
    <w:rsid w:val="4A407EA2"/>
    <w:rsid w:val="4A605AF9"/>
    <w:rsid w:val="4AC00FE3"/>
    <w:rsid w:val="4AE50A49"/>
    <w:rsid w:val="4AFD2237"/>
    <w:rsid w:val="4B1732F9"/>
    <w:rsid w:val="4BC92119"/>
    <w:rsid w:val="4BE07B8E"/>
    <w:rsid w:val="4BE8259F"/>
    <w:rsid w:val="4BED22AB"/>
    <w:rsid w:val="4C123AC0"/>
    <w:rsid w:val="4C1C493F"/>
    <w:rsid w:val="4C404189"/>
    <w:rsid w:val="4C4A325A"/>
    <w:rsid w:val="4CE03BBE"/>
    <w:rsid w:val="4CF66F3E"/>
    <w:rsid w:val="4CF82CB6"/>
    <w:rsid w:val="4D6E2F78"/>
    <w:rsid w:val="4D8602C2"/>
    <w:rsid w:val="4DEC3685"/>
    <w:rsid w:val="4E0B07C7"/>
    <w:rsid w:val="4E102281"/>
    <w:rsid w:val="4E593C28"/>
    <w:rsid w:val="4E5C4359"/>
    <w:rsid w:val="4E5C7274"/>
    <w:rsid w:val="4E6A1991"/>
    <w:rsid w:val="4EDE59FF"/>
    <w:rsid w:val="4EEA4880"/>
    <w:rsid w:val="4FA62E9D"/>
    <w:rsid w:val="4FB21842"/>
    <w:rsid w:val="502618E8"/>
    <w:rsid w:val="50267B3A"/>
    <w:rsid w:val="503C55AF"/>
    <w:rsid w:val="50724B2D"/>
    <w:rsid w:val="50770396"/>
    <w:rsid w:val="50854860"/>
    <w:rsid w:val="509251CF"/>
    <w:rsid w:val="50B9275C"/>
    <w:rsid w:val="50C51101"/>
    <w:rsid w:val="50E27F05"/>
    <w:rsid w:val="50E53551"/>
    <w:rsid w:val="514E559A"/>
    <w:rsid w:val="51764AF1"/>
    <w:rsid w:val="51861734"/>
    <w:rsid w:val="522B57B2"/>
    <w:rsid w:val="52740B3E"/>
    <w:rsid w:val="52E55A8A"/>
    <w:rsid w:val="530E3233"/>
    <w:rsid w:val="534053B7"/>
    <w:rsid w:val="535B3F9E"/>
    <w:rsid w:val="53684416"/>
    <w:rsid w:val="53784B50"/>
    <w:rsid w:val="537961D3"/>
    <w:rsid w:val="537F5EDF"/>
    <w:rsid w:val="53D02297"/>
    <w:rsid w:val="53DB0C3B"/>
    <w:rsid w:val="53EC4BF7"/>
    <w:rsid w:val="53F73CC7"/>
    <w:rsid w:val="54322F51"/>
    <w:rsid w:val="543A753C"/>
    <w:rsid w:val="546649A9"/>
    <w:rsid w:val="547462A6"/>
    <w:rsid w:val="55116160"/>
    <w:rsid w:val="55545149"/>
    <w:rsid w:val="555A2923"/>
    <w:rsid w:val="555D5DAC"/>
    <w:rsid w:val="556E2C73"/>
    <w:rsid w:val="557B0928"/>
    <w:rsid w:val="55801A9A"/>
    <w:rsid w:val="55A345CB"/>
    <w:rsid w:val="55B33C1E"/>
    <w:rsid w:val="561548D9"/>
    <w:rsid w:val="564E1B99"/>
    <w:rsid w:val="56680EAC"/>
    <w:rsid w:val="56C02A96"/>
    <w:rsid w:val="573174F0"/>
    <w:rsid w:val="573963A5"/>
    <w:rsid w:val="57580F21"/>
    <w:rsid w:val="57D367F9"/>
    <w:rsid w:val="57FB4891"/>
    <w:rsid w:val="580D7A8E"/>
    <w:rsid w:val="584274DB"/>
    <w:rsid w:val="58453680"/>
    <w:rsid w:val="589A2E73"/>
    <w:rsid w:val="58A27F7A"/>
    <w:rsid w:val="590429E2"/>
    <w:rsid w:val="59411541"/>
    <w:rsid w:val="59594ADC"/>
    <w:rsid w:val="59D625D1"/>
    <w:rsid w:val="5A225816"/>
    <w:rsid w:val="5A407A4A"/>
    <w:rsid w:val="5A551748"/>
    <w:rsid w:val="5A6E0A5B"/>
    <w:rsid w:val="5A920684"/>
    <w:rsid w:val="5B3C2907"/>
    <w:rsid w:val="5B4F263B"/>
    <w:rsid w:val="5B5E10B5"/>
    <w:rsid w:val="5B7756EE"/>
    <w:rsid w:val="5BA54009"/>
    <w:rsid w:val="5BA74225"/>
    <w:rsid w:val="5BE82147"/>
    <w:rsid w:val="5BF3746A"/>
    <w:rsid w:val="5BF705DC"/>
    <w:rsid w:val="5BFC6466"/>
    <w:rsid w:val="5C182A2D"/>
    <w:rsid w:val="5C4E28F2"/>
    <w:rsid w:val="5C823EB4"/>
    <w:rsid w:val="5C9C18B0"/>
    <w:rsid w:val="5CE84AF5"/>
    <w:rsid w:val="5D0905C7"/>
    <w:rsid w:val="5D0B2591"/>
    <w:rsid w:val="5D6A375C"/>
    <w:rsid w:val="5DAF73C1"/>
    <w:rsid w:val="5DC866D4"/>
    <w:rsid w:val="5DD92690"/>
    <w:rsid w:val="5E127950"/>
    <w:rsid w:val="5E282CCF"/>
    <w:rsid w:val="5E4044BD"/>
    <w:rsid w:val="5EC073AC"/>
    <w:rsid w:val="5F015830"/>
    <w:rsid w:val="5F076D88"/>
    <w:rsid w:val="5F2142EE"/>
    <w:rsid w:val="5F223BC2"/>
    <w:rsid w:val="5F2771EF"/>
    <w:rsid w:val="5F8B1768"/>
    <w:rsid w:val="5F905CC3"/>
    <w:rsid w:val="5F990172"/>
    <w:rsid w:val="5FC05F61"/>
    <w:rsid w:val="5FE13A7D"/>
    <w:rsid w:val="5FEF619A"/>
    <w:rsid w:val="6008100A"/>
    <w:rsid w:val="600F4147"/>
    <w:rsid w:val="606E3563"/>
    <w:rsid w:val="6094289E"/>
    <w:rsid w:val="60AF1486"/>
    <w:rsid w:val="60BA67A8"/>
    <w:rsid w:val="60C679C7"/>
    <w:rsid w:val="60DF60FA"/>
    <w:rsid w:val="60F15F42"/>
    <w:rsid w:val="61047A23"/>
    <w:rsid w:val="611B6B1B"/>
    <w:rsid w:val="61333E65"/>
    <w:rsid w:val="615564D1"/>
    <w:rsid w:val="616109D2"/>
    <w:rsid w:val="618C20CE"/>
    <w:rsid w:val="61926DDD"/>
    <w:rsid w:val="61AB60F1"/>
    <w:rsid w:val="61D373F6"/>
    <w:rsid w:val="61E138C1"/>
    <w:rsid w:val="62037CDB"/>
    <w:rsid w:val="6220263B"/>
    <w:rsid w:val="62586279"/>
    <w:rsid w:val="626A5FAC"/>
    <w:rsid w:val="627961EF"/>
    <w:rsid w:val="62797F9D"/>
    <w:rsid w:val="628030DA"/>
    <w:rsid w:val="62E713AB"/>
    <w:rsid w:val="62F15D85"/>
    <w:rsid w:val="62F45876"/>
    <w:rsid w:val="63001AC7"/>
    <w:rsid w:val="639E415F"/>
    <w:rsid w:val="63A4104A"/>
    <w:rsid w:val="63F773CC"/>
    <w:rsid w:val="63FE18CB"/>
    <w:rsid w:val="64216B3E"/>
    <w:rsid w:val="643979E4"/>
    <w:rsid w:val="64520AA6"/>
    <w:rsid w:val="645962D8"/>
    <w:rsid w:val="649574F8"/>
    <w:rsid w:val="6497295D"/>
    <w:rsid w:val="64976ABC"/>
    <w:rsid w:val="64A5151D"/>
    <w:rsid w:val="64A62BA0"/>
    <w:rsid w:val="64B21544"/>
    <w:rsid w:val="650A1380"/>
    <w:rsid w:val="651363E4"/>
    <w:rsid w:val="65674A25"/>
    <w:rsid w:val="659B696C"/>
    <w:rsid w:val="65B35970"/>
    <w:rsid w:val="65E0703F"/>
    <w:rsid w:val="66044022"/>
    <w:rsid w:val="6672542F"/>
    <w:rsid w:val="66E63727"/>
    <w:rsid w:val="66EC3434"/>
    <w:rsid w:val="672D1356"/>
    <w:rsid w:val="674F751F"/>
    <w:rsid w:val="675D7E8D"/>
    <w:rsid w:val="67A1243C"/>
    <w:rsid w:val="67B81568"/>
    <w:rsid w:val="67C021CA"/>
    <w:rsid w:val="684921C0"/>
    <w:rsid w:val="685A261F"/>
    <w:rsid w:val="68992648"/>
    <w:rsid w:val="69006D22"/>
    <w:rsid w:val="69074555"/>
    <w:rsid w:val="69281658"/>
    <w:rsid w:val="69313380"/>
    <w:rsid w:val="693C3AD3"/>
    <w:rsid w:val="6945507D"/>
    <w:rsid w:val="694638A8"/>
    <w:rsid w:val="696D1EDE"/>
    <w:rsid w:val="696F20FA"/>
    <w:rsid w:val="69715E72"/>
    <w:rsid w:val="697D0373"/>
    <w:rsid w:val="69A47FF6"/>
    <w:rsid w:val="69D72179"/>
    <w:rsid w:val="6A175A16"/>
    <w:rsid w:val="6A3C72AF"/>
    <w:rsid w:val="6A5A6906"/>
    <w:rsid w:val="6A5D1F52"/>
    <w:rsid w:val="6B182A49"/>
    <w:rsid w:val="6B3453A9"/>
    <w:rsid w:val="6B361121"/>
    <w:rsid w:val="6B99520C"/>
    <w:rsid w:val="6BAC3191"/>
    <w:rsid w:val="6BCE135A"/>
    <w:rsid w:val="6BEF4971"/>
    <w:rsid w:val="6BF40694"/>
    <w:rsid w:val="6C5D448C"/>
    <w:rsid w:val="6C88775B"/>
    <w:rsid w:val="6CB93DB8"/>
    <w:rsid w:val="6CD26C28"/>
    <w:rsid w:val="6CF33408"/>
    <w:rsid w:val="6CF546C4"/>
    <w:rsid w:val="6D9B170F"/>
    <w:rsid w:val="6DA32372"/>
    <w:rsid w:val="6DB069FA"/>
    <w:rsid w:val="6DC07BF9"/>
    <w:rsid w:val="6DDE33AA"/>
    <w:rsid w:val="6DE46E15"/>
    <w:rsid w:val="6E076DA5"/>
    <w:rsid w:val="6E2C2368"/>
    <w:rsid w:val="6E453429"/>
    <w:rsid w:val="6E7602EE"/>
    <w:rsid w:val="6EFE694A"/>
    <w:rsid w:val="6F046E40"/>
    <w:rsid w:val="6F0B6421"/>
    <w:rsid w:val="6F4A519B"/>
    <w:rsid w:val="6F5222A2"/>
    <w:rsid w:val="6F653D83"/>
    <w:rsid w:val="6F6F075E"/>
    <w:rsid w:val="6FA10B33"/>
    <w:rsid w:val="6FCA62DC"/>
    <w:rsid w:val="6FD26F3F"/>
    <w:rsid w:val="70025A76"/>
    <w:rsid w:val="70227EC6"/>
    <w:rsid w:val="70251764"/>
    <w:rsid w:val="706E4EB9"/>
    <w:rsid w:val="707359D8"/>
    <w:rsid w:val="709050D6"/>
    <w:rsid w:val="70934920"/>
    <w:rsid w:val="70F353BF"/>
    <w:rsid w:val="712E63F7"/>
    <w:rsid w:val="715045BF"/>
    <w:rsid w:val="716167CC"/>
    <w:rsid w:val="7182184C"/>
    <w:rsid w:val="721C49B6"/>
    <w:rsid w:val="729624A5"/>
    <w:rsid w:val="72987FCC"/>
    <w:rsid w:val="729C3F60"/>
    <w:rsid w:val="72AD26DF"/>
    <w:rsid w:val="72B34E05"/>
    <w:rsid w:val="72C4676E"/>
    <w:rsid w:val="72DD1E82"/>
    <w:rsid w:val="73297C92"/>
    <w:rsid w:val="732E0930"/>
    <w:rsid w:val="73577E87"/>
    <w:rsid w:val="73B54BAD"/>
    <w:rsid w:val="73BE1CB4"/>
    <w:rsid w:val="73CF6D50"/>
    <w:rsid w:val="746A3BEA"/>
    <w:rsid w:val="750000AA"/>
    <w:rsid w:val="75183646"/>
    <w:rsid w:val="751C3136"/>
    <w:rsid w:val="752B3379"/>
    <w:rsid w:val="75322959"/>
    <w:rsid w:val="75422471"/>
    <w:rsid w:val="75703482"/>
    <w:rsid w:val="75720FA8"/>
    <w:rsid w:val="75840CDB"/>
    <w:rsid w:val="7589009F"/>
    <w:rsid w:val="75AB270C"/>
    <w:rsid w:val="75BF1D13"/>
    <w:rsid w:val="75E63744"/>
    <w:rsid w:val="76595CC4"/>
    <w:rsid w:val="76650B0D"/>
    <w:rsid w:val="767D7C04"/>
    <w:rsid w:val="7688142E"/>
    <w:rsid w:val="768C6099"/>
    <w:rsid w:val="76C84BF7"/>
    <w:rsid w:val="76D35A76"/>
    <w:rsid w:val="76DE3348"/>
    <w:rsid w:val="76F93003"/>
    <w:rsid w:val="773A5AF5"/>
    <w:rsid w:val="773D3837"/>
    <w:rsid w:val="77420E4E"/>
    <w:rsid w:val="77512E3F"/>
    <w:rsid w:val="775C1F10"/>
    <w:rsid w:val="77706ED2"/>
    <w:rsid w:val="7772528F"/>
    <w:rsid w:val="778D2E88"/>
    <w:rsid w:val="783B22E0"/>
    <w:rsid w:val="788F3C1F"/>
    <w:rsid w:val="789C4865"/>
    <w:rsid w:val="789E7920"/>
    <w:rsid w:val="78AA2807"/>
    <w:rsid w:val="78C7785D"/>
    <w:rsid w:val="78F341AE"/>
    <w:rsid w:val="798B088A"/>
    <w:rsid w:val="79B37DE1"/>
    <w:rsid w:val="79EA1A55"/>
    <w:rsid w:val="7A2F7467"/>
    <w:rsid w:val="7A396538"/>
    <w:rsid w:val="7A9B4AFD"/>
    <w:rsid w:val="7AA95200"/>
    <w:rsid w:val="7AAA4D40"/>
    <w:rsid w:val="7AB7745D"/>
    <w:rsid w:val="7ADC6EC3"/>
    <w:rsid w:val="7AE04C06"/>
    <w:rsid w:val="7AE23622"/>
    <w:rsid w:val="7AE446F6"/>
    <w:rsid w:val="7AFE508C"/>
    <w:rsid w:val="7B0A3A31"/>
    <w:rsid w:val="7B3B62E0"/>
    <w:rsid w:val="7B405708"/>
    <w:rsid w:val="7B564EC8"/>
    <w:rsid w:val="7B7F441F"/>
    <w:rsid w:val="7B89758F"/>
    <w:rsid w:val="7BE20509"/>
    <w:rsid w:val="7BF2699E"/>
    <w:rsid w:val="7C480CB4"/>
    <w:rsid w:val="7C4D62CB"/>
    <w:rsid w:val="7C6B6751"/>
    <w:rsid w:val="7C8D2B6B"/>
    <w:rsid w:val="7CA0289E"/>
    <w:rsid w:val="7CB023B6"/>
    <w:rsid w:val="7D1D3EEF"/>
    <w:rsid w:val="7D260EA8"/>
    <w:rsid w:val="7D342FE7"/>
    <w:rsid w:val="7D40373A"/>
    <w:rsid w:val="7D567401"/>
    <w:rsid w:val="7D567A86"/>
    <w:rsid w:val="7D621902"/>
    <w:rsid w:val="7D6531A0"/>
    <w:rsid w:val="7DE642E1"/>
    <w:rsid w:val="7E0D3F64"/>
    <w:rsid w:val="7E12157A"/>
    <w:rsid w:val="7E1F5A45"/>
    <w:rsid w:val="7E2748F9"/>
    <w:rsid w:val="7E4159BB"/>
    <w:rsid w:val="7EA83C8C"/>
    <w:rsid w:val="7EC02D84"/>
    <w:rsid w:val="7EE30820"/>
    <w:rsid w:val="7F3D4D8D"/>
    <w:rsid w:val="7F427C3D"/>
    <w:rsid w:val="7F625BE9"/>
    <w:rsid w:val="7F8F09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autoRedefine/>
    <w:qFormat/>
    <w:uiPriority w:val="0"/>
    <w:pPr>
      <w:keepNext/>
      <w:keepLines/>
      <w:spacing w:line="576" w:lineRule="auto"/>
      <w:outlineLvl w:val="0"/>
    </w:pPr>
    <w:rPr>
      <w:rFonts w:ascii="Calibri" w:hAnsi="Calibri" w:eastAsia="宋体" w:cs="Times New Roman"/>
      <w:b/>
      <w:kern w:val="44"/>
      <w:sz w:val="30"/>
    </w:rPr>
  </w:style>
  <w:style w:type="paragraph" w:styleId="4">
    <w:name w:val="heading 2"/>
    <w:basedOn w:val="1"/>
    <w:next w:val="1"/>
    <w:autoRedefine/>
    <w:qFormat/>
    <w:uiPriority w:val="0"/>
    <w:pPr>
      <w:keepNext/>
      <w:keepLines/>
      <w:jc w:val="center"/>
      <w:outlineLvl w:val="1"/>
    </w:pPr>
    <w:rPr>
      <w:rFonts w:eastAsia="宋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line="480" w:lineRule="auto"/>
    </w:pPr>
    <w:rPr>
      <w:rFonts w:ascii="Times New Roman" w:hAnsi="Times New Roman"/>
    </w:rPr>
  </w:style>
  <w:style w:type="paragraph" w:styleId="5">
    <w:name w:val="Body Text"/>
    <w:basedOn w:val="1"/>
    <w:autoRedefine/>
    <w:semiHidden/>
    <w:qFormat/>
    <w:uiPriority w:val="0"/>
  </w:style>
  <w:style w:type="paragraph" w:styleId="6">
    <w:name w:val="Body Text Indent"/>
    <w:basedOn w:val="1"/>
    <w:next w:val="1"/>
    <w:autoRedefine/>
    <w:qFormat/>
    <w:uiPriority w:val="0"/>
    <w:pPr>
      <w:ind w:left="420" w:leftChars="200"/>
    </w:pPr>
    <w:rPr>
      <w:rFonts w:ascii="Calibri" w:hAnsi="Calibri" w:eastAsia="宋体" w:cs="Times New Roman"/>
    </w:rPr>
  </w:style>
  <w:style w:type="paragraph" w:styleId="7">
    <w:name w:val="Balloon Text"/>
    <w:basedOn w:val="1"/>
    <w:link w:val="23"/>
    <w:autoRedefine/>
    <w:qFormat/>
    <w:uiPriority w:val="0"/>
    <w:rPr>
      <w:sz w:val="18"/>
      <w:szCs w:val="18"/>
    </w:rPr>
  </w:style>
  <w:style w:type="paragraph" w:styleId="8">
    <w:name w:val="footer"/>
    <w:basedOn w:val="1"/>
    <w:autoRedefine/>
    <w:qFormat/>
    <w:uiPriority w:val="0"/>
    <w:pPr>
      <w:tabs>
        <w:tab w:val="center" w:pos="4153"/>
        <w:tab w:val="right" w:pos="8306"/>
      </w:tabs>
    </w:pPr>
    <w:rPr>
      <w:rFonts w:ascii="Calibri" w:hAnsi="Calibri" w:eastAsia="宋体" w:cs="Times New Roman"/>
      <w:sz w:val="18"/>
    </w:rPr>
  </w:style>
  <w:style w:type="paragraph" w:styleId="9">
    <w:name w:val="header"/>
    <w:basedOn w:val="1"/>
    <w:autoRedefine/>
    <w:qFormat/>
    <w:uiPriority w:val="0"/>
    <w:pPr>
      <w:pBdr>
        <w:bottom w:val="single" w:color="auto" w:sz="6" w:space="1"/>
      </w:pBdr>
      <w:tabs>
        <w:tab w:val="center" w:pos="4153"/>
        <w:tab w:val="right" w:pos="8306"/>
      </w:tabs>
      <w:jc w:val="center"/>
    </w:pPr>
    <w:rPr>
      <w:rFonts w:ascii="Calibri" w:hAnsi="Calibri" w:eastAsia="宋体" w:cs="Times New Roman"/>
      <w:sz w:val="18"/>
    </w:rPr>
  </w:style>
  <w:style w:type="paragraph" w:styleId="10">
    <w:name w:val="Normal (Web)"/>
    <w:basedOn w:val="1"/>
    <w:autoRedefine/>
    <w:qFormat/>
    <w:uiPriority w:val="0"/>
    <w:pPr>
      <w:spacing w:beforeAutospacing="1" w:afterAutospacing="1"/>
    </w:pPr>
    <w:rPr>
      <w:rFonts w:cs="Times New Roman"/>
      <w:sz w:val="24"/>
      <w:lang w:eastAsia="zh-CN"/>
    </w:rPr>
  </w:style>
  <w:style w:type="paragraph" w:styleId="11">
    <w:name w:val="Body Text First Indent"/>
    <w:basedOn w:val="5"/>
    <w:autoRedefine/>
    <w:qFormat/>
    <w:uiPriority w:val="99"/>
    <w:pPr>
      <w:ind w:firstLine="420" w:firstLineChars="100"/>
    </w:pPr>
    <w:rPr>
      <w:rFonts w:ascii="Times New Roman" w:hAnsi="Times New Roman"/>
      <w:sz w:val="20"/>
      <w:szCs w:val="20"/>
    </w:rPr>
  </w:style>
  <w:style w:type="paragraph" w:styleId="12">
    <w:name w:val="Body Text First Indent 2"/>
    <w:basedOn w:val="6"/>
    <w:autoRedefine/>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rPr>
      <w:rFonts w:ascii="Calibri" w:hAnsi="Calibri" w:eastAsia="宋体" w:cs="Times New Roman"/>
    </w:rPr>
  </w:style>
  <w:style w:type="character" w:styleId="17">
    <w:name w:val="Hyperlink"/>
    <w:basedOn w:val="15"/>
    <w:autoRedefine/>
    <w:qFormat/>
    <w:uiPriority w:val="0"/>
    <w:rPr>
      <w:color w:val="0000FF"/>
      <w:u w:val="single"/>
    </w:rPr>
  </w:style>
  <w:style w:type="paragraph" w:customStyle="1" w:styleId="18">
    <w:name w:val="首行缩进"/>
    <w:qFormat/>
    <w:uiPriority w:val="0"/>
    <w:pPr>
      <w:widowControl w:val="0"/>
      <w:numPr>
        <w:ilvl w:val="0"/>
        <w:numId w:val="1"/>
      </w:numPr>
      <w:spacing w:line="360" w:lineRule="auto"/>
      <w:jc w:val="both"/>
    </w:pPr>
    <w:rPr>
      <w:rFonts w:ascii="Times New Roman" w:hAnsi="Times New Roman" w:eastAsia="仿宋_GB2312" w:cs="Times New Roman"/>
      <w:kern w:val="2"/>
      <w:sz w:val="21"/>
      <w:szCs w:val="24"/>
      <w:lang w:val="en-US" w:eastAsia="zh-CN" w:bidi="ar-SA"/>
    </w:rPr>
  </w:style>
  <w:style w:type="paragraph" w:customStyle="1" w:styleId="19">
    <w:name w:val="BodyText"/>
    <w:basedOn w:val="1"/>
    <w:autoRedefine/>
    <w:qFormat/>
    <w:uiPriority w:val="0"/>
    <w:pPr>
      <w:spacing w:after="120"/>
    </w:p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pPr>
      <w:spacing w:line="380" w:lineRule="exact"/>
    </w:pPr>
    <w:rPr>
      <w:rFonts w:ascii="宋体" w:hAnsi="宋体" w:eastAsia="宋体" w:cs="宋体"/>
      <w:sz w:val="24"/>
      <w:szCs w:val="24"/>
    </w:rPr>
  </w:style>
  <w:style w:type="paragraph" w:customStyle="1" w:styleId="22">
    <w:name w:val="样式 正文11 + 首行缩进:  2 字符"/>
    <w:basedOn w:val="1"/>
    <w:autoRedefine/>
    <w:qFormat/>
    <w:uiPriority w:val="0"/>
    <w:pPr>
      <w:ind w:firstLine="560"/>
    </w:pPr>
    <w:rPr>
      <w:rFonts w:ascii="宋体" w:hAnsi="宋体" w:cs="宋体"/>
      <w:color w:val="FF0000"/>
      <w:szCs w:val="20"/>
    </w:rPr>
  </w:style>
  <w:style w:type="character" w:customStyle="1" w:styleId="23">
    <w:name w:val="批注框文本 Char"/>
    <w:basedOn w:val="15"/>
    <w:link w:val="7"/>
    <w:autoRedefine/>
    <w:qFormat/>
    <w:uiPriority w:val="0"/>
    <w:rPr>
      <w:rFonts w:ascii="Arial" w:hAnsi="Arial" w:eastAsia="Arial" w:cs="Arial"/>
      <w:snapToGrid w:val="0"/>
      <w:color w:val="000000"/>
      <w:sz w:val="18"/>
      <w:szCs w:val="18"/>
      <w:lang w:eastAsia="en-US"/>
    </w:rPr>
  </w:style>
  <w:style w:type="paragraph" w:customStyle="1" w:styleId="2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theme" Target="theme/theme1.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18216</Words>
  <Characters>19968</Characters>
  <Lines>246</Lines>
  <Paragraphs>69</Paragraphs>
  <TotalTime>26</TotalTime>
  <ScaleCrop>false</ScaleCrop>
  <LinksUpToDate>false</LinksUpToDate>
  <CharactersWithSpaces>20268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2024-01-25T16:20:00Z</dcterms:created>
  <dc:creator>Kingsoft-PDF</dc:creator>
  <cp:lastModifiedBy>Administrator</cp:lastModifiedBy>
  <dcterms:modified xsi:type="dcterms:W3CDTF">2025-06-19T05:12:48Z</dcterms:modified>
  <dc:subject>pdfbuilder</dc:subject>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2024-01-25T16:20:29Z</vt:filetime>
  </property>
  <property fmtid="{D5CDD505-2E9C-101B-9397-08002B2CF9AE}" pid="4" name="UsrData">
    <vt:lpwstr>65b219bf80a245001f4e41c1wl</vt:lpwstr>
  </property>
  <property fmtid="{D5CDD505-2E9C-101B-9397-08002B2CF9AE}" pid="5" name="KSOProductBuildVer">
    <vt:lpwstr>2052-12.1.0.21541</vt:lpwstr>
  </property>
  <property fmtid="{D5CDD505-2E9C-101B-9397-08002B2CF9AE}" pid="6" name="ICV">
    <vt:lpwstr>D359F6AE59A748F9ABCBB81D4884C945_13</vt:lpwstr>
  </property>
  <property fmtid="{D5CDD505-2E9C-101B-9397-08002B2CF9AE}" pid="7" name="KSOTemplateDocerSaveRecord">
    <vt:lpwstr>eyJoZGlkIjoiYjQ1N2YzY2FkMGJjMGM4YjhjYWIzMTZkYWRmZDgyMmQiLCJ1c2VySWQiOiI1ODcxNDE2NDcifQ==</vt:lpwstr>
  </property>
</Properties>
</file>