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76F8D">
      <w:pPr>
        <w:pStyle w:val="38"/>
        <w:spacing w:line="0" w:lineRule="atLeast"/>
        <w:jc w:val="center"/>
        <w:rPr>
          <w:rFonts w:ascii="黑体" w:hAnsi="黑体" w:eastAsia="黑体"/>
          <w:b/>
          <w:color w:val="000000" w:themeColor="text1"/>
          <w:sz w:val="32"/>
          <w:szCs w:val="32"/>
          <w:highlight w:val="none"/>
          <w14:textFill>
            <w14:solidFill>
              <w14:schemeClr w14:val="tx1"/>
            </w14:solidFill>
          </w14:textFill>
        </w:rPr>
      </w:pPr>
      <w:bookmarkStart w:id="0" w:name="_Toc98580390"/>
    </w:p>
    <w:p w14:paraId="794B4A0D">
      <w:pPr>
        <w:pStyle w:val="38"/>
        <w:spacing w:line="0" w:lineRule="atLeast"/>
        <w:jc w:val="center"/>
        <w:rPr>
          <w:rFonts w:ascii="黑体" w:hAnsi="黑体" w:eastAsia="黑体"/>
          <w:b/>
          <w:color w:val="000000" w:themeColor="text1"/>
          <w:sz w:val="32"/>
          <w:szCs w:val="32"/>
          <w:highlight w:val="none"/>
          <w14:textFill>
            <w14:solidFill>
              <w14:schemeClr w14:val="tx1"/>
            </w14:solidFill>
          </w14:textFill>
        </w:rPr>
      </w:pPr>
    </w:p>
    <w:p w14:paraId="5FF34ED2">
      <w:pPr>
        <w:pStyle w:val="38"/>
        <w:spacing w:line="0" w:lineRule="atLeast"/>
        <w:jc w:val="center"/>
        <w:rPr>
          <w:rFonts w:ascii="黑体" w:hAnsi="黑体" w:eastAsia="黑体"/>
          <w:b/>
          <w:color w:val="000000" w:themeColor="text1"/>
          <w:sz w:val="32"/>
          <w:szCs w:val="32"/>
          <w:highlight w:val="none"/>
          <w14:textFill>
            <w14:solidFill>
              <w14:schemeClr w14:val="tx1"/>
            </w14:solidFill>
          </w14:textFill>
        </w:rPr>
      </w:pPr>
    </w:p>
    <w:p w14:paraId="4C55BDED">
      <w:pPr>
        <w:pStyle w:val="38"/>
        <w:spacing w:line="0" w:lineRule="atLeast"/>
        <w:jc w:val="center"/>
        <w:rPr>
          <w:rFonts w:ascii="黑体" w:hAnsi="黑体" w:eastAsia="黑体"/>
          <w:b/>
          <w:color w:val="000000" w:themeColor="text1"/>
          <w:sz w:val="32"/>
          <w:szCs w:val="32"/>
          <w:highlight w:val="none"/>
          <w14:textFill>
            <w14:solidFill>
              <w14:schemeClr w14:val="tx1"/>
            </w14:solidFill>
          </w14:textFill>
        </w:rPr>
      </w:pPr>
    </w:p>
    <w:p w14:paraId="62B2E10D">
      <w:pPr>
        <w:pStyle w:val="38"/>
        <w:spacing w:line="0" w:lineRule="atLeast"/>
        <w:jc w:val="center"/>
        <w:rPr>
          <w:rFonts w:ascii="宋体" w:hAnsi="宋体" w:cs="宋体"/>
          <w:b/>
          <w:color w:val="000000" w:themeColor="text1"/>
          <w:sz w:val="32"/>
          <w:szCs w:val="32"/>
          <w:highlight w:val="none"/>
          <w14:textFill>
            <w14:solidFill>
              <w14:schemeClr w14:val="tx1"/>
            </w14:solidFill>
          </w14:textFill>
        </w:rPr>
      </w:pPr>
    </w:p>
    <w:p w14:paraId="22FCC21B">
      <w:pPr>
        <w:jc w:val="both"/>
        <w:rPr>
          <w:rFonts w:hint="eastAsia" w:ascii="宋体" w:hAnsi="宋体" w:eastAsia="宋体" w:cs="宋体"/>
          <w:b/>
          <w:bCs/>
          <w:strike/>
          <w:dstrike w:val="0"/>
          <w:color w:val="000000" w:themeColor="text1"/>
          <w:sz w:val="52"/>
          <w:szCs w:val="52"/>
          <w:highlight w:val="none"/>
          <w:lang w:eastAsia="zh-CN"/>
          <w14:textFill>
            <w14:solidFill>
              <w14:schemeClr w14:val="tx1"/>
            </w14:solidFill>
          </w14:textFill>
        </w:rPr>
      </w:pPr>
    </w:p>
    <w:p w14:paraId="4D1BA93F">
      <w:pPr>
        <w:jc w:val="center"/>
        <w:rPr>
          <w:rFonts w:hint="eastAsia" w:ascii="宋体" w:hAnsi="宋体" w:eastAsia="宋体" w:cs="宋体"/>
          <w:b/>
          <w:bCs/>
          <w:color w:val="000000" w:themeColor="text1"/>
          <w:sz w:val="52"/>
          <w:szCs w:val="52"/>
          <w:highlight w:val="none"/>
          <w:lang w:eastAsia="zh-CN"/>
          <w14:textFill>
            <w14:solidFill>
              <w14:schemeClr w14:val="tx1"/>
            </w14:solidFill>
          </w14:textFill>
        </w:rPr>
      </w:pPr>
      <w:r>
        <w:rPr>
          <w:rFonts w:hint="eastAsia" w:ascii="宋体" w:hAnsi="宋体" w:eastAsia="宋体" w:cs="宋体"/>
          <w:b/>
          <w:bCs/>
          <w:color w:val="000000" w:themeColor="text1"/>
          <w:sz w:val="52"/>
          <w:szCs w:val="52"/>
          <w:highlight w:val="none"/>
          <w:lang w:eastAsia="zh-CN"/>
          <w14:textFill>
            <w14:solidFill>
              <w14:schemeClr w14:val="tx1"/>
            </w14:solidFill>
          </w14:textFill>
        </w:rPr>
        <w:t>吉林省残疾人联合会省级残疾人辅具适配服务项目项目</w:t>
      </w:r>
    </w:p>
    <w:p w14:paraId="202ED064">
      <w:pPr>
        <w:jc w:val="both"/>
        <w:rPr>
          <w:rFonts w:ascii="宋体" w:hAnsi="宋体" w:cs="宋体"/>
          <w:b/>
          <w:color w:val="000000" w:themeColor="text1"/>
          <w:sz w:val="84"/>
          <w:szCs w:val="84"/>
          <w:highlight w:val="none"/>
          <w14:textFill>
            <w14:solidFill>
              <w14:schemeClr w14:val="tx1"/>
            </w14:solidFill>
          </w14:textFill>
        </w:rPr>
      </w:pPr>
    </w:p>
    <w:p w14:paraId="623361E5">
      <w:pPr>
        <w:jc w:val="center"/>
        <w:rPr>
          <w:rFonts w:ascii="宋体" w:hAnsi="宋体" w:cs="宋体"/>
          <w:b/>
          <w:color w:val="000000" w:themeColor="text1"/>
          <w:sz w:val="84"/>
          <w:szCs w:val="84"/>
          <w:highlight w:val="none"/>
          <w14:textFill>
            <w14:solidFill>
              <w14:schemeClr w14:val="tx1"/>
            </w14:solidFill>
          </w14:textFill>
        </w:rPr>
      </w:pPr>
    </w:p>
    <w:p w14:paraId="04B008BD">
      <w:pPr>
        <w:jc w:val="center"/>
        <w:rPr>
          <w:rFonts w:ascii="宋体" w:hAnsi="宋体" w:cs="宋体"/>
          <w:b/>
          <w:color w:val="000000" w:themeColor="text1"/>
          <w:sz w:val="84"/>
          <w:szCs w:val="84"/>
          <w:highlight w:val="none"/>
          <w14:textFill>
            <w14:solidFill>
              <w14:schemeClr w14:val="tx1"/>
            </w14:solidFill>
          </w14:textFill>
        </w:rPr>
      </w:pPr>
      <w:r>
        <w:rPr>
          <w:rFonts w:hint="eastAsia" w:ascii="宋体" w:hAnsi="宋体" w:cs="宋体"/>
          <w:b/>
          <w:color w:val="000000" w:themeColor="text1"/>
          <w:sz w:val="84"/>
          <w:szCs w:val="84"/>
          <w:highlight w:val="none"/>
          <w14:textFill>
            <w14:solidFill>
              <w14:schemeClr w14:val="tx1"/>
            </w14:solidFill>
          </w14:textFill>
        </w:rPr>
        <w:t>招 标 文 件</w:t>
      </w:r>
    </w:p>
    <w:p w14:paraId="62CB6F0A">
      <w:pPr>
        <w:jc w:val="center"/>
        <w:rPr>
          <w:rFonts w:hint="eastAsia" w:ascii="宋体" w:hAnsi="宋体" w:cs="宋体"/>
          <w:b/>
          <w:color w:val="000000" w:themeColor="text1"/>
          <w:sz w:val="28"/>
          <w:szCs w:val="28"/>
          <w:highlight w:val="none"/>
          <w14:textFill>
            <w14:solidFill>
              <w14:schemeClr w14:val="tx1"/>
            </w14:solidFill>
          </w14:textFill>
        </w:rPr>
      </w:pPr>
    </w:p>
    <w:p w14:paraId="5A197CB5">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项目编号：采购计划-[2025]-07097号-01</w:t>
      </w:r>
    </w:p>
    <w:p w14:paraId="5BEAB526">
      <w:pPr>
        <w:jc w:val="center"/>
        <w:rPr>
          <w:rFonts w:ascii="宋体" w:hAnsi="宋体" w:cs="宋体"/>
          <w:b/>
          <w:color w:val="000000" w:themeColor="text1"/>
          <w:sz w:val="28"/>
          <w:szCs w:val="28"/>
          <w:highlight w:val="none"/>
          <w14:textFill>
            <w14:solidFill>
              <w14:schemeClr w14:val="tx1"/>
            </w14:solidFill>
          </w14:textFill>
        </w:rPr>
      </w:pPr>
    </w:p>
    <w:p w14:paraId="7A466D0A">
      <w:pPr>
        <w:jc w:val="center"/>
        <w:rPr>
          <w:rFonts w:ascii="宋体" w:hAnsi="宋体" w:cs="宋体"/>
          <w:b/>
          <w:color w:val="000000" w:themeColor="text1"/>
          <w:sz w:val="32"/>
          <w:highlight w:val="none"/>
          <w14:textFill>
            <w14:solidFill>
              <w14:schemeClr w14:val="tx1"/>
            </w14:solidFill>
          </w14:textFill>
        </w:rPr>
      </w:pPr>
    </w:p>
    <w:p w14:paraId="306190AB">
      <w:pPr>
        <w:jc w:val="center"/>
        <w:rPr>
          <w:rFonts w:ascii="宋体" w:hAnsi="宋体" w:cs="宋体"/>
          <w:color w:val="000000" w:themeColor="text1"/>
          <w:sz w:val="32"/>
          <w:highlight w:val="none"/>
          <w14:textFill>
            <w14:solidFill>
              <w14:schemeClr w14:val="tx1"/>
            </w14:solidFill>
          </w14:textFill>
        </w:rPr>
      </w:pPr>
    </w:p>
    <w:p w14:paraId="02014FEA">
      <w:pPr>
        <w:jc w:val="center"/>
        <w:rPr>
          <w:rFonts w:ascii="宋体" w:hAnsi="宋体" w:cs="宋体"/>
          <w:color w:val="000000" w:themeColor="text1"/>
          <w:sz w:val="18"/>
          <w:szCs w:val="18"/>
          <w:highlight w:val="none"/>
          <w14:textFill>
            <w14:solidFill>
              <w14:schemeClr w14:val="tx1"/>
            </w14:solidFill>
          </w14:textFill>
        </w:rPr>
      </w:pPr>
    </w:p>
    <w:p w14:paraId="1903CF63">
      <w:pPr>
        <w:jc w:val="center"/>
        <w:rPr>
          <w:rFonts w:ascii="宋体" w:hAnsi="宋体" w:cs="宋体"/>
          <w:color w:val="000000" w:themeColor="text1"/>
          <w:sz w:val="18"/>
          <w:szCs w:val="18"/>
          <w:highlight w:val="none"/>
          <w14:textFill>
            <w14:solidFill>
              <w14:schemeClr w14:val="tx1"/>
            </w14:solidFill>
          </w14:textFill>
        </w:rPr>
      </w:pPr>
    </w:p>
    <w:p w14:paraId="4D19037D">
      <w:pPr>
        <w:spacing w:line="480" w:lineRule="auto"/>
        <w:jc w:val="center"/>
        <w:rPr>
          <w:rFonts w:ascii="宋体" w:hAnsi="宋体" w:cs="宋体"/>
          <w:color w:val="000000" w:themeColor="text1"/>
          <w:sz w:val="18"/>
          <w:szCs w:val="18"/>
          <w:highlight w:val="none"/>
          <w14:textFill>
            <w14:solidFill>
              <w14:schemeClr w14:val="tx1"/>
            </w14:solidFill>
          </w14:textFill>
        </w:rPr>
      </w:pPr>
    </w:p>
    <w:p w14:paraId="78DAED83">
      <w:pPr>
        <w:spacing w:line="480" w:lineRule="auto"/>
        <w:jc w:val="both"/>
        <w:rPr>
          <w:rFonts w:ascii="宋体" w:hAnsi="宋体" w:cs="宋体"/>
          <w:color w:val="000000" w:themeColor="text1"/>
          <w:sz w:val="18"/>
          <w:szCs w:val="18"/>
          <w:highlight w:val="none"/>
          <w14:textFill>
            <w14:solidFill>
              <w14:schemeClr w14:val="tx1"/>
            </w14:solidFill>
          </w14:textFill>
        </w:rPr>
      </w:pPr>
    </w:p>
    <w:p w14:paraId="493F4E91">
      <w:pPr>
        <w:spacing w:line="480" w:lineRule="auto"/>
        <w:jc w:val="center"/>
        <w:rPr>
          <w:rFonts w:ascii="宋体" w:hAnsi="宋体" w:cs="宋体"/>
          <w:color w:val="000000" w:themeColor="text1"/>
          <w:sz w:val="18"/>
          <w:szCs w:val="18"/>
          <w:highlight w:val="none"/>
          <w14:textFill>
            <w14:solidFill>
              <w14:schemeClr w14:val="tx1"/>
            </w14:solidFill>
          </w14:textFill>
        </w:rPr>
      </w:pPr>
    </w:p>
    <w:p w14:paraId="045DE13F">
      <w:pPr>
        <w:widowControl w:val="0"/>
        <w:ind w:left="0" w:leftChars="0" w:firstLine="0" w:firstLineChars="0"/>
        <w:jc w:val="center"/>
        <w:rPr>
          <w:rFonts w:ascii="宋体" w:hAnsi="宋体" w:cs="宋体"/>
          <w:b/>
          <w:bCs/>
          <w:sz w:val="28"/>
          <w:szCs w:val="28"/>
          <w:highlight w:val="none"/>
        </w:rPr>
      </w:pPr>
      <w:bookmarkStart w:id="1" w:name="_Toc98580389"/>
      <w:r>
        <w:rPr>
          <w:rFonts w:hint="eastAsia" w:ascii="宋体" w:hAnsi="宋体" w:cs="宋体"/>
          <w:b/>
          <w:bCs/>
          <w:sz w:val="28"/>
          <w:szCs w:val="28"/>
          <w:highlight w:val="none"/>
        </w:rPr>
        <w:t xml:space="preserve">采   购 </w:t>
      </w:r>
      <w:r>
        <w:rPr>
          <w:rFonts w:hint="eastAsia" w:ascii="宋体" w:hAnsi="宋体" w:eastAsia="宋体" w:cs="宋体"/>
          <w:b/>
          <w:bCs/>
          <w:sz w:val="28"/>
          <w:szCs w:val="28"/>
          <w:highlight w:val="none"/>
          <w:lang w:val="en-US" w:eastAsia="zh-CN"/>
        </w:rPr>
        <w:t xml:space="preserve">  人：吉林省残疾人联合会</w:t>
      </w:r>
    </w:p>
    <w:p w14:paraId="55DF1E82">
      <w:pPr>
        <w:widowControl w:val="0"/>
        <w:ind w:left="1000" w:leftChars="500"/>
        <w:rPr>
          <w:rFonts w:ascii="宋体" w:hAnsi="宋体" w:cs="宋体"/>
          <w:b/>
          <w:bCs/>
          <w:sz w:val="28"/>
          <w:szCs w:val="28"/>
          <w:highlight w:val="none"/>
        </w:rPr>
      </w:pPr>
    </w:p>
    <w:p w14:paraId="5C38F2DD">
      <w:pPr>
        <w:widowControl w:val="0"/>
        <w:tabs>
          <w:tab w:val="left" w:pos="938"/>
        </w:tabs>
        <w:ind w:left="1000" w:leftChars="500"/>
        <w:rPr>
          <w:rFonts w:ascii="宋体" w:hAnsi="宋体" w:cs="宋体"/>
          <w:b/>
          <w:bCs/>
          <w:sz w:val="28"/>
          <w:szCs w:val="28"/>
          <w:highlight w:val="none"/>
        </w:rPr>
      </w:pPr>
      <w:r>
        <w:rPr>
          <w:rFonts w:hint="eastAsia" w:ascii="宋体" w:hAnsi="宋体" w:cs="宋体"/>
          <w:b/>
          <w:bCs/>
          <w:sz w:val="28"/>
          <w:szCs w:val="28"/>
          <w:highlight w:val="none"/>
        </w:rPr>
        <w:tab/>
      </w:r>
    </w:p>
    <w:p w14:paraId="76195C21">
      <w:pPr>
        <w:widowControl w:val="0"/>
        <w:ind w:left="0" w:leftChars="0" w:firstLine="0" w:firstLineChars="0"/>
        <w:jc w:val="center"/>
        <w:rPr>
          <w:rFonts w:ascii="宋体" w:hAnsi="宋体" w:cs="宋体"/>
          <w:b/>
          <w:bCs/>
          <w:sz w:val="28"/>
          <w:szCs w:val="28"/>
          <w:highlight w:val="none"/>
        </w:rPr>
      </w:pPr>
      <w:r>
        <w:rPr>
          <w:rFonts w:hint="eastAsia" w:ascii="宋体" w:hAnsi="宋体" w:cs="宋体"/>
          <w:b/>
          <w:bCs/>
          <w:sz w:val="28"/>
          <w:szCs w:val="28"/>
          <w:highlight w:val="none"/>
        </w:rPr>
        <w:t>采购代理机构</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吉林省中采招标有限公司</w:t>
      </w:r>
    </w:p>
    <w:p w14:paraId="1BC74164">
      <w:pPr>
        <w:spacing w:line="400" w:lineRule="exact"/>
        <w:rPr>
          <w:rFonts w:ascii="宋体" w:hAnsi="宋体" w:cs="宋体"/>
          <w:b/>
          <w:bCs/>
          <w:highlight w:val="none"/>
        </w:rPr>
      </w:pPr>
    </w:p>
    <w:p w14:paraId="0E2F06F4">
      <w:pPr>
        <w:widowControl w:val="0"/>
        <w:jc w:val="center"/>
        <w:rPr>
          <w:rFonts w:ascii="宋体" w:hAnsi="宋体" w:cs="宋体"/>
          <w:b/>
          <w:bCs/>
          <w:sz w:val="28"/>
          <w:szCs w:val="28"/>
          <w:highlight w:val="none"/>
        </w:rPr>
      </w:pPr>
    </w:p>
    <w:p w14:paraId="62918A4F">
      <w:pPr>
        <w:widowControl w:val="0"/>
        <w:jc w:val="center"/>
        <w:rPr>
          <w:rFonts w:ascii="宋体" w:hAnsi="宋体" w:cs="宋体"/>
          <w:b/>
          <w:bCs/>
          <w:highlight w:val="none"/>
        </w:rPr>
      </w:pPr>
      <w:r>
        <w:rPr>
          <w:rFonts w:hint="eastAsia" w:ascii="宋体" w:hAnsi="宋体" w:cs="宋体"/>
          <w:b/>
          <w:bCs/>
          <w:sz w:val="28"/>
          <w:szCs w:val="28"/>
          <w:highlight w:val="none"/>
        </w:rPr>
        <w:t>202</w:t>
      </w:r>
      <w:r>
        <w:rPr>
          <w:rFonts w:hint="eastAsia" w:ascii="宋体" w:hAnsi="宋体" w:cs="宋体"/>
          <w:b/>
          <w:bCs/>
          <w:sz w:val="28"/>
          <w:szCs w:val="28"/>
          <w:highlight w:val="none"/>
          <w:lang w:val="en-US" w:eastAsia="zh-CN"/>
        </w:rPr>
        <w:t>5</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07</w:t>
      </w:r>
      <w:r>
        <w:rPr>
          <w:rFonts w:hint="eastAsia" w:ascii="宋体" w:hAnsi="宋体" w:cs="宋体"/>
          <w:b/>
          <w:bCs/>
          <w:sz w:val="28"/>
          <w:szCs w:val="28"/>
          <w:highlight w:val="none"/>
        </w:rPr>
        <w:t>月</w:t>
      </w:r>
    </w:p>
    <w:p w14:paraId="655B617D">
      <w:pPr>
        <w:jc w:val="center"/>
        <w:rPr>
          <w:rFonts w:ascii="宋体" w:hAnsi="宋体" w:cs="宋体"/>
          <w:b/>
          <w:bCs/>
          <w:color w:val="000000" w:themeColor="text1"/>
          <w:sz w:val="36"/>
          <w:highlight w:val="none"/>
          <w14:textFill>
            <w14:solidFill>
              <w14:schemeClr w14:val="tx1"/>
            </w14:solidFill>
          </w14:textFill>
        </w:rPr>
      </w:pPr>
      <w:r>
        <w:rPr>
          <w:rFonts w:hint="eastAsia" w:ascii="宋体" w:hAnsi="宋体" w:cs="宋体"/>
          <w:b/>
          <w:bCs/>
          <w:color w:val="000000" w:themeColor="text1"/>
          <w:sz w:val="36"/>
          <w:highlight w:val="none"/>
          <w14:textFill>
            <w14:solidFill>
              <w14:schemeClr w14:val="tx1"/>
            </w14:solidFill>
          </w14:textFill>
        </w:rPr>
        <w:br w:type="page"/>
      </w:r>
    </w:p>
    <w:p w14:paraId="34C37263">
      <w:pPr>
        <w:rPr>
          <w:rFonts w:ascii="宋体" w:hAnsi="宋体"/>
          <w:b/>
          <w:bCs/>
          <w:color w:val="000000" w:themeColor="text1"/>
          <w:sz w:val="36"/>
          <w:highlight w:val="none"/>
          <w14:textFill>
            <w14:solidFill>
              <w14:schemeClr w14:val="tx1"/>
            </w14:solidFill>
          </w14:textFill>
        </w:rPr>
      </w:pPr>
    </w:p>
    <w:p w14:paraId="1B6C8003">
      <w:pPr>
        <w:jc w:val="center"/>
        <w:rPr>
          <w:rFonts w:ascii="宋体" w:hAnsi="宋体"/>
          <w:b/>
          <w:bCs/>
          <w:color w:val="000000" w:themeColor="text1"/>
          <w:sz w:val="36"/>
          <w:highlight w:val="none"/>
          <w14:textFill>
            <w14:solidFill>
              <w14:schemeClr w14:val="tx1"/>
            </w14:solidFill>
          </w14:textFill>
        </w:rPr>
      </w:pPr>
      <w:r>
        <w:rPr>
          <w:rFonts w:hint="eastAsia" w:ascii="宋体" w:hAnsi="宋体"/>
          <w:b/>
          <w:bCs/>
          <w:color w:val="000000" w:themeColor="text1"/>
          <w:sz w:val="36"/>
          <w:highlight w:val="none"/>
          <w14:textFill>
            <w14:solidFill>
              <w14:schemeClr w14:val="tx1"/>
            </w14:solidFill>
          </w14:textFill>
        </w:rPr>
        <w:t>目　　录</w:t>
      </w:r>
    </w:p>
    <w:p w14:paraId="7186987B">
      <w:pPr>
        <w:jc w:val="center"/>
        <w:rPr>
          <w:rFonts w:ascii="宋体" w:hAnsi="宋体"/>
          <w:b/>
          <w:bCs/>
          <w:color w:val="000000" w:themeColor="text1"/>
          <w:sz w:val="36"/>
          <w:highlight w:val="none"/>
          <w14:textFill>
            <w14:solidFill>
              <w14:schemeClr w14:val="tx1"/>
            </w14:solidFill>
          </w14:textFill>
        </w:rPr>
      </w:pPr>
    </w:p>
    <w:p w14:paraId="51D6B456">
      <w:pPr>
        <w:pStyle w:val="30"/>
        <w:tabs>
          <w:tab w:val="right" w:leader="dot" w:pos="9061"/>
        </w:tabs>
        <w:spacing w:before="0" w:after="0" w:line="360" w:lineRule="auto"/>
        <w:rPr>
          <w:rFonts w:asciiTheme="minorEastAsia" w:hAnsiTheme="minorEastAsia" w:eastAsiaTheme="minorEastAsia" w:cstheme="minorBidi"/>
          <w:b w:val="0"/>
          <w:bCs w:val="0"/>
          <w:caps w:val="0"/>
          <w:color w:val="000000" w:themeColor="text1"/>
          <w:kern w:val="2"/>
          <w:sz w:val="28"/>
          <w:szCs w:val="28"/>
          <w:highlight w:val="none"/>
          <w14:textFill>
            <w14:solidFill>
              <w14:schemeClr w14:val="tx1"/>
            </w14:solidFill>
          </w14:textFill>
        </w:rPr>
      </w:pPr>
      <w:r>
        <w:rPr>
          <w:rFonts w:asciiTheme="minorEastAsia" w:hAnsiTheme="minorEastAsia" w:eastAsiaTheme="minorEastAsia"/>
          <w:b w:val="0"/>
          <w:color w:val="000000" w:themeColor="text1"/>
          <w:sz w:val="28"/>
          <w:szCs w:val="28"/>
          <w:highlight w:val="none"/>
          <w14:textFill>
            <w14:solidFill>
              <w14:schemeClr w14:val="tx1"/>
            </w14:solidFill>
          </w14:textFill>
        </w:rPr>
        <w:fldChar w:fldCharType="begin"/>
      </w:r>
      <w:r>
        <w:rPr>
          <w:rFonts w:asciiTheme="minorEastAsia" w:hAnsiTheme="minorEastAsia" w:eastAsiaTheme="minorEastAsia"/>
          <w:b w:val="0"/>
          <w:color w:val="000000" w:themeColor="text1"/>
          <w:sz w:val="28"/>
          <w:szCs w:val="28"/>
          <w:highlight w:val="none"/>
          <w14:textFill>
            <w14:solidFill>
              <w14:schemeClr w14:val="tx1"/>
            </w14:solidFill>
          </w14:textFill>
        </w:rPr>
        <w:instrText xml:space="preserve"> </w:instrText>
      </w:r>
      <w:r>
        <w:rPr>
          <w:rFonts w:hint="eastAsia" w:asciiTheme="minorEastAsia" w:hAnsiTheme="minorEastAsia" w:eastAsiaTheme="minorEastAsia"/>
          <w:b w:val="0"/>
          <w:color w:val="000000" w:themeColor="text1"/>
          <w:sz w:val="28"/>
          <w:szCs w:val="28"/>
          <w:highlight w:val="none"/>
          <w14:textFill>
            <w14:solidFill>
              <w14:schemeClr w14:val="tx1"/>
            </w14:solidFill>
          </w14:textFill>
        </w:rPr>
        <w:instrText xml:space="preserve">TOC \o "1-1" \h \z \u</w:instrText>
      </w:r>
      <w:r>
        <w:rPr>
          <w:rFonts w:asciiTheme="minorEastAsia" w:hAnsiTheme="minorEastAsia" w:eastAsiaTheme="minorEastAsia"/>
          <w:b w:val="0"/>
          <w:color w:val="000000" w:themeColor="text1"/>
          <w:sz w:val="28"/>
          <w:szCs w:val="28"/>
          <w:highlight w:val="none"/>
          <w14:textFill>
            <w14:solidFill>
              <w14:schemeClr w14:val="tx1"/>
            </w14:solidFill>
          </w14:textFill>
        </w:rPr>
        <w:instrText xml:space="preserve"> </w:instrText>
      </w:r>
      <w:r>
        <w:rPr>
          <w:rFonts w:asciiTheme="minorEastAsia" w:hAnsiTheme="minorEastAsia" w:eastAsiaTheme="minorEastAsia"/>
          <w:b w:val="0"/>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"_Toc55578492"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第一部分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招标公告</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p>
    <w:p w14:paraId="196CAC26">
      <w:pPr>
        <w:pStyle w:val="30"/>
        <w:tabs>
          <w:tab w:val="right" w:leader="dot" w:pos="9061"/>
        </w:tabs>
        <w:spacing w:before="0" w:after="0" w:line="360" w:lineRule="auto"/>
        <w:rPr>
          <w:rFonts w:asciiTheme="minorEastAsia" w:hAnsiTheme="minorEastAsia" w:eastAsiaTheme="minorEastAsia" w:cstheme="minorBidi"/>
          <w:b w:val="0"/>
          <w:bCs w:val="0"/>
          <w:caps w:val="0"/>
          <w:color w:val="000000" w:themeColor="text1"/>
          <w:kern w:val="2"/>
          <w:sz w:val="28"/>
          <w:szCs w:val="28"/>
          <w:highlight w:val="none"/>
          <w14:textFill>
            <w14:solidFill>
              <w14:schemeClr w14:val="tx1"/>
            </w14:solidFill>
          </w14:textFill>
        </w:rPr>
      </w:pPr>
      <w:r>
        <w:rPr>
          <w:highlight w:val="none"/>
        </w:rPr>
        <w:fldChar w:fldCharType="begin"/>
      </w:r>
      <w:r>
        <w:rPr>
          <w:highlight w:val="none"/>
        </w:rPr>
        <w:instrText xml:space="preserve"> HYPERLINK \l "_Toc55578493"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第二部分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供应商须知</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p>
    <w:p w14:paraId="22B90EFB">
      <w:pPr>
        <w:pStyle w:val="30"/>
        <w:tabs>
          <w:tab w:val="right" w:leader="dot" w:pos="9061"/>
        </w:tabs>
        <w:spacing w:before="0" w:after="0" w:line="360" w:lineRule="auto"/>
        <w:rPr>
          <w:rFonts w:asciiTheme="minorEastAsia" w:hAnsiTheme="minorEastAsia" w:eastAsiaTheme="minorEastAsia" w:cstheme="minorBidi"/>
          <w:b w:val="0"/>
          <w:bCs w:val="0"/>
          <w:caps w:val="0"/>
          <w:color w:val="000000" w:themeColor="text1"/>
          <w:kern w:val="2"/>
          <w:sz w:val="28"/>
          <w:szCs w:val="28"/>
          <w:highlight w:val="none"/>
          <w14:textFill>
            <w14:solidFill>
              <w14:schemeClr w14:val="tx1"/>
            </w14:solidFill>
          </w14:textFill>
        </w:rPr>
      </w:pPr>
      <w:r>
        <w:rPr>
          <w:highlight w:val="none"/>
        </w:rPr>
        <w:fldChar w:fldCharType="begin"/>
      </w:r>
      <w:r>
        <w:rPr>
          <w:highlight w:val="none"/>
        </w:rPr>
        <w:instrText xml:space="preserve"> HYPERLINK \l "_Toc55578494"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第三部分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评标办法</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asciiTheme="minorEastAsia" w:hAnsiTheme="minorEastAsia" w:eastAsiaTheme="minorEastAsia"/>
          <w:color w:val="000000" w:themeColor="text1"/>
          <w:sz w:val="28"/>
          <w:szCs w:val="28"/>
          <w:highlight w:val="none"/>
          <w14:textFill>
            <w14:solidFill>
              <w14:schemeClr w14:val="tx1"/>
            </w14:solidFill>
          </w14:textFill>
        </w:rPr>
        <w:fldChar w:fldCharType="begin"/>
      </w:r>
      <w:r>
        <w:rPr>
          <w:rFonts w:asciiTheme="minorEastAsia" w:hAnsiTheme="minorEastAsia" w:eastAsiaTheme="minorEastAsia"/>
          <w:color w:val="000000" w:themeColor="text1"/>
          <w:sz w:val="28"/>
          <w:szCs w:val="28"/>
          <w:highlight w:val="none"/>
          <w14:textFill>
            <w14:solidFill>
              <w14:schemeClr w14:val="tx1"/>
            </w14:solidFill>
          </w14:textFill>
        </w:rPr>
        <w:instrText xml:space="preserve"> PAGEREF _Toc55578494 \h </w:instrText>
      </w:r>
      <w:r>
        <w:rPr>
          <w:rFonts w:asciiTheme="minorEastAsia" w:hAnsiTheme="minorEastAsia" w:eastAsiaTheme="minorEastAsia"/>
          <w:color w:val="000000" w:themeColor="text1"/>
          <w:sz w:val="28"/>
          <w:szCs w:val="28"/>
          <w:highlight w:val="none"/>
          <w14:textFill>
            <w14:solidFill>
              <w14:schemeClr w14:val="tx1"/>
            </w14:solidFill>
          </w14:textFill>
        </w:rPr>
        <w:fldChar w:fldCharType="separate"/>
      </w:r>
      <w:r>
        <w:rPr>
          <w:rFonts w:asciiTheme="minorEastAsia" w:hAnsiTheme="minorEastAsia" w:eastAsiaTheme="minorEastAsia"/>
          <w:color w:val="000000" w:themeColor="text1"/>
          <w:sz w:val="28"/>
          <w:szCs w:val="28"/>
          <w:highlight w:val="none"/>
          <w14:textFill>
            <w14:solidFill>
              <w14:schemeClr w14:val="tx1"/>
            </w14:solidFill>
          </w14:textFill>
        </w:rPr>
        <w:t>16</w:t>
      </w: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p>
    <w:p w14:paraId="0B8C8066">
      <w:pPr>
        <w:pStyle w:val="30"/>
        <w:tabs>
          <w:tab w:val="right" w:leader="dot" w:pos="9061"/>
        </w:tabs>
        <w:spacing w:before="0" w:after="0" w:line="360" w:lineRule="auto"/>
        <w:rPr>
          <w:rFonts w:hint="eastAsia" w:asciiTheme="minorEastAsia" w:hAnsiTheme="minorEastAsia" w:eastAsiaTheme="minorEastAsia" w:cstheme="minorBidi"/>
          <w:b w:val="0"/>
          <w:bCs w:val="0"/>
          <w:caps w:val="0"/>
          <w:color w:val="000000" w:themeColor="text1"/>
          <w:kern w:val="2"/>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"_Toc55578495"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第四部分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采购需求</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w:t>
      </w: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3</w:t>
      </w:r>
    </w:p>
    <w:p w14:paraId="6926B325">
      <w:pPr>
        <w:pStyle w:val="30"/>
        <w:tabs>
          <w:tab w:val="right" w:leader="dot" w:pos="9061"/>
        </w:tabs>
        <w:spacing w:before="0" w:after="0" w:line="360" w:lineRule="auto"/>
        <w:rPr>
          <w:rFonts w:hint="default" w:asciiTheme="minorEastAsia" w:hAnsiTheme="minorEastAsia" w:eastAsiaTheme="minorEastAsia" w:cstheme="minorBidi"/>
          <w:b w:val="0"/>
          <w:bCs w:val="0"/>
          <w:caps w:val="0"/>
          <w:color w:val="000000" w:themeColor="text1"/>
          <w:kern w:val="2"/>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"_Toc55578496"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第五部分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合同条款</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28</w:t>
      </w:r>
    </w:p>
    <w:p w14:paraId="6B9F5264">
      <w:pPr>
        <w:pStyle w:val="30"/>
        <w:tabs>
          <w:tab w:val="right" w:leader="dot" w:pos="9061"/>
        </w:tabs>
        <w:spacing w:before="0" w:after="0" w:line="360" w:lineRule="auto"/>
        <w:rPr>
          <w:rFonts w:hint="default" w:asciiTheme="minorEastAsia" w:hAnsiTheme="minorEastAsia" w:eastAsiaTheme="minorEastAsia" w:cstheme="minorBidi"/>
          <w:b w:val="0"/>
          <w:bCs w:val="0"/>
          <w:caps w:val="0"/>
          <w:color w:val="000000" w:themeColor="text1"/>
          <w:kern w:val="2"/>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"_Toc55578497"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第六部分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投标文件格式</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33</w:t>
      </w:r>
    </w:p>
    <w:p w14:paraId="2F625293">
      <w:pPr>
        <w:spacing w:line="360" w:lineRule="auto"/>
        <w:ind w:left="400" w:leftChars="200" w:right="400" w:right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p>
    <w:bookmarkEnd w:id="1"/>
    <w:p w14:paraId="70D8A3EC">
      <w:pPr>
        <w:rPr>
          <w:color w:val="000000" w:themeColor="text1"/>
          <w:highlight w:val="none"/>
          <w14:textFill>
            <w14:solidFill>
              <w14:schemeClr w14:val="tx1"/>
            </w14:solidFill>
          </w14:textFill>
        </w:rPr>
        <w:sectPr>
          <w:headerReference r:id="rId4" w:type="first"/>
          <w:headerReference r:id="rId3" w:type="default"/>
          <w:footerReference r:id="rId5" w:type="even"/>
          <w:pgSz w:w="11906" w:h="16838"/>
          <w:pgMar w:top="1418" w:right="1247" w:bottom="1418" w:left="1588" w:header="851" w:footer="992" w:gutter="0"/>
          <w:cols w:space="720" w:num="1"/>
          <w:titlePg/>
          <w:docGrid w:linePitch="312" w:charSpace="0"/>
        </w:sectPr>
      </w:pPr>
    </w:p>
    <w:p w14:paraId="5022E147">
      <w:pPr>
        <w:rPr>
          <w:color w:val="000000" w:themeColor="text1"/>
          <w:highlight w:val="none"/>
          <w14:textFill>
            <w14:solidFill>
              <w14:schemeClr w14:val="tx1"/>
            </w14:solidFill>
          </w14:textFill>
        </w:rPr>
      </w:pPr>
    </w:p>
    <w:p w14:paraId="304E6528">
      <w:pPr>
        <w:pStyle w:val="2"/>
        <w:spacing w:before="0" w:after="0" w:line="360" w:lineRule="auto"/>
        <w:jc w:val="center"/>
        <w:rPr>
          <w:rFonts w:hAnsi="宋体"/>
          <w:color w:val="000000" w:themeColor="text1"/>
          <w:highlight w:val="none"/>
          <w14:textFill>
            <w14:solidFill>
              <w14:schemeClr w14:val="tx1"/>
            </w14:solidFill>
          </w14:textFill>
        </w:rPr>
      </w:pPr>
      <w:bookmarkStart w:id="2" w:name="_Toc55578492"/>
      <w:r>
        <w:rPr>
          <w:rFonts w:hint="eastAsia"/>
          <w:color w:val="000000" w:themeColor="text1"/>
          <w:highlight w:val="none"/>
          <w14:textFill>
            <w14:solidFill>
              <w14:schemeClr w14:val="tx1"/>
            </w14:solidFill>
          </w14:textFill>
        </w:rPr>
        <w:t>第一部分  招标公告</w:t>
      </w:r>
      <w:bookmarkEnd w:id="2"/>
    </w:p>
    <w:p w14:paraId="445B10FA">
      <w:pPr>
        <w:pBdr>
          <w:top w:val="single" w:color="auto" w:sz="4" w:space="1"/>
          <w:left w:val="single" w:color="auto" w:sz="4" w:space="4"/>
          <w:bottom w:val="single" w:color="auto" w:sz="4" w:space="1"/>
          <w:right w:val="single" w:color="auto" w:sz="4" w:space="4"/>
        </w:pBdr>
        <w:wordWrap w:val="0"/>
        <w:spacing w:line="360" w:lineRule="auto"/>
        <w:ind w:firstLine="420" w:firstLineChars="200"/>
        <w:jc w:val="both"/>
        <w:rPr>
          <w:color w:val="000000"/>
          <w:sz w:val="21"/>
          <w:szCs w:val="21"/>
          <w:highlight w:val="none"/>
        </w:rPr>
      </w:pPr>
      <w:bookmarkStart w:id="3" w:name="_Hlk67035644"/>
      <w:r>
        <w:rPr>
          <w:rFonts w:hint="eastAsia"/>
          <w:color w:val="000000"/>
          <w:sz w:val="21"/>
          <w:szCs w:val="21"/>
          <w:highlight w:val="none"/>
        </w:rPr>
        <w:t>项目概况</w:t>
      </w:r>
    </w:p>
    <w:p w14:paraId="34A91530">
      <w:pPr>
        <w:pBdr>
          <w:top w:val="single" w:color="auto" w:sz="4" w:space="1"/>
          <w:left w:val="single" w:color="auto" w:sz="4" w:space="4"/>
          <w:bottom w:val="single" w:color="auto" w:sz="4" w:space="1"/>
          <w:right w:val="single" w:color="auto" w:sz="4" w:space="4"/>
        </w:pBdr>
        <w:wordWrap w:val="0"/>
        <w:spacing w:line="360" w:lineRule="auto"/>
        <w:ind w:firstLine="420" w:firstLineChars="200"/>
        <w:jc w:val="both"/>
        <w:rPr>
          <w:sz w:val="21"/>
          <w:szCs w:val="21"/>
          <w:highlight w:val="none"/>
        </w:rPr>
      </w:pPr>
      <w:r>
        <w:rPr>
          <w:rFonts w:hint="eastAsia"/>
          <w:color w:val="000000"/>
          <w:sz w:val="21"/>
          <w:szCs w:val="21"/>
          <w:highlight w:val="none"/>
          <w:lang w:eastAsia="zh-CN"/>
        </w:rPr>
        <w:t>吉林省残疾人联合会省级残疾人辅具适配服务项目项目</w:t>
      </w:r>
      <w:r>
        <w:rPr>
          <w:rFonts w:hint="eastAsia"/>
          <w:color w:val="000000"/>
          <w:sz w:val="21"/>
          <w:szCs w:val="21"/>
          <w:highlight w:val="none"/>
        </w:rPr>
        <w:t>的潜在供应商应在政府采购云平</w:t>
      </w:r>
      <w:r>
        <w:rPr>
          <w:rFonts w:hint="eastAsia" w:ascii="宋体" w:hAnsi="宋体" w:cs="宋体"/>
          <w:color w:val="000000"/>
          <w:sz w:val="21"/>
          <w:szCs w:val="21"/>
          <w:highlight w:val="none"/>
        </w:rPr>
        <w:t>台（网址：http:// www.zcygov.cn）获取招标文件，</w:t>
      </w:r>
      <w:r>
        <w:rPr>
          <w:rFonts w:hint="eastAsia" w:ascii="宋体" w:hAnsi="宋体" w:cs="宋体"/>
          <w:sz w:val="21"/>
          <w:szCs w:val="21"/>
          <w:highlight w:val="none"/>
        </w:rPr>
        <w:t>并于</w:t>
      </w:r>
      <w:r>
        <w:rPr>
          <w:rFonts w:hint="eastAsia" w:ascii="宋体" w:hAnsi="宋体"/>
          <w:color w:val="000000" w:themeColor="text1"/>
          <w:sz w:val="21"/>
          <w:szCs w:val="21"/>
          <w:highlight w:val="none"/>
          <w:lang w:eastAsia="zh-CN"/>
          <w14:textFill>
            <w14:solidFill>
              <w14:schemeClr w14:val="tx1"/>
            </w14:solidFill>
          </w14:textFill>
        </w:rPr>
        <w:t>2025年</w:t>
      </w: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lang w:eastAsia="zh-CN"/>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lang w:eastAsia="zh-CN"/>
          <w14:textFill>
            <w14:solidFill>
              <w14:schemeClr w14:val="tx1"/>
            </w14:solidFill>
          </w14:textFill>
        </w:rPr>
        <w:t>日</w:t>
      </w:r>
      <w:r>
        <w:rPr>
          <w:rFonts w:hint="eastAsia" w:ascii="宋体" w:hAnsi="宋体"/>
          <w:color w:val="000000" w:themeColor="text1"/>
          <w:sz w:val="21"/>
          <w:szCs w:val="21"/>
          <w:highlight w:val="none"/>
          <w:lang w:val="en-US" w:eastAsia="zh-CN"/>
          <w14:textFill>
            <w14:solidFill>
              <w14:schemeClr w14:val="tx1"/>
            </w14:solidFill>
          </w14:textFill>
        </w:rPr>
        <w:t>09</w:t>
      </w:r>
      <w:r>
        <w:rPr>
          <w:rFonts w:hint="eastAsia" w:ascii="宋体" w:hAnsi="宋体"/>
          <w:color w:val="000000" w:themeColor="text1"/>
          <w:sz w:val="21"/>
          <w:szCs w:val="21"/>
          <w:highlight w:val="none"/>
          <w:lang w:eastAsia="zh-CN"/>
          <w14:textFill>
            <w14:solidFill>
              <w14:schemeClr w14:val="tx1"/>
            </w14:solidFill>
          </w14:textFill>
        </w:rPr>
        <w:t>时</w:t>
      </w:r>
      <w:r>
        <w:rPr>
          <w:rFonts w:hint="eastAsia" w:ascii="宋体" w:hAnsi="宋体"/>
          <w:color w:val="000000" w:themeColor="text1"/>
          <w:sz w:val="21"/>
          <w:szCs w:val="21"/>
          <w:highlight w:val="none"/>
          <w:lang w:val="en-US" w:eastAsia="zh-CN"/>
          <w14:textFill>
            <w14:solidFill>
              <w14:schemeClr w14:val="tx1"/>
            </w14:solidFill>
          </w14:textFill>
        </w:rPr>
        <w:t>0</w:t>
      </w:r>
      <w:r>
        <w:rPr>
          <w:rFonts w:hint="eastAsia" w:ascii="宋体" w:hAnsi="宋体"/>
          <w:color w:val="000000" w:themeColor="text1"/>
          <w:sz w:val="21"/>
          <w:szCs w:val="21"/>
          <w:highlight w:val="none"/>
          <w:lang w:eastAsia="zh-CN"/>
          <w14:textFill>
            <w14:solidFill>
              <w14:schemeClr w14:val="tx1"/>
            </w14:solidFill>
          </w14:textFill>
        </w:rPr>
        <w:t>0分</w:t>
      </w:r>
      <w:r>
        <w:rPr>
          <w:rFonts w:hint="eastAsia" w:ascii="宋体" w:hAnsi="宋体" w:cs="宋体"/>
          <w:bCs/>
          <w:sz w:val="21"/>
          <w:szCs w:val="21"/>
          <w:highlight w:val="none"/>
        </w:rPr>
        <w:t>（北京时间）前提交投标文件</w:t>
      </w:r>
      <w:r>
        <w:rPr>
          <w:rFonts w:hint="eastAsia" w:ascii="宋体" w:hAnsi="宋体" w:cs="宋体"/>
          <w:sz w:val="21"/>
          <w:szCs w:val="21"/>
          <w:highlight w:val="none"/>
        </w:rPr>
        <w:t>。</w:t>
      </w:r>
    </w:p>
    <w:p w14:paraId="1AB69086">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一、项目基本情况</w:t>
      </w:r>
    </w:p>
    <w:p w14:paraId="02CBBC97">
      <w:pPr>
        <w:spacing w:line="380" w:lineRule="exact"/>
        <w:ind w:firstLine="420" w:firstLineChars="200"/>
        <w:rPr>
          <w:rFonts w:hint="eastAsia" w:ascii="宋体" w:hAnsi="宋体"/>
          <w:color w:val="FF0000"/>
          <w:sz w:val="21"/>
          <w:szCs w:val="21"/>
          <w:highlight w:val="none"/>
        </w:rPr>
      </w:pPr>
      <w:bookmarkStart w:id="4" w:name="_Toc28359080"/>
      <w:bookmarkStart w:id="5" w:name="_Toc35393622"/>
      <w:bookmarkStart w:id="6" w:name="_Toc28359003"/>
      <w:bookmarkStart w:id="7" w:name="_Toc35393791"/>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.项目名称：吉林省残疾人联合会省级残疾人辅具适配服务项目项目</w:t>
      </w:r>
    </w:p>
    <w:p w14:paraId="2D7E51C4">
      <w:pPr>
        <w:spacing w:line="38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.项目编号：采购计划-[2025]-07097号-01</w:t>
      </w:r>
    </w:p>
    <w:p w14:paraId="0882FE21">
      <w:pPr>
        <w:spacing w:line="380" w:lineRule="exact"/>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3.采购编号：</w:t>
      </w:r>
      <w:r>
        <w:rPr>
          <w:rFonts w:hint="eastAsia" w:ascii="宋体" w:hAnsi="宋体"/>
          <w:color w:val="auto"/>
          <w:sz w:val="21"/>
          <w:szCs w:val="21"/>
          <w:highlight w:val="none"/>
          <w:lang w:eastAsia="zh-CN"/>
        </w:rPr>
        <w:fldChar w:fldCharType="begin"/>
      </w:r>
      <w:r>
        <w:rPr>
          <w:rFonts w:hint="eastAsia" w:ascii="宋体" w:hAnsi="宋体"/>
          <w:color w:val="auto"/>
          <w:sz w:val="21"/>
          <w:szCs w:val="21"/>
          <w:highlight w:val="none"/>
          <w:lang w:eastAsia="zh-CN"/>
        </w:rPr>
        <w:instrText xml:space="preserve"> HYPERLINK "https://pay.zcygov.cn/purchaseplan_front/" \l "/plan/list/view?id=1000000000016087750&amp;_app_=zcy.procurement" \t "https://www.zcygov.cn/project-center/_procurement_/purchasePlans/_blank" </w:instrText>
      </w:r>
      <w:r>
        <w:rPr>
          <w:rFonts w:hint="eastAsia" w:ascii="宋体" w:hAnsi="宋体"/>
          <w:color w:val="auto"/>
          <w:sz w:val="21"/>
          <w:szCs w:val="21"/>
          <w:highlight w:val="none"/>
          <w:lang w:eastAsia="zh-CN"/>
        </w:rPr>
        <w:fldChar w:fldCharType="separate"/>
      </w:r>
      <w:r>
        <w:rPr>
          <w:rFonts w:hint="eastAsia" w:ascii="宋体" w:hAnsi="宋体"/>
          <w:color w:val="auto"/>
          <w:sz w:val="21"/>
          <w:szCs w:val="21"/>
          <w:highlight w:val="none"/>
          <w:lang w:eastAsia="zh-CN"/>
        </w:rPr>
        <w:t>采购计划-[2025]-07097号</w:t>
      </w:r>
      <w:r>
        <w:rPr>
          <w:rFonts w:hint="eastAsia" w:ascii="宋体" w:hAnsi="宋体"/>
          <w:color w:val="auto"/>
          <w:sz w:val="21"/>
          <w:szCs w:val="21"/>
          <w:highlight w:val="none"/>
          <w:lang w:eastAsia="zh-CN"/>
        </w:rPr>
        <w:fldChar w:fldCharType="end"/>
      </w:r>
    </w:p>
    <w:p w14:paraId="1D117141">
      <w:pPr>
        <w:spacing w:line="380" w:lineRule="exact"/>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4.项目所属年度： 2025年</w:t>
      </w:r>
    </w:p>
    <w:p w14:paraId="32457EF5">
      <w:pPr>
        <w:spacing w:line="380" w:lineRule="exact"/>
        <w:ind w:firstLine="420" w:firstLineChars="20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default" w:ascii="宋体" w:hAnsi="宋体"/>
          <w:color w:val="auto"/>
          <w:sz w:val="21"/>
          <w:szCs w:val="21"/>
          <w:highlight w:val="none"/>
          <w:lang w:val="en-US" w:eastAsia="zh-CN"/>
        </w:rPr>
        <w:t>项目所属分类： 服务</w:t>
      </w:r>
    </w:p>
    <w:p w14:paraId="5F3BF6C0">
      <w:pPr>
        <w:spacing w:line="380" w:lineRule="exact"/>
        <w:ind w:firstLine="420" w:firstLineChars="20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预算总金额（最高限价）</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390.00</w:t>
      </w:r>
      <w:r>
        <w:rPr>
          <w:rFonts w:hint="eastAsia" w:ascii="宋体" w:hAnsi="宋体" w:eastAsia="宋体" w:cs="宋体"/>
          <w:i w:val="0"/>
          <w:iCs w:val="0"/>
          <w:color w:val="auto"/>
          <w:kern w:val="0"/>
          <w:sz w:val="21"/>
          <w:szCs w:val="21"/>
          <w:highlight w:val="none"/>
          <w:u w:val="none"/>
          <w:lang w:val="en-US" w:eastAsia="zh-CN" w:bidi="ar"/>
        </w:rPr>
        <w:t>万元</w:t>
      </w:r>
    </w:p>
    <w:p w14:paraId="0CEB92D2">
      <w:pPr>
        <w:spacing w:line="38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color w:val="auto"/>
          <w:sz w:val="21"/>
          <w:szCs w:val="21"/>
          <w:highlight w:val="none"/>
          <w:lang w:val="en-US" w:eastAsia="zh-CN"/>
        </w:rPr>
        <w:t>项目概况</w:t>
      </w:r>
      <w:r>
        <w:rPr>
          <w:rFonts w:hint="eastAsia" w:ascii="宋体" w:hAnsi="宋体" w:cs="宋体"/>
          <w:i w:val="0"/>
          <w:iCs w:val="0"/>
          <w:color w:val="auto"/>
          <w:kern w:val="0"/>
          <w:sz w:val="21"/>
          <w:szCs w:val="21"/>
          <w:highlight w:val="none"/>
          <w:u w:val="none"/>
          <w:lang w:val="en-US" w:eastAsia="zh-CN" w:bidi="ar"/>
        </w:rPr>
        <w:t xml:space="preserve">： </w:t>
      </w:r>
    </w:p>
    <w:p w14:paraId="18615C29">
      <w:pPr>
        <w:spacing w:line="38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 xml:space="preserve">以就学和就业年龄段残疾人为重点，开展较高质量的辅助器具适配服务，提高科 </w:t>
      </w:r>
    </w:p>
    <w:p w14:paraId="4035D6C2">
      <w:pPr>
        <w:spacing w:line="38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 xml:space="preserve">技含量，计划服务1055例（含大学生辅具进校园项目），包括肢体残疾人假肢、矫形 </w:t>
      </w:r>
    </w:p>
    <w:p w14:paraId="6C7939BC">
      <w:pPr>
        <w:spacing w:line="38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 xml:space="preserve">器适配服务；听力残疾人助听器适配服务；视力和听力残疾人智能眼睛采购发放等。 </w:t>
      </w:r>
    </w:p>
    <w:p w14:paraId="4C6588BE">
      <w:pPr>
        <w:spacing w:line="380" w:lineRule="exact"/>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auto"/>
          <w:sz w:val="21"/>
          <w:szCs w:val="21"/>
          <w:highlight w:val="none"/>
        </w:rPr>
        <w:t>采购需求：</w:t>
      </w:r>
    </w:p>
    <w:tbl>
      <w:tblPr>
        <w:tblStyle w:val="43"/>
        <w:tblW w:w="88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2"/>
        <w:gridCol w:w="971"/>
        <w:gridCol w:w="1693"/>
        <w:gridCol w:w="1167"/>
        <w:gridCol w:w="1120"/>
        <w:gridCol w:w="1056"/>
        <w:gridCol w:w="1472"/>
      </w:tblGrid>
      <w:tr w14:paraId="4A4B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D19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类别</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26D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6A0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项目名称</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2E5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总数量</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D77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数量单位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31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单价</w:t>
            </w:r>
          </w:p>
          <w:p w14:paraId="29889BE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（万元）</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BB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金额</w:t>
            </w:r>
          </w:p>
          <w:p w14:paraId="16BFA85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（万元）</w:t>
            </w:r>
          </w:p>
        </w:tc>
      </w:tr>
      <w:tr w14:paraId="4DF6B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28ED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假肢矫形器类</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AD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6BA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大腿假肢适配服务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D4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190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50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79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0.65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7A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123.50 </w:t>
            </w:r>
          </w:p>
        </w:tc>
      </w:tr>
      <w:tr w14:paraId="5DB5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12DCF">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47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44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小腿假肢适配服务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42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195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2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22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0.35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C9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68.25 </w:t>
            </w:r>
          </w:p>
        </w:tc>
      </w:tr>
      <w:tr w14:paraId="5B05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F493D">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BB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C5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前臂假肢适配服务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E2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27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FA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55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0E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8.10 </w:t>
            </w:r>
          </w:p>
        </w:tc>
      </w:tr>
      <w:tr w14:paraId="746C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2D78C">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E0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7B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上臂假肢适配服务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CB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A7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69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0.55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F4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5.50 </w:t>
            </w:r>
          </w:p>
        </w:tc>
      </w:tr>
      <w:tr w14:paraId="3830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DBC1B">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BA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71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膝部假肢适配服务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FA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AD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E8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0.50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F1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2.50 </w:t>
            </w:r>
          </w:p>
        </w:tc>
      </w:tr>
      <w:tr w14:paraId="3737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BDC21">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51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DF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髋部假肢适配服务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49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49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F5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BF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1.60 </w:t>
            </w:r>
          </w:p>
        </w:tc>
      </w:tr>
      <w:tr w14:paraId="0F5E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5EF58">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6D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54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足部假肢适配服务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0A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94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2D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AE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1.50 </w:t>
            </w:r>
          </w:p>
        </w:tc>
      </w:tr>
      <w:tr w14:paraId="7B25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EAC36">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3B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19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手部假肢适配服务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A6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0C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A0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36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1.00 </w:t>
            </w:r>
          </w:p>
        </w:tc>
      </w:tr>
      <w:tr w14:paraId="42A7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E81B0">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4C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9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D7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矫形器适配服务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50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06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CE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0.15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1D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1.50 </w:t>
            </w:r>
          </w:p>
        </w:tc>
      </w:tr>
      <w:tr w14:paraId="65DB5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F1A2">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3F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73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踝足矫形器适配服务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93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8C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34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32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3.00 </w:t>
            </w:r>
          </w:p>
        </w:tc>
      </w:tr>
      <w:tr w14:paraId="1760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5E5DA">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3B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D6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矫形鞋适配服务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84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63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BE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BC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10.00 </w:t>
            </w:r>
          </w:p>
        </w:tc>
      </w:tr>
      <w:tr w14:paraId="43CF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E0726">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3D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CDAC">
            <w:pPr>
              <w:jc w:val="center"/>
              <w:rPr>
                <w:rFonts w:hint="eastAsia" w:ascii="宋体" w:hAnsi="宋体" w:eastAsia="宋体" w:cs="宋体"/>
                <w:i w:val="0"/>
                <w:iCs w:val="0"/>
                <w:color w:val="000000"/>
                <w:sz w:val="22"/>
                <w:szCs w:val="22"/>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DB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699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9F126">
            <w:pPr>
              <w:rPr>
                <w:rFonts w:hint="eastAsia" w:ascii="宋体" w:hAnsi="宋体" w:eastAsia="宋体" w:cs="宋体"/>
                <w:i w:val="0"/>
                <w:iCs w:val="0"/>
                <w:color w:val="000000"/>
                <w:sz w:val="22"/>
                <w:szCs w:val="22"/>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992D0">
            <w:pPr>
              <w:rPr>
                <w:rFonts w:hint="eastAsia" w:ascii="宋体" w:hAnsi="宋体" w:eastAsia="宋体" w:cs="宋体"/>
                <w:i w:val="0"/>
                <w:iCs w:val="0"/>
                <w:color w:val="000000"/>
                <w:sz w:val="22"/>
                <w:szCs w:val="22"/>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B5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226.45 </w:t>
            </w:r>
          </w:p>
        </w:tc>
      </w:tr>
      <w:tr w14:paraId="65A1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A1E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助听类</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51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7F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bidi="ar"/>
              </w:rPr>
              <w:t>听障智能眼镜</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C5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A8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7C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0.22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11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18.70 </w:t>
            </w:r>
          </w:p>
        </w:tc>
      </w:tr>
      <w:tr w14:paraId="6D09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30CB">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7E1DE5E">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w:t>
            </w:r>
          </w:p>
        </w:tc>
        <w:tc>
          <w:tcPr>
            <w:tcW w:w="1693" w:type="dxa"/>
            <w:tcBorders>
              <w:top w:val="single" w:color="000000" w:sz="4" w:space="0"/>
              <w:left w:val="single" w:color="000000" w:sz="4" w:space="0"/>
              <w:bottom w:val="single" w:color="auto" w:sz="4" w:space="0"/>
              <w:right w:val="single" w:color="000000" w:sz="4" w:space="0"/>
            </w:tcBorders>
            <w:shd w:val="clear" w:color="auto" w:fill="auto"/>
            <w:vAlign w:val="center"/>
          </w:tcPr>
          <w:p w14:paraId="339F8F9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
              </w:rPr>
            </w:pPr>
            <w:r>
              <w:rPr>
                <w:rFonts w:hint="eastAsia" w:ascii="宋体" w:hAnsi="宋体" w:eastAsia="宋体" w:cs="宋体"/>
                <w:i w:val="0"/>
                <w:iCs w:val="0"/>
                <w:color w:val="000000"/>
                <w:kern w:val="0"/>
                <w:sz w:val="22"/>
                <w:szCs w:val="22"/>
                <w:highlight w:val="none"/>
                <w:u w:val="none"/>
                <w:lang w:val="en-US" w:eastAsia="zh-CN" w:bidi="ar"/>
              </w:rPr>
              <w:t>儿童助听器（0-6岁）</w:t>
            </w:r>
            <w:r>
              <w:rPr>
                <w:rFonts w:hint="eastAsia" w:ascii="宋体" w:hAnsi="宋体" w:cs="宋体"/>
                <w:i w:val="0"/>
                <w:iCs w:val="0"/>
                <w:color w:val="000000"/>
                <w:kern w:val="0"/>
                <w:sz w:val="22"/>
                <w:szCs w:val="22"/>
                <w:highlight w:val="none"/>
                <w:u w:val="none"/>
                <w:lang w:val="en-US" w:eastAsia="zh-CN" w:bidi="ar"/>
              </w:rPr>
              <w:t>大功率</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7A2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48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1F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BE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0.36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0F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17.28 </w:t>
            </w:r>
          </w:p>
        </w:tc>
      </w:tr>
      <w:tr w14:paraId="4140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704B">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8F486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1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594AF757">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儿童助听器（0-6岁）特</w:t>
            </w:r>
            <w:r>
              <w:rPr>
                <w:rFonts w:hint="eastAsia" w:ascii="宋体" w:hAnsi="宋体" w:cs="宋体"/>
                <w:i w:val="0"/>
                <w:iCs w:val="0"/>
                <w:color w:val="000000"/>
                <w:kern w:val="0"/>
                <w:sz w:val="22"/>
                <w:szCs w:val="22"/>
                <w:highlight w:val="none"/>
                <w:u w:val="none"/>
                <w:lang w:val="en-US" w:eastAsia="zh-CN" w:bidi="ar"/>
              </w:rPr>
              <w:t>大功率</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A40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96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41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BC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0.36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2E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34.56 </w:t>
            </w:r>
          </w:p>
        </w:tc>
      </w:tr>
      <w:tr w14:paraId="57C1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F8FD">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06A6572">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4</w:t>
            </w:r>
          </w:p>
        </w:tc>
        <w:tc>
          <w:tcPr>
            <w:tcW w:w="1693" w:type="dxa"/>
            <w:tcBorders>
              <w:top w:val="single" w:color="000000" w:sz="4" w:space="0"/>
              <w:left w:val="single" w:color="000000" w:sz="4" w:space="0"/>
              <w:bottom w:val="single" w:color="auto" w:sz="4" w:space="0"/>
              <w:right w:val="single" w:color="000000" w:sz="4" w:space="0"/>
            </w:tcBorders>
            <w:shd w:val="clear" w:color="auto" w:fill="auto"/>
            <w:vAlign w:val="center"/>
          </w:tcPr>
          <w:p w14:paraId="74070E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助听器（7岁以上）</w:t>
            </w:r>
            <w:r>
              <w:rPr>
                <w:rFonts w:hint="eastAsia" w:ascii="宋体" w:hAnsi="宋体" w:cs="宋体"/>
                <w:i w:val="0"/>
                <w:iCs w:val="0"/>
                <w:color w:val="000000"/>
                <w:kern w:val="0"/>
                <w:sz w:val="22"/>
                <w:szCs w:val="22"/>
                <w:highlight w:val="none"/>
                <w:u w:val="none"/>
                <w:lang w:val="en-US" w:eastAsia="zh-CN" w:bidi="ar"/>
              </w:rPr>
              <w:t>大功率</w:t>
            </w:r>
          </w:p>
        </w:tc>
        <w:tc>
          <w:tcPr>
            <w:tcW w:w="116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67C2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CF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43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CE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11.00 </w:t>
            </w:r>
          </w:p>
        </w:tc>
      </w:tr>
      <w:tr w14:paraId="59041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8F8D">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4675F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1693" w:type="dxa"/>
            <w:tcBorders>
              <w:top w:val="single" w:color="auto" w:sz="4" w:space="0"/>
              <w:left w:val="single" w:color="000000" w:sz="4" w:space="0"/>
              <w:bottom w:val="nil"/>
              <w:right w:val="single" w:color="000000" w:sz="4" w:space="0"/>
            </w:tcBorders>
            <w:shd w:val="clear" w:color="auto" w:fill="auto"/>
            <w:vAlign w:val="center"/>
          </w:tcPr>
          <w:p w14:paraId="08136605">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助听器（7岁以上）特</w:t>
            </w:r>
            <w:r>
              <w:rPr>
                <w:rFonts w:hint="eastAsia" w:ascii="宋体" w:hAnsi="宋体" w:cs="宋体"/>
                <w:i w:val="0"/>
                <w:iCs w:val="0"/>
                <w:color w:val="000000"/>
                <w:kern w:val="0"/>
                <w:sz w:val="22"/>
                <w:szCs w:val="22"/>
                <w:highlight w:val="none"/>
                <w:u w:val="none"/>
                <w:lang w:val="en-US" w:eastAsia="zh-CN" w:bidi="ar"/>
              </w:rPr>
              <w:t>大功率</w:t>
            </w:r>
          </w:p>
        </w:tc>
        <w:tc>
          <w:tcPr>
            <w:tcW w:w="116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E748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206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E1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68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97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41.20 </w:t>
            </w:r>
          </w:p>
        </w:tc>
      </w:tr>
      <w:tr w14:paraId="0C22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940C">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333F">
            <w:pPr>
              <w:jc w:val="center"/>
              <w:rPr>
                <w:rFonts w:hint="eastAsia" w:ascii="宋体" w:hAnsi="宋体" w:eastAsia="宋体" w:cs="宋体"/>
                <w:i w:val="0"/>
                <w:iCs w:val="0"/>
                <w:color w:val="000000"/>
                <w:sz w:val="22"/>
                <w:szCs w:val="22"/>
                <w:highlight w:val="none"/>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79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CB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490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A007">
            <w:pPr>
              <w:rPr>
                <w:rFonts w:hint="eastAsia" w:ascii="宋体" w:hAnsi="宋体" w:eastAsia="宋体" w:cs="宋体"/>
                <w:i w:val="0"/>
                <w:iCs w:val="0"/>
                <w:color w:val="000000"/>
                <w:sz w:val="22"/>
                <w:szCs w:val="22"/>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3C42">
            <w:pPr>
              <w:rPr>
                <w:rFonts w:hint="eastAsia" w:ascii="宋体" w:hAnsi="宋体" w:eastAsia="宋体" w:cs="宋体"/>
                <w:i w:val="0"/>
                <w:iCs w:val="0"/>
                <w:color w:val="000000"/>
                <w:sz w:val="22"/>
                <w:szCs w:val="22"/>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03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122.74 </w:t>
            </w:r>
          </w:p>
        </w:tc>
      </w:tr>
      <w:tr w14:paraId="53F4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679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助视类</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42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76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助视器</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25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BB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D6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0.06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03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3.00 </w:t>
            </w:r>
          </w:p>
        </w:tc>
      </w:tr>
      <w:tr w14:paraId="64CD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0A3E">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6D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B4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智能导盲眼镜</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57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95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74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1A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0.25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B6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23.75 </w:t>
            </w:r>
          </w:p>
        </w:tc>
      </w:tr>
      <w:tr w14:paraId="375D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3274">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64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412E">
            <w:pPr>
              <w:jc w:val="center"/>
              <w:rPr>
                <w:rFonts w:hint="eastAsia" w:ascii="宋体" w:hAnsi="宋体" w:eastAsia="宋体" w:cs="宋体"/>
                <w:i w:val="0"/>
                <w:iCs w:val="0"/>
                <w:color w:val="000000"/>
                <w:sz w:val="22"/>
                <w:szCs w:val="22"/>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E5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145.00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A9F98">
            <w:pPr>
              <w:rPr>
                <w:rFonts w:hint="eastAsia" w:ascii="宋体" w:hAnsi="宋体" w:eastAsia="宋体" w:cs="宋体"/>
                <w:i w:val="0"/>
                <w:iCs w:val="0"/>
                <w:color w:val="000000"/>
                <w:sz w:val="22"/>
                <w:szCs w:val="22"/>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46C02">
            <w:pPr>
              <w:rPr>
                <w:rFonts w:hint="eastAsia" w:ascii="宋体" w:hAnsi="宋体" w:eastAsia="宋体" w:cs="宋体"/>
                <w:i w:val="0"/>
                <w:iCs w:val="0"/>
                <w:color w:val="000000"/>
                <w:sz w:val="22"/>
                <w:szCs w:val="22"/>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A7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26.75 </w:t>
            </w:r>
          </w:p>
        </w:tc>
      </w:tr>
      <w:tr w14:paraId="714F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F86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其他辅助器具</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EF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9C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站立式轮椅</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6A0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12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46D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195D">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eastAsia="宋体" w:cs="宋体"/>
                <w:b w:val="0"/>
                <w:bCs w:val="0"/>
                <w:i w:val="0"/>
                <w:iCs w:val="0"/>
                <w:color w:val="000000"/>
                <w:kern w:val="0"/>
                <w:sz w:val="22"/>
                <w:szCs w:val="22"/>
                <w:highlight w:val="none"/>
                <w:u w:val="none"/>
                <w:lang w:val="en-US" w:eastAsia="zh-CN" w:bidi="ar"/>
              </w:rPr>
              <w:t>1.17</w:t>
            </w:r>
            <w:r>
              <w:rPr>
                <w:rFonts w:hint="eastAsia" w:ascii="宋体" w:hAnsi="宋体" w:cs="宋体"/>
                <w:b w:val="0"/>
                <w:bCs w:val="0"/>
                <w:i w:val="0"/>
                <w:iCs w:val="0"/>
                <w:color w:val="000000"/>
                <w:kern w:val="0"/>
                <w:sz w:val="22"/>
                <w:szCs w:val="22"/>
                <w:highlight w:val="none"/>
                <w:u w:val="none"/>
                <w:lang w:val="en-US" w:eastAsia="zh-CN" w:bidi="ar"/>
              </w:rPr>
              <w:t>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A858">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eastAsia="宋体" w:cs="宋体"/>
                <w:b w:val="0"/>
                <w:bCs w:val="0"/>
                <w:i w:val="0"/>
                <w:iCs w:val="0"/>
                <w:color w:val="000000"/>
                <w:kern w:val="0"/>
                <w:sz w:val="22"/>
                <w:szCs w:val="22"/>
                <w:highlight w:val="none"/>
                <w:u w:val="none"/>
                <w:lang w:val="en-US" w:eastAsia="zh-CN" w:bidi="ar"/>
              </w:rPr>
              <w:t>14.0</w:t>
            </w:r>
            <w:r>
              <w:rPr>
                <w:rFonts w:hint="eastAsia" w:ascii="宋体" w:hAnsi="宋体" w:cs="宋体"/>
                <w:b w:val="0"/>
                <w:bCs w:val="0"/>
                <w:i w:val="0"/>
                <w:iCs w:val="0"/>
                <w:color w:val="000000"/>
                <w:kern w:val="0"/>
                <w:sz w:val="22"/>
                <w:szCs w:val="22"/>
                <w:highlight w:val="none"/>
                <w:u w:val="none"/>
                <w:lang w:val="en-US" w:eastAsia="zh-CN" w:bidi="ar"/>
              </w:rPr>
              <w:t>6</w:t>
            </w:r>
          </w:p>
        </w:tc>
      </w:tr>
      <w:tr w14:paraId="3613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24B4">
            <w:pPr>
              <w:jc w:val="center"/>
              <w:rPr>
                <w:rFonts w:hint="eastAsia" w:ascii="宋体" w:hAnsi="宋体" w:eastAsia="宋体" w:cs="宋体"/>
                <w:i w:val="0"/>
                <w:iCs w:val="0"/>
                <w:color w:val="000000"/>
                <w:sz w:val="22"/>
                <w:szCs w:val="22"/>
                <w:highlight w:val="none"/>
                <w:u w:val="none"/>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2583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FA2C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1346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D2EAD">
            <w:pPr>
              <w:rPr>
                <w:rFonts w:hint="eastAsia" w:ascii="宋体" w:hAnsi="宋体" w:eastAsia="宋体" w:cs="宋体"/>
                <w:i w:val="0"/>
                <w:iCs w:val="0"/>
                <w:color w:val="000000"/>
                <w:sz w:val="22"/>
                <w:szCs w:val="22"/>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09315">
            <w:pPr>
              <w:jc w:val="center"/>
              <w:rPr>
                <w:rFonts w:hint="eastAsia" w:ascii="宋体" w:hAnsi="宋体" w:eastAsia="宋体" w:cs="宋体"/>
                <w:i w:val="0"/>
                <w:iCs w:val="0"/>
                <w:color w:val="000000"/>
                <w:sz w:val="22"/>
                <w:szCs w:val="22"/>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E3A8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3</w:t>
            </w:r>
            <w:r>
              <w:rPr>
                <w:rFonts w:hint="eastAsia" w:ascii="宋体" w:hAnsi="宋体" w:cs="宋体"/>
                <w:b/>
                <w:bCs/>
                <w:i w:val="0"/>
                <w:iCs w:val="0"/>
                <w:color w:val="000000"/>
                <w:kern w:val="0"/>
                <w:sz w:val="22"/>
                <w:szCs w:val="22"/>
                <w:highlight w:val="none"/>
                <w:u w:val="none"/>
                <w:lang w:val="en-US" w:eastAsia="zh-CN" w:bidi="ar"/>
              </w:rPr>
              <w:t>90</w:t>
            </w:r>
          </w:p>
        </w:tc>
      </w:tr>
    </w:tbl>
    <w:p w14:paraId="74278F47">
      <w:pPr>
        <w:spacing w:line="360" w:lineRule="auto"/>
        <w:ind w:left="0" w:leftChars="0" w:firstLine="399" w:firstLineChars="19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auto"/>
          <w:sz w:val="21"/>
          <w:szCs w:val="21"/>
          <w:highlight w:val="none"/>
          <w:lang w:val="en-US" w:eastAsia="zh-CN"/>
        </w:rPr>
        <w:t>简要技术参数：详见采购需求</w:t>
      </w:r>
    </w:p>
    <w:p w14:paraId="5574EC25">
      <w:pPr>
        <w:spacing w:line="360" w:lineRule="auto"/>
        <w:ind w:left="0" w:leftChars="0" w:firstLine="399" w:firstLineChars="19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.交货时间：</w:t>
      </w:r>
      <w:r>
        <w:rPr>
          <w:rFonts w:hint="eastAsia" w:ascii="宋体" w:hAnsi="宋体"/>
          <w:color w:val="auto"/>
          <w:sz w:val="21"/>
          <w:szCs w:val="21"/>
          <w:highlight w:val="none"/>
          <w:lang w:val="en-US" w:eastAsia="zh-CN"/>
        </w:rPr>
        <w:t>合同签订生效后，12月31日前完成。</w:t>
      </w:r>
    </w:p>
    <w:p w14:paraId="570C9EF5">
      <w:pPr>
        <w:pStyle w:val="38"/>
        <w:spacing w:before="0" w:beforeAutospacing="0" w:after="0" w:afterAutospacing="0" w:line="360" w:lineRule="auto"/>
        <w:ind w:left="0" w:leftChars="0" w:firstLine="399" w:firstLineChars="190"/>
        <w:jc w:val="both"/>
        <w:rPr>
          <w:rFonts w:hint="eastAsia" w:ascii="宋体" w:eastAsia="宋体" w:cs="Times New Roman"/>
          <w:color w:val="auto"/>
          <w:kern w:val="2"/>
          <w:sz w:val="24"/>
          <w:szCs w:val="24"/>
          <w:highlight w:val="none"/>
          <w:lang w:val="en-US" w:eastAsia="zh-CN"/>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.质量标准：符合国家及行业相关合格标准；</w:t>
      </w:r>
      <w:r>
        <w:rPr>
          <w:rFonts w:hint="eastAsia" w:ascii="宋体" w:hAnsi="宋体"/>
          <w:color w:val="auto"/>
          <w:sz w:val="21"/>
          <w:szCs w:val="21"/>
          <w:highlight w:val="none"/>
          <w:lang w:val="zh-CN"/>
        </w:rPr>
        <w:t>符合招标参数要求；</w:t>
      </w:r>
      <w:r>
        <w:rPr>
          <w:rFonts w:hint="eastAsia" w:ascii="宋体" w:hAnsi="宋体"/>
          <w:color w:val="auto"/>
          <w:sz w:val="21"/>
          <w:szCs w:val="21"/>
          <w:highlight w:val="none"/>
          <w:lang w:val="en-US" w:eastAsia="zh-CN"/>
        </w:rPr>
        <w:t xml:space="preserve"> </w:t>
      </w:r>
    </w:p>
    <w:p w14:paraId="2D4881F6">
      <w:pPr>
        <w:spacing w:line="360" w:lineRule="auto"/>
        <w:ind w:left="0" w:leftChars="0" w:firstLine="399" w:firstLineChars="19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11.供货地点：采购人指定地点；</w:t>
      </w:r>
    </w:p>
    <w:p w14:paraId="6EA7B8D6">
      <w:pPr>
        <w:spacing w:line="360" w:lineRule="auto"/>
        <w:ind w:left="0" w:leftChars="0" w:firstLine="399" w:firstLineChars="19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12.是否采购环境标识产品：本项目不涉及优先采购环保产品的政策。 </w:t>
      </w:r>
    </w:p>
    <w:p w14:paraId="2F7B3558">
      <w:pPr>
        <w:spacing w:line="360" w:lineRule="auto"/>
        <w:ind w:left="0" w:leftChars="0" w:firstLine="399" w:firstLineChars="19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13.是否采购节能产品：本项目不涉及强制采购节能产品的政策。</w:t>
      </w:r>
    </w:p>
    <w:p w14:paraId="7C582BE0">
      <w:pPr>
        <w:spacing w:line="360" w:lineRule="auto"/>
        <w:ind w:left="0" w:leftChars="0" w:firstLine="399" w:firstLineChars="19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14.是否采购节水产品：本项目不涉及强制采购节水产品的政策。</w:t>
      </w:r>
    </w:p>
    <w:p w14:paraId="3A54A60A">
      <w:pPr>
        <w:spacing w:line="360" w:lineRule="auto"/>
        <w:ind w:left="0" w:leftChars="0" w:firstLine="399" w:firstLineChars="19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15.项目的采购标的是否包含进口产品：否  </w:t>
      </w:r>
    </w:p>
    <w:p w14:paraId="3B000992">
      <w:pPr>
        <w:spacing w:line="360" w:lineRule="auto"/>
        <w:ind w:left="0" w:leftChars="0" w:firstLine="399" w:firstLineChars="19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16</w:t>
      </w:r>
      <w:r>
        <w:rPr>
          <w:rFonts w:hint="eastAsia" w:ascii="宋体" w:hAnsi="宋体"/>
          <w:color w:val="000000" w:themeColor="text1"/>
          <w:sz w:val="21"/>
          <w:szCs w:val="21"/>
          <w:highlight w:val="none"/>
          <w14:textFill>
            <w14:solidFill>
              <w14:schemeClr w14:val="tx1"/>
            </w14:solidFill>
          </w14:textFill>
        </w:rPr>
        <w:t>.本项目不接受联合体投标。</w:t>
      </w:r>
    </w:p>
    <w:p w14:paraId="3D00743D">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二、申请人的资格要求</w:t>
      </w:r>
      <w:bookmarkEnd w:id="4"/>
      <w:bookmarkEnd w:id="5"/>
      <w:bookmarkEnd w:id="6"/>
      <w:bookmarkEnd w:id="7"/>
    </w:p>
    <w:p w14:paraId="4BA09330">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满足《中华人民共和国政府采购法》第二十二条规定；</w:t>
      </w:r>
    </w:p>
    <w:p w14:paraId="49A0DF5A">
      <w:pPr>
        <w:spacing w:line="380" w:lineRule="exact"/>
        <w:ind w:firstLine="420" w:firstLineChars="200"/>
        <w:rPr>
          <w:rFonts w:hint="eastAsia" w:ascii="宋体" w:hAnsi="宋体"/>
          <w:color w:val="000000" w:themeColor="text1"/>
          <w:sz w:val="21"/>
          <w:szCs w:val="21"/>
          <w:highlight w:val="none"/>
          <w14:textFill>
            <w14:solidFill>
              <w14:schemeClr w14:val="tx1"/>
            </w14:solidFill>
          </w14:textFill>
        </w:rPr>
      </w:pPr>
      <w:bookmarkStart w:id="8" w:name="_Toc28359081"/>
      <w:bookmarkStart w:id="9" w:name="_Toc28359004"/>
      <w:r>
        <w:rPr>
          <w:rFonts w:hint="eastAsia" w:ascii="宋体" w:hAnsi="宋体"/>
          <w:color w:val="000000" w:themeColor="text1"/>
          <w:sz w:val="21"/>
          <w:szCs w:val="21"/>
          <w:highlight w:val="none"/>
          <w:lang w:val="en-US" w:eastAsia="zh-CN"/>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 xml:space="preserve">本项目面向中小企业、事业单位或其他社会组织采购，其中面向小微企业采购金额为0元,占0%。 </w:t>
      </w:r>
    </w:p>
    <w:p w14:paraId="4652CFAB">
      <w:pPr>
        <w:spacing w:line="380" w:lineRule="exact"/>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 xml:space="preserve">注：监狱企业和残疾人福利单位视同小微企业。 </w:t>
      </w:r>
    </w:p>
    <w:p w14:paraId="29BADED7">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本项目的特定资格要求：</w:t>
      </w:r>
    </w:p>
    <w:p w14:paraId="4AF2010D">
      <w:pPr>
        <w:spacing w:line="380" w:lineRule="exact"/>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（1）供应商须是具有独立的法人资格的企业或其他组织，具有有效的营业执照，且规范经营5年以上</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在人员、设备、资金等方面具有相应的能力</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具备能够履行合同所必需的专业辅具适配设备</w:t>
      </w:r>
      <w:r>
        <w:rPr>
          <w:rFonts w:hint="eastAsia" w:ascii="宋体" w:hAnsi="宋体"/>
          <w:color w:val="000000" w:themeColor="text1"/>
          <w:sz w:val="21"/>
          <w:szCs w:val="21"/>
          <w:highlight w:val="none"/>
          <w:lang w:eastAsia="zh-CN"/>
          <w14:textFill>
            <w14:solidFill>
              <w14:schemeClr w14:val="tx1"/>
            </w14:solidFill>
          </w14:textFill>
        </w:rPr>
        <w:t>。</w:t>
      </w:r>
    </w:p>
    <w:p w14:paraId="1039653B">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1B9B2D5D">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（4）拒绝列入政府取消投标资格记录期间的企业或个人投标；</w:t>
      </w:r>
    </w:p>
    <w:p w14:paraId="1D485955">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（5）单位负责人为同一人或者存在直接控股、管理关系的不同供应商，不得参加同一合同项下的政府采购活动。</w:t>
      </w:r>
    </w:p>
    <w:p w14:paraId="7816858C">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6</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为采购项目</w:t>
      </w:r>
      <w:r>
        <w:rPr>
          <w:rFonts w:hint="eastAsia" w:ascii="宋体" w:hAnsi="宋体" w:eastAsia="宋体" w:cs="Times New Roman"/>
          <w:color w:val="000000" w:themeColor="text1"/>
          <w:sz w:val="21"/>
          <w:szCs w:val="21"/>
          <w:highlight w:val="none"/>
          <w14:textFill>
            <w14:solidFill>
              <w14:schemeClr w14:val="tx1"/>
            </w14:solidFill>
          </w14:textFill>
        </w:rPr>
        <w:t>提供整体设计、规范编制或者项目管理、监理、检测等服务的供应商，不得再参加该采购项目的其他采购活动；</w:t>
      </w:r>
      <w:r>
        <w:rPr>
          <w:rFonts w:hint="eastAsia" w:ascii="宋体" w:hAnsi="宋体" w:eastAsia="宋体" w:cs="Times New Roman"/>
          <w:color w:val="000000" w:themeColor="text1"/>
          <w:sz w:val="21"/>
          <w:szCs w:val="21"/>
          <w:highlight w:val="none"/>
          <w:lang w:val="zh-CN"/>
          <w14:textFill>
            <w14:solidFill>
              <w14:schemeClr w14:val="tx1"/>
            </w14:solidFill>
          </w14:textFill>
        </w:rPr>
        <w:t>与采购人存在利害关系可能影响招标公正性的法人、其他组织或者个人，不得参加投标。</w:t>
      </w:r>
    </w:p>
    <w:p w14:paraId="0F19C282">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w:t>
      </w:r>
    </w:p>
    <w:p w14:paraId="39C129AE">
      <w:pPr>
        <w:spacing w:line="360" w:lineRule="auto"/>
        <w:ind w:firstLine="420" w:firstLineChars="200"/>
        <w:rPr>
          <w:rFonts w:hint="eastAsia"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zh-CN"/>
          <w14:textFill>
            <w14:solidFill>
              <w14:schemeClr w14:val="tx1"/>
            </w14:solidFill>
          </w14:textFill>
        </w:rPr>
        <w:t>参加政府采购活动前3年内在经营活动中没有重大违法记录。</w:t>
      </w:r>
    </w:p>
    <w:p w14:paraId="36C00625">
      <w:pPr>
        <w:spacing w:line="360" w:lineRule="auto"/>
        <w:ind w:firstLine="420" w:firstLineChars="20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（9）</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不存在国家有关法律法规禁止的情形。</w:t>
      </w:r>
    </w:p>
    <w:p w14:paraId="3452033F">
      <w:pPr>
        <w:spacing w:line="360" w:lineRule="auto"/>
        <w:ind w:firstLine="420" w:firstLineChars="20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（10）具有辅助器具适配流动服务能力，具备入户服务能力；</w:t>
      </w:r>
    </w:p>
    <w:p w14:paraId="35D664AB">
      <w:pPr>
        <w:spacing w:line="360" w:lineRule="auto"/>
        <w:ind w:firstLine="420" w:firstLineChars="20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（11）在省内有较为完善的分支服务网络；</w:t>
      </w:r>
    </w:p>
    <w:p w14:paraId="40CB205D">
      <w:pPr>
        <w:spacing w:line="360" w:lineRule="auto"/>
        <w:ind w:firstLine="420" w:firstLineChars="200"/>
        <w:rPr>
          <w:rFonts w:hint="eastAsia"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（12）有专业的辅助器具适配专业技术团队，持有假肢师、矫形器装配师、辅助器具工程师岗位能力资格证的专业技术人员8人以上。</w:t>
      </w:r>
    </w:p>
    <w:bookmarkEnd w:id="8"/>
    <w:bookmarkEnd w:id="9"/>
    <w:p w14:paraId="08336A5B">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10" w:name="_Toc35393792"/>
      <w:bookmarkStart w:id="11" w:name="_Toc35393623"/>
      <w:r>
        <w:rPr>
          <w:rFonts w:hint="eastAsia" w:ascii="宋体" w:hAnsi="宋体"/>
          <w:b/>
          <w:color w:val="000000" w:themeColor="text1"/>
          <w:sz w:val="21"/>
          <w:szCs w:val="21"/>
          <w:highlight w:val="none"/>
          <w14:textFill>
            <w14:solidFill>
              <w14:schemeClr w14:val="tx1"/>
            </w14:solidFill>
          </w14:textFill>
        </w:rPr>
        <w:t>三、获取招标文件</w:t>
      </w:r>
      <w:bookmarkEnd w:id="10"/>
      <w:bookmarkEnd w:id="11"/>
    </w:p>
    <w:p w14:paraId="43ED622E">
      <w:pPr>
        <w:spacing w:line="380" w:lineRule="exact"/>
        <w:ind w:firstLine="420" w:firstLineChars="200"/>
        <w:rPr>
          <w:rFonts w:ascii="宋体" w:hAnsi="宋体"/>
          <w:sz w:val="21"/>
          <w:szCs w:val="21"/>
          <w:highlight w:val="none"/>
        </w:rPr>
      </w:pPr>
      <w:r>
        <w:rPr>
          <w:rFonts w:hint="eastAsia" w:ascii="宋体" w:hAnsi="宋体"/>
          <w:sz w:val="21"/>
          <w:szCs w:val="21"/>
          <w:highlight w:val="none"/>
        </w:rPr>
        <w:t>时间：202</w:t>
      </w:r>
      <w:r>
        <w:rPr>
          <w:rFonts w:hint="eastAsia" w:ascii="宋体" w:hAnsi="宋体"/>
          <w:sz w:val="21"/>
          <w:szCs w:val="21"/>
          <w:highlight w:val="none"/>
          <w:lang w:val="en-US" w:eastAsia="zh-CN"/>
        </w:rPr>
        <w:t>5</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w:t>
      </w:r>
      <w:r>
        <w:rPr>
          <w:rFonts w:hint="eastAsia" w:ascii="宋体" w:hAnsi="宋体"/>
          <w:sz w:val="21"/>
          <w:szCs w:val="21"/>
          <w:highlight w:val="none"/>
          <w:lang w:val="en-US" w:eastAsia="zh-CN"/>
        </w:rPr>
        <w:t>17</w:t>
      </w:r>
      <w:r>
        <w:rPr>
          <w:rFonts w:hint="eastAsia" w:ascii="宋体" w:hAnsi="宋体"/>
          <w:sz w:val="21"/>
          <w:szCs w:val="21"/>
          <w:highlight w:val="none"/>
        </w:rPr>
        <w:t>日起至202</w:t>
      </w:r>
      <w:r>
        <w:rPr>
          <w:rFonts w:hint="eastAsia" w:ascii="宋体" w:hAnsi="宋体"/>
          <w:sz w:val="21"/>
          <w:szCs w:val="21"/>
          <w:highlight w:val="none"/>
          <w:lang w:val="en-US" w:eastAsia="zh-CN"/>
        </w:rPr>
        <w:t>5</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w:t>
      </w:r>
      <w:r>
        <w:rPr>
          <w:rFonts w:hint="eastAsia" w:ascii="宋体" w:hAnsi="宋体"/>
          <w:sz w:val="21"/>
          <w:szCs w:val="21"/>
          <w:highlight w:val="none"/>
          <w:lang w:val="en-US" w:eastAsia="zh-CN"/>
        </w:rPr>
        <w:t>24</w:t>
      </w:r>
      <w:r>
        <w:rPr>
          <w:rFonts w:hint="eastAsia" w:ascii="宋体" w:hAnsi="宋体"/>
          <w:sz w:val="21"/>
          <w:szCs w:val="21"/>
          <w:highlight w:val="none"/>
        </w:rPr>
        <w:t>日下午16时00分止（北京时间）；</w:t>
      </w:r>
    </w:p>
    <w:p w14:paraId="1EA32F0A">
      <w:pPr>
        <w:spacing w:line="380" w:lineRule="exact"/>
        <w:ind w:firstLine="420" w:firstLineChars="200"/>
        <w:rPr>
          <w:rFonts w:ascii="宋体" w:hAnsi="宋体"/>
          <w:sz w:val="21"/>
          <w:szCs w:val="21"/>
          <w:highlight w:val="none"/>
        </w:rPr>
      </w:pPr>
      <w:r>
        <w:rPr>
          <w:rFonts w:hint="eastAsia" w:ascii="宋体" w:hAnsi="宋体"/>
          <w:sz w:val="21"/>
          <w:szCs w:val="21"/>
          <w:highlight w:val="none"/>
          <w:lang w:eastAsia="en-US"/>
        </w:rPr>
        <w:t>地点：政府采购云平台（网址：http:// www.zcygov.cn）</w:t>
      </w:r>
      <w:r>
        <w:rPr>
          <w:rFonts w:hint="eastAsia" w:ascii="宋体" w:hAnsi="宋体"/>
          <w:sz w:val="21"/>
          <w:szCs w:val="21"/>
          <w:highlight w:val="none"/>
        </w:rPr>
        <w:t>；</w:t>
      </w:r>
    </w:p>
    <w:p w14:paraId="18CF78A7">
      <w:pPr>
        <w:spacing w:line="380" w:lineRule="exact"/>
        <w:ind w:firstLine="420" w:firstLineChars="200"/>
        <w:rPr>
          <w:rFonts w:ascii="宋体" w:hAnsi="宋体"/>
          <w:sz w:val="21"/>
          <w:szCs w:val="21"/>
          <w:highlight w:val="none"/>
        </w:rPr>
      </w:pPr>
      <w:r>
        <w:rPr>
          <w:rFonts w:hint="eastAsia" w:ascii="宋体" w:hAnsi="宋体"/>
          <w:sz w:val="21"/>
          <w:szCs w:val="21"/>
          <w:highlight w:val="none"/>
        </w:rPr>
        <w:t>方式：网上免费获取（潜在供应商自行登录政府采购云平台（网址：http:// www.zcygov.cn）网上注册（</w:t>
      </w:r>
      <w:r>
        <w:rPr>
          <w:rFonts w:ascii="宋体" w:hAnsi="宋体"/>
          <w:sz w:val="21"/>
          <w:szCs w:val="21"/>
          <w:highlight w:val="none"/>
        </w:rPr>
        <w:t>https://middle.zcygov.cn/v-settle-front/registry</w:t>
      </w:r>
      <w:r>
        <w:rPr>
          <w:rFonts w:hint="eastAsia" w:ascii="宋体" w:hAnsi="宋体"/>
          <w:sz w:val="21"/>
          <w:szCs w:val="21"/>
          <w:highlight w:val="none"/>
        </w:rPr>
        <w:t>）并下载招标文件，其他途径获取的招标文件开标时一律按无效投标处理）；未进行网上注册并办理CA认证的供应商将无法参与本次采购活动；</w:t>
      </w:r>
    </w:p>
    <w:p w14:paraId="51D0A331">
      <w:pPr>
        <w:spacing w:line="380" w:lineRule="exact"/>
        <w:ind w:firstLine="420" w:firstLineChars="200"/>
        <w:rPr>
          <w:rFonts w:ascii="宋体" w:hAnsi="宋体"/>
          <w:sz w:val="21"/>
          <w:szCs w:val="21"/>
          <w:highlight w:val="none"/>
        </w:rPr>
      </w:pPr>
      <w:r>
        <w:rPr>
          <w:rFonts w:hint="eastAsia" w:ascii="宋体" w:hAnsi="宋体"/>
          <w:sz w:val="21"/>
          <w:szCs w:val="21"/>
          <w:highlight w:val="none"/>
        </w:rPr>
        <w:t>售价：0元。</w:t>
      </w:r>
    </w:p>
    <w:p w14:paraId="4C642F48">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12" w:name="_Toc28359082"/>
      <w:bookmarkStart w:id="13" w:name="_Toc28359005"/>
      <w:bookmarkStart w:id="14" w:name="_Toc35393793"/>
      <w:bookmarkStart w:id="15" w:name="_Toc35393624"/>
      <w:r>
        <w:rPr>
          <w:rFonts w:hint="eastAsia" w:ascii="宋体" w:hAnsi="宋体"/>
          <w:b/>
          <w:color w:val="000000" w:themeColor="text1"/>
          <w:sz w:val="21"/>
          <w:szCs w:val="21"/>
          <w:highlight w:val="none"/>
          <w14:textFill>
            <w14:solidFill>
              <w14:schemeClr w14:val="tx1"/>
            </w14:solidFill>
          </w14:textFill>
        </w:rPr>
        <w:t>四、提交投标文件</w:t>
      </w:r>
      <w:bookmarkEnd w:id="12"/>
      <w:bookmarkEnd w:id="13"/>
      <w:r>
        <w:rPr>
          <w:rFonts w:hint="eastAsia" w:ascii="宋体" w:hAnsi="宋体"/>
          <w:b/>
          <w:color w:val="000000" w:themeColor="text1"/>
          <w:sz w:val="21"/>
          <w:szCs w:val="21"/>
          <w:highlight w:val="none"/>
          <w14:textFill>
            <w14:solidFill>
              <w14:schemeClr w14:val="tx1"/>
            </w14:solidFill>
          </w14:textFill>
        </w:rPr>
        <w:t>截止时间、开标时间和地点</w:t>
      </w:r>
      <w:bookmarkEnd w:id="14"/>
      <w:bookmarkEnd w:id="15"/>
    </w:p>
    <w:p w14:paraId="0061B8D8">
      <w:pPr>
        <w:spacing w:line="380" w:lineRule="exact"/>
        <w:ind w:firstLine="315" w:firstLineChars="15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时间：</w:t>
      </w:r>
      <w:r>
        <w:rPr>
          <w:rFonts w:hint="eastAsia" w:ascii="宋体" w:hAnsi="宋体"/>
          <w:color w:val="000000" w:themeColor="text1"/>
          <w:sz w:val="21"/>
          <w:szCs w:val="21"/>
          <w:highlight w:val="none"/>
          <w:lang w:eastAsia="zh-CN"/>
          <w14:textFill>
            <w14:solidFill>
              <w14:schemeClr w14:val="tx1"/>
            </w14:solidFill>
          </w14:textFill>
        </w:rPr>
        <w:t>2025年</w:t>
      </w: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lang w:eastAsia="zh-CN"/>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lang w:eastAsia="zh-CN"/>
          <w14:textFill>
            <w14:solidFill>
              <w14:schemeClr w14:val="tx1"/>
            </w14:solidFill>
          </w14:textFill>
        </w:rPr>
        <w:t>日</w:t>
      </w:r>
      <w:r>
        <w:rPr>
          <w:rFonts w:hint="eastAsia" w:ascii="宋体" w:hAnsi="宋体"/>
          <w:color w:val="000000" w:themeColor="text1"/>
          <w:sz w:val="21"/>
          <w:szCs w:val="21"/>
          <w:highlight w:val="none"/>
          <w:lang w:val="en-US" w:eastAsia="zh-CN"/>
          <w14:textFill>
            <w14:solidFill>
              <w14:schemeClr w14:val="tx1"/>
            </w14:solidFill>
          </w14:textFill>
        </w:rPr>
        <w:t>9</w:t>
      </w:r>
      <w:r>
        <w:rPr>
          <w:rFonts w:hint="eastAsia" w:ascii="宋体" w:hAnsi="宋体"/>
          <w:color w:val="000000" w:themeColor="text1"/>
          <w:sz w:val="21"/>
          <w:szCs w:val="21"/>
          <w:highlight w:val="none"/>
          <w:lang w:eastAsia="zh-CN"/>
          <w14:textFill>
            <w14:solidFill>
              <w14:schemeClr w14:val="tx1"/>
            </w14:solidFill>
          </w14:textFill>
        </w:rPr>
        <w:t>时</w:t>
      </w:r>
      <w:r>
        <w:rPr>
          <w:rFonts w:hint="eastAsia" w:ascii="宋体" w:hAnsi="宋体"/>
          <w:color w:val="000000" w:themeColor="text1"/>
          <w:sz w:val="21"/>
          <w:szCs w:val="21"/>
          <w:highlight w:val="none"/>
          <w:lang w:val="en-US" w:eastAsia="zh-CN"/>
          <w14:textFill>
            <w14:solidFill>
              <w14:schemeClr w14:val="tx1"/>
            </w14:solidFill>
          </w14:textFill>
        </w:rPr>
        <w:t>0</w:t>
      </w:r>
      <w:r>
        <w:rPr>
          <w:rFonts w:hint="eastAsia" w:ascii="宋体" w:hAnsi="宋体"/>
          <w:color w:val="000000" w:themeColor="text1"/>
          <w:sz w:val="21"/>
          <w:szCs w:val="21"/>
          <w:highlight w:val="none"/>
          <w:lang w:eastAsia="zh-CN"/>
          <w14:textFill>
            <w14:solidFill>
              <w14:schemeClr w14:val="tx1"/>
            </w14:solidFill>
          </w14:textFill>
        </w:rPr>
        <w:t>0分</w:t>
      </w:r>
      <w:r>
        <w:rPr>
          <w:rFonts w:hint="eastAsia" w:ascii="宋体" w:hAnsi="宋体"/>
          <w:color w:val="000000" w:themeColor="text1"/>
          <w:sz w:val="21"/>
          <w:szCs w:val="21"/>
          <w:highlight w:val="none"/>
          <w14:textFill>
            <w14:solidFill>
              <w14:schemeClr w14:val="tx1"/>
            </w14:solidFill>
          </w14:textFill>
        </w:rPr>
        <w:t>（北京时间）；</w:t>
      </w:r>
    </w:p>
    <w:p w14:paraId="6569E5D6">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地点：吉林省同晟科技公共资源交易服务平台</w:t>
      </w:r>
      <w:r>
        <w:rPr>
          <w:rFonts w:hint="eastAsia" w:ascii="宋体" w:hAnsi="宋体" w:eastAsiaTheme="minorEastAsia"/>
          <w:color w:val="000000" w:themeColor="text1"/>
          <w:sz w:val="21"/>
          <w:szCs w:val="21"/>
          <w:highlight w:val="none"/>
          <w:lang w:eastAsia="zh-CN"/>
          <w14:textFill>
            <w14:solidFill>
              <w14:schemeClr w14:val="tx1"/>
            </w14:solidFill>
          </w14:textFill>
        </w:rPr>
        <w:t>（二道区洋浦大街凯利中心）</w:t>
      </w:r>
      <w:r>
        <w:rPr>
          <w:rFonts w:hint="eastAsia" w:ascii="宋体" w:hAnsi="宋体"/>
          <w:color w:val="000000" w:themeColor="text1"/>
          <w:sz w:val="21"/>
          <w:szCs w:val="21"/>
          <w:highlight w:val="none"/>
          <w:lang w:eastAsia="zh-CN"/>
          <w14:textFill>
            <w14:solidFill>
              <w14:schemeClr w14:val="tx1"/>
            </w14:solidFill>
          </w14:textFill>
        </w:rPr>
        <w:t>第二开标室</w:t>
      </w:r>
      <w:r>
        <w:rPr>
          <w:rFonts w:hint="eastAsia" w:ascii="宋体" w:hAnsi="宋体"/>
          <w:color w:val="000000" w:themeColor="text1"/>
          <w:sz w:val="21"/>
          <w:szCs w:val="21"/>
          <w:highlight w:val="none"/>
          <w14:textFill>
            <w14:solidFill>
              <w14:schemeClr w14:val="tx1"/>
            </w14:solidFill>
          </w14:textFill>
        </w:rPr>
        <w:t>；</w:t>
      </w:r>
    </w:p>
    <w:p w14:paraId="4474DD2A">
      <w:pPr>
        <w:spacing w:line="380" w:lineRule="exact"/>
        <w:ind w:firstLine="420" w:firstLineChars="200"/>
        <w:rPr>
          <w:rFonts w:ascii="宋体" w:hAnsi="宋体"/>
          <w:sz w:val="21"/>
          <w:szCs w:val="21"/>
          <w:highlight w:val="none"/>
        </w:rPr>
      </w:pPr>
      <w:r>
        <w:rPr>
          <w:rFonts w:hint="eastAsia" w:ascii="宋体" w:hAnsi="宋体"/>
          <w:sz w:val="21"/>
          <w:szCs w:val="21"/>
          <w:highlight w:val="none"/>
        </w:rPr>
        <w:t>响应文件提交方式：</w:t>
      </w:r>
      <w:r>
        <w:rPr>
          <w:rFonts w:ascii="宋体" w:hAnsi="宋体"/>
          <w:sz w:val="21"/>
          <w:szCs w:val="21"/>
          <w:highlight w:val="none"/>
        </w:rPr>
        <w:t>本项目执行电子化招投标</w:t>
      </w:r>
      <w:r>
        <w:rPr>
          <w:rFonts w:hint="eastAsia" w:ascii="宋体" w:hAnsi="宋体"/>
          <w:sz w:val="21"/>
          <w:szCs w:val="21"/>
          <w:highlight w:val="none"/>
        </w:rPr>
        <w:t>，</w:t>
      </w:r>
      <w:r>
        <w:rPr>
          <w:rFonts w:ascii="宋体" w:hAnsi="宋体"/>
          <w:sz w:val="21"/>
          <w:szCs w:val="21"/>
          <w:highlight w:val="none"/>
        </w:rPr>
        <w:t>须</w:t>
      </w:r>
      <w:r>
        <w:rPr>
          <w:rFonts w:hint="eastAsia" w:ascii="宋体" w:hAnsi="宋体"/>
          <w:sz w:val="21"/>
          <w:szCs w:val="21"/>
          <w:highlight w:val="none"/>
        </w:rPr>
        <w:t>通过政府采购云平台（网址：http://</w:t>
      </w:r>
      <w:r>
        <w:rPr>
          <w:rFonts w:ascii="宋体" w:hAnsi="宋体"/>
          <w:sz w:val="21"/>
          <w:szCs w:val="21"/>
          <w:highlight w:val="none"/>
        </w:rPr>
        <w:t xml:space="preserve"> www.zcygov.cn</w:t>
      </w:r>
      <w:r>
        <w:rPr>
          <w:rFonts w:hint="eastAsia" w:ascii="宋体" w:hAnsi="宋体"/>
          <w:sz w:val="21"/>
          <w:szCs w:val="21"/>
          <w:highlight w:val="none"/>
        </w:rPr>
        <w:t>）递交电子版投标文件（开标时间后30分钟内，由供应商持制作该电子投标文件的同一数字证书（CA锁）及电脑进行解密）；</w:t>
      </w:r>
    </w:p>
    <w:p w14:paraId="08B27911">
      <w:pPr>
        <w:spacing w:line="380" w:lineRule="exact"/>
        <w:ind w:firstLine="420" w:firstLineChars="200"/>
        <w:rPr>
          <w:rFonts w:ascii="宋体" w:hAnsi="宋体"/>
          <w:sz w:val="21"/>
          <w:szCs w:val="21"/>
          <w:highlight w:val="none"/>
        </w:rPr>
      </w:pPr>
      <w:r>
        <w:rPr>
          <w:rFonts w:hint="eastAsia" w:ascii="宋体" w:hAnsi="宋体"/>
          <w:sz w:val="21"/>
          <w:szCs w:val="21"/>
          <w:highlight w:val="none"/>
        </w:rPr>
        <w:t>投标操作流程：供应商在政府采购云平台网注册入库成为正式供应商后，在平台上按《政府采购项目电子交易管理操作指南-供应商》进行投标操作，供应商须办理数字证书方可参加投标。</w:t>
      </w:r>
    </w:p>
    <w:p w14:paraId="252DBAC8">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16" w:name="_Toc28359084"/>
      <w:bookmarkStart w:id="17" w:name="_Toc35393625"/>
      <w:bookmarkStart w:id="18" w:name="_Toc28359007"/>
      <w:bookmarkStart w:id="19" w:name="_Toc35393794"/>
      <w:r>
        <w:rPr>
          <w:rFonts w:hint="eastAsia" w:ascii="宋体" w:hAnsi="宋体"/>
          <w:b/>
          <w:color w:val="000000" w:themeColor="text1"/>
          <w:sz w:val="21"/>
          <w:szCs w:val="21"/>
          <w:highlight w:val="none"/>
          <w14:textFill>
            <w14:solidFill>
              <w14:schemeClr w14:val="tx1"/>
            </w14:solidFill>
          </w14:textFill>
        </w:rPr>
        <w:t>五、公告期限</w:t>
      </w:r>
      <w:bookmarkEnd w:id="16"/>
      <w:bookmarkEnd w:id="17"/>
      <w:bookmarkEnd w:id="18"/>
      <w:bookmarkEnd w:id="19"/>
    </w:p>
    <w:p w14:paraId="61FD5AF1">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sz w:val="21"/>
          <w:szCs w:val="21"/>
          <w:highlight w:val="none"/>
        </w:rPr>
        <w:t>自本公告发布之日起5个工作日</w:t>
      </w:r>
      <w:r>
        <w:rPr>
          <w:rFonts w:hint="eastAsia" w:ascii="宋体" w:hAnsi="宋体"/>
          <w:color w:val="000000" w:themeColor="text1"/>
          <w:sz w:val="21"/>
          <w:szCs w:val="21"/>
          <w:highlight w:val="none"/>
          <w14:textFill>
            <w14:solidFill>
              <w14:schemeClr w14:val="tx1"/>
            </w14:solidFill>
          </w14:textFill>
        </w:rPr>
        <w:t>。</w:t>
      </w:r>
    </w:p>
    <w:p w14:paraId="75179BA4">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20" w:name="_Toc35393626"/>
      <w:bookmarkStart w:id="21" w:name="_Toc35393795"/>
      <w:r>
        <w:rPr>
          <w:rFonts w:hint="eastAsia" w:ascii="宋体" w:hAnsi="宋体"/>
          <w:b/>
          <w:color w:val="000000" w:themeColor="text1"/>
          <w:sz w:val="21"/>
          <w:szCs w:val="21"/>
          <w:highlight w:val="none"/>
          <w14:textFill>
            <w14:solidFill>
              <w14:schemeClr w14:val="tx1"/>
            </w14:solidFill>
          </w14:textFill>
        </w:rPr>
        <w:t>六、其他补充事宜</w:t>
      </w:r>
      <w:bookmarkEnd w:id="20"/>
      <w:bookmarkEnd w:id="21"/>
    </w:p>
    <w:p w14:paraId="53187872">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1.公告发布媒体：同时在“政采云”平台（http:// www.zcygov.cn）(同步推送到吉林省政府采购网（http://www.ccgp-jilin.gov.cn/）、长春市公共资源交易网)、中国政府采购网上发布；</w:t>
      </w:r>
    </w:p>
    <w:p w14:paraId="49BC4459">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2.若对项目采购电子交易系统操作有疑问，可登录“政采云”平台（https://www.zcygov.cn/）点击右侧咨询小采，获取采小蜜智能服务管家帮助，或拨打政采云服务热线95763获取热线服务帮助。</w:t>
      </w:r>
    </w:p>
    <w:p w14:paraId="60302464">
      <w:pPr>
        <w:spacing w:line="360" w:lineRule="auto"/>
        <w:ind w:firstLine="422" w:firstLineChars="200"/>
        <w:rPr>
          <w:rFonts w:ascii="宋体" w:hAnsi="宋体"/>
          <w:b/>
          <w:color w:val="000000" w:themeColor="text1"/>
          <w:sz w:val="21"/>
          <w:szCs w:val="21"/>
          <w:highlight w:val="none"/>
          <w14:textFill>
            <w14:solidFill>
              <w14:schemeClr w14:val="tx1"/>
            </w14:solidFill>
          </w14:textFill>
        </w:rPr>
      </w:pPr>
      <w:bookmarkStart w:id="22" w:name="_Toc28359008"/>
      <w:bookmarkStart w:id="23" w:name="_Toc35393627"/>
      <w:bookmarkStart w:id="24" w:name="_Toc35393796"/>
      <w:bookmarkStart w:id="25" w:name="_Toc28359085"/>
      <w:r>
        <w:rPr>
          <w:rFonts w:hint="eastAsia" w:ascii="宋体" w:hAnsi="宋体"/>
          <w:b/>
          <w:color w:val="000000" w:themeColor="text1"/>
          <w:sz w:val="21"/>
          <w:szCs w:val="21"/>
          <w:highlight w:val="none"/>
          <w14:textFill>
            <w14:solidFill>
              <w14:schemeClr w14:val="tx1"/>
            </w14:solidFill>
          </w14:textFill>
        </w:rPr>
        <w:t>七、对本次招标提出询问，请按以下方式联系</w:t>
      </w:r>
      <w:bookmarkEnd w:id="22"/>
      <w:bookmarkEnd w:id="23"/>
      <w:bookmarkEnd w:id="24"/>
      <w:bookmarkEnd w:id="25"/>
    </w:p>
    <w:p w14:paraId="69CE0C11">
      <w:pPr>
        <w:spacing w:line="360" w:lineRule="auto"/>
        <w:ind w:firstLine="420" w:firstLineChars="200"/>
        <w:rPr>
          <w:rFonts w:ascii="宋体" w:hAnsi="宋体"/>
          <w:color w:val="000000" w:themeColor="text1"/>
          <w:sz w:val="21"/>
          <w:szCs w:val="21"/>
          <w:highlight w:val="none"/>
          <w14:textFill>
            <w14:solidFill>
              <w14:schemeClr w14:val="tx1"/>
            </w14:solidFill>
          </w14:textFill>
        </w:rPr>
      </w:pPr>
      <w:bookmarkStart w:id="26" w:name="_Toc28359096"/>
      <w:bookmarkStart w:id="27" w:name="_Toc35393637"/>
      <w:bookmarkStart w:id="28" w:name="_Toc35393806"/>
      <w:bookmarkStart w:id="29" w:name="_Toc28359019"/>
      <w:r>
        <w:rPr>
          <w:rFonts w:hint="eastAsia" w:ascii="宋体" w:hAnsi="宋体"/>
          <w:color w:val="000000" w:themeColor="text1"/>
          <w:sz w:val="21"/>
          <w:szCs w:val="21"/>
          <w:highlight w:val="none"/>
          <w14:textFill>
            <w14:solidFill>
              <w14:schemeClr w14:val="tx1"/>
            </w14:solidFill>
          </w14:textFill>
        </w:rPr>
        <w:t>1.采购人信息</w:t>
      </w:r>
      <w:bookmarkEnd w:id="26"/>
      <w:bookmarkEnd w:id="27"/>
      <w:bookmarkEnd w:id="28"/>
      <w:bookmarkEnd w:id="29"/>
    </w:p>
    <w:p w14:paraId="1B1CBCB9">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r>
        <w:rPr>
          <w:rFonts w:hint="eastAsia" w:ascii="宋体" w:hAnsi="宋体" w:eastAsia="宋体" w:cs="Times New Roman"/>
          <w:color w:val="000000" w:themeColor="text1"/>
          <w:sz w:val="21"/>
          <w:szCs w:val="21"/>
          <w:highlight w:val="none"/>
          <w14:textFill>
            <w14:solidFill>
              <w14:schemeClr w14:val="tx1"/>
            </w14:solidFill>
          </w14:textFill>
        </w:rPr>
        <w:t xml:space="preserve">：吉林省残疾人联合会 </w:t>
      </w:r>
    </w:p>
    <w:p w14:paraId="6FB63CB6">
      <w:pPr>
        <w:spacing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bookmarkStart w:id="30" w:name="_Toc35393638"/>
      <w:bookmarkStart w:id="31" w:name="_Toc35393807"/>
      <w:bookmarkStart w:id="32" w:name="_Toc28359020"/>
      <w:bookmarkStart w:id="33" w:name="_Toc28359097"/>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color w:val="000000" w:themeColor="text1"/>
          <w:sz w:val="21"/>
          <w:szCs w:val="21"/>
          <w:highlight w:val="none"/>
          <w:lang w:eastAsia="zh-CN"/>
          <w14:textFill>
            <w14:solidFill>
              <w14:schemeClr w14:val="tx1"/>
            </w14:solidFill>
          </w14:textFill>
        </w:rPr>
        <w:t>长春市人民大街</w:t>
      </w:r>
      <w:r>
        <w:rPr>
          <w:rFonts w:hint="eastAsia" w:ascii="宋体" w:hAnsi="宋体"/>
          <w:color w:val="000000" w:themeColor="text1"/>
          <w:sz w:val="21"/>
          <w:szCs w:val="21"/>
          <w:highlight w:val="none"/>
          <w:lang w:val="en-US" w:eastAsia="zh-CN"/>
          <w14:textFill>
            <w14:solidFill>
              <w14:schemeClr w14:val="tx1"/>
            </w14:solidFill>
          </w14:textFill>
        </w:rPr>
        <w:t>1680号</w:t>
      </w:r>
    </w:p>
    <w:p w14:paraId="02A7295A">
      <w:pPr>
        <w:spacing w:line="360" w:lineRule="auto"/>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联系人：</w:t>
      </w:r>
      <w:r>
        <w:rPr>
          <w:rFonts w:hint="eastAsia" w:ascii="宋体" w:hAnsi="宋体"/>
          <w:color w:val="000000" w:themeColor="text1"/>
          <w:sz w:val="21"/>
          <w:szCs w:val="21"/>
          <w:highlight w:val="none"/>
          <w:lang w:eastAsia="zh-CN"/>
          <w14:textFill>
            <w14:solidFill>
              <w14:schemeClr w14:val="tx1"/>
            </w14:solidFill>
          </w14:textFill>
        </w:rPr>
        <w:t>高卫杰</w:t>
      </w:r>
    </w:p>
    <w:p w14:paraId="319A8ABE">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w:t>
      </w:r>
      <w:r>
        <w:rPr>
          <w:rFonts w:hint="eastAsia" w:ascii="宋体" w:hAnsi="宋体"/>
          <w:color w:val="000000" w:themeColor="text1"/>
          <w:sz w:val="21"/>
          <w:szCs w:val="21"/>
          <w:highlight w:val="none"/>
          <w:lang w:val="en-US" w:eastAsia="zh-CN"/>
          <w14:textFill>
            <w14:solidFill>
              <w14:schemeClr w14:val="tx1"/>
            </w14:solidFill>
          </w14:textFill>
        </w:rPr>
        <w:t>82714548-8303</w:t>
      </w:r>
    </w:p>
    <w:p w14:paraId="468D3D6D">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2.采购代理机构信息</w:t>
      </w:r>
      <w:bookmarkEnd w:id="30"/>
      <w:bookmarkEnd w:id="31"/>
      <w:bookmarkEnd w:id="32"/>
      <w:bookmarkEnd w:id="33"/>
    </w:p>
    <w:p w14:paraId="0ACFF984">
      <w:pPr>
        <w:spacing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r>
        <w:rPr>
          <w:rFonts w:hint="eastAsia" w:ascii="宋体" w:hAnsi="宋体"/>
          <w:color w:val="000000" w:themeColor="text1"/>
          <w:sz w:val="21"/>
          <w:szCs w:val="21"/>
          <w:highlight w:val="none"/>
          <w:lang w:val="en-US" w:eastAsia="zh-CN"/>
          <w14:textFill>
            <w14:solidFill>
              <w14:schemeClr w14:val="tx1"/>
            </w14:solidFill>
          </w14:textFill>
        </w:rPr>
        <w:t>吉林省中采招标有限公司</w:t>
      </w:r>
    </w:p>
    <w:p w14:paraId="7AD93BE4">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吉林省长春市南关区全安小区综合楼9栋9208号</w:t>
      </w:r>
    </w:p>
    <w:p w14:paraId="348AC359">
      <w:pPr>
        <w:spacing w:line="360" w:lineRule="auto"/>
        <w:ind w:firstLine="420" w:firstLineChars="200"/>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w:t>
      </w:r>
      <w:bookmarkStart w:id="34" w:name="_Toc35393808"/>
      <w:bookmarkStart w:id="35" w:name="_Toc35393639"/>
      <w:bookmarkStart w:id="36" w:name="_Toc28359098"/>
      <w:bookmarkStart w:id="37" w:name="_Toc28359021"/>
      <w:r>
        <w:rPr>
          <w:rFonts w:hint="eastAsia" w:ascii="宋体" w:hAnsi="宋体"/>
          <w:color w:val="000000" w:themeColor="text1"/>
          <w:sz w:val="21"/>
          <w:szCs w:val="21"/>
          <w:highlight w:val="none"/>
          <w:lang w:val="en-US" w:eastAsia="zh-CN"/>
          <w14:textFill>
            <w14:solidFill>
              <w14:schemeClr w14:val="tx1"/>
            </w14:solidFill>
          </w14:textFill>
        </w:rPr>
        <w:t xml:space="preserve">王女士  </w:t>
      </w:r>
      <w:r>
        <w:rPr>
          <w:rFonts w:hint="eastAsia" w:ascii="宋体" w:hAnsi="宋体"/>
          <w:color w:val="000000" w:themeColor="text1"/>
          <w:sz w:val="21"/>
          <w:szCs w:val="21"/>
          <w:highlight w:val="none"/>
          <w14:textFill>
            <w14:solidFill>
              <w14:schemeClr w14:val="tx1"/>
            </w14:solidFill>
          </w14:textFill>
        </w:rPr>
        <w:t>18004440699</w:t>
      </w:r>
    </w:p>
    <w:bookmarkEnd w:id="34"/>
    <w:bookmarkEnd w:id="35"/>
    <w:bookmarkEnd w:id="36"/>
    <w:bookmarkEnd w:id="37"/>
    <w:p w14:paraId="699E6384">
      <w:pPr>
        <w:spacing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4.监督部门</w:t>
      </w:r>
      <w:r>
        <w:rPr>
          <w:rFonts w:hint="eastAsia" w:ascii="宋体" w:hAnsi="宋体"/>
          <w:color w:val="000000" w:themeColor="text1"/>
          <w:sz w:val="21"/>
          <w:szCs w:val="21"/>
          <w:highlight w:val="none"/>
          <w:lang w:val="en-US" w:eastAsia="zh-CN"/>
          <w14:textFill>
            <w14:solidFill>
              <w14:schemeClr w14:val="tx1"/>
            </w14:solidFill>
          </w14:textFill>
        </w:rPr>
        <w:t xml:space="preserve"> ：吉林省财政厅政府采购管理工作办公室</w:t>
      </w:r>
    </w:p>
    <w:bookmarkEnd w:id="3"/>
    <w:p w14:paraId="42E76539">
      <w:pPr>
        <w:rPr>
          <w:color w:val="000000" w:themeColor="text1"/>
          <w:highlight w:val="none"/>
          <w14:textFill>
            <w14:solidFill>
              <w14:schemeClr w14:val="tx1"/>
            </w14:solidFill>
          </w14:textFill>
        </w:rPr>
      </w:pPr>
    </w:p>
    <w:p w14:paraId="4B5B45AF">
      <w:pPr>
        <w:pStyle w:val="19"/>
        <w:rPr>
          <w:highlight w:val="none"/>
        </w:rPr>
      </w:pPr>
    </w:p>
    <w:p w14:paraId="0F515F25">
      <w:pPr>
        <w:spacing w:line="380" w:lineRule="exact"/>
        <w:ind w:firstLine="400" w:firstLineChars="200"/>
        <w:rPr>
          <w:highlight w:val="none"/>
        </w:rPr>
      </w:pPr>
      <w:bookmarkStart w:id="38" w:name="_Toc55578493"/>
      <w:r>
        <w:rPr>
          <w:highlight w:val="none"/>
        </w:rPr>
        <w:br w:type="page"/>
      </w:r>
    </w:p>
    <w:p w14:paraId="71B320A1">
      <w:pPr>
        <w:rPr>
          <w:highlight w:val="none"/>
        </w:rPr>
      </w:pPr>
    </w:p>
    <w:p w14:paraId="677ABFBB">
      <w:pPr>
        <w:pStyle w:val="2"/>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第二部分  供应商须知</w:t>
      </w:r>
      <w:bookmarkEnd w:id="38"/>
    </w:p>
    <w:p w14:paraId="6CAE572D">
      <w:pPr>
        <w:pStyle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一、供应商须知前附表</w:t>
      </w:r>
    </w:p>
    <w:tbl>
      <w:tblPr>
        <w:tblStyle w:val="43"/>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2024"/>
        <w:gridCol w:w="6468"/>
      </w:tblGrid>
      <w:tr w14:paraId="77B48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48A1C7F">
            <w:pPr>
              <w:spacing w:line="300" w:lineRule="exact"/>
              <w:ind w:right="-358"/>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项号</w:t>
            </w:r>
          </w:p>
        </w:tc>
        <w:tc>
          <w:tcPr>
            <w:tcW w:w="2024" w:type="dxa"/>
            <w:tcBorders>
              <w:top w:val="single" w:color="auto" w:sz="4" w:space="0"/>
              <w:left w:val="single" w:color="auto" w:sz="4" w:space="0"/>
              <w:bottom w:val="single" w:color="auto" w:sz="4" w:space="0"/>
              <w:right w:val="single" w:color="auto" w:sz="4" w:space="0"/>
            </w:tcBorders>
            <w:vAlign w:val="center"/>
          </w:tcPr>
          <w:p w14:paraId="1630EABE">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内</w:t>
            </w:r>
            <w:r>
              <w:rPr>
                <w:rFonts w:asciiTheme="minorEastAsia" w:hAnsiTheme="minorEastAsia" w:eastAsiaTheme="minorEastAsia"/>
                <w:color w:val="000000" w:themeColor="text1"/>
                <w:sz w:val="21"/>
                <w:szCs w:val="21"/>
                <w:highlight w:val="none"/>
                <w14:textFill>
                  <w14:solidFill>
                    <w14:schemeClr w14:val="tx1"/>
                  </w14:solidFill>
                </w14:textFill>
              </w:rPr>
              <w:t xml:space="preserve">    容</w:t>
            </w:r>
          </w:p>
        </w:tc>
        <w:tc>
          <w:tcPr>
            <w:tcW w:w="6468" w:type="dxa"/>
            <w:tcBorders>
              <w:top w:val="single" w:color="auto" w:sz="4" w:space="0"/>
              <w:left w:val="single" w:color="auto" w:sz="4" w:space="0"/>
              <w:bottom w:val="single" w:color="auto" w:sz="4" w:space="0"/>
              <w:right w:val="single" w:color="auto" w:sz="4" w:space="0"/>
            </w:tcBorders>
            <w:vAlign w:val="center"/>
          </w:tcPr>
          <w:p w14:paraId="5365A77C">
            <w:pPr>
              <w:tabs>
                <w:tab w:val="left" w:pos="1180"/>
              </w:tabs>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说明与要求</w:t>
            </w:r>
          </w:p>
        </w:tc>
      </w:tr>
      <w:tr w14:paraId="15E1C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698F744">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7EC38A8">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采购人</w:t>
            </w:r>
          </w:p>
        </w:tc>
        <w:tc>
          <w:tcPr>
            <w:tcW w:w="6468" w:type="dxa"/>
            <w:tcBorders>
              <w:top w:val="single" w:color="auto" w:sz="4" w:space="0"/>
              <w:left w:val="single" w:color="auto" w:sz="4" w:space="0"/>
              <w:bottom w:val="single" w:color="auto" w:sz="4" w:space="0"/>
              <w:right w:val="single" w:color="auto" w:sz="4" w:space="0"/>
            </w:tcBorders>
            <w:vAlign w:val="center"/>
          </w:tcPr>
          <w:p w14:paraId="63215327">
            <w:pPr>
              <w:spacing w:line="38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r>
              <w:rPr>
                <w:rFonts w:hint="eastAsia" w:ascii="宋体" w:hAnsi="宋体" w:eastAsia="宋体" w:cs="Times New Roman"/>
                <w:color w:val="000000" w:themeColor="text1"/>
                <w:sz w:val="21"/>
                <w:szCs w:val="21"/>
                <w:highlight w:val="none"/>
                <w14:textFill>
                  <w14:solidFill>
                    <w14:schemeClr w14:val="tx1"/>
                  </w14:solidFill>
                </w14:textFill>
              </w:rPr>
              <w:t xml:space="preserve">：吉林省残疾人联合会 </w:t>
            </w:r>
          </w:p>
          <w:p w14:paraId="5FEB3A9E">
            <w:pPr>
              <w:spacing w:line="380" w:lineRule="exac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color w:val="000000" w:themeColor="text1"/>
                <w:sz w:val="21"/>
                <w:szCs w:val="21"/>
                <w:highlight w:val="none"/>
                <w:lang w:eastAsia="zh-CN"/>
                <w14:textFill>
                  <w14:solidFill>
                    <w14:schemeClr w14:val="tx1"/>
                  </w14:solidFill>
                </w14:textFill>
              </w:rPr>
              <w:t>长春市人民大街</w:t>
            </w:r>
            <w:r>
              <w:rPr>
                <w:rFonts w:hint="eastAsia" w:ascii="宋体" w:hAnsi="宋体"/>
                <w:color w:val="000000" w:themeColor="text1"/>
                <w:sz w:val="21"/>
                <w:szCs w:val="21"/>
                <w:highlight w:val="none"/>
                <w:lang w:val="en-US" w:eastAsia="zh-CN"/>
                <w14:textFill>
                  <w14:solidFill>
                    <w14:schemeClr w14:val="tx1"/>
                  </w14:solidFill>
                </w14:textFill>
              </w:rPr>
              <w:t>1680号</w:t>
            </w:r>
          </w:p>
          <w:p w14:paraId="772DB8A7">
            <w:pPr>
              <w:spacing w:line="38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联系人：</w:t>
            </w:r>
            <w:r>
              <w:rPr>
                <w:rFonts w:hint="eastAsia" w:ascii="宋体" w:hAnsi="宋体"/>
                <w:color w:val="000000" w:themeColor="text1"/>
                <w:sz w:val="21"/>
                <w:szCs w:val="21"/>
                <w:highlight w:val="none"/>
                <w:lang w:eastAsia="zh-CN"/>
                <w14:textFill>
                  <w14:solidFill>
                    <w14:schemeClr w14:val="tx1"/>
                  </w14:solidFill>
                </w14:textFill>
              </w:rPr>
              <w:t>高卫杰</w:t>
            </w:r>
          </w:p>
          <w:p w14:paraId="630BD6DE">
            <w:pPr>
              <w:spacing w:line="380" w:lineRule="exact"/>
              <w:rPr>
                <w:rFonts w:hint="default" w:eastAsia="宋体" w:asciiTheme="minorEastAsia" w:hAnsiTheme="minorEastAsia"/>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w:t>
            </w:r>
            <w:r>
              <w:rPr>
                <w:rFonts w:hint="eastAsia" w:ascii="宋体" w:hAnsi="宋体"/>
                <w:color w:val="000000" w:themeColor="text1"/>
                <w:sz w:val="21"/>
                <w:szCs w:val="21"/>
                <w:highlight w:val="none"/>
                <w:lang w:val="en-US" w:eastAsia="zh-CN"/>
                <w14:textFill>
                  <w14:solidFill>
                    <w14:schemeClr w14:val="tx1"/>
                  </w14:solidFill>
                </w14:textFill>
              </w:rPr>
              <w:t>82714548-8303</w:t>
            </w:r>
          </w:p>
        </w:tc>
      </w:tr>
      <w:tr w14:paraId="11FE0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4761877">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B4BA026">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sz w:val="21"/>
                <w:szCs w:val="21"/>
                <w:highlight w:val="none"/>
              </w:rPr>
              <w:t>采购代理机构</w:t>
            </w:r>
          </w:p>
        </w:tc>
        <w:tc>
          <w:tcPr>
            <w:tcW w:w="6468" w:type="dxa"/>
            <w:tcBorders>
              <w:top w:val="single" w:color="auto" w:sz="4" w:space="0"/>
              <w:left w:val="single" w:color="auto" w:sz="4" w:space="0"/>
              <w:bottom w:val="single" w:color="auto" w:sz="4" w:space="0"/>
              <w:right w:val="single" w:color="auto" w:sz="4" w:space="0"/>
            </w:tcBorders>
            <w:vAlign w:val="center"/>
          </w:tcPr>
          <w:p w14:paraId="7C008722">
            <w:pPr>
              <w:spacing w:line="380" w:lineRule="exac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r>
              <w:rPr>
                <w:rFonts w:hint="eastAsia" w:ascii="宋体" w:hAnsi="宋体"/>
                <w:color w:val="000000" w:themeColor="text1"/>
                <w:sz w:val="21"/>
                <w:szCs w:val="21"/>
                <w:highlight w:val="none"/>
                <w:lang w:val="en-US" w:eastAsia="zh-CN"/>
                <w14:textFill>
                  <w14:solidFill>
                    <w14:schemeClr w14:val="tx1"/>
                  </w14:solidFill>
                </w14:textFill>
              </w:rPr>
              <w:t>吉林省中采招标有限公司</w:t>
            </w:r>
          </w:p>
          <w:p w14:paraId="1A5E71C3">
            <w:pPr>
              <w:spacing w:line="38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吉林省长春市南关区全安小区综合楼9栋9208号</w:t>
            </w:r>
          </w:p>
          <w:p w14:paraId="5B6A1B4C">
            <w:pPr>
              <w:spacing w:line="38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w:t>
            </w:r>
            <w:r>
              <w:rPr>
                <w:rFonts w:hint="eastAsia" w:ascii="宋体" w:hAnsi="宋体"/>
                <w:color w:val="000000" w:themeColor="text1"/>
                <w:sz w:val="21"/>
                <w:szCs w:val="21"/>
                <w:highlight w:val="none"/>
                <w:lang w:val="en-US" w:eastAsia="zh-CN"/>
                <w14:textFill>
                  <w14:solidFill>
                    <w14:schemeClr w14:val="tx1"/>
                  </w14:solidFill>
                </w14:textFill>
              </w:rPr>
              <w:t xml:space="preserve">王女士  </w:t>
            </w:r>
            <w:r>
              <w:rPr>
                <w:rFonts w:hint="eastAsia" w:ascii="宋体" w:hAnsi="宋体"/>
                <w:color w:val="000000" w:themeColor="text1"/>
                <w:sz w:val="21"/>
                <w:szCs w:val="21"/>
                <w:highlight w:val="none"/>
                <w14:textFill>
                  <w14:solidFill>
                    <w14:schemeClr w14:val="tx1"/>
                  </w14:solidFill>
                </w14:textFill>
              </w:rPr>
              <w:t>18004440699</w:t>
            </w:r>
          </w:p>
        </w:tc>
      </w:tr>
      <w:tr w14:paraId="70DF4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0F0BA48">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05F2D16">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项目名称</w:t>
            </w:r>
          </w:p>
        </w:tc>
        <w:tc>
          <w:tcPr>
            <w:tcW w:w="6468" w:type="dxa"/>
            <w:tcBorders>
              <w:top w:val="single" w:color="auto" w:sz="4" w:space="0"/>
              <w:left w:val="single" w:color="auto" w:sz="4" w:space="0"/>
              <w:bottom w:val="single" w:color="auto" w:sz="4" w:space="0"/>
              <w:right w:val="single" w:color="auto" w:sz="4" w:space="0"/>
            </w:tcBorders>
            <w:vAlign w:val="center"/>
          </w:tcPr>
          <w:p w14:paraId="7513E744">
            <w:pPr>
              <w:spacing w:line="300" w:lineRule="exact"/>
              <w:jc w:val="both"/>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olor w:val="000000"/>
                <w:sz w:val="21"/>
                <w:szCs w:val="21"/>
                <w:highlight w:val="none"/>
                <w:lang w:eastAsia="zh-CN"/>
              </w:rPr>
              <w:t>吉林省残疾人联合会省级残疾人辅具适配服务项目项目</w:t>
            </w:r>
          </w:p>
        </w:tc>
      </w:tr>
      <w:tr w14:paraId="37E0E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794" w:type="dxa"/>
            <w:tcBorders>
              <w:top w:val="single" w:color="auto" w:sz="4" w:space="0"/>
              <w:left w:val="single" w:color="auto" w:sz="4" w:space="0"/>
              <w:right w:val="single" w:color="auto" w:sz="4" w:space="0"/>
            </w:tcBorders>
            <w:vAlign w:val="center"/>
          </w:tcPr>
          <w:p w14:paraId="5F73A3B4">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310324DF">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预算金额</w:t>
            </w:r>
          </w:p>
        </w:tc>
        <w:tc>
          <w:tcPr>
            <w:tcW w:w="6468" w:type="dxa"/>
            <w:tcBorders>
              <w:top w:val="single" w:color="auto" w:sz="4" w:space="0"/>
              <w:left w:val="single" w:color="auto" w:sz="4" w:space="0"/>
              <w:bottom w:val="single" w:color="auto" w:sz="4" w:space="0"/>
              <w:right w:val="single" w:color="auto" w:sz="4" w:space="0"/>
            </w:tcBorders>
            <w:vAlign w:val="center"/>
          </w:tcPr>
          <w:p w14:paraId="3D5F3A1A">
            <w:pPr>
              <w:spacing w:line="300" w:lineRule="exact"/>
              <w:jc w:val="both"/>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预算总金额（最高限价）：</w:t>
            </w:r>
            <w:r>
              <w:rPr>
                <w:rFonts w:hint="eastAsia" w:ascii="宋体" w:hAnsi="宋体"/>
                <w:color w:val="auto"/>
                <w:sz w:val="21"/>
                <w:szCs w:val="21"/>
                <w:highlight w:val="none"/>
                <w:lang w:val="en-US" w:eastAsia="zh-CN"/>
              </w:rPr>
              <w:t>390</w:t>
            </w:r>
            <w:r>
              <w:rPr>
                <w:rFonts w:hint="eastAsia" w:ascii="宋体" w:hAnsi="宋体" w:eastAsia="宋体" w:cs="宋体"/>
                <w:i w:val="0"/>
                <w:iCs w:val="0"/>
                <w:color w:val="auto"/>
                <w:kern w:val="0"/>
                <w:sz w:val="21"/>
                <w:szCs w:val="21"/>
                <w:highlight w:val="none"/>
                <w:u w:val="none"/>
                <w:lang w:val="en-US" w:eastAsia="zh-CN" w:bidi="ar"/>
              </w:rPr>
              <w:t>万元</w:t>
            </w:r>
          </w:p>
          <w:p w14:paraId="2F650CBD">
            <w:pPr>
              <w:spacing w:line="300" w:lineRule="exact"/>
              <w:jc w:val="both"/>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注：投标供应商报价不得超过</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预算总金额</w:t>
            </w: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，否则按废标处理。</w:t>
            </w:r>
          </w:p>
        </w:tc>
      </w:tr>
      <w:tr w14:paraId="21AC5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4E3D14A">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1B3F71ED">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供货地点</w:t>
            </w:r>
          </w:p>
        </w:tc>
        <w:tc>
          <w:tcPr>
            <w:tcW w:w="6468" w:type="dxa"/>
            <w:tcBorders>
              <w:top w:val="single" w:color="auto" w:sz="4" w:space="0"/>
              <w:left w:val="single" w:color="auto" w:sz="4" w:space="0"/>
              <w:bottom w:val="single" w:color="auto" w:sz="4" w:space="0"/>
              <w:right w:val="single" w:color="auto" w:sz="4" w:space="0"/>
            </w:tcBorders>
            <w:vAlign w:val="center"/>
          </w:tcPr>
          <w:p w14:paraId="148B909E">
            <w:pPr>
              <w:pStyle w:val="15"/>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采购人指定地点</w:t>
            </w:r>
          </w:p>
        </w:tc>
      </w:tr>
      <w:tr w14:paraId="5DA63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E64737B">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1BE6175">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采购需求</w:t>
            </w:r>
          </w:p>
        </w:tc>
        <w:tc>
          <w:tcPr>
            <w:tcW w:w="6468" w:type="dxa"/>
            <w:tcBorders>
              <w:top w:val="single" w:color="auto" w:sz="4" w:space="0"/>
              <w:left w:val="single" w:color="auto" w:sz="4" w:space="0"/>
              <w:bottom w:val="single" w:color="auto" w:sz="4" w:space="0"/>
              <w:right w:val="single" w:color="auto" w:sz="4" w:space="0"/>
            </w:tcBorders>
            <w:vAlign w:val="center"/>
          </w:tcPr>
          <w:p w14:paraId="0CDB79AA">
            <w:pPr>
              <w:spacing w:line="300" w:lineRule="exact"/>
              <w:jc w:val="both"/>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宋体" w:hAnsi="宋体" w:eastAsiaTheme="minorEastAsia"/>
                <w:color w:val="000000" w:themeColor="text1"/>
                <w:sz w:val="21"/>
                <w:szCs w:val="21"/>
                <w:highlight w:val="none"/>
                <w:lang w:eastAsia="zh-CN"/>
                <w14:textFill>
                  <w14:solidFill>
                    <w14:schemeClr w14:val="tx1"/>
                  </w14:solidFill>
                </w14:textFill>
              </w:rPr>
              <w:t>详见招标文件第四部分采购需求</w:t>
            </w:r>
          </w:p>
        </w:tc>
      </w:tr>
      <w:tr w14:paraId="2DE38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1516D3C">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9A6EC3B">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质量标准</w:t>
            </w:r>
          </w:p>
        </w:tc>
        <w:tc>
          <w:tcPr>
            <w:tcW w:w="6468" w:type="dxa"/>
            <w:tcBorders>
              <w:top w:val="single" w:color="auto" w:sz="4" w:space="0"/>
              <w:left w:val="single" w:color="auto" w:sz="4" w:space="0"/>
              <w:bottom w:val="single" w:color="auto" w:sz="4" w:space="0"/>
              <w:right w:val="single" w:color="auto" w:sz="4" w:space="0"/>
            </w:tcBorders>
            <w:vAlign w:val="center"/>
          </w:tcPr>
          <w:p w14:paraId="55BF909A">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olor w:val="auto"/>
                <w:sz w:val="21"/>
                <w:szCs w:val="21"/>
                <w:highlight w:val="none"/>
              </w:rPr>
              <w:t>符合国家及行业相关合格标准；</w:t>
            </w:r>
            <w:r>
              <w:rPr>
                <w:rFonts w:hint="eastAsia" w:ascii="宋体" w:hAnsi="宋体"/>
                <w:color w:val="auto"/>
                <w:sz w:val="21"/>
                <w:szCs w:val="21"/>
                <w:highlight w:val="none"/>
                <w:lang w:val="zh-CN"/>
              </w:rPr>
              <w:t>符合招标参数要求；</w:t>
            </w:r>
          </w:p>
        </w:tc>
      </w:tr>
      <w:tr w14:paraId="45F7D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B7E1994">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5DC02952">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合同履行期限</w:t>
            </w:r>
          </w:p>
          <w:p w14:paraId="2A8D7555">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（交货</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时间</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tc>
        <w:tc>
          <w:tcPr>
            <w:tcW w:w="6468" w:type="dxa"/>
            <w:tcBorders>
              <w:top w:val="single" w:color="auto" w:sz="4" w:space="0"/>
              <w:left w:val="single" w:color="auto" w:sz="4" w:space="0"/>
              <w:bottom w:val="single" w:color="auto" w:sz="4" w:space="0"/>
              <w:right w:val="single" w:color="auto" w:sz="4" w:space="0"/>
            </w:tcBorders>
            <w:vAlign w:val="center"/>
          </w:tcPr>
          <w:p w14:paraId="0FBC7411">
            <w:pPr>
              <w:spacing w:line="300" w:lineRule="exact"/>
              <w:jc w:val="both"/>
              <w:rPr>
                <w:rFonts w:hint="default" w:asciiTheme="minorEastAsia" w:hAnsiTheme="minorEastAsia" w:eastAsiaTheme="minorEastAsia"/>
                <w:color w:val="000000" w:themeColor="text1"/>
                <w:sz w:val="21"/>
                <w:szCs w:val="21"/>
                <w:highlight w:val="none"/>
                <w:lang w:val="en-US"/>
                <w14:textFill>
                  <w14:solidFill>
                    <w14:schemeClr w14:val="tx1"/>
                  </w14:solidFill>
                </w14:textFill>
              </w:rPr>
            </w:pPr>
            <w:r>
              <w:rPr>
                <w:rFonts w:hint="eastAsia" w:ascii="宋体" w:hAnsi="宋体"/>
                <w:color w:val="auto"/>
                <w:sz w:val="21"/>
                <w:szCs w:val="21"/>
                <w:highlight w:val="none"/>
                <w:lang w:val="en-US" w:eastAsia="zh-CN"/>
              </w:rPr>
              <w:t>合同签订生效后，12月31日前完成。</w:t>
            </w:r>
          </w:p>
        </w:tc>
      </w:tr>
      <w:tr w14:paraId="20705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right w:val="single" w:color="auto" w:sz="4" w:space="0"/>
            </w:tcBorders>
            <w:vAlign w:val="center"/>
          </w:tcPr>
          <w:p w14:paraId="1E2C5F94">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08B672E0">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资金来源</w:t>
            </w:r>
          </w:p>
        </w:tc>
        <w:tc>
          <w:tcPr>
            <w:tcW w:w="6468" w:type="dxa"/>
            <w:tcBorders>
              <w:top w:val="single" w:color="auto" w:sz="4" w:space="0"/>
              <w:left w:val="single" w:color="auto" w:sz="4" w:space="0"/>
              <w:bottom w:val="single" w:color="auto" w:sz="4" w:space="0"/>
              <w:right w:val="single" w:color="auto" w:sz="4" w:space="0"/>
            </w:tcBorders>
            <w:vAlign w:val="center"/>
          </w:tcPr>
          <w:p w14:paraId="1A1082CF">
            <w:pPr>
              <w:spacing w:line="300" w:lineRule="exact"/>
              <w:jc w:val="both"/>
              <w:rPr>
                <w:rFonts w:cs="宋体" w:asciiTheme="minorEastAsia" w:hAnsiTheme="minorEastAsia" w:eastAsiaTheme="minorEastAsia"/>
                <w:bCs/>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bCs/>
                <w:color w:val="000000" w:themeColor="text1"/>
                <w:sz w:val="21"/>
                <w:szCs w:val="21"/>
                <w:highlight w:val="none"/>
                <w14:textFill>
                  <w14:solidFill>
                    <w14:schemeClr w14:val="tx1"/>
                  </w14:solidFill>
                </w14:textFill>
              </w:rPr>
              <w:t>财政资金，已落实</w:t>
            </w:r>
          </w:p>
        </w:tc>
      </w:tr>
      <w:tr w14:paraId="3EC6F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4" w:hRule="atLeast"/>
          <w:jc w:val="center"/>
        </w:trPr>
        <w:tc>
          <w:tcPr>
            <w:tcW w:w="794" w:type="dxa"/>
            <w:tcBorders>
              <w:top w:val="single" w:color="auto" w:sz="4" w:space="0"/>
              <w:left w:val="single" w:color="auto" w:sz="4" w:space="0"/>
              <w:right w:val="single" w:color="auto" w:sz="4" w:space="0"/>
            </w:tcBorders>
            <w:vAlign w:val="center"/>
          </w:tcPr>
          <w:p w14:paraId="778C9172">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0EFA3D9B">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供应商资质条件、能力、信誉</w:t>
            </w:r>
          </w:p>
        </w:tc>
        <w:tc>
          <w:tcPr>
            <w:tcW w:w="6468" w:type="dxa"/>
            <w:tcBorders>
              <w:top w:val="single" w:color="auto" w:sz="4" w:space="0"/>
              <w:left w:val="single" w:color="auto" w:sz="4" w:space="0"/>
              <w:right w:val="single" w:color="auto" w:sz="4" w:space="0"/>
            </w:tcBorders>
            <w:vAlign w:val="center"/>
          </w:tcPr>
          <w:p w14:paraId="19A1CA3B">
            <w:pPr>
              <w:numPr>
                <w:ilvl w:val="0"/>
                <w:numId w:val="3"/>
              </w:numPr>
              <w:spacing w:line="300" w:lineRule="exac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满足《中华人民共和国政府采购法》第二十二条规定</w:t>
            </w:r>
          </w:p>
          <w:p w14:paraId="0B410473">
            <w:pPr>
              <w:numPr>
                <w:ilvl w:val="0"/>
                <w:numId w:val="3"/>
              </w:numPr>
              <w:spacing w:line="300" w:lineRule="exact"/>
              <w:ind w:left="0" w:leftChars="0" w:firstLine="0" w:firstLineChars="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 xml:space="preserve">本项目面向中小企业、事业单位或其他社会组织采购，其中面向小微企业采购金额为0元,占0%。 </w:t>
            </w:r>
          </w:p>
          <w:p w14:paraId="569C7B10">
            <w:pPr>
              <w:spacing w:line="300" w:lineRule="exact"/>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注：监狱企业和残疾人福利单位视同小微企业。</w:t>
            </w:r>
          </w:p>
          <w:p w14:paraId="1D9E260A">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本项目的特定资格要求：</w:t>
            </w:r>
          </w:p>
          <w:p w14:paraId="17532C47">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供应商须是具有独立的法人资格的企业或其他组织，具有有效的营业执照，且规范经营5年以上</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在人员、设备、资金等方面具有相应的能力</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具备能够履行合同所必需的专业辅具适配设备</w:t>
            </w:r>
            <w:r>
              <w:rPr>
                <w:rFonts w:hint="eastAsia" w:ascii="宋体" w:hAnsi="宋体"/>
                <w:color w:val="000000" w:themeColor="text1"/>
                <w:sz w:val="21"/>
                <w:szCs w:val="21"/>
                <w:highlight w:val="none"/>
                <w:lang w:eastAsia="zh-CN"/>
                <w14:textFill>
                  <w14:solidFill>
                    <w14:schemeClr w14:val="tx1"/>
                  </w14:solidFill>
                </w14:textFill>
              </w:rPr>
              <w:t>。</w:t>
            </w:r>
          </w:p>
          <w:p w14:paraId="2B8C8861">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00BA1FEE">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）拒绝列入政府取消投标资格记录期间的企业或个人投标；</w:t>
            </w:r>
          </w:p>
          <w:p w14:paraId="1402DFD6">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F58BF9D">
            <w:pPr>
              <w:spacing w:line="24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为采购项目</w:t>
            </w:r>
            <w:r>
              <w:rPr>
                <w:rFonts w:hint="eastAsia" w:ascii="宋体" w:hAnsi="宋体" w:eastAsia="宋体" w:cs="Times New Roman"/>
                <w:color w:val="000000" w:themeColor="text1"/>
                <w:sz w:val="21"/>
                <w:szCs w:val="21"/>
                <w:highlight w:val="none"/>
                <w14:textFill>
                  <w14:solidFill>
                    <w14:schemeClr w14:val="tx1"/>
                  </w14:solidFill>
                </w14:textFill>
              </w:rPr>
              <w:t>提供整体设计、规范编制或者项目管理、监理、检测等服务的供应商，不得再参加该采购项目的其他采购活动；</w:t>
            </w:r>
            <w:r>
              <w:rPr>
                <w:rFonts w:hint="eastAsia" w:ascii="宋体" w:hAnsi="宋体" w:eastAsia="宋体" w:cs="Times New Roman"/>
                <w:color w:val="000000" w:themeColor="text1"/>
                <w:sz w:val="21"/>
                <w:szCs w:val="21"/>
                <w:highlight w:val="none"/>
                <w:lang w:val="zh-CN"/>
                <w14:textFill>
                  <w14:solidFill>
                    <w14:schemeClr w14:val="tx1"/>
                  </w14:solidFill>
                </w14:textFill>
              </w:rPr>
              <w:t>与采购人存在利害关系可能影响招标公正性的法人、其他组织或者个人，不得参加投标。</w:t>
            </w:r>
          </w:p>
          <w:p w14:paraId="2FEE92E8">
            <w:pPr>
              <w:spacing w:line="24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w:t>
            </w:r>
          </w:p>
          <w:p w14:paraId="4308AB2B">
            <w:pPr>
              <w:spacing w:line="240" w:lineRule="auto"/>
              <w:rPr>
                <w:rFonts w:hint="eastAsia"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zh-CN"/>
                <w14:textFill>
                  <w14:solidFill>
                    <w14:schemeClr w14:val="tx1"/>
                  </w14:solidFill>
                </w14:textFill>
              </w:rPr>
              <w:t>参加政府采购活动前3年内在经营活动中没有重大违法记录。</w:t>
            </w:r>
          </w:p>
          <w:p w14:paraId="12C0A1E2">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不存在国家有关法律法规禁止的情形。</w:t>
            </w:r>
          </w:p>
          <w:p w14:paraId="7F962979">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（9）具有辅助器具适配流动服务能力，具备入户服务能力；</w:t>
            </w:r>
          </w:p>
          <w:p w14:paraId="3278BCDC">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（10）在省内有较为完善的分支服务网络；</w:t>
            </w:r>
          </w:p>
          <w:p w14:paraId="1B6543DF">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（11）有专业的辅助器具适配专业技术团队，持有假肢师、矫形器装配师、辅助器具工程师岗位能力资格证的专业技术人员8人以上。</w:t>
            </w:r>
          </w:p>
        </w:tc>
      </w:tr>
      <w:tr w14:paraId="4CFB2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B6B7A35">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9724EE8">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投标有效期</w:t>
            </w:r>
          </w:p>
        </w:tc>
        <w:tc>
          <w:tcPr>
            <w:tcW w:w="6468" w:type="dxa"/>
            <w:tcBorders>
              <w:top w:val="single" w:color="auto" w:sz="4" w:space="0"/>
              <w:left w:val="single" w:color="auto" w:sz="4" w:space="0"/>
              <w:bottom w:val="single" w:color="auto" w:sz="4" w:space="0"/>
              <w:right w:val="single" w:color="auto" w:sz="4" w:space="0"/>
            </w:tcBorders>
            <w:vAlign w:val="center"/>
          </w:tcPr>
          <w:p w14:paraId="1A4A1D85">
            <w:pPr>
              <w:spacing w:line="300" w:lineRule="exact"/>
              <w:ind w:left="-8" w:hanging="166"/>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b/>
                <w:bCs/>
                <w:color w:val="000000" w:themeColor="text1"/>
                <w:sz w:val="21"/>
                <w:szCs w:val="21"/>
                <w:highlight w:val="none"/>
                <w:u w:val="single"/>
                <w14:textFill>
                  <w14:solidFill>
                    <w14:schemeClr w14:val="tx1"/>
                  </w14:solidFill>
                </w14:textFill>
              </w:rPr>
              <w:t>90</w:t>
            </w:r>
            <w:r>
              <w:rPr>
                <w:rFonts w:hint="eastAsia" w:asciiTheme="minorEastAsia" w:hAnsiTheme="minorEastAsia" w:eastAsiaTheme="minorEastAsia"/>
                <w:color w:val="000000" w:themeColor="text1"/>
                <w:sz w:val="21"/>
                <w:szCs w:val="21"/>
                <w:highlight w:val="none"/>
                <w14:textFill>
                  <w14:solidFill>
                    <w14:schemeClr w14:val="tx1"/>
                  </w14:solidFill>
                </w14:textFill>
              </w:rPr>
              <w:t>日历天（从投标截止之日算起）</w:t>
            </w:r>
          </w:p>
        </w:tc>
      </w:tr>
      <w:tr w14:paraId="6FE6F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C3567C0">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1D27BB08">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投标保证金</w:t>
            </w:r>
          </w:p>
        </w:tc>
        <w:tc>
          <w:tcPr>
            <w:tcW w:w="6468" w:type="dxa"/>
            <w:tcBorders>
              <w:top w:val="single" w:color="auto" w:sz="4" w:space="0"/>
              <w:left w:val="single" w:color="auto" w:sz="4" w:space="0"/>
              <w:bottom w:val="single" w:color="auto" w:sz="4" w:space="0"/>
              <w:right w:val="single" w:color="auto" w:sz="4" w:space="0"/>
            </w:tcBorders>
            <w:vAlign w:val="center"/>
          </w:tcPr>
          <w:p w14:paraId="552F6531">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1.根据长春市财政局关于取消政府采购投标保证金及采购文件工本费等有关事项的通知《长财采购〔2021〕695 号》文件要求，经“信用中国”网站查询无行政处罚信息的供应商不收取保证金。符合要求的供应商可在投标文件中提供“信用中国”网站查询无行政处罚信息的证明材料；</w:t>
            </w:r>
          </w:p>
          <w:p w14:paraId="1E378960">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2.对于满足《中华人民共和国政府采购法》第二十二条有关规定，经“信用中国”网站查询存在行政处罚信息的供应商，收取保证金。</w:t>
            </w:r>
          </w:p>
          <w:p w14:paraId="28C71A54">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保证金形式：投标保证金应当以支票、汇票、本票或者金融机构、担保机构出具的保函等非现金形式提交。供应商未按照招标文件要求提交投标保证金的，投标无效。以支票形式提交的投标保证金应当从供应商的基本账户转出。</w:t>
            </w:r>
          </w:p>
          <w:p w14:paraId="5735C0EE">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投标保证金截止时间：投标保证金须在投标文件递交截止时间前到账，投标保证金的确认以最终到账日期为准。</w:t>
            </w:r>
          </w:p>
          <w:p w14:paraId="39AED354">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保证金数额：</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60000</w:t>
            </w:r>
            <w:r>
              <w:rPr>
                <w:rFonts w:hint="eastAsia" w:asciiTheme="minorEastAsia" w:hAnsiTheme="minorEastAsia" w:eastAsiaTheme="minorEastAsia"/>
                <w:color w:val="000000" w:themeColor="text1"/>
                <w:sz w:val="21"/>
                <w:szCs w:val="21"/>
                <w:highlight w:val="none"/>
                <w14:textFill>
                  <w14:solidFill>
                    <w14:schemeClr w14:val="tx1"/>
                  </w14:solidFill>
                </w14:textFill>
              </w:rPr>
              <w:t>元；</w:t>
            </w:r>
          </w:p>
          <w:p w14:paraId="012908A9">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收款人全称：吉林省中采招标有限公司</w:t>
            </w:r>
          </w:p>
          <w:p w14:paraId="3D311F05">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开户银行：中国民生银行股份有限公司长春南环支行</w:t>
            </w:r>
          </w:p>
          <w:p w14:paraId="1161416C">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账    号：697047666</w:t>
            </w:r>
          </w:p>
          <w:p w14:paraId="690EB32C">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3.采购人或者采购代理机构应当自中标通知书发出之日起5个工作日内退还未中标人的投标保证金，自采购合同签订之日起5个工作日内退还中标人的投标保证金。</w:t>
            </w:r>
          </w:p>
        </w:tc>
      </w:tr>
      <w:tr w14:paraId="597B8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0EE0339">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75DC9FDE">
            <w:pPr>
              <w:widowControl/>
              <w:spacing w:line="440" w:lineRule="exact"/>
              <w:jc w:val="center"/>
              <w:rPr>
                <w:rFonts w:hint="eastAsia"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投标保证金有效期</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6FB3F5D7">
            <w:pPr>
              <w:widowControl/>
              <w:spacing w:line="440" w:lineRule="exact"/>
              <w:jc w:val="left"/>
              <w:rPr>
                <w:rFonts w:hint="eastAsia"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与投标有效期一致。</w:t>
            </w:r>
          </w:p>
        </w:tc>
      </w:tr>
      <w:tr w14:paraId="46D27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7CFD438">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E6B2EDD">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是否接受联合体投标</w:t>
            </w:r>
          </w:p>
        </w:tc>
        <w:tc>
          <w:tcPr>
            <w:tcW w:w="6468" w:type="dxa"/>
            <w:tcBorders>
              <w:top w:val="single" w:color="auto" w:sz="4" w:space="0"/>
              <w:left w:val="single" w:color="auto" w:sz="4" w:space="0"/>
              <w:bottom w:val="single" w:color="auto" w:sz="4" w:space="0"/>
              <w:right w:val="single" w:color="auto" w:sz="4" w:space="0"/>
            </w:tcBorders>
            <w:vAlign w:val="center"/>
          </w:tcPr>
          <w:p w14:paraId="41033336">
            <w:pPr>
              <w:spacing w:line="30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否</w:t>
            </w:r>
          </w:p>
        </w:tc>
      </w:tr>
      <w:tr w14:paraId="56D28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E27446E">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4F0C427">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投标预备会</w:t>
            </w:r>
          </w:p>
        </w:tc>
        <w:tc>
          <w:tcPr>
            <w:tcW w:w="6468" w:type="dxa"/>
            <w:tcBorders>
              <w:top w:val="single" w:color="auto" w:sz="4" w:space="0"/>
              <w:left w:val="single" w:color="auto" w:sz="4" w:space="0"/>
              <w:bottom w:val="single" w:color="auto" w:sz="4" w:space="0"/>
              <w:right w:val="single" w:color="auto" w:sz="4" w:space="0"/>
            </w:tcBorders>
            <w:vAlign w:val="center"/>
          </w:tcPr>
          <w:p w14:paraId="269F1267">
            <w:pPr>
              <w:spacing w:line="30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不召开</w:t>
            </w:r>
          </w:p>
        </w:tc>
      </w:tr>
      <w:tr w14:paraId="0E873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176D9CB">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864C886">
            <w:pPr>
              <w:spacing w:line="300" w:lineRule="exact"/>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分包</w:t>
            </w:r>
          </w:p>
        </w:tc>
        <w:tc>
          <w:tcPr>
            <w:tcW w:w="6468" w:type="dxa"/>
            <w:tcBorders>
              <w:top w:val="single" w:color="auto" w:sz="4" w:space="0"/>
              <w:left w:val="single" w:color="auto" w:sz="4" w:space="0"/>
              <w:bottom w:val="single" w:color="auto" w:sz="4" w:space="0"/>
              <w:right w:val="single" w:color="auto" w:sz="4" w:space="0"/>
            </w:tcBorders>
            <w:vAlign w:val="center"/>
          </w:tcPr>
          <w:p w14:paraId="669C2386">
            <w:pPr>
              <w:spacing w:line="30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sz w:val="21"/>
                <w:szCs w:val="21"/>
                <w:highlight w:val="none"/>
              </w:rPr>
              <w:t>不允许</w:t>
            </w:r>
          </w:p>
        </w:tc>
      </w:tr>
      <w:tr w14:paraId="4C2FA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A0B7281">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CFC7632">
            <w:pPr>
              <w:spacing w:line="300" w:lineRule="exact"/>
              <w:jc w:val="center"/>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投标人提出问题的截止时间</w:t>
            </w:r>
          </w:p>
        </w:tc>
        <w:tc>
          <w:tcPr>
            <w:tcW w:w="6468" w:type="dxa"/>
            <w:tcBorders>
              <w:top w:val="single" w:color="auto" w:sz="4" w:space="0"/>
              <w:left w:val="single" w:color="auto" w:sz="4" w:space="0"/>
              <w:bottom w:val="single" w:color="auto" w:sz="4" w:space="0"/>
              <w:right w:val="single" w:color="auto" w:sz="4" w:space="0"/>
            </w:tcBorders>
            <w:vAlign w:val="center"/>
          </w:tcPr>
          <w:p w14:paraId="3A9BAD03">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知道或者应知其权益受到损害之日起7个工作日内</w:t>
            </w:r>
          </w:p>
          <w:p w14:paraId="4A62DFCA">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登录政采云平台https://www.zcygov.cn/在线申请提出问题</w:t>
            </w:r>
          </w:p>
        </w:tc>
      </w:tr>
      <w:tr w14:paraId="14582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DDD8F0">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99BADDB">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采购人书面澄清的时间</w:t>
            </w:r>
          </w:p>
        </w:tc>
        <w:tc>
          <w:tcPr>
            <w:tcW w:w="6468" w:type="dxa"/>
            <w:tcBorders>
              <w:top w:val="single" w:color="auto" w:sz="4" w:space="0"/>
              <w:left w:val="single" w:color="auto" w:sz="4" w:space="0"/>
              <w:bottom w:val="single" w:color="auto" w:sz="4" w:space="0"/>
              <w:right w:val="single" w:color="auto" w:sz="4" w:space="0"/>
            </w:tcBorders>
            <w:vAlign w:val="center"/>
          </w:tcPr>
          <w:p w14:paraId="3F05A73F">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时  间：投标截止时间15日前</w:t>
            </w:r>
          </w:p>
          <w:p w14:paraId="61A43748">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请潜在供应商在参加与本项目活动期间关注网站信息，所有有意愿的供应商有义务在网上自行查询，无需书面回复。</w:t>
            </w:r>
          </w:p>
        </w:tc>
      </w:tr>
      <w:tr w14:paraId="53EC5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03FAB5D">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E00AD92">
            <w:pPr>
              <w:spacing w:line="300" w:lineRule="exact"/>
              <w:jc w:val="center"/>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供应商确认收到招标文件澄清</w:t>
            </w:r>
          </w:p>
        </w:tc>
        <w:tc>
          <w:tcPr>
            <w:tcW w:w="6468" w:type="dxa"/>
            <w:tcBorders>
              <w:top w:val="single" w:color="auto" w:sz="4" w:space="0"/>
              <w:left w:val="single" w:color="auto" w:sz="4" w:space="0"/>
              <w:bottom w:val="single" w:color="auto" w:sz="4" w:space="0"/>
              <w:right w:val="single" w:color="auto" w:sz="4" w:space="0"/>
            </w:tcBorders>
            <w:vAlign w:val="center"/>
          </w:tcPr>
          <w:p w14:paraId="2A2AF54D">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请潜在供应商在参加本项目活动期间关注</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zh-CN"/>
              </w:rPr>
              <w:t>政采云</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平台</w:t>
            </w:r>
            <w:r>
              <w:rPr>
                <w:rFonts w:hint="eastAsia" w:asciiTheme="minorEastAsia" w:hAnsiTheme="minorEastAsia" w:eastAsiaTheme="minorEastAsia"/>
                <w:color w:val="000000" w:themeColor="text1"/>
                <w:sz w:val="21"/>
                <w:szCs w:val="21"/>
                <w:highlight w:val="none"/>
                <w14:textFill>
                  <w14:solidFill>
                    <w14:schemeClr w14:val="tx1"/>
                  </w14:solidFill>
                </w14:textFill>
              </w:rPr>
              <w:t>信息，所有有投标意愿的供应商有义务在网上自行查询，无需书面回复。招标文件的澄清文件、答疑文件、补遗文件一经发布即视为已告知了所有已获取招标文件的供应商，且供应商也已经收到并明确了该澄清文件的内容。供应商须主动阅知。</w:t>
            </w:r>
          </w:p>
        </w:tc>
      </w:tr>
      <w:tr w14:paraId="398C7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BAD6471">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524AE87B">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sz w:val="21"/>
                <w:szCs w:val="21"/>
                <w:highlight w:val="none"/>
              </w:rPr>
              <w:t>供应商确认收到招标文件修改</w:t>
            </w:r>
          </w:p>
        </w:tc>
        <w:tc>
          <w:tcPr>
            <w:tcW w:w="6468" w:type="dxa"/>
            <w:tcBorders>
              <w:top w:val="single" w:color="auto" w:sz="4" w:space="0"/>
              <w:left w:val="single" w:color="auto" w:sz="4" w:space="0"/>
              <w:bottom w:val="single" w:color="auto" w:sz="4" w:space="0"/>
              <w:right w:val="single" w:color="auto" w:sz="4" w:space="0"/>
            </w:tcBorders>
            <w:vAlign w:val="center"/>
          </w:tcPr>
          <w:p w14:paraId="53FA4780">
            <w:pPr>
              <w:spacing w:line="300" w:lineRule="exac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请</w:t>
            </w:r>
            <w:r>
              <w:rPr>
                <w:rFonts w:hint="eastAsia" w:asciiTheme="minorEastAsia" w:hAnsiTheme="minorEastAsia" w:eastAsiaTheme="minorEastAsia"/>
                <w:color w:val="000000" w:themeColor="text1"/>
                <w:sz w:val="21"/>
                <w:szCs w:val="21"/>
                <w:highlight w:val="none"/>
                <w14:textFill>
                  <w14:solidFill>
                    <w14:schemeClr w14:val="tx1"/>
                  </w14:solidFill>
                </w14:textFill>
              </w:rPr>
              <w:t>潜在供应商在参加本项目活动期间关注网站信息，所有有投标意愿的供应商有义务在网上自行查询，无需书面回复。招标文件的澄清文件、答疑文件、补遗文件一经发布即视为已告知了所有已获取招标文件的供应商，且供应商也已经收到并明确了该澄清文件的内容。供应商须主动阅知。</w:t>
            </w:r>
          </w:p>
        </w:tc>
      </w:tr>
      <w:tr w14:paraId="041A8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9B971C3">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5326B1F4">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供应商的替代方案</w:t>
            </w:r>
          </w:p>
        </w:tc>
        <w:tc>
          <w:tcPr>
            <w:tcW w:w="6468" w:type="dxa"/>
            <w:tcBorders>
              <w:top w:val="single" w:color="auto" w:sz="4" w:space="0"/>
              <w:left w:val="single" w:color="auto" w:sz="4" w:space="0"/>
              <w:bottom w:val="single" w:color="auto" w:sz="4" w:space="0"/>
              <w:right w:val="single" w:color="auto" w:sz="4" w:space="0"/>
            </w:tcBorders>
            <w:vAlign w:val="center"/>
          </w:tcPr>
          <w:p w14:paraId="019F7E2F">
            <w:pPr>
              <w:pStyle w:val="15"/>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不考虑</w:t>
            </w:r>
          </w:p>
        </w:tc>
      </w:tr>
      <w:tr w14:paraId="28CCA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DA63247">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FFA4E9C">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投标文件份数</w:t>
            </w:r>
          </w:p>
        </w:tc>
        <w:tc>
          <w:tcPr>
            <w:tcW w:w="6468" w:type="dxa"/>
            <w:tcBorders>
              <w:top w:val="single" w:color="auto" w:sz="4" w:space="0"/>
              <w:left w:val="single" w:color="auto" w:sz="4" w:space="0"/>
              <w:bottom w:val="single" w:color="auto" w:sz="4" w:space="0"/>
              <w:right w:val="single" w:color="auto" w:sz="4" w:space="0"/>
            </w:tcBorders>
            <w:vAlign w:val="center"/>
          </w:tcPr>
          <w:p w14:paraId="7E5EA1B3">
            <w:pPr>
              <w:spacing w:line="300" w:lineRule="exact"/>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（1）评标过程中以电子</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为主，以电子</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为准</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递交响应文件</w:t>
            </w:r>
            <w:r>
              <w:rPr>
                <w:rFonts w:hint="eastAsia" w:cs="Times New Roman" w:asciiTheme="minorEastAsia" w:hAnsiTheme="minorEastAsia" w:eastAsiaTheme="minorEastAsia"/>
                <w:color w:val="000000" w:themeColor="text1"/>
                <w:sz w:val="21"/>
                <w:szCs w:val="21"/>
                <w:highlight w:val="none"/>
                <w:lang w:val="zh-CN" w:eastAsia="zh-CN"/>
                <w14:textFill>
                  <w14:solidFill>
                    <w14:schemeClr w14:val="tx1"/>
                  </w14:solidFill>
                </w14:textFill>
              </w:rPr>
              <w:t>截止时间前，响应文件须上传至“政采云”平台，实行在线电子投标，电脑进行远程解密。供应商应提前确认好 CA锁及电脑等设备使用正常。逾期上传的或因供应商原因未能进行解密的电子文件，平台将予以拒收，其投标无效。</w:t>
            </w:r>
          </w:p>
          <w:p w14:paraId="452B4EFF">
            <w:pPr>
              <w:spacing w:line="300" w:lineRule="exact"/>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（2）供应商在“政采云”平台（http：//www.zcygov.cn）上制作</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1份（此</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须上传至“政采云”平台）。</w:t>
            </w:r>
          </w:p>
          <w:p w14:paraId="46684D82">
            <w:pPr>
              <w:spacing w:line="300" w:lineRule="exact"/>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（3）供应商在制作</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时，电子</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以“政采云”平台的</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 xml:space="preserve">格式为准。 </w:t>
            </w:r>
          </w:p>
          <w:p w14:paraId="5AAEFFB1">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本项目投标时采用电子文件，后续中标（成交）单位应提供三份纸质版响应文件提交至代理机构。</w:t>
            </w:r>
          </w:p>
        </w:tc>
      </w:tr>
      <w:tr w14:paraId="395BE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2E5A658">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1C61D56">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提交投标文件截止时间、开标时间和地点</w:t>
            </w:r>
          </w:p>
        </w:tc>
        <w:tc>
          <w:tcPr>
            <w:tcW w:w="6468" w:type="dxa"/>
            <w:tcBorders>
              <w:top w:val="single" w:color="auto" w:sz="4" w:space="0"/>
              <w:left w:val="single" w:color="auto" w:sz="4" w:space="0"/>
              <w:bottom w:val="single" w:color="auto" w:sz="4" w:space="0"/>
              <w:right w:val="single" w:color="auto" w:sz="4" w:space="0"/>
            </w:tcBorders>
            <w:vAlign w:val="center"/>
          </w:tcPr>
          <w:p w14:paraId="2DAC8518">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时间：</w:t>
            </w:r>
            <w:r>
              <w:rPr>
                <w:rFonts w:hint="eastAsia" w:ascii="宋体" w:hAnsi="宋体"/>
                <w:color w:val="000000" w:themeColor="text1"/>
                <w:sz w:val="21"/>
                <w:szCs w:val="21"/>
                <w:highlight w:val="none"/>
                <w:lang w:eastAsia="zh-CN"/>
                <w14:textFill>
                  <w14:solidFill>
                    <w14:schemeClr w14:val="tx1"/>
                  </w14:solidFill>
                </w14:textFill>
              </w:rPr>
              <w:t>2025年</w:t>
            </w:r>
            <w:r>
              <w:rPr>
                <w:rFonts w:hint="eastAsia" w:ascii="宋体" w:hAnsi="宋体"/>
                <w:color w:val="000000" w:themeColor="text1"/>
                <w:sz w:val="21"/>
                <w:szCs w:val="21"/>
                <w:highlight w:val="none"/>
                <w:lang w:val="en-US" w:eastAsia="zh-CN"/>
                <w14:textFill>
                  <w14:solidFill>
                    <w14:schemeClr w14:val="tx1"/>
                  </w14:solidFill>
                </w14:textFill>
              </w:rPr>
              <w:t>08</w:t>
            </w:r>
            <w:r>
              <w:rPr>
                <w:rFonts w:hint="eastAsia" w:ascii="宋体" w:hAnsi="宋体"/>
                <w:color w:val="000000" w:themeColor="text1"/>
                <w:sz w:val="21"/>
                <w:szCs w:val="21"/>
                <w:highlight w:val="none"/>
                <w:lang w:eastAsia="zh-CN"/>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07</w:t>
            </w:r>
            <w:r>
              <w:rPr>
                <w:rFonts w:hint="eastAsia" w:ascii="宋体" w:hAnsi="宋体"/>
                <w:color w:val="000000" w:themeColor="text1"/>
                <w:sz w:val="21"/>
                <w:szCs w:val="21"/>
                <w:highlight w:val="none"/>
                <w:lang w:eastAsia="zh-CN"/>
                <w14:textFill>
                  <w14:solidFill>
                    <w14:schemeClr w14:val="tx1"/>
                  </w14:solidFill>
                </w14:textFill>
              </w:rPr>
              <w:t>日</w:t>
            </w:r>
            <w:r>
              <w:rPr>
                <w:rFonts w:hint="eastAsia" w:ascii="宋体" w:hAnsi="宋体"/>
                <w:color w:val="000000" w:themeColor="text1"/>
                <w:sz w:val="21"/>
                <w:szCs w:val="21"/>
                <w:highlight w:val="none"/>
                <w:lang w:val="en-US" w:eastAsia="zh-CN"/>
                <w14:textFill>
                  <w14:solidFill>
                    <w14:schemeClr w14:val="tx1"/>
                  </w14:solidFill>
                </w14:textFill>
              </w:rPr>
              <w:t>09</w:t>
            </w:r>
            <w:r>
              <w:rPr>
                <w:rFonts w:hint="eastAsia" w:ascii="宋体" w:hAnsi="宋体"/>
                <w:color w:val="000000" w:themeColor="text1"/>
                <w:sz w:val="21"/>
                <w:szCs w:val="21"/>
                <w:highlight w:val="none"/>
                <w:lang w:eastAsia="zh-CN"/>
                <w14:textFill>
                  <w14:solidFill>
                    <w14:schemeClr w14:val="tx1"/>
                  </w14:solidFill>
                </w14:textFill>
              </w:rPr>
              <w:t>时</w:t>
            </w:r>
            <w:r>
              <w:rPr>
                <w:rFonts w:hint="eastAsia" w:ascii="宋体" w:hAnsi="宋体"/>
                <w:color w:val="000000" w:themeColor="text1"/>
                <w:sz w:val="21"/>
                <w:szCs w:val="21"/>
                <w:highlight w:val="none"/>
                <w:lang w:val="en-US" w:eastAsia="zh-CN"/>
                <w14:textFill>
                  <w14:solidFill>
                    <w14:schemeClr w14:val="tx1"/>
                  </w14:solidFill>
                </w14:textFill>
              </w:rPr>
              <w:t>0</w:t>
            </w:r>
            <w:r>
              <w:rPr>
                <w:rFonts w:hint="eastAsia" w:ascii="宋体" w:hAnsi="宋体"/>
                <w:color w:val="000000" w:themeColor="text1"/>
                <w:sz w:val="21"/>
                <w:szCs w:val="21"/>
                <w:highlight w:val="none"/>
                <w:lang w:eastAsia="zh-CN"/>
                <w14:textFill>
                  <w14:solidFill>
                    <w14:schemeClr w14:val="tx1"/>
                  </w14:solidFill>
                </w14:textFill>
              </w:rPr>
              <w:t>0分</w:t>
            </w:r>
            <w:r>
              <w:rPr>
                <w:rFonts w:hint="eastAsia" w:asciiTheme="minorEastAsia" w:hAnsiTheme="minorEastAsia" w:eastAsiaTheme="minorEastAsia"/>
                <w:color w:val="000000" w:themeColor="text1"/>
                <w:sz w:val="21"/>
                <w:szCs w:val="21"/>
                <w:highlight w:val="none"/>
                <w14:textFill>
                  <w14:solidFill>
                    <w14:schemeClr w14:val="tx1"/>
                  </w14:solidFill>
                </w14:textFill>
              </w:rPr>
              <w:t>（北京时间）</w:t>
            </w:r>
          </w:p>
          <w:p w14:paraId="23BEEA0D">
            <w:pPr>
              <w:spacing w:line="30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地点：</w:t>
            </w:r>
            <w:r>
              <w:rPr>
                <w:rFonts w:hint="eastAsia" w:ascii="宋体" w:hAnsi="宋体"/>
                <w:color w:val="000000" w:themeColor="text1"/>
                <w:sz w:val="21"/>
                <w:szCs w:val="21"/>
                <w:highlight w:val="none"/>
                <w14:textFill>
                  <w14:solidFill>
                    <w14:schemeClr w14:val="tx1"/>
                  </w14:solidFill>
                </w14:textFill>
              </w:rPr>
              <w:t>吉林省同晟科技公共资源交易服务平台</w:t>
            </w:r>
            <w:r>
              <w:rPr>
                <w:rFonts w:hint="eastAsia" w:ascii="宋体" w:hAnsi="宋体" w:eastAsiaTheme="minorEastAsia"/>
                <w:color w:val="000000" w:themeColor="text1"/>
                <w:sz w:val="21"/>
                <w:szCs w:val="21"/>
                <w:highlight w:val="none"/>
                <w:lang w:eastAsia="zh-CN"/>
                <w14:textFill>
                  <w14:solidFill>
                    <w14:schemeClr w14:val="tx1"/>
                  </w14:solidFill>
                </w14:textFill>
              </w:rPr>
              <w:t>（二道区洋浦大街凯利中心）</w:t>
            </w:r>
          </w:p>
        </w:tc>
      </w:tr>
      <w:tr w14:paraId="64E0B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15101AF">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D2B9034">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b w:val="0"/>
                <w:bCs/>
                <w:color w:val="auto"/>
                <w:kern w:val="15"/>
                <w:sz w:val="21"/>
                <w:szCs w:val="21"/>
                <w:highlight w:val="none"/>
              </w:rPr>
              <w:t>投标报价</w:t>
            </w:r>
          </w:p>
        </w:tc>
        <w:tc>
          <w:tcPr>
            <w:tcW w:w="6468" w:type="dxa"/>
            <w:tcBorders>
              <w:top w:val="single" w:color="auto" w:sz="4" w:space="0"/>
              <w:left w:val="single" w:color="auto" w:sz="4" w:space="0"/>
              <w:bottom w:val="single" w:color="auto" w:sz="4" w:space="0"/>
              <w:right w:val="single" w:color="auto" w:sz="4" w:space="0"/>
            </w:tcBorders>
            <w:vAlign w:val="center"/>
          </w:tcPr>
          <w:p w14:paraId="4C595D13">
            <w:pPr>
              <w:numPr>
                <w:ilvl w:val="0"/>
                <w:numId w:val="0"/>
              </w:numPr>
              <w:spacing w:line="300" w:lineRule="exact"/>
              <w:rPr>
                <w:rFonts w:hint="eastAsia" w:ascii="宋体" w:hAnsi="宋体"/>
                <w:b w:val="0"/>
                <w:bCs/>
                <w:color w:val="auto"/>
                <w:kern w:val="15"/>
                <w:sz w:val="21"/>
                <w:szCs w:val="21"/>
                <w:highlight w:val="none"/>
              </w:rPr>
            </w:pPr>
            <w:r>
              <w:rPr>
                <w:rFonts w:hint="eastAsia" w:ascii="宋体" w:hAnsi="宋体"/>
                <w:b w:val="0"/>
                <w:bCs/>
                <w:color w:val="auto"/>
                <w:kern w:val="15"/>
                <w:sz w:val="21"/>
                <w:szCs w:val="21"/>
                <w:highlight w:val="none"/>
              </w:rPr>
              <w:t>投标货币：人民币</w:t>
            </w:r>
          </w:p>
          <w:p w14:paraId="65581D46">
            <w:pPr>
              <w:numPr>
                <w:ilvl w:val="0"/>
                <w:numId w:val="0"/>
              </w:numPr>
              <w:spacing w:line="300" w:lineRule="exact"/>
              <w:rPr>
                <w:rFonts w:hint="eastAsia" w:ascii="宋体" w:hAnsi="宋体" w:eastAsia="宋体"/>
                <w:b w:val="0"/>
                <w:bCs/>
                <w:color w:val="auto"/>
                <w:kern w:val="15"/>
                <w:sz w:val="21"/>
                <w:szCs w:val="21"/>
                <w:highlight w:val="none"/>
                <w:lang w:eastAsia="zh-CN"/>
              </w:rPr>
            </w:pPr>
            <w:r>
              <w:rPr>
                <w:rFonts w:hint="eastAsia" w:ascii="宋体" w:hAnsi="宋体"/>
                <w:b w:val="0"/>
                <w:bCs/>
                <w:color w:val="auto"/>
                <w:kern w:val="15"/>
                <w:sz w:val="21"/>
                <w:szCs w:val="21"/>
                <w:highlight w:val="none"/>
              </w:rPr>
              <w:t>投标报价：货到采购人指定项目现场的价格，即包括但不限于运输、保险、吊装、搬运、安装、调试、验收、技术支持、售后服务及培训等运至采购人指定项目现场前的所有费用</w:t>
            </w:r>
            <w:r>
              <w:rPr>
                <w:rFonts w:hint="eastAsia" w:ascii="宋体" w:hAnsi="宋体"/>
                <w:b w:val="0"/>
                <w:bCs/>
                <w:color w:val="auto"/>
                <w:kern w:val="15"/>
                <w:sz w:val="21"/>
                <w:szCs w:val="21"/>
                <w:highlight w:val="none"/>
                <w:lang w:eastAsia="zh-CN"/>
              </w:rPr>
              <w:t>，</w:t>
            </w:r>
            <w:r>
              <w:rPr>
                <w:rFonts w:hint="eastAsia" w:ascii="宋体" w:hAnsi="宋体"/>
                <w:b w:val="0"/>
                <w:bCs/>
                <w:color w:val="auto"/>
                <w:kern w:val="15"/>
                <w:sz w:val="21"/>
                <w:szCs w:val="21"/>
                <w:highlight w:val="none"/>
              </w:rPr>
              <w:t>质量保证期内备品备件、易损件及人工均应免费提供</w:t>
            </w:r>
            <w:r>
              <w:rPr>
                <w:rFonts w:hint="eastAsia" w:ascii="宋体" w:hAnsi="宋体"/>
                <w:b w:val="0"/>
                <w:bCs/>
                <w:color w:val="auto"/>
                <w:kern w:val="15"/>
                <w:sz w:val="21"/>
                <w:szCs w:val="21"/>
                <w:highlight w:val="none"/>
                <w:lang w:eastAsia="zh-CN"/>
              </w:rPr>
              <w:t>。</w:t>
            </w:r>
          </w:p>
          <w:p w14:paraId="5355590E">
            <w:pPr>
              <w:spacing w:line="300" w:lineRule="exact"/>
              <w:rPr>
                <w:rFonts w:hint="default" w:eastAsia="宋体" w:asciiTheme="minorEastAsia" w:hAnsiTheme="minorEastAsia"/>
                <w:color w:val="000000" w:themeColor="text1"/>
                <w:sz w:val="21"/>
                <w:szCs w:val="21"/>
                <w:highlight w:val="none"/>
                <w:lang w:val="en-US" w:eastAsia="zh-CN"/>
                <w14:textFill>
                  <w14:solidFill>
                    <w14:schemeClr w14:val="tx1"/>
                  </w14:solidFill>
                </w14:textFill>
              </w:rPr>
            </w:pPr>
            <w:r>
              <w:rPr>
                <w:rFonts w:hint="eastAsia" w:ascii="宋体" w:hAnsi="宋体"/>
                <w:b w:val="0"/>
                <w:bCs/>
                <w:color w:val="auto"/>
                <w:kern w:val="15"/>
                <w:sz w:val="21"/>
                <w:szCs w:val="21"/>
                <w:highlight w:val="none"/>
              </w:rPr>
              <w:t>交货地点：</w:t>
            </w:r>
            <w:r>
              <w:rPr>
                <w:rFonts w:hint="eastAsia" w:ascii="宋体" w:hAnsi="宋体"/>
                <w:b w:val="0"/>
                <w:bCs/>
                <w:color w:val="auto"/>
                <w:kern w:val="15"/>
                <w:sz w:val="21"/>
                <w:szCs w:val="21"/>
                <w:highlight w:val="none"/>
                <w:lang w:val="en-US" w:eastAsia="zh-CN"/>
              </w:rPr>
              <w:t>甲方指定地点</w:t>
            </w:r>
          </w:p>
        </w:tc>
      </w:tr>
      <w:tr w14:paraId="6D539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B85935F">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47FC5E7">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sz w:val="21"/>
                <w:szCs w:val="21"/>
                <w:highlight w:val="none"/>
              </w:rPr>
              <w:t>投标文件是否退还</w:t>
            </w:r>
          </w:p>
        </w:tc>
        <w:tc>
          <w:tcPr>
            <w:tcW w:w="6468" w:type="dxa"/>
            <w:tcBorders>
              <w:top w:val="single" w:color="auto" w:sz="4" w:space="0"/>
              <w:left w:val="single" w:color="auto" w:sz="4" w:space="0"/>
              <w:bottom w:val="single" w:color="auto" w:sz="4" w:space="0"/>
              <w:right w:val="single" w:color="auto" w:sz="4" w:space="0"/>
            </w:tcBorders>
            <w:vAlign w:val="center"/>
          </w:tcPr>
          <w:p w14:paraId="1D7A2F26">
            <w:pPr>
              <w:spacing w:line="30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否</w:t>
            </w:r>
          </w:p>
        </w:tc>
      </w:tr>
      <w:tr w14:paraId="2EF88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C945183">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4D708396">
            <w:pPr>
              <w:pStyle w:val="185"/>
              <w:ind w:left="100" w:leftChars="50" w:right="100" w:rightChars="50"/>
              <w:contextualSpacing/>
              <w:jc w:val="center"/>
              <w:rPr>
                <w:rFonts w:ascii="Times New Roman" w:hAnsi="Times New Roman" w:eastAsia="宋体" w:cs="Times New Roman"/>
                <w:sz w:val="21"/>
                <w:szCs w:val="21"/>
                <w:highlight w:val="none"/>
                <w:lang w:val="en-US" w:eastAsia="zh-CN" w:bidi="ar-SA"/>
              </w:rPr>
            </w:pPr>
            <w:r>
              <w:rPr>
                <w:rFonts w:hint="eastAsia"/>
                <w:sz w:val="21"/>
                <w:szCs w:val="21"/>
                <w:highlight w:val="none"/>
              </w:rPr>
              <w:t>评标委员会的组建</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4F7D740E">
            <w:pPr>
              <w:adjustRightInd w:val="0"/>
              <w:snapToGrid w:val="0"/>
              <w:spacing w:before="36" w:beforeLines="15" w:line="276" w:lineRule="auto"/>
              <w:rPr>
                <w:rFonts w:hint="eastAsia"/>
                <w:sz w:val="21"/>
                <w:szCs w:val="21"/>
                <w:highlight w:val="none"/>
              </w:rPr>
            </w:pPr>
            <w:r>
              <w:rPr>
                <w:rFonts w:hint="eastAsia"/>
                <w:sz w:val="21"/>
                <w:szCs w:val="21"/>
                <w:highlight w:val="none"/>
              </w:rPr>
              <w:t>评标委员会构成：5人，其中采购人代表1人，专家4人；</w:t>
            </w:r>
          </w:p>
          <w:p w14:paraId="3577A0A2">
            <w:pPr>
              <w:snapToGrid w:val="0"/>
              <w:rPr>
                <w:rFonts w:hint="eastAsia"/>
                <w:sz w:val="21"/>
                <w:szCs w:val="21"/>
                <w:highlight w:val="none"/>
                <w:lang w:val="zh-CN" w:eastAsia="zh-CN"/>
              </w:rPr>
            </w:pPr>
            <w:r>
              <w:rPr>
                <w:rFonts w:hint="eastAsia"/>
                <w:sz w:val="21"/>
                <w:szCs w:val="21"/>
                <w:highlight w:val="none"/>
              </w:rPr>
              <w:t>评标专家确定方式：从依法设立的评标专家库中随机抽取。</w:t>
            </w:r>
          </w:p>
        </w:tc>
      </w:tr>
      <w:tr w14:paraId="105AF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F007A1B">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F83588C">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评标方法及标准</w:t>
            </w:r>
          </w:p>
        </w:tc>
        <w:tc>
          <w:tcPr>
            <w:tcW w:w="6468" w:type="dxa"/>
            <w:tcBorders>
              <w:top w:val="single" w:color="auto" w:sz="4" w:space="0"/>
              <w:left w:val="single" w:color="auto" w:sz="4" w:space="0"/>
              <w:bottom w:val="single" w:color="auto" w:sz="4" w:space="0"/>
              <w:right w:val="single" w:color="auto" w:sz="4" w:space="0"/>
            </w:tcBorders>
            <w:vAlign w:val="center"/>
          </w:tcPr>
          <w:p w14:paraId="3C8DEA4B">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综合评分法；</w:t>
            </w:r>
          </w:p>
          <w:p w14:paraId="74BFB826">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评标委员会推荐中标候选供应商的人数：3名</w:t>
            </w:r>
          </w:p>
        </w:tc>
      </w:tr>
      <w:tr w14:paraId="0E608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1716002">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6D83A1F4">
            <w:pPr>
              <w:pStyle w:val="185"/>
              <w:ind w:left="100" w:leftChars="50" w:right="100" w:rightChars="50"/>
              <w:contextualSpacing/>
              <w:jc w:val="center"/>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eastAsia="zh-CN"/>
              </w:rPr>
              <w:t>公示媒介及期限</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601F1B2B">
            <w:pPr>
              <w:pStyle w:val="185"/>
              <w:ind w:left="100" w:leftChars="50" w:right="100" w:rightChars="50"/>
              <w:contextualSpacing/>
              <w:rPr>
                <w:rFonts w:hint="eastAsia" w:eastAsia="宋体"/>
                <w:sz w:val="21"/>
                <w:szCs w:val="21"/>
                <w:highlight w:val="none"/>
                <w:lang w:eastAsia="zh-CN"/>
              </w:rPr>
            </w:pPr>
            <w:r>
              <w:rPr>
                <w:rFonts w:hint="eastAsia"/>
                <w:sz w:val="21"/>
                <w:szCs w:val="21"/>
                <w:highlight w:val="none"/>
                <w:lang w:eastAsia="zh-CN"/>
              </w:rPr>
              <w:t>同时在“政采云”平台（http:// www.zcygov.cn）(同步推送到</w:t>
            </w:r>
            <w:r>
              <w:rPr>
                <w:rFonts w:hint="eastAsia" w:ascii="宋体" w:hAnsi="宋体" w:eastAsia="宋体" w:cs="宋体"/>
                <w:color w:val="auto"/>
                <w:spacing w:val="6"/>
                <w:sz w:val="21"/>
                <w:szCs w:val="21"/>
                <w:highlight w:val="none"/>
              </w:rPr>
              <w:t>本招标项目</w:t>
            </w:r>
            <w:r>
              <w:rPr>
                <w:rFonts w:hint="eastAsia" w:ascii="宋体" w:hAnsi="宋体" w:eastAsia="宋体" w:cs="宋体"/>
                <w:color w:val="auto"/>
                <w:spacing w:val="4"/>
                <w:sz w:val="21"/>
                <w:szCs w:val="21"/>
                <w:highlight w:val="none"/>
              </w:rPr>
              <w:t>招标公</w:t>
            </w:r>
            <w:r>
              <w:rPr>
                <w:rFonts w:hint="eastAsia" w:ascii="宋体" w:hAnsi="宋体" w:eastAsia="宋体" w:cs="宋体"/>
                <w:color w:val="auto"/>
                <w:spacing w:val="3"/>
                <w:sz w:val="21"/>
                <w:szCs w:val="21"/>
                <w:highlight w:val="none"/>
              </w:rPr>
              <w:t>告</w:t>
            </w:r>
            <w:r>
              <w:rPr>
                <w:rFonts w:hint="eastAsia" w:ascii="宋体" w:hAnsi="宋体" w:eastAsia="宋体" w:cs="宋体"/>
                <w:color w:val="auto"/>
                <w:spacing w:val="2"/>
                <w:sz w:val="21"/>
                <w:szCs w:val="21"/>
                <w:highlight w:val="none"/>
              </w:rPr>
              <w:t>发布的同一网络媒介</w:t>
            </w:r>
            <w:r>
              <w:rPr>
                <w:rFonts w:hint="eastAsia" w:ascii="宋体" w:hAnsi="宋体" w:eastAsia="宋体" w:cs="宋体"/>
                <w:color w:val="auto"/>
                <w:spacing w:val="2"/>
                <w:sz w:val="21"/>
                <w:szCs w:val="21"/>
                <w:highlight w:val="none"/>
                <w:lang w:eastAsia="zh-CN"/>
              </w:rPr>
              <w:t>）</w:t>
            </w:r>
          </w:p>
          <w:p w14:paraId="611F023F">
            <w:pPr>
              <w:pStyle w:val="185"/>
              <w:ind w:left="100" w:leftChars="50" w:right="100" w:rightChars="50"/>
              <w:contextualSpacing/>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eastAsia="zh-CN"/>
              </w:rPr>
              <w:t>公示期限：1个工作日</w:t>
            </w:r>
          </w:p>
        </w:tc>
      </w:tr>
      <w:tr w14:paraId="6A822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718BB24">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08D8E71">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履约担保</w:t>
            </w:r>
          </w:p>
        </w:tc>
        <w:tc>
          <w:tcPr>
            <w:tcW w:w="6468" w:type="dxa"/>
            <w:tcBorders>
              <w:top w:val="single" w:color="auto" w:sz="4" w:space="0"/>
              <w:left w:val="single" w:color="auto" w:sz="4" w:space="0"/>
              <w:bottom w:val="single" w:color="auto" w:sz="4" w:space="0"/>
              <w:right w:val="single" w:color="auto" w:sz="4" w:space="0"/>
            </w:tcBorders>
            <w:vAlign w:val="center"/>
          </w:tcPr>
          <w:p w14:paraId="7F98B3CA">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w:t>
            </w:r>
          </w:p>
        </w:tc>
      </w:tr>
      <w:tr w14:paraId="31ED4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2C23D2B">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85C037B">
            <w:pPr>
              <w:adjustRightInd w:val="0"/>
              <w:snapToGrid w:val="0"/>
              <w:spacing w:before="60" w:beforeLines="25" w:after="60" w:afterLines="25"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签订合同</w:t>
            </w:r>
          </w:p>
        </w:tc>
        <w:tc>
          <w:tcPr>
            <w:tcW w:w="6468" w:type="dxa"/>
            <w:tcBorders>
              <w:top w:val="single" w:color="auto" w:sz="4" w:space="0"/>
              <w:left w:val="single" w:color="auto" w:sz="4" w:space="0"/>
              <w:bottom w:val="single" w:color="auto" w:sz="4" w:space="0"/>
              <w:right w:val="single" w:color="auto" w:sz="4" w:space="0"/>
            </w:tcBorders>
            <w:vAlign w:val="center"/>
          </w:tcPr>
          <w:p w14:paraId="3E8BD55C">
            <w:pPr>
              <w:adjustRightInd w:val="0"/>
              <w:snapToGrid w:val="0"/>
              <w:spacing w:before="60" w:beforeLines="25" w:after="60" w:afterLines="25"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中标人应在中标结果确定后</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天内签订采购合同。</w:t>
            </w:r>
          </w:p>
        </w:tc>
      </w:tr>
      <w:tr w14:paraId="00F7A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03254B5">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9BBCCD9">
            <w:pPr>
              <w:spacing w:line="300" w:lineRule="exact"/>
              <w:jc w:val="cente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付款方式</w:t>
            </w:r>
          </w:p>
        </w:tc>
        <w:tc>
          <w:tcPr>
            <w:tcW w:w="6468" w:type="dxa"/>
            <w:tcBorders>
              <w:top w:val="single" w:color="auto" w:sz="4" w:space="0"/>
              <w:left w:val="single" w:color="auto" w:sz="4" w:space="0"/>
              <w:bottom w:val="single" w:color="auto" w:sz="4" w:space="0"/>
              <w:right w:val="single" w:color="auto" w:sz="4" w:space="0"/>
            </w:tcBorders>
            <w:vAlign w:val="center"/>
          </w:tcPr>
          <w:p w14:paraId="542445F0">
            <w:pP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lang w:val="en-US" w:eastAsia="zh-CN"/>
                <w14:textFill>
                  <w14:solidFill>
                    <w14:schemeClr w14:val="tx1"/>
                  </w14:solidFill>
                </w14:textFill>
              </w:rPr>
              <w:t>1</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w:t>
            </w:r>
            <w:r>
              <w:rPr>
                <w:rFonts w:hint="eastAsia" w:asciiTheme="minorEastAsia" w:hAnsiTheme="minorEastAsia" w:eastAsiaTheme="minorEastAsia"/>
                <w:bCs/>
                <w:color w:val="000000" w:themeColor="text1"/>
                <w:kern w:val="15"/>
                <w:sz w:val="21"/>
                <w:szCs w:val="21"/>
                <w:highlight w:val="none"/>
                <w:lang w:val="en-US" w:eastAsia="zh-CN"/>
                <w14:textFill>
                  <w14:solidFill>
                    <w14:schemeClr w14:val="tx1"/>
                  </w14:solidFill>
                </w14:textFill>
              </w:rPr>
              <w:t>供应商</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将开具的等额合法有效发票和加盖公章的发票查验证明一并提交给</w:t>
            </w:r>
            <w:r>
              <w:rPr>
                <w:rFonts w:hint="eastAsia" w:asciiTheme="minorEastAsia" w:hAnsiTheme="minorEastAsia" w:eastAsiaTheme="minorEastAsia"/>
                <w:bCs/>
                <w:color w:val="000000" w:themeColor="text1"/>
                <w:kern w:val="15"/>
                <w:sz w:val="21"/>
                <w:szCs w:val="21"/>
                <w:highlight w:val="none"/>
                <w:lang w:val="en-US" w:eastAsia="zh-CN"/>
                <w14:textFill>
                  <w14:solidFill>
                    <w14:schemeClr w14:val="tx1"/>
                  </w14:solidFill>
                </w14:textFill>
              </w:rPr>
              <w:t>采购人</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后，</w:t>
            </w:r>
            <w:r>
              <w:rPr>
                <w:rFonts w:hint="eastAsia" w:asciiTheme="minorEastAsia" w:hAnsiTheme="minorEastAsia" w:eastAsiaTheme="minorEastAsia"/>
                <w:bCs/>
                <w:color w:val="000000" w:themeColor="text1"/>
                <w:kern w:val="15"/>
                <w:sz w:val="21"/>
                <w:szCs w:val="21"/>
                <w:highlight w:val="none"/>
                <w:lang w:val="en-US" w:eastAsia="zh-CN"/>
                <w14:textFill>
                  <w14:solidFill>
                    <w14:schemeClr w14:val="tx1"/>
                  </w14:solidFill>
                </w14:textFill>
              </w:rPr>
              <w:t>采购人</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以银行转账方式付款（人民币结算）。</w:t>
            </w:r>
          </w:p>
          <w:p w14:paraId="4E2F9D87">
            <w:pPr>
              <w:rPr>
                <w:highlight w:val="none"/>
              </w:rPr>
            </w:pPr>
            <w:r>
              <w:rPr>
                <w:rFonts w:hint="eastAsia"/>
                <w:highlight w:val="none"/>
                <w:lang w:val="en-US" w:eastAsia="zh-CN"/>
              </w:rPr>
              <w:t xml:space="preserve">2.合同签订后，达到付款条件起 10 日内，支付合同总金额的70.00%。 </w:t>
            </w:r>
          </w:p>
          <w:p w14:paraId="5F4E6517">
            <w:pP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highlight w:val="none"/>
                <w:lang w:val="en-US" w:eastAsia="zh-CN"/>
              </w:rPr>
              <w:t xml:space="preserve">验收合格后，达到付款条件起 30 日内，支付合同总金额的30.00%。 </w:t>
            </w:r>
          </w:p>
        </w:tc>
      </w:tr>
      <w:tr w14:paraId="4D355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685326C">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99B6D1A">
            <w:pPr>
              <w:spacing w:line="300" w:lineRule="exact"/>
              <w:jc w:val="cente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合同存档</w:t>
            </w:r>
          </w:p>
        </w:tc>
        <w:tc>
          <w:tcPr>
            <w:tcW w:w="6468" w:type="dxa"/>
            <w:tcBorders>
              <w:top w:val="single" w:color="auto" w:sz="4" w:space="0"/>
              <w:left w:val="single" w:color="auto" w:sz="4" w:space="0"/>
              <w:bottom w:val="single" w:color="auto" w:sz="4" w:space="0"/>
              <w:right w:val="single" w:color="auto" w:sz="4" w:space="0"/>
            </w:tcBorders>
            <w:vAlign w:val="center"/>
          </w:tcPr>
          <w:p w14:paraId="1B07C06C">
            <w:pPr>
              <w:spacing w:line="300" w:lineRule="exact"/>
              <w:jc w:val="both"/>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中标单位与采购人签订合同后</w:t>
            </w:r>
            <w:r>
              <w:rPr>
                <w:rFonts w:hint="eastAsia" w:asciiTheme="minorEastAsia" w:hAnsiTheme="minorEastAsia" w:eastAsiaTheme="minorEastAsia"/>
                <w:bCs/>
                <w:color w:val="000000" w:themeColor="text1"/>
                <w:kern w:val="15"/>
                <w:sz w:val="21"/>
                <w:szCs w:val="21"/>
                <w:highlight w:val="none"/>
                <w:u w:val="single"/>
                <w14:textFill>
                  <w14:solidFill>
                    <w14:schemeClr w14:val="tx1"/>
                  </w14:solidFill>
                </w14:textFill>
              </w:rPr>
              <w:t xml:space="preserve"> 2 </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个工作日内将采购合同扫描件发送至采购代理机构上传。</w:t>
            </w:r>
          </w:p>
        </w:tc>
      </w:tr>
      <w:tr w14:paraId="0CBEA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006200D">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3C46571">
            <w:pPr>
              <w:adjustRightInd w:val="0"/>
              <w:snapToGrid w:val="0"/>
              <w:spacing w:before="60" w:beforeLines="25" w:after="60" w:afterLines="25" w:line="300" w:lineRule="exact"/>
              <w:jc w:val="cente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招标代理服务费</w:t>
            </w:r>
          </w:p>
        </w:tc>
        <w:tc>
          <w:tcPr>
            <w:tcW w:w="6468" w:type="dxa"/>
            <w:tcBorders>
              <w:top w:val="single" w:color="auto" w:sz="4" w:space="0"/>
              <w:left w:val="single" w:color="auto" w:sz="4" w:space="0"/>
              <w:bottom w:val="single" w:color="auto" w:sz="4" w:space="0"/>
              <w:right w:val="single" w:color="auto" w:sz="4" w:space="0"/>
            </w:tcBorders>
            <w:vAlign w:val="center"/>
          </w:tcPr>
          <w:p w14:paraId="1D2C2E3E">
            <w:pPr>
              <w:pStyle w:val="190"/>
              <w:spacing w:before="61" w:line="221"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bCs/>
                <w:color w:val="000000" w:themeColor="text1"/>
                <w:kern w:val="15"/>
                <w:sz w:val="21"/>
                <w:szCs w:val="21"/>
                <w:highlight w:val="none"/>
                <w:lang w:val="en-US" w:eastAsia="zh-CN" w:bidi="ar-SA"/>
                <w14:textFill>
                  <w14:solidFill>
                    <w14:schemeClr w14:val="tx1"/>
                  </w14:solidFill>
                </w14:textFill>
              </w:rPr>
              <w:t>委托代理费支付方式：供应商支付，收费标准：经甲、乙双方商定，本项目代理服务费为人民币30000.00元，并开具正规发票。</w:t>
            </w:r>
          </w:p>
        </w:tc>
      </w:tr>
      <w:tr w14:paraId="40120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88DB688">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AE18B1E">
            <w:pPr>
              <w:adjustRightInd w:val="0"/>
              <w:snapToGrid w:val="0"/>
              <w:spacing w:before="60" w:beforeLines="25" w:after="60" w:afterLines="25" w:line="300" w:lineRule="exact"/>
              <w:jc w:val="center"/>
              <w:rPr>
                <w:rFonts w:ascii="宋体" w:hAnsi="宋体"/>
                <w:bCs/>
                <w:kern w:val="18"/>
                <w:sz w:val="21"/>
                <w:szCs w:val="21"/>
                <w:highlight w:val="none"/>
              </w:rPr>
            </w:pPr>
            <w:r>
              <w:rPr>
                <w:rFonts w:hint="eastAsia" w:asciiTheme="minorEastAsia" w:hAnsiTheme="minorEastAsia" w:eastAsiaTheme="minorEastAsia"/>
                <w:bCs/>
                <w:kern w:val="15"/>
                <w:sz w:val="21"/>
                <w:szCs w:val="21"/>
                <w:highlight w:val="none"/>
              </w:rPr>
              <w:t>电子标说明</w:t>
            </w:r>
          </w:p>
        </w:tc>
        <w:tc>
          <w:tcPr>
            <w:tcW w:w="6468" w:type="dxa"/>
            <w:tcBorders>
              <w:top w:val="single" w:color="auto" w:sz="4" w:space="0"/>
              <w:left w:val="single" w:color="auto" w:sz="4" w:space="0"/>
              <w:bottom w:val="single" w:color="auto" w:sz="4" w:space="0"/>
              <w:right w:val="single" w:color="auto" w:sz="4" w:space="0"/>
            </w:tcBorders>
            <w:vAlign w:val="center"/>
          </w:tcPr>
          <w:p w14:paraId="4478B960">
            <w:pPr>
              <w:spacing w:line="300" w:lineRule="exact"/>
              <w:jc w:val="both"/>
              <w:rPr>
                <w:rFonts w:asciiTheme="minorEastAsia" w:hAnsiTheme="minorEastAsia" w:eastAsiaTheme="minorEastAsia"/>
                <w:bCs/>
                <w:kern w:val="15"/>
                <w:sz w:val="21"/>
                <w:szCs w:val="21"/>
                <w:highlight w:val="none"/>
              </w:rPr>
            </w:pPr>
            <w:r>
              <w:rPr>
                <w:rFonts w:hint="eastAsia" w:asciiTheme="minorEastAsia" w:hAnsiTheme="minorEastAsia" w:eastAsiaTheme="minorEastAsia"/>
                <w:bCs/>
                <w:kern w:val="15"/>
                <w:sz w:val="21"/>
                <w:szCs w:val="21"/>
                <w:highlight w:val="none"/>
                <w:lang w:val="en-US" w:eastAsia="zh-CN"/>
              </w:rPr>
              <w:t>1.</w:t>
            </w:r>
            <w:r>
              <w:rPr>
                <w:rFonts w:hint="eastAsia" w:asciiTheme="minorEastAsia" w:hAnsiTheme="minorEastAsia" w:eastAsiaTheme="minorEastAsia"/>
                <w:bCs/>
                <w:kern w:val="15"/>
                <w:sz w:val="21"/>
                <w:szCs w:val="21"/>
                <w:highlight w:val="none"/>
              </w:rPr>
              <w:t>上传的电子证件及资料均需按要求签字盖章上传，否则按未签章处理。</w:t>
            </w:r>
          </w:p>
          <w:p w14:paraId="5BED69FC">
            <w:pPr>
              <w:spacing w:line="300" w:lineRule="exact"/>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若对项目采购电子交易系统操作有疑问，可登录“政采云”平台（https://www.zcygov.cn/）点击右侧咨询小采，获取采小蜜智能服务管家帮助，或拨打政采云服务热线95763获取热线服务帮助</w:t>
            </w:r>
          </w:p>
          <w:p w14:paraId="2A59FDED">
            <w:pPr>
              <w:spacing w:line="300" w:lineRule="exact"/>
              <w:jc w:val="both"/>
              <w:rPr>
                <w:rFonts w:hint="eastAsia" w:asciiTheme="minorEastAsia" w:hAnsiTheme="minorEastAsia" w:eastAsiaTheme="minorEastAsia"/>
                <w:bCs/>
                <w:kern w:val="15"/>
                <w:sz w:val="21"/>
                <w:szCs w:val="21"/>
                <w:highlight w:val="none"/>
              </w:rPr>
            </w:pPr>
            <w:r>
              <w:rPr>
                <w:rFonts w:hint="eastAsia" w:ascii="宋体" w:hAnsi="宋体"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bCs/>
                <w:kern w:val="15"/>
                <w:sz w:val="21"/>
                <w:szCs w:val="21"/>
                <w:highlight w:val="none"/>
              </w:rPr>
              <w:t>供应商</w:t>
            </w:r>
            <w:r>
              <w:rPr>
                <w:rFonts w:hint="eastAsia" w:asciiTheme="minorEastAsia" w:hAnsiTheme="minorEastAsia" w:eastAsiaTheme="minorEastAsia"/>
                <w:bCs/>
                <w:kern w:val="15"/>
                <w:sz w:val="21"/>
                <w:szCs w:val="21"/>
                <w:highlight w:val="none"/>
                <w:lang w:val="zh-CN"/>
              </w:rPr>
              <w:t>在政采云平台</w:t>
            </w:r>
            <w:r>
              <w:rPr>
                <w:rFonts w:hint="eastAsia" w:asciiTheme="minorEastAsia" w:hAnsiTheme="minorEastAsia" w:eastAsiaTheme="minorEastAsia"/>
                <w:bCs/>
                <w:kern w:val="15"/>
                <w:sz w:val="21"/>
                <w:szCs w:val="21"/>
                <w:highlight w:val="none"/>
              </w:rPr>
              <w:t>（</w:t>
            </w:r>
            <w:r>
              <w:rPr>
                <w:rFonts w:hint="eastAsia" w:asciiTheme="minorEastAsia" w:hAnsiTheme="minorEastAsia" w:eastAsiaTheme="minorEastAsia"/>
                <w:bCs/>
                <w:kern w:val="15"/>
                <w:sz w:val="21"/>
                <w:szCs w:val="21"/>
                <w:highlight w:val="none"/>
                <w:lang w:val="zh-CN"/>
              </w:rPr>
              <w:t>网址</w:t>
            </w:r>
            <w:r>
              <w:rPr>
                <w:rFonts w:hint="eastAsia" w:asciiTheme="minorEastAsia" w:hAnsiTheme="minorEastAsia" w:eastAsiaTheme="minorEastAsia"/>
                <w:bCs/>
                <w:kern w:val="15"/>
                <w:sz w:val="21"/>
                <w:szCs w:val="21"/>
                <w:highlight w:val="none"/>
              </w:rPr>
              <w:t>：http:// www.zcygov.cn）</w:t>
            </w:r>
            <w:r>
              <w:rPr>
                <w:rFonts w:hint="eastAsia" w:asciiTheme="minorEastAsia" w:hAnsiTheme="minorEastAsia" w:eastAsiaTheme="minorEastAsia"/>
                <w:bCs/>
                <w:kern w:val="15"/>
                <w:sz w:val="21"/>
                <w:szCs w:val="21"/>
                <w:highlight w:val="none"/>
                <w:lang w:val="zh-CN"/>
              </w:rPr>
              <w:t>通过数字证书制作</w:t>
            </w:r>
            <w:r>
              <w:rPr>
                <w:rFonts w:hint="eastAsia" w:asciiTheme="minorEastAsia" w:hAnsiTheme="minorEastAsia" w:eastAsiaTheme="minorEastAsia"/>
                <w:bCs/>
                <w:kern w:val="15"/>
                <w:sz w:val="21"/>
                <w:szCs w:val="21"/>
                <w:highlight w:val="none"/>
                <w:lang w:val="en-US" w:eastAsia="zh-CN"/>
              </w:rPr>
              <w:t>投标</w:t>
            </w:r>
            <w:r>
              <w:rPr>
                <w:rFonts w:hint="eastAsia" w:asciiTheme="minorEastAsia" w:hAnsiTheme="minorEastAsia" w:eastAsiaTheme="minorEastAsia"/>
                <w:bCs/>
                <w:kern w:val="15"/>
                <w:sz w:val="21"/>
                <w:szCs w:val="21"/>
                <w:highlight w:val="none"/>
                <w:lang w:val="zh-CN"/>
              </w:rPr>
              <w:t>文件</w:t>
            </w:r>
            <w:r>
              <w:rPr>
                <w:rFonts w:hint="eastAsia" w:asciiTheme="minorEastAsia" w:hAnsiTheme="minorEastAsia" w:eastAsiaTheme="minorEastAsia"/>
                <w:bCs/>
                <w:kern w:val="15"/>
                <w:sz w:val="21"/>
                <w:szCs w:val="21"/>
                <w:highlight w:val="none"/>
              </w:rPr>
              <w:t>1</w:t>
            </w:r>
            <w:r>
              <w:rPr>
                <w:rFonts w:hint="eastAsia" w:asciiTheme="minorEastAsia" w:hAnsiTheme="minorEastAsia" w:eastAsiaTheme="minorEastAsia"/>
                <w:bCs/>
                <w:kern w:val="15"/>
                <w:sz w:val="21"/>
                <w:szCs w:val="21"/>
                <w:highlight w:val="none"/>
                <w:lang w:val="zh-CN"/>
              </w:rPr>
              <w:t>份</w:t>
            </w:r>
            <w:r>
              <w:rPr>
                <w:rFonts w:hint="eastAsia" w:asciiTheme="minorEastAsia" w:hAnsiTheme="minorEastAsia" w:eastAsiaTheme="minorEastAsia"/>
                <w:bCs/>
                <w:kern w:val="15"/>
                <w:sz w:val="21"/>
                <w:szCs w:val="21"/>
                <w:highlight w:val="none"/>
              </w:rPr>
              <w:t>（</w:t>
            </w:r>
            <w:r>
              <w:rPr>
                <w:rFonts w:hint="eastAsia" w:asciiTheme="minorEastAsia" w:hAnsiTheme="minorEastAsia" w:eastAsiaTheme="minorEastAsia"/>
                <w:bCs/>
                <w:kern w:val="15"/>
                <w:sz w:val="21"/>
                <w:szCs w:val="21"/>
                <w:highlight w:val="none"/>
                <w:lang w:val="zh-CN"/>
              </w:rPr>
              <w:t>此</w:t>
            </w:r>
            <w:r>
              <w:rPr>
                <w:rFonts w:hint="eastAsia" w:asciiTheme="minorEastAsia" w:hAnsiTheme="minorEastAsia" w:eastAsiaTheme="minorEastAsia"/>
                <w:bCs/>
                <w:kern w:val="15"/>
                <w:sz w:val="21"/>
                <w:szCs w:val="21"/>
                <w:highlight w:val="none"/>
                <w:lang w:val="en-US" w:eastAsia="zh-CN"/>
              </w:rPr>
              <w:t>投标</w:t>
            </w:r>
            <w:r>
              <w:rPr>
                <w:rFonts w:hint="eastAsia" w:asciiTheme="minorEastAsia" w:hAnsiTheme="minorEastAsia" w:eastAsiaTheme="minorEastAsia"/>
                <w:bCs/>
                <w:kern w:val="15"/>
                <w:sz w:val="21"/>
                <w:szCs w:val="21"/>
                <w:highlight w:val="none"/>
                <w:lang w:val="zh-CN"/>
              </w:rPr>
              <w:t>文件需上传至政府采购云平台</w:t>
            </w:r>
            <w:r>
              <w:rPr>
                <w:rFonts w:hint="eastAsia" w:asciiTheme="minorEastAsia" w:hAnsiTheme="minorEastAsia" w:eastAsiaTheme="minorEastAsia"/>
                <w:bCs/>
                <w:kern w:val="15"/>
                <w:sz w:val="21"/>
                <w:szCs w:val="21"/>
                <w:highlight w:val="none"/>
              </w:rPr>
              <w:t>，</w:t>
            </w:r>
            <w:r>
              <w:rPr>
                <w:rFonts w:hint="eastAsia" w:asciiTheme="minorEastAsia" w:hAnsiTheme="minorEastAsia" w:eastAsiaTheme="minorEastAsia"/>
                <w:bCs/>
                <w:kern w:val="15"/>
                <w:sz w:val="21"/>
                <w:szCs w:val="21"/>
                <w:highlight w:val="none"/>
                <w:lang w:val="zh-CN"/>
              </w:rPr>
              <w:t>并在开标</w:t>
            </w:r>
            <w:r>
              <w:rPr>
                <w:rFonts w:hint="eastAsia" w:asciiTheme="minorEastAsia" w:hAnsiTheme="minorEastAsia" w:eastAsiaTheme="minorEastAsia"/>
                <w:bCs/>
                <w:kern w:val="15"/>
                <w:sz w:val="21"/>
                <w:szCs w:val="21"/>
                <w:highlight w:val="none"/>
              </w:rPr>
              <w:t>时</w:t>
            </w:r>
            <w:r>
              <w:rPr>
                <w:rFonts w:hint="eastAsia" w:asciiTheme="minorEastAsia" w:hAnsiTheme="minorEastAsia" w:eastAsiaTheme="minorEastAsia"/>
                <w:bCs/>
                <w:kern w:val="15"/>
                <w:sz w:val="21"/>
                <w:szCs w:val="21"/>
                <w:highlight w:val="none"/>
                <w:lang w:val="zh-CN"/>
              </w:rPr>
              <w:t>持编制</w:t>
            </w:r>
            <w:r>
              <w:rPr>
                <w:rFonts w:hint="eastAsia" w:asciiTheme="minorEastAsia" w:hAnsiTheme="minorEastAsia" w:eastAsiaTheme="minorEastAsia"/>
                <w:bCs/>
                <w:kern w:val="15"/>
                <w:sz w:val="21"/>
                <w:szCs w:val="21"/>
                <w:highlight w:val="none"/>
                <w:lang w:val="en-US" w:eastAsia="zh-CN"/>
              </w:rPr>
              <w:t>投标</w:t>
            </w:r>
            <w:r>
              <w:rPr>
                <w:rFonts w:hint="eastAsia" w:asciiTheme="minorEastAsia" w:hAnsiTheme="minorEastAsia" w:eastAsiaTheme="minorEastAsia"/>
                <w:bCs/>
                <w:kern w:val="15"/>
                <w:sz w:val="21"/>
                <w:szCs w:val="21"/>
                <w:highlight w:val="none"/>
                <w:lang w:val="zh-CN"/>
              </w:rPr>
              <w:t>文件的供应商数字证书</w:t>
            </w:r>
            <w:r>
              <w:rPr>
                <w:rFonts w:hint="eastAsia" w:asciiTheme="minorEastAsia" w:hAnsiTheme="minorEastAsia" w:eastAsiaTheme="minorEastAsia"/>
                <w:bCs/>
                <w:kern w:val="15"/>
                <w:sz w:val="21"/>
                <w:szCs w:val="21"/>
                <w:highlight w:val="none"/>
              </w:rPr>
              <w:t>进行远程</w:t>
            </w:r>
            <w:r>
              <w:rPr>
                <w:rFonts w:hint="eastAsia" w:asciiTheme="minorEastAsia" w:hAnsiTheme="minorEastAsia" w:eastAsiaTheme="minorEastAsia"/>
                <w:bCs/>
                <w:kern w:val="15"/>
                <w:sz w:val="21"/>
                <w:szCs w:val="21"/>
                <w:highlight w:val="none"/>
                <w:lang w:val="zh-CN"/>
              </w:rPr>
              <w:t>解密</w:t>
            </w:r>
            <w:r>
              <w:rPr>
                <w:rFonts w:hint="eastAsia" w:asciiTheme="minorEastAsia" w:hAnsiTheme="minorEastAsia" w:eastAsiaTheme="minorEastAsia"/>
                <w:bCs/>
                <w:kern w:val="15"/>
                <w:sz w:val="21"/>
                <w:szCs w:val="21"/>
                <w:highlight w:val="none"/>
              </w:rPr>
              <w:t>）</w:t>
            </w:r>
            <w:r>
              <w:rPr>
                <w:rFonts w:hint="eastAsia" w:asciiTheme="minorEastAsia" w:hAnsiTheme="minorEastAsia" w:eastAsiaTheme="minorEastAsia"/>
                <w:bCs/>
                <w:kern w:val="15"/>
                <w:sz w:val="21"/>
                <w:szCs w:val="21"/>
                <w:highlight w:val="none"/>
                <w:lang w:val="zh-CN"/>
              </w:rPr>
              <w:t>。</w:t>
            </w:r>
          </w:p>
          <w:p w14:paraId="7DCF3C8C">
            <w:pPr>
              <w:spacing w:line="300" w:lineRule="exact"/>
              <w:jc w:val="both"/>
              <w:rPr>
                <w:rFonts w:hint="eastAsia" w:asciiTheme="minorEastAsia" w:hAnsiTheme="minorEastAsia" w:eastAsiaTheme="minorEastAsia"/>
                <w:bCs/>
                <w:kern w:val="15"/>
                <w:sz w:val="21"/>
                <w:szCs w:val="21"/>
                <w:highlight w:val="none"/>
                <w:lang w:val="zh-CN"/>
              </w:rPr>
            </w:pPr>
            <w:r>
              <w:rPr>
                <w:rFonts w:hint="eastAsia" w:asciiTheme="minorEastAsia" w:hAnsiTheme="minorEastAsia" w:eastAsiaTheme="minorEastAsia"/>
                <w:bCs/>
                <w:kern w:val="15"/>
                <w:sz w:val="21"/>
                <w:szCs w:val="21"/>
                <w:highlight w:val="none"/>
                <w:lang w:val="zh-CN"/>
              </w:rPr>
              <w:t>备注：</w:t>
            </w:r>
          </w:p>
          <w:p w14:paraId="43432439">
            <w:pPr>
              <w:spacing w:line="300" w:lineRule="exact"/>
              <w:jc w:val="both"/>
              <w:rPr>
                <w:rFonts w:hint="eastAsia" w:asciiTheme="minorEastAsia" w:hAnsiTheme="minorEastAsia" w:eastAsiaTheme="minorEastAsia"/>
                <w:bCs/>
                <w:kern w:val="15"/>
                <w:sz w:val="21"/>
                <w:szCs w:val="21"/>
                <w:highlight w:val="none"/>
                <w:lang w:val="zh-CN"/>
              </w:rPr>
            </w:pPr>
            <w:r>
              <w:rPr>
                <w:rFonts w:hint="eastAsia" w:asciiTheme="minorEastAsia" w:hAnsiTheme="minorEastAsia" w:eastAsiaTheme="minorEastAsia"/>
                <w:bCs/>
                <w:kern w:val="15"/>
                <w:sz w:val="21"/>
                <w:szCs w:val="21"/>
                <w:highlight w:val="none"/>
                <w:lang w:val="en-US" w:eastAsia="zh-CN"/>
              </w:rPr>
              <w:t>投标</w:t>
            </w:r>
            <w:r>
              <w:rPr>
                <w:rFonts w:hint="eastAsia" w:asciiTheme="minorEastAsia" w:hAnsiTheme="minorEastAsia" w:eastAsiaTheme="minorEastAsia"/>
                <w:bCs/>
                <w:kern w:val="15"/>
                <w:sz w:val="21"/>
                <w:szCs w:val="21"/>
                <w:highlight w:val="none"/>
                <w:lang w:val="zh-CN"/>
              </w:rPr>
              <w:t>文件电子版(U盘)按</w:t>
            </w:r>
            <w:r>
              <w:rPr>
                <w:rFonts w:hint="eastAsia" w:asciiTheme="minorEastAsia" w:hAnsiTheme="minorEastAsia" w:eastAsiaTheme="minorEastAsia"/>
                <w:bCs/>
                <w:kern w:val="15"/>
                <w:sz w:val="21"/>
                <w:szCs w:val="21"/>
                <w:highlight w:val="none"/>
                <w:lang w:val="en-US" w:eastAsia="zh-CN"/>
              </w:rPr>
              <w:t>招标</w:t>
            </w:r>
            <w:r>
              <w:rPr>
                <w:rFonts w:hint="eastAsia" w:asciiTheme="minorEastAsia" w:hAnsiTheme="minorEastAsia" w:eastAsiaTheme="minorEastAsia"/>
                <w:bCs/>
                <w:kern w:val="15"/>
                <w:sz w:val="21"/>
                <w:szCs w:val="21"/>
                <w:highlight w:val="none"/>
                <w:lang w:val="zh-CN"/>
              </w:rPr>
              <w:t>文件规定执行，用数字证书编制的电子版按政采云要求进行投标操作。</w:t>
            </w:r>
          </w:p>
          <w:p w14:paraId="2A4E826F">
            <w:pPr>
              <w:spacing w:line="300" w:lineRule="exact"/>
              <w:jc w:val="both"/>
              <w:rPr>
                <w:rFonts w:hint="eastAsia" w:asciiTheme="minorEastAsia" w:hAnsiTheme="minorEastAsia" w:eastAsiaTheme="minorEastAsia"/>
                <w:bCs/>
                <w:kern w:val="15"/>
                <w:sz w:val="21"/>
                <w:szCs w:val="21"/>
                <w:highlight w:val="none"/>
                <w:lang w:val="zh-CN"/>
              </w:rPr>
            </w:pPr>
            <w:r>
              <w:rPr>
                <w:rFonts w:hint="eastAsia" w:asciiTheme="minorEastAsia" w:hAnsiTheme="minorEastAsia" w:eastAsiaTheme="minorEastAsia"/>
                <w:bCs/>
                <w:kern w:val="15"/>
                <w:sz w:val="21"/>
                <w:szCs w:val="21"/>
                <w:highlight w:val="none"/>
                <w:lang w:val="en-US" w:eastAsia="zh-CN"/>
              </w:rPr>
              <w:t>投标</w:t>
            </w:r>
            <w:r>
              <w:rPr>
                <w:rFonts w:hint="eastAsia" w:asciiTheme="minorEastAsia" w:hAnsiTheme="minorEastAsia" w:eastAsiaTheme="minorEastAsia"/>
                <w:bCs/>
                <w:kern w:val="15"/>
                <w:sz w:val="21"/>
                <w:szCs w:val="21"/>
                <w:highlight w:val="none"/>
                <w:lang w:val="zh-CN"/>
              </w:rPr>
              <w:t>文件解密：</w:t>
            </w:r>
            <w:r>
              <w:rPr>
                <w:rFonts w:hint="eastAsia" w:asciiTheme="minorEastAsia" w:hAnsiTheme="minorEastAsia" w:eastAsiaTheme="minorEastAsia"/>
                <w:bCs/>
                <w:kern w:val="15"/>
                <w:sz w:val="21"/>
                <w:szCs w:val="21"/>
                <w:highlight w:val="none"/>
              </w:rPr>
              <w:t>远程自行</w:t>
            </w:r>
            <w:r>
              <w:rPr>
                <w:rFonts w:hint="eastAsia" w:asciiTheme="minorEastAsia" w:hAnsiTheme="minorEastAsia" w:eastAsiaTheme="minorEastAsia"/>
                <w:bCs/>
                <w:kern w:val="15"/>
                <w:sz w:val="21"/>
                <w:szCs w:val="21"/>
                <w:highlight w:val="none"/>
                <w:lang w:val="zh-CN"/>
              </w:rPr>
              <w:t>解密。</w:t>
            </w:r>
          </w:p>
          <w:p w14:paraId="25F71A73">
            <w:pPr>
              <w:spacing w:line="300" w:lineRule="exact"/>
              <w:jc w:val="both"/>
              <w:rPr>
                <w:rFonts w:ascii="宋体" w:hAnsi="宋体"/>
                <w:bCs/>
                <w:kern w:val="15"/>
                <w:sz w:val="21"/>
                <w:szCs w:val="21"/>
                <w:highlight w:val="none"/>
              </w:rPr>
            </w:pPr>
            <w:r>
              <w:rPr>
                <w:rFonts w:hint="eastAsia" w:asciiTheme="minorEastAsia" w:hAnsiTheme="minorEastAsia" w:eastAsiaTheme="minorEastAsia"/>
                <w:bCs/>
                <w:kern w:val="15"/>
                <w:sz w:val="21"/>
                <w:szCs w:val="21"/>
                <w:highlight w:val="none"/>
              </w:rPr>
              <w:t>投标文件纸质版及电子版(U盘)按招标文件规定执行，用数字证书编制的电子版按《政府采购项目电子交易管理操作指南-供应商》进行投标操作。</w:t>
            </w:r>
          </w:p>
        </w:tc>
      </w:tr>
      <w:tr w14:paraId="30509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94" w:type="dxa"/>
            <w:tcBorders>
              <w:top w:val="single" w:color="auto" w:sz="4" w:space="0"/>
              <w:left w:val="single" w:color="auto" w:sz="4" w:space="0"/>
              <w:right w:val="single" w:color="auto" w:sz="4" w:space="0"/>
            </w:tcBorders>
            <w:vAlign w:val="center"/>
          </w:tcPr>
          <w:p w14:paraId="29707B65">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304755DD">
            <w:pPr>
              <w:adjustRightInd w:val="0"/>
              <w:snapToGrid w:val="0"/>
              <w:spacing w:before="60" w:beforeLines="25" w:after="60" w:afterLines="25" w:line="300" w:lineRule="exact"/>
              <w:jc w:val="center"/>
              <w:rPr>
                <w:rFonts w:ascii="宋体" w:hAnsi="宋体"/>
                <w:bCs/>
                <w:kern w:val="18"/>
                <w:sz w:val="21"/>
                <w:szCs w:val="21"/>
                <w:highlight w:val="none"/>
              </w:rPr>
            </w:pPr>
            <w:r>
              <w:rPr>
                <w:rFonts w:hint="eastAsia" w:asciiTheme="minorEastAsia" w:hAnsiTheme="minorEastAsia" w:eastAsiaTheme="minorEastAsia"/>
                <w:bCs/>
                <w:kern w:val="15"/>
                <w:sz w:val="21"/>
                <w:szCs w:val="21"/>
                <w:highlight w:val="none"/>
              </w:rPr>
              <w:t>违约责任</w:t>
            </w:r>
          </w:p>
        </w:tc>
        <w:tc>
          <w:tcPr>
            <w:tcW w:w="6468" w:type="dxa"/>
            <w:tcBorders>
              <w:top w:val="single" w:color="auto" w:sz="4" w:space="0"/>
              <w:left w:val="single" w:color="auto" w:sz="4" w:space="0"/>
              <w:bottom w:val="single" w:color="auto" w:sz="4" w:space="0"/>
              <w:right w:val="single" w:color="auto" w:sz="4" w:space="0"/>
            </w:tcBorders>
            <w:vAlign w:val="center"/>
          </w:tcPr>
          <w:p w14:paraId="632607C8">
            <w:pPr>
              <w:spacing w:line="300" w:lineRule="exact"/>
              <w:rPr>
                <w:rFonts w:ascii="宋体" w:hAnsi="宋体"/>
                <w:bCs/>
                <w:kern w:val="15"/>
                <w:sz w:val="21"/>
                <w:szCs w:val="21"/>
                <w:highlight w:val="none"/>
              </w:rPr>
            </w:pPr>
            <w:r>
              <w:rPr>
                <w:rFonts w:hint="eastAsia" w:ascii="宋体" w:hAnsi="宋体"/>
                <w:bCs/>
                <w:kern w:val="15"/>
                <w:sz w:val="21"/>
                <w:szCs w:val="21"/>
                <w:highlight w:val="none"/>
              </w:rPr>
              <w:t>如果供应商投标文件有任何造假，即便不是主要参数，一经发现，取消中标结果，供应商按中标金额10%予以赔偿，以及赔偿采购人测算的所有设备的60天总收入。</w:t>
            </w:r>
          </w:p>
          <w:p w14:paraId="5E44C529">
            <w:pPr>
              <w:spacing w:line="300" w:lineRule="exact"/>
              <w:rPr>
                <w:rFonts w:ascii="宋体" w:hAnsi="宋体" w:eastAsiaTheme="minorEastAsia"/>
                <w:bCs/>
                <w:kern w:val="15"/>
                <w:sz w:val="21"/>
                <w:szCs w:val="21"/>
                <w:highlight w:val="none"/>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投标文件内附由法定代表人或其委托代理人签字并加盖单位公章的书面声明。否则视为无效投标。</w:t>
            </w:r>
          </w:p>
        </w:tc>
      </w:tr>
      <w:tr w14:paraId="0A93D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right w:val="single" w:color="auto" w:sz="4" w:space="0"/>
            </w:tcBorders>
            <w:vAlign w:val="center"/>
          </w:tcPr>
          <w:p w14:paraId="638E30D7">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7F91E0E3">
            <w:pPr>
              <w:adjustRightInd w:val="0"/>
              <w:snapToGrid w:val="0"/>
              <w:spacing w:before="60" w:beforeLines="25" w:after="60" w:afterLines="25" w:line="300" w:lineRule="exact"/>
              <w:jc w:val="center"/>
              <w:rPr>
                <w:rFonts w:asciiTheme="minorEastAsia" w:hAnsiTheme="minorEastAsia" w:eastAsiaTheme="minorEastAsia"/>
                <w:bCs/>
                <w:kern w:val="15"/>
                <w:sz w:val="21"/>
                <w:szCs w:val="21"/>
                <w:highlight w:val="none"/>
              </w:rPr>
            </w:pPr>
            <w:r>
              <w:rPr>
                <w:rFonts w:hint="eastAsia" w:asciiTheme="minorEastAsia" w:hAnsiTheme="minorEastAsia" w:eastAsiaTheme="minorEastAsia"/>
                <w:bCs/>
                <w:kern w:val="15"/>
                <w:sz w:val="21"/>
                <w:szCs w:val="21"/>
                <w:highlight w:val="none"/>
              </w:rPr>
              <w:t>其他要求</w:t>
            </w:r>
          </w:p>
        </w:tc>
        <w:tc>
          <w:tcPr>
            <w:tcW w:w="6468" w:type="dxa"/>
            <w:tcBorders>
              <w:top w:val="single" w:color="auto" w:sz="4" w:space="0"/>
              <w:left w:val="single" w:color="auto" w:sz="4" w:space="0"/>
              <w:bottom w:val="single" w:color="auto" w:sz="4" w:space="0"/>
              <w:right w:val="single" w:color="auto" w:sz="4" w:space="0"/>
            </w:tcBorders>
            <w:vAlign w:val="center"/>
          </w:tcPr>
          <w:p w14:paraId="63C8026C">
            <w:pPr>
              <w:numPr>
                <w:ilvl w:val="0"/>
                <w:numId w:val="0"/>
              </w:numPr>
              <w:spacing w:line="300" w:lineRule="exact"/>
              <w:rPr>
                <w:rFonts w:ascii="宋体" w:hAnsi="宋体"/>
                <w:bCs/>
                <w:kern w:val="15"/>
                <w:sz w:val="21"/>
                <w:szCs w:val="21"/>
                <w:highlight w:val="none"/>
              </w:rPr>
            </w:pPr>
            <w:r>
              <w:rPr>
                <w:rFonts w:ascii="宋体" w:hAnsi="宋体" w:eastAsia="宋体" w:cs="Times New Roman"/>
                <w:bCs/>
                <w:kern w:val="15"/>
                <w:sz w:val="21"/>
                <w:szCs w:val="21"/>
                <w:highlight w:val="none"/>
                <w:lang w:val="en-US" w:eastAsia="zh-CN" w:bidi="ar-SA"/>
              </w:rPr>
              <w:t>1.</w:t>
            </w:r>
            <w:r>
              <w:rPr>
                <w:rFonts w:hint="eastAsia" w:ascii="宋体" w:hAnsi="宋体"/>
                <w:bCs/>
                <w:kern w:val="15"/>
                <w:sz w:val="21"/>
                <w:szCs w:val="21"/>
                <w:highlight w:val="none"/>
              </w:rPr>
              <w:t>采购人可以邀请参加本项目的其他供应商或者第三方专业机构及专家参与验收工作，相关验收意见作为验收的参考材料。</w:t>
            </w:r>
          </w:p>
          <w:p w14:paraId="0AFBF159">
            <w:pPr>
              <w:numPr>
                <w:ilvl w:val="0"/>
                <w:numId w:val="0"/>
              </w:numPr>
              <w:spacing w:line="300" w:lineRule="exact"/>
              <w:rPr>
                <w:rFonts w:ascii="宋体" w:hAnsi="宋体"/>
                <w:bCs/>
                <w:kern w:val="15"/>
                <w:sz w:val="21"/>
                <w:szCs w:val="21"/>
                <w:highlight w:val="none"/>
              </w:rPr>
            </w:pPr>
            <w:r>
              <w:rPr>
                <w:rFonts w:ascii="宋体" w:hAnsi="宋体" w:eastAsia="宋体" w:cs="Times New Roman"/>
                <w:bCs/>
                <w:kern w:val="15"/>
                <w:sz w:val="21"/>
                <w:szCs w:val="21"/>
                <w:highlight w:val="none"/>
                <w:lang w:val="en-US" w:eastAsia="zh-CN" w:bidi="ar-SA"/>
              </w:rPr>
              <w:t>2.</w:t>
            </w:r>
            <w:r>
              <w:rPr>
                <w:rFonts w:hint="eastAsia" w:ascii="宋体" w:hAnsi="宋体"/>
                <w:bCs/>
                <w:kern w:val="15"/>
                <w:sz w:val="21"/>
                <w:szCs w:val="21"/>
                <w:highlight w:val="none"/>
              </w:rPr>
              <w:t>如虚假响应或提供虚假证明材料，采购人及评标委员会有权追究其法律责任，并将违法情况上报主管部门，申请将其失信行为公示于信用中国网站（www.creditchina.gov.cn）和中国政府采购网（www.ccgp.gov.cn）)。</w:t>
            </w:r>
            <w:r>
              <w:rPr>
                <w:rFonts w:hint="eastAsia" w:ascii="宋体" w:hAnsi="宋体"/>
                <w:bCs/>
                <w:kern w:val="15"/>
                <w:sz w:val="21"/>
                <w:szCs w:val="21"/>
                <w:highlight w:val="none"/>
                <w:lang w:val="en-US" w:eastAsia="zh-CN"/>
              </w:rPr>
              <w:t>响应文件</w:t>
            </w:r>
            <w:r>
              <w:rPr>
                <w:rFonts w:hint="eastAsia" w:ascii="宋体" w:hAnsi="宋体"/>
                <w:bCs/>
                <w:kern w:val="15"/>
                <w:sz w:val="21"/>
                <w:szCs w:val="21"/>
                <w:highlight w:val="none"/>
              </w:rPr>
              <w:t>造假造成投诉质疑的，导致项目重新招标的，应赔偿采购人及代理机构成交金额的 10%。</w:t>
            </w:r>
          </w:p>
        </w:tc>
      </w:tr>
      <w:tr w14:paraId="026C0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right w:val="single" w:color="auto" w:sz="4" w:space="0"/>
            </w:tcBorders>
            <w:vAlign w:val="center"/>
          </w:tcPr>
          <w:p w14:paraId="534C2273">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3F34578B">
            <w:pPr>
              <w:adjustRightInd w:val="0"/>
              <w:snapToGrid w:val="0"/>
              <w:spacing w:before="60" w:beforeLines="25" w:after="60" w:afterLines="25" w:line="300" w:lineRule="exact"/>
              <w:jc w:val="center"/>
              <w:rPr>
                <w:rFonts w:hint="eastAsia" w:asciiTheme="minorEastAsia" w:hAnsiTheme="minorEastAsia" w:eastAsiaTheme="minorEastAsia"/>
                <w:bCs/>
                <w:kern w:val="15"/>
                <w:sz w:val="21"/>
                <w:szCs w:val="21"/>
                <w:highlight w:val="none"/>
                <w:lang w:val="en-US" w:eastAsia="zh-CN"/>
              </w:rPr>
            </w:pPr>
            <w:r>
              <w:rPr>
                <w:rFonts w:hint="eastAsia" w:asciiTheme="minorEastAsia" w:hAnsiTheme="minorEastAsia" w:eastAsiaTheme="minorEastAsia"/>
                <w:bCs/>
                <w:kern w:val="15"/>
                <w:sz w:val="21"/>
                <w:szCs w:val="21"/>
                <w:highlight w:val="none"/>
                <w:lang w:val="en-US" w:eastAsia="zh-CN"/>
              </w:rPr>
              <w:t>其他</w:t>
            </w:r>
          </w:p>
        </w:tc>
        <w:tc>
          <w:tcPr>
            <w:tcW w:w="6468" w:type="dxa"/>
            <w:tcBorders>
              <w:top w:val="single" w:color="auto" w:sz="4" w:space="0"/>
              <w:left w:val="single" w:color="auto" w:sz="4" w:space="0"/>
              <w:bottom w:val="single" w:color="auto" w:sz="4" w:space="0"/>
              <w:right w:val="single" w:color="auto" w:sz="4" w:space="0"/>
            </w:tcBorders>
            <w:vAlign w:val="center"/>
          </w:tcPr>
          <w:p w14:paraId="7447A8C1">
            <w:pPr>
              <w:numPr>
                <w:ilvl w:val="0"/>
                <w:numId w:val="0"/>
              </w:numPr>
              <w:spacing w:line="300" w:lineRule="exact"/>
              <w:rPr>
                <w:rFonts w:hint="eastAsia" w:ascii="宋体" w:hAnsi="宋体" w:eastAsia="宋体" w:cs="Times New Roman"/>
                <w:bCs/>
                <w:kern w:val="15"/>
                <w:sz w:val="21"/>
                <w:szCs w:val="21"/>
                <w:highlight w:val="none"/>
                <w:lang w:eastAsia="zh-CN"/>
              </w:rPr>
            </w:pPr>
            <w:r>
              <w:rPr>
                <w:rFonts w:hint="eastAsia" w:ascii="宋体" w:hAnsi="宋体" w:eastAsia="宋体" w:cs="Times New Roman"/>
                <w:bCs/>
                <w:kern w:val="15"/>
                <w:sz w:val="21"/>
                <w:szCs w:val="21"/>
                <w:highlight w:val="none"/>
              </w:rPr>
              <w:t>对相同品牌的不同投标人的处理办法</w:t>
            </w:r>
            <w:r>
              <w:rPr>
                <w:rFonts w:hint="eastAsia" w:ascii="宋体" w:hAnsi="宋体" w:eastAsia="宋体" w:cs="Times New Roman"/>
                <w:bCs/>
                <w:kern w:val="15"/>
                <w:sz w:val="21"/>
                <w:szCs w:val="21"/>
                <w:highlight w:val="none"/>
                <w:lang w:eastAsia="zh-CN"/>
              </w:rPr>
              <w:t>：</w:t>
            </w:r>
          </w:p>
          <w:p w14:paraId="75B4278B">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F6754D8">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96D869F">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rPr>
              <w:t>非单一产品采购项目，采购人应当根据采购项目技术构成、产品价格比重等合理确定核心产品，并在招标文件中载明。多家投标人提供的核心产品品牌相同的，按前两款规定处理。</w:t>
            </w:r>
          </w:p>
        </w:tc>
      </w:tr>
      <w:tr w14:paraId="2A8B1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right w:val="single" w:color="auto" w:sz="4" w:space="0"/>
            </w:tcBorders>
            <w:vAlign w:val="center"/>
          </w:tcPr>
          <w:p w14:paraId="4176EE3E">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0026A0C0">
            <w:pPr>
              <w:adjustRightInd w:val="0"/>
              <w:snapToGrid w:val="0"/>
              <w:spacing w:before="60" w:beforeLines="25" w:after="60" w:afterLines="25" w:line="300" w:lineRule="exact"/>
              <w:jc w:val="center"/>
              <w:rPr>
                <w:rFonts w:hint="eastAsia" w:asciiTheme="minorEastAsia" w:hAnsiTheme="minorEastAsia" w:eastAsiaTheme="minorEastAsia"/>
                <w:bCs/>
                <w:kern w:val="15"/>
                <w:sz w:val="21"/>
                <w:szCs w:val="21"/>
                <w:highlight w:val="none"/>
                <w:lang w:val="en-US" w:eastAsia="zh-CN"/>
              </w:rPr>
            </w:pPr>
            <w:r>
              <w:rPr>
                <w:rFonts w:hint="eastAsia" w:ascii="宋体" w:hAnsi="宋体" w:eastAsia="宋体" w:cs="Times New Roman"/>
                <w:bCs/>
                <w:kern w:val="15"/>
                <w:sz w:val="21"/>
                <w:szCs w:val="21"/>
                <w:highlight w:val="none"/>
                <w:lang w:val="en-US" w:eastAsia="zh-CN"/>
              </w:rPr>
              <w:t>风险控制措施和替代方案</w:t>
            </w:r>
          </w:p>
        </w:tc>
        <w:tc>
          <w:tcPr>
            <w:tcW w:w="6468" w:type="dxa"/>
            <w:tcBorders>
              <w:top w:val="single" w:color="auto" w:sz="4" w:space="0"/>
              <w:left w:val="single" w:color="auto" w:sz="4" w:space="0"/>
              <w:bottom w:val="single" w:color="auto" w:sz="4" w:space="0"/>
              <w:right w:val="single" w:color="auto" w:sz="4" w:space="0"/>
            </w:tcBorders>
            <w:vAlign w:val="center"/>
          </w:tcPr>
          <w:p w14:paraId="39C00E0C">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1）国家政策变化风险的应对措施： 如国家或吉林省残疾人康复政策发生变化， 对项目执行资金、服务内容、服务人数、服务标准等内容按照政策变化进行相应调整。 承接方按照省残联调整后的要求执行。</w:t>
            </w:r>
          </w:p>
          <w:p w14:paraId="4EC3DDC6">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 xml:space="preserve">2）实施环境变化风险的应对措施： 因战争、自然灾害、疫情等不可抗力因素影 响项目执行，双方协商解决，因不可抗力因素影响，对项目结项时间进行顺延。 </w:t>
            </w:r>
          </w:p>
          <w:p w14:paraId="77A455A5">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3）重大技术变化风险的应对措施：若合同履行中出现重大技术升级而导致合同价格上涨，双方可协商处理。</w:t>
            </w:r>
          </w:p>
          <w:p w14:paraId="6B125A98">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 xml:space="preserve">4）预算项目调整风险的应对措施： 因预算项目调整造成的服务内容资金发生重大变化，由省残联请示省财政厅，对发生变化部分资金进行测算，同时调整目标任务。 </w:t>
            </w:r>
          </w:p>
          <w:p w14:paraId="4DE73B6C">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 xml:space="preserve">5）因质疑投诉影响采购进度风险的应对措施： 由于项目受益残疾人身心健康、安全等权益受到损害，造成社会恶劣影晌，剩余尾款30%项目资金不予支付。 </w:t>
            </w:r>
          </w:p>
          <w:p w14:paraId="059AA352">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6）采购失败风险的应对措施：对于采购失败的项目，要总结失败原因，尽快实施重新采购。</w:t>
            </w:r>
          </w:p>
          <w:p w14:paraId="1CABE1C0">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 xml:space="preserve">7）不按规定签订或者履行合同风险的应对措施：严格按照《政府采购需求管理办法》相关规定执行。 。 </w:t>
            </w:r>
          </w:p>
          <w:p w14:paraId="467C78F5">
            <w:pPr>
              <w:numPr>
                <w:ilvl w:val="0"/>
                <w:numId w:val="0"/>
              </w:numPr>
              <w:spacing w:line="300" w:lineRule="exact"/>
              <w:rPr>
                <w:rFonts w:hint="eastAsia" w:ascii="宋体" w:hAnsi="宋体" w:eastAsia="宋体" w:cs="Times New Roman"/>
                <w:bCs/>
                <w:kern w:val="15"/>
                <w:sz w:val="21"/>
                <w:szCs w:val="21"/>
                <w:highlight w:val="none"/>
                <w:lang w:val="en-US" w:eastAsia="zh-CN"/>
              </w:rPr>
            </w:pPr>
            <w:r>
              <w:rPr>
                <w:rFonts w:hint="eastAsia" w:ascii="宋体" w:hAnsi="宋体" w:eastAsia="宋体" w:cs="Times New Roman"/>
                <w:bCs/>
                <w:kern w:val="15"/>
                <w:sz w:val="21"/>
                <w:szCs w:val="21"/>
                <w:highlight w:val="none"/>
                <w:lang w:val="en-US" w:eastAsia="zh-CN"/>
              </w:rPr>
              <w:t>8）出现损害国家利益和社会公共利益情形风险的应对措施：出现上述行为，立即终止合同，并追回违规所得，并按照国家法律法规的有关规定，追求相关机构和人员的法律责任。</w:t>
            </w:r>
          </w:p>
          <w:p w14:paraId="43A2A79E">
            <w:pPr>
              <w:rPr>
                <w:rFonts w:hint="eastAsia" w:ascii="宋体" w:hAnsi="宋体" w:eastAsia="宋体" w:cs="Times New Roman"/>
                <w:bCs/>
                <w:kern w:val="15"/>
                <w:sz w:val="21"/>
                <w:szCs w:val="21"/>
                <w:highlight w:val="none"/>
                <w:lang w:val="en-US" w:eastAsia="zh-CN"/>
              </w:rPr>
            </w:pPr>
            <w:r>
              <w:rPr>
                <w:rFonts w:hint="eastAsia" w:ascii="宋体" w:hAnsi="宋体" w:eastAsia="宋体" w:cs="Times New Roman"/>
                <w:bCs/>
                <w:kern w:val="15"/>
                <w:sz w:val="21"/>
                <w:szCs w:val="21"/>
                <w:highlight w:val="none"/>
                <w:lang w:val="en-US" w:eastAsia="zh-CN"/>
              </w:rPr>
              <w:t xml:space="preserve">9）其他采购和合同履行过程的风险及应对措施： 无。 </w:t>
            </w:r>
          </w:p>
        </w:tc>
      </w:tr>
      <w:tr w14:paraId="0444F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94" w:type="dxa"/>
            <w:tcBorders>
              <w:top w:val="single" w:color="auto" w:sz="4" w:space="0"/>
              <w:left w:val="single" w:color="auto" w:sz="4" w:space="0"/>
              <w:right w:val="single" w:color="auto" w:sz="4" w:space="0"/>
            </w:tcBorders>
            <w:vAlign w:val="center"/>
          </w:tcPr>
          <w:p w14:paraId="1A4DDC3E">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75DF32A6">
            <w:pPr>
              <w:spacing w:line="300" w:lineRule="exact"/>
              <w:jc w:val="center"/>
              <w:rPr>
                <w:rFonts w:hint="eastAsia" w:asciiTheme="minorEastAsia" w:hAnsiTheme="minorEastAsia" w:eastAsiaTheme="minorEastAsia"/>
                <w:bCs/>
                <w:kern w:val="15"/>
                <w:sz w:val="21"/>
                <w:szCs w:val="21"/>
                <w:highlight w:val="none"/>
                <w:lang w:val="en-US" w:eastAsia="zh-CN"/>
              </w:rPr>
            </w:pPr>
            <w:r>
              <w:rPr>
                <w:rFonts w:hint="eastAsia" w:asciiTheme="minorEastAsia" w:hAnsiTheme="minorEastAsia" w:eastAsiaTheme="minorEastAsia"/>
                <w:color w:val="000000" w:themeColor="text1"/>
                <w:sz w:val="21"/>
                <w:szCs w:val="21"/>
                <w:highlight w:val="none"/>
                <w14:textFill>
                  <w14:solidFill>
                    <w14:schemeClr w14:val="tx1"/>
                  </w14:solidFill>
                </w14:textFill>
              </w:rPr>
              <w:t>接收质疑函的方式</w:t>
            </w:r>
          </w:p>
        </w:tc>
        <w:tc>
          <w:tcPr>
            <w:tcW w:w="6468" w:type="dxa"/>
            <w:tcBorders>
              <w:top w:val="single" w:color="auto" w:sz="4" w:space="0"/>
              <w:left w:val="single" w:color="auto" w:sz="4" w:space="0"/>
              <w:bottom w:val="single" w:color="auto" w:sz="4" w:space="0"/>
              <w:right w:val="single" w:color="auto" w:sz="4" w:space="0"/>
            </w:tcBorders>
            <w:vAlign w:val="center"/>
          </w:tcPr>
          <w:p w14:paraId="69CB3EE5">
            <w:pPr>
              <w:numPr>
                <w:ilvl w:val="0"/>
                <w:numId w:val="0"/>
              </w:numPr>
              <w:spacing w:line="300" w:lineRule="exact"/>
              <w:rPr>
                <w:rFonts w:hint="eastAsia" w:ascii="宋体" w:hAnsi="宋体" w:eastAsia="宋体" w:cs="Times New Roman"/>
                <w:bCs/>
                <w:kern w:val="15"/>
                <w:sz w:val="21"/>
                <w:szCs w:val="21"/>
                <w:highlight w:val="none"/>
                <w:lang w:val="en-US" w:eastAsia="zh-CN"/>
              </w:rPr>
            </w:pPr>
          </w:p>
          <w:p w14:paraId="6F3DA0D7">
            <w:pPr>
              <w:numPr>
                <w:ilvl w:val="0"/>
                <w:numId w:val="0"/>
              </w:numPr>
              <w:spacing w:line="300" w:lineRule="exact"/>
              <w:rPr>
                <w:rFonts w:hint="default" w:ascii="宋体" w:hAnsi="宋体" w:cs="Times New Roman"/>
                <w:b/>
                <w:bCs w:val="0"/>
                <w:color w:val="FF0000"/>
                <w:kern w:val="15"/>
                <w:sz w:val="21"/>
                <w:szCs w:val="21"/>
                <w:highlight w:val="none"/>
                <w:lang w:val="en-US" w:eastAsia="zh-CN"/>
              </w:rPr>
            </w:pPr>
            <w:r>
              <w:rPr>
                <w:rFonts w:hint="eastAsia" w:ascii="宋体" w:hAnsi="宋体" w:eastAsia="宋体" w:cs="Times New Roman"/>
                <w:bCs/>
                <w:kern w:val="15"/>
                <w:sz w:val="21"/>
                <w:szCs w:val="21"/>
                <w:highlight w:val="none"/>
                <w:lang w:val="en-US" w:eastAsia="zh-CN"/>
              </w:rPr>
              <w:t>书面方式，符合《政府采购质疑和投诉办法》的规定。</w:t>
            </w:r>
          </w:p>
          <w:p w14:paraId="4BFBD227">
            <w:pPr>
              <w:numPr>
                <w:ilvl w:val="0"/>
                <w:numId w:val="0"/>
              </w:numPr>
              <w:spacing w:line="300" w:lineRule="exact"/>
              <w:rPr>
                <w:rFonts w:hint="default" w:ascii="宋体" w:hAnsi="宋体" w:cs="Times New Roman"/>
                <w:b/>
                <w:bCs w:val="0"/>
                <w:color w:val="FF0000"/>
                <w:kern w:val="15"/>
                <w:sz w:val="21"/>
                <w:szCs w:val="21"/>
                <w:highlight w:val="none"/>
                <w:lang w:val="en-US" w:eastAsia="zh-CN"/>
              </w:rPr>
            </w:pPr>
          </w:p>
        </w:tc>
      </w:tr>
      <w:tr w14:paraId="76758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286" w:type="dxa"/>
            <w:gridSpan w:val="3"/>
            <w:tcBorders>
              <w:top w:val="single" w:color="auto" w:sz="4" w:space="0"/>
              <w:left w:val="single" w:color="auto" w:sz="4" w:space="0"/>
              <w:bottom w:val="single" w:color="auto" w:sz="4" w:space="0"/>
              <w:right w:val="single" w:color="auto" w:sz="4" w:space="0"/>
            </w:tcBorders>
            <w:vAlign w:val="center"/>
          </w:tcPr>
          <w:p w14:paraId="3C65961E">
            <w:pPr>
              <w:spacing w:line="300" w:lineRule="exact"/>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本项目招标公告与招标文件中内容有不符之处，以本招标文件中内容为准。</w:t>
            </w:r>
          </w:p>
        </w:tc>
      </w:tr>
    </w:tbl>
    <w:p w14:paraId="2D545C2D">
      <w:pPr>
        <w:rPr>
          <w:b/>
          <w:color w:val="000000" w:themeColor="text1"/>
          <w:kern w:val="2"/>
          <w:sz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5D1AC1A0">
      <w:pPr>
        <w:pStyle w:val="9"/>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二 供应商须知</w:t>
      </w:r>
      <w:bookmarkEnd w:id="0"/>
    </w:p>
    <w:p w14:paraId="2041566B">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39" w:name="_Toc98580391"/>
      <w:r>
        <w:rPr>
          <w:rFonts w:asciiTheme="minorEastAsia" w:hAnsiTheme="minorEastAsia" w:eastAsiaTheme="minorEastAsia"/>
          <w:color w:val="000000" w:themeColor="text1"/>
          <w:sz w:val="21"/>
          <w:szCs w:val="21"/>
          <w:highlight w:val="none"/>
          <w14:textFill>
            <w14:solidFill>
              <w14:schemeClr w14:val="tx1"/>
            </w14:solidFill>
          </w14:textFill>
        </w:rPr>
        <w:t xml:space="preserve">A </w:t>
      </w:r>
      <w:r>
        <w:rPr>
          <w:rFonts w:hint="eastAsia" w:asciiTheme="minorEastAsia" w:hAnsiTheme="minorEastAsia" w:eastAsiaTheme="minorEastAsia"/>
          <w:color w:val="000000" w:themeColor="text1"/>
          <w:sz w:val="21"/>
          <w:szCs w:val="21"/>
          <w:highlight w:val="none"/>
          <w14:textFill>
            <w14:solidFill>
              <w14:schemeClr w14:val="tx1"/>
            </w14:solidFill>
          </w14:textFill>
        </w:rPr>
        <w:t>说明</w:t>
      </w:r>
      <w:bookmarkEnd w:id="39"/>
    </w:p>
    <w:p w14:paraId="64F2B32C">
      <w:pPr>
        <w:pStyle w:val="4"/>
        <w:spacing w:before="0" w:after="0" w:line="360" w:lineRule="auto"/>
        <w:rPr>
          <w:rFonts w:asciiTheme="minorEastAsia" w:hAnsiTheme="minorEastAsia" w:eastAsiaTheme="minorEastAsia"/>
          <w:b w:val="0"/>
          <w:color w:val="000000" w:themeColor="text1"/>
          <w:spacing w:val="6"/>
          <w:sz w:val="21"/>
          <w:szCs w:val="21"/>
          <w:highlight w:val="none"/>
          <w14:textFill>
            <w14:solidFill>
              <w14:schemeClr w14:val="tx1"/>
            </w14:solidFill>
          </w14:textFill>
        </w:rPr>
      </w:pPr>
      <w:bookmarkStart w:id="40" w:name="_Toc98580392"/>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适用范围</w:t>
      </w:r>
      <w:bookmarkEnd w:id="40"/>
    </w:p>
    <w:p w14:paraId="0AA9BC6C">
      <w:pPr>
        <w:spacing w:line="360" w:lineRule="auto"/>
        <w:ind w:firstLine="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本文件是受</w:t>
      </w:r>
      <w:r>
        <w:rPr>
          <w:rFonts w:hint="eastAsia" w:asciiTheme="minorEastAsia" w:hAnsiTheme="minorEastAsia" w:eastAsiaTheme="minorEastAsia"/>
          <w:color w:val="000000" w:themeColor="text1"/>
          <w:spacing w:val="6"/>
          <w:sz w:val="21"/>
          <w:szCs w:val="21"/>
          <w:highlight w:val="none"/>
          <w14:textFill>
            <w14:solidFill>
              <w14:schemeClr w14:val="tx1"/>
            </w14:solidFill>
          </w14:textFill>
        </w:rPr>
        <w:t>采购人</w:t>
      </w:r>
      <w:r>
        <w:rPr>
          <w:rFonts w:hint="eastAsia" w:asciiTheme="minorEastAsia" w:hAnsiTheme="minorEastAsia" w:eastAsiaTheme="minorEastAsia"/>
          <w:color w:val="000000" w:themeColor="text1"/>
          <w:sz w:val="21"/>
          <w:szCs w:val="21"/>
          <w:highlight w:val="none"/>
          <w14:textFill>
            <w14:solidFill>
              <w14:schemeClr w14:val="tx1"/>
            </w14:solidFill>
          </w14:textFill>
        </w:rPr>
        <w:t>委托</w:t>
      </w:r>
      <w:r>
        <w:rPr>
          <w:rFonts w:hint="eastAsia" w:asciiTheme="minorEastAsia" w:hAnsiTheme="minorEastAsia" w:eastAsiaTheme="minorEastAsia"/>
          <w:color w:val="000000" w:themeColor="text1"/>
          <w:spacing w:val="6"/>
          <w:sz w:val="21"/>
          <w:szCs w:val="21"/>
          <w:highlight w:val="none"/>
          <w14:textFill>
            <w14:solidFill>
              <w14:schemeClr w14:val="tx1"/>
            </w14:solidFill>
          </w14:textFill>
        </w:rPr>
        <w:t>，对采购人</w:t>
      </w:r>
      <w:r>
        <w:rPr>
          <w:rFonts w:hint="eastAsia" w:asciiTheme="minorEastAsia" w:hAnsiTheme="minorEastAsia" w:eastAsiaTheme="minorEastAsia"/>
          <w:color w:val="000000" w:themeColor="text1"/>
          <w:sz w:val="21"/>
          <w:szCs w:val="21"/>
          <w:highlight w:val="none"/>
          <w14:textFill>
            <w14:solidFill>
              <w14:schemeClr w14:val="tx1"/>
            </w14:solidFill>
          </w14:textFill>
        </w:rPr>
        <w:t>委托</w:t>
      </w:r>
      <w:r>
        <w:rPr>
          <w:rFonts w:hint="eastAsia" w:cs="宋体" w:asciiTheme="minorEastAsia" w:hAnsiTheme="minorEastAsia" w:eastAsiaTheme="minorEastAsia"/>
          <w:bCs/>
          <w:color w:val="000000" w:themeColor="text1"/>
          <w:sz w:val="21"/>
          <w:szCs w:val="21"/>
          <w:highlight w:val="none"/>
          <w:lang w:val="zh-CN"/>
          <w14:textFill>
            <w14:solidFill>
              <w14:schemeClr w14:val="tx1"/>
            </w14:solidFill>
          </w14:textFill>
        </w:rPr>
        <w:t>采购项目</w:t>
      </w:r>
      <w:r>
        <w:rPr>
          <w:rFonts w:hint="eastAsia" w:asciiTheme="minorEastAsia" w:hAnsiTheme="minorEastAsia" w:eastAsiaTheme="minorEastAsia"/>
          <w:color w:val="000000" w:themeColor="text1"/>
          <w:spacing w:val="6"/>
          <w:sz w:val="21"/>
          <w:szCs w:val="21"/>
          <w:highlight w:val="none"/>
          <w14:textFill>
            <w14:solidFill>
              <w14:schemeClr w14:val="tx1"/>
            </w14:solidFill>
          </w14:textFill>
        </w:rPr>
        <w:t>的规范性招标</w:t>
      </w:r>
      <w:r>
        <w:rPr>
          <w:rFonts w:hint="eastAsia" w:asciiTheme="minorEastAsia" w:hAnsiTheme="minorEastAsia" w:eastAsiaTheme="minorEastAsia"/>
          <w:color w:val="000000" w:themeColor="text1"/>
          <w:sz w:val="21"/>
          <w:szCs w:val="21"/>
          <w:highlight w:val="none"/>
          <w14:textFill>
            <w14:solidFill>
              <w14:schemeClr w14:val="tx1"/>
            </w14:solidFill>
          </w14:textFill>
        </w:rPr>
        <w:t>文件，适用于本项目采购需求所述的标的采购及服务，是供应商编制投标文件的依据。</w:t>
      </w:r>
    </w:p>
    <w:p w14:paraId="2660B847">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1" w:name="_Toc98580393"/>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法律适用</w:t>
      </w:r>
      <w:bookmarkEnd w:id="41"/>
    </w:p>
    <w:p w14:paraId="11CDB0D1">
      <w:pPr>
        <w:spacing w:line="360" w:lineRule="auto"/>
        <w:ind w:firstLine="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本招标文件及由本次招标产生的合同适用中华人民共和国法律。</w:t>
      </w:r>
    </w:p>
    <w:p w14:paraId="4E7C888C">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2" w:name="_Toc98580394"/>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定义</w:t>
      </w:r>
      <w:bookmarkEnd w:id="42"/>
    </w:p>
    <w:p w14:paraId="32DEBFB0">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“招标机构”系指组织本次招标的代理机构；</w:t>
      </w:r>
    </w:p>
    <w:p w14:paraId="053C5D1A">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“供应商”系指向招标机构提交投标文件的投标商；</w:t>
      </w:r>
    </w:p>
    <w:p w14:paraId="64D437E4">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“买方”系指采购人，合同一方当事人；</w:t>
      </w:r>
    </w:p>
    <w:p w14:paraId="7BFAE150">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“服务”系指招标文件规定须完成的服务和其他的类似义务；</w:t>
      </w:r>
    </w:p>
    <w:p w14:paraId="2418CEAD">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“日”、“天”系指日历日；</w:t>
      </w:r>
    </w:p>
    <w:p w14:paraId="379CF55D">
      <w:pPr>
        <w:pStyle w:val="119"/>
        <w:spacing w:before="0" w:beforeAutospacing="0" w:after="0" w:afterAutospacing="0" w:line="360" w:lineRule="auto"/>
        <w:ind w:firstLine="24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3EC843B2">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3" w:name="_Toc98580395"/>
      <w:r>
        <w:rPr>
          <w:rFonts w:asciiTheme="minorEastAsia" w:hAnsiTheme="minorEastAsia" w:eastAsiaTheme="minorEastAsia"/>
          <w:color w:val="000000" w:themeColor="text1"/>
          <w:sz w:val="21"/>
          <w:szCs w:val="21"/>
          <w:highlight w:val="none"/>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合格的供应商</w:t>
      </w:r>
      <w:bookmarkEnd w:id="43"/>
    </w:p>
    <w:p w14:paraId="51959332">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4.1</w:t>
      </w:r>
      <w:r>
        <w:rPr>
          <w:rFonts w:hint="eastAsia" w:asciiTheme="minorEastAsia" w:hAnsiTheme="minorEastAsia" w:eastAsiaTheme="minorEastAsia"/>
          <w:color w:val="000000" w:themeColor="text1"/>
          <w:sz w:val="21"/>
          <w:szCs w:val="21"/>
          <w:highlight w:val="none"/>
          <w14:textFill>
            <w14:solidFill>
              <w14:schemeClr w14:val="tx1"/>
            </w14:solidFill>
          </w14:textFill>
        </w:rPr>
        <w:t>合格供应商必须符合供应商须知前附表第11项下各项要求，并在投标时提供以下文件，若有遗漏或不符合要求均为资格审查不合格；</w:t>
      </w:r>
    </w:p>
    <w:p w14:paraId="3169079C">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4.2</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79B9043B">
      <w:pPr>
        <w:spacing w:line="360" w:lineRule="auto"/>
        <w:jc w:val="both"/>
        <w:rPr>
          <w:rFonts w:asciiTheme="minorEastAsia" w:hAnsiTheme="minorEastAsia" w:eastAsiaTheme="minorEastAsia"/>
          <w:b/>
          <w:color w:val="000000" w:themeColor="text1"/>
          <w:sz w:val="21"/>
          <w:szCs w:val="21"/>
          <w:highlight w:val="none"/>
          <w14:textFill>
            <w14:solidFill>
              <w14:schemeClr w14:val="tx1"/>
            </w14:solidFill>
          </w14:textFill>
        </w:rPr>
      </w:pPr>
      <w:bookmarkStart w:id="44" w:name="_Toc98580402"/>
      <w:r>
        <w:rPr>
          <w:rFonts w:hint="eastAsia" w:asciiTheme="minorEastAsia" w:hAnsiTheme="minorEastAsia" w:eastAsiaTheme="minorEastAsia"/>
          <w:b/>
          <w:color w:val="000000" w:themeColor="text1"/>
          <w:sz w:val="21"/>
          <w:szCs w:val="21"/>
          <w:highlight w:val="none"/>
          <w14:textFill>
            <w14:solidFill>
              <w14:schemeClr w14:val="tx1"/>
            </w14:solidFill>
          </w14:textFill>
        </w:rPr>
        <w:t>5．投标费用</w:t>
      </w:r>
    </w:p>
    <w:p w14:paraId="65320217">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供应商应承担其在投标准备、编制、递交投标文件和签订合同协议书的整个过程中发生的一切费用而不论其投标结果如何。</w:t>
      </w:r>
    </w:p>
    <w:p w14:paraId="5E1E3A46">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45" w:name="_Toc98580396"/>
      <w:r>
        <w:rPr>
          <w:rFonts w:asciiTheme="minorEastAsia" w:hAnsiTheme="minorEastAsia" w:eastAsiaTheme="minorEastAsia"/>
          <w:color w:val="000000" w:themeColor="text1"/>
          <w:sz w:val="21"/>
          <w:szCs w:val="21"/>
          <w:highlight w:val="none"/>
          <w14:textFill>
            <w14:solidFill>
              <w14:schemeClr w14:val="tx1"/>
            </w14:solidFill>
          </w14:textFill>
        </w:rPr>
        <w:t>B.</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招标文件说明</w:t>
      </w:r>
      <w:bookmarkEnd w:id="45"/>
    </w:p>
    <w:p w14:paraId="27314AB5">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6" w:name="_Toc98580397"/>
      <w:r>
        <w:rPr>
          <w:rFonts w:asciiTheme="minorEastAsia" w:hAnsiTheme="minorEastAsia" w:eastAsia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w:t>
      </w:r>
      <w:bookmarkEnd w:id="46"/>
    </w:p>
    <w:p w14:paraId="7CB1E23C">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招标文件用以阐明所需货物及服务、招标投标程序和投标文件格式。招标文件由以下部分组成：</w:t>
      </w:r>
    </w:p>
    <w:p w14:paraId="79C0C9BD">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bookmarkStart w:id="47" w:name="_Toc98580398"/>
      <w:r>
        <w:rPr>
          <w:rFonts w:hint="eastAsia" w:asciiTheme="minorEastAsia" w:hAnsiTheme="minorEastAsia" w:eastAsiaTheme="minorEastAsia"/>
          <w:color w:val="000000" w:themeColor="text1"/>
          <w:sz w:val="21"/>
          <w:szCs w:val="21"/>
          <w:highlight w:val="none"/>
          <w14:textFill>
            <w14:solidFill>
              <w14:schemeClr w14:val="tx1"/>
            </w14:solidFill>
          </w14:textFill>
        </w:rPr>
        <w:t>第一部分   招标公告</w:t>
      </w:r>
    </w:p>
    <w:p w14:paraId="0AACE517">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第二部分   供应商须知</w:t>
      </w:r>
    </w:p>
    <w:p w14:paraId="7660EE75">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第三部分   评标办法</w:t>
      </w:r>
    </w:p>
    <w:p w14:paraId="4F82B663">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第四部分   采购需求</w:t>
      </w:r>
    </w:p>
    <w:p w14:paraId="0AC5C6A5">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第五部分   合同条款</w:t>
      </w:r>
    </w:p>
    <w:p w14:paraId="5258704F">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第六部分   投标文件格式</w:t>
      </w:r>
    </w:p>
    <w:p w14:paraId="291A1D84">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招标文件的澄清</w:t>
      </w:r>
      <w:bookmarkEnd w:id="47"/>
    </w:p>
    <w:p w14:paraId="746DF66B">
      <w:pPr>
        <w:spacing w:line="360" w:lineRule="auto"/>
        <w:ind w:firstLine="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供应商应仔细阅读和检查招标文件的全部内容。如发现缺页或附件不全，应及时向采购人提出，以便补齐。如有疑问，应按供应商须知前附表规定的时间和形式将提出，要求采购人对招标文件予以澄清。</w:t>
      </w:r>
    </w:p>
    <w:p w14:paraId="393E62FB">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8" w:name="_Toc98580399"/>
      <w:r>
        <w:rPr>
          <w:rFonts w:asciiTheme="minorEastAsia" w:hAnsiTheme="minorEastAsia" w:eastAsiaTheme="minorEastAsia"/>
          <w:color w:val="000000" w:themeColor="text1"/>
          <w:sz w:val="21"/>
          <w:szCs w:val="21"/>
          <w:highlight w:val="none"/>
          <w14:textFill>
            <w14:solidFill>
              <w14:schemeClr w14:val="tx1"/>
            </w14:solidFill>
          </w14:textFill>
        </w:rPr>
        <w:t>8.</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招标文件的修改</w:t>
      </w:r>
      <w:bookmarkEnd w:id="48"/>
    </w:p>
    <w:p w14:paraId="6E8F4AE0">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8.1</w:t>
      </w:r>
      <w:r>
        <w:rPr>
          <w:rFonts w:hint="eastAsia" w:asciiTheme="minorEastAsia" w:hAnsiTheme="minorEastAsia" w:eastAsiaTheme="minorEastAsia"/>
          <w:color w:val="000000" w:themeColor="text1"/>
          <w:sz w:val="21"/>
          <w:szCs w:val="21"/>
          <w:highlight w:val="none"/>
          <w14:textFill>
            <w14:solidFill>
              <w14:schemeClr w14:val="tx1"/>
            </w14:solidFill>
          </w14:textFill>
        </w:rPr>
        <w:t>在投标截止时间前，招标机构可根据需要和（或）依据供应商要求澄清的问题而修改招标文件，并以书面形式在</w:t>
      </w:r>
      <w:r>
        <w:rPr>
          <w:rFonts w:hint="eastAsia" w:asciiTheme="minorEastAsia" w:hAnsiTheme="minorEastAsia" w:eastAsiaTheme="minorEastAsia"/>
          <w:bCs/>
          <w:kern w:val="15"/>
          <w:sz w:val="21"/>
          <w:szCs w:val="21"/>
          <w:highlight w:val="none"/>
        </w:rPr>
        <w:t>政府采购云平台（网址：http:// www.zcygov.cn）上</w:t>
      </w:r>
      <w:r>
        <w:rPr>
          <w:rFonts w:hint="eastAsia" w:asciiTheme="minorEastAsia" w:hAnsiTheme="minorEastAsia" w:eastAsiaTheme="minorEastAsia"/>
          <w:color w:val="000000" w:themeColor="text1"/>
          <w:sz w:val="21"/>
          <w:szCs w:val="21"/>
          <w:highlight w:val="none"/>
          <w14:textFill>
            <w14:solidFill>
              <w14:schemeClr w14:val="tx1"/>
            </w14:solidFill>
          </w14:textFill>
        </w:rPr>
        <w:t>发布；</w:t>
      </w:r>
    </w:p>
    <w:p w14:paraId="31FF1466">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招标文件的修改书将构成招标文件的一部分，对供应商具有同样的约束力。</w:t>
      </w:r>
    </w:p>
    <w:p w14:paraId="1C2D93EA">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8.3</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修改招标文件的时间距投标截止时间不足15 日的，并且修改内容可能影响投标文件编制的，将相应延长投标截止时间</w:t>
      </w:r>
      <w:r>
        <w:rPr>
          <w:rFonts w:hint="eastAsia" w:asciiTheme="minorEastAsia" w:hAnsiTheme="minorEastAsia" w:eastAsiaTheme="minorEastAsia"/>
          <w:color w:val="000000" w:themeColor="text1"/>
          <w:sz w:val="21"/>
          <w:szCs w:val="21"/>
          <w:highlight w:val="none"/>
          <w14:textFill>
            <w14:solidFill>
              <w14:schemeClr w14:val="tx1"/>
            </w14:solidFill>
          </w14:textFill>
        </w:rPr>
        <w:t>，并在政府采购云平台（网址：http:// www.zcygov.cn）上发布。</w:t>
      </w:r>
    </w:p>
    <w:p w14:paraId="07CB5BC6">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49" w:name="_Toc98580400"/>
      <w:r>
        <w:rPr>
          <w:rFonts w:asciiTheme="minorEastAsia" w:hAnsiTheme="minorEastAsia" w:eastAsiaTheme="minorEastAsia"/>
          <w:color w:val="000000" w:themeColor="text1"/>
          <w:sz w:val="21"/>
          <w:szCs w:val="21"/>
          <w:highlight w:val="none"/>
          <w14:textFill>
            <w14:solidFill>
              <w14:schemeClr w14:val="tx1"/>
            </w14:solidFill>
          </w14:textFill>
        </w:rPr>
        <w:t>C</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投标文件的编写</w:t>
      </w:r>
      <w:bookmarkEnd w:id="49"/>
    </w:p>
    <w:p w14:paraId="1D1CA7A0">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0" w:name="_Toc98580401"/>
      <w:r>
        <w:rPr>
          <w:rFonts w:asciiTheme="minorEastAsia" w:hAnsiTheme="minorEastAsia" w:eastAsiaTheme="minorEastAsia"/>
          <w:color w:val="000000" w:themeColor="text1"/>
          <w:sz w:val="21"/>
          <w:szCs w:val="21"/>
          <w:highlight w:val="none"/>
          <w14:textFill>
            <w14:solidFill>
              <w14:schemeClr w14:val="tx1"/>
            </w14:solidFill>
          </w14:textFill>
        </w:rPr>
        <w:t>9.</w:t>
      </w:r>
      <w:r>
        <w:rPr>
          <w:rFonts w:hint="eastAsia" w:asciiTheme="minorEastAsia" w:hAnsiTheme="minorEastAsia" w:eastAsiaTheme="minorEastAsia"/>
          <w:color w:val="000000" w:themeColor="text1"/>
          <w:sz w:val="21"/>
          <w:szCs w:val="21"/>
          <w:highlight w:val="none"/>
          <w14:textFill>
            <w14:solidFill>
              <w14:schemeClr w14:val="tx1"/>
            </w14:solidFill>
          </w14:textFill>
        </w:rPr>
        <w:t>投标语言及计量单位</w:t>
      </w:r>
      <w:bookmarkEnd w:id="50"/>
    </w:p>
    <w:p w14:paraId="1CC4ABA5">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9.1</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投标文件及供应商和招标机构就投标交换的文件和来往信件，以中文书写（专有名词除外）；</w:t>
      </w:r>
    </w:p>
    <w:p w14:paraId="55A81777">
      <w:pPr>
        <w:spacing w:line="360" w:lineRule="auto"/>
        <w:ind w:left="-2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9.2</w:t>
      </w:r>
      <w:r>
        <w:rPr>
          <w:rFonts w:hint="eastAsia" w:asciiTheme="minorEastAsia" w:hAnsiTheme="minorEastAsia" w:eastAsiaTheme="minorEastAsia"/>
          <w:color w:val="000000" w:themeColor="text1"/>
          <w:sz w:val="21"/>
          <w:szCs w:val="21"/>
          <w:highlight w:val="none"/>
          <w14:textFill>
            <w14:solidFill>
              <w14:schemeClr w14:val="tx1"/>
            </w14:solidFill>
          </w14:textFill>
        </w:rPr>
        <w:t>除在招标文件的“技术要求”中另有规定外， 计量单位应使用中华人民共和国法定计量单位（国际单位制和国家选定的其他计量单位）。</w:t>
      </w:r>
    </w:p>
    <w:p w14:paraId="423203F0">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10．投标文件的组成</w:t>
      </w:r>
      <w:bookmarkEnd w:id="44"/>
    </w:p>
    <w:p w14:paraId="3CE40E44">
      <w:pPr>
        <w:spacing w:line="360" w:lineRule="auto"/>
        <w:ind w:left="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详见第六部分：投标文件格式。</w:t>
      </w:r>
    </w:p>
    <w:p w14:paraId="22BEAFF6">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1" w:name="_Toc98580403"/>
      <w:r>
        <w:rPr>
          <w:rFonts w:asciiTheme="minorEastAsia" w:hAnsiTheme="minorEastAsia" w:eastAsiaTheme="minorEastAsia"/>
          <w:color w:val="000000" w:themeColor="text1"/>
          <w:sz w:val="21"/>
          <w:szCs w:val="21"/>
          <w:highlight w:val="none"/>
          <w14:textFill>
            <w14:solidFill>
              <w14:schemeClr w14:val="tx1"/>
            </w14:solidFill>
          </w14:textFill>
        </w:rPr>
        <w:t>11.</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投标文件内容填写说明</w:t>
      </w:r>
      <w:bookmarkEnd w:id="51"/>
    </w:p>
    <w:p w14:paraId="639C769A">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11.1</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供应商应严格按招标文件要求的内容逐项填写编制投标文件，有规定格式的按规定格式填写，无规定格式的由供应商自拟</w:t>
      </w:r>
      <w:r>
        <w:rPr>
          <w:rFonts w:hint="eastAsia" w:asciiTheme="minorEastAsia" w:hAnsiTheme="minorEastAsia" w:eastAsiaTheme="minorEastAsia"/>
          <w:b/>
          <w:color w:val="000000" w:themeColor="text1"/>
          <w:sz w:val="21"/>
          <w:szCs w:val="21"/>
          <w:highlight w:val="none"/>
          <w14:textFill>
            <w14:solidFill>
              <w14:schemeClr w14:val="tx1"/>
            </w14:solidFill>
          </w14:textFill>
        </w:rPr>
        <w:t>。</w:t>
      </w:r>
    </w:p>
    <w:p w14:paraId="2012CE9D">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11.2</w:t>
      </w:r>
      <w:r>
        <w:rPr>
          <w:rFonts w:hint="eastAsia" w:asciiTheme="minorEastAsia" w:hAnsiTheme="minorEastAsia" w:eastAsiaTheme="minorEastAsia"/>
          <w:color w:val="000000" w:themeColor="text1"/>
          <w:sz w:val="21"/>
          <w:szCs w:val="21"/>
          <w:highlight w:val="none"/>
          <w14:textFill>
            <w14:solidFill>
              <w14:schemeClr w14:val="tx1"/>
            </w14:solidFill>
          </w14:textFill>
        </w:rPr>
        <w:t>开标一览表为在开标仪式上唱标的内容，要求按格式填写、统一规范，不得自行增减内容。投标文件不得漏项或虚报，否则将可能导致其投标被拒绝。</w:t>
      </w:r>
    </w:p>
    <w:p w14:paraId="5917CFAB">
      <w:pPr>
        <w:spacing w:line="360" w:lineRule="auto"/>
        <w:ind w:left="-14"/>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11.3 供应商应保证其所提供文件的真实性，并应对招标文件的实质性要求作出完全响应，否则其投标可能被拒绝。</w:t>
      </w:r>
    </w:p>
    <w:p w14:paraId="39F325FF">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11.4供应商视需要自行编制技术文件的补充附件。规格幅面应与正文一致，附于正文之后，与正文页码</w:t>
      </w:r>
      <w:r>
        <w:rPr>
          <w:rFonts w:hint="eastAsia" w:asciiTheme="minorEastAsia" w:hAnsiTheme="minorEastAsia" w:eastAsiaTheme="minorEastAsia"/>
          <w:b/>
          <w:color w:val="000000" w:themeColor="text1"/>
          <w:sz w:val="21"/>
          <w:szCs w:val="21"/>
          <w:highlight w:val="none"/>
          <w14:textFill>
            <w14:solidFill>
              <w14:schemeClr w14:val="tx1"/>
            </w14:solidFill>
          </w14:textFill>
        </w:rPr>
        <w:t>统一编目编码装订</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40F00C11">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2" w:name="_Toc98580404"/>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投标报价</w:t>
      </w:r>
      <w:bookmarkEnd w:id="52"/>
    </w:p>
    <w:p w14:paraId="0DBDC9B6">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12.1 所有投标均以人民币报价；</w:t>
      </w:r>
    </w:p>
    <w:p w14:paraId="7E484B7E">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2供应商应在填写分项报价表时注明各项单价、总价。如果单价与总价有出入，以单价为准。招标机构不接受有任何选择的报价；报价须有法人代表或授权代表签署。</w:t>
      </w:r>
    </w:p>
    <w:p w14:paraId="590DA1B5">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3供应商应按上述</w:t>
      </w: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3条款要求填写投标报价，以供评标委员会比较评价。</w:t>
      </w:r>
    </w:p>
    <w:p w14:paraId="00A5AFE6">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12.5</w:t>
      </w:r>
      <w:r>
        <w:rPr>
          <w:rFonts w:asciiTheme="minorEastAsia" w:hAnsiTheme="minorEastAsia" w:eastAsiaTheme="minorEastAsia"/>
          <w:color w:val="000000" w:themeColor="text1"/>
          <w:sz w:val="21"/>
          <w:szCs w:val="21"/>
          <w:highlight w:val="none"/>
          <w14:textFill>
            <w14:solidFill>
              <w14:schemeClr w14:val="tx1"/>
            </w14:solidFill>
          </w14:textFill>
        </w:rPr>
        <w:t>供应商</w:t>
      </w:r>
      <w:r>
        <w:rPr>
          <w:rFonts w:hint="eastAsia" w:asciiTheme="minorEastAsia" w:hAnsiTheme="minorEastAsia" w:eastAsiaTheme="minorEastAsia"/>
          <w:color w:val="000000" w:themeColor="text1"/>
          <w:sz w:val="21"/>
          <w:szCs w:val="21"/>
          <w:highlight w:val="none"/>
          <w14:textFill>
            <w14:solidFill>
              <w14:schemeClr w14:val="tx1"/>
            </w14:solidFill>
          </w14:textFill>
        </w:rPr>
        <w:t>因承包本项目需支付的一切费用如：制作、拼装、检验、税金、运费、安装费、保险费、调试验收等费用均由供应商承担，并包含在所报的单价或总额价内。</w:t>
      </w:r>
    </w:p>
    <w:p w14:paraId="26E263CC">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bookmarkStart w:id="53" w:name="_Toc98580405"/>
      <w:r>
        <w:rPr>
          <w:rFonts w:asciiTheme="minorEastAsia" w:hAnsiTheme="minorEastAsia" w:eastAsiaTheme="minorEastAsia"/>
          <w:b/>
          <w:color w:val="000000" w:themeColor="text1"/>
          <w:sz w:val="21"/>
          <w:szCs w:val="21"/>
          <w:highlight w:val="none"/>
          <w14:textFill>
            <w14:solidFill>
              <w14:schemeClr w14:val="tx1"/>
            </w14:solidFill>
          </w14:textFill>
        </w:rPr>
        <w:t>13</w:t>
      </w:r>
      <w:r>
        <w:rPr>
          <w:rFonts w:hint="eastAsia" w:asciiTheme="minorEastAsia" w:hAnsiTheme="minorEastAsia" w:eastAsiaTheme="minorEastAsia"/>
          <w:b/>
          <w:color w:val="000000" w:themeColor="text1"/>
          <w:sz w:val="21"/>
          <w:szCs w:val="21"/>
          <w:highlight w:val="none"/>
          <w14:textFill>
            <w14:solidFill>
              <w14:schemeClr w14:val="tx1"/>
            </w14:solidFill>
          </w14:textFill>
        </w:rPr>
        <w:t>.投标保证金</w:t>
      </w:r>
      <w:bookmarkEnd w:id="53"/>
    </w:p>
    <w:p w14:paraId="307B659A">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13.1投标保证金的形式：</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见</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供应商须知前附表。</w:t>
      </w:r>
    </w:p>
    <w:p w14:paraId="50989B7A">
      <w:pPr>
        <w:spacing w:line="360" w:lineRule="auto"/>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13.2投标保证金的金额：见</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供应商须知前附表</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 xml:space="preserve">； </w:t>
      </w:r>
    </w:p>
    <w:p w14:paraId="787B048E">
      <w:pPr>
        <w:spacing w:line="360" w:lineRule="auto"/>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13.3递交方式：见</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供应商须知前附表</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w:t>
      </w:r>
    </w:p>
    <w:p w14:paraId="551DA859">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13.4投标保证金用于保护本次招标免受因供应商不履行投标承诺及合同等行为而引起的风险；</w:t>
      </w:r>
    </w:p>
    <w:p w14:paraId="3FECB69B">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13.5未按13.1和13.2条款要求提交投标保证金的投标将被视为投标无效；</w:t>
      </w:r>
    </w:p>
    <w:p w14:paraId="3C9AD9B3">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13.6 发生下列情况之一，投标保证金将被没收：</w:t>
      </w:r>
    </w:p>
    <w:p w14:paraId="3B6FB8A1">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（1）开标后在投标有效期间，供应商撤回其投标文件；</w:t>
      </w:r>
    </w:p>
    <w:p w14:paraId="7D441F75">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（2）中标人不按本须知第26条规定签约；</w:t>
      </w:r>
    </w:p>
    <w:p w14:paraId="46C218EC">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（3）中标人不按本须知第28条规定缴付中标服务费。</w:t>
      </w:r>
    </w:p>
    <w:p w14:paraId="73C7C1A9">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4" w:name="_Toc98580406"/>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投标有效期</w:t>
      </w:r>
      <w:bookmarkEnd w:id="54"/>
    </w:p>
    <w:p w14:paraId="621B03E8">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14</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从开标之日起，投标有效期为90天。不能满足投标有效期的投标，将被拒绝；</w:t>
      </w:r>
    </w:p>
    <w:p w14:paraId="4716EFBD">
      <w:pPr>
        <w:spacing w:line="360" w:lineRule="auto"/>
        <w:ind w:left="464" w:hanging="464" w:hangingChars="22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特殊情况下，招标机构可于投标有效期满之前要求供应商延长投标有效期，这种要求和答复都应以书面的形式进行。供应商可以拒绝接受延期要求。同意延长有效期的供应商不能修改投标文件。</w:t>
      </w:r>
    </w:p>
    <w:p w14:paraId="0BD9D2CC">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5" w:name="_Toc98580407"/>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投标文件的签署及规定</w:t>
      </w:r>
      <w:bookmarkEnd w:id="55"/>
    </w:p>
    <w:p w14:paraId="2575E71E">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组成投标文件的各项资料均应遵守本须知第10条中所规定的内容。</w:t>
      </w:r>
    </w:p>
    <w:p w14:paraId="74D3E7BD">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供应商应填写单位全称，同时加盖印章。</w:t>
      </w:r>
    </w:p>
    <w:p w14:paraId="2885054A">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投标文件必须由法人代表或法人授权代表签署。</w:t>
      </w:r>
    </w:p>
    <w:p w14:paraId="2A1A69E6">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投标文件的正本必须用不退色的墨水填写或打印，注明“正本”字样。</w:t>
      </w:r>
    </w:p>
    <w:p w14:paraId="494C82CF">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投标文件不得涂改和增删，如有修改错漏处，必须由同一签署人签字或盖章。</w:t>
      </w:r>
    </w:p>
    <w:p w14:paraId="3CA220B7">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投标文件因字迹潦草或表达不清所引起的后果由供应商负责。</w:t>
      </w:r>
    </w:p>
    <w:p w14:paraId="4FB5CFB3">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招标机构概不接受以电话、传真形式的投标。</w:t>
      </w:r>
    </w:p>
    <w:p w14:paraId="79BECBD5">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56" w:name="_Toc98580408"/>
      <w:r>
        <w:rPr>
          <w:rFonts w:asciiTheme="minorEastAsia" w:hAnsiTheme="minorEastAsia" w:eastAsiaTheme="minorEastAsia"/>
          <w:color w:val="000000" w:themeColor="text1"/>
          <w:sz w:val="21"/>
          <w:szCs w:val="21"/>
          <w:highlight w:val="none"/>
          <w14:textFill>
            <w14:solidFill>
              <w14:schemeClr w14:val="tx1"/>
            </w14:solidFill>
          </w14:textFill>
        </w:rPr>
        <w:t>D</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投标文件的递交</w:t>
      </w:r>
      <w:bookmarkEnd w:id="56"/>
    </w:p>
    <w:p w14:paraId="1A9C5A1A">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7" w:name="_Toc98580409"/>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6</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投标文件的密封和标记</w:t>
      </w:r>
      <w:bookmarkEnd w:id="57"/>
    </w:p>
    <w:p w14:paraId="12F3223D">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6</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纸质版投标</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文件</w:t>
      </w:r>
      <w:r>
        <w:rPr>
          <w:rFonts w:hint="eastAsia" w:asciiTheme="minorEastAsia" w:hAnsiTheme="minorEastAsia" w:eastAsiaTheme="minorEastAsia"/>
          <w:color w:val="000000" w:themeColor="text1"/>
          <w:sz w:val="21"/>
          <w:szCs w:val="21"/>
          <w:highlight w:val="none"/>
          <w14:textFill>
            <w14:solidFill>
              <w14:schemeClr w14:val="tx1"/>
            </w14:solidFill>
          </w14:textFill>
        </w:rPr>
        <w:t>在中标公示结束后，送至采购代理机构。</w:t>
      </w:r>
    </w:p>
    <w:p w14:paraId="7667A46F">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bookmarkStart w:id="58" w:name="_Toc98580410"/>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6</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中标成交</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供应商应将开标一览表单独</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打印盖章递交</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55E422B4">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6</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招标机构对投标文件的误投或未投标前提前拆封概不负责。</w:t>
      </w:r>
    </w:p>
    <w:p w14:paraId="2633C180">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递交投标文件的截止时间</w:t>
      </w:r>
      <w:bookmarkEnd w:id="58"/>
    </w:p>
    <w:p w14:paraId="461AB245">
      <w:pPr>
        <w:spacing w:line="360" w:lineRule="auto"/>
        <w:ind w:left="451" w:hanging="451" w:hangingChars="215"/>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所有投标文件不论是通过专人或邮寄递交，都必须按照招标机构在投标邀请中规定的投标截止时间之前送至投标地点。</w:t>
      </w:r>
    </w:p>
    <w:p w14:paraId="3596417B">
      <w:pPr>
        <w:spacing w:line="360" w:lineRule="auto"/>
        <w:ind w:left="441" w:hanging="441" w:hangingChars="21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17.2 招标机构推迟投标截止时间时，应以书面的形式，通知所有供应商。在这种情况下，招标机构和供应商的权利和义务将受到新的截止期的约束。</w:t>
      </w:r>
    </w:p>
    <w:p w14:paraId="79FD0D1F">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招标机构对投标文件在邮寄过程中的遗失或损坏不负责任。</w:t>
      </w:r>
    </w:p>
    <w:p w14:paraId="72CE5D6C">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 xml:space="preserve">.4 </w:t>
      </w:r>
      <w:r>
        <w:rPr>
          <w:rFonts w:hint="eastAsia" w:asciiTheme="minorEastAsia" w:hAnsiTheme="minorEastAsia" w:eastAsiaTheme="minorEastAsia"/>
          <w:color w:val="000000" w:themeColor="text1"/>
          <w:sz w:val="21"/>
          <w:szCs w:val="21"/>
          <w:highlight w:val="none"/>
          <w14:textFill>
            <w14:solidFill>
              <w14:schemeClr w14:val="tx1"/>
            </w14:solidFill>
          </w14:textFill>
        </w:rPr>
        <w:t>在投标截止时间以后送达的投标文件，招标机构拒绝接收。</w:t>
      </w:r>
    </w:p>
    <w:p w14:paraId="11F97583">
      <w:pPr>
        <w:spacing w:line="360" w:lineRule="auto"/>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18.投标文件修改和撤消</w:t>
      </w:r>
    </w:p>
    <w:p w14:paraId="654F0055">
      <w:pPr>
        <w:spacing w:line="360" w:lineRule="auto"/>
        <w:ind w:left="514" w:hanging="514" w:hangingChars="245"/>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投标以后，如果供应商提出书面修改和撤标要求，在投标截止时间前送达招标机构者，招标机构可以予以接受。但不退还投标文件。</w:t>
      </w:r>
    </w:p>
    <w:p w14:paraId="4E2D3B7F">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供应商修改投标文件的书面材料，须密封送达招标机构，同时应在封套上标明“修改投标文件</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并注明招标编号</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”和“开标时启封”字样。</w:t>
      </w:r>
    </w:p>
    <w:p w14:paraId="1D409F37">
      <w:pPr>
        <w:spacing w:line="360" w:lineRule="auto"/>
        <w:ind w:left="451" w:hanging="451" w:hangingChars="215"/>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撤消投标应以书面的形式通知招标机构。如采取传真形式撤回投标，随后必须补充有法人代表或授权代表签署的要求撤消投标的正式文件。撤消投标的时间以送达招标机构或邮电到达日戳为准。</w:t>
      </w:r>
    </w:p>
    <w:p w14:paraId="1996D248">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18</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4投标截止时间以后不得修改投标文件；</w:t>
      </w:r>
    </w:p>
    <w:p w14:paraId="72B1E668">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18</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5开标后供应商不得撤回投标。</w:t>
      </w:r>
    </w:p>
    <w:p w14:paraId="66F20A9C">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59" w:name="_Toc98580411"/>
      <w:r>
        <w:rPr>
          <w:rFonts w:hint="eastAsia" w:asciiTheme="minorEastAsia" w:hAnsiTheme="minorEastAsia" w:eastAsiaTheme="minorEastAsia"/>
          <w:color w:val="000000" w:themeColor="text1"/>
          <w:sz w:val="21"/>
          <w:szCs w:val="21"/>
          <w:highlight w:val="none"/>
          <w14:textFill>
            <w14:solidFill>
              <w14:schemeClr w14:val="tx1"/>
            </w14:solidFill>
          </w14:textFill>
        </w:rPr>
        <w:t>E开标及评标</w:t>
      </w:r>
      <w:bookmarkEnd w:id="59"/>
    </w:p>
    <w:p w14:paraId="3F7BB2E2">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0" w:name="_Toc98580412"/>
      <w:r>
        <w:rPr>
          <w:rFonts w:hint="eastAsia" w:asciiTheme="minorEastAsia" w:hAnsiTheme="minorEastAsia" w:eastAsiaTheme="minorEastAsia"/>
          <w:color w:val="000000" w:themeColor="text1"/>
          <w:sz w:val="21"/>
          <w:szCs w:val="21"/>
          <w:highlight w:val="none"/>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开标</w:t>
      </w:r>
      <w:bookmarkEnd w:id="60"/>
    </w:p>
    <w:p w14:paraId="471C6F6D">
      <w:pPr>
        <w:spacing w:line="360" w:lineRule="auto"/>
        <w:ind w:left="477" w:hanging="476" w:hangingChars="227"/>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采购代理机构按招标文件规定的时间、地点主持公开开标。开标仪式由采购代理机构主持，采购人代表及有关工作人员参加。</w:t>
      </w:r>
    </w:p>
    <w:p w14:paraId="524808FB">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供应商派代表参加开标仪式。</w:t>
      </w:r>
    </w:p>
    <w:p w14:paraId="75D6B468">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开标时由供应商查验投标文件密封情况，确认无误后拆封唱标。</w:t>
      </w:r>
    </w:p>
    <w:p w14:paraId="4D6B8261">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.4 </w:t>
      </w:r>
      <w:r>
        <w:rPr>
          <w:rFonts w:hint="eastAsia" w:asciiTheme="minorEastAsia" w:hAnsiTheme="minorEastAsia" w:eastAsiaTheme="minorEastAsia"/>
          <w:color w:val="000000" w:themeColor="text1"/>
          <w:sz w:val="21"/>
          <w:szCs w:val="21"/>
          <w:highlight w:val="none"/>
          <w14:textFill>
            <w14:solidFill>
              <w14:schemeClr w14:val="tx1"/>
            </w14:solidFill>
          </w14:textFill>
        </w:rPr>
        <w:t>采购代理机构在开标仪式上，将公开唱出所有供应商的“开标一览表”内容及投标声明，以及采购机构认为合适的其它内容并记录。</w:t>
      </w:r>
    </w:p>
    <w:p w14:paraId="15602819">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19.5开标前，投标文件有下列情况之一的供应商不予受理：</w:t>
      </w:r>
    </w:p>
    <w:p w14:paraId="2B6AE12D">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19.5.1逾期送达或未送达指定地点的；</w:t>
      </w:r>
    </w:p>
    <w:p w14:paraId="5ECF5609">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19.5.2未按招标文件要求密封的。</w:t>
      </w:r>
    </w:p>
    <w:p w14:paraId="5F49D21B">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19.6开标后,直到宣布授予中标单位合同为止,凡属于审查、澄清、评价和比较投标的所有质料,有关授予合同的信息,都不应该向投标无关的其他人泄露。</w:t>
      </w:r>
    </w:p>
    <w:p w14:paraId="15AB7632">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1" w:name="_Toc98580413"/>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对投标文件的初审</w:t>
      </w:r>
      <w:bookmarkEnd w:id="61"/>
    </w:p>
    <w:p w14:paraId="409064DA">
      <w:pPr>
        <w:spacing w:line="360" w:lineRule="auto"/>
        <w:ind w:left="1"/>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采购人根据招标项目特点组建评标委员会，采购人代表和技术经济及其他有关方面的专家组成。 </w:t>
      </w:r>
    </w:p>
    <w:p w14:paraId="1632E81D">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评标委员会对投标文件进行初审，初审内容为投标文件是否符合招标文件的要求、内容是否完整、价格构成有无计算错误、文件签署是否齐全及验证保证金以及投标文件是否具有实质响应性。</w:t>
      </w:r>
    </w:p>
    <w:p w14:paraId="0BAB0C16">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初审中，对价格的计算错误按下述原则修正：</w:t>
      </w:r>
    </w:p>
    <w:p w14:paraId="44BE73A0">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如果单价乘数量不等于总价，应以单价为准修正总价。</w:t>
      </w:r>
    </w:p>
    <w:p w14:paraId="45C2921E">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如果以文字表示的数据与数字表示的有差别，应以文字为准修正数字。</w:t>
      </w:r>
    </w:p>
    <w:p w14:paraId="4E21EFF5">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供应商不同意以上修正，则其投标将被拒绝。</w:t>
      </w:r>
    </w:p>
    <w:p w14:paraId="74303B71">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与招标文件有重大偏离的投标文件将被视为具有非实质响应性的投标文件而被拒绝。</w:t>
      </w:r>
    </w:p>
    <w:p w14:paraId="455DDCF6">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重大偏离系指投标项目的服务范围、质量、数量及交货期明显不能满足招标文件的要求，或限制了采购人的权力和供应商的义务的规定，而纠正这些偏离将影响到其它提交实质性响应投标的供应商的公平竞争地位。这些偏离不允许在开标后修正。但招标机构将允许修改投标中不构成重大偏离的、微小的、非正规的、不一致或不规则的地方。评委会对投标文件的判定，只依据投标内容本身，不依据开标后的任何外来证明。</w:t>
      </w:r>
    </w:p>
    <w:p w14:paraId="44048913">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20</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4 投标有下列情况之一者，</w:t>
      </w:r>
      <w:r>
        <w:rPr>
          <w:rFonts w:hint="eastAsia" w:asciiTheme="minorEastAsia" w:hAnsiTheme="minorEastAsia" w:eastAsiaTheme="minorEastAsia"/>
          <w:b/>
          <w:color w:val="000000" w:themeColor="text1"/>
          <w:sz w:val="21"/>
          <w:szCs w:val="21"/>
          <w:highlight w:val="none"/>
          <w14:textFill>
            <w14:solidFill>
              <w14:schemeClr w14:val="tx1"/>
            </w14:solidFill>
          </w14:textFill>
        </w:rPr>
        <w:t>将被视为非实质性响应的投标而被拒绝：</w:t>
      </w:r>
    </w:p>
    <w:p w14:paraId="3176D8C2">
      <w:pPr>
        <w:numPr>
          <w:ilvl w:val="0"/>
          <w:numId w:val="4"/>
        </w:numPr>
        <w:tabs>
          <w:tab w:val="left" w:pos="686"/>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资格条件及证明文件不符合招标文件要求的；</w:t>
      </w:r>
    </w:p>
    <w:p w14:paraId="04A213DA">
      <w:pPr>
        <w:numPr>
          <w:ilvl w:val="0"/>
          <w:numId w:val="4"/>
        </w:numPr>
        <w:tabs>
          <w:tab w:val="left" w:pos="686"/>
          <w:tab w:val="clear" w:pos="1080"/>
        </w:tabs>
        <w:spacing w:line="360" w:lineRule="auto"/>
        <w:ind w:left="0"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投标文件无公章或无法定代表人签字，或签字人无法定代表人有效授权书的，或未按要求签字、盖公章的；</w:t>
      </w:r>
    </w:p>
    <w:p w14:paraId="2CACDF1B">
      <w:pPr>
        <w:numPr>
          <w:ilvl w:val="0"/>
          <w:numId w:val="4"/>
        </w:numPr>
        <w:tabs>
          <w:tab w:val="left" w:pos="700"/>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不能满足投标有效期的；</w:t>
      </w:r>
    </w:p>
    <w:p w14:paraId="69BD15D2">
      <w:pPr>
        <w:numPr>
          <w:ilvl w:val="0"/>
          <w:numId w:val="4"/>
        </w:numPr>
        <w:tabs>
          <w:tab w:val="left" w:pos="700"/>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投标明显不符合技术规格、技术标准的要求；</w:t>
      </w:r>
    </w:p>
    <w:p w14:paraId="2691B953">
      <w:pPr>
        <w:numPr>
          <w:ilvl w:val="0"/>
          <w:numId w:val="4"/>
        </w:numPr>
        <w:tabs>
          <w:tab w:val="left" w:pos="714"/>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投标文件附有买方不能接受的条件；</w:t>
      </w:r>
    </w:p>
    <w:p w14:paraId="217CABEA">
      <w:pPr>
        <w:numPr>
          <w:ilvl w:val="0"/>
          <w:numId w:val="4"/>
        </w:numPr>
        <w:tabs>
          <w:tab w:val="left" w:pos="714"/>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投标报价超过采购预算的；</w:t>
      </w:r>
    </w:p>
    <w:p w14:paraId="35E710E8">
      <w:pPr>
        <w:numPr>
          <w:ilvl w:val="0"/>
          <w:numId w:val="4"/>
        </w:numPr>
        <w:tabs>
          <w:tab w:val="left" w:pos="714"/>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未响应招标文件规定的其它实质性条款。</w:t>
      </w:r>
    </w:p>
    <w:p w14:paraId="4CE7C265">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2" w:name="_Toc98580414"/>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投标的澄清</w:t>
      </w:r>
      <w:bookmarkEnd w:id="62"/>
    </w:p>
    <w:p w14:paraId="129E84D4">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招标机构有权就投标文件中含混之处向供应商提出询问或澄清要求，或要求其补充某些材料。供应商必须按照招标机构通知的时间、地点派技术和商务人员进行答疑和澄清。</w:t>
      </w:r>
    </w:p>
    <w:p w14:paraId="2FD58A68">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必要时招标机构可要求供应商就澄清的问题作书面回答，该书面回答应有投标全权代表的签章，并将作为投标内容的一部分。</w:t>
      </w:r>
    </w:p>
    <w:p w14:paraId="5B2D6DA8">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供应商对投标文件的澄清不得改变投标价格及实质内容。</w:t>
      </w:r>
    </w:p>
    <w:p w14:paraId="25A166BC">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3" w:name="_Toc98580415"/>
      <w:bookmarkStart w:id="64" w:name="_Toc98580416"/>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评标</w:t>
      </w:r>
      <w:bookmarkEnd w:id="63"/>
    </w:p>
    <w:p w14:paraId="225DE59B">
      <w:pPr>
        <w:autoSpaceDE w:val="0"/>
        <w:autoSpaceDN w:val="0"/>
        <w:spacing w:line="360" w:lineRule="auto"/>
        <w:textAlignment w:val="bottom"/>
        <w:rPr>
          <w:rFonts w:cs="Arial" w:asciiTheme="minorEastAsia" w:hAnsiTheme="minorEastAsia" w:eastAsiaTheme="minorEastAsia"/>
          <w:bCs/>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bCs/>
          <w:color w:val="000000" w:themeColor="text1"/>
          <w:sz w:val="21"/>
          <w:szCs w:val="21"/>
          <w:highlight w:val="none"/>
          <w14:textFill>
            <w14:solidFill>
              <w14:schemeClr w14:val="tx1"/>
            </w14:solidFill>
          </w14:textFill>
        </w:rPr>
        <w:t xml:space="preserve">22.1 </w:t>
      </w:r>
      <w:r>
        <w:rPr>
          <w:rFonts w:cs="Arial" w:asciiTheme="minorEastAsia" w:hAnsiTheme="minorEastAsia" w:eastAsiaTheme="minorEastAsia"/>
          <w:bCs/>
          <w:color w:val="000000" w:themeColor="text1"/>
          <w:sz w:val="21"/>
          <w:szCs w:val="21"/>
          <w:highlight w:val="none"/>
          <w14:textFill>
            <w14:solidFill>
              <w14:schemeClr w14:val="tx1"/>
            </w14:solidFill>
          </w14:textFill>
        </w:rPr>
        <w:t>原则：对所有供应商的投标评估，都采用相同的程序和标准。</w:t>
      </w:r>
    </w:p>
    <w:p w14:paraId="4A7E79C5">
      <w:pPr>
        <w:autoSpaceDE w:val="0"/>
        <w:autoSpaceDN w:val="0"/>
        <w:spacing w:line="360" w:lineRule="auto"/>
        <w:textAlignment w:val="bottom"/>
        <w:rPr>
          <w:rFonts w:cs="Arial" w:asciiTheme="minorEastAsia" w:hAnsiTheme="minorEastAsia" w:eastAsiaTheme="minorEastAsia"/>
          <w:bCs/>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标准：评标严格按照招标文件的要求和条件进行。</w:t>
      </w:r>
    </w:p>
    <w:p w14:paraId="25D1528A">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评标过程保密</w:t>
      </w:r>
      <w:bookmarkEnd w:id="64"/>
    </w:p>
    <w:p w14:paraId="1CD1074B">
      <w:pPr>
        <w:spacing w:line="360" w:lineRule="auto"/>
        <w:ind w:left="451" w:hanging="451" w:hangingChars="215"/>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有关投标文件的审查、澄清、评估和比较以及有关授予合同意向的一切情况均不得透露给任一供应商或与上述评标工作无关的人员；</w:t>
      </w:r>
    </w:p>
    <w:p w14:paraId="5A57E30D">
      <w:pPr>
        <w:spacing w:line="360" w:lineRule="auto"/>
        <w:ind w:left="451" w:hanging="451" w:hangingChars="215"/>
        <w:rPr>
          <w:rFonts w:asciiTheme="minorEastAsia" w:hAnsiTheme="minorEastAsia" w:eastAsiaTheme="minorEastAsia"/>
          <w:b/>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在评标期间，供应商企图影响采购人的任何活动，将导致投标被拒绝，并承担相应的法律责任。</w:t>
      </w:r>
    </w:p>
    <w:p w14:paraId="2036C4E9">
      <w:pPr>
        <w:spacing w:line="360" w:lineRule="auto"/>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F</w:t>
      </w:r>
      <w:r>
        <w:rPr>
          <w:rFonts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1"/>
          <w:szCs w:val="21"/>
          <w:highlight w:val="none"/>
          <w14:textFill>
            <w14:solidFill>
              <w14:schemeClr w14:val="tx1"/>
            </w14:solidFill>
          </w14:textFill>
        </w:rPr>
        <w:t xml:space="preserve"> 确定中标</w:t>
      </w:r>
    </w:p>
    <w:p w14:paraId="546427A0">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5" w:name="_Toc98580417"/>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最终审查</w:t>
      </w:r>
      <w:bookmarkEnd w:id="65"/>
    </w:p>
    <w:p w14:paraId="234F9810">
      <w:pPr>
        <w:spacing w:line="360" w:lineRule="auto"/>
        <w:ind w:left="504" w:leftChars="14" w:hanging="476" w:hangingChars="22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评标委员会按照招标文件确定的评标标准和方法，对投标文件进行评审，并提出书面评标报告，推荐中标候选人。最终审查的对象是招标项目的合格的供应商。 </w:t>
      </w:r>
    </w:p>
    <w:p w14:paraId="3C55CC21">
      <w:pPr>
        <w:spacing w:line="360" w:lineRule="auto"/>
        <w:ind w:left="477" w:hanging="476" w:hangingChars="227"/>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24.2</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最终审查的内容是对合格的供应商的产品进行产品性能、技术状况、生产条件、产品质量、财务状况、资格、信誉以及采购人认为有必要了解的其他问题作进一步的审查。  </w:t>
      </w:r>
    </w:p>
    <w:p w14:paraId="6F38B26B">
      <w:pPr>
        <w:spacing w:line="360" w:lineRule="auto"/>
        <w:ind w:left="477" w:hanging="476" w:hangingChars="22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3 接受最终审查的合格的供应商，必须如实回答和受理采购人的询问或考查，并提供所需的有关资料。</w:t>
      </w:r>
    </w:p>
    <w:p w14:paraId="15BDF882">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4评标委员会从合格的供应商中评出中标人，并写出完整的评标报告。</w:t>
      </w:r>
    </w:p>
    <w:p w14:paraId="470E92C7">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6" w:name="_Toc98580418"/>
      <w:r>
        <w:rPr>
          <w:rFonts w:hint="eastAsia" w:asciiTheme="minorEastAsia" w:hAnsiTheme="minorEastAsia" w:eastAsiaTheme="minorEastAsia"/>
          <w:color w:val="000000" w:themeColor="text1"/>
          <w:sz w:val="21"/>
          <w:szCs w:val="21"/>
          <w:highlight w:val="none"/>
          <w14:textFill>
            <w14:solidFill>
              <w14:schemeClr w14:val="tx1"/>
            </w14:solidFill>
          </w14:textFill>
        </w:rPr>
        <w:t>25.中标通知</w:t>
      </w:r>
      <w:bookmarkEnd w:id="66"/>
    </w:p>
    <w:p w14:paraId="79E60753">
      <w:pPr>
        <w:pStyle w:val="7"/>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1采购代理机构在中标供应商确定后2个工作日内，在发布招标公告媒体上公告中标结果，同时向中标供应商发出中标通知书，向未中标供应商发出未中标结果通知书，同时将中标结果通知未中标的供应商。</w:t>
      </w:r>
    </w:p>
    <w:p w14:paraId="53DEE176">
      <w:pPr>
        <w:pStyle w:val="7"/>
        <w:spacing w:line="360" w:lineRule="auto"/>
        <w:ind w:left="477" w:hanging="476" w:hangingChars="227"/>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2当中标人按第26条规定与买方签定合同后，采购人将向其他供应商发出招标结果通知，并在5个工作日内退还投标保证金。采购人对未中标的供应商不作落标原因的解释。</w:t>
      </w:r>
    </w:p>
    <w:p w14:paraId="4CD60C32">
      <w:pPr>
        <w:pStyle w:val="7"/>
        <w:spacing w:line="360" w:lineRule="auto"/>
        <w:ind w:firstLine="0"/>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26.签定合同</w:t>
      </w:r>
    </w:p>
    <w:p w14:paraId="2708AC0D">
      <w:pPr>
        <w:pStyle w:val="7"/>
        <w:spacing w:line="360" w:lineRule="auto"/>
        <w:ind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中标人应按中标通知书中规定的时间、地点与买方签定合同，否则按开标后撤回投标处理。</w:t>
      </w:r>
    </w:p>
    <w:p w14:paraId="0A438397">
      <w:pPr>
        <w:pStyle w:val="7"/>
        <w:spacing w:line="360" w:lineRule="auto"/>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供货合同采用工商管理部门制定的标准格式合同。招标文件、中标人的投标文件及评标过程中有关澄清文件均应作为合同组成部分。</w:t>
      </w:r>
    </w:p>
    <w:p w14:paraId="374EAA2B">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27.数量变更</w:t>
      </w:r>
    </w:p>
    <w:p w14:paraId="7AE81475">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采购人有权根据项目实际需要部分变更数量和服务的内容。</w:t>
      </w:r>
    </w:p>
    <w:p w14:paraId="1C7EC94F">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67" w:name="_Toc98580419"/>
      <w:r>
        <w:rPr>
          <w:rFonts w:asciiTheme="minorEastAsia" w:hAnsiTheme="minorEastAsia" w:eastAsiaTheme="minorEastAsia"/>
          <w:color w:val="000000" w:themeColor="text1"/>
          <w:sz w:val="21"/>
          <w:szCs w:val="21"/>
          <w:highlight w:val="none"/>
          <w14:textFill>
            <w14:solidFill>
              <w14:schemeClr w14:val="tx1"/>
            </w14:solidFill>
          </w14:textFill>
        </w:rPr>
        <w:t>G</w:t>
      </w:r>
      <w:r>
        <w:rPr>
          <w:rFonts w:hint="eastAsia" w:asciiTheme="minorEastAsia" w:hAnsiTheme="minorEastAsia" w:eastAsiaTheme="minorEastAsia"/>
          <w:color w:val="000000" w:themeColor="text1"/>
          <w:sz w:val="21"/>
          <w:szCs w:val="21"/>
          <w:highlight w:val="none"/>
          <w14:textFill>
            <w14:solidFill>
              <w14:schemeClr w14:val="tx1"/>
            </w14:solidFill>
          </w14:textFill>
        </w:rPr>
        <w:t>中标服务费</w:t>
      </w:r>
      <w:bookmarkEnd w:id="67"/>
    </w:p>
    <w:p w14:paraId="79D98427">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8" w:name="_Toc98580420"/>
      <w:r>
        <w:rPr>
          <w:rFonts w:hint="eastAsia" w:asciiTheme="minorEastAsia" w:hAnsiTheme="minorEastAsia" w:eastAsiaTheme="minorEastAsia"/>
          <w:color w:val="000000" w:themeColor="text1"/>
          <w:sz w:val="21"/>
          <w:szCs w:val="21"/>
          <w:highlight w:val="none"/>
          <w14:textFill>
            <w14:solidFill>
              <w14:schemeClr w14:val="tx1"/>
            </w14:solidFill>
          </w14:textFill>
        </w:rPr>
        <w:t>28.中标服务费</w:t>
      </w:r>
      <w:bookmarkEnd w:id="68"/>
    </w:p>
    <w:p w14:paraId="3F28AF0E">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28.1中标人须按招标文件中标服务费收取规定的标准向代理机构缴纳中标服务费。</w:t>
      </w:r>
    </w:p>
    <w:p w14:paraId="5F1EC477">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28.2中标人在收到《中标通知书》后向招标机构一次性缴纳中标服务费。</w:t>
      </w:r>
    </w:p>
    <w:p w14:paraId="63DCB663">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28.3 其他费用遵照国家、地方有关规定执行。</w:t>
      </w:r>
    </w:p>
    <w:p w14:paraId="214F7BA2">
      <w:pPr>
        <w:rPr>
          <w:color w:val="000000" w:themeColor="text1"/>
          <w:highlight w:val="none"/>
          <w14:textFill>
            <w14:solidFill>
              <w14:schemeClr w14:val="tx1"/>
            </w14:solidFill>
          </w14:textFill>
        </w:rPr>
      </w:pPr>
      <w:bookmarkStart w:id="69" w:name="_Toc98580422"/>
      <w:bookmarkStart w:id="70" w:name="_Toc24696155"/>
      <w:r>
        <w:rPr>
          <w:rFonts w:asciiTheme="minorEastAsia" w:hAnsiTheme="minorEastAsia" w:eastAsiaTheme="minorEastAsia"/>
          <w:color w:val="000000" w:themeColor="text1"/>
          <w:sz w:val="21"/>
          <w:szCs w:val="21"/>
          <w:highlight w:val="none"/>
          <w14:textFill>
            <w14:solidFill>
              <w14:schemeClr w14:val="tx1"/>
            </w14:solidFill>
          </w14:textFill>
        </w:rPr>
        <w:br w:type="page"/>
      </w:r>
    </w:p>
    <w:p w14:paraId="5C198962">
      <w:pPr>
        <w:pStyle w:val="2"/>
        <w:spacing w:before="0" w:after="0" w:line="360" w:lineRule="auto"/>
        <w:jc w:val="center"/>
        <w:rPr>
          <w:color w:val="000000" w:themeColor="text1"/>
          <w:sz w:val="30"/>
          <w:szCs w:val="30"/>
          <w:highlight w:val="none"/>
          <w14:textFill>
            <w14:solidFill>
              <w14:schemeClr w14:val="tx1"/>
            </w14:solidFill>
          </w14:textFill>
        </w:rPr>
      </w:pPr>
      <w:bookmarkStart w:id="71" w:name="_Toc55578494"/>
      <w:r>
        <w:rPr>
          <w:rFonts w:hint="eastAsia"/>
          <w:color w:val="000000" w:themeColor="text1"/>
          <w:highlight w:val="none"/>
          <w14:textFill>
            <w14:solidFill>
              <w14:schemeClr w14:val="tx1"/>
            </w14:solidFill>
          </w14:textFill>
        </w:rPr>
        <w:t>第三部分  评标办法</w:t>
      </w:r>
      <w:bookmarkEnd w:id="71"/>
    </w:p>
    <w:p w14:paraId="293CC686">
      <w:pPr>
        <w:spacing w:line="440" w:lineRule="exact"/>
        <w:jc w:val="center"/>
        <w:rPr>
          <w:b/>
          <w:bCs/>
          <w:sz w:val="21"/>
          <w:szCs w:val="21"/>
          <w:highlight w:val="none"/>
        </w:rPr>
      </w:pPr>
      <w:r>
        <w:rPr>
          <w:rFonts w:hint="eastAsia"/>
          <w:b/>
          <w:bCs/>
          <w:sz w:val="21"/>
          <w:szCs w:val="21"/>
          <w:highlight w:val="none"/>
        </w:rPr>
        <w:t>评标办法（本项目采用综合评分法）</w:t>
      </w:r>
    </w:p>
    <w:p w14:paraId="43AEEC57">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照国家相关部门的规定，遵循公开、公平、公正和诚实信用的原则，结合本招标项目的实际情况，制定本招标项目评标办法。本次评标采用综合评分法。评标委员会对满足招标文件实质性要求的投标文件，按照本项目规定的评分标准进行打分，并按得分由高到低顺序推荐中标候选人，但投标报价低于其成本的除外。综合评分相等时，以投标报价低的优先；投标报价也相等的，以实施方案得分高的优先；实施方案得分也相等的，由采购人或其授权的评标委员会自行确定。</w:t>
      </w:r>
    </w:p>
    <w:p w14:paraId="15EBC3CC">
      <w:pPr>
        <w:spacing w:line="440" w:lineRule="exact"/>
        <w:ind w:firstLine="420" w:firstLineChars="200"/>
        <w:rPr>
          <w:rFonts w:ascii="宋体" w:hAnsi="宋体"/>
          <w:color w:val="000000" w:themeColor="text1"/>
          <w:sz w:val="21"/>
          <w:szCs w:val="21"/>
          <w:highlight w:val="none"/>
          <w14:textFill>
            <w14:solidFill>
              <w14:schemeClr w14:val="tx1"/>
            </w14:solidFill>
          </w14:textFill>
        </w:rPr>
      </w:pPr>
    </w:p>
    <w:p w14:paraId="426B79BA">
      <w:pPr>
        <w:spacing w:line="44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一、评标程序</w:t>
      </w:r>
    </w:p>
    <w:p w14:paraId="068C401D">
      <w:pPr>
        <w:spacing w:line="440" w:lineRule="exact"/>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（一）组成评标委员会</w:t>
      </w:r>
    </w:p>
    <w:p w14:paraId="62CB98A9">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按照国家有关部委及省、市的相关规定，从专家库中随机抽取技术、经济等方面的专家共</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人组成评标委员会（以下简称“评委会”）。为保证评标工作的顺利进行，推荐一名评委担任评委会主任，负责评标全面工作。</w:t>
      </w:r>
    </w:p>
    <w:p w14:paraId="5F297E75">
      <w:pPr>
        <w:pStyle w:val="85"/>
        <w:spacing w:line="440" w:lineRule="exact"/>
        <w:ind w:firstLine="422" w:firstLineChars="200"/>
        <w:rPr>
          <w:rFonts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（二）评标工作</w:t>
      </w:r>
    </w:p>
    <w:p w14:paraId="2554B406">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评标本着客观公正、公平竞争、择优推荐、规范合法的原则进行。评标工作分为资格审查、符合性审查和详细评审三个步骤。</w:t>
      </w:r>
    </w:p>
    <w:p w14:paraId="7E5F14B8">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1.资格审查。采购</w:t>
      </w:r>
      <w:r>
        <w:rPr>
          <w:rFonts w:hint="eastAsia" w:ascii="宋体" w:hAnsi="宋体"/>
          <w:color w:val="auto"/>
          <w:sz w:val="21"/>
          <w:szCs w:val="21"/>
          <w:highlight w:val="none"/>
        </w:rPr>
        <w:t>人</w:t>
      </w:r>
      <w:r>
        <w:rPr>
          <w:rFonts w:hint="eastAsia" w:ascii="宋体" w:hAnsi="宋体"/>
          <w:color w:val="auto"/>
          <w:sz w:val="21"/>
          <w:szCs w:val="21"/>
          <w:highlight w:val="none"/>
          <w:lang w:eastAsia="zh-CN"/>
        </w:rPr>
        <w:t>或代理机构</w:t>
      </w:r>
      <w:r>
        <w:rPr>
          <w:rFonts w:hint="eastAsia" w:ascii="宋体" w:hAnsi="宋体"/>
          <w:color w:val="auto"/>
          <w:sz w:val="21"/>
          <w:szCs w:val="21"/>
          <w:highlight w:val="none"/>
        </w:rPr>
        <w:t>对</w:t>
      </w:r>
      <w:r>
        <w:rPr>
          <w:rFonts w:hint="eastAsia" w:ascii="宋体" w:hAnsi="宋体"/>
          <w:color w:val="000000" w:themeColor="text1"/>
          <w:sz w:val="21"/>
          <w:szCs w:val="21"/>
          <w:highlight w:val="none"/>
          <w14:textFill>
            <w14:solidFill>
              <w14:schemeClr w14:val="tx1"/>
            </w14:solidFill>
          </w14:textFill>
        </w:rPr>
        <w:t>各供应商的资格进行审查。资格审查合格的供应商方可进入符合性审查。</w:t>
      </w:r>
    </w:p>
    <w:p w14:paraId="683396C2">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2.符合性</w:t>
      </w:r>
      <w:bookmarkStart w:id="72" w:name="_Hlk82693296"/>
      <w:r>
        <w:rPr>
          <w:rFonts w:hint="eastAsia" w:ascii="宋体" w:hAnsi="宋体"/>
          <w:color w:val="000000" w:themeColor="text1"/>
          <w:sz w:val="21"/>
          <w:szCs w:val="21"/>
          <w:highlight w:val="none"/>
          <w14:textFill>
            <w14:solidFill>
              <w14:schemeClr w14:val="tx1"/>
            </w14:solidFill>
          </w14:textFill>
        </w:rPr>
        <w:t>审查</w:t>
      </w:r>
      <w:bookmarkEnd w:id="72"/>
      <w:r>
        <w:rPr>
          <w:rFonts w:hint="eastAsia" w:ascii="宋体" w:hAnsi="宋体"/>
          <w:color w:val="000000" w:themeColor="text1"/>
          <w:sz w:val="21"/>
          <w:szCs w:val="21"/>
          <w:highlight w:val="none"/>
          <w14:textFill>
            <w14:solidFill>
              <w14:schemeClr w14:val="tx1"/>
            </w14:solidFill>
          </w14:textFill>
        </w:rPr>
        <w:t>。评委会对供应商的投标文件进行符合性审查。符合性审查合格的供应商方可进入详细评审。</w:t>
      </w:r>
    </w:p>
    <w:p w14:paraId="04F57C9C">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3.详细评审。详细评审采用综合评分法。评委依据评标办法分别对各供应商的投标文件进行评审、赋分。如果通过资格审查和符合性审查的供应商不足三家，则采购人重新招标。</w:t>
      </w:r>
    </w:p>
    <w:p w14:paraId="08BA2393">
      <w:pPr>
        <w:spacing w:line="440" w:lineRule="exact"/>
        <w:ind w:firstLine="420" w:firstLineChars="200"/>
        <w:rPr>
          <w:rFonts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lang w:val="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zh-CN"/>
          <w14:textFill>
            <w14:solidFill>
              <w14:schemeClr w14:val="tx1"/>
            </w14:solidFill>
          </w14:textFill>
        </w:rPr>
        <w:t>）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供应商必须投标本国产品，投标进口产品的，投标无效。进口产品是指通过中国海关报关验放进入中国境内且产自关境外的产品。</w:t>
      </w:r>
    </w:p>
    <w:p w14:paraId="584CDD8E">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核心产品提供相同品牌、相同型号且通过资格审查、符合性审查的不同投标供应商参加同一合同项下投标的，按一家投标供应商计算，评审后得分最高的同品牌同型号投标供应商获得中标人推荐资格；评审得分相同的，参照第三部分评标办法规定确定一个投标供应商获得中标人推荐资格，其他同品牌同型号投标供应商不作为中标候选人。</w:t>
      </w:r>
    </w:p>
    <w:p w14:paraId="48260B65">
      <w:pPr>
        <w:spacing w:line="44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（四）询标（必要时）</w:t>
      </w:r>
    </w:p>
    <w:p w14:paraId="26E9BCC6">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评标委员会对投标文件需要澄清的问题，采用集体询标方式进行。</w:t>
      </w:r>
    </w:p>
    <w:p w14:paraId="4323E4BC">
      <w:pPr>
        <w:spacing w:line="440" w:lineRule="exact"/>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（五）确定中标人</w:t>
      </w:r>
    </w:p>
    <w:p w14:paraId="71B09E2A">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评标委员会根据综合评审结果，按照综合得分由高到低的顺序，推荐中标候选供应商3名。</w:t>
      </w:r>
    </w:p>
    <w:p w14:paraId="312E8135">
      <w:pPr>
        <w:spacing w:line="440" w:lineRule="exact"/>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（六）评标报告</w:t>
      </w:r>
    </w:p>
    <w:p w14:paraId="47842857">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评标工作结束时，评标委员会将本项目综合评审结果向采购人提交书面评标报告，评标委员会对评标报告内容讨论通过后，在评标报告上签字，对评标结果予以确认。</w:t>
      </w:r>
      <w:r>
        <w:rPr>
          <w:rFonts w:ascii="宋体" w:hAnsi="宋体"/>
          <w:color w:val="000000" w:themeColor="text1"/>
          <w:sz w:val="21"/>
          <w:szCs w:val="21"/>
          <w:highlight w:val="none"/>
          <w14:textFill>
            <w14:solidFill>
              <w14:schemeClr w14:val="tx1"/>
            </w14:solidFill>
          </w14:textFill>
        </w:rPr>
        <w:br w:type="page"/>
      </w:r>
    </w:p>
    <w:p w14:paraId="0309191B">
      <w:pPr>
        <w:spacing w:before="120" w:beforeLines="50" w:after="120" w:afterLines="50" w:line="400" w:lineRule="exact"/>
        <w:jc w:val="center"/>
        <w:outlineLvl w:val="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二、评标办法</w:t>
      </w:r>
    </w:p>
    <w:p w14:paraId="4787B821">
      <w:pP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（一）资格审查</w:t>
      </w:r>
    </w:p>
    <w:p w14:paraId="195C6BDB">
      <w:pPr>
        <w:spacing w:line="400" w:lineRule="exact"/>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资格审查表</w:t>
      </w:r>
    </w:p>
    <w:tbl>
      <w:tblPr>
        <w:tblStyle w:val="43"/>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957"/>
        <w:gridCol w:w="6329"/>
      </w:tblGrid>
      <w:tr w14:paraId="3C90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34" w:type="pct"/>
            <w:vAlign w:val="center"/>
          </w:tcPr>
          <w:p w14:paraId="0337A48F">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序号</w:t>
            </w:r>
          </w:p>
        </w:tc>
        <w:tc>
          <w:tcPr>
            <w:tcW w:w="1078" w:type="pct"/>
            <w:vAlign w:val="center"/>
          </w:tcPr>
          <w:p w14:paraId="6D891F37">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评审因素</w:t>
            </w:r>
          </w:p>
        </w:tc>
        <w:tc>
          <w:tcPr>
            <w:tcW w:w="3487" w:type="pct"/>
            <w:vAlign w:val="center"/>
          </w:tcPr>
          <w:p w14:paraId="399A3EA7">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评审标准</w:t>
            </w:r>
          </w:p>
        </w:tc>
      </w:tr>
      <w:tr w14:paraId="3093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300EA6A0">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1</w:t>
            </w:r>
          </w:p>
        </w:tc>
        <w:tc>
          <w:tcPr>
            <w:tcW w:w="1078" w:type="pct"/>
            <w:vAlign w:val="center"/>
          </w:tcPr>
          <w:p w14:paraId="1EC7CFA8">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企业营业执照</w:t>
            </w:r>
          </w:p>
        </w:tc>
        <w:tc>
          <w:tcPr>
            <w:tcW w:w="3487" w:type="pct"/>
            <w:vAlign w:val="center"/>
          </w:tcPr>
          <w:p w14:paraId="764DC42E">
            <w:pPr>
              <w:spacing w:line="240" w:lineRule="atLeast"/>
              <w:jc w:val="both"/>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供应商须是具有独立的法人资格的企业或</w:t>
            </w:r>
            <w:r>
              <w:rPr>
                <w:rFonts w:hint="eastAsia" w:ascii="宋体" w:hAnsi="宋体"/>
                <w:color w:val="000000" w:themeColor="text1"/>
                <w:sz w:val="21"/>
                <w:szCs w:val="21"/>
                <w:highlight w:val="none"/>
                <w:lang w:eastAsia="zh-CN"/>
                <w14:textFill>
                  <w14:solidFill>
                    <w14:schemeClr w14:val="tx1"/>
                  </w14:solidFill>
                </w14:textFill>
              </w:rPr>
              <w:t>事业单位及</w:t>
            </w:r>
            <w:r>
              <w:rPr>
                <w:rFonts w:hint="eastAsia" w:ascii="宋体" w:hAnsi="宋体"/>
                <w:color w:val="000000" w:themeColor="text1"/>
                <w:sz w:val="21"/>
                <w:szCs w:val="21"/>
                <w:highlight w:val="none"/>
                <w14:textFill>
                  <w14:solidFill>
                    <w14:schemeClr w14:val="tx1"/>
                  </w14:solidFill>
                </w14:textFill>
              </w:rPr>
              <w:t>其他</w:t>
            </w:r>
            <w:r>
              <w:rPr>
                <w:rFonts w:hint="eastAsia" w:ascii="宋体" w:hAnsi="宋体"/>
                <w:color w:val="000000" w:themeColor="text1"/>
                <w:sz w:val="21"/>
                <w:szCs w:val="21"/>
                <w:highlight w:val="none"/>
                <w:lang w:eastAsia="zh-CN"/>
                <w14:textFill>
                  <w14:solidFill>
                    <w14:schemeClr w14:val="tx1"/>
                  </w14:solidFill>
                </w14:textFill>
              </w:rPr>
              <w:t>社会</w:t>
            </w:r>
            <w:r>
              <w:rPr>
                <w:rFonts w:hint="eastAsia" w:ascii="宋体" w:hAnsi="宋体"/>
                <w:color w:val="000000" w:themeColor="text1"/>
                <w:sz w:val="21"/>
                <w:szCs w:val="21"/>
                <w:highlight w:val="none"/>
                <w14:textFill>
                  <w14:solidFill>
                    <w14:schemeClr w14:val="tx1"/>
                  </w14:solidFill>
                </w14:textFill>
              </w:rPr>
              <w:t>组织，具有有效的营业执照</w:t>
            </w:r>
            <w:r>
              <w:rPr>
                <w:rFonts w:hint="eastAsia" w:ascii="宋体" w:hAnsi="宋体"/>
                <w:color w:val="000000" w:themeColor="text1"/>
                <w:sz w:val="21"/>
                <w:szCs w:val="21"/>
                <w:highlight w:val="none"/>
                <w:lang w:eastAsia="zh-CN"/>
                <w14:textFill>
                  <w14:solidFill>
                    <w14:schemeClr w14:val="tx1"/>
                  </w14:solidFill>
                </w14:textFill>
              </w:rPr>
              <w:t>或事业单位法人证书（副本）或</w:t>
            </w:r>
            <w:r>
              <w:rPr>
                <w:rFonts w:hint="eastAsia" w:ascii="宋体" w:hAnsi="宋体"/>
                <w:color w:val="auto"/>
                <w:sz w:val="21"/>
                <w:szCs w:val="21"/>
                <w:highlight w:val="none"/>
                <w:lang w:eastAsia="zh-CN"/>
              </w:rPr>
              <w:t>社会团体法人登记证书（提供扫描件）</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且规范经营5年以上</w:t>
            </w:r>
            <w:r>
              <w:rPr>
                <w:rFonts w:hint="eastAsia" w:ascii="宋体" w:hAnsi="宋体"/>
                <w:color w:val="000000" w:themeColor="text1"/>
                <w:sz w:val="21"/>
                <w:szCs w:val="21"/>
                <w:highlight w:val="none"/>
                <w:lang w:eastAsia="zh-CN"/>
                <w14:textFill>
                  <w14:solidFill>
                    <w14:schemeClr w14:val="tx1"/>
                  </w14:solidFill>
                </w14:textFill>
              </w:rPr>
              <w:t>。</w:t>
            </w:r>
          </w:p>
          <w:p w14:paraId="7558D7E3">
            <w:pPr>
              <w:spacing w:line="240" w:lineRule="atLeast"/>
              <w:jc w:val="both"/>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投标文件内附</w:t>
            </w:r>
            <w:r>
              <w:rPr>
                <w:rFonts w:asciiTheme="minorEastAsia" w:hAnsiTheme="minorEastAsia" w:eastAsiaTheme="minorEastAsia"/>
                <w:b/>
                <w:bCs/>
                <w:color w:val="000000" w:themeColor="text1"/>
                <w:sz w:val="21"/>
                <w:szCs w:val="21"/>
                <w:highlight w:val="none"/>
                <w14:textFill>
                  <w14:solidFill>
                    <w14:schemeClr w14:val="tx1"/>
                  </w14:solidFill>
                </w14:textFill>
              </w:rPr>
              <w:t>营业执照</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副本复印件加盖公章。</w:t>
            </w:r>
          </w:p>
        </w:tc>
      </w:tr>
      <w:tr w14:paraId="3F6E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427D0075">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2</w:t>
            </w:r>
          </w:p>
        </w:tc>
        <w:tc>
          <w:tcPr>
            <w:tcW w:w="1078" w:type="pct"/>
            <w:vAlign w:val="center"/>
          </w:tcPr>
          <w:p w14:paraId="164A641E">
            <w:pPr>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资格要求</w:t>
            </w:r>
          </w:p>
        </w:tc>
        <w:tc>
          <w:tcPr>
            <w:tcW w:w="3487" w:type="pct"/>
            <w:vAlign w:val="center"/>
          </w:tcPr>
          <w:p w14:paraId="61EAFEA2">
            <w:pPr>
              <w:spacing w:line="240" w:lineRule="atLeast"/>
              <w:jc w:val="both"/>
              <w:rPr>
                <w:rFonts w:hint="eastAsia"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在人员、设备、资金等方面具有相应的能力</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具备能够履行合同所必需的专业辅具适配设备</w:t>
            </w:r>
            <w:r>
              <w:rPr>
                <w:rFonts w:hint="eastAsia" w:ascii="宋体" w:hAnsi="宋体"/>
                <w:color w:val="000000" w:themeColor="text1"/>
                <w:sz w:val="21"/>
                <w:szCs w:val="21"/>
                <w:highlight w:val="none"/>
                <w:lang w:eastAsia="zh-CN"/>
                <w14:textFill>
                  <w14:solidFill>
                    <w14:schemeClr w14:val="tx1"/>
                  </w14:solidFill>
                </w14:textFill>
              </w:rPr>
              <w:t>。</w:t>
            </w:r>
          </w:p>
          <w:p w14:paraId="6276056B">
            <w:pPr>
              <w:spacing w:line="240" w:lineRule="atLeast"/>
              <w:jc w:val="both"/>
              <w:rPr>
                <w:rFonts w:hint="eastAsia"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投标文件内附由法定代表人或其委托代理人签字并加盖公章的承诺书。</w:t>
            </w:r>
          </w:p>
        </w:tc>
      </w:tr>
      <w:tr w14:paraId="0D9B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57DCA7FB">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w:t>
            </w:r>
          </w:p>
        </w:tc>
        <w:tc>
          <w:tcPr>
            <w:tcW w:w="1078" w:type="pct"/>
            <w:vAlign w:val="center"/>
          </w:tcPr>
          <w:p w14:paraId="290A11CB">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财务、纳税及社保</w:t>
            </w:r>
          </w:p>
        </w:tc>
        <w:tc>
          <w:tcPr>
            <w:tcW w:w="3487" w:type="pct"/>
            <w:vAlign w:val="center"/>
          </w:tcPr>
          <w:p w14:paraId="4090B924">
            <w:pPr>
              <w:spacing w:line="240" w:lineRule="atLeast"/>
              <w:jc w:val="both"/>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w:t>
            </w:r>
          </w:p>
          <w:p w14:paraId="655940D1">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投标文件内按招标文件格式要求</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附</w:t>
            </w: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反映其财务状况、依法缴纳税收和社会保障资金情况的资格条件承诺函。</w:t>
            </w:r>
          </w:p>
        </w:tc>
      </w:tr>
      <w:tr w14:paraId="2AD9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402BA410">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4</w:t>
            </w:r>
          </w:p>
        </w:tc>
        <w:tc>
          <w:tcPr>
            <w:tcW w:w="1078" w:type="pct"/>
            <w:vAlign w:val="center"/>
          </w:tcPr>
          <w:p w14:paraId="65217EB9">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信誉要求</w:t>
            </w:r>
          </w:p>
        </w:tc>
        <w:tc>
          <w:tcPr>
            <w:tcW w:w="3487" w:type="pct"/>
            <w:vAlign w:val="center"/>
          </w:tcPr>
          <w:p w14:paraId="7726FDD6">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（1）拒绝列入政府取消投标资格记录期间的企业或个人投标；</w:t>
            </w:r>
          </w:p>
          <w:p w14:paraId="57C17F94">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参加政府采购活动前3年内在经营活动中没有重大违法记录；</w:t>
            </w:r>
          </w:p>
          <w:p w14:paraId="5683FE9E">
            <w:pPr>
              <w:spacing w:line="240" w:lineRule="atLeast"/>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w:t>
            </w:r>
          </w:p>
          <w:p w14:paraId="6ADBF30C">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投标文件内（1）、（2）项附由法定代表人或其授权委托人签字并加盖公章的承诺书；（3）项附相关网站截图加盖公章。</w:t>
            </w:r>
          </w:p>
        </w:tc>
      </w:tr>
      <w:tr w14:paraId="6400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654CC6ED">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5</w:t>
            </w:r>
          </w:p>
        </w:tc>
        <w:tc>
          <w:tcPr>
            <w:tcW w:w="1078" w:type="pct"/>
            <w:vAlign w:val="center"/>
          </w:tcPr>
          <w:p w14:paraId="0973409F">
            <w:pPr>
              <w:autoSpaceDE w:val="0"/>
              <w:autoSpaceDN w:val="0"/>
              <w:adjustRightInd w:val="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授权委托书</w:t>
            </w:r>
          </w:p>
        </w:tc>
        <w:tc>
          <w:tcPr>
            <w:tcW w:w="3487" w:type="pct"/>
            <w:vAlign w:val="center"/>
          </w:tcPr>
          <w:p w14:paraId="48DDFF19">
            <w:pPr>
              <w:adjustRightInd w:val="0"/>
              <w:snapToGrid w:val="0"/>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bCs/>
                <w:color w:val="000000" w:themeColor="text1"/>
                <w:sz w:val="21"/>
                <w:szCs w:val="21"/>
                <w:highlight w:val="none"/>
                <w:lang w:val="zh-CN"/>
                <w14:textFill>
                  <w14:solidFill>
                    <w14:schemeClr w14:val="tx1"/>
                  </w14:solidFill>
                </w14:textFill>
              </w:rPr>
              <w:t>投标文件内附由法定代表人及委托代理人签字并加盖公章的授权委托书（非法定代表人亲自参加时提供）。</w:t>
            </w:r>
          </w:p>
        </w:tc>
      </w:tr>
      <w:tr w14:paraId="6057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34" w:type="pct"/>
            <w:vAlign w:val="center"/>
          </w:tcPr>
          <w:p w14:paraId="32158E7E">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6</w:t>
            </w:r>
          </w:p>
        </w:tc>
        <w:tc>
          <w:tcPr>
            <w:tcW w:w="1078" w:type="pct"/>
            <w:vAlign w:val="center"/>
          </w:tcPr>
          <w:p w14:paraId="053B6729">
            <w:pPr>
              <w:autoSpaceDE w:val="0"/>
              <w:autoSpaceDN w:val="0"/>
              <w:adjustRightInd w:val="0"/>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控股、管理关系</w:t>
            </w:r>
          </w:p>
        </w:tc>
        <w:tc>
          <w:tcPr>
            <w:tcW w:w="3487" w:type="pct"/>
            <w:vAlign w:val="center"/>
          </w:tcPr>
          <w:p w14:paraId="73219AC1">
            <w:pPr>
              <w:autoSpaceDE w:val="0"/>
              <w:autoSpaceDN w:val="0"/>
              <w:adjustRightInd w:val="0"/>
              <w:spacing w:line="240" w:lineRule="atLeast"/>
              <w:jc w:val="both"/>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p>
          <w:p w14:paraId="0BB0CFF7">
            <w:pPr>
              <w:autoSpaceDE w:val="0"/>
              <w:autoSpaceDN w:val="0"/>
              <w:adjustRightInd w:val="0"/>
              <w:spacing w:line="240" w:lineRule="atLeast"/>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为采购项目提供整体设计、规范编制或者项目管理、监理、检测等服务的供应商，不得再参加该采购项目的其他采购活动；</w:t>
            </w:r>
          </w:p>
          <w:p w14:paraId="4B2EF870">
            <w:pPr>
              <w:autoSpaceDE w:val="0"/>
              <w:autoSpaceDN w:val="0"/>
              <w:adjustRightInd w:val="0"/>
              <w:spacing w:line="240" w:lineRule="atLeast"/>
              <w:jc w:val="both"/>
              <w:rPr>
                <w:rFonts w:hint="eastAsia" w:asciiTheme="minorEastAsia" w:hAnsiTheme="minorEastAsia" w:eastAsiaTheme="minorEastAsia"/>
                <w:strike w:val="0"/>
                <w:color w:val="000000" w:themeColor="text1"/>
                <w:sz w:val="21"/>
                <w:szCs w:val="21"/>
                <w:highlight w:val="none"/>
                <w14:textFill>
                  <w14:solidFill>
                    <w14:schemeClr w14:val="tx1"/>
                  </w14:solidFill>
                </w14:textFill>
              </w:rPr>
            </w:pPr>
            <w:r>
              <w:rPr>
                <w:rFonts w:hint="eastAsia" w:ascii="宋体" w:hAnsi="宋体" w:eastAsia="宋体" w:cs="Times New Roman"/>
                <w:strike w:val="0"/>
                <w:dstrike w:val="0"/>
                <w:color w:val="000000" w:themeColor="text1"/>
                <w:sz w:val="21"/>
                <w:szCs w:val="21"/>
                <w:highlight w:val="none"/>
                <w:lang w:val="zh-CN"/>
                <w14:textFill>
                  <w14:solidFill>
                    <w14:schemeClr w14:val="tx1"/>
                  </w14:solidFill>
                </w14:textFill>
              </w:rPr>
              <w:t>与采购人存在利害关系可能影响招标公正性的法人、其他组织或者个人，不得参加投标。</w:t>
            </w:r>
          </w:p>
          <w:p w14:paraId="24790C55">
            <w:pPr>
              <w:autoSpaceDE w:val="0"/>
              <w:autoSpaceDN w:val="0"/>
              <w:adjustRightInd w:val="0"/>
              <w:spacing w:line="240" w:lineRule="atLeast"/>
              <w:jc w:val="both"/>
              <w:rPr>
                <w:rFonts w:cs="宋体" w:asciiTheme="minorEastAsia" w:hAnsiTheme="minorEastAsia" w:eastAsia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投标文件内附由法定代表人或其委托代理人签字并加盖公章的承诺书。</w:t>
            </w:r>
          </w:p>
        </w:tc>
      </w:tr>
      <w:tr w14:paraId="4AB3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34" w:type="pct"/>
            <w:vAlign w:val="center"/>
          </w:tcPr>
          <w:p w14:paraId="50621BD5">
            <w:pPr>
              <w:autoSpaceDE w:val="0"/>
              <w:autoSpaceDN w:val="0"/>
              <w:adjustRightInd w:val="0"/>
              <w:jc w:val="cente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7</w:t>
            </w:r>
          </w:p>
        </w:tc>
        <w:tc>
          <w:tcPr>
            <w:tcW w:w="1078" w:type="pct"/>
            <w:vAlign w:val="center"/>
          </w:tcPr>
          <w:p w14:paraId="05656DBC">
            <w:pPr>
              <w:autoSpaceDE w:val="0"/>
              <w:autoSpaceDN w:val="0"/>
              <w:adjustRightInd w:val="0"/>
              <w:spacing w:line="300" w:lineRule="exact"/>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其他</w:t>
            </w:r>
          </w:p>
        </w:tc>
        <w:tc>
          <w:tcPr>
            <w:tcW w:w="3487" w:type="pct"/>
            <w:vAlign w:val="center"/>
          </w:tcPr>
          <w:p w14:paraId="6C7B068C">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（1）不存在国家有关法律法规禁止的情形。</w:t>
            </w:r>
          </w:p>
          <w:p w14:paraId="6D76B809">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（2）</w:t>
            </w:r>
            <w:r>
              <w:rPr>
                <w:rFonts w:hint="eastAsia" w:ascii="宋体" w:hAnsi="宋体"/>
                <w:color w:val="000000" w:themeColor="text1"/>
                <w:sz w:val="21"/>
                <w:szCs w:val="21"/>
                <w:highlight w:val="none"/>
                <w:lang w:val="en-US" w:eastAsia="zh-CN"/>
                <w14:textFill>
                  <w14:solidFill>
                    <w14:schemeClr w14:val="tx1"/>
                  </w14:solidFill>
                </w14:textFill>
              </w:rPr>
              <w:t>具有辅助器具适配流动服务能力，具备入户服务能力；</w:t>
            </w:r>
          </w:p>
          <w:p w14:paraId="7CEA6D84">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在省内有较为完善的分支服务网络；</w:t>
            </w:r>
          </w:p>
          <w:p w14:paraId="14EDB771">
            <w:pPr>
              <w:spacing w:line="240" w:lineRule="auto"/>
              <w:rPr>
                <w:rFonts w:hint="eastAsia" w:ascii="宋体" w:hAnsi="宋体" w:eastAsia="宋体" w:cs="Times New Roman"/>
                <w:color w:val="000000" w:themeColor="text1"/>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（4）</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有专业的辅助器具适配专业技术团队，持有假肢师、矫形器装配师、辅助器具工程师岗位能力资格证的专业技术人员8人以上。</w:t>
            </w:r>
          </w:p>
          <w:p w14:paraId="3F41E7FB">
            <w:pPr>
              <w:autoSpaceDE w:val="0"/>
              <w:autoSpaceDN w:val="0"/>
              <w:adjustRightInd w:val="0"/>
              <w:spacing w:line="240" w:lineRule="auto"/>
              <w:jc w:val="both"/>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（1）、（2）</w:t>
            </w:r>
            <w:r>
              <w:rPr>
                <w:rFonts w:hint="eastAsia" w:asciiTheme="minorEastAsia" w:hAnsiTheme="minorEastAsia" w:eastAsiaTheme="minorEastAsia"/>
                <w:b/>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b/>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项</w:t>
            </w: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由法定代表人或其委托代理人签字并加盖公章的承诺书。</w:t>
            </w:r>
          </w:p>
          <w:p w14:paraId="16EB5567">
            <w:pPr>
              <w:autoSpaceDE w:val="0"/>
              <w:autoSpaceDN w:val="0"/>
              <w:adjustRightInd w:val="0"/>
              <w:spacing w:line="240" w:lineRule="auto"/>
              <w:jc w:val="both"/>
              <w:rPr>
                <w:rFonts w:hint="default" w:asciiTheme="minorEastAsia" w:hAnsiTheme="minorEastAsia" w:eastAsiaTheme="minorEastAsia"/>
                <w:b/>
                <w:bCs/>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w:t>
            </w:r>
            <w:r>
              <w:rPr>
                <w:rFonts w:hint="eastAsia" w:cs="Times New Roman" w:asciiTheme="minorEastAsia" w:hAnsiTheme="minorEastAsia" w:eastAsiaTheme="minorEastAsia"/>
                <w:b/>
                <w:bCs/>
                <w:color w:val="000000" w:themeColor="text1"/>
                <w:sz w:val="21"/>
                <w:szCs w:val="21"/>
                <w:highlight w:val="none"/>
                <w:lang w:val="zh-CN"/>
                <w14:textFill>
                  <w14:solidFill>
                    <w14:schemeClr w14:val="tx1"/>
                  </w14:solidFill>
                </w14:textFill>
              </w:rPr>
              <w:t>附</w:t>
            </w:r>
            <w:r>
              <w:rPr>
                <w:rFonts w:hint="eastAsia" w:cs="Times New Roman" w:asciiTheme="minorEastAsia" w:hAnsiTheme="minorEastAsia" w:eastAsiaTheme="minorEastAsia"/>
                <w:b/>
                <w:bCs/>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项</w:t>
            </w: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相关证书复印件加盖公章</w:t>
            </w:r>
            <w:r>
              <w:rPr>
                <w:rFonts w:hint="eastAsia" w:cs="Times New Roman" w:asciiTheme="minorEastAsia" w:hAnsiTheme="minorEastAsia" w:eastAsiaTheme="minorEastAsia"/>
                <w:b/>
                <w:bCs/>
                <w:color w:val="000000" w:themeColor="text1"/>
                <w:sz w:val="21"/>
                <w:szCs w:val="21"/>
                <w:highlight w:val="none"/>
                <w:lang w:val="en-US" w:eastAsia="zh-CN"/>
                <w14:textFill>
                  <w14:solidFill>
                    <w14:schemeClr w14:val="tx1"/>
                  </w14:solidFill>
                </w14:textFill>
              </w:rPr>
              <w:t>。</w:t>
            </w:r>
          </w:p>
        </w:tc>
      </w:tr>
    </w:tbl>
    <w:p w14:paraId="53E470C8">
      <w:pPr>
        <w:spacing w:line="400" w:lineRule="exact"/>
        <w:rPr>
          <w:rFonts w:hint="eastAsia" w:ascii="宋体" w:hAnsi="宋体" w:cs="宋体"/>
          <w:color w:val="000000" w:themeColor="text1"/>
          <w:sz w:val="21"/>
          <w:szCs w:val="21"/>
          <w:highlight w:val="none"/>
          <w:lang w:val="zh-CN"/>
          <w14:textFill>
            <w14:solidFill>
              <w14:schemeClr w14:val="tx1"/>
            </w14:solidFill>
          </w14:textFill>
        </w:rPr>
      </w:pPr>
    </w:p>
    <w:p w14:paraId="6A808D44">
      <w:pPr>
        <w:spacing w:line="400" w:lineRule="exact"/>
        <w:ind w:firstLine="420" w:firstLineChars="200"/>
        <w:rPr>
          <w:rFonts w:hint="eastAsia" w:ascii="宋体" w:hAnsi="宋体" w:cs="宋体"/>
          <w:color w:val="000000" w:themeColor="text1"/>
          <w:sz w:val="21"/>
          <w:szCs w:val="21"/>
          <w:highlight w:val="none"/>
          <w:lang w:val="zh-CN"/>
          <w14:textFill>
            <w14:solidFill>
              <w14:schemeClr w14:val="tx1"/>
            </w14:solidFill>
          </w14:textFill>
        </w:rPr>
      </w:pPr>
    </w:p>
    <w:p w14:paraId="3942E3E6">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注：</w:t>
      </w:r>
    </w:p>
    <w:p w14:paraId="4795F1DD">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（1）上述内容中有一项不合格，则资格审查不合格，不进入符合性审查、详细评审；</w:t>
      </w:r>
    </w:p>
    <w:p w14:paraId="4A280E5C">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（2）每项审查内容合格打“√”，不合格打“×”。评审结论写“合格”或“不合格”。不合格须注明原因；</w:t>
      </w:r>
    </w:p>
    <w:p w14:paraId="1083A018">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（3）资格审查结束后，合格的供应商进入符合性审查。</w:t>
      </w:r>
    </w:p>
    <w:p w14:paraId="09E5A6B0">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val="zh-CN"/>
          <w14:textFill>
            <w14:solidFill>
              <w14:schemeClr w14:val="tx1"/>
            </w14:solidFill>
          </w14:textFill>
        </w:rPr>
        <w:t>）投标人所提供的所有证件均需在有效期内且注册单位名称与投标人的名称一致，如企业名称发生变更，需提供主管部门出具的变更证明材料。</w:t>
      </w:r>
    </w:p>
    <w:p w14:paraId="21795480">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lang w:val="zh-CN"/>
          <w14:textFill>
            <w14:solidFill>
              <w14:schemeClr w14:val="tx1"/>
            </w14:solidFill>
          </w14:textFill>
        </w:rPr>
        <w:t>）上述内容中如某一证件正在年检或换证，需年检或换证部门出具有效证明方可确认。</w:t>
      </w:r>
    </w:p>
    <w:p w14:paraId="1BB557D7">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p>
    <w:p w14:paraId="7DF50423">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br w:type="page"/>
      </w:r>
    </w:p>
    <w:p w14:paraId="28830CF6">
      <w:pP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（二）符合性审查表</w:t>
      </w:r>
    </w:p>
    <w:p w14:paraId="469983E2">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符合性审查表</w:t>
      </w:r>
    </w:p>
    <w:tbl>
      <w:tblPr>
        <w:tblStyle w:val="4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8359"/>
      </w:tblGrid>
      <w:tr w14:paraId="787E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96" w:type="pct"/>
            <w:vMerge w:val="restart"/>
            <w:vAlign w:val="center"/>
          </w:tcPr>
          <w:p w14:paraId="146B4CBB">
            <w:pPr>
              <w:bidi w:val="0"/>
              <w:jc w:val="both"/>
              <w:rPr>
                <w:highlight w:val="none"/>
                <w:lang w:val="zh-CN"/>
              </w:rPr>
            </w:pPr>
            <w:r>
              <w:rPr>
                <w:rFonts w:hint="eastAsia"/>
                <w:highlight w:val="none"/>
                <w:lang w:val="zh-CN"/>
              </w:rPr>
              <w:t>序号</w:t>
            </w:r>
          </w:p>
        </w:tc>
        <w:tc>
          <w:tcPr>
            <w:tcW w:w="4503" w:type="pct"/>
            <w:vMerge w:val="restart"/>
            <w:vAlign w:val="center"/>
          </w:tcPr>
          <w:p w14:paraId="43410949">
            <w:pPr>
              <w:bidi w:val="0"/>
              <w:jc w:val="center"/>
              <w:rPr>
                <w:highlight w:val="none"/>
                <w:lang w:val="zh-CN"/>
              </w:rPr>
            </w:pPr>
            <w:r>
              <w:rPr>
                <w:rFonts w:hint="eastAsia"/>
                <w:highlight w:val="none"/>
                <w:lang w:val="zh-CN"/>
              </w:rPr>
              <w:t>评审标准</w:t>
            </w:r>
          </w:p>
        </w:tc>
      </w:tr>
      <w:tr w14:paraId="2C03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96" w:type="pct"/>
            <w:vMerge w:val="continue"/>
            <w:vAlign w:val="center"/>
          </w:tcPr>
          <w:p w14:paraId="1BB9BFC8">
            <w:pPr>
              <w:bidi w:val="0"/>
              <w:jc w:val="both"/>
              <w:rPr>
                <w:highlight w:val="none"/>
                <w:lang w:val="zh-CN"/>
              </w:rPr>
            </w:pPr>
          </w:p>
        </w:tc>
        <w:tc>
          <w:tcPr>
            <w:tcW w:w="4503" w:type="pct"/>
            <w:vMerge w:val="continue"/>
            <w:vAlign w:val="center"/>
          </w:tcPr>
          <w:p w14:paraId="2DC43806">
            <w:pPr>
              <w:bidi w:val="0"/>
              <w:jc w:val="both"/>
              <w:rPr>
                <w:highlight w:val="none"/>
                <w:lang w:val="zh-CN"/>
              </w:rPr>
            </w:pPr>
          </w:p>
        </w:tc>
      </w:tr>
      <w:tr w14:paraId="796D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6BA9D69A">
            <w:pPr>
              <w:bidi w:val="0"/>
              <w:jc w:val="both"/>
              <w:rPr>
                <w:highlight w:val="none"/>
              </w:rPr>
            </w:pPr>
            <w:r>
              <w:rPr>
                <w:rFonts w:hint="eastAsia"/>
                <w:highlight w:val="none"/>
              </w:rPr>
              <w:t>1</w:t>
            </w:r>
          </w:p>
        </w:tc>
        <w:tc>
          <w:tcPr>
            <w:tcW w:w="4503" w:type="pct"/>
            <w:vAlign w:val="center"/>
          </w:tcPr>
          <w:p w14:paraId="1889D788">
            <w:pPr>
              <w:bidi w:val="0"/>
              <w:jc w:val="both"/>
              <w:rPr>
                <w:highlight w:val="none"/>
              </w:rPr>
            </w:pPr>
            <w:r>
              <w:rPr>
                <w:rFonts w:hint="eastAsia"/>
                <w:highlight w:val="none"/>
              </w:rPr>
              <w:t>供应商名称与企业法人营业执照名称一致</w:t>
            </w:r>
          </w:p>
        </w:tc>
      </w:tr>
      <w:tr w14:paraId="40BA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65FB3875">
            <w:pPr>
              <w:bidi w:val="0"/>
              <w:jc w:val="both"/>
              <w:rPr>
                <w:highlight w:val="none"/>
              </w:rPr>
            </w:pPr>
            <w:r>
              <w:rPr>
                <w:rFonts w:hint="eastAsia"/>
                <w:highlight w:val="none"/>
              </w:rPr>
              <w:t>2</w:t>
            </w:r>
          </w:p>
        </w:tc>
        <w:tc>
          <w:tcPr>
            <w:tcW w:w="4503" w:type="pct"/>
            <w:tcBorders>
              <w:bottom w:val="single" w:color="auto" w:sz="4" w:space="0"/>
            </w:tcBorders>
            <w:vAlign w:val="center"/>
          </w:tcPr>
          <w:p w14:paraId="2648911A">
            <w:pPr>
              <w:bidi w:val="0"/>
              <w:jc w:val="both"/>
              <w:rPr>
                <w:highlight w:val="none"/>
              </w:rPr>
            </w:pPr>
            <w:r>
              <w:rPr>
                <w:rFonts w:hint="eastAsia"/>
                <w:highlight w:val="none"/>
              </w:rPr>
              <w:t>投标报价不超过预算总金额（最高限价），高于预算总金额（最高限价）的将被否决，按废标处理。</w:t>
            </w:r>
          </w:p>
        </w:tc>
      </w:tr>
      <w:tr w14:paraId="3773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tcBorders>
              <w:bottom w:val="single" w:color="auto" w:sz="4" w:space="0"/>
            </w:tcBorders>
            <w:vAlign w:val="center"/>
          </w:tcPr>
          <w:p w14:paraId="6BE997D3">
            <w:pPr>
              <w:bidi w:val="0"/>
              <w:jc w:val="both"/>
              <w:rPr>
                <w:highlight w:val="none"/>
              </w:rPr>
            </w:pPr>
            <w:r>
              <w:rPr>
                <w:rFonts w:hint="eastAsia"/>
                <w:highlight w:val="none"/>
              </w:rPr>
              <w:t>3</w:t>
            </w:r>
          </w:p>
        </w:tc>
        <w:tc>
          <w:tcPr>
            <w:tcW w:w="4503" w:type="pct"/>
            <w:tcBorders>
              <w:bottom w:val="single" w:color="auto" w:sz="4" w:space="0"/>
            </w:tcBorders>
            <w:shd w:val="clear" w:color="auto" w:fill="auto"/>
            <w:vAlign w:val="center"/>
          </w:tcPr>
          <w:p w14:paraId="10AB88DE">
            <w:pPr>
              <w:bidi w:val="0"/>
              <w:jc w:val="both"/>
              <w:rPr>
                <w:rFonts w:hint="eastAsia"/>
                <w:highlight w:val="none"/>
                <w:lang w:val="en-US" w:eastAsia="zh-CN"/>
              </w:rPr>
            </w:pPr>
            <w:r>
              <w:rPr>
                <w:rFonts w:hint="eastAsia"/>
                <w:highlight w:val="none"/>
              </w:rPr>
              <w:t>未联合体投标，未转包及分包；</w:t>
            </w:r>
          </w:p>
        </w:tc>
      </w:tr>
      <w:tr w14:paraId="743A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4801A73E">
            <w:pPr>
              <w:bidi w:val="0"/>
              <w:jc w:val="both"/>
              <w:rPr>
                <w:highlight w:val="none"/>
              </w:rPr>
            </w:pPr>
            <w:r>
              <w:rPr>
                <w:rFonts w:hint="eastAsia"/>
                <w:highlight w:val="none"/>
              </w:rPr>
              <w:t>4</w:t>
            </w:r>
          </w:p>
        </w:tc>
        <w:tc>
          <w:tcPr>
            <w:tcW w:w="4503" w:type="pct"/>
            <w:shd w:val="clear" w:color="auto" w:fill="auto"/>
            <w:vAlign w:val="center"/>
          </w:tcPr>
          <w:p w14:paraId="477C743E">
            <w:pPr>
              <w:bidi w:val="0"/>
              <w:jc w:val="both"/>
              <w:rPr>
                <w:rFonts w:hint="eastAsia"/>
                <w:highlight w:val="none"/>
                <w:lang w:val="en-US" w:eastAsia="zh-CN"/>
              </w:rPr>
            </w:pPr>
            <w:r>
              <w:rPr>
                <w:rFonts w:hint="eastAsia"/>
                <w:highlight w:val="none"/>
              </w:rPr>
              <w:t>按照招标文件的规定提供了投标保证金；</w:t>
            </w:r>
          </w:p>
        </w:tc>
      </w:tr>
      <w:tr w14:paraId="44EF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00FE1142">
            <w:pPr>
              <w:bidi w:val="0"/>
              <w:jc w:val="both"/>
              <w:rPr>
                <w:highlight w:val="none"/>
              </w:rPr>
            </w:pPr>
            <w:r>
              <w:rPr>
                <w:rFonts w:hint="eastAsia"/>
                <w:highlight w:val="none"/>
              </w:rPr>
              <w:t>5</w:t>
            </w:r>
          </w:p>
        </w:tc>
        <w:tc>
          <w:tcPr>
            <w:tcW w:w="4503" w:type="pct"/>
            <w:shd w:val="clear" w:color="auto" w:fill="auto"/>
            <w:vAlign w:val="center"/>
          </w:tcPr>
          <w:p w14:paraId="4EF58E8C">
            <w:pPr>
              <w:bidi w:val="0"/>
              <w:jc w:val="both"/>
              <w:rPr>
                <w:rFonts w:hint="eastAsia"/>
                <w:highlight w:val="none"/>
                <w:lang w:val="en-US" w:eastAsia="zh-CN"/>
              </w:rPr>
            </w:pPr>
            <w:r>
              <w:rPr>
                <w:rFonts w:hint="eastAsia"/>
                <w:highlight w:val="none"/>
              </w:rPr>
              <w:t>不存在国家有关法律法规禁止的情形；</w:t>
            </w:r>
          </w:p>
        </w:tc>
      </w:tr>
      <w:tr w14:paraId="56F1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6508CBCD">
            <w:pPr>
              <w:bidi w:val="0"/>
              <w:jc w:val="both"/>
              <w:rPr>
                <w:highlight w:val="none"/>
              </w:rPr>
            </w:pPr>
            <w:r>
              <w:rPr>
                <w:rFonts w:hint="eastAsia"/>
                <w:highlight w:val="none"/>
              </w:rPr>
              <w:t>6</w:t>
            </w:r>
          </w:p>
        </w:tc>
        <w:tc>
          <w:tcPr>
            <w:tcW w:w="4503" w:type="pct"/>
            <w:shd w:val="clear" w:color="auto" w:fill="auto"/>
            <w:vAlign w:val="center"/>
          </w:tcPr>
          <w:p w14:paraId="6A68ABAF">
            <w:pPr>
              <w:bidi w:val="0"/>
              <w:jc w:val="both"/>
              <w:rPr>
                <w:rFonts w:hint="eastAsia"/>
                <w:highlight w:val="none"/>
                <w:lang w:val="en-US" w:eastAsia="zh-CN"/>
              </w:rPr>
            </w:pPr>
            <w:r>
              <w:rPr>
                <w:rFonts w:hint="eastAsia"/>
                <w:highlight w:val="none"/>
              </w:rPr>
              <w:t>投标货物符合招标文件规定的合格来源国要求；</w:t>
            </w:r>
          </w:p>
        </w:tc>
      </w:tr>
      <w:tr w14:paraId="03C5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1493539C">
            <w:pPr>
              <w:bidi w:val="0"/>
              <w:jc w:val="both"/>
              <w:rPr>
                <w:highlight w:val="none"/>
              </w:rPr>
            </w:pPr>
            <w:r>
              <w:rPr>
                <w:rFonts w:hint="eastAsia"/>
                <w:highlight w:val="none"/>
              </w:rPr>
              <w:t>7</w:t>
            </w:r>
          </w:p>
        </w:tc>
        <w:tc>
          <w:tcPr>
            <w:tcW w:w="4503" w:type="pct"/>
            <w:shd w:val="clear" w:color="auto" w:fill="auto"/>
            <w:vAlign w:val="center"/>
          </w:tcPr>
          <w:p w14:paraId="1E1071A3">
            <w:pPr>
              <w:bidi w:val="0"/>
              <w:jc w:val="both"/>
              <w:rPr>
                <w:rFonts w:hint="eastAsia"/>
                <w:highlight w:val="none"/>
                <w:lang w:val="en-US" w:eastAsia="zh-CN"/>
              </w:rPr>
            </w:pPr>
            <w:r>
              <w:rPr>
                <w:rFonts w:hint="eastAsia"/>
                <w:highlight w:val="none"/>
              </w:rPr>
              <w:t>投标文件按照招标文件要求签字、盖章，内容齐全；</w:t>
            </w:r>
          </w:p>
        </w:tc>
      </w:tr>
      <w:tr w14:paraId="147A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457ECAD7">
            <w:pPr>
              <w:bidi w:val="0"/>
              <w:jc w:val="both"/>
              <w:rPr>
                <w:rFonts w:hint="eastAsia"/>
                <w:highlight w:val="none"/>
                <w:lang w:val="en-US" w:eastAsia="zh-CN"/>
              </w:rPr>
            </w:pPr>
            <w:r>
              <w:rPr>
                <w:rFonts w:hint="eastAsia"/>
                <w:highlight w:val="none"/>
              </w:rPr>
              <w:t>8</w:t>
            </w:r>
          </w:p>
        </w:tc>
        <w:tc>
          <w:tcPr>
            <w:tcW w:w="4503" w:type="pct"/>
            <w:shd w:val="clear" w:color="auto" w:fill="auto"/>
            <w:vAlign w:val="center"/>
          </w:tcPr>
          <w:p w14:paraId="1CEE2081">
            <w:pPr>
              <w:bidi w:val="0"/>
              <w:jc w:val="both"/>
              <w:rPr>
                <w:rFonts w:hint="eastAsia"/>
                <w:highlight w:val="none"/>
                <w:lang w:val="en-US" w:eastAsia="zh-CN"/>
              </w:rPr>
            </w:pPr>
            <w:r>
              <w:rPr>
                <w:rFonts w:hint="eastAsia"/>
                <w:highlight w:val="none"/>
              </w:rPr>
              <w:t>投标文件按照招标文件规定格式、内容填写，字迹清晰可辨，资料完整；</w:t>
            </w:r>
          </w:p>
        </w:tc>
      </w:tr>
      <w:tr w14:paraId="5092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6436F037">
            <w:pPr>
              <w:bidi w:val="0"/>
              <w:jc w:val="both"/>
              <w:rPr>
                <w:rFonts w:hint="eastAsia"/>
                <w:highlight w:val="none"/>
                <w:lang w:val="en-US" w:eastAsia="zh-CN"/>
              </w:rPr>
            </w:pPr>
            <w:r>
              <w:rPr>
                <w:rFonts w:hint="eastAsia"/>
                <w:highlight w:val="none"/>
              </w:rPr>
              <w:t>9</w:t>
            </w:r>
          </w:p>
        </w:tc>
        <w:tc>
          <w:tcPr>
            <w:tcW w:w="4503" w:type="pct"/>
            <w:shd w:val="clear" w:color="auto" w:fill="auto"/>
            <w:vAlign w:val="center"/>
          </w:tcPr>
          <w:p w14:paraId="6CBBE8AD">
            <w:pPr>
              <w:bidi w:val="0"/>
              <w:jc w:val="both"/>
              <w:rPr>
                <w:rFonts w:hint="eastAsia"/>
                <w:highlight w:val="none"/>
                <w:lang w:val="en-US" w:eastAsia="zh-CN"/>
              </w:rPr>
            </w:pPr>
            <w:r>
              <w:rPr>
                <w:rFonts w:hint="eastAsia"/>
                <w:highlight w:val="none"/>
              </w:rPr>
              <w:t>投标文件内</w:t>
            </w:r>
            <w:r>
              <w:rPr>
                <w:rFonts w:hint="eastAsia"/>
                <w:highlight w:val="none"/>
                <w:lang w:eastAsia="zh-CN"/>
              </w:rPr>
              <w:t>法定代表人</w:t>
            </w:r>
            <w:r>
              <w:rPr>
                <w:rFonts w:hint="eastAsia"/>
                <w:highlight w:val="none"/>
              </w:rPr>
              <w:t>或授权代表的签字和投标人公章齐全、真实；按照招标文件的规定提供了</w:t>
            </w:r>
            <w:r>
              <w:rPr>
                <w:rFonts w:hint="eastAsia"/>
                <w:highlight w:val="none"/>
                <w:lang w:eastAsia="zh-CN"/>
              </w:rPr>
              <w:t>法定代表人</w:t>
            </w:r>
            <w:r>
              <w:rPr>
                <w:rFonts w:hint="eastAsia"/>
                <w:highlight w:val="none"/>
              </w:rPr>
              <w:t>身份证明书</w:t>
            </w:r>
            <w:r>
              <w:rPr>
                <w:rFonts w:hint="eastAsia"/>
                <w:highlight w:val="none"/>
                <w:lang w:eastAsia="zh-CN"/>
              </w:rPr>
              <w:t>、法定代表人</w:t>
            </w:r>
            <w:r>
              <w:rPr>
                <w:rFonts w:hint="eastAsia"/>
                <w:highlight w:val="none"/>
              </w:rPr>
              <w:t>授权委托书；</w:t>
            </w:r>
          </w:p>
        </w:tc>
      </w:tr>
      <w:tr w14:paraId="75D9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7554ABEC">
            <w:pPr>
              <w:bidi w:val="0"/>
              <w:jc w:val="both"/>
              <w:rPr>
                <w:rFonts w:hint="eastAsia"/>
                <w:highlight w:val="none"/>
                <w:lang w:val="en-US" w:eastAsia="zh-CN"/>
              </w:rPr>
            </w:pPr>
            <w:r>
              <w:rPr>
                <w:rFonts w:hint="eastAsia"/>
                <w:highlight w:val="none"/>
              </w:rPr>
              <w:t>10</w:t>
            </w:r>
          </w:p>
        </w:tc>
        <w:tc>
          <w:tcPr>
            <w:tcW w:w="4503" w:type="pct"/>
            <w:shd w:val="clear" w:color="auto" w:fill="auto"/>
            <w:vAlign w:val="center"/>
          </w:tcPr>
          <w:p w14:paraId="11E2A965">
            <w:pPr>
              <w:bidi w:val="0"/>
              <w:jc w:val="both"/>
              <w:rPr>
                <w:rFonts w:hint="eastAsia"/>
                <w:highlight w:val="none"/>
                <w:lang w:val="en-US" w:eastAsia="zh-CN"/>
              </w:rPr>
            </w:pPr>
            <w:r>
              <w:rPr>
                <w:rFonts w:hint="eastAsia"/>
                <w:highlight w:val="none"/>
              </w:rPr>
              <w:t>按照招标文件要求提供了完整的投标报价（包括分项报价表）；</w:t>
            </w:r>
          </w:p>
        </w:tc>
      </w:tr>
      <w:tr w14:paraId="6CEB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57A32389">
            <w:pPr>
              <w:bidi w:val="0"/>
              <w:jc w:val="both"/>
              <w:rPr>
                <w:rFonts w:hint="eastAsia"/>
                <w:highlight w:val="none"/>
                <w:lang w:val="en-US" w:eastAsia="zh-CN"/>
              </w:rPr>
            </w:pPr>
            <w:r>
              <w:rPr>
                <w:rFonts w:hint="eastAsia"/>
                <w:highlight w:val="none"/>
              </w:rPr>
              <w:t>11</w:t>
            </w:r>
          </w:p>
        </w:tc>
        <w:tc>
          <w:tcPr>
            <w:tcW w:w="4503" w:type="pct"/>
            <w:shd w:val="clear" w:color="auto" w:fill="auto"/>
            <w:vAlign w:val="center"/>
          </w:tcPr>
          <w:p w14:paraId="3119F660">
            <w:pPr>
              <w:bidi w:val="0"/>
              <w:jc w:val="both"/>
              <w:rPr>
                <w:rFonts w:hint="eastAsia"/>
                <w:highlight w:val="none"/>
                <w:lang w:val="en-US" w:eastAsia="zh-CN"/>
              </w:rPr>
            </w:pPr>
            <w:r>
              <w:rPr>
                <w:rFonts w:hint="eastAsia"/>
                <w:highlight w:val="none"/>
              </w:rPr>
              <w:t>投标文件有效期、交货期、质保期、付款计划满足招标文件要求；</w:t>
            </w:r>
          </w:p>
        </w:tc>
      </w:tr>
      <w:tr w14:paraId="3A4E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5A5E2D1A">
            <w:pPr>
              <w:bidi w:val="0"/>
              <w:jc w:val="both"/>
              <w:rPr>
                <w:highlight w:val="none"/>
                <w:lang w:val="en-US" w:eastAsia="zh-CN"/>
              </w:rPr>
            </w:pPr>
            <w:r>
              <w:rPr>
                <w:rFonts w:hint="eastAsia"/>
                <w:highlight w:val="none"/>
              </w:rPr>
              <w:t>12</w:t>
            </w:r>
          </w:p>
        </w:tc>
        <w:tc>
          <w:tcPr>
            <w:tcW w:w="4503" w:type="pct"/>
            <w:shd w:val="clear" w:color="auto" w:fill="auto"/>
            <w:vAlign w:val="center"/>
          </w:tcPr>
          <w:p w14:paraId="41329074">
            <w:pPr>
              <w:bidi w:val="0"/>
              <w:jc w:val="both"/>
              <w:rPr>
                <w:rFonts w:hint="eastAsia"/>
                <w:highlight w:val="none"/>
                <w:lang w:val="en-US" w:eastAsia="zh-CN"/>
              </w:rPr>
            </w:pPr>
            <w:r>
              <w:rPr>
                <w:rFonts w:hint="eastAsia"/>
                <w:highlight w:val="none"/>
              </w:rPr>
              <w:t>供应商只有一个有效报价</w:t>
            </w:r>
            <w:r>
              <w:rPr>
                <w:rFonts w:hint="eastAsia"/>
                <w:highlight w:val="none"/>
                <w:lang w:eastAsia="zh-CN"/>
              </w:rPr>
              <w:t>，</w:t>
            </w:r>
            <w:r>
              <w:rPr>
                <w:rFonts w:hint="eastAsia"/>
                <w:highlight w:val="none"/>
              </w:rPr>
              <w:t>未提供备选方案。未有选择性报价或者具有附加条件的报价；</w:t>
            </w:r>
          </w:p>
        </w:tc>
      </w:tr>
      <w:tr w14:paraId="540F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2BD2DF0B">
            <w:pPr>
              <w:bidi w:val="0"/>
              <w:jc w:val="both"/>
              <w:rPr>
                <w:highlight w:val="none"/>
                <w:lang w:val="en-US" w:eastAsia="zh-CN"/>
              </w:rPr>
            </w:pPr>
            <w:r>
              <w:rPr>
                <w:rFonts w:hint="eastAsia"/>
                <w:highlight w:val="none"/>
              </w:rPr>
              <w:t>13</w:t>
            </w:r>
          </w:p>
        </w:tc>
        <w:tc>
          <w:tcPr>
            <w:tcW w:w="4503" w:type="pct"/>
            <w:shd w:val="clear" w:color="auto" w:fill="auto"/>
            <w:vAlign w:val="center"/>
          </w:tcPr>
          <w:p w14:paraId="05F3073C">
            <w:pPr>
              <w:bidi w:val="0"/>
              <w:jc w:val="both"/>
              <w:rPr>
                <w:rFonts w:hint="eastAsia"/>
                <w:highlight w:val="none"/>
                <w:lang w:val="en-US" w:eastAsia="zh-CN"/>
              </w:rPr>
            </w:pPr>
            <w:r>
              <w:rPr>
                <w:rFonts w:hint="eastAsia"/>
                <w:highlight w:val="none"/>
              </w:rPr>
              <w:t>投标报价未被认定以低于成本价恶性竞标；</w:t>
            </w:r>
          </w:p>
        </w:tc>
      </w:tr>
      <w:tr w14:paraId="7D81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516C3FFE">
            <w:pPr>
              <w:bidi w:val="0"/>
              <w:jc w:val="both"/>
              <w:rPr>
                <w:highlight w:val="none"/>
                <w:lang w:val="en-US" w:eastAsia="zh-CN"/>
              </w:rPr>
            </w:pPr>
            <w:r>
              <w:rPr>
                <w:rFonts w:hint="eastAsia"/>
                <w:highlight w:val="none"/>
              </w:rPr>
              <w:t>14</w:t>
            </w:r>
          </w:p>
        </w:tc>
        <w:tc>
          <w:tcPr>
            <w:tcW w:w="4503" w:type="pct"/>
            <w:shd w:val="clear" w:color="auto" w:fill="auto"/>
            <w:vAlign w:val="center"/>
          </w:tcPr>
          <w:p w14:paraId="38BBA67C">
            <w:pPr>
              <w:bidi w:val="0"/>
              <w:jc w:val="both"/>
              <w:rPr>
                <w:rFonts w:hint="eastAsia"/>
                <w:highlight w:val="none"/>
                <w:lang w:val="en-US" w:eastAsia="zh-CN"/>
              </w:rPr>
            </w:pPr>
            <w:r>
              <w:rPr>
                <w:rFonts w:hint="eastAsia"/>
                <w:highlight w:val="none"/>
              </w:rPr>
              <w:t>投标文件未出现招标文件中规定废标的其它商务条款；</w:t>
            </w:r>
          </w:p>
        </w:tc>
      </w:tr>
      <w:tr w14:paraId="7F67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61E9E697">
            <w:pPr>
              <w:bidi w:val="0"/>
              <w:jc w:val="both"/>
              <w:rPr>
                <w:highlight w:val="none"/>
                <w:lang w:val="en-US" w:eastAsia="zh-CN"/>
              </w:rPr>
            </w:pPr>
            <w:r>
              <w:rPr>
                <w:rFonts w:hint="eastAsia"/>
                <w:highlight w:val="none"/>
              </w:rPr>
              <w:t>15</w:t>
            </w:r>
          </w:p>
        </w:tc>
        <w:tc>
          <w:tcPr>
            <w:tcW w:w="4503" w:type="pct"/>
            <w:shd w:val="clear" w:color="auto" w:fill="auto"/>
            <w:vAlign w:val="center"/>
          </w:tcPr>
          <w:p w14:paraId="4A1804D9">
            <w:pPr>
              <w:bidi w:val="0"/>
              <w:jc w:val="both"/>
              <w:rPr>
                <w:rFonts w:hint="eastAsia"/>
                <w:highlight w:val="none"/>
                <w:lang w:val="en-US" w:eastAsia="zh-CN"/>
              </w:rPr>
            </w:pPr>
            <w:r>
              <w:rPr>
                <w:rFonts w:hint="eastAsia"/>
                <w:highlight w:val="none"/>
              </w:rPr>
              <w:t>投标人未单纯复制招标文件的技术要求作为其投标文件的一部分；</w:t>
            </w:r>
          </w:p>
        </w:tc>
      </w:tr>
      <w:tr w14:paraId="4DE5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43101825">
            <w:pPr>
              <w:bidi w:val="0"/>
              <w:jc w:val="both"/>
              <w:rPr>
                <w:rFonts w:hint="default"/>
                <w:highlight w:val="none"/>
                <w:lang w:val="en-US" w:eastAsia="zh-CN"/>
              </w:rPr>
            </w:pPr>
            <w:r>
              <w:rPr>
                <w:rFonts w:hint="eastAsia"/>
                <w:highlight w:val="none"/>
                <w:lang w:val="en-US" w:eastAsia="zh-CN"/>
              </w:rPr>
              <w:t>16</w:t>
            </w:r>
          </w:p>
        </w:tc>
        <w:tc>
          <w:tcPr>
            <w:tcW w:w="4503" w:type="pct"/>
            <w:shd w:val="clear" w:color="auto" w:fill="auto"/>
            <w:vAlign w:val="center"/>
          </w:tcPr>
          <w:p w14:paraId="37492817">
            <w:pPr>
              <w:bidi w:val="0"/>
              <w:jc w:val="both"/>
              <w:rPr>
                <w:rFonts w:hint="eastAsia"/>
                <w:highlight w:val="none"/>
                <w:lang w:val="en-US" w:eastAsia="zh-CN"/>
              </w:rPr>
            </w:pPr>
            <w:r>
              <w:rPr>
                <w:rFonts w:hint="eastAsia"/>
                <w:highlight w:val="none"/>
              </w:rPr>
              <w:t>实质上满足招标文件的技术性能要求；</w:t>
            </w:r>
          </w:p>
        </w:tc>
      </w:tr>
      <w:tr w14:paraId="4909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28A5DEAD">
            <w:pPr>
              <w:bidi w:val="0"/>
              <w:jc w:val="both"/>
              <w:rPr>
                <w:rFonts w:hint="default"/>
                <w:highlight w:val="none"/>
                <w:lang w:val="en-US" w:eastAsia="zh-CN"/>
              </w:rPr>
            </w:pPr>
            <w:r>
              <w:rPr>
                <w:rFonts w:hint="eastAsia"/>
                <w:highlight w:val="none"/>
                <w:lang w:val="en-US" w:eastAsia="zh-CN"/>
              </w:rPr>
              <w:t>17</w:t>
            </w:r>
          </w:p>
        </w:tc>
        <w:tc>
          <w:tcPr>
            <w:tcW w:w="4503" w:type="pct"/>
            <w:shd w:val="clear" w:color="auto" w:fill="auto"/>
            <w:vAlign w:val="center"/>
          </w:tcPr>
          <w:p w14:paraId="5D3EC1BE">
            <w:pPr>
              <w:bidi w:val="0"/>
              <w:jc w:val="both"/>
              <w:rPr>
                <w:rFonts w:hint="eastAsia"/>
                <w:highlight w:val="none"/>
                <w:lang w:val="en-US" w:eastAsia="zh-CN"/>
              </w:rPr>
            </w:pPr>
            <w:r>
              <w:rPr>
                <w:rFonts w:hint="eastAsia"/>
                <w:highlight w:val="none"/>
              </w:rPr>
              <w:t>投标的货物及服务满足招标文件第</w:t>
            </w:r>
            <w:r>
              <w:rPr>
                <w:rFonts w:hint="eastAsia"/>
                <w:highlight w:val="none"/>
                <w:lang w:eastAsia="zh-CN"/>
              </w:rPr>
              <w:t>四部分</w:t>
            </w:r>
            <w:r>
              <w:rPr>
                <w:rFonts w:hint="eastAsia"/>
                <w:highlight w:val="none"/>
              </w:rPr>
              <w:t>“</w:t>
            </w:r>
            <w:r>
              <w:rPr>
                <w:rFonts w:hint="eastAsia"/>
                <w:highlight w:val="none"/>
                <w:lang w:eastAsia="zh-CN"/>
              </w:rPr>
              <w:t>采购</w:t>
            </w:r>
            <w:r>
              <w:rPr>
                <w:rFonts w:hint="eastAsia"/>
                <w:highlight w:val="none"/>
              </w:rPr>
              <w:t>需求”中的条款的要求；</w:t>
            </w:r>
          </w:p>
        </w:tc>
      </w:tr>
      <w:tr w14:paraId="0C41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113E6FDA">
            <w:pPr>
              <w:bidi w:val="0"/>
              <w:jc w:val="both"/>
              <w:rPr>
                <w:rFonts w:hint="default"/>
                <w:highlight w:val="none"/>
                <w:lang w:val="en-US" w:eastAsia="zh-CN"/>
              </w:rPr>
            </w:pPr>
            <w:r>
              <w:rPr>
                <w:rFonts w:hint="eastAsia"/>
                <w:highlight w:val="none"/>
                <w:lang w:val="en-US" w:eastAsia="zh-CN"/>
              </w:rPr>
              <w:t>18</w:t>
            </w:r>
          </w:p>
        </w:tc>
        <w:tc>
          <w:tcPr>
            <w:tcW w:w="4503" w:type="pct"/>
            <w:shd w:val="clear" w:color="auto" w:fill="auto"/>
            <w:vAlign w:val="center"/>
          </w:tcPr>
          <w:p w14:paraId="304061B3">
            <w:pPr>
              <w:bidi w:val="0"/>
              <w:jc w:val="both"/>
              <w:rPr>
                <w:rFonts w:hint="eastAsia"/>
                <w:highlight w:val="none"/>
                <w:lang w:val="en-US" w:eastAsia="zh-CN"/>
              </w:rPr>
            </w:pPr>
            <w:r>
              <w:rPr>
                <w:rFonts w:hint="eastAsia"/>
                <w:highlight w:val="none"/>
              </w:rPr>
              <w:t>投标文件未出现招标文件中规定废标的其它技术条款。</w:t>
            </w:r>
          </w:p>
        </w:tc>
      </w:tr>
      <w:tr w14:paraId="169A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7404534C">
            <w:pPr>
              <w:bidi w:val="0"/>
              <w:jc w:val="both"/>
              <w:rPr>
                <w:rFonts w:hint="default"/>
                <w:highlight w:val="none"/>
                <w:lang w:val="en-US" w:eastAsia="zh-CN"/>
              </w:rPr>
            </w:pPr>
            <w:r>
              <w:rPr>
                <w:rFonts w:hint="eastAsia"/>
                <w:highlight w:val="none"/>
                <w:lang w:val="en-US" w:eastAsia="zh-CN"/>
              </w:rPr>
              <w:t>19</w:t>
            </w:r>
          </w:p>
        </w:tc>
        <w:tc>
          <w:tcPr>
            <w:tcW w:w="4503" w:type="pct"/>
            <w:shd w:val="clear" w:color="auto" w:fill="auto"/>
            <w:vAlign w:val="center"/>
          </w:tcPr>
          <w:p w14:paraId="242528F8">
            <w:pPr>
              <w:bidi w:val="0"/>
              <w:jc w:val="both"/>
              <w:rPr>
                <w:rFonts w:hint="eastAsia"/>
                <w:highlight w:val="none"/>
                <w:lang w:val="en-US" w:eastAsia="zh-CN"/>
              </w:rPr>
            </w:pPr>
            <w:r>
              <w:rPr>
                <w:rFonts w:hint="eastAsia"/>
                <w:highlight w:val="none"/>
              </w:rPr>
              <w:t>投标内容符合招标文件要求</w:t>
            </w:r>
          </w:p>
        </w:tc>
      </w:tr>
      <w:tr w14:paraId="576C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76DC0F83">
            <w:pPr>
              <w:bidi w:val="0"/>
              <w:jc w:val="both"/>
              <w:rPr>
                <w:rFonts w:hint="default"/>
                <w:highlight w:val="none"/>
                <w:lang w:val="en-US" w:eastAsia="zh-CN"/>
              </w:rPr>
            </w:pPr>
            <w:r>
              <w:rPr>
                <w:rFonts w:hint="eastAsia"/>
                <w:highlight w:val="none"/>
                <w:lang w:val="en-US" w:eastAsia="zh-CN"/>
              </w:rPr>
              <w:t>20</w:t>
            </w:r>
          </w:p>
        </w:tc>
        <w:tc>
          <w:tcPr>
            <w:tcW w:w="4503" w:type="pct"/>
            <w:shd w:val="clear" w:color="auto" w:fill="auto"/>
            <w:vAlign w:val="center"/>
          </w:tcPr>
          <w:p w14:paraId="780CCDEF">
            <w:pPr>
              <w:bidi w:val="0"/>
              <w:jc w:val="both"/>
              <w:rPr>
                <w:highlight w:val="none"/>
              </w:rPr>
            </w:pPr>
            <w:r>
              <w:rPr>
                <w:rFonts w:hint="eastAsia"/>
                <w:highlight w:val="none"/>
              </w:rPr>
              <w:t>违约责任：如果供应商投标文件有任何造假，即便不是主要参数，一经发现，取消中标结果，供应商按中标金额10%予以赔偿，以及赔偿采购人测算的所有设备的60天总收入。</w:t>
            </w:r>
          </w:p>
          <w:p w14:paraId="3317D8AD">
            <w:pPr>
              <w:bidi w:val="0"/>
              <w:jc w:val="both"/>
              <w:rPr>
                <w:rFonts w:hint="eastAsia"/>
                <w:highlight w:val="none"/>
                <w:lang w:val="en-US" w:eastAsia="zh-CN"/>
              </w:rPr>
            </w:pPr>
            <w:r>
              <w:rPr>
                <w:rFonts w:hint="eastAsia"/>
                <w:b/>
                <w:bCs/>
                <w:highlight w:val="none"/>
                <w:lang w:val="zh-CN"/>
              </w:rPr>
              <w:t>投标文件内附由法定代表人或其委托代理人签字并加盖单位公章的书面声明。</w:t>
            </w:r>
          </w:p>
        </w:tc>
      </w:tr>
      <w:tr w14:paraId="64A8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239B9EAD">
            <w:pPr>
              <w:bidi w:val="0"/>
              <w:jc w:val="both"/>
              <w:rPr>
                <w:rFonts w:hint="default"/>
                <w:highlight w:val="none"/>
                <w:lang w:val="en-US" w:eastAsia="zh-CN"/>
              </w:rPr>
            </w:pPr>
            <w:r>
              <w:rPr>
                <w:rFonts w:hint="eastAsia"/>
                <w:highlight w:val="none"/>
                <w:lang w:val="en-US" w:eastAsia="zh-CN"/>
              </w:rPr>
              <w:t>21</w:t>
            </w:r>
          </w:p>
        </w:tc>
        <w:tc>
          <w:tcPr>
            <w:tcW w:w="4503" w:type="pct"/>
            <w:shd w:val="clear" w:color="auto" w:fill="auto"/>
            <w:vAlign w:val="center"/>
          </w:tcPr>
          <w:p w14:paraId="4E6FED7F">
            <w:pPr>
              <w:bidi w:val="0"/>
              <w:jc w:val="both"/>
              <w:rPr>
                <w:highlight w:val="none"/>
              </w:rPr>
            </w:pPr>
            <w:r>
              <w:rPr>
                <w:rFonts w:hint="eastAsia"/>
                <w:highlight w:val="none"/>
              </w:rPr>
              <w:t>如虚假响应或提供虚假证明材料，采购人及评标委员会有权追究其法律责任，并将违法情况上报主管部门，申请将其失信行为公示于信用中国网站（www.creditchina.gov.cn）和中国政府采购网（www.ccgp.gov.cn)</w:t>
            </w:r>
            <w:r>
              <w:rPr>
                <w:rFonts w:hint="eastAsia"/>
                <w:highlight w:val="none"/>
                <w:lang w:eastAsia="zh-CN"/>
              </w:rPr>
              <w:t>；</w:t>
            </w:r>
            <w:r>
              <w:rPr>
                <w:rFonts w:hint="eastAsia"/>
                <w:highlight w:val="none"/>
                <w:lang w:val="en-US" w:eastAsia="zh-CN"/>
              </w:rPr>
              <w:t>响应文件</w:t>
            </w:r>
            <w:r>
              <w:rPr>
                <w:rFonts w:hint="eastAsia"/>
                <w:highlight w:val="none"/>
              </w:rPr>
              <w:t>造假造成投诉质疑的，导致项目重新招标的，应赔偿采购人及代理机构成交金额的 10%。</w:t>
            </w:r>
          </w:p>
          <w:p w14:paraId="11EE5FE3">
            <w:pPr>
              <w:bidi w:val="0"/>
              <w:jc w:val="both"/>
              <w:rPr>
                <w:rFonts w:hint="eastAsia"/>
                <w:highlight w:val="none"/>
                <w:lang w:val="en-US" w:eastAsia="zh-CN"/>
              </w:rPr>
            </w:pPr>
            <w:r>
              <w:rPr>
                <w:rFonts w:hint="eastAsia"/>
                <w:b/>
                <w:bCs/>
                <w:highlight w:val="none"/>
                <w:lang w:val="zh-CN"/>
              </w:rPr>
              <w:t>投标文件内附由法定代表人或其委托代理人签字并加盖单位公章的承诺书。</w:t>
            </w:r>
          </w:p>
        </w:tc>
      </w:tr>
    </w:tbl>
    <w:p w14:paraId="54A24F4E">
      <w:pPr>
        <w:spacing w:line="360" w:lineRule="auto"/>
        <w:ind w:firstLine="420" w:firstLineChars="200"/>
        <w:rPr>
          <w:rFonts w:hint="eastAsia" w:ascii="宋体" w:hAnsi="宋体" w:cs="宋体"/>
          <w:color w:val="000000" w:themeColor="text1"/>
          <w:sz w:val="21"/>
          <w:szCs w:val="21"/>
          <w:highlight w:val="none"/>
          <w:lang w:val="zh-CN"/>
          <w14:textFill>
            <w14:solidFill>
              <w14:schemeClr w14:val="tx1"/>
            </w14:solidFill>
          </w14:textFill>
        </w:rPr>
      </w:pPr>
    </w:p>
    <w:p w14:paraId="685F4326">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注：（1）供应商或其投标文件不符合上述情况之一的，则符合性审查不合格，不进入详细评审；</w:t>
      </w:r>
    </w:p>
    <w:p w14:paraId="4AE97D9C">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（2）每个评审项目合格打“√”，不合格打“×”。评审结论写“合格”或“不合格”。不合格须注明原因；</w:t>
      </w:r>
    </w:p>
    <w:p w14:paraId="47275C50">
      <w:pPr>
        <w:spacing w:line="360" w:lineRule="auto"/>
        <w:ind w:firstLine="420" w:firstLineChars="200"/>
        <w:rPr>
          <w:rFonts w:ascii="宋体" w:hAnsi="宋体" w:cs="黑体"/>
          <w:b/>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（3）符合性审查结束后，合格的供应商进入详细评审</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 xml:space="preserve">  </w:t>
      </w:r>
    </w:p>
    <w:p w14:paraId="4C2BBD5B">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val="zh-CN"/>
          <w14:textFill>
            <w14:solidFill>
              <w14:schemeClr w14:val="tx1"/>
            </w14:solidFill>
          </w14:textFill>
        </w:rPr>
        <w:t>）投标人所提供的所有证件均需在有效期内且注册单位名称与投标人的名称一致，如企业名称发生变更，需提供主管部门出具的变更证明材料。</w:t>
      </w:r>
    </w:p>
    <w:p w14:paraId="15F2D550">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lang w:val="zh-CN"/>
          <w14:textFill>
            <w14:solidFill>
              <w14:schemeClr w14:val="tx1"/>
            </w14:solidFill>
          </w14:textFill>
        </w:rPr>
        <w:t>）上述内容中如某一证件正在年检或换证，需年检或换证部门出具有效证明方可确认。</w:t>
      </w:r>
    </w:p>
    <w:p w14:paraId="65613458">
      <w:pPr>
        <w:spacing w:line="400" w:lineRule="exact"/>
        <w:rPr>
          <w:rFonts w:ascii="宋体" w:hAnsi="宋体" w:cs="黑体"/>
          <w:b/>
          <w:color w:val="000000" w:themeColor="text1"/>
          <w:sz w:val="24"/>
          <w:szCs w:val="24"/>
          <w:highlight w:val="none"/>
          <w14:textFill>
            <w14:solidFill>
              <w14:schemeClr w14:val="tx1"/>
            </w14:solidFill>
          </w14:textFill>
        </w:rPr>
      </w:pPr>
      <w:r>
        <w:rPr>
          <w:rFonts w:ascii="宋体" w:hAnsi="宋体" w:cs="黑体"/>
          <w:b/>
          <w:color w:val="000000" w:themeColor="text1"/>
          <w:sz w:val="24"/>
          <w:szCs w:val="24"/>
          <w:highlight w:val="none"/>
          <w14:textFill>
            <w14:solidFill>
              <w14:schemeClr w14:val="tx1"/>
            </w14:solidFill>
          </w14:textFill>
        </w:rPr>
        <w:br w:type="page"/>
      </w:r>
      <w:r>
        <w:rPr>
          <w:rFonts w:hint="eastAsia" w:ascii="宋体" w:hAnsi="宋体"/>
          <w:b/>
          <w:color w:val="000000" w:themeColor="text1"/>
          <w:sz w:val="24"/>
          <w:szCs w:val="24"/>
          <w:highlight w:val="none"/>
          <w14:textFill>
            <w14:solidFill>
              <w14:schemeClr w14:val="tx1"/>
            </w14:solidFill>
          </w14:textFill>
        </w:rPr>
        <w:t xml:space="preserve">（三）详细评审                    </w:t>
      </w:r>
    </w:p>
    <w:p w14:paraId="303FAE2B">
      <w:pPr>
        <w:pStyle w:val="23"/>
        <w:tabs>
          <w:tab w:val="left" w:pos="6840"/>
        </w:tabs>
        <w:ind w:right="-57"/>
        <w:jc w:val="center"/>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详细评审表</w:t>
      </w:r>
    </w:p>
    <w:tbl>
      <w:tblPr>
        <w:tblStyle w:val="43"/>
        <w:tblW w:w="86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999"/>
        <w:gridCol w:w="743"/>
        <w:gridCol w:w="6177"/>
      </w:tblGrid>
      <w:tr w14:paraId="56CB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341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078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评审项目</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2CF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权重分</w:t>
            </w:r>
          </w:p>
        </w:tc>
        <w:tc>
          <w:tcPr>
            <w:tcW w:w="6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BD7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评分标准</w:t>
            </w:r>
          </w:p>
        </w:tc>
      </w:tr>
      <w:tr w14:paraId="0A33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A2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E4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投标报价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E4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C6EC">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价格分采用低价优先法计算，即满足招标文件要求且投标价格最低的投标报价为评标基准价，其价格分为满分。其他投标人的价格分统一按照下列公式计算:投标报价得分=(评标基准价/投标报价)×100%×权重分值。(四舍五入后保留小数点后两位)</w:t>
            </w:r>
          </w:p>
          <w:p w14:paraId="7C0A4CE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对于高于项目采购预算金额的投标报价不予接受，视为无效投标。</w:t>
            </w:r>
          </w:p>
        </w:tc>
      </w:tr>
      <w:tr w14:paraId="0760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67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90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商务标响应情况</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1A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44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必须满足招标文件重要商务条款(合同履行期限、投标有效期、质保期)，不能实质性满足招标文件重要商务条款要求的为无效标书。满足招标文件重要商务条款的得3分;以此为基础，投标人其他商务条款优于招标文件的，每提供一个得1分，加分至标准分时为止。(小计5分)</w:t>
            </w:r>
          </w:p>
        </w:tc>
      </w:tr>
      <w:tr w14:paraId="7367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07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BD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技术标响应情况</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A65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1E2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满足招标文件技术指标、参数，基础分值8分。投标人技术指标、参数优于招标文件规定的相应技术指标、参数的，有一项加0.5分，加至满分为止。(小计10分)</w:t>
            </w:r>
          </w:p>
          <w:p w14:paraId="04542F6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投标人技术指标、参数低于招标文件规定的相应技术指标、参数的，投标报价不予接受，视为无效投标。</w:t>
            </w:r>
          </w:p>
          <w:p w14:paraId="7AEF8A1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注:投标人技术参数优于招标文件规定的相应技术参数的需提供相应的证明资料予以佐证，否则不得分。</w:t>
            </w:r>
          </w:p>
        </w:tc>
      </w:tr>
      <w:tr w14:paraId="7BE68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79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22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项目服务方案</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48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893D">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1.供货进度计划与保证措施(5分):</w:t>
            </w:r>
            <w:r>
              <w:rPr>
                <w:rFonts w:hint="eastAsia" w:ascii="宋体" w:hAnsi="宋体" w:eastAsia="宋体" w:cs="宋体"/>
                <w:i w:val="0"/>
                <w:iCs w:val="0"/>
                <w:color w:val="000000"/>
                <w:kern w:val="0"/>
                <w:sz w:val="22"/>
                <w:szCs w:val="22"/>
                <w:highlight w:val="none"/>
                <w:u w:val="none"/>
                <w:lang w:val="en-US" w:eastAsia="zh-CN" w:bidi="ar"/>
              </w:rPr>
              <w:t>计划与措施内容完整、科学合理，有针对本项目的具体描述和方案，措施得当，非常细致、全面，有保证进度计划的有力措施，完全满足采购需求的得5分;计划与措施内容完整，但是缺乏针对本项目采购需求的具体描述，制定了进度计划保证措施，可以满足采购需求的得3分;计划与措施内容不完整，缺乏针对性，制定的进度计划保证措施不完善、不全面、不细致的得2分;计划与措施内容不合理，无针对性，没有制定与本项目采购需求相关的保证措施和方案，得1分;未提供不得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2.安装调试方案与使用指导(5分):</w:t>
            </w:r>
            <w:r>
              <w:rPr>
                <w:rFonts w:hint="eastAsia" w:ascii="宋体" w:hAnsi="宋体" w:eastAsia="宋体" w:cs="宋体"/>
                <w:i w:val="0"/>
                <w:iCs w:val="0"/>
                <w:color w:val="000000"/>
                <w:kern w:val="0"/>
                <w:sz w:val="22"/>
                <w:szCs w:val="22"/>
                <w:highlight w:val="none"/>
                <w:u w:val="none"/>
                <w:lang w:val="en-US" w:eastAsia="zh-CN" w:bidi="ar"/>
              </w:rPr>
              <w:t>方案与使用指导内容完整、科学合理，有针对本项目的具体描述和方案，措施得当，非常细致、全面，制定了有效的指导方案，项目管理机构组成合理，架构完整，各岗人员配置齐全，完全满足采购需求的得5分;方案与使用指导内容完整，但是缺乏针对本项目采购需求的具体描述，有指导方案，但项目管理机构不完善，人员配置没有针对性，可以满足采购需求的得3分;方案与使用指导内容不完整，缺乏针对性，制定的指导方案不完善、不全面、不细致，缺少项目管理机构的得2分;方案与使用指导内容不合理，无针对性，没有制定与本项目采购需求相关的使用指导方案，没有项目管理机构的，得1分;未提供不得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3.应急预案与响应措施(5分):</w:t>
            </w:r>
            <w:r>
              <w:rPr>
                <w:rFonts w:hint="eastAsia" w:ascii="宋体" w:hAnsi="宋体" w:eastAsia="宋体" w:cs="宋体"/>
                <w:i w:val="0"/>
                <w:iCs w:val="0"/>
                <w:color w:val="000000"/>
                <w:kern w:val="0"/>
                <w:sz w:val="22"/>
                <w:szCs w:val="22"/>
                <w:highlight w:val="none"/>
                <w:u w:val="none"/>
                <w:lang w:val="en-US" w:eastAsia="zh-CN" w:bidi="ar"/>
              </w:rPr>
              <w:t>应急预案与响应措施内容完整、科学合理，有针对本项目的具体描述和方案，措施得当，非常细致、全面，应急预案与响应措施能够完全满足本项目采购需求，制定了完善的应急预案的得5分;应急预案与响应措施内容完整，但是缺乏针对本项目采购需求的具体描述，有相关的保证措施，但缺乏科学合理的应急预案，可以满足采购需求的得3分;应急预案与响应措施内容不完整，缺乏针对性，制定的保证措施不完善、不全面、不细致，缺少应急预案的得2分;应急预案与响应措施内容不合理，无针对性，没有制定与本项目采购需求相关的保证措施和方案得1分;未提供不得分。</w:t>
            </w:r>
          </w:p>
        </w:tc>
      </w:tr>
      <w:tr w14:paraId="4A83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8B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57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服务保障措施</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32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2D24">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1.投标机构主体服务保障设施（5分）</w:t>
            </w:r>
            <w:r>
              <w:rPr>
                <w:rFonts w:hint="eastAsia" w:ascii="宋体" w:hAnsi="宋体" w:eastAsia="宋体" w:cs="宋体"/>
                <w:b w:val="0"/>
                <w:bCs w:val="0"/>
                <w:i w:val="0"/>
                <w:iCs w:val="0"/>
                <w:color w:val="000000"/>
                <w:kern w:val="0"/>
                <w:sz w:val="22"/>
                <w:szCs w:val="22"/>
                <w:highlight w:val="none"/>
                <w:u w:val="none"/>
                <w:lang w:val="en-US" w:eastAsia="zh-CN" w:bidi="ar"/>
              </w:rPr>
              <w:t>。满足服务对象住宿条件0-30人得0.5分，30-50人得1分，50人以上得2分；满足服务对象康复使用面积小于100平米得0.5分，100平米-200平米得1分，200平米以上得2分；具备移动服务能力设施得1分，没有不得分。</w:t>
            </w:r>
            <w:r>
              <w:rPr>
                <w:rFonts w:hint="eastAsia" w:ascii="宋体" w:hAnsi="宋体" w:eastAsia="宋体" w:cs="宋体"/>
                <w:b w:val="0"/>
                <w:bCs w:val="0"/>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2.在全省具备完善的假肢矫形器适配服务网络（10分）。</w:t>
            </w:r>
            <w:r>
              <w:rPr>
                <w:rFonts w:hint="eastAsia" w:ascii="宋体" w:hAnsi="宋体" w:eastAsia="宋体" w:cs="宋体"/>
                <w:b w:val="0"/>
                <w:bCs w:val="0"/>
                <w:i w:val="0"/>
                <w:iCs w:val="0"/>
                <w:color w:val="000000"/>
                <w:kern w:val="0"/>
                <w:sz w:val="22"/>
                <w:szCs w:val="22"/>
                <w:highlight w:val="none"/>
                <w:u w:val="none"/>
                <w:lang w:val="en-US" w:eastAsia="zh-CN" w:bidi="ar"/>
              </w:rPr>
              <w:t>市州级设有可制作假肢矫形器的机构点得1分，满分10分。注：同一市州不重复计算服务网点；机构点需满足假肢矫形器现场制作及维修并配备完善的康复训练服务使用空间。</w:t>
            </w:r>
            <w:r>
              <w:rPr>
                <w:rFonts w:hint="eastAsia" w:ascii="宋体" w:hAnsi="宋体" w:eastAsia="宋体" w:cs="宋体"/>
                <w:b w:val="0"/>
                <w:bCs w:val="0"/>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3.专业人员要求（10分）：</w:t>
            </w:r>
            <w:r>
              <w:rPr>
                <w:rFonts w:hint="eastAsia" w:ascii="宋体" w:hAnsi="宋体" w:eastAsia="宋体" w:cs="宋体"/>
                <w:b w:val="0"/>
                <w:bCs w:val="0"/>
                <w:i w:val="0"/>
                <w:iCs w:val="0"/>
                <w:color w:val="000000"/>
                <w:kern w:val="0"/>
                <w:sz w:val="22"/>
                <w:szCs w:val="22"/>
                <w:highlight w:val="none"/>
                <w:u w:val="none"/>
                <w:lang w:val="en-US" w:eastAsia="zh-CN" w:bidi="ar"/>
              </w:rPr>
              <w:t xml:space="preserve">（1）投标人拟派的为本项目服务的专业人员具有辅助器具工程师、假肢师证或矫形器装配师证书的每人1分，满分8分，未提供得不得分。（小计8分）注：以上人员的证书投标文件中附原件扫描件，并提供以上人员近半年内（2025年1月1日至开标当日）单位为其缴纳社保证明原件扫描件，否则不得分； （2）获得省级以上人社部门的表彰人员每人得1分，满分2分。（小计2分） </w:t>
            </w:r>
            <w:r>
              <w:rPr>
                <w:rFonts w:hint="eastAsia" w:ascii="宋体" w:hAnsi="宋体" w:eastAsia="宋体" w:cs="宋体"/>
                <w:b/>
                <w:bCs/>
                <w:i w:val="0"/>
                <w:iCs w:val="0"/>
                <w:color w:val="000000"/>
                <w:kern w:val="0"/>
                <w:sz w:val="22"/>
                <w:szCs w:val="22"/>
                <w:highlight w:val="none"/>
                <w:u w:val="none"/>
                <w:lang w:val="en-US" w:eastAsia="zh-CN" w:bidi="ar"/>
              </w:rPr>
              <w:t xml:space="preserve">                                          </w:t>
            </w:r>
          </w:p>
        </w:tc>
      </w:tr>
      <w:tr w14:paraId="5ACA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E9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EC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质量保障措施</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59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C3C4">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质量保证措施完善、完全满足本项目适配服务要求，具备质量保证承诺及专业的适配服务能力，有处罚措施的得10分;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2.适配服务质量保障措施内容完整全面、准确、真实、详实，且措施完善、具有可操作性的，得8分;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3.质量保障措施内容全面、准确、详细，措施完善、符合项目要求缺少处罚措施的，得6分;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4.质量保障措施内容简单，有保障措施但不全面，可操作性不强，得4分;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5.质量保障措施内容无针对性，保障措施不具有可操作性，内容混乱，得2分;</w:t>
            </w:r>
          </w:p>
          <w:p w14:paraId="4F2EAD1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6.未提供不得分。</w:t>
            </w:r>
          </w:p>
        </w:tc>
      </w:tr>
      <w:tr w14:paraId="2058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C7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6D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类似业绩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6E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A8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提供近三年(2022年1月至开标当日)的类似业绩，每提供一份得1分，得至标准分为准。(小计5分)注:投标文件中附合同或中标通知书扫描件，否则不得分。</w:t>
            </w:r>
          </w:p>
        </w:tc>
      </w:tr>
      <w:tr w14:paraId="56FE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C4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E7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售后及服务承诺</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B2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0E3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1.售后(小计10分)</w:t>
            </w:r>
            <w:r>
              <w:rPr>
                <w:rFonts w:hint="eastAsia" w:ascii="宋体" w:hAnsi="宋体" w:eastAsia="宋体" w:cs="宋体"/>
                <w:i w:val="0"/>
                <w:iCs w:val="0"/>
                <w:color w:val="000000"/>
                <w:kern w:val="0"/>
                <w:sz w:val="22"/>
                <w:szCs w:val="22"/>
                <w:highlight w:val="none"/>
                <w:u w:val="none"/>
                <w:lang w:val="en-US" w:eastAsia="zh-CN" w:bidi="ar"/>
              </w:rPr>
              <w:t>投标人针对本项目有详细完善的售后服务体系包含:①售后服务方案，②项目技术支持人员，③定期巡检计划，④免费维修或更换，⑤故障响应、解决处理时限，⑥备品备件，⑦培训服务方案等。以上内容描述清晰，每项均可实施得10分;每有一项缺项或漏项的扣1.5分，单项描述不清晰，无法实施的，每一项扣1分。(小计10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2.服务承诺(小计10分)</w:t>
            </w:r>
            <w:r>
              <w:rPr>
                <w:rFonts w:hint="eastAsia" w:ascii="宋体" w:hAnsi="宋体" w:eastAsia="宋体" w:cs="宋体"/>
                <w:i w:val="0"/>
                <w:iCs w:val="0"/>
                <w:color w:val="000000"/>
                <w:kern w:val="0"/>
                <w:sz w:val="22"/>
                <w:szCs w:val="22"/>
                <w:highlight w:val="none"/>
                <w:u w:val="none"/>
                <w:lang w:val="en-US" w:eastAsia="zh-CN" w:bidi="ar"/>
              </w:rPr>
              <w:t>(1)服务承诺内容完整详细，在项目实施的各个环节，委派专人与采购人密切配合，提供全过程、全方位的服务，做好适配服务期间各项管理工作，保障项目的顺利进行，设置服务机构合理完善，问题响应及处理时效及时，且优于其他投标人服务承诺的得10分;(2)服务内容全面详尽，重点突出，且有针对性的进度保障承诺，能有力保障项目按期完成得8分;(3)具有服务规范和管理制度，服务承诺合理、逻辑顺畅，服务人员齐备，能及时满足服务响应的，得6分;(4)服务承诺内容不够完整不够详细，承诺内容不清晰，未能体现项目的可实施性，有缺项漏项的，得4分;(5)服务方案内容不全，逻辑不合理，响应时间不及时的，得2分;(6)与本项目无关或未提供承诺的不得分。</w:t>
            </w:r>
          </w:p>
        </w:tc>
      </w:tr>
      <w:tr w14:paraId="5CF5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7880">
            <w:pPr>
              <w:jc w:val="center"/>
              <w:rPr>
                <w:rFonts w:hint="eastAsia" w:ascii="宋体" w:hAnsi="宋体" w:eastAsia="宋体" w:cs="宋体"/>
                <w:i w:val="0"/>
                <w:iCs w:val="0"/>
                <w:color w:val="000000"/>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46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BD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CF47">
            <w:pPr>
              <w:jc w:val="left"/>
              <w:rPr>
                <w:rFonts w:hint="eastAsia" w:ascii="宋体" w:hAnsi="宋体" w:eastAsia="宋体" w:cs="宋体"/>
                <w:i w:val="0"/>
                <w:iCs w:val="0"/>
                <w:color w:val="000000"/>
                <w:sz w:val="22"/>
                <w:szCs w:val="22"/>
                <w:highlight w:val="none"/>
                <w:u w:val="none"/>
              </w:rPr>
            </w:pPr>
          </w:p>
        </w:tc>
      </w:tr>
    </w:tbl>
    <w:p w14:paraId="4FE3A62C">
      <w:pPr>
        <w:spacing w:line="360" w:lineRule="auto"/>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 xml:space="preserve"> </w:t>
      </w:r>
    </w:p>
    <w:p w14:paraId="1758E69A">
      <w:pPr>
        <w:pStyle w:val="19"/>
        <w:rPr>
          <w:rFonts w:hint="eastAsia" w:ascii="宋体" w:hAnsi="宋体"/>
          <w:b/>
          <w:bCs/>
          <w:color w:val="000000" w:themeColor="text1"/>
          <w:sz w:val="24"/>
          <w:szCs w:val="24"/>
          <w:highlight w:val="none"/>
          <w14:textFill>
            <w14:solidFill>
              <w14:schemeClr w14:val="tx1"/>
            </w14:solidFill>
          </w14:textFill>
        </w:rPr>
      </w:pPr>
    </w:p>
    <w:p w14:paraId="600BABBF">
      <w:pPr>
        <w:pStyle w:val="19"/>
        <w:rPr>
          <w:rFonts w:hint="eastAsia" w:ascii="宋体" w:hAnsi="宋体"/>
          <w:b/>
          <w:bCs/>
          <w:color w:val="000000" w:themeColor="text1"/>
          <w:sz w:val="24"/>
          <w:szCs w:val="24"/>
          <w:highlight w:val="none"/>
          <w14:textFill>
            <w14:solidFill>
              <w14:schemeClr w14:val="tx1"/>
            </w14:solidFill>
          </w14:textFill>
        </w:rPr>
      </w:pPr>
    </w:p>
    <w:p w14:paraId="25D8E002">
      <w:pPr>
        <w:pStyle w:val="19"/>
        <w:rPr>
          <w:rFonts w:hint="eastAsia" w:ascii="宋体" w:hAnsi="宋体"/>
          <w:b/>
          <w:bCs/>
          <w:color w:val="000000" w:themeColor="text1"/>
          <w:sz w:val="24"/>
          <w:szCs w:val="24"/>
          <w:highlight w:val="none"/>
          <w14:textFill>
            <w14:solidFill>
              <w14:schemeClr w14:val="tx1"/>
            </w14:solidFill>
          </w14:textFill>
        </w:rPr>
      </w:pPr>
    </w:p>
    <w:p w14:paraId="5C681140">
      <w:pPr>
        <w:pStyle w:val="19"/>
        <w:rPr>
          <w:rFonts w:hint="eastAsia" w:ascii="宋体" w:hAnsi="宋体"/>
          <w:b/>
          <w:bCs/>
          <w:color w:val="000000" w:themeColor="text1"/>
          <w:sz w:val="24"/>
          <w:szCs w:val="24"/>
          <w:highlight w:val="none"/>
          <w14:textFill>
            <w14:solidFill>
              <w14:schemeClr w14:val="tx1"/>
            </w14:solidFill>
          </w14:textFill>
        </w:rPr>
      </w:pPr>
    </w:p>
    <w:p w14:paraId="255F0B93">
      <w:pPr>
        <w:pStyle w:val="19"/>
        <w:rPr>
          <w:rFonts w:hint="eastAsia" w:ascii="宋体" w:hAnsi="宋体"/>
          <w:b/>
          <w:bCs/>
          <w:color w:val="000000" w:themeColor="text1"/>
          <w:sz w:val="24"/>
          <w:szCs w:val="24"/>
          <w:highlight w:val="none"/>
          <w14:textFill>
            <w14:solidFill>
              <w14:schemeClr w14:val="tx1"/>
            </w14:solidFill>
          </w14:textFill>
        </w:rPr>
      </w:pPr>
    </w:p>
    <w:p w14:paraId="1A2D8939">
      <w:pPr>
        <w:pStyle w:val="19"/>
        <w:rPr>
          <w:rFonts w:hint="eastAsia" w:ascii="宋体" w:hAnsi="宋体"/>
          <w:b/>
          <w:bCs/>
          <w:color w:val="000000" w:themeColor="text1"/>
          <w:sz w:val="24"/>
          <w:szCs w:val="24"/>
          <w:highlight w:val="none"/>
          <w14:textFill>
            <w14:solidFill>
              <w14:schemeClr w14:val="tx1"/>
            </w14:solidFill>
          </w14:textFill>
        </w:rPr>
      </w:pPr>
    </w:p>
    <w:p w14:paraId="0FE30E75">
      <w:pPr>
        <w:pStyle w:val="19"/>
        <w:rPr>
          <w:rFonts w:hint="eastAsia" w:ascii="宋体" w:hAnsi="宋体"/>
          <w:b/>
          <w:bCs/>
          <w:color w:val="000000" w:themeColor="text1"/>
          <w:sz w:val="24"/>
          <w:szCs w:val="24"/>
          <w:highlight w:val="none"/>
          <w14:textFill>
            <w14:solidFill>
              <w14:schemeClr w14:val="tx1"/>
            </w14:solidFill>
          </w14:textFill>
        </w:rPr>
      </w:pPr>
    </w:p>
    <w:p w14:paraId="3F1FE87C">
      <w:pPr>
        <w:pStyle w:val="19"/>
        <w:rPr>
          <w:rFonts w:hint="eastAsia" w:ascii="宋体" w:hAnsi="宋体"/>
          <w:b/>
          <w:bCs/>
          <w:color w:val="000000" w:themeColor="text1"/>
          <w:sz w:val="24"/>
          <w:szCs w:val="24"/>
          <w:highlight w:val="none"/>
          <w14:textFill>
            <w14:solidFill>
              <w14:schemeClr w14:val="tx1"/>
            </w14:solidFill>
          </w14:textFill>
        </w:rPr>
      </w:pPr>
    </w:p>
    <w:p w14:paraId="5E480FFF">
      <w:pPr>
        <w:autoSpaceDE w:val="0"/>
        <w:autoSpaceDN w:val="0"/>
        <w:adjustRightInd w:val="0"/>
        <w:spacing w:line="400" w:lineRule="exact"/>
        <w:jc w:val="center"/>
        <w:rPr>
          <w:rFonts w:ascii="宋体" w:hAnsi="宋体" w:cs="宋体"/>
          <w:b/>
          <w:bCs/>
          <w:sz w:val="30"/>
          <w:szCs w:val="30"/>
          <w:highlight w:val="none"/>
        </w:rPr>
      </w:pPr>
      <w:r>
        <w:rPr>
          <w:rFonts w:hint="eastAsia" w:ascii="宋体" w:hAnsi="宋体" w:cs="宋体"/>
          <w:b/>
          <w:bCs/>
          <w:sz w:val="30"/>
          <w:szCs w:val="30"/>
          <w:highlight w:val="none"/>
        </w:rPr>
        <w:t>政府采购政策</w:t>
      </w:r>
    </w:p>
    <w:p w14:paraId="440C6F1F">
      <w:pPr>
        <w:autoSpaceDE w:val="0"/>
        <w:autoSpaceDN w:val="0"/>
        <w:adjustRightInd w:val="0"/>
        <w:spacing w:line="400" w:lineRule="exact"/>
        <w:ind w:firstLine="422" w:firstLineChars="200"/>
        <w:rPr>
          <w:rFonts w:ascii="宋体" w:hAnsi="宋体" w:cs="宋体"/>
          <w:b/>
          <w:sz w:val="21"/>
          <w:szCs w:val="18"/>
          <w:highlight w:val="none"/>
        </w:rPr>
      </w:pPr>
    </w:p>
    <w:p w14:paraId="27D72A14">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(1)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25EFBB50">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 xml:space="preserve">(2)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556355E7">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1561D406">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（4）投标产品同时列入上述多个清单的，将上述规定的价格扣除比例叠加后计算价格扣除。</w:t>
      </w:r>
    </w:p>
    <w:p w14:paraId="250F1C7E">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（5）根据财库〔2020〕46 号文件规定，</w:t>
      </w:r>
      <w:r>
        <w:rPr>
          <w:rFonts w:hint="eastAsia" w:ascii="宋体" w:hAnsi="宋体" w:cs="宋体"/>
          <w:sz w:val="21"/>
          <w:szCs w:val="18"/>
          <w:highlight w:val="none"/>
          <w:lang w:val="zh-CN"/>
        </w:rPr>
        <w:t>《吉林省强化政府采购政策支持中小企业发展落实举措》（吉财采购【2022】478号）规定，</w:t>
      </w:r>
      <w:r>
        <w:rPr>
          <w:rFonts w:hint="eastAsia" w:ascii="宋体" w:hAnsi="宋体" w:cs="宋体"/>
          <w:sz w:val="21"/>
          <w:szCs w:val="18"/>
          <w:highlight w:val="none"/>
        </w:rPr>
        <w:t>对符合本办法规定的小微企业</w:t>
      </w:r>
      <w:r>
        <w:rPr>
          <w:rFonts w:hint="eastAsia" w:ascii="宋体" w:hAnsi="宋体" w:cs="宋体"/>
          <w:sz w:val="21"/>
          <w:szCs w:val="18"/>
          <w:highlight w:val="none"/>
          <w:lang w:val="zh-CN"/>
        </w:rPr>
        <w:t>产品的投标报价在计算报价得分时，按照该单位投标报价下浮</w:t>
      </w:r>
      <w:r>
        <w:rPr>
          <w:rFonts w:hint="eastAsia" w:ascii="宋体" w:hAnsi="宋体" w:cs="宋体"/>
          <w:sz w:val="21"/>
          <w:szCs w:val="18"/>
          <w:highlight w:val="none"/>
        </w:rPr>
        <w:t>10</w:t>
      </w:r>
      <w:r>
        <w:rPr>
          <w:rFonts w:hint="eastAsia" w:ascii="宋体" w:hAnsi="宋体" w:cs="宋体"/>
          <w:sz w:val="21"/>
          <w:szCs w:val="18"/>
          <w:highlight w:val="none"/>
          <w:lang w:val="zh-CN"/>
        </w:rPr>
        <w:t>%进入报价分计算（</w:t>
      </w:r>
      <w:r>
        <w:rPr>
          <w:rFonts w:hint="eastAsia" w:ascii="宋体" w:hAnsi="宋体" w:cs="宋体"/>
          <w:sz w:val="21"/>
          <w:szCs w:val="18"/>
          <w:highlight w:val="none"/>
        </w:rPr>
        <w:t>联合体按照〔2020〕46 号文件规定执行</w:t>
      </w:r>
      <w:r>
        <w:rPr>
          <w:rFonts w:hint="eastAsia" w:ascii="宋体" w:hAnsi="宋体" w:cs="宋体"/>
          <w:sz w:val="21"/>
          <w:szCs w:val="18"/>
          <w:highlight w:val="none"/>
          <w:lang w:val="zh-CN"/>
        </w:rPr>
        <w:t>）</w:t>
      </w:r>
      <w:r>
        <w:rPr>
          <w:rFonts w:hint="eastAsia" w:ascii="宋体" w:hAnsi="宋体" w:cs="宋体"/>
          <w:sz w:val="21"/>
          <w:szCs w:val="18"/>
          <w:highlight w:val="none"/>
        </w:rPr>
        <w:t>。</w:t>
      </w:r>
    </w:p>
    <w:p w14:paraId="33857EDF">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 xml:space="preserve">（6）监狱企业视同小型、微型企业，监狱企业投标的提供由省级以上监狱管理局、戒毒管理局(含新疆生产建设兵团)出具的属于监狱企业的证明文件，不再提供《中小微企业声明函》。 </w:t>
      </w:r>
    </w:p>
    <w:p w14:paraId="793D9FEE">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 xml:space="preserve">（7）残疾人福利性单位视同小型、微型企业，残疾人福利性单位属于小型、微型企业的，不重复享受政策。符合条件的残疾人福利性单位在参加政府采购活动时，应当提供《残疾人福利性单位声明函》。 </w:t>
      </w:r>
    </w:p>
    <w:p w14:paraId="3B5A355E">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8）价格扣除的依据：第（1）至（3）条提供投标货物相关认证证书复印件加盖投标人公章。第（5）条提供《中小企业声明函》。第（6）条提供监狱企业的证明文件。第（7）条提供《残疾人福利性单位声明函》。</w:t>
      </w:r>
    </w:p>
    <w:p w14:paraId="033C3BD7">
      <w:pPr>
        <w:spacing w:line="400" w:lineRule="exact"/>
        <w:ind w:firstLine="420" w:firstLineChars="200"/>
        <w:rPr>
          <w:rFonts w:hint="eastAsia" w:ascii="宋体" w:hAnsi="宋体" w:cs="宋体"/>
          <w:sz w:val="21"/>
          <w:szCs w:val="18"/>
          <w:highlight w:val="none"/>
        </w:rPr>
      </w:pPr>
    </w:p>
    <w:p w14:paraId="0FA2D108">
      <w:pPr>
        <w:rPr>
          <w:rFonts w:hint="eastAsia"/>
          <w:color w:val="000000" w:themeColor="text1"/>
          <w:highlight w:val="none"/>
          <w14:textFill>
            <w14:solidFill>
              <w14:schemeClr w14:val="tx1"/>
            </w14:solidFill>
          </w14:textFill>
        </w:rPr>
        <w:sectPr>
          <w:footerReference r:id="rId7" w:type="first"/>
          <w:footerReference r:id="rId6" w:type="default"/>
          <w:pgSz w:w="11906" w:h="16838"/>
          <w:pgMar w:top="1418" w:right="1247" w:bottom="1418" w:left="1588" w:header="851" w:footer="992" w:gutter="0"/>
          <w:pgNumType w:start="1"/>
          <w:cols w:space="720" w:num="1"/>
          <w:titlePg/>
          <w:docGrid w:linePitch="312" w:charSpace="0"/>
        </w:sectPr>
      </w:pPr>
    </w:p>
    <w:p w14:paraId="70FD9DD0">
      <w:pPr>
        <w:numPr>
          <w:ilvl w:val="0"/>
          <w:numId w:val="6"/>
        </w:numPr>
        <w:jc w:val="center"/>
        <w:rPr>
          <w:rFonts w:hint="eastAsia" w:ascii="Times New Roman" w:hAnsi="Times New Roman" w:eastAsia="宋体" w:cs="Times New Roman"/>
          <w:b/>
          <w:color w:val="000000" w:themeColor="text1"/>
          <w:kern w:val="44"/>
          <w:sz w:val="44"/>
          <w:highlight w:val="none"/>
          <w:lang w:val="en-US" w:eastAsia="zh-CN" w:bidi="ar-SA"/>
          <w14:textFill>
            <w14:solidFill>
              <w14:schemeClr w14:val="tx1"/>
            </w14:solidFill>
          </w14:textFill>
        </w:rPr>
      </w:pPr>
      <w:bookmarkStart w:id="73" w:name="_Toc55578495"/>
      <w:r>
        <w:rPr>
          <w:rFonts w:hint="eastAsia" w:ascii="Times New Roman" w:hAnsi="Times New Roman" w:eastAsia="宋体" w:cs="Times New Roman"/>
          <w:b/>
          <w:color w:val="000000" w:themeColor="text1"/>
          <w:kern w:val="44"/>
          <w:sz w:val="44"/>
          <w:highlight w:val="none"/>
          <w:lang w:val="en-US" w:eastAsia="zh-CN" w:bidi="ar-SA"/>
          <w14:textFill>
            <w14:solidFill>
              <w14:schemeClr w14:val="tx1"/>
            </w14:solidFill>
          </w14:textFill>
        </w:rPr>
        <w:t xml:space="preserve"> 采购需求</w:t>
      </w:r>
      <w:bookmarkEnd w:id="73"/>
    </w:p>
    <w:p w14:paraId="74A167A0">
      <w:pPr>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一、技术要求</w:t>
      </w:r>
    </w:p>
    <w:p w14:paraId="288C8F40">
      <w:pPr>
        <w:rPr>
          <w:rFonts w:hint="eastAsia" w:ascii="Times New Roman" w:hAnsi="Times New Roman" w:eastAsia="宋体" w:cs="Times New Roman"/>
          <w:b/>
          <w:bCs/>
          <w:sz w:val="24"/>
          <w:szCs w:val="24"/>
          <w:highlight w:val="none"/>
          <w:lang w:val="en-US" w:eastAsia="zh-CN"/>
        </w:rPr>
      </w:pPr>
    </w:p>
    <w:p w14:paraId="11F916F0">
      <w:pPr>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采购需求表</w:t>
      </w:r>
    </w:p>
    <w:tbl>
      <w:tblPr>
        <w:tblStyle w:val="43"/>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7"/>
        <w:gridCol w:w="733"/>
        <w:gridCol w:w="903"/>
        <w:gridCol w:w="818"/>
        <w:gridCol w:w="819"/>
        <w:gridCol w:w="1085"/>
        <w:gridCol w:w="1136"/>
        <w:gridCol w:w="5192"/>
        <w:gridCol w:w="2532"/>
      </w:tblGrid>
      <w:tr w14:paraId="6918A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DA6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bookmarkStart w:id="74" w:name="_第五部分__"/>
            <w:bookmarkEnd w:id="74"/>
            <w:bookmarkStart w:id="75" w:name="_Toc55578496"/>
            <w:r>
              <w:rPr>
                <w:rFonts w:hint="eastAsia" w:ascii="宋体" w:hAnsi="宋体" w:eastAsia="宋体" w:cs="宋体"/>
                <w:b/>
                <w:bCs/>
                <w:i w:val="0"/>
                <w:iCs w:val="0"/>
                <w:color w:val="000000"/>
                <w:kern w:val="0"/>
                <w:sz w:val="22"/>
                <w:szCs w:val="22"/>
                <w:highlight w:val="none"/>
                <w:u w:val="none"/>
                <w:lang w:val="en-US" w:eastAsia="zh-CN" w:bidi="ar"/>
              </w:rPr>
              <w:t>类别</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B9B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7533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项目名称</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0DA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总数量</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DF7A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数量单位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4EED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单价（万元）</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25A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金额（万元）</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C216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原材料参数要求</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7C6A">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服务要求</w:t>
            </w:r>
          </w:p>
        </w:tc>
      </w:tr>
      <w:tr w14:paraId="2EEF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E415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假肢矫形器类</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58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F97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大腿假肢适配服务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4A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190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2E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3F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0.65 </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35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123.50 </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AF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可调旋转三爪连接件为钛合金材质，自重≤158g，产品经热处理，确保产品强度，产品表面进行抛光处理，外表光洁，无麻点；2.四连杆气压膝关节超轻、超硬镁铝合金材料，自重≤770g；最大承重为100Kg；四连杆气压架构设计，行走稳定自然；关节整体高度≤230mm；关节带有管接锁紧装置；最大屈曲角度：≥140°；关节应轻便耐用，穿戴者能量消耗少，控制自如；兼具平滑及耐久性，行走更轻松省力；3.大腿可调一体管为一体化连接管，铝合金材料，管连接头为钛合金材料；两者连接牢靠，不松动；自重≤258g；最大承重为100Kg；管壁厚度不低于2mm,管直径Φ30mm；说明：管接头表面采用数控机床加工，确保产品的一致性和外表光洁；4.储能脚适配尺码21～27cm；规格L/R；最大承重为100kg；碳纤维复合材料脚芯、分趾设计、聚氨酯外皮、仿真外形；储能效果好、强度高；耐用性强，分趾设计，更适用于农村或山区患者装配，踝部为钛合金材质。</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0665A9E">
            <w:pPr>
              <w:keepNext w:val="0"/>
              <w:keepLines w:val="0"/>
              <w:widowControl/>
              <w:suppressLineNumbers w:val="0"/>
              <w:jc w:val="left"/>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服务要求：1.在深入基层进一步组织进行辅具需求筛查和适配服务评估基础上，完成不低于以上数量的残疾人假肢矫形器等适配服务。如需对服务项目内容调整，必须事先经甲方同意；</w:t>
            </w:r>
            <w:r>
              <w:rPr>
                <w:rFonts w:hint="eastAsia" w:ascii="宋体" w:hAnsi="宋体" w:eastAsia="宋体" w:cs="宋体"/>
                <w:b/>
                <w:bCs/>
                <w:i w:val="0"/>
                <w:iCs w:val="0"/>
                <w:color w:val="000000"/>
                <w:kern w:val="0"/>
                <w:sz w:val="22"/>
                <w:szCs w:val="22"/>
                <w:highlight w:val="none"/>
                <w:u w:val="none"/>
                <w:lang w:val="en-US" w:eastAsia="zh-CN" w:bidi="ar"/>
              </w:rPr>
              <w:t>2.适配辅具材质要不低于本采购计划中的原材料参数要求，除矫形器、矫形鞋质保期2年，其余假肢质保期3年，</w:t>
            </w:r>
            <w:r>
              <w:rPr>
                <w:rFonts w:hint="eastAsia" w:ascii="宋体" w:hAnsi="宋体" w:eastAsia="宋体" w:cs="宋体"/>
                <w:i w:val="0"/>
                <w:iCs w:val="0"/>
                <w:color w:val="000000"/>
                <w:kern w:val="0"/>
                <w:sz w:val="22"/>
                <w:szCs w:val="22"/>
                <w:highlight w:val="none"/>
                <w:u w:val="none"/>
                <w:lang w:val="en-US" w:eastAsia="zh-CN" w:bidi="ar"/>
              </w:rPr>
              <w:t>每年对服务对象开展回访服务3次以上；3.假肢、矫形器类辅具适配在满足边境村、边境县、乡村振兴重点县符合条件的残疾人和高校残疾人大学生基础上可扩展到其他地区；4.辅具适配服务档案建档率100%，残疾人满意度调查达到90%以上。（注：采购单价均包含材料费和相关适配服务费等）</w:t>
            </w:r>
          </w:p>
        </w:tc>
      </w:tr>
      <w:tr w14:paraId="2851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0F4C2">
            <w:pPr>
              <w:jc w:val="center"/>
              <w:rPr>
                <w:rFonts w:hint="eastAsia" w:ascii="宋体" w:hAnsi="宋体" w:eastAsia="宋体" w:cs="宋体"/>
                <w:b/>
                <w:bCs/>
                <w:i w:val="0"/>
                <w:iCs w:val="0"/>
                <w:color w:val="000000"/>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53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EB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小腿假肢适配服务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F8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195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34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77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0.35 </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008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68.25 </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F86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钛合金四爪方锥连接件，自重≤57g，最大承重为125kg，经热处理，确保产品强度，产品表面进行抛光处理，外表光洁，无麻点；2.小腿可调一体管为一体化连接管，铝合金材料，管连接头为钛合金材料，两者连接牢靠，不松动，自重≤159g，最大承重为100Kg；铝合金材料管壁厚度不低于2mm,管直径Φ30mm；管接头表面采用数控机床加工，确保产品的一致性和外表光洁；3.动踝脚（带踝）适配尺码21～27cm，规格L/R，最大承重为100kg；储能脚碳纤维复合材料脚芯、分趾设计、聚氨酯外皮、仿真外形；储能效果好、强度高；耐用性强，分趾设计，更适用于农村或山区患者装配，踝部为钛合金材质；根据残疾人需求个性化定制。</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0410A1">
            <w:pPr>
              <w:jc w:val="left"/>
              <w:rPr>
                <w:rFonts w:hint="eastAsia" w:ascii="宋体" w:hAnsi="宋体" w:eastAsia="宋体" w:cs="宋体"/>
                <w:i w:val="0"/>
                <w:iCs w:val="0"/>
                <w:color w:val="000000"/>
                <w:sz w:val="22"/>
                <w:szCs w:val="22"/>
                <w:highlight w:val="none"/>
                <w:u w:val="none"/>
              </w:rPr>
            </w:pPr>
          </w:p>
        </w:tc>
      </w:tr>
      <w:tr w14:paraId="1A1D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412BF">
            <w:pPr>
              <w:jc w:val="center"/>
              <w:rPr>
                <w:rFonts w:hint="eastAsia" w:ascii="宋体" w:hAnsi="宋体" w:eastAsia="宋体" w:cs="宋体"/>
                <w:b/>
                <w:bCs/>
                <w:i w:val="0"/>
                <w:iCs w:val="0"/>
                <w:color w:val="000000"/>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E4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BE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前臂假肢适配服务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27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27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1B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A1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0.30 </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98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8.10 </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62B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前臂手头拉动大拇指可控制手动作；腕关节被动旋转；手指并拢时大拇指指尖至腕关节124mm，腕关节直径45mm，手头重量≤0.2kg；骨架为铝合金材质。</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1027A2">
            <w:pPr>
              <w:jc w:val="left"/>
              <w:rPr>
                <w:rFonts w:hint="eastAsia" w:ascii="宋体" w:hAnsi="宋体" w:eastAsia="宋体" w:cs="宋体"/>
                <w:i w:val="0"/>
                <w:iCs w:val="0"/>
                <w:color w:val="000000"/>
                <w:sz w:val="22"/>
                <w:szCs w:val="22"/>
                <w:highlight w:val="none"/>
                <w:u w:val="none"/>
              </w:rPr>
            </w:pPr>
          </w:p>
        </w:tc>
      </w:tr>
      <w:tr w14:paraId="0940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78C35">
            <w:pPr>
              <w:jc w:val="center"/>
              <w:rPr>
                <w:rFonts w:hint="eastAsia" w:ascii="宋体" w:hAnsi="宋体" w:eastAsia="宋体" w:cs="宋体"/>
                <w:b/>
                <w:bCs/>
                <w:i w:val="0"/>
                <w:iCs w:val="0"/>
                <w:color w:val="000000"/>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EB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A20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上臂假肢适配服务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8C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D3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F4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0.55 </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03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5.50 </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0529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臂假肢手头张开距离≥85mm，手指捏力≥5N；腕关节直径Ф45mm；大拇指尖到腕关节底部的距离120-125mm；大拇指可扳动打开，腕关节被动旋转；肘关节被动多角度伸屈，肘关节被动松开后，前臂可前后自然摆动；手指被动开、合，腕关节被动旋转；前臂筒采用高强度环保整体成型，外型美观；肘关节被动多角度伸屈，肘关节被动松开后，前臂可前后自然摆动。</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8B6FB6">
            <w:pPr>
              <w:jc w:val="left"/>
              <w:rPr>
                <w:rFonts w:hint="eastAsia" w:ascii="宋体" w:hAnsi="宋体" w:eastAsia="宋体" w:cs="宋体"/>
                <w:i w:val="0"/>
                <w:iCs w:val="0"/>
                <w:color w:val="000000"/>
                <w:sz w:val="22"/>
                <w:szCs w:val="22"/>
                <w:highlight w:val="none"/>
                <w:u w:val="none"/>
              </w:rPr>
            </w:pPr>
          </w:p>
        </w:tc>
      </w:tr>
      <w:tr w14:paraId="4E09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E3757">
            <w:pPr>
              <w:jc w:val="center"/>
              <w:rPr>
                <w:rFonts w:hint="eastAsia" w:ascii="宋体" w:hAnsi="宋体" w:eastAsia="宋体" w:cs="宋体"/>
                <w:b/>
                <w:bCs/>
                <w:i w:val="0"/>
                <w:iCs w:val="0"/>
                <w:color w:val="000000"/>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FD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9FB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膝部假肢适配服务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84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20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80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0.50 </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754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2.50 </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400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四连杆气压膝离断关节为超硬铝镁合金材料，重量≤900g，最大承重为100Kg，四连杆气压架构设计，关节整体高度190-195mm；关节带有管接锁紧装置；最大屈曲角度：≤145°；2.大腿可调一体管为铝合金材料，管连接头为钛合金材料，自重≤258g；最大承重为100Kg；管壁厚度不低于2mm,管直径Φ30mm；管接头表面采用数控机床加工，确保产品的一致性和外表光洁；3.储能脚适配尺码：21～27cm，规格L/R，最大承重为100kg；碳纤维复合材料脚芯、分趾设计、聚氨酯外皮、仿真外形；储能效果好、强度高；耐用性强，分趾设计，更适用于农村或山区患者装配，踝部为钛合金材质。</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B34551">
            <w:pPr>
              <w:jc w:val="left"/>
              <w:rPr>
                <w:rFonts w:hint="eastAsia" w:ascii="宋体" w:hAnsi="宋体" w:eastAsia="宋体" w:cs="宋体"/>
                <w:i w:val="0"/>
                <w:iCs w:val="0"/>
                <w:color w:val="000000"/>
                <w:sz w:val="22"/>
                <w:szCs w:val="22"/>
                <w:highlight w:val="none"/>
                <w:u w:val="none"/>
              </w:rPr>
            </w:pPr>
          </w:p>
        </w:tc>
      </w:tr>
    </w:tbl>
    <w:p w14:paraId="690518F0">
      <w:pPr>
        <w:jc w:val="center"/>
        <w:rPr>
          <w:rFonts w:hint="eastAsia" w:ascii="宋体" w:hAnsi="宋体" w:eastAsia="宋体" w:cs="宋体"/>
          <w:b/>
          <w:bCs/>
          <w:i w:val="0"/>
          <w:iCs w:val="0"/>
          <w:color w:val="000000"/>
          <w:sz w:val="22"/>
          <w:szCs w:val="22"/>
          <w:highlight w:val="none"/>
          <w:u w:val="none"/>
        </w:rPr>
        <w:sectPr>
          <w:footerReference r:id="rId9" w:type="first"/>
          <w:footerReference r:id="rId8" w:type="default"/>
          <w:pgSz w:w="16838" w:h="11906" w:orient="landscape"/>
          <w:pgMar w:top="1588" w:right="1418" w:bottom="1247" w:left="1418" w:header="851" w:footer="992" w:gutter="0"/>
          <w:pgNumType w:fmt="decimal"/>
          <w:cols w:space="720" w:num="1"/>
          <w:titlePg/>
          <w:docGrid w:linePitch="312" w:charSpace="0"/>
        </w:sectPr>
      </w:pPr>
    </w:p>
    <w:tbl>
      <w:tblPr>
        <w:tblStyle w:val="43"/>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7"/>
        <w:gridCol w:w="733"/>
        <w:gridCol w:w="903"/>
        <w:gridCol w:w="818"/>
        <w:gridCol w:w="819"/>
        <w:gridCol w:w="1085"/>
        <w:gridCol w:w="982"/>
        <w:gridCol w:w="5346"/>
        <w:gridCol w:w="2532"/>
      </w:tblGrid>
      <w:tr w14:paraId="72B6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vMerge w:val="restart"/>
            <w:tcBorders>
              <w:top w:val="single" w:color="000000" w:sz="4" w:space="0"/>
              <w:left w:val="single" w:color="000000" w:sz="4" w:space="0"/>
              <w:right w:val="single" w:color="000000" w:sz="4" w:space="0"/>
            </w:tcBorders>
            <w:shd w:val="clear" w:color="auto" w:fill="auto"/>
            <w:vAlign w:val="center"/>
          </w:tcPr>
          <w:p w14:paraId="232CFA31">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49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F4D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髋部假肢适配服务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34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EB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9C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FA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1.60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D09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髋关节连接件为钛合金材质；2.四连杆气压膝关节采用超轻、超硬镁铝合金材料制造；自重≤770g；最大承重为100Kg；四连杆气压架构设计，行走稳定自然；关节整体高度≤230mm；关节带有管接锁紧装置；最大屈曲角度：≥140°；关节应轻便耐用，穿戴者能量消耗少，控制自如；兼具平滑及耐久性，行走更轻松省力；3.大腿可调一体管应为一体化连接管，铝合金材料，管连接头为钛合金材料；两者连接牢靠，不松动；自重≤258g；最大承重100Kg；管壁厚度不低于2mm,管直径Φ30mm；说明：管接头表面采用数控机床加工，确保产品的一致性和外表光洁；4.储能脚适配尺码：21～27cm;规格L/R；最大承重100kg；碳纤维复合材料脚芯、分趾设计、聚氨酯外皮、仿真外形；储能效果好、强度高；耐用性强，分趾设计，更适用于农村或山区患者装配，踝部为钛合金材质。</w:t>
            </w:r>
          </w:p>
        </w:tc>
        <w:tc>
          <w:tcPr>
            <w:tcW w:w="891" w:type="pct"/>
            <w:vMerge w:val="restart"/>
            <w:tcBorders>
              <w:top w:val="single" w:color="000000" w:sz="4" w:space="0"/>
              <w:left w:val="single" w:color="000000" w:sz="4" w:space="0"/>
              <w:right w:val="single" w:color="000000" w:sz="4" w:space="0"/>
            </w:tcBorders>
            <w:shd w:val="clear" w:color="auto" w:fill="auto"/>
            <w:vAlign w:val="top"/>
          </w:tcPr>
          <w:p w14:paraId="48519D75">
            <w:pPr>
              <w:jc w:val="left"/>
              <w:rPr>
                <w:rFonts w:hint="eastAsia" w:ascii="宋体" w:hAnsi="宋体" w:eastAsia="宋体" w:cs="宋体"/>
                <w:i w:val="0"/>
                <w:iCs w:val="0"/>
                <w:color w:val="000000"/>
                <w:sz w:val="22"/>
                <w:szCs w:val="22"/>
                <w:highlight w:val="none"/>
                <w:u w:val="none"/>
              </w:rPr>
            </w:pPr>
          </w:p>
        </w:tc>
      </w:tr>
      <w:tr w14:paraId="12F8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741EC">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26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AA7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足部假肢适配服务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89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01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7C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1F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8B69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硅胶或板材制作足套式假脚。</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E46790">
            <w:pPr>
              <w:jc w:val="left"/>
              <w:rPr>
                <w:rFonts w:hint="eastAsia" w:ascii="宋体" w:hAnsi="宋体" w:eastAsia="宋体" w:cs="宋体"/>
                <w:i w:val="0"/>
                <w:iCs w:val="0"/>
                <w:color w:val="000000"/>
                <w:sz w:val="22"/>
                <w:szCs w:val="22"/>
                <w:highlight w:val="none"/>
                <w:u w:val="none"/>
              </w:rPr>
            </w:pPr>
          </w:p>
        </w:tc>
      </w:tr>
      <w:tr w14:paraId="72C5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B93DA">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4C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FE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手部假肢适配服务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AB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A3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D1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851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FD6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硅胶材质，仿真定制。</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65A310">
            <w:pPr>
              <w:jc w:val="left"/>
              <w:rPr>
                <w:rFonts w:hint="eastAsia" w:ascii="宋体" w:hAnsi="宋体" w:eastAsia="宋体" w:cs="宋体"/>
                <w:i w:val="0"/>
                <w:iCs w:val="0"/>
                <w:color w:val="000000"/>
                <w:sz w:val="22"/>
                <w:szCs w:val="22"/>
                <w:highlight w:val="none"/>
                <w:u w:val="none"/>
              </w:rPr>
            </w:pPr>
          </w:p>
        </w:tc>
      </w:tr>
      <w:tr w14:paraId="74F8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9120">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78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9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6A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矫形器适配服务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6F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D4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985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0.15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00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DEE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1.高分子聚丙烯（PP）材质；2.成人落环锁膝铰链的关节体材质为不锈钢，支条材质为超硬航空铝合金，支条规格为成人大号6×19mm，全长850mm，最大承重为 90KG，铰链可锁定于0º位，屈曲固定角度二次可调，调动角度间隔6度；3.成人棘爪锁膝铰链的关节体材质为不锈钢，支条材质为超硬航空铝合金，支条规格为成人大号6×19mm，全长 850mm，最大承重 90KG，铰链可锁定于0º位，屈曲固定角度二次可调，调动角度间隔6度。</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6A72F8">
            <w:pPr>
              <w:jc w:val="left"/>
              <w:rPr>
                <w:rFonts w:hint="eastAsia" w:ascii="宋体" w:hAnsi="宋体" w:eastAsia="宋体" w:cs="宋体"/>
                <w:i w:val="0"/>
                <w:iCs w:val="0"/>
                <w:color w:val="000000"/>
                <w:sz w:val="22"/>
                <w:szCs w:val="22"/>
                <w:highlight w:val="none"/>
                <w:u w:val="none"/>
              </w:rPr>
            </w:pPr>
          </w:p>
        </w:tc>
      </w:tr>
      <w:tr w14:paraId="0E35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86FC2">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3E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CE6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踝足矫形器适配服务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A8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61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9A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8A8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05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个性化定制，热塑板材。</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A4ED8D">
            <w:pPr>
              <w:jc w:val="left"/>
              <w:rPr>
                <w:rFonts w:hint="eastAsia" w:ascii="宋体" w:hAnsi="宋体" w:eastAsia="宋体" w:cs="宋体"/>
                <w:i w:val="0"/>
                <w:iCs w:val="0"/>
                <w:color w:val="000000"/>
                <w:sz w:val="22"/>
                <w:szCs w:val="22"/>
                <w:highlight w:val="none"/>
                <w:u w:val="none"/>
              </w:rPr>
            </w:pPr>
          </w:p>
        </w:tc>
      </w:tr>
      <w:tr w14:paraId="0AB3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0DCE5">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77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B1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矫形鞋适配服务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E4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3E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30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C8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10.00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54AC">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个性化定制，三维弧度后跟杯状设计，防止后跟旋转，高密度材料。</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0D97D2">
            <w:pPr>
              <w:jc w:val="left"/>
              <w:rPr>
                <w:rFonts w:hint="eastAsia" w:ascii="宋体" w:hAnsi="宋体" w:eastAsia="宋体" w:cs="宋体"/>
                <w:i w:val="0"/>
                <w:iCs w:val="0"/>
                <w:color w:val="000000"/>
                <w:sz w:val="22"/>
                <w:szCs w:val="22"/>
                <w:highlight w:val="none"/>
                <w:u w:val="none"/>
              </w:rPr>
            </w:pPr>
          </w:p>
        </w:tc>
      </w:tr>
      <w:tr w14:paraId="3973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F0807">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D2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515C">
            <w:pPr>
              <w:jc w:val="center"/>
              <w:rPr>
                <w:rFonts w:hint="eastAsia" w:ascii="宋体" w:hAnsi="宋体" w:eastAsia="宋体" w:cs="宋体"/>
                <w:i w:val="0"/>
                <w:iCs w:val="0"/>
                <w:color w:val="000000"/>
                <w:sz w:val="22"/>
                <w:szCs w:val="22"/>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ED9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699 </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504B7">
            <w:pPr>
              <w:rPr>
                <w:rFonts w:hint="eastAsia" w:ascii="宋体" w:hAnsi="宋体" w:eastAsia="宋体" w:cs="宋体"/>
                <w:i w:val="0"/>
                <w:iCs w:val="0"/>
                <w:color w:val="000000"/>
                <w:sz w:val="22"/>
                <w:szCs w:val="22"/>
                <w:highlight w:val="none"/>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B2014">
            <w:pPr>
              <w:rPr>
                <w:rFonts w:hint="eastAsia" w:ascii="宋体" w:hAnsi="宋体" w:eastAsia="宋体" w:cs="宋体"/>
                <w:i w:val="0"/>
                <w:iCs w:val="0"/>
                <w:color w:val="000000"/>
                <w:sz w:val="22"/>
                <w:szCs w:val="22"/>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2DD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226.45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452DB">
            <w:pPr>
              <w:jc w:val="left"/>
              <w:rPr>
                <w:rFonts w:hint="eastAsia" w:ascii="宋体" w:hAnsi="宋体" w:eastAsia="宋体" w:cs="宋体"/>
                <w:i w:val="0"/>
                <w:iCs w:val="0"/>
                <w:color w:val="000000"/>
                <w:sz w:val="22"/>
                <w:szCs w:val="22"/>
                <w:highlight w:val="none"/>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311C80">
            <w:pPr>
              <w:jc w:val="left"/>
              <w:rPr>
                <w:rFonts w:hint="eastAsia" w:ascii="宋体" w:hAnsi="宋体" w:eastAsia="宋体" w:cs="宋体"/>
                <w:i w:val="0"/>
                <w:iCs w:val="0"/>
                <w:color w:val="000000"/>
                <w:sz w:val="22"/>
                <w:szCs w:val="22"/>
                <w:highlight w:val="none"/>
                <w:u w:val="none"/>
              </w:rPr>
            </w:pPr>
          </w:p>
        </w:tc>
      </w:tr>
      <w:tr w14:paraId="1CF0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5ED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助听类</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65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8A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听障智能眼镜</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8D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08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副</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92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0.22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5FA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18.70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7FB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主要参数：入眼峰值亮度≥2000nits，高折射率钢化玻璃，重量≤50g，双眼分辨率≥640×480，防漏音≤30dB，供电时长≥8小时,尺寸适合成人佩戴，具有AI助理、同步文字传译等功能。</w:t>
            </w:r>
            <w:bookmarkStart w:id="87" w:name="_GoBack"/>
            <w:bookmarkEnd w:id="87"/>
          </w:p>
        </w:tc>
        <w:tc>
          <w:tcPr>
            <w:tcW w:w="891" w:type="pct"/>
            <w:tcBorders>
              <w:top w:val="single" w:color="000000" w:sz="4" w:space="0"/>
              <w:left w:val="single" w:color="000000" w:sz="4" w:space="0"/>
              <w:bottom w:val="nil"/>
              <w:right w:val="single" w:color="000000" w:sz="4" w:space="0"/>
            </w:tcBorders>
            <w:shd w:val="clear" w:color="auto" w:fill="auto"/>
            <w:vAlign w:val="top"/>
          </w:tcPr>
          <w:p w14:paraId="2728819F">
            <w:pPr>
              <w:keepNext w:val="0"/>
              <w:keepLines w:val="0"/>
              <w:widowControl/>
              <w:suppressLineNumbers w:val="0"/>
              <w:jc w:val="left"/>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服务要求：1.每年对服务对象开展回访服务3次以上；2.听力智能眼镜保修期3年以上；3.辅具适配服务档案建档率100%，残疾人满意度调查达到90%以上。</w:t>
            </w:r>
          </w:p>
        </w:tc>
      </w:tr>
      <w:tr w14:paraId="51D9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EAAE">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06DE">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w:t>
            </w:r>
          </w:p>
        </w:tc>
        <w:tc>
          <w:tcPr>
            <w:tcW w:w="317" w:type="pct"/>
            <w:tcBorders>
              <w:top w:val="single" w:color="000000" w:sz="4" w:space="0"/>
              <w:left w:val="single" w:color="000000" w:sz="4" w:space="0"/>
              <w:bottom w:val="single" w:color="auto" w:sz="4" w:space="0"/>
              <w:right w:val="single" w:color="000000" w:sz="4" w:space="0"/>
            </w:tcBorders>
            <w:shd w:val="clear" w:color="auto" w:fill="auto"/>
            <w:vAlign w:val="center"/>
          </w:tcPr>
          <w:p w14:paraId="13C4A5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儿童助听器（0-6岁）</w:t>
            </w:r>
            <w:r>
              <w:rPr>
                <w:rFonts w:hint="eastAsia" w:ascii="宋体" w:hAnsi="宋体" w:cs="宋体"/>
                <w:i w:val="0"/>
                <w:iCs w:val="0"/>
                <w:color w:val="000000"/>
                <w:kern w:val="0"/>
                <w:sz w:val="22"/>
                <w:szCs w:val="22"/>
                <w:highlight w:val="none"/>
                <w:u w:val="none"/>
                <w:lang w:val="en-US" w:eastAsia="zh-CN" w:bidi="ar"/>
              </w:rPr>
              <w:t>大功率</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0E4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48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61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EC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0.36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ED2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17.28 </w:t>
            </w:r>
          </w:p>
        </w:tc>
        <w:tc>
          <w:tcPr>
            <w:tcW w:w="1881" w:type="pct"/>
            <w:tcBorders>
              <w:top w:val="single" w:color="000000" w:sz="4" w:space="0"/>
              <w:left w:val="single" w:color="000000" w:sz="4" w:space="0"/>
              <w:bottom w:val="single" w:color="000000" w:sz="4" w:space="0"/>
              <w:right w:val="nil"/>
            </w:tcBorders>
            <w:shd w:val="clear" w:color="auto" w:fill="auto"/>
            <w:vAlign w:val="center"/>
          </w:tcPr>
          <w:p w14:paraId="0D3A52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大功率助听器（48台）：最大饱和声压级 OSPL90 (dB)≥130 SPL；最大满档声增益(dB)≥70db  SPL；等效输入噪声级(dB)≤10dB；总谐波失真（%）≤1%；频率响应范围（Hz）200-7000Hz；额定电源电流消耗（mA）≤1.20mA；感应拾音线圈最大灵敏度(dB)≥110dB SPL；全数字信号处理；双麦克风技术；独立调节通道数和频段数≥20个；聆听程序设置≥4个；自动声反馈抑制设置；自适应噪声抑制； 低电压提示；音量控制；具有频率转移技术；宽动态范围压缩；直连远程麦克风；兼容Noah软件；内置测听功能；兼容FM。</w:t>
            </w:r>
            <w:r>
              <w:rPr>
                <w:rFonts w:hint="eastAsia" w:ascii="宋体" w:hAnsi="宋体" w:eastAsia="宋体" w:cs="宋体"/>
                <w:b/>
                <w:bCs/>
                <w:i w:val="0"/>
                <w:iCs w:val="0"/>
                <w:color w:val="000000"/>
                <w:kern w:val="0"/>
                <w:sz w:val="22"/>
                <w:szCs w:val="22"/>
                <w:highlight w:val="none"/>
                <w:u w:val="none"/>
                <w:lang w:val="en-US" w:eastAsia="zh-CN" w:bidi="ar"/>
              </w:rPr>
              <w:t>注：大功率助听器和特大功率助听器采购数量根据残疾人实际评估后确认，可在采购数量内进行调整。</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038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要求：1.每年对服务对象开展回访服务3次以上；2.助听器类不分包采购；3.不得用特大功率助听器代替大功率助听器投标；4.每台助听器赠送耳模1只、干燥盒1只、电池1板；5.助听器经销商需要赠送无线助听器编程仪10套以上，并提供相关技术指导服务；6.助听器保修期3年以上；7.辅具适配服务档案建档率100%，残疾人满意度调查达到90%以上。</w:t>
            </w:r>
          </w:p>
        </w:tc>
      </w:tr>
      <w:tr w14:paraId="7BA6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45F9">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00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317" w:type="pct"/>
            <w:tcBorders>
              <w:top w:val="single" w:color="auto" w:sz="4" w:space="0"/>
              <w:left w:val="single" w:color="000000" w:sz="4" w:space="0"/>
              <w:bottom w:val="single" w:color="auto" w:sz="4" w:space="0"/>
              <w:right w:val="single" w:color="000000" w:sz="4" w:space="0"/>
            </w:tcBorders>
            <w:shd w:val="clear" w:color="auto" w:fill="auto"/>
            <w:vAlign w:val="center"/>
          </w:tcPr>
          <w:p w14:paraId="1AD62CA6">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儿童助听器（0-6岁）特</w:t>
            </w:r>
            <w:r>
              <w:rPr>
                <w:rFonts w:hint="eastAsia" w:ascii="宋体" w:hAnsi="宋体" w:cs="宋体"/>
                <w:i w:val="0"/>
                <w:iCs w:val="0"/>
                <w:color w:val="000000"/>
                <w:kern w:val="0"/>
                <w:sz w:val="22"/>
                <w:szCs w:val="22"/>
                <w:highlight w:val="none"/>
                <w:u w:val="none"/>
                <w:lang w:val="en-US" w:eastAsia="zh-CN" w:bidi="ar"/>
              </w:rPr>
              <w:t>大功率</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B5C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96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73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48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0.36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A5A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34.56 </w:t>
            </w:r>
          </w:p>
        </w:tc>
        <w:tc>
          <w:tcPr>
            <w:tcW w:w="1881" w:type="pct"/>
            <w:tcBorders>
              <w:top w:val="single" w:color="000000" w:sz="4" w:space="0"/>
              <w:left w:val="single" w:color="000000" w:sz="4" w:space="0"/>
              <w:bottom w:val="single" w:color="000000" w:sz="4" w:space="0"/>
              <w:right w:val="nil"/>
            </w:tcBorders>
            <w:shd w:val="clear" w:color="auto" w:fill="auto"/>
            <w:vAlign w:val="center"/>
          </w:tcPr>
          <w:p w14:paraId="2F86618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特大功率助听器（96台）：</w:t>
            </w:r>
            <w:r>
              <w:rPr>
                <w:rFonts w:hint="eastAsia" w:ascii="宋体" w:hAnsi="宋体" w:eastAsia="宋体" w:cs="宋体"/>
                <w:i w:val="0"/>
                <w:iCs w:val="0"/>
                <w:color w:val="000000"/>
                <w:kern w:val="0"/>
                <w:sz w:val="22"/>
                <w:szCs w:val="22"/>
                <w:highlight w:val="none"/>
                <w:u w:val="none"/>
                <w:lang w:val="en-US" w:eastAsia="zh-CN" w:bidi="ar"/>
              </w:rPr>
              <w:t>最大饱和声压级 OSPL90 (dB)≥139dB SPL；最大满档声增益(dB)≥80dB  SPL；等效输入噪声级(dB)≤16dB；总谐波失真（%）≤1.5%；频率响应范围（Hz）200-6200Hz；额定电源电流消耗（mA）≤1.50mA；感应拾音线圈最大灵敏度(dB)≥120dB SPL；全数字信号处理；双麦克风技术；独立调节通道数和频段数≥20个；聆听程序设置≥4个；自动声反馈抑制设置；自适应噪声抑制；低电压提示；音量控制；具有频率转移技术；宽动态范围压缩；直连远程麦克风；兼容Noah软件；内置测听功能；兼容F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注：大功率助听器和特大功率助听器采购数量根据残疾人实际评估后确认，可在采购数量内进行调整。</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95620">
            <w:pPr>
              <w:jc w:val="center"/>
              <w:rPr>
                <w:rFonts w:hint="eastAsia" w:ascii="宋体" w:hAnsi="宋体" w:eastAsia="宋体" w:cs="宋体"/>
                <w:i w:val="0"/>
                <w:iCs w:val="0"/>
                <w:color w:val="000000"/>
                <w:sz w:val="22"/>
                <w:szCs w:val="22"/>
                <w:highlight w:val="none"/>
                <w:u w:val="none"/>
              </w:rPr>
            </w:pPr>
          </w:p>
        </w:tc>
      </w:tr>
      <w:tr w14:paraId="69E1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1616">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B549">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4</w:t>
            </w:r>
          </w:p>
        </w:tc>
        <w:tc>
          <w:tcPr>
            <w:tcW w:w="317" w:type="pct"/>
            <w:tcBorders>
              <w:top w:val="single" w:color="auto" w:sz="4" w:space="0"/>
              <w:left w:val="single" w:color="000000" w:sz="4" w:space="0"/>
              <w:bottom w:val="single" w:color="auto" w:sz="4" w:space="0"/>
              <w:right w:val="single" w:color="000000" w:sz="4" w:space="0"/>
            </w:tcBorders>
            <w:shd w:val="clear" w:color="auto" w:fill="auto"/>
            <w:vAlign w:val="center"/>
          </w:tcPr>
          <w:p w14:paraId="0A0B51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助听器（7岁以上）</w:t>
            </w:r>
            <w:r>
              <w:rPr>
                <w:rFonts w:hint="eastAsia" w:ascii="宋体" w:hAnsi="宋体" w:cs="宋体"/>
                <w:i w:val="0"/>
                <w:iCs w:val="0"/>
                <w:color w:val="000000"/>
                <w:kern w:val="0"/>
                <w:sz w:val="22"/>
                <w:szCs w:val="22"/>
                <w:highlight w:val="none"/>
                <w:u w:val="none"/>
                <w:lang w:val="en-US" w:eastAsia="zh-CN" w:bidi="ar"/>
              </w:rPr>
              <w:t>大功率</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81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37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CA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8A9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11.00 </w:t>
            </w:r>
          </w:p>
        </w:tc>
        <w:tc>
          <w:tcPr>
            <w:tcW w:w="1881" w:type="pct"/>
            <w:tcBorders>
              <w:top w:val="single" w:color="000000" w:sz="4" w:space="0"/>
              <w:left w:val="single" w:color="000000" w:sz="4" w:space="0"/>
              <w:bottom w:val="single" w:color="000000" w:sz="4" w:space="0"/>
              <w:right w:val="nil"/>
            </w:tcBorders>
            <w:shd w:val="clear" w:color="auto" w:fill="auto"/>
            <w:vAlign w:val="center"/>
          </w:tcPr>
          <w:p w14:paraId="76D3CBE4">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大功率助听器：最大饱和声压级 OSPL90 (dB)≥130 SPL；最大满档声增益(dB)≥70db  SPL；等效输入噪声级(dB)≤10dB；总谐波失真（%）≤1%；频率响应范围（Hz）200-7000Hz；额定电源电流消耗（mA）≤1.20mA；感应拾音线圈最大灵敏度(dB)≥110dB SPL；全数字信号处理；双麦克风技术；独立调节通道数和频段数≥16个；聆听程序设置≥4个；自动声反馈抑制设置；自适应噪声抑制； 低电压提示；音量控制；具有频率转移技术；宽动态范围压缩；直连远程麦克风；兼容Noah软件；内置测听功能；兼容FM。注：大功率助听器和特大功率助听器采购数量根据残疾人实际评估后确认，可在采购数量内进行调整。</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61ED9">
            <w:pPr>
              <w:jc w:val="center"/>
              <w:rPr>
                <w:rFonts w:hint="eastAsia" w:ascii="宋体" w:hAnsi="宋体" w:eastAsia="宋体" w:cs="宋体"/>
                <w:i w:val="0"/>
                <w:iCs w:val="0"/>
                <w:color w:val="000000"/>
                <w:sz w:val="22"/>
                <w:szCs w:val="22"/>
                <w:highlight w:val="none"/>
                <w:u w:val="none"/>
              </w:rPr>
            </w:pPr>
          </w:p>
        </w:tc>
      </w:tr>
      <w:tr w14:paraId="0E98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D59D">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F5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317" w:type="pct"/>
            <w:tcBorders>
              <w:top w:val="single" w:color="auto" w:sz="4" w:space="0"/>
              <w:left w:val="single" w:color="000000" w:sz="4" w:space="0"/>
              <w:bottom w:val="single" w:color="auto" w:sz="4" w:space="0"/>
              <w:right w:val="single" w:color="000000" w:sz="4" w:space="0"/>
            </w:tcBorders>
            <w:shd w:val="clear" w:color="auto" w:fill="auto"/>
            <w:vAlign w:val="center"/>
          </w:tcPr>
          <w:p w14:paraId="2B4B7E12">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助听器（7岁以上）特</w:t>
            </w:r>
            <w:r>
              <w:rPr>
                <w:rFonts w:hint="eastAsia" w:ascii="宋体" w:hAnsi="宋体" w:cs="宋体"/>
                <w:i w:val="0"/>
                <w:iCs w:val="0"/>
                <w:color w:val="000000"/>
                <w:kern w:val="0"/>
                <w:sz w:val="22"/>
                <w:szCs w:val="22"/>
                <w:highlight w:val="none"/>
                <w:u w:val="none"/>
                <w:lang w:val="en-US" w:eastAsia="zh-CN" w:bidi="ar"/>
              </w:rPr>
              <w:t>大功率</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06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206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23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E0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85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41.20 </w:t>
            </w:r>
          </w:p>
        </w:tc>
        <w:tc>
          <w:tcPr>
            <w:tcW w:w="1881" w:type="pct"/>
            <w:tcBorders>
              <w:top w:val="single" w:color="000000" w:sz="4" w:space="0"/>
              <w:left w:val="single" w:color="000000" w:sz="4" w:space="0"/>
              <w:bottom w:val="single" w:color="000000" w:sz="4" w:space="0"/>
              <w:right w:val="nil"/>
            </w:tcBorders>
            <w:shd w:val="clear" w:color="auto" w:fill="auto"/>
            <w:vAlign w:val="center"/>
          </w:tcPr>
          <w:p w14:paraId="28DC6CA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特大功率助听器：</w:t>
            </w:r>
            <w:r>
              <w:rPr>
                <w:rFonts w:hint="eastAsia" w:ascii="宋体" w:hAnsi="宋体" w:eastAsia="宋体" w:cs="宋体"/>
                <w:i w:val="0"/>
                <w:iCs w:val="0"/>
                <w:color w:val="000000"/>
                <w:kern w:val="0"/>
                <w:sz w:val="22"/>
                <w:szCs w:val="22"/>
                <w:highlight w:val="none"/>
                <w:u w:val="none"/>
                <w:lang w:val="en-US" w:eastAsia="zh-CN" w:bidi="ar"/>
              </w:rPr>
              <w:t>最大饱和声压级 OSPL90 (dB)≥139dB SPL；最大满档声增益(dB)≥80dB  SPL；等效输入噪声级(dB)≤16dB；总谐波失真（%）≤1.5%；频率响应范围（Hz）200-6200Hz；额定电源电流消耗（mA）≤1.50mA；感应拾音线圈最大灵敏度(dB)≥120dB SPL；全数字信号处理；双麦克风技术；独立调节通道数和频段数≥16个；聆听程序设置≥4个；自动声反馈抑制设置；自适应噪声抑制；低电压提示；音量控制；具有频率转移技术；宽动态范围压缩；直连远程麦克风；兼容Noah软件；内置测听功能；兼容F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注：大功率助听器和特大功率助听器采购数量根据残疾人实际评估后确认，可在采购数量内进行调整。</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483E3">
            <w:pPr>
              <w:jc w:val="center"/>
              <w:rPr>
                <w:rFonts w:hint="eastAsia" w:ascii="宋体" w:hAnsi="宋体" w:eastAsia="宋体" w:cs="宋体"/>
                <w:i w:val="0"/>
                <w:iCs w:val="0"/>
                <w:color w:val="000000"/>
                <w:sz w:val="22"/>
                <w:szCs w:val="22"/>
                <w:highlight w:val="none"/>
                <w:u w:val="none"/>
              </w:rPr>
            </w:pPr>
          </w:p>
        </w:tc>
      </w:tr>
      <w:tr w14:paraId="0BC7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1448">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BEE9">
            <w:pPr>
              <w:jc w:val="center"/>
              <w:rPr>
                <w:rFonts w:hint="eastAsia" w:ascii="宋体" w:hAnsi="宋体" w:eastAsia="宋体" w:cs="宋体"/>
                <w:i w:val="0"/>
                <w:iCs w:val="0"/>
                <w:color w:val="000000"/>
                <w:sz w:val="22"/>
                <w:szCs w:val="22"/>
                <w:highlight w:val="none"/>
                <w:u w:val="none"/>
              </w:rPr>
            </w:pPr>
          </w:p>
        </w:tc>
        <w:tc>
          <w:tcPr>
            <w:tcW w:w="317" w:type="pct"/>
            <w:tcBorders>
              <w:top w:val="single" w:color="auto" w:sz="4" w:space="0"/>
              <w:left w:val="single" w:color="000000" w:sz="4" w:space="0"/>
              <w:bottom w:val="single" w:color="000000" w:sz="4" w:space="0"/>
              <w:right w:val="single" w:color="000000" w:sz="4" w:space="0"/>
            </w:tcBorders>
            <w:shd w:val="clear" w:color="auto" w:fill="auto"/>
            <w:vAlign w:val="center"/>
          </w:tcPr>
          <w:p w14:paraId="15F60C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BE3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490 </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4B6C1">
            <w:pPr>
              <w:rPr>
                <w:rFonts w:hint="eastAsia" w:ascii="宋体" w:hAnsi="宋体" w:eastAsia="宋体" w:cs="宋体"/>
                <w:i w:val="0"/>
                <w:iCs w:val="0"/>
                <w:color w:val="000000"/>
                <w:sz w:val="22"/>
                <w:szCs w:val="22"/>
                <w:highlight w:val="none"/>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063E">
            <w:pPr>
              <w:rPr>
                <w:rFonts w:hint="eastAsia" w:ascii="宋体" w:hAnsi="宋体" w:eastAsia="宋体" w:cs="宋体"/>
                <w:i w:val="0"/>
                <w:iCs w:val="0"/>
                <w:color w:val="000000"/>
                <w:sz w:val="22"/>
                <w:szCs w:val="22"/>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3B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122.74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D5622">
            <w:pPr>
              <w:jc w:val="left"/>
              <w:rPr>
                <w:rFonts w:hint="eastAsia" w:ascii="宋体" w:hAnsi="宋体" w:eastAsia="宋体" w:cs="宋体"/>
                <w:i w:val="0"/>
                <w:iCs w:val="0"/>
                <w:color w:val="000000"/>
                <w:sz w:val="22"/>
                <w:szCs w:val="22"/>
                <w:highlight w:val="none"/>
                <w:u w:val="none"/>
              </w:rPr>
            </w:pPr>
          </w:p>
        </w:tc>
        <w:tc>
          <w:tcPr>
            <w:tcW w:w="891" w:type="pct"/>
            <w:tcBorders>
              <w:top w:val="nil"/>
              <w:left w:val="single" w:color="000000" w:sz="4" w:space="0"/>
              <w:bottom w:val="single" w:color="000000" w:sz="4" w:space="0"/>
              <w:right w:val="single" w:color="000000" w:sz="4" w:space="0"/>
            </w:tcBorders>
            <w:shd w:val="clear" w:color="auto" w:fill="auto"/>
            <w:vAlign w:val="top"/>
          </w:tcPr>
          <w:p w14:paraId="3DF5CE3F">
            <w:pPr>
              <w:rPr>
                <w:rFonts w:hint="eastAsia" w:ascii="宋体" w:hAnsi="宋体" w:eastAsia="宋体" w:cs="宋体"/>
                <w:i w:val="0"/>
                <w:iCs w:val="0"/>
                <w:color w:val="000000"/>
                <w:sz w:val="22"/>
                <w:szCs w:val="22"/>
                <w:highlight w:val="none"/>
                <w:u w:val="none"/>
              </w:rPr>
            </w:pPr>
          </w:p>
        </w:tc>
      </w:tr>
      <w:tr w14:paraId="1CC0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7AE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助视类</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D6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C0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助视器</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8B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A9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2B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0.06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00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81C7B">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1.屏幕尺寸≥4.3英寸，可持续放大到32倍；</w:t>
            </w:r>
            <w:r>
              <w:rPr>
                <w:rFonts w:hint="eastAsia" w:ascii="宋体" w:hAnsi="宋体" w:eastAsia="宋体" w:cs="宋体"/>
                <w:i w:val="0"/>
                <w:iCs w:val="0"/>
                <w:color w:val="000000"/>
                <w:kern w:val="0"/>
                <w:sz w:val="22"/>
                <w:szCs w:val="22"/>
                <w:highlight w:val="none"/>
                <w:u w:val="none"/>
                <w:lang w:val="en-US" w:eastAsia="zh-CN" w:bidi="ar"/>
              </w:rPr>
              <w:t xml:space="preserve"> 2.显示模式≥4种； 3.具有图像冻结功能，且冻结后对图像进行放大、缩小、改变显示模式等操作； 4.具有省电功能，待机工作时间≥4小时。</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7BC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要求：1.适配辅具材质不低于技术指标要求，所有辅具的质保期不低于3年，每年对服务对象开展回访服务3次以上；2.设备厂商或供货商提供技术指导服务；3.辅具适配服务档案建档率100%，残疾人满意度调查达到90%以上;</w:t>
            </w:r>
          </w:p>
        </w:tc>
      </w:tr>
      <w:tr w14:paraId="44AC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540C">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F8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CD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智能导盲眼镜</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C7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95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3A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副</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4C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0.25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73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23.75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9804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方障碍物探测距离为≥1m,允许偏差≤±0.2m；探测区域范围≥上下120°，左右60°；工作时间≥8小时；基于智能图像识别、厘米级GPS导航、AI智能语音交互系统的智能导盲眼镜，搭载安卓智能操作平台，实现视力残疾人无障碍出行。同时，需具备拍照、录像、智能识别、蓝牙控制等功能。</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A609E">
            <w:pPr>
              <w:jc w:val="center"/>
              <w:rPr>
                <w:rFonts w:hint="eastAsia" w:ascii="宋体" w:hAnsi="宋体" w:eastAsia="宋体" w:cs="宋体"/>
                <w:i w:val="0"/>
                <w:iCs w:val="0"/>
                <w:color w:val="000000"/>
                <w:sz w:val="22"/>
                <w:szCs w:val="22"/>
                <w:highlight w:val="none"/>
                <w:u w:val="none"/>
              </w:rPr>
            </w:pPr>
          </w:p>
        </w:tc>
      </w:tr>
      <w:tr w14:paraId="4323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F4B3">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77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FF90A">
            <w:pPr>
              <w:jc w:val="center"/>
              <w:rPr>
                <w:rFonts w:hint="eastAsia" w:ascii="宋体" w:hAnsi="宋体" w:eastAsia="宋体" w:cs="宋体"/>
                <w:i w:val="0"/>
                <w:iCs w:val="0"/>
                <w:color w:val="000000"/>
                <w:sz w:val="22"/>
                <w:szCs w:val="22"/>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20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145.00 </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8E470">
            <w:pPr>
              <w:rPr>
                <w:rFonts w:hint="eastAsia" w:ascii="宋体" w:hAnsi="宋体" w:eastAsia="宋体" w:cs="宋体"/>
                <w:i w:val="0"/>
                <w:iCs w:val="0"/>
                <w:color w:val="000000"/>
                <w:sz w:val="22"/>
                <w:szCs w:val="22"/>
                <w:highlight w:val="none"/>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38D15">
            <w:pPr>
              <w:rPr>
                <w:rFonts w:hint="eastAsia" w:ascii="宋体" w:hAnsi="宋体" w:eastAsia="宋体" w:cs="宋体"/>
                <w:i w:val="0"/>
                <w:iCs w:val="0"/>
                <w:color w:val="000000"/>
                <w:sz w:val="22"/>
                <w:szCs w:val="22"/>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B3E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26.75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FC9A">
            <w:pPr>
              <w:jc w:val="left"/>
              <w:rPr>
                <w:rFonts w:hint="eastAsia" w:ascii="宋体" w:hAnsi="宋体" w:eastAsia="宋体" w:cs="宋体"/>
                <w:i w:val="0"/>
                <w:iCs w:val="0"/>
                <w:color w:val="000000"/>
                <w:sz w:val="22"/>
                <w:szCs w:val="22"/>
                <w:highlight w:val="none"/>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BCE3">
            <w:pPr>
              <w:rPr>
                <w:rFonts w:hint="eastAsia" w:ascii="宋体" w:hAnsi="宋体" w:eastAsia="宋体" w:cs="宋体"/>
                <w:i w:val="0"/>
                <w:iCs w:val="0"/>
                <w:color w:val="000000"/>
                <w:sz w:val="22"/>
                <w:szCs w:val="22"/>
                <w:highlight w:val="none"/>
                <w:u w:val="none"/>
              </w:rPr>
            </w:pPr>
          </w:p>
        </w:tc>
      </w:tr>
      <w:tr w14:paraId="3873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461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其他辅助器具</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FF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5AA8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站立式轮椅</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3E3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12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5E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9043">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eastAsia="宋体" w:cs="宋体"/>
                <w:b w:val="0"/>
                <w:bCs w:val="0"/>
                <w:i w:val="0"/>
                <w:iCs w:val="0"/>
                <w:color w:val="000000"/>
                <w:kern w:val="0"/>
                <w:sz w:val="22"/>
                <w:szCs w:val="22"/>
                <w:highlight w:val="none"/>
                <w:u w:val="none"/>
                <w:lang w:val="en-US" w:eastAsia="zh-CN" w:bidi="ar"/>
              </w:rPr>
              <w:t>1.17</w:t>
            </w:r>
            <w:r>
              <w:rPr>
                <w:rFonts w:hint="eastAsia" w:ascii="宋体" w:hAnsi="宋体" w:cs="宋体"/>
                <w:b w:val="0"/>
                <w:bCs w:val="0"/>
                <w:i w:val="0"/>
                <w:iCs w:val="0"/>
                <w:color w:val="000000"/>
                <w:kern w:val="0"/>
                <w:sz w:val="22"/>
                <w:szCs w:val="22"/>
                <w:highlight w:val="none"/>
                <w:u w:val="none"/>
                <w:lang w:val="en-US" w:eastAsia="zh-CN" w:bidi="ar"/>
              </w:rPr>
              <w:t>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90E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14.0</w:t>
            </w: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 xml:space="preserve">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124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1.续航力</w:t>
            </w:r>
            <w:r>
              <w:rPr>
                <w:rFonts w:ascii="东文宋体" w:hAnsi="东文宋体" w:eastAsia="东文宋体" w:cs="东文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20km；最高时速</w:t>
            </w:r>
            <w:r>
              <w:rPr>
                <w:rFonts w:ascii="东文宋体" w:hAnsi="东文宋体" w:eastAsia="东文宋体" w:cs="东文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6km/h；智能万向控制器；具有手动/电动两种模式打操作，手推模式通过电机切换，车架选用高强度碳钢材料焊接而成，表面液体烤漆处理；2.前轮为直径12寸充气轮胎，后轮为直径8寸减震充气轮胎；座背垫为皮革加厚车载式座背垫；配置防前倾装置，提高车辆稳定性；前轮双电机驱动，采用台湾蜗轮蜗杆全自动电磁刹车电机，采用24V 32A电池，电池在轮椅座位后下方中间，电机为250W*2； 1-6km/h可变换时速：可显示速度调节和电量；可单手操控，具备故障报警功能，具有会议静音倒车模式；可电动抬腿，可电动靠背，可站立式电动轮椅，脚踏板高度可调、可掀扶手；最大承重≥100kg，配备安全带，双层坐背垫便于清洗；越障高度≥40mm，越沟宽度≥100m，最小回旋半径≤1.2m。</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975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服务要求：1.质保期不低于3年，每年对服务对象开展回访服务3次以上；2.服务档案建档率100%，残疾人满意度调查达到90%以上。</w:t>
            </w:r>
          </w:p>
        </w:tc>
      </w:tr>
      <w:tr w14:paraId="43D9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1062">
            <w:pPr>
              <w:jc w:val="center"/>
              <w:rPr>
                <w:rFonts w:hint="eastAsia" w:ascii="宋体" w:hAnsi="宋体" w:eastAsia="宋体" w:cs="宋体"/>
                <w:i w:val="0"/>
                <w:iCs w:val="0"/>
                <w:color w:val="000000"/>
                <w:sz w:val="22"/>
                <w:szCs w:val="22"/>
                <w:highlight w:val="none"/>
                <w:u w:val="none"/>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1B4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126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1346 </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D161F">
            <w:pPr>
              <w:rPr>
                <w:rFonts w:hint="eastAsia" w:ascii="宋体" w:hAnsi="宋体" w:eastAsia="宋体" w:cs="宋体"/>
                <w:i w:val="0"/>
                <w:iCs w:val="0"/>
                <w:color w:val="000000"/>
                <w:sz w:val="22"/>
                <w:szCs w:val="22"/>
                <w:highlight w:val="none"/>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D4A14">
            <w:pPr>
              <w:jc w:val="center"/>
              <w:rPr>
                <w:rFonts w:hint="eastAsia" w:ascii="宋体" w:hAnsi="宋体" w:eastAsia="宋体" w:cs="宋体"/>
                <w:i w:val="0"/>
                <w:iCs w:val="0"/>
                <w:color w:val="000000"/>
                <w:sz w:val="22"/>
                <w:szCs w:val="22"/>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828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90.00</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BE82">
            <w:pPr>
              <w:jc w:val="center"/>
              <w:rPr>
                <w:rFonts w:hint="eastAsia" w:ascii="宋体" w:hAnsi="宋体" w:eastAsia="宋体" w:cs="宋体"/>
                <w:i w:val="0"/>
                <w:iCs w:val="0"/>
                <w:color w:val="000000"/>
                <w:sz w:val="22"/>
                <w:szCs w:val="22"/>
                <w:highlight w:val="none"/>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F7B6">
            <w:pPr>
              <w:rPr>
                <w:rFonts w:hint="eastAsia" w:ascii="宋体" w:hAnsi="宋体" w:eastAsia="宋体" w:cs="宋体"/>
                <w:i w:val="0"/>
                <w:iCs w:val="0"/>
                <w:color w:val="000000"/>
                <w:sz w:val="22"/>
                <w:szCs w:val="22"/>
                <w:highlight w:val="none"/>
                <w:u w:val="none"/>
              </w:rPr>
            </w:pPr>
          </w:p>
        </w:tc>
      </w:tr>
    </w:tbl>
    <w:p w14:paraId="30A6A0A6">
      <w:pPr>
        <w:rPr>
          <w:rFonts w:hint="eastAsia" w:ascii="宋体" w:hAnsi="宋体" w:cs="宋体"/>
          <w:b/>
          <w:sz w:val="21"/>
          <w:szCs w:val="21"/>
          <w:highlight w:val="none"/>
          <w:lang w:val="en-US" w:eastAsia="zh-CN"/>
        </w:rPr>
      </w:pPr>
    </w:p>
    <w:p w14:paraId="0C3B458A">
      <w:pPr>
        <w:rPr>
          <w:rFonts w:hint="eastAsia" w:ascii="宋体" w:hAnsi="宋体" w:cs="宋体"/>
          <w:b/>
          <w:bCs/>
          <w:color w:val="000000"/>
          <w:sz w:val="24"/>
          <w:szCs w:val="24"/>
          <w:highlight w:val="none"/>
          <w:lang w:val="en-US" w:eastAsia="zh-CN"/>
        </w:rPr>
      </w:pPr>
    </w:p>
    <w:p w14:paraId="2A4D5CAA">
      <w:pPr>
        <w:rPr>
          <w:rFonts w:hint="eastAsia" w:ascii="宋体" w:hAnsi="宋体" w:cs="宋体"/>
          <w:b/>
          <w:bCs/>
          <w:color w:val="000000"/>
          <w:sz w:val="24"/>
          <w:szCs w:val="24"/>
          <w:highlight w:val="none"/>
          <w:lang w:val="en-US" w:eastAsia="zh-CN"/>
        </w:rPr>
      </w:pPr>
    </w:p>
    <w:p w14:paraId="2E544C38">
      <w:pPr>
        <w:numPr>
          <w:ilvl w:val="0"/>
          <w:numId w:val="7"/>
        </w:numPr>
        <w:rPr>
          <w:rFonts w:hint="eastAsia"/>
          <w:b/>
          <w:bCs/>
          <w:sz w:val="24"/>
          <w:szCs w:val="24"/>
          <w:highlight w:val="none"/>
        </w:rPr>
      </w:pPr>
      <w:r>
        <w:rPr>
          <w:rFonts w:hint="eastAsia"/>
          <w:b/>
          <w:bCs/>
          <w:sz w:val="24"/>
          <w:szCs w:val="24"/>
          <w:highlight w:val="none"/>
        </w:rPr>
        <w:t>商务要求</w:t>
      </w:r>
    </w:p>
    <w:p w14:paraId="1B3B4737">
      <w:pPr>
        <w:numPr>
          <w:ilvl w:val="0"/>
          <w:numId w:val="0"/>
        </w:numPr>
        <w:rPr>
          <w:rFonts w:hint="eastAsia"/>
          <w:b/>
          <w:bCs/>
          <w:sz w:val="24"/>
          <w:szCs w:val="24"/>
          <w:highlight w:val="none"/>
        </w:rPr>
      </w:pPr>
    </w:p>
    <w:p w14:paraId="416155B7">
      <w:pPr>
        <w:spacing w:line="360" w:lineRule="auto"/>
        <w:ind w:firstLine="420" w:firstLineChars="200"/>
        <w:jc w:val="both"/>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交货时间：</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合同签订生效后，12月31日前完成。</w:t>
      </w:r>
    </w:p>
    <w:p w14:paraId="76CE0385">
      <w:pPr>
        <w:spacing w:line="360" w:lineRule="auto"/>
        <w:ind w:firstLine="420" w:firstLineChars="200"/>
        <w:jc w:val="both"/>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2、质量标准：符合国家及行业相关合格标准；符合招标参数要求。 </w:t>
      </w:r>
    </w:p>
    <w:p w14:paraId="58BF4E67">
      <w:pPr>
        <w:spacing w:line="360" w:lineRule="auto"/>
        <w:ind w:firstLine="420" w:firstLineChars="200"/>
        <w:jc w:val="both"/>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3、供货地点：采购人指定地点。</w:t>
      </w:r>
    </w:p>
    <w:p w14:paraId="3B6ABF03">
      <w:pPr>
        <w:spacing w:line="360" w:lineRule="auto"/>
        <w:ind w:firstLine="420" w:firstLineChars="200"/>
        <w:jc w:val="both"/>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4、付款方式：</w:t>
      </w:r>
    </w:p>
    <w:p w14:paraId="07B648DD">
      <w:pPr>
        <w:spacing w:line="360" w:lineRule="auto"/>
        <w:ind w:firstLine="420" w:firstLineChars="200"/>
        <w:jc w:val="both"/>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（1）供应商将开具的等额合法有效发票和加盖公章的发票查验证明一并提交给采购人后，采购人以银行转账方式付款（人民币结算）；</w:t>
      </w:r>
    </w:p>
    <w:p w14:paraId="24DB5CA3">
      <w:pPr>
        <w:spacing w:line="360" w:lineRule="auto"/>
        <w:ind w:firstLine="420" w:firstLineChars="200"/>
        <w:jc w:val="both"/>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（2）合同签订后，达到付款条件起 10 日内，支付合同总金额的70.00%。 验收合格后，达到付款条件起 30 日内，支付合同总金额的30.00%。</w:t>
      </w:r>
    </w:p>
    <w:p w14:paraId="70D34E8C">
      <w:pPr>
        <w:spacing w:line="360" w:lineRule="auto"/>
        <w:ind w:firstLine="420" w:firstLineChars="200"/>
        <w:jc w:val="both"/>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5、质保期：以采购需求表为准。</w:t>
      </w:r>
    </w:p>
    <w:p w14:paraId="691FAF3C">
      <w:pPr>
        <w:spacing w:line="360" w:lineRule="auto"/>
        <w:ind w:firstLine="420" w:firstLineChars="200"/>
        <w:jc w:val="both"/>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6、投标有效期：90天。</w:t>
      </w:r>
    </w:p>
    <w:p w14:paraId="503E249D">
      <w:pPr>
        <w:spacing w:line="360" w:lineRule="auto"/>
        <w:ind w:firstLine="420" w:firstLineChars="200"/>
        <w:jc w:val="both"/>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sectPr>
          <w:footerReference r:id="rId11" w:type="first"/>
          <w:footerReference r:id="rId10" w:type="default"/>
          <w:pgSz w:w="16838" w:h="11906" w:orient="landscape"/>
          <w:pgMar w:top="1588" w:right="1418" w:bottom="1247" w:left="1418" w:header="851" w:footer="992" w:gutter="0"/>
          <w:pgNumType w:fmt="decimal"/>
          <w:cols w:space="720" w:num="1"/>
          <w:titlePg/>
          <w:docGrid w:linePitch="312" w:charSpace="0"/>
        </w:sect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7、其他商务条款等。</w:t>
      </w:r>
    </w:p>
    <w:p w14:paraId="1AB58218">
      <w:pPr>
        <w:rPr>
          <w:rFonts w:hint="eastAsia" w:ascii="宋体" w:hAnsi="宋体" w:cs="宋体"/>
          <w:b/>
          <w:bCs/>
          <w:color w:val="000000"/>
          <w:sz w:val="24"/>
          <w:szCs w:val="24"/>
          <w:highlight w:val="none"/>
          <w:lang w:val="en-US" w:eastAsia="zh-CN"/>
        </w:rPr>
      </w:pPr>
    </w:p>
    <w:p w14:paraId="439A83F8">
      <w:pPr>
        <w:rPr>
          <w:rFonts w:hint="eastAsia" w:ascii="宋体" w:hAnsi="宋体" w:cs="宋体"/>
          <w:b/>
          <w:bCs/>
          <w:color w:val="000000"/>
          <w:sz w:val="24"/>
          <w:szCs w:val="24"/>
          <w:highlight w:val="none"/>
          <w:lang w:val="en-US" w:eastAsia="zh-CN"/>
        </w:rPr>
      </w:pPr>
    </w:p>
    <w:p w14:paraId="7066E61C">
      <w:pPr>
        <w:pStyle w:val="2"/>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  合同条款</w:t>
      </w:r>
      <w:bookmarkEnd w:id="75"/>
    </w:p>
    <w:p w14:paraId="3DC99EC3">
      <w:pPr>
        <w:pStyle w:val="4"/>
        <w:spacing w:before="0" w:after="0" w:line="360" w:lineRule="auto"/>
        <w:jc w:val="center"/>
        <w:rPr>
          <w:rFonts w:ascii="宋体" w:hAnsi="宋体" w:cs="宋体"/>
          <w:sz w:val="36"/>
          <w:szCs w:val="36"/>
          <w:highlight w:val="none"/>
        </w:rPr>
      </w:pPr>
      <w:r>
        <w:rPr>
          <w:rFonts w:hint="eastAsia" w:ascii="宋体" w:hAnsi="宋体" w:cs="宋体"/>
          <w:sz w:val="36"/>
          <w:szCs w:val="36"/>
          <w:highlight w:val="none"/>
        </w:rPr>
        <w:t>政府采购合同条款及格式（参考）</w:t>
      </w:r>
    </w:p>
    <w:p w14:paraId="711A0939">
      <w:pPr>
        <w:spacing w:line="288"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合同编号：</w:t>
      </w:r>
    </w:p>
    <w:p w14:paraId="7268DE78">
      <w:pPr>
        <w:spacing w:line="288"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 xml:space="preserve">签订地点： </w:t>
      </w:r>
    </w:p>
    <w:p w14:paraId="378AB90A">
      <w:pPr>
        <w:spacing w:line="288"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签订日期：</w:t>
      </w:r>
    </w:p>
    <w:p w14:paraId="5938E03E">
      <w:pPr>
        <w:spacing w:line="288"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采购任务编号：</w:t>
      </w:r>
    </w:p>
    <w:p w14:paraId="0CB9A3E8">
      <w:pPr>
        <w:spacing w:line="288" w:lineRule="auto"/>
        <w:ind w:firstLine="480" w:firstLineChars="200"/>
        <w:rPr>
          <w:rFonts w:ascii="宋体" w:hAnsi="宋体" w:cs="宋体"/>
          <w:bCs/>
          <w:sz w:val="24"/>
          <w:szCs w:val="24"/>
          <w:highlight w:val="none"/>
        </w:rPr>
      </w:pP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（需方）需求的“</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（货物名称）经</w:t>
      </w:r>
      <w:r>
        <w:rPr>
          <w:rFonts w:hint="eastAsia" w:ascii="宋体" w:hAnsi="宋体" w:cs="宋体"/>
          <w:bCs/>
          <w:sz w:val="24"/>
          <w:szCs w:val="24"/>
          <w:highlight w:val="none"/>
          <w:u w:val="single"/>
        </w:rPr>
        <w:t xml:space="preserve">        以编号为      </w:t>
      </w:r>
      <w:r>
        <w:rPr>
          <w:rFonts w:hint="eastAsia" w:ascii="宋体" w:hAnsi="宋体" w:cs="宋体"/>
          <w:bCs/>
          <w:sz w:val="24"/>
          <w:szCs w:val="24"/>
          <w:highlight w:val="none"/>
        </w:rPr>
        <w:t>的招标文件在国内公开招标，经评标委员会评定</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（供方）（包号）为中标单位。供需双方按照《中华人民共和国合同法》和有关法律法规，遵循平等、自愿、公平和诚实信用原则，同意按照下面的条款和条件订立本合同，共同信守。</w:t>
      </w:r>
    </w:p>
    <w:p w14:paraId="01AC3AA6">
      <w:pPr>
        <w:spacing w:line="288" w:lineRule="auto"/>
        <w:rPr>
          <w:rFonts w:ascii="宋体" w:hAnsi="宋体" w:cs="宋体"/>
          <w:b/>
          <w:sz w:val="24"/>
          <w:szCs w:val="24"/>
          <w:highlight w:val="none"/>
        </w:rPr>
      </w:pPr>
      <w:r>
        <w:rPr>
          <w:rFonts w:hint="eastAsia" w:ascii="宋体" w:hAnsi="宋体" w:cs="宋体"/>
          <w:b/>
          <w:sz w:val="24"/>
          <w:szCs w:val="24"/>
          <w:highlight w:val="none"/>
        </w:rPr>
        <w:t>一、货物名称、品牌、规格、数量</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5B69BD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548" w:type="dxa"/>
            <w:vAlign w:val="center"/>
          </w:tcPr>
          <w:p w14:paraId="2ECC740A">
            <w:pPr>
              <w:spacing w:line="288" w:lineRule="auto"/>
              <w:jc w:val="center"/>
              <w:rPr>
                <w:rFonts w:ascii="宋体" w:hAnsi="宋体" w:cs="宋体"/>
                <w:sz w:val="24"/>
                <w:szCs w:val="24"/>
                <w:highlight w:val="none"/>
              </w:rPr>
            </w:pPr>
            <w:r>
              <w:rPr>
                <w:rFonts w:hint="eastAsia" w:ascii="宋体" w:hAnsi="宋体" w:cs="宋体"/>
                <w:sz w:val="24"/>
                <w:szCs w:val="24"/>
                <w:highlight w:val="none"/>
              </w:rPr>
              <w:t>货物名称</w:t>
            </w:r>
          </w:p>
        </w:tc>
        <w:tc>
          <w:tcPr>
            <w:tcW w:w="1152" w:type="dxa"/>
            <w:vAlign w:val="center"/>
          </w:tcPr>
          <w:p w14:paraId="18CE3802">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品牌</w:t>
            </w:r>
          </w:p>
        </w:tc>
        <w:tc>
          <w:tcPr>
            <w:tcW w:w="2520" w:type="dxa"/>
            <w:vAlign w:val="center"/>
          </w:tcPr>
          <w:p w14:paraId="613DB28A">
            <w:pPr>
              <w:spacing w:line="288" w:lineRule="auto"/>
              <w:jc w:val="center"/>
              <w:rPr>
                <w:rFonts w:ascii="宋体" w:hAnsi="宋体" w:cs="宋体"/>
                <w:sz w:val="24"/>
                <w:szCs w:val="24"/>
                <w:highlight w:val="none"/>
              </w:rPr>
            </w:pPr>
            <w:r>
              <w:rPr>
                <w:rFonts w:hint="eastAsia" w:ascii="宋体" w:hAnsi="宋体" w:cs="宋体"/>
                <w:sz w:val="24"/>
                <w:szCs w:val="24"/>
                <w:highlight w:val="none"/>
              </w:rPr>
              <w:t>规格型号及配置</w:t>
            </w:r>
          </w:p>
        </w:tc>
        <w:tc>
          <w:tcPr>
            <w:tcW w:w="900" w:type="dxa"/>
            <w:vAlign w:val="center"/>
          </w:tcPr>
          <w:p w14:paraId="6E8B5ABC">
            <w:pPr>
              <w:spacing w:line="288" w:lineRule="auto"/>
              <w:jc w:val="center"/>
              <w:rPr>
                <w:rFonts w:ascii="宋体" w:hAnsi="宋体" w:cs="宋体"/>
                <w:sz w:val="24"/>
                <w:szCs w:val="24"/>
                <w:highlight w:val="none"/>
              </w:rPr>
            </w:pPr>
            <w:r>
              <w:rPr>
                <w:rFonts w:hint="eastAsia" w:ascii="宋体" w:hAnsi="宋体" w:cs="宋体"/>
                <w:sz w:val="24"/>
                <w:szCs w:val="24"/>
                <w:highlight w:val="none"/>
              </w:rPr>
              <w:t>数量</w:t>
            </w:r>
          </w:p>
        </w:tc>
        <w:tc>
          <w:tcPr>
            <w:tcW w:w="1260" w:type="dxa"/>
            <w:vAlign w:val="center"/>
          </w:tcPr>
          <w:p w14:paraId="3ADE3333">
            <w:pPr>
              <w:spacing w:line="288" w:lineRule="auto"/>
              <w:jc w:val="center"/>
              <w:rPr>
                <w:rFonts w:ascii="宋体" w:hAnsi="宋体" w:cs="宋体"/>
                <w:sz w:val="24"/>
                <w:szCs w:val="24"/>
                <w:highlight w:val="none"/>
              </w:rPr>
            </w:pPr>
            <w:r>
              <w:rPr>
                <w:rFonts w:hint="eastAsia" w:ascii="宋体" w:hAnsi="宋体" w:cs="宋体"/>
                <w:sz w:val="24"/>
                <w:szCs w:val="24"/>
                <w:highlight w:val="none"/>
              </w:rPr>
              <w:t>单价(元)</w:t>
            </w:r>
          </w:p>
        </w:tc>
        <w:tc>
          <w:tcPr>
            <w:tcW w:w="2004" w:type="dxa"/>
            <w:vAlign w:val="center"/>
          </w:tcPr>
          <w:p w14:paraId="2D8550B7">
            <w:pPr>
              <w:spacing w:line="288" w:lineRule="auto"/>
              <w:jc w:val="center"/>
              <w:rPr>
                <w:rFonts w:ascii="宋体" w:hAnsi="宋体" w:cs="宋体"/>
                <w:sz w:val="24"/>
                <w:szCs w:val="24"/>
                <w:highlight w:val="none"/>
              </w:rPr>
            </w:pPr>
            <w:r>
              <w:rPr>
                <w:rFonts w:hint="eastAsia" w:ascii="宋体" w:hAnsi="宋体" w:cs="宋体"/>
                <w:sz w:val="24"/>
                <w:szCs w:val="24"/>
                <w:highlight w:val="none"/>
              </w:rPr>
              <w:t>小计金额(元)</w:t>
            </w:r>
          </w:p>
        </w:tc>
      </w:tr>
      <w:tr w14:paraId="6A766D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7A48BFED">
            <w:pPr>
              <w:spacing w:line="288" w:lineRule="auto"/>
              <w:jc w:val="center"/>
              <w:rPr>
                <w:rFonts w:ascii="宋体" w:hAnsi="宋体" w:cs="宋体"/>
                <w:sz w:val="24"/>
                <w:szCs w:val="24"/>
                <w:highlight w:val="none"/>
              </w:rPr>
            </w:pPr>
          </w:p>
        </w:tc>
        <w:tc>
          <w:tcPr>
            <w:tcW w:w="1152" w:type="dxa"/>
            <w:vAlign w:val="center"/>
          </w:tcPr>
          <w:p w14:paraId="4588B175">
            <w:pPr>
              <w:spacing w:line="288" w:lineRule="auto"/>
              <w:jc w:val="center"/>
              <w:rPr>
                <w:rFonts w:ascii="宋体" w:hAnsi="宋体" w:cs="宋体"/>
                <w:sz w:val="24"/>
                <w:szCs w:val="24"/>
                <w:highlight w:val="none"/>
              </w:rPr>
            </w:pPr>
          </w:p>
        </w:tc>
        <w:tc>
          <w:tcPr>
            <w:tcW w:w="2520" w:type="dxa"/>
            <w:vAlign w:val="center"/>
          </w:tcPr>
          <w:p w14:paraId="7C0FFDC3">
            <w:pPr>
              <w:spacing w:line="288" w:lineRule="auto"/>
              <w:jc w:val="center"/>
              <w:rPr>
                <w:rFonts w:ascii="宋体" w:hAnsi="宋体" w:cs="宋体"/>
                <w:sz w:val="24"/>
                <w:szCs w:val="24"/>
                <w:highlight w:val="none"/>
              </w:rPr>
            </w:pPr>
          </w:p>
        </w:tc>
        <w:tc>
          <w:tcPr>
            <w:tcW w:w="900" w:type="dxa"/>
            <w:vAlign w:val="center"/>
          </w:tcPr>
          <w:p w14:paraId="359B3C39">
            <w:pPr>
              <w:spacing w:line="288" w:lineRule="auto"/>
              <w:jc w:val="center"/>
              <w:rPr>
                <w:rFonts w:ascii="宋体" w:hAnsi="宋体" w:cs="宋体"/>
                <w:sz w:val="24"/>
                <w:szCs w:val="24"/>
                <w:highlight w:val="none"/>
              </w:rPr>
            </w:pPr>
          </w:p>
        </w:tc>
        <w:tc>
          <w:tcPr>
            <w:tcW w:w="1260" w:type="dxa"/>
            <w:vAlign w:val="center"/>
          </w:tcPr>
          <w:p w14:paraId="39483C98">
            <w:pPr>
              <w:spacing w:line="288" w:lineRule="auto"/>
              <w:jc w:val="center"/>
              <w:rPr>
                <w:rFonts w:ascii="宋体" w:hAnsi="宋体" w:cs="宋体"/>
                <w:sz w:val="24"/>
                <w:szCs w:val="24"/>
                <w:highlight w:val="none"/>
              </w:rPr>
            </w:pPr>
          </w:p>
        </w:tc>
        <w:tc>
          <w:tcPr>
            <w:tcW w:w="2004" w:type="dxa"/>
            <w:vAlign w:val="center"/>
          </w:tcPr>
          <w:p w14:paraId="3451564E">
            <w:pPr>
              <w:spacing w:line="288" w:lineRule="auto"/>
              <w:jc w:val="center"/>
              <w:rPr>
                <w:rFonts w:ascii="宋体" w:hAnsi="宋体" w:cs="宋体"/>
                <w:sz w:val="24"/>
                <w:szCs w:val="24"/>
                <w:highlight w:val="none"/>
              </w:rPr>
            </w:pPr>
          </w:p>
        </w:tc>
      </w:tr>
      <w:tr w14:paraId="0507B1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6A3F2512">
            <w:pPr>
              <w:spacing w:line="288" w:lineRule="auto"/>
              <w:jc w:val="center"/>
              <w:rPr>
                <w:rFonts w:ascii="宋体" w:hAnsi="宋体" w:cs="宋体"/>
                <w:sz w:val="24"/>
                <w:szCs w:val="24"/>
                <w:highlight w:val="none"/>
              </w:rPr>
            </w:pPr>
          </w:p>
        </w:tc>
        <w:tc>
          <w:tcPr>
            <w:tcW w:w="1152" w:type="dxa"/>
            <w:vAlign w:val="center"/>
          </w:tcPr>
          <w:p w14:paraId="2CD20239">
            <w:pPr>
              <w:spacing w:line="288" w:lineRule="auto"/>
              <w:jc w:val="center"/>
              <w:rPr>
                <w:rFonts w:ascii="宋体" w:hAnsi="宋体" w:cs="宋体"/>
                <w:sz w:val="24"/>
                <w:szCs w:val="24"/>
                <w:highlight w:val="none"/>
              </w:rPr>
            </w:pPr>
          </w:p>
        </w:tc>
        <w:tc>
          <w:tcPr>
            <w:tcW w:w="2520" w:type="dxa"/>
            <w:vAlign w:val="center"/>
          </w:tcPr>
          <w:p w14:paraId="3354ABBE">
            <w:pPr>
              <w:spacing w:line="288" w:lineRule="auto"/>
              <w:jc w:val="center"/>
              <w:rPr>
                <w:rFonts w:ascii="宋体" w:hAnsi="宋体" w:cs="宋体"/>
                <w:sz w:val="24"/>
                <w:szCs w:val="24"/>
                <w:highlight w:val="none"/>
              </w:rPr>
            </w:pPr>
          </w:p>
        </w:tc>
        <w:tc>
          <w:tcPr>
            <w:tcW w:w="900" w:type="dxa"/>
            <w:vAlign w:val="center"/>
          </w:tcPr>
          <w:p w14:paraId="7D349E75">
            <w:pPr>
              <w:spacing w:line="288" w:lineRule="auto"/>
              <w:jc w:val="center"/>
              <w:rPr>
                <w:rFonts w:ascii="宋体" w:hAnsi="宋体" w:cs="宋体"/>
                <w:sz w:val="24"/>
                <w:szCs w:val="24"/>
                <w:highlight w:val="none"/>
              </w:rPr>
            </w:pPr>
          </w:p>
        </w:tc>
        <w:tc>
          <w:tcPr>
            <w:tcW w:w="1260" w:type="dxa"/>
            <w:vAlign w:val="center"/>
          </w:tcPr>
          <w:p w14:paraId="73A41B83">
            <w:pPr>
              <w:spacing w:line="288" w:lineRule="auto"/>
              <w:jc w:val="center"/>
              <w:rPr>
                <w:rFonts w:ascii="宋体" w:hAnsi="宋体" w:cs="宋体"/>
                <w:sz w:val="24"/>
                <w:szCs w:val="24"/>
                <w:highlight w:val="none"/>
              </w:rPr>
            </w:pPr>
          </w:p>
        </w:tc>
        <w:tc>
          <w:tcPr>
            <w:tcW w:w="2004" w:type="dxa"/>
            <w:vAlign w:val="center"/>
          </w:tcPr>
          <w:p w14:paraId="3FB7FEAE">
            <w:pPr>
              <w:spacing w:line="288" w:lineRule="auto"/>
              <w:jc w:val="center"/>
              <w:rPr>
                <w:rFonts w:ascii="宋体" w:hAnsi="宋体" w:cs="宋体"/>
                <w:sz w:val="24"/>
                <w:szCs w:val="24"/>
                <w:highlight w:val="none"/>
              </w:rPr>
            </w:pPr>
          </w:p>
        </w:tc>
      </w:tr>
      <w:tr w14:paraId="42EA37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40ADF55">
            <w:pPr>
              <w:spacing w:line="288" w:lineRule="auto"/>
              <w:jc w:val="center"/>
              <w:rPr>
                <w:rFonts w:ascii="宋体" w:hAnsi="宋体" w:cs="宋体"/>
                <w:sz w:val="24"/>
                <w:szCs w:val="24"/>
                <w:highlight w:val="none"/>
              </w:rPr>
            </w:pPr>
          </w:p>
        </w:tc>
        <w:tc>
          <w:tcPr>
            <w:tcW w:w="1152" w:type="dxa"/>
            <w:vAlign w:val="center"/>
          </w:tcPr>
          <w:p w14:paraId="50FE56E4">
            <w:pPr>
              <w:spacing w:line="288" w:lineRule="auto"/>
              <w:jc w:val="center"/>
              <w:rPr>
                <w:rFonts w:ascii="宋体" w:hAnsi="宋体" w:cs="宋体"/>
                <w:sz w:val="24"/>
                <w:szCs w:val="24"/>
                <w:highlight w:val="none"/>
              </w:rPr>
            </w:pPr>
          </w:p>
        </w:tc>
        <w:tc>
          <w:tcPr>
            <w:tcW w:w="2520" w:type="dxa"/>
            <w:vAlign w:val="center"/>
          </w:tcPr>
          <w:p w14:paraId="4F23A210">
            <w:pPr>
              <w:spacing w:line="288" w:lineRule="auto"/>
              <w:jc w:val="center"/>
              <w:rPr>
                <w:rFonts w:ascii="宋体" w:hAnsi="宋体" w:cs="宋体"/>
                <w:sz w:val="24"/>
                <w:szCs w:val="24"/>
                <w:highlight w:val="none"/>
              </w:rPr>
            </w:pPr>
          </w:p>
        </w:tc>
        <w:tc>
          <w:tcPr>
            <w:tcW w:w="900" w:type="dxa"/>
            <w:vAlign w:val="center"/>
          </w:tcPr>
          <w:p w14:paraId="280C6F35">
            <w:pPr>
              <w:spacing w:line="288" w:lineRule="auto"/>
              <w:jc w:val="center"/>
              <w:rPr>
                <w:rFonts w:ascii="宋体" w:hAnsi="宋体" w:cs="宋体"/>
                <w:sz w:val="24"/>
                <w:szCs w:val="24"/>
                <w:highlight w:val="none"/>
              </w:rPr>
            </w:pPr>
          </w:p>
        </w:tc>
        <w:tc>
          <w:tcPr>
            <w:tcW w:w="1260" w:type="dxa"/>
            <w:vAlign w:val="center"/>
          </w:tcPr>
          <w:p w14:paraId="188E3049">
            <w:pPr>
              <w:spacing w:line="288" w:lineRule="auto"/>
              <w:jc w:val="center"/>
              <w:rPr>
                <w:rFonts w:ascii="宋体" w:hAnsi="宋体" w:cs="宋体"/>
                <w:sz w:val="24"/>
                <w:szCs w:val="24"/>
                <w:highlight w:val="none"/>
              </w:rPr>
            </w:pPr>
          </w:p>
        </w:tc>
        <w:tc>
          <w:tcPr>
            <w:tcW w:w="2004" w:type="dxa"/>
            <w:vAlign w:val="center"/>
          </w:tcPr>
          <w:p w14:paraId="78B3ED44">
            <w:pPr>
              <w:spacing w:line="288" w:lineRule="auto"/>
              <w:jc w:val="center"/>
              <w:rPr>
                <w:rFonts w:ascii="宋体" w:hAnsi="宋体" w:cs="宋体"/>
                <w:sz w:val="24"/>
                <w:szCs w:val="24"/>
                <w:highlight w:val="none"/>
              </w:rPr>
            </w:pPr>
          </w:p>
        </w:tc>
      </w:tr>
    </w:tbl>
    <w:p w14:paraId="712ADC63">
      <w:pPr>
        <w:spacing w:line="288" w:lineRule="auto"/>
        <w:rPr>
          <w:rFonts w:ascii="宋体" w:hAnsi="宋体" w:cs="宋体"/>
          <w:b/>
          <w:sz w:val="24"/>
          <w:szCs w:val="24"/>
          <w:highlight w:val="none"/>
        </w:rPr>
      </w:pPr>
      <w:r>
        <w:rPr>
          <w:rFonts w:hint="eastAsia" w:ascii="宋体" w:hAnsi="宋体" w:cs="宋体"/>
          <w:b/>
          <w:sz w:val="24"/>
          <w:szCs w:val="24"/>
          <w:highlight w:val="none"/>
        </w:rPr>
        <w:t>二、合同价款</w:t>
      </w:r>
    </w:p>
    <w:p w14:paraId="6A88657E">
      <w:pPr>
        <w:spacing w:line="288" w:lineRule="auto"/>
        <w:ind w:firstLine="480"/>
        <w:rPr>
          <w:rFonts w:ascii="宋体" w:hAnsi="宋体" w:cs="宋体"/>
          <w:sz w:val="24"/>
          <w:szCs w:val="24"/>
          <w:highlight w:val="none"/>
        </w:rPr>
      </w:pPr>
      <w:r>
        <w:rPr>
          <w:rFonts w:hint="eastAsia" w:ascii="宋体" w:hAnsi="宋体" w:cs="宋体"/>
          <w:sz w:val="24"/>
          <w:szCs w:val="24"/>
          <w:highlight w:val="none"/>
        </w:rPr>
        <w:t>2.1合同总价：人民币（大写）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元，（小写）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660E315A">
      <w:pPr>
        <w:spacing w:line="288" w:lineRule="auto"/>
        <w:rPr>
          <w:rFonts w:ascii="宋体" w:hAnsi="宋体" w:cs="宋体"/>
          <w:b/>
          <w:sz w:val="24"/>
          <w:szCs w:val="24"/>
          <w:highlight w:val="none"/>
        </w:rPr>
      </w:pPr>
      <w:r>
        <w:rPr>
          <w:rFonts w:hint="eastAsia" w:ascii="宋体" w:hAnsi="宋体" w:cs="宋体"/>
          <w:b/>
          <w:sz w:val="24"/>
          <w:szCs w:val="24"/>
          <w:highlight w:val="none"/>
        </w:rPr>
        <w:t>三、交货地点及交货时间</w:t>
      </w:r>
    </w:p>
    <w:p w14:paraId="1F9DAF9D">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合同订立后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个工作日内，将相关设备送至需方指定位置，并负责相关要求安装调试。</w:t>
      </w:r>
      <w:r>
        <w:rPr>
          <w:rFonts w:hint="eastAsia" w:ascii="宋体" w:hAnsi="宋体" w:cs="宋体"/>
          <w:sz w:val="24"/>
          <w:szCs w:val="24"/>
          <w:highlight w:val="none"/>
          <w:lang w:val="zh-CN"/>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28E5A817">
      <w:pPr>
        <w:pStyle w:val="91"/>
        <w:numPr>
          <w:ilvl w:val="0"/>
          <w:numId w:val="8"/>
        </w:numPr>
        <w:spacing w:line="288" w:lineRule="auto"/>
        <w:ind w:firstLineChars="0"/>
        <w:rPr>
          <w:rFonts w:ascii="宋体" w:hAnsi="宋体" w:cs="宋体"/>
          <w:b/>
          <w:sz w:val="24"/>
          <w:szCs w:val="24"/>
          <w:highlight w:val="none"/>
        </w:rPr>
      </w:pPr>
      <w:r>
        <w:rPr>
          <w:rFonts w:hint="eastAsia" w:ascii="宋体" w:hAnsi="宋体" w:cs="宋体"/>
          <w:b/>
          <w:sz w:val="24"/>
          <w:szCs w:val="24"/>
          <w:highlight w:val="none"/>
        </w:rPr>
        <w:t xml:space="preserve">付款 </w:t>
      </w:r>
    </w:p>
    <w:p w14:paraId="66386EF3">
      <w:pPr>
        <w:spacing w:line="288" w:lineRule="auto"/>
        <w:rPr>
          <w:rFonts w:ascii="宋体" w:hAnsi="宋体" w:cs="宋体"/>
          <w:b/>
          <w:sz w:val="24"/>
          <w:szCs w:val="24"/>
          <w:highlight w:val="none"/>
        </w:rPr>
      </w:pPr>
      <w:r>
        <w:rPr>
          <w:rFonts w:hint="eastAsia" w:ascii="宋体" w:hAnsi="宋体" w:cs="宋体"/>
          <w:b/>
          <w:sz w:val="24"/>
          <w:szCs w:val="24"/>
          <w:highlight w:val="none"/>
        </w:rPr>
        <w:t xml:space="preserve">   </w:t>
      </w:r>
      <w:r>
        <w:rPr>
          <w:rFonts w:hint="eastAsia" w:ascii="宋体" w:hAnsi="宋体" w:cs="宋体"/>
          <w:sz w:val="24"/>
          <w:szCs w:val="24"/>
          <w:highlight w:val="none"/>
          <w:lang w:val="zh-CN"/>
        </w:rPr>
        <w:t xml:space="preserve"> 4.1</w:t>
      </w:r>
      <w:r>
        <w:rPr>
          <w:rFonts w:hint="eastAsia" w:ascii="宋体" w:hAnsi="宋体" w:cs="宋体"/>
          <w:sz w:val="24"/>
          <w:szCs w:val="24"/>
          <w:highlight w:val="none"/>
        </w:rPr>
        <w:t xml:space="preserve"> </w:t>
      </w:r>
      <w:r>
        <w:rPr>
          <w:rFonts w:hint="eastAsia" w:ascii="宋体" w:hAnsi="宋体" w:cs="宋体"/>
          <w:sz w:val="24"/>
          <w:szCs w:val="24"/>
          <w:highlight w:val="none"/>
          <w:lang w:val="zh-CN"/>
        </w:rPr>
        <w:t>货到验收合格后付</w:t>
      </w:r>
      <w:r>
        <w:rPr>
          <w:rFonts w:hint="eastAsia" w:ascii="宋体" w:hAnsi="宋体" w:cs="宋体"/>
          <w:sz w:val="24"/>
          <w:szCs w:val="24"/>
          <w:highlight w:val="none"/>
          <w:u w:val="single"/>
        </w:rPr>
        <w:t xml:space="preserve">          </w:t>
      </w:r>
      <w:r>
        <w:rPr>
          <w:rFonts w:hint="eastAsia" w:ascii="宋体" w:hAnsi="宋体" w:cs="宋体"/>
          <w:sz w:val="24"/>
          <w:szCs w:val="24"/>
          <w:highlight w:val="none"/>
        </w:rPr>
        <w:t>货款</w:t>
      </w:r>
      <w:r>
        <w:rPr>
          <w:rFonts w:hint="eastAsia" w:ascii="宋体" w:hAnsi="宋体" w:cs="宋体"/>
          <w:sz w:val="24"/>
          <w:szCs w:val="24"/>
          <w:highlight w:val="none"/>
          <w:lang w:val="zh-CN"/>
        </w:rPr>
        <w:t>。</w:t>
      </w:r>
    </w:p>
    <w:p w14:paraId="669E65F6">
      <w:pPr>
        <w:spacing w:line="288" w:lineRule="auto"/>
        <w:rPr>
          <w:rFonts w:ascii="宋体" w:hAnsi="宋体" w:cs="宋体"/>
          <w:b/>
          <w:sz w:val="24"/>
          <w:szCs w:val="24"/>
          <w:highlight w:val="none"/>
        </w:rPr>
      </w:pPr>
      <w:r>
        <w:rPr>
          <w:rFonts w:hint="eastAsia" w:ascii="宋体" w:hAnsi="宋体" w:cs="宋体"/>
          <w:b/>
          <w:sz w:val="24"/>
          <w:szCs w:val="24"/>
          <w:highlight w:val="none"/>
        </w:rPr>
        <w:t>五、施工</w:t>
      </w:r>
    </w:p>
    <w:p w14:paraId="6F35569F">
      <w:pPr>
        <w:spacing w:line="288" w:lineRule="auto"/>
        <w:rPr>
          <w:rFonts w:ascii="宋体" w:hAnsi="宋体" w:cs="宋体"/>
          <w:b/>
          <w:sz w:val="24"/>
          <w:szCs w:val="24"/>
          <w:highlight w:val="none"/>
        </w:rPr>
      </w:pPr>
      <w:r>
        <w:rPr>
          <w:rFonts w:hint="eastAsia" w:ascii="宋体" w:hAnsi="宋体" w:cs="宋体"/>
          <w:b/>
          <w:sz w:val="24"/>
          <w:szCs w:val="24"/>
          <w:highlight w:val="none"/>
        </w:rPr>
        <w:t>六、验收（严格执行国家相关标准和招标文件要求）。</w:t>
      </w:r>
    </w:p>
    <w:p w14:paraId="21A62DCC">
      <w:pPr>
        <w:spacing w:line="288" w:lineRule="auto"/>
        <w:rPr>
          <w:rFonts w:ascii="宋体" w:hAnsi="宋体" w:cs="宋体"/>
          <w:b/>
          <w:sz w:val="24"/>
          <w:szCs w:val="24"/>
          <w:highlight w:val="none"/>
        </w:rPr>
      </w:pPr>
      <w:r>
        <w:rPr>
          <w:rFonts w:hint="eastAsia" w:ascii="宋体" w:hAnsi="宋体" w:cs="宋体"/>
          <w:b/>
          <w:sz w:val="24"/>
          <w:szCs w:val="24"/>
          <w:highlight w:val="none"/>
        </w:rPr>
        <w:t>七、知识产权及有关规定</w:t>
      </w:r>
    </w:p>
    <w:p w14:paraId="3C35146D">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7.1 供方应保证需方在使用本合同项下的货物或其任何一部分时免受第三方提出侵犯其知识产权、商标权或工业设计权的起诉。如果发生此类问题，供方应负责交涉并承担一切费用和责任。</w:t>
      </w:r>
    </w:p>
    <w:p w14:paraId="15460589">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7.2 供方应保证所供货物符合国家的有关规定。</w:t>
      </w:r>
    </w:p>
    <w:p w14:paraId="308E7EB2">
      <w:pPr>
        <w:spacing w:line="288" w:lineRule="auto"/>
        <w:rPr>
          <w:rFonts w:ascii="宋体" w:hAnsi="宋体" w:cs="宋体"/>
          <w:b/>
          <w:sz w:val="24"/>
          <w:szCs w:val="24"/>
          <w:highlight w:val="none"/>
        </w:rPr>
      </w:pPr>
      <w:r>
        <w:rPr>
          <w:rFonts w:hint="eastAsia" w:ascii="宋体" w:hAnsi="宋体" w:cs="宋体"/>
          <w:b/>
          <w:sz w:val="24"/>
          <w:szCs w:val="24"/>
          <w:highlight w:val="none"/>
        </w:rPr>
        <w:t>八、伴随服务</w:t>
      </w:r>
    </w:p>
    <w:p w14:paraId="63E4F696">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8.1供方应提供所交付货物的全套技术文件资料，包括产品目录、图纸、操作手册、使用说明、维护手册和服务指南等。</w:t>
      </w:r>
    </w:p>
    <w:p w14:paraId="02485F3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08E82B2C">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8.3上述伴随服务的费用应包含在合同价中，不单独进行支付。</w:t>
      </w:r>
    </w:p>
    <w:p w14:paraId="67A1DC3F">
      <w:pPr>
        <w:spacing w:line="288" w:lineRule="auto"/>
        <w:rPr>
          <w:rFonts w:ascii="宋体" w:hAnsi="宋体" w:cs="宋体"/>
          <w:b/>
          <w:sz w:val="24"/>
          <w:szCs w:val="24"/>
          <w:highlight w:val="none"/>
        </w:rPr>
      </w:pPr>
      <w:r>
        <w:rPr>
          <w:rFonts w:hint="eastAsia" w:ascii="宋体" w:hAnsi="宋体" w:cs="宋体"/>
          <w:b/>
          <w:sz w:val="24"/>
          <w:szCs w:val="24"/>
          <w:highlight w:val="none"/>
        </w:rPr>
        <w:t>九、质量保证期及售后服务</w:t>
      </w:r>
    </w:p>
    <w:p w14:paraId="47E3D4C2">
      <w:pPr>
        <w:spacing w:line="288" w:lineRule="auto"/>
        <w:ind w:firstLine="482" w:firstLineChars="200"/>
        <w:rPr>
          <w:rFonts w:ascii="宋体" w:hAnsi="宋体" w:cs="宋体"/>
          <w:b/>
          <w:sz w:val="24"/>
          <w:szCs w:val="24"/>
          <w:highlight w:val="none"/>
        </w:rPr>
      </w:pPr>
      <w:r>
        <w:rPr>
          <w:rFonts w:hint="eastAsia" w:ascii="宋体" w:hAnsi="宋体" w:cs="宋体"/>
          <w:b/>
          <w:sz w:val="24"/>
          <w:szCs w:val="24"/>
          <w:highlight w:val="none"/>
        </w:rPr>
        <w:t xml:space="preserve">9.1 质量保证期：  </w:t>
      </w:r>
    </w:p>
    <w:p w14:paraId="4770C055">
      <w:pPr>
        <w:spacing w:line="288" w:lineRule="auto"/>
        <w:ind w:firstLine="482" w:firstLineChars="200"/>
        <w:rPr>
          <w:rFonts w:ascii="宋体" w:hAnsi="宋体" w:cs="宋体"/>
          <w:b/>
          <w:sz w:val="24"/>
          <w:szCs w:val="24"/>
          <w:highlight w:val="none"/>
        </w:rPr>
      </w:pPr>
      <w:r>
        <w:rPr>
          <w:rFonts w:hint="eastAsia" w:ascii="宋体" w:hAnsi="宋体" w:cs="宋体"/>
          <w:b/>
          <w:sz w:val="24"/>
          <w:szCs w:val="24"/>
          <w:highlight w:val="none"/>
        </w:rPr>
        <w:t>9.2 售后服务要求：</w:t>
      </w:r>
    </w:p>
    <w:p w14:paraId="25B41F07">
      <w:pPr>
        <w:spacing w:line="288" w:lineRule="auto"/>
        <w:rPr>
          <w:rFonts w:ascii="宋体" w:hAnsi="宋体" w:cs="宋体"/>
          <w:b/>
          <w:sz w:val="24"/>
          <w:szCs w:val="24"/>
          <w:highlight w:val="none"/>
        </w:rPr>
      </w:pPr>
      <w:r>
        <w:rPr>
          <w:rFonts w:hint="eastAsia" w:ascii="宋体" w:hAnsi="宋体" w:cs="宋体"/>
          <w:b/>
          <w:sz w:val="24"/>
          <w:szCs w:val="24"/>
          <w:highlight w:val="none"/>
        </w:rPr>
        <w:t>十、质量保证</w:t>
      </w:r>
    </w:p>
    <w:p w14:paraId="3D1C6D9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3469C361">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054D57BB">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10.3在质量保证期内，供方在接到需方的通知后，应在本合同第八条约定的响应时间内,免费维修和/或更换有缺陷的货物或部件。</w:t>
      </w:r>
    </w:p>
    <w:p w14:paraId="61122602">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10.4 如果供方在接到需方通知后，在本合同第八条约定的响应时间内没有弥补缺陷，需方可采取必要的补救措施，但其风险和费用将由供方负担，并且需方根据合同规定对供方行使的其他权利不受影响。</w:t>
      </w:r>
    </w:p>
    <w:p w14:paraId="490ABF76">
      <w:pPr>
        <w:spacing w:line="288" w:lineRule="auto"/>
        <w:rPr>
          <w:rFonts w:ascii="宋体" w:hAnsi="宋体" w:cs="宋体"/>
          <w:b/>
          <w:sz w:val="24"/>
          <w:szCs w:val="24"/>
          <w:highlight w:val="none"/>
        </w:rPr>
      </w:pPr>
      <w:r>
        <w:rPr>
          <w:rFonts w:hint="eastAsia" w:ascii="宋体" w:hAnsi="宋体" w:cs="宋体"/>
          <w:b/>
          <w:sz w:val="24"/>
          <w:szCs w:val="24"/>
          <w:highlight w:val="none"/>
        </w:rPr>
        <w:t>十一、索赔</w:t>
      </w:r>
    </w:p>
    <w:p w14:paraId="05EA7A08">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11.1需方有权根据当地国家技术监督局、进出口商品检验局或其他具有法定资格的质检机构出具的检验证书向供方提出索赔。</w:t>
      </w:r>
    </w:p>
    <w:p w14:paraId="094975A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11.2如果供方对缺陷负有责任而需方提出索赔，供方应按照需方同意的下列一种或多种方式解决索赔事宜：</w:t>
      </w:r>
    </w:p>
    <w:p w14:paraId="7E7CFC1F">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（1）供方同意退货并用合同规定的货币将货款退还给需方，并承担由此发生的一切损失和费用，包括利息、银行手续费、运费、保险费、检验费、仓储费、装卸费以及为保护退回货物所需的其他必要费用。</w:t>
      </w:r>
    </w:p>
    <w:p w14:paraId="659D4E21">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（2）根据货物低劣、损坏程度以及需方所遭受损失的金额，经过供需双方商定降低货物的价格。</w:t>
      </w:r>
    </w:p>
    <w:p w14:paraId="595E6A48">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7BA8396D">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616376B5">
      <w:pPr>
        <w:spacing w:line="288" w:lineRule="auto"/>
        <w:rPr>
          <w:rFonts w:ascii="宋体" w:hAnsi="宋体" w:cs="宋体"/>
          <w:b/>
          <w:sz w:val="24"/>
          <w:szCs w:val="24"/>
          <w:highlight w:val="none"/>
        </w:rPr>
      </w:pPr>
      <w:r>
        <w:rPr>
          <w:rFonts w:hint="eastAsia" w:ascii="宋体" w:hAnsi="宋体" w:cs="宋体"/>
          <w:b/>
          <w:sz w:val="24"/>
          <w:szCs w:val="24"/>
          <w:highlight w:val="none"/>
        </w:rPr>
        <w:t>十二、供方履约延误</w:t>
      </w:r>
    </w:p>
    <w:p w14:paraId="54F6B068">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12.1 供方应按照合同规定的时间、地点交货和提供服务。</w:t>
      </w:r>
    </w:p>
    <w:p w14:paraId="0119FA1D">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12.2 如供方无正当理由拖延交货或不按投标文件提供服务，将受到以下制裁：没收履约保证金、加收误期赔偿和／或违约终止合同。</w:t>
      </w:r>
    </w:p>
    <w:p w14:paraId="7A15CACB">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302F6A82">
      <w:pPr>
        <w:spacing w:line="288" w:lineRule="auto"/>
        <w:rPr>
          <w:rFonts w:ascii="宋体" w:hAnsi="宋体" w:cs="宋体"/>
          <w:b/>
          <w:sz w:val="24"/>
          <w:szCs w:val="24"/>
          <w:highlight w:val="none"/>
        </w:rPr>
      </w:pPr>
      <w:r>
        <w:rPr>
          <w:rFonts w:hint="eastAsia" w:ascii="宋体" w:hAnsi="宋体" w:cs="宋体"/>
          <w:b/>
          <w:sz w:val="24"/>
          <w:szCs w:val="24"/>
          <w:highlight w:val="none"/>
        </w:rPr>
        <w:t>十三、误期赔偿</w:t>
      </w:r>
    </w:p>
    <w:p w14:paraId="58F978C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002108F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13.2误期赔偿费可从应付货款和/或履约保证金中扣除。</w:t>
      </w:r>
    </w:p>
    <w:p w14:paraId="50B092AA">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13.3收取误期赔偿费不影响需方采取合同规定的其他补救措施的权利。</w:t>
      </w:r>
    </w:p>
    <w:p w14:paraId="626227E2">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13.4供方如未能按本合同第九条规定进行售后服务，在收到需方县级远程办书面故障处理通知之日起一个月内仍未能解决故障，需方将按出现故障设备供货价格扣除质量保证金。</w:t>
      </w:r>
    </w:p>
    <w:p w14:paraId="2C7F554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13.5在收取误期赔偿费期间，需方有权决定是否终止合同。</w:t>
      </w:r>
    </w:p>
    <w:p w14:paraId="5D165111">
      <w:pPr>
        <w:spacing w:line="288" w:lineRule="auto"/>
        <w:rPr>
          <w:rFonts w:ascii="宋体" w:hAnsi="宋体" w:cs="宋体"/>
          <w:sz w:val="24"/>
          <w:szCs w:val="24"/>
          <w:highlight w:val="none"/>
        </w:rPr>
      </w:pPr>
      <w:r>
        <w:rPr>
          <w:rFonts w:hint="eastAsia" w:ascii="宋体" w:hAnsi="宋体" w:cs="宋体"/>
          <w:b/>
          <w:sz w:val="24"/>
          <w:szCs w:val="24"/>
          <w:highlight w:val="none"/>
        </w:rPr>
        <w:t>十四、履约保证金</w:t>
      </w:r>
    </w:p>
    <w:p w14:paraId="119B2E99">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14.1 中标供应商接到中标通知书后，合同签订前向采购人缴纳中标金额的5%做为履约保证金。</w:t>
      </w:r>
    </w:p>
    <w:p w14:paraId="40461DD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14.2 履约金返还的时间和条件：待质保期满后一次性返还（不计利息）。</w:t>
      </w:r>
    </w:p>
    <w:p w14:paraId="424AD74B">
      <w:pPr>
        <w:spacing w:line="288" w:lineRule="auto"/>
        <w:rPr>
          <w:rFonts w:ascii="宋体" w:hAnsi="宋体" w:cs="宋体"/>
          <w:b/>
          <w:sz w:val="24"/>
          <w:szCs w:val="24"/>
          <w:highlight w:val="none"/>
        </w:rPr>
      </w:pPr>
      <w:r>
        <w:rPr>
          <w:rFonts w:hint="eastAsia" w:ascii="宋体" w:hAnsi="宋体" w:cs="宋体"/>
          <w:b/>
          <w:sz w:val="24"/>
          <w:szCs w:val="24"/>
          <w:highlight w:val="none"/>
        </w:rPr>
        <w:t>十五、不可抗力</w:t>
      </w:r>
    </w:p>
    <w:p w14:paraId="3F675EA0">
      <w:pPr>
        <w:spacing w:line="288" w:lineRule="auto"/>
        <w:rPr>
          <w:rFonts w:ascii="宋体" w:hAnsi="宋体" w:cs="宋体"/>
          <w:sz w:val="24"/>
          <w:szCs w:val="24"/>
          <w:highlight w:val="none"/>
        </w:rPr>
      </w:pPr>
      <w:r>
        <w:rPr>
          <w:rFonts w:hint="eastAsia" w:ascii="宋体" w:hAnsi="宋体" w:cs="宋体"/>
          <w:sz w:val="24"/>
          <w:szCs w:val="24"/>
          <w:highlight w:val="none"/>
        </w:rPr>
        <w:t xml:space="preserve">    15.1 如果供需双方因不可抗力而导致合同实施延误或不能履行合同义务，不应该承担误期赔偿或不能履行合同义务的责任。</w:t>
      </w:r>
    </w:p>
    <w:p w14:paraId="277139A0">
      <w:pPr>
        <w:spacing w:line="288" w:lineRule="auto"/>
        <w:rPr>
          <w:rFonts w:ascii="宋体" w:hAnsi="宋体" w:cs="宋体"/>
          <w:sz w:val="24"/>
          <w:szCs w:val="24"/>
          <w:highlight w:val="none"/>
        </w:rPr>
      </w:pPr>
      <w:r>
        <w:rPr>
          <w:rFonts w:hint="eastAsia" w:ascii="宋体" w:hAnsi="宋体" w:cs="宋体"/>
          <w:sz w:val="24"/>
          <w:szCs w:val="24"/>
          <w:highlight w:val="none"/>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78C3E008">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2BA1E4B3">
      <w:pPr>
        <w:spacing w:line="288" w:lineRule="auto"/>
        <w:rPr>
          <w:rFonts w:ascii="宋体" w:hAnsi="宋体" w:cs="宋体"/>
          <w:b/>
          <w:sz w:val="24"/>
          <w:szCs w:val="24"/>
          <w:highlight w:val="none"/>
        </w:rPr>
      </w:pPr>
      <w:r>
        <w:rPr>
          <w:rFonts w:hint="eastAsia" w:ascii="宋体" w:hAnsi="宋体" w:cs="宋体"/>
          <w:b/>
          <w:sz w:val="24"/>
          <w:szCs w:val="24"/>
          <w:highlight w:val="none"/>
        </w:rPr>
        <w:t>十六、税费</w:t>
      </w:r>
    </w:p>
    <w:p w14:paraId="2584873B">
      <w:pPr>
        <w:spacing w:line="288" w:lineRule="auto"/>
        <w:rPr>
          <w:rFonts w:ascii="宋体" w:hAnsi="宋体" w:cs="宋体"/>
          <w:sz w:val="24"/>
          <w:szCs w:val="24"/>
          <w:highlight w:val="none"/>
        </w:rPr>
      </w:pPr>
      <w:r>
        <w:rPr>
          <w:rFonts w:hint="eastAsia" w:ascii="宋体" w:hAnsi="宋体" w:cs="宋体"/>
          <w:sz w:val="24"/>
          <w:szCs w:val="24"/>
          <w:highlight w:val="none"/>
        </w:rPr>
        <w:t xml:space="preserve">    16.1 根据现行法律规定对需方征收的与本合同有关的一切税费均由需方负担。</w:t>
      </w:r>
    </w:p>
    <w:p w14:paraId="03451868">
      <w:pPr>
        <w:spacing w:line="288" w:lineRule="auto"/>
        <w:rPr>
          <w:rFonts w:ascii="宋体" w:hAnsi="宋体" w:cs="宋体"/>
          <w:sz w:val="24"/>
          <w:szCs w:val="24"/>
          <w:highlight w:val="none"/>
        </w:rPr>
      </w:pPr>
      <w:r>
        <w:rPr>
          <w:rFonts w:hint="eastAsia" w:ascii="宋体" w:hAnsi="宋体" w:cs="宋体"/>
          <w:sz w:val="24"/>
          <w:szCs w:val="24"/>
          <w:highlight w:val="none"/>
        </w:rPr>
        <w:t xml:space="preserve">    16.2 根据现行法律规定对供方征收的与本合同有关的一切税费均由供方负担。</w:t>
      </w:r>
    </w:p>
    <w:p w14:paraId="5C3BA6A5">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16.3 在中国境外发生的与执行本合同有关的一切税费均由供方负担。</w:t>
      </w:r>
    </w:p>
    <w:p w14:paraId="3097596F">
      <w:pPr>
        <w:spacing w:line="288" w:lineRule="auto"/>
        <w:rPr>
          <w:rFonts w:ascii="宋体" w:hAnsi="宋体" w:cs="宋体"/>
          <w:b/>
          <w:sz w:val="24"/>
          <w:szCs w:val="24"/>
          <w:highlight w:val="none"/>
        </w:rPr>
      </w:pPr>
      <w:r>
        <w:rPr>
          <w:rFonts w:hint="eastAsia" w:ascii="宋体" w:hAnsi="宋体" w:cs="宋体"/>
          <w:b/>
          <w:sz w:val="24"/>
          <w:szCs w:val="24"/>
          <w:highlight w:val="none"/>
        </w:rPr>
        <w:t>十七、争端的解决</w:t>
      </w:r>
    </w:p>
    <w:p w14:paraId="46161940">
      <w:pPr>
        <w:spacing w:line="288" w:lineRule="auto"/>
        <w:rPr>
          <w:rFonts w:ascii="宋体" w:hAnsi="宋体" w:cs="宋体"/>
          <w:sz w:val="24"/>
          <w:szCs w:val="24"/>
          <w:highlight w:val="none"/>
        </w:rPr>
      </w:pPr>
      <w:r>
        <w:rPr>
          <w:rFonts w:hint="eastAsia" w:ascii="宋体" w:hAnsi="宋体" w:cs="宋体"/>
          <w:sz w:val="24"/>
          <w:szCs w:val="24"/>
          <w:highlight w:val="none"/>
        </w:rPr>
        <w:t xml:space="preserve">    17.1 供需双方应通过友好协商，解决在执行本合同过程中所发生的或与本合同有关的一切争端。如从协商开始十（10）天内仍不能解决，可以向有关合同管理部门提请调解。</w:t>
      </w:r>
    </w:p>
    <w:p w14:paraId="1D06EA27">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17.2 如果调解不成，供需双方的任何一方可以向人民法院提起诉讼。诉讼由合同签订地人民法院管辖。</w:t>
      </w:r>
    </w:p>
    <w:p w14:paraId="22BC6D11">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17.3诉讼费除法院另有裁决外均由败诉方负担。</w:t>
      </w:r>
    </w:p>
    <w:p w14:paraId="1402C692">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17.4在诉讼期间，除正在进行诉讼的部分外，本合同的其它部分应继续执行。</w:t>
      </w:r>
    </w:p>
    <w:p w14:paraId="5C265C15">
      <w:pPr>
        <w:spacing w:line="288" w:lineRule="auto"/>
        <w:rPr>
          <w:rFonts w:ascii="宋体" w:hAnsi="宋体" w:cs="宋体"/>
          <w:b/>
          <w:sz w:val="24"/>
          <w:szCs w:val="24"/>
          <w:highlight w:val="none"/>
        </w:rPr>
      </w:pPr>
      <w:r>
        <w:rPr>
          <w:rFonts w:hint="eastAsia" w:ascii="宋体" w:hAnsi="宋体" w:cs="宋体"/>
          <w:b/>
          <w:sz w:val="24"/>
          <w:szCs w:val="24"/>
          <w:highlight w:val="none"/>
        </w:rPr>
        <w:t>十八、违约终止合同</w:t>
      </w:r>
    </w:p>
    <w:p w14:paraId="14A2E45A">
      <w:pPr>
        <w:spacing w:line="288" w:lineRule="auto"/>
        <w:rPr>
          <w:rFonts w:ascii="宋体" w:hAnsi="宋体" w:cs="宋体"/>
          <w:sz w:val="24"/>
          <w:szCs w:val="24"/>
          <w:highlight w:val="none"/>
        </w:rPr>
      </w:pPr>
      <w:r>
        <w:rPr>
          <w:rFonts w:hint="eastAsia" w:ascii="宋体" w:hAnsi="宋体" w:cs="宋体"/>
          <w:sz w:val="24"/>
          <w:szCs w:val="24"/>
          <w:highlight w:val="none"/>
        </w:rPr>
        <w:t xml:space="preserve">    18.1 在需方因供方违约而按合同约定采取的任何补救措施不受影响的情况下，需方可在下列情况下向供方发出书面通知，提出终止部分或全部合同。</w:t>
      </w:r>
    </w:p>
    <w:p w14:paraId="40583444">
      <w:pPr>
        <w:spacing w:line="288" w:lineRule="auto"/>
        <w:rPr>
          <w:rFonts w:ascii="宋体" w:hAnsi="宋体" w:cs="宋体"/>
          <w:sz w:val="24"/>
          <w:szCs w:val="24"/>
          <w:highlight w:val="none"/>
        </w:rPr>
      </w:pPr>
      <w:r>
        <w:rPr>
          <w:rFonts w:hint="eastAsia" w:ascii="宋体" w:hAnsi="宋体" w:cs="宋体"/>
          <w:sz w:val="24"/>
          <w:szCs w:val="24"/>
          <w:highlight w:val="none"/>
        </w:rPr>
        <w:t xml:space="preserve">   （1）如果供方未能在合同规定的限期或需方同意延长的限期内提供部分或全部货物和服务。</w:t>
      </w:r>
    </w:p>
    <w:p w14:paraId="3915B786">
      <w:pPr>
        <w:spacing w:line="288" w:lineRule="auto"/>
        <w:rPr>
          <w:rFonts w:ascii="宋体" w:hAnsi="宋体" w:cs="宋体"/>
          <w:sz w:val="24"/>
          <w:szCs w:val="24"/>
          <w:highlight w:val="none"/>
        </w:rPr>
      </w:pPr>
      <w:r>
        <w:rPr>
          <w:rFonts w:hint="eastAsia" w:ascii="宋体" w:hAnsi="宋体" w:cs="宋体"/>
          <w:sz w:val="24"/>
          <w:szCs w:val="24"/>
          <w:highlight w:val="none"/>
        </w:rPr>
        <w:t xml:space="preserve">   （2）如果供方未能履行合同规定的其它任何义务。</w:t>
      </w:r>
    </w:p>
    <w:p w14:paraId="0B5B0362">
      <w:pPr>
        <w:spacing w:line="288" w:lineRule="auto"/>
        <w:rPr>
          <w:rFonts w:ascii="宋体" w:hAnsi="宋体" w:cs="宋体"/>
          <w:sz w:val="24"/>
          <w:szCs w:val="24"/>
          <w:highlight w:val="none"/>
        </w:rPr>
      </w:pPr>
      <w:r>
        <w:rPr>
          <w:rFonts w:hint="eastAsia" w:ascii="宋体" w:hAnsi="宋体" w:cs="宋体"/>
          <w:sz w:val="24"/>
          <w:szCs w:val="24"/>
          <w:highlight w:val="none"/>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47B7027A">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11C8B0F1">
      <w:pPr>
        <w:spacing w:line="288" w:lineRule="auto"/>
        <w:rPr>
          <w:rFonts w:ascii="宋体" w:hAnsi="宋体" w:cs="宋体"/>
          <w:b/>
          <w:sz w:val="24"/>
          <w:szCs w:val="24"/>
          <w:highlight w:val="none"/>
        </w:rPr>
      </w:pPr>
      <w:r>
        <w:rPr>
          <w:rFonts w:hint="eastAsia" w:ascii="宋体" w:hAnsi="宋体" w:cs="宋体"/>
          <w:b/>
          <w:sz w:val="24"/>
          <w:szCs w:val="24"/>
          <w:highlight w:val="none"/>
        </w:rPr>
        <w:t>十九、破产终止合同</w:t>
      </w:r>
    </w:p>
    <w:p w14:paraId="5C85350B">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19.1 如果供方破产或丧失清偿能力，需方可在任何时候以书面形式通知供方终止合同而不给供方补偿。该终止合同将不损害或影响需方已经采取或将要采取任何补救措施的权力。</w:t>
      </w:r>
    </w:p>
    <w:p w14:paraId="2783FEE8">
      <w:pPr>
        <w:spacing w:line="288" w:lineRule="auto"/>
        <w:rPr>
          <w:rFonts w:ascii="宋体" w:hAnsi="宋体" w:cs="宋体"/>
          <w:sz w:val="24"/>
          <w:szCs w:val="24"/>
          <w:highlight w:val="none"/>
        </w:rPr>
      </w:pPr>
      <w:r>
        <w:rPr>
          <w:rFonts w:hint="eastAsia" w:ascii="宋体" w:hAnsi="宋体" w:cs="宋体"/>
          <w:b/>
          <w:sz w:val="24"/>
          <w:szCs w:val="24"/>
          <w:highlight w:val="none"/>
        </w:rPr>
        <w:t>二十、合同转让和分包</w:t>
      </w:r>
    </w:p>
    <w:p w14:paraId="15317F2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20.1 供方不得部分转让和分包或全部转让和分包其应履行的合同义务。</w:t>
      </w:r>
    </w:p>
    <w:p w14:paraId="4800A66D">
      <w:pPr>
        <w:spacing w:line="288" w:lineRule="auto"/>
        <w:ind w:right="-76" w:rightChars="-38"/>
        <w:rPr>
          <w:rFonts w:ascii="宋体" w:hAnsi="宋体" w:cs="宋体"/>
          <w:sz w:val="24"/>
          <w:szCs w:val="24"/>
          <w:highlight w:val="none"/>
        </w:rPr>
      </w:pPr>
      <w:r>
        <w:rPr>
          <w:rFonts w:hint="eastAsia" w:ascii="宋体" w:hAnsi="宋体" w:cs="宋体"/>
          <w:b/>
          <w:sz w:val="24"/>
          <w:szCs w:val="24"/>
          <w:highlight w:val="none"/>
        </w:rPr>
        <w:t>二十一、需要补充的合同条款</w:t>
      </w:r>
    </w:p>
    <w:p w14:paraId="2B1A7CCE">
      <w:pPr>
        <w:spacing w:line="288" w:lineRule="auto"/>
        <w:ind w:right="-76" w:rightChars="-38" w:firstLine="540" w:firstLineChars="225"/>
        <w:rPr>
          <w:rFonts w:ascii="宋体" w:hAnsi="宋体" w:cs="宋体"/>
          <w:sz w:val="24"/>
          <w:szCs w:val="24"/>
          <w:highlight w:val="none"/>
        </w:rPr>
      </w:pPr>
      <w:r>
        <w:rPr>
          <w:rFonts w:hint="eastAsia" w:ascii="宋体" w:hAnsi="宋体" w:cs="宋体"/>
          <w:sz w:val="24"/>
          <w:szCs w:val="24"/>
          <w:highlight w:val="none"/>
        </w:rPr>
        <w:t>21.1 根据评标过程中或者商务谈判时商定的条款和条件在订立合同时标明。</w:t>
      </w:r>
    </w:p>
    <w:p w14:paraId="5C4C552E">
      <w:pPr>
        <w:spacing w:line="288" w:lineRule="auto"/>
        <w:rPr>
          <w:rFonts w:ascii="宋体" w:hAnsi="宋体" w:cs="宋体"/>
          <w:b/>
          <w:sz w:val="24"/>
          <w:szCs w:val="24"/>
          <w:highlight w:val="none"/>
        </w:rPr>
      </w:pPr>
      <w:r>
        <w:rPr>
          <w:rFonts w:hint="eastAsia" w:ascii="宋体" w:hAnsi="宋体" w:cs="宋体"/>
          <w:b/>
          <w:sz w:val="24"/>
          <w:szCs w:val="24"/>
          <w:highlight w:val="none"/>
        </w:rPr>
        <w:t>二十二、适用法律</w:t>
      </w:r>
    </w:p>
    <w:p w14:paraId="399B42A8">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22.1 本合同按照中华人民共和国的现行法律进行解释。</w:t>
      </w:r>
    </w:p>
    <w:p w14:paraId="33C73205">
      <w:pPr>
        <w:spacing w:line="288" w:lineRule="auto"/>
        <w:rPr>
          <w:rFonts w:ascii="宋体" w:hAnsi="宋体" w:cs="宋体"/>
          <w:b/>
          <w:sz w:val="24"/>
          <w:szCs w:val="24"/>
          <w:highlight w:val="none"/>
        </w:rPr>
      </w:pPr>
      <w:r>
        <w:rPr>
          <w:rFonts w:hint="eastAsia" w:ascii="宋体" w:hAnsi="宋体" w:cs="宋体"/>
          <w:b/>
          <w:sz w:val="24"/>
          <w:szCs w:val="24"/>
          <w:highlight w:val="none"/>
        </w:rPr>
        <w:t>二十三、合同生效</w:t>
      </w:r>
    </w:p>
    <w:p w14:paraId="45C12B44">
      <w:pPr>
        <w:spacing w:line="288" w:lineRule="auto"/>
        <w:rPr>
          <w:rFonts w:ascii="宋体" w:hAnsi="宋体" w:cs="宋体"/>
          <w:sz w:val="24"/>
          <w:szCs w:val="24"/>
          <w:highlight w:val="none"/>
        </w:rPr>
      </w:pPr>
      <w:r>
        <w:rPr>
          <w:rFonts w:hint="eastAsia" w:ascii="宋体" w:hAnsi="宋体" w:cs="宋体"/>
          <w:sz w:val="24"/>
          <w:szCs w:val="24"/>
          <w:highlight w:val="none"/>
        </w:rPr>
        <w:t xml:space="preserve">    23.1 本合同在供需双方法定代表人或其授权代理人签字并加盖公章并且采购方收到供方提交的履约保证金后生效。 </w:t>
      </w:r>
    </w:p>
    <w:p w14:paraId="33B2DF1B">
      <w:pPr>
        <w:spacing w:line="288" w:lineRule="auto"/>
        <w:rPr>
          <w:rFonts w:ascii="宋体" w:hAnsi="宋体" w:cs="宋体"/>
          <w:b/>
          <w:sz w:val="24"/>
          <w:szCs w:val="24"/>
          <w:highlight w:val="none"/>
        </w:rPr>
      </w:pPr>
      <w:r>
        <w:rPr>
          <w:rFonts w:hint="eastAsia" w:ascii="宋体" w:hAnsi="宋体" w:cs="宋体"/>
          <w:b/>
          <w:sz w:val="24"/>
          <w:szCs w:val="24"/>
          <w:highlight w:val="none"/>
        </w:rPr>
        <w:t>二十四、合同附件</w:t>
      </w:r>
    </w:p>
    <w:p w14:paraId="4DE3085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24.1下列文件构成本合同不可分割的组成部分，与本合同具有同等法律效力：</w:t>
      </w:r>
    </w:p>
    <w:p w14:paraId="023DE536">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1、招标文件及澄清、补充文件；</w:t>
      </w:r>
    </w:p>
    <w:p w14:paraId="66B79295">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2、供方的投标文件、在投标期间的书面承诺文件和售后服务承诺书；        </w:t>
      </w:r>
    </w:p>
    <w:p w14:paraId="04D09701">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3、产品样本、说明书、图纸（与合同配置不符之处，以合同为准）；</w:t>
      </w:r>
    </w:p>
    <w:p w14:paraId="5EFF133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4、中标通知书；</w:t>
      </w:r>
    </w:p>
    <w:p w14:paraId="145A4817">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5、政府采购验收报告单；</w:t>
      </w:r>
    </w:p>
    <w:p w14:paraId="02EE887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6、合同的其他附件：</w:t>
      </w:r>
    </w:p>
    <w:p w14:paraId="297357D5">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上述合同附件如果有不一致之处，以日期在后的和对需方有利的为准。</w:t>
      </w:r>
    </w:p>
    <w:p w14:paraId="4E78B8DB">
      <w:pPr>
        <w:spacing w:line="288" w:lineRule="auto"/>
        <w:rPr>
          <w:rFonts w:ascii="宋体" w:hAnsi="宋体" w:cs="宋体"/>
          <w:b/>
          <w:sz w:val="24"/>
          <w:szCs w:val="24"/>
          <w:highlight w:val="none"/>
        </w:rPr>
      </w:pPr>
      <w:r>
        <w:rPr>
          <w:rFonts w:hint="eastAsia" w:ascii="宋体" w:hAnsi="宋体" w:cs="宋体"/>
          <w:b/>
          <w:sz w:val="24"/>
          <w:szCs w:val="24"/>
          <w:highlight w:val="none"/>
        </w:rPr>
        <w:t>二十五、合同修改</w:t>
      </w:r>
    </w:p>
    <w:p w14:paraId="79BD36FB">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25.1除供需双方和采购方签署书面修改、补充协议，并成为本合同不可分割的一部分之外，本合同条件不得有任何变化或修改。</w:t>
      </w:r>
    </w:p>
    <w:p w14:paraId="45E46BC1">
      <w:pPr>
        <w:spacing w:line="288" w:lineRule="auto"/>
        <w:rPr>
          <w:rFonts w:ascii="宋体" w:hAnsi="宋体" w:cs="宋体"/>
          <w:b/>
          <w:sz w:val="24"/>
          <w:szCs w:val="24"/>
          <w:highlight w:val="none"/>
        </w:rPr>
      </w:pPr>
      <w:r>
        <w:rPr>
          <w:rFonts w:hint="eastAsia" w:ascii="宋体" w:hAnsi="宋体" w:cs="宋体"/>
          <w:b/>
          <w:sz w:val="24"/>
          <w:szCs w:val="24"/>
          <w:highlight w:val="none"/>
        </w:rPr>
        <w:t>二十六、合同备案</w:t>
      </w:r>
    </w:p>
    <w:p w14:paraId="541864A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26.1自本合同订立之日起七个工作日内，向本级政府采购监督管理部门备案。</w:t>
      </w:r>
    </w:p>
    <w:p w14:paraId="0F623899">
      <w:pPr>
        <w:spacing w:line="288" w:lineRule="auto"/>
        <w:rPr>
          <w:rFonts w:ascii="宋体" w:hAnsi="宋体" w:cs="宋体"/>
          <w:b/>
          <w:bCs/>
          <w:sz w:val="24"/>
          <w:szCs w:val="24"/>
          <w:highlight w:val="none"/>
        </w:rPr>
      </w:pPr>
      <w:r>
        <w:rPr>
          <w:rFonts w:hint="eastAsia" w:ascii="宋体" w:hAnsi="宋体" w:cs="宋体"/>
          <w:b/>
          <w:sz w:val="24"/>
          <w:szCs w:val="24"/>
          <w:highlight w:val="none"/>
        </w:rPr>
        <w:t>二十七、政府采购法对政府采购合同变更终止的规定：</w:t>
      </w:r>
      <w:r>
        <w:rPr>
          <w:rFonts w:hint="eastAsia" w:ascii="宋体" w:hAnsi="宋体" w:cs="宋体"/>
          <w:sz w:val="24"/>
          <w:szCs w:val="24"/>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09B63DBA">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需方：                                  供方：</w:t>
      </w:r>
    </w:p>
    <w:p w14:paraId="10EB3A9A">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地址：                                  地址：</w:t>
      </w:r>
    </w:p>
    <w:p w14:paraId="349BCB7A">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 xml:space="preserve">法定代表人 ：                           法定代表人 :              </w:t>
      </w:r>
    </w:p>
    <w:p w14:paraId="4EFC395B">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或授权委托人：                          或授权代理人：</w:t>
      </w:r>
    </w:p>
    <w:p w14:paraId="66CE23B7">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签字日期：                              签字日期：</w:t>
      </w:r>
    </w:p>
    <w:p w14:paraId="5A4A345F">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邮政编码：                              邮政编码：</w:t>
      </w:r>
    </w:p>
    <w:p w14:paraId="417F65E9">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电话：                                  电话：</w:t>
      </w:r>
    </w:p>
    <w:p w14:paraId="74D48625">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传真：                                  传真：</w:t>
      </w:r>
    </w:p>
    <w:p w14:paraId="5B5C4BC3">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联系人：                                联系人：</w:t>
      </w:r>
    </w:p>
    <w:p w14:paraId="0ABA4235">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开户银行：                              开户银行：</w:t>
      </w:r>
    </w:p>
    <w:p w14:paraId="3801B682">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帐户名称:                               帐户名称：</w:t>
      </w:r>
    </w:p>
    <w:p w14:paraId="07B60E1C">
      <w:pPr>
        <w:spacing w:line="288" w:lineRule="auto"/>
        <w:ind w:firstLine="240" w:firstLineChars="100"/>
        <w:rPr>
          <w:rFonts w:ascii="宋体" w:hAnsi="宋体" w:cs="宋体"/>
          <w:b/>
          <w:kern w:val="44"/>
          <w:sz w:val="24"/>
          <w:szCs w:val="24"/>
          <w:highlight w:val="none"/>
        </w:rPr>
      </w:pPr>
      <w:r>
        <w:rPr>
          <w:rFonts w:hint="eastAsia" w:ascii="宋体" w:hAnsi="宋体" w:cs="宋体"/>
          <w:sz w:val="24"/>
          <w:szCs w:val="24"/>
          <w:highlight w:val="none"/>
        </w:rPr>
        <w:t>帐号：                                  帐号：</w:t>
      </w:r>
    </w:p>
    <w:p w14:paraId="3EAB3BAE">
      <w:pPr>
        <w:rPr>
          <w:rFonts w:ascii="宋体" w:hAnsi="宋体" w:cs="宋体"/>
          <w:b/>
          <w:kern w:val="44"/>
          <w:sz w:val="24"/>
          <w:szCs w:val="24"/>
          <w:highlight w:val="none"/>
        </w:rPr>
      </w:pPr>
    </w:p>
    <w:p w14:paraId="37231112">
      <w:pPr>
        <w:spacing w:line="288" w:lineRule="auto"/>
        <w:rPr>
          <w:rFonts w:ascii="宋体" w:hAnsi="宋体" w:cs="宋体"/>
          <w:b/>
          <w:kern w:val="44"/>
          <w:sz w:val="28"/>
          <w:szCs w:val="28"/>
          <w:highlight w:val="none"/>
        </w:rPr>
      </w:pPr>
      <w:r>
        <w:rPr>
          <w:rFonts w:hint="eastAsia" w:ascii="宋体" w:hAnsi="宋体" w:cs="宋体"/>
          <w:b/>
          <w:kern w:val="44"/>
          <w:sz w:val="28"/>
          <w:szCs w:val="28"/>
          <w:highlight w:val="none"/>
        </w:rPr>
        <w:t>注：此合同为参考模板，具体以双方实际签订为准。</w:t>
      </w:r>
    </w:p>
    <w:p w14:paraId="4423C923">
      <w:pPr>
        <w:rPr>
          <w:color w:val="000000" w:themeColor="text1"/>
          <w:highlight w:val="none"/>
          <w14:textFill>
            <w14:solidFill>
              <w14:schemeClr w14:val="tx1"/>
            </w14:solidFill>
          </w14:textFill>
        </w:rPr>
      </w:pPr>
    </w:p>
    <w:p w14:paraId="640DE252">
      <w:pPr>
        <w:rPr>
          <w:rFonts w:hint="eastAsia"/>
          <w:highlight w:val="none"/>
        </w:rPr>
      </w:pPr>
      <w:bookmarkStart w:id="76" w:name="_Toc55578497"/>
    </w:p>
    <w:p w14:paraId="4E2F15DF">
      <w:pPr>
        <w:rPr>
          <w:rFonts w:hint="eastAsia"/>
          <w:highlight w:val="none"/>
        </w:rPr>
      </w:pPr>
    </w:p>
    <w:p w14:paraId="7AB959C6">
      <w:pPr>
        <w:rPr>
          <w:rFonts w:hint="eastAsia"/>
          <w:highlight w:val="none"/>
        </w:rPr>
      </w:pPr>
    </w:p>
    <w:p w14:paraId="005F2E22">
      <w:pPr>
        <w:rPr>
          <w:rFonts w:hint="eastAsia"/>
          <w:highlight w:val="none"/>
        </w:rPr>
      </w:pPr>
    </w:p>
    <w:p w14:paraId="72033D84">
      <w:pPr>
        <w:rPr>
          <w:rFonts w:hint="eastAsia"/>
          <w:highlight w:val="none"/>
        </w:rPr>
      </w:pPr>
    </w:p>
    <w:p w14:paraId="4621BABB">
      <w:pPr>
        <w:rPr>
          <w:rFonts w:hint="eastAsia"/>
          <w:highlight w:val="none"/>
        </w:rPr>
      </w:pPr>
    </w:p>
    <w:p w14:paraId="77F13FC3">
      <w:pPr>
        <w:pStyle w:val="2"/>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第六部分  </w:t>
      </w:r>
      <w:bookmarkEnd w:id="69"/>
      <w:r>
        <w:rPr>
          <w:rFonts w:hint="eastAsia"/>
          <w:color w:val="000000" w:themeColor="text1"/>
          <w:highlight w:val="none"/>
          <w14:textFill>
            <w14:solidFill>
              <w14:schemeClr w14:val="tx1"/>
            </w14:solidFill>
          </w14:textFill>
        </w:rPr>
        <w:t>投标文件格式</w:t>
      </w:r>
      <w:bookmarkEnd w:id="76"/>
    </w:p>
    <w:p w14:paraId="270C85D0">
      <w:pPr>
        <w:spacing w:line="440" w:lineRule="exact"/>
        <w:rPr>
          <w:rFonts w:eastAsia="黑体"/>
          <w:color w:val="000000" w:themeColor="text1"/>
          <w:highlight w:val="none"/>
          <w14:textFill>
            <w14:solidFill>
              <w14:schemeClr w14:val="tx1"/>
            </w14:solidFill>
          </w14:textFill>
        </w:rPr>
      </w:pPr>
    </w:p>
    <w:p w14:paraId="154BAA6C">
      <w:pPr>
        <w:spacing w:line="440" w:lineRule="exact"/>
        <w:rPr>
          <w:rFonts w:eastAsia="黑体"/>
          <w:color w:val="000000" w:themeColor="text1"/>
          <w:highlight w:val="none"/>
          <w14:textFill>
            <w14:solidFill>
              <w14:schemeClr w14:val="tx1"/>
            </w14:solidFill>
          </w14:textFill>
        </w:rPr>
      </w:pPr>
    </w:p>
    <w:p w14:paraId="07AEF54A">
      <w:pPr>
        <w:spacing w:line="440" w:lineRule="exact"/>
        <w:rPr>
          <w:rFonts w:eastAsia="黑体"/>
          <w:color w:val="000000" w:themeColor="text1"/>
          <w:highlight w:val="none"/>
          <w14:textFill>
            <w14:solidFill>
              <w14:schemeClr w14:val="tx1"/>
            </w14:solidFill>
          </w14:textFill>
        </w:rPr>
      </w:pPr>
    </w:p>
    <w:p w14:paraId="11555E6E">
      <w:pPr>
        <w:spacing w:line="440" w:lineRule="exact"/>
        <w:rPr>
          <w:rFonts w:eastAsia="黑体"/>
          <w:color w:val="000000" w:themeColor="text1"/>
          <w:highlight w:val="none"/>
          <w14:textFill>
            <w14:solidFill>
              <w14:schemeClr w14:val="tx1"/>
            </w14:solidFill>
          </w14:textFill>
        </w:rPr>
      </w:pPr>
    </w:p>
    <w:p w14:paraId="336EB3D7">
      <w:pPr>
        <w:spacing w:line="440" w:lineRule="exact"/>
        <w:rPr>
          <w:rFonts w:eastAsia="黑体"/>
          <w:color w:val="FFFFFF" w:themeColor="background1"/>
          <w:highlight w:val="none"/>
          <w14:textFill>
            <w14:solidFill>
              <w14:schemeClr w14:val="bg1"/>
            </w14:solidFill>
          </w14:textFill>
        </w:rPr>
      </w:pPr>
    </w:p>
    <w:p w14:paraId="478B5E4D">
      <w:pPr>
        <w:rPr>
          <w:rFonts w:ascii="宋体" w:hAnsi="宋体" w:cs="宋体"/>
          <w:color w:val="FFFFFF" w:themeColor="background1"/>
          <w:sz w:val="28"/>
          <w:szCs w:val="28"/>
          <w:highlight w:val="none"/>
          <w:u w:val="single"/>
          <w14:textFill>
            <w14:solidFill>
              <w14:schemeClr w14:val="bg1"/>
            </w14:solidFill>
          </w14:textFill>
        </w:rPr>
      </w:pPr>
      <w:r>
        <w:rPr>
          <w:rFonts w:hint="eastAsia" w:ascii="宋体" w:hAnsi="宋体" w:cs="宋体"/>
          <w:color w:val="FFFFFF" w:themeColor="background1"/>
          <w:sz w:val="28"/>
          <w:szCs w:val="28"/>
          <w:highlight w:val="none"/>
          <w:u w:val="single"/>
          <w14:textFill>
            <w14:solidFill>
              <w14:schemeClr w14:val="bg1"/>
            </w14:solidFill>
          </w14:textFill>
        </w:rPr>
        <w:br w:type="page"/>
      </w:r>
    </w:p>
    <w:p w14:paraId="2188616D">
      <w:pPr>
        <w:jc w:val="center"/>
        <w:rPr>
          <w:rFonts w:ascii="宋体" w:hAnsi="宋体" w:cs="宋体"/>
          <w:color w:val="000000" w:themeColor="text1"/>
          <w:sz w:val="28"/>
          <w:szCs w:val="28"/>
          <w:highlight w:val="none"/>
          <w:u w:val="single"/>
          <w14:textFill>
            <w14:solidFill>
              <w14:schemeClr w14:val="tx1"/>
            </w14:solidFill>
          </w14:textFill>
        </w:rPr>
      </w:pPr>
    </w:p>
    <w:p w14:paraId="443D0F19">
      <w:pPr>
        <w:jc w:val="center"/>
        <w:rPr>
          <w:rFonts w:ascii="宋体" w:hAnsi="宋体" w:cs="宋体"/>
          <w:color w:val="000000" w:themeColor="text1"/>
          <w:sz w:val="28"/>
          <w:szCs w:val="28"/>
          <w:highlight w:val="none"/>
          <w:u w:val="single"/>
          <w14:textFill>
            <w14:solidFill>
              <w14:schemeClr w14:val="tx1"/>
            </w14:solidFill>
          </w14:textFill>
        </w:rPr>
      </w:pPr>
    </w:p>
    <w:p w14:paraId="6577BC83">
      <w:pPr>
        <w:jc w:val="center"/>
        <w:rPr>
          <w:rFonts w:ascii="宋体" w:hAnsi="宋体" w:cs="宋体"/>
          <w:color w:val="000000" w:themeColor="text1"/>
          <w:sz w:val="28"/>
          <w:szCs w:val="28"/>
          <w:highlight w:val="none"/>
          <w:u w:val="single"/>
          <w14:textFill>
            <w14:solidFill>
              <w14:schemeClr w14:val="tx1"/>
            </w14:solidFill>
          </w14:textFill>
        </w:rPr>
      </w:pPr>
    </w:p>
    <w:p w14:paraId="0D51564C">
      <w:pPr>
        <w:jc w:val="center"/>
        <w:rPr>
          <w:rFonts w:ascii="宋体" w:hAnsi="宋体" w:cs="宋体"/>
          <w:color w:val="000000" w:themeColor="text1"/>
          <w:sz w:val="28"/>
          <w:szCs w:val="28"/>
          <w:highlight w:val="none"/>
          <w:u w:val="single"/>
          <w14:textFill>
            <w14:solidFill>
              <w14:schemeClr w14:val="tx1"/>
            </w14:solidFill>
          </w14:textFill>
        </w:rPr>
      </w:pPr>
    </w:p>
    <w:p w14:paraId="580BF3E5">
      <w:pPr>
        <w:jc w:val="center"/>
        <w:rPr>
          <w:rFonts w:ascii="宋体" w:hAnsi="宋体" w:cs="宋体"/>
          <w:color w:val="000000" w:themeColor="text1"/>
          <w:sz w:val="28"/>
          <w:szCs w:val="28"/>
          <w:highlight w:val="none"/>
          <w:u w:val="single"/>
          <w14:textFill>
            <w14:solidFill>
              <w14:schemeClr w14:val="tx1"/>
            </w14:solidFill>
          </w14:textFill>
        </w:rPr>
      </w:pPr>
    </w:p>
    <w:p w14:paraId="05C02A29">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06176D26">
      <w:pPr>
        <w:jc w:val="center"/>
        <w:rPr>
          <w:rFonts w:ascii="宋体" w:hAnsi="宋体" w:cs="宋体"/>
          <w:color w:val="000000" w:themeColor="text1"/>
          <w:highlight w:val="none"/>
          <w14:textFill>
            <w14:solidFill>
              <w14:schemeClr w14:val="tx1"/>
            </w14:solidFill>
          </w14:textFill>
        </w:rPr>
      </w:pPr>
    </w:p>
    <w:p w14:paraId="07076703">
      <w:pPr>
        <w:rPr>
          <w:rFonts w:ascii="宋体" w:hAnsi="宋体" w:cs="宋体"/>
          <w:color w:val="000000" w:themeColor="text1"/>
          <w:highlight w:val="none"/>
          <w14:textFill>
            <w14:solidFill>
              <w14:schemeClr w14:val="tx1"/>
            </w14:solidFill>
          </w14:textFill>
        </w:rPr>
      </w:pPr>
    </w:p>
    <w:p w14:paraId="1F225977">
      <w:pPr>
        <w:jc w:val="center"/>
        <w:rPr>
          <w:rFonts w:ascii="宋体" w:hAnsi="宋体" w:cs="宋体"/>
          <w:color w:val="000000" w:themeColor="text1"/>
          <w:sz w:val="144"/>
          <w:szCs w:val="144"/>
          <w:highlight w:val="none"/>
          <w14:textFill>
            <w14:solidFill>
              <w14:schemeClr w14:val="tx1"/>
            </w14:solidFill>
          </w14:textFill>
        </w:rPr>
      </w:pPr>
      <w:r>
        <w:rPr>
          <w:rFonts w:hint="eastAsia" w:ascii="宋体" w:hAnsi="宋体" w:cs="宋体"/>
          <w:color w:val="000000" w:themeColor="text1"/>
          <w:sz w:val="144"/>
          <w:szCs w:val="144"/>
          <w:highlight w:val="none"/>
          <w14:textFill>
            <w14:solidFill>
              <w14:schemeClr w14:val="tx1"/>
            </w14:solidFill>
          </w14:textFill>
        </w:rPr>
        <w:t>投标文件</w:t>
      </w:r>
    </w:p>
    <w:p w14:paraId="18F0891C">
      <w:pPr>
        <w:jc w:val="center"/>
        <w:rPr>
          <w:rFonts w:hint="default" w:eastAsia="宋体"/>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val="en-US" w:eastAsia="zh-CN"/>
          <w14:textFill>
            <w14:solidFill>
              <w14:schemeClr w14:val="tx1"/>
            </w14:solidFill>
          </w14:textFill>
        </w:rPr>
        <w:t>XXX</w:t>
      </w:r>
    </w:p>
    <w:p w14:paraId="24299B85">
      <w:pPr>
        <w:jc w:val="center"/>
        <w:rPr>
          <w:rFonts w:eastAsia="黑体"/>
          <w:sz w:val="28"/>
          <w:szCs w:val="28"/>
          <w:highlight w:val="none"/>
        </w:rPr>
      </w:pPr>
    </w:p>
    <w:p w14:paraId="65BAF75C">
      <w:pPr>
        <w:rPr>
          <w:rFonts w:eastAsia="黑体"/>
          <w:color w:val="000000" w:themeColor="text1"/>
          <w:sz w:val="28"/>
          <w:szCs w:val="28"/>
          <w:highlight w:val="none"/>
          <w14:textFill>
            <w14:solidFill>
              <w14:schemeClr w14:val="tx1"/>
            </w14:solidFill>
          </w14:textFill>
        </w:rPr>
      </w:pPr>
    </w:p>
    <w:p w14:paraId="392BFCC6">
      <w:pPr>
        <w:rPr>
          <w:rFonts w:eastAsia="黑体"/>
          <w:color w:val="000000" w:themeColor="text1"/>
          <w:sz w:val="28"/>
          <w:szCs w:val="28"/>
          <w:highlight w:val="none"/>
          <w14:textFill>
            <w14:solidFill>
              <w14:schemeClr w14:val="tx1"/>
            </w14:solidFill>
          </w14:textFill>
        </w:rPr>
      </w:pPr>
    </w:p>
    <w:p w14:paraId="2D406C2D">
      <w:pPr>
        <w:rPr>
          <w:rFonts w:eastAsia="黑体"/>
          <w:color w:val="000000" w:themeColor="text1"/>
          <w:sz w:val="28"/>
          <w:szCs w:val="28"/>
          <w:highlight w:val="none"/>
          <w14:textFill>
            <w14:solidFill>
              <w14:schemeClr w14:val="tx1"/>
            </w14:solidFill>
          </w14:textFill>
        </w:rPr>
      </w:pPr>
    </w:p>
    <w:p w14:paraId="117FA395">
      <w:pPr>
        <w:rPr>
          <w:rFonts w:eastAsia="黑体"/>
          <w:color w:val="000000" w:themeColor="text1"/>
          <w:sz w:val="28"/>
          <w:szCs w:val="28"/>
          <w:highlight w:val="none"/>
          <w14:textFill>
            <w14:solidFill>
              <w14:schemeClr w14:val="tx1"/>
            </w14:solidFill>
          </w14:textFill>
        </w:rPr>
      </w:pPr>
    </w:p>
    <w:p w14:paraId="2C058D88">
      <w:pPr>
        <w:rPr>
          <w:rFonts w:eastAsia="黑体"/>
          <w:color w:val="000000" w:themeColor="text1"/>
          <w:sz w:val="28"/>
          <w:szCs w:val="28"/>
          <w:highlight w:val="none"/>
          <w14:textFill>
            <w14:solidFill>
              <w14:schemeClr w14:val="tx1"/>
            </w14:solidFill>
          </w14:textFill>
        </w:rPr>
      </w:pPr>
    </w:p>
    <w:p w14:paraId="253FD87F">
      <w:pPr>
        <w:rPr>
          <w:rFonts w:eastAsia="黑体"/>
          <w:color w:val="000000" w:themeColor="text1"/>
          <w:sz w:val="28"/>
          <w:szCs w:val="28"/>
          <w:highlight w:val="none"/>
          <w14:textFill>
            <w14:solidFill>
              <w14:schemeClr w14:val="tx1"/>
            </w14:solidFill>
          </w14:textFill>
        </w:rPr>
      </w:pPr>
    </w:p>
    <w:p w14:paraId="3D7F1E44">
      <w:pPr>
        <w:rPr>
          <w:rFonts w:eastAsia="黑体"/>
          <w:color w:val="000000" w:themeColor="text1"/>
          <w:sz w:val="28"/>
          <w:szCs w:val="28"/>
          <w:highlight w:val="none"/>
          <w14:textFill>
            <w14:solidFill>
              <w14:schemeClr w14:val="tx1"/>
            </w14:solidFill>
          </w14:textFill>
        </w:rPr>
      </w:pPr>
    </w:p>
    <w:p w14:paraId="4EB8B647">
      <w:pPr>
        <w:rPr>
          <w:rFonts w:eastAsia="黑体"/>
          <w:color w:val="000000" w:themeColor="text1"/>
          <w:sz w:val="28"/>
          <w:szCs w:val="28"/>
          <w:highlight w:val="none"/>
          <w14:textFill>
            <w14:solidFill>
              <w14:schemeClr w14:val="tx1"/>
            </w14:solidFill>
          </w14:textFill>
        </w:rPr>
      </w:pPr>
    </w:p>
    <w:p w14:paraId="19A97463">
      <w:pPr>
        <w:rPr>
          <w:rFonts w:eastAsia="黑体"/>
          <w:color w:val="000000" w:themeColor="text1"/>
          <w:sz w:val="28"/>
          <w:szCs w:val="28"/>
          <w:highlight w:val="none"/>
          <w14:textFill>
            <w14:solidFill>
              <w14:schemeClr w14:val="tx1"/>
            </w14:solidFill>
          </w14:textFill>
        </w:rPr>
      </w:pPr>
    </w:p>
    <w:p w14:paraId="6A599CB7">
      <w:pPr>
        <w:rPr>
          <w:rFonts w:eastAsia="黑体"/>
          <w:color w:val="000000" w:themeColor="text1"/>
          <w:sz w:val="28"/>
          <w:szCs w:val="28"/>
          <w:highlight w:val="none"/>
          <w14:textFill>
            <w14:solidFill>
              <w14:schemeClr w14:val="tx1"/>
            </w14:solidFill>
          </w14:textFill>
        </w:rPr>
      </w:pPr>
    </w:p>
    <w:p w14:paraId="7B9D0818">
      <w:pPr>
        <w:rPr>
          <w:rFonts w:eastAsia="黑体"/>
          <w:color w:val="000000" w:themeColor="text1"/>
          <w:sz w:val="28"/>
          <w:szCs w:val="28"/>
          <w:highlight w:val="none"/>
          <w14:textFill>
            <w14:solidFill>
              <w14:schemeClr w14:val="tx1"/>
            </w14:solidFill>
          </w14:textFill>
        </w:rPr>
      </w:pPr>
    </w:p>
    <w:p w14:paraId="3DD7DF41">
      <w:pPr>
        <w:rPr>
          <w:rFonts w:eastAsia="黑体"/>
          <w:color w:val="000000" w:themeColor="text1"/>
          <w:sz w:val="28"/>
          <w:szCs w:val="28"/>
          <w:highlight w:val="none"/>
          <w14:textFill>
            <w14:solidFill>
              <w14:schemeClr w14:val="tx1"/>
            </w14:solidFill>
          </w14:textFill>
        </w:rPr>
      </w:pPr>
    </w:p>
    <w:p w14:paraId="489BB845">
      <w:pPr>
        <w:spacing w:line="360" w:lineRule="auto"/>
        <w:rPr>
          <w:rFonts w:eastAsia="黑体"/>
          <w:color w:val="000000" w:themeColor="text1"/>
          <w:sz w:val="28"/>
          <w:szCs w:val="28"/>
          <w:highlight w:val="none"/>
          <w14:textFill>
            <w14:solidFill>
              <w14:schemeClr w14:val="tx1"/>
            </w14:solidFill>
          </w14:textFill>
        </w:rPr>
      </w:pPr>
    </w:p>
    <w:p w14:paraId="53BD924B">
      <w:pPr>
        <w:spacing w:line="360" w:lineRule="auto"/>
        <w:jc w:val="center"/>
        <w:rPr>
          <w:rFonts w:eastAsia="黑体"/>
          <w:color w:val="000000" w:themeColor="text1"/>
          <w:sz w:val="28"/>
          <w:szCs w:val="28"/>
          <w:highlight w:val="none"/>
          <w:u w:val="singl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投标单位：</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（盖单位章）</w:t>
      </w:r>
    </w:p>
    <w:p w14:paraId="3FE505E5">
      <w:pPr>
        <w:spacing w:line="360" w:lineRule="auto"/>
        <w:jc w:val="center"/>
        <w:rPr>
          <w:rFonts w:eastAsia="黑体"/>
          <w:color w:val="000000" w:themeColor="text1"/>
          <w:sz w:val="28"/>
          <w:szCs w:val="28"/>
          <w:highlight w:val="none"/>
          <w14:textFill>
            <w14:solidFill>
              <w14:schemeClr w14:val="tx1"/>
            </w14:solidFill>
          </w14:textFill>
        </w:rPr>
      </w:pPr>
    </w:p>
    <w:p w14:paraId="593707C0">
      <w:pPr>
        <w:spacing w:line="360" w:lineRule="auto"/>
        <w:jc w:val="center"/>
        <w:rPr>
          <w:rFonts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法定代表人或其委托代理人：</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（签字）</w:t>
      </w:r>
    </w:p>
    <w:p w14:paraId="5806DBBB">
      <w:pPr>
        <w:spacing w:line="360" w:lineRule="auto"/>
        <w:jc w:val="center"/>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年</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月</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日</w:t>
      </w:r>
    </w:p>
    <w:p w14:paraId="118C44AF">
      <w:pPr>
        <w:spacing w:line="360" w:lineRule="auto"/>
        <w:rPr>
          <w:rFonts w:ascii="宋体" w:hAnsi="宋体"/>
          <w:color w:val="000000" w:themeColor="text1"/>
          <w:sz w:val="32"/>
          <w:highlight w:val="none"/>
          <w14:textFill>
            <w14:solidFill>
              <w14:schemeClr w14:val="tx1"/>
            </w14:solidFill>
          </w14:textFill>
        </w:rPr>
      </w:pPr>
      <w:r>
        <w:rPr>
          <w:rFonts w:ascii="宋体" w:hAnsi="宋体"/>
          <w:color w:val="000000" w:themeColor="text1"/>
          <w:sz w:val="32"/>
          <w:highlight w:val="none"/>
          <w14:textFill>
            <w14:solidFill>
              <w14:schemeClr w14:val="tx1"/>
            </w14:solidFill>
          </w14:textFill>
        </w:rPr>
        <w:br w:type="page"/>
      </w:r>
    </w:p>
    <w:p w14:paraId="5DD27617">
      <w:pPr>
        <w:jc w:val="center"/>
        <w:rPr>
          <w:rFonts w:ascii="宋体" w:hAnsi="宋体"/>
          <w:b/>
          <w:color w:val="000000" w:themeColor="text1"/>
          <w:sz w:val="32"/>
          <w:highlight w:val="none"/>
          <w14:textFill>
            <w14:solidFill>
              <w14:schemeClr w14:val="tx1"/>
            </w14:solidFill>
          </w14:textFill>
        </w:rPr>
      </w:pPr>
    </w:p>
    <w:bookmarkEnd w:id="70"/>
    <w:p w14:paraId="2F744209">
      <w:pPr>
        <w:spacing w:line="360" w:lineRule="auto"/>
        <w:jc w:val="center"/>
        <w:rPr>
          <w:rFonts w:ascii="宋体" w:hAnsi="宋体"/>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目  录</w:t>
      </w:r>
    </w:p>
    <w:p w14:paraId="5A78766C">
      <w:pPr>
        <w:spacing w:line="360" w:lineRule="auto"/>
        <w:ind w:left="567"/>
        <w:jc w:val="both"/>
        <w:rPr>
          <w:rFonts w:ascii="宋体" w:hAnsi="宋体"/>
          <w:color w:val="000000" w:themeColor="text1"/>
          <w:sz w:val="21"/>
          <w:szCs w:val="21"/>
          <w:highlight w:val="none"/>
          <w14:textFill>
            <w14:solidFill>
              <w14:schemeClr w14:val="tx1"/>
            </w14:solidFill>
          </w14:textFill>
        </w:rPr>
      </w:pPr>
    </w:p>
    <w:p w14:paraId="0E2991F8">
      <w:pPr>
        <w:numPr>
          <w:ilvl w:val="0"/>
          <w:numId w:val="9"/>
        </w:num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开标一览表</w:t>
      </w:r>
    </w:p>
    <w:p w14:paraId="5B307435">
      <w:pPr>
        <w:spacing w:line="360" w:lineRule="auto"/>
        <w:ind w:left="567"/>
        <w:jc w:val="both"/>
        <w:rPr>
          <w:highlight w:val="none"/>
        </w:rPr>
      </w:pPr>
      <w:r>
        <w:rPr>
          <w:rFonts w:hint="eastAsia" w:ascii="宋体" w:hAnsi="宋体"/>
          <w:color w:val="000000" w:themeColor="text1"/>
          <w:sz w:val="21"/>
          <w:szCs w:val="21"/>
          <w:highlight w:val="none"/>
          <w14:textFill>
            <w14:solidFill>
              <w14:schemeClr w14:val="tx1"/>
            </w14:solidFill>
          </w14:textFill>
        </w:rPr>
        <w:t xml:space="preserve">二、详细报价表 </w:t>
      </w:r>
    </w:p>
    <w:p w14:paraId="18FAD226">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三、投标函 </w:t>
      </w:r>
    </w:p>
    <w:p w14:paraId="38669DDD">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四、法定代表人资格证明  </w:t>
      </w:r>
    </w:p>
    <w:p w14:paraId="1E090DD7">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五、法定代表人授权委托书 </w:t>
      </w:r>
    </w:p>
    <w:p w14:paraId="6C18F9EF">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六、投标保证金</w:t>
      </w:r>
    </w:p>
    <w:p w14:paraId="04CF7225">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七、资格审查资料</w:t>
      </w:r>
    </w:p>
    <w:p w14:paraId="32F78AC3">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八、商务、技术偏离表 </w:t>
      </w:r>
    </w:p>
    <w:p w14:paraId="72C9FA84">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九、实施方案</w:t>
      </w:r>
    </w:p>
    <w:p w14:paraId="758EBD68">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十、其他资料</w:t>
      </w:r>
    </w:p>
    <w:p w14:paraId="29085596">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6E24D092">
      <w:pPr>
        <w:rPr>
          <w:rFonts w:ascii="宋体" w:hAnsi="宋体" w:cs="宋体"/>
          <w:b/>
          <w:color w:val="000000" w:themeColor="text1"/>
          <w:sz w:val="28"/>
          <w:szCs w:val="28"/>
          <w:highlight w:val="none"/>
          <w:lang w:val="zh-CN"/>
          <w14:textFill>
            <w14:solidFill>
              <w14:schemeClr w14:val="tx1"/>
            </w14:solidFill>
          </w14:textFill>
        </w:rPr>
      </w:pPr>
      <w:r>
        <w:rPr>
          <w:rFonts w:ascii="宋体" w:hAnsi="宋体" w:cs="宋体"/>
          <w:b/>
          <w:color w:val="000000" w:themeColor="text1"/>
          <w:sz w:val="28"/>
          <w:szCs w:val="28"/>
          <w:highlight w:val="none"/>
          <w:lang w:val="zh-CN"/>
          <w14:textFill>
            <w14:solidFill>
              <w14:schemeClr w14:val="tx1"/>
            </w14:solidFill>
          </w14:textFill>
        </w:rPr>
        <w:br w:type="page"/>
      </w:r>
    </w:p>
    <w:p w14:paraId="493D99FB">
      <w:pPr>
        <w:rPr>
          <w:color w:val="000000" w:themeColor="text1"/>
          <w:highlight w:val="none"/>
          <w14:textFill>
            <w14:solidFill>
              <w14:schemeClr w14:val="tx1"/>
            </w14:solidFill>
          </w14:textFill>
        </w:rPr>
      </w:pPr>
    </w:p>
    <w:p w14:paraId="542C87F8">
      <w:pPr>
        <w:autoSpaceDE w:val="0"/>
        <w:autoSpaceDN w:val="0"/>
        <w:adjustRightInd w:val="0"/>
        <w:spacing w:before="120" w:beforeLines="50" w:after="120" w:afterLines="50" w:line="400" w:lineRule="exact"/>
        <w:jc w:val="center"/>
        <w:rPr>
          <w:rFonts w:ascii="宋体" w:hAnsi="宋体" w:cs="宋体"/>
          <w:b/>
          <w:color w:val="000000" w:themeColor="text1"/>
          <w:sz w:val="28"/>
          <w:szCs w:val="28"/>
          <w:highlight w:val="none"/>
          <w:lang w:val="zh-CN"/>
          <w14:textFill>
            <w14:solidFill>
              <w14:schemeClr w14:val="tx1"/>
            </w14:solidFill>
          </w14:textFill>
        </w:rPr>
      </w:pPr>
      <w:r>
        <w:rPr>
          <w:rFonts w:hint="eastAsia" w:ascii="宋体" w:hAnsi="宋体" w:cs="宋体"/>
          <w:b/>
          <w:color w:val="000000" w:themeColor="text1"/>
          <w:sz w:val="28"/>
          <w:szCs w:val="28"/>
          <w:highlight w:val="none"/>
          <w:lang w:val="zh-CN"/>
          <w14:textFill>
            <w14:solidFill>
              <w14:schemeClr w14:val="tx1"/>
            </w14:solidFill>
          </w14:textFill>
        </w:rPr>
        <w:t>一、</w:t>
      </w:r>
      <w:r>
        <w:rPr>
          <w:rFonts w:hint="eastAsia" w:ascii="宋体" w:hAnsi="宋体" w:cs="宋体"/>
          <w:b/>
          <w:color w:val="000000" w:themeColor="text1"/>
          <w:sz w:val="32"/>
          <w:szCs w:val="32"/>
          <w:highlight w:val="none"/>
          <w14:textFill>
            <w14:solidFill>
              <w14:schemeClr w14:val="tx1"/>
            </w14:solidFill>
          </w14:textFill>
        </w:rPr>
        <w:t>开标一览表</w:t>
      </w:r>
    </w:p>
    <w:p w14:paraId="6549C429">
      <w:pPr>
        <w:rPr>
          <w:rFonts w:ascii="宋体" w:hAnsi="宋体"/>
          <w:color w:val="000000" w:themeColor="text1"/>
          <w:szCs w:val="21"/>
          <w:highlight w:val="none"/>
          <w14:textFill>
            <w14:solidFill>
              <w14:schemeClr w14:val="tx1"/>
            </w14:solidFill>
          </w14:textFill>
        </w:rPr>
      </w:pPr>
    </w:p>
    <w:p w14:paraId="3F7A7AB4">
      <w:pPr>
        <w:ind w:left="152" w:leftChars="-109" w:hanging="370" w:hangingChars="185"/>
        <w:rPr>
          <w:rFonts w:ascii="宋体" w:hAnsi="宋体" w:cs="宋体"/>
          <w:color w:val="000000" w:themeColor="text1"/>
          <w:szCs w:val="21"/>
          <w:highlight w:val="none"/>
          <w14:textFill>
            <w14:solidFill>
              <w14:schemeClr w14:val="tx1"/>
            </w14:solidFill>
          </w14:textFill>
        </w:rPr>
      </w:pPr>
    </w:p>
    <w:p w14:paraId="2B3F1373">
      <w:pPr>
        <w:spacing w:line="32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                                       项目编号：</w:t>
      </w:r>
    </w:p>
    <w:tbl>
      <w:tblPr>
        <w:tblStyle w:val="43"/>
        <w:tblW w:w="5049" w:type="pct"/>
        <w:jc w:val="center"/>
        <w:tblLayout w:type="autofit"/>
        <w:tblCellMar>
          <w:top w:w="0" w:type="dxa"/>
          <w:left w:w="108" w:type="dxa"/>
          <w:bottom w:w="0" w:type="dxa"/>
          <w:right w:w="108" w:type="dxa"/>
        </w:tblCellMar>
      </w:tblPr>
      <w:tblGrid>
        <w:gridCol w:w="2974"/>
        <w:gridCol w:w="1545"/>
        <w:gridCol w:w="1462"/>
        <w:gridCol w:w="1689"/>
        <w:gridCol w:w="1708"/>
      </w:tblGrid>
      <w:tr w14:paraId="2E8B968C">
        <w:tblPrEx>
          <w:tblCellMar>
            <w:top w:w="0" w:type="dxa"/>
            <w:left w:w="108" w:type="dxa"/>
            <w:bottom w:w="0" w:type="dxa"/>
            <w:right w:w="108" w:type="dxa"/>
          </w:tblCellMar>
        </w:tblPrEx>
        <w:trPr>
          <w:trHeight w:val="902" w:hRule="atLeast"/>
          <w:jc w:val="center"/>
        </w:trPr>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537A0B87">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投标单位</w:t>
            </w: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7D221E73">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投标总报价</w:t>
            </w:r>
          </w:p>
        </w:tc>
        <w:tc>
          <w:tcPr>
            <w:tcW w:w="779" w:type="pct"/>
            <w:tcBorders>
              <w:top w:val="single" w:color="auto" w:sz="4" w:space="0"/>
              <w:left w:val="nil"/>
              <w:bottom w:val="single" w:color="auto" w:sz="4" w:space="0"/>
              <w:right w:val="single" w:color="auto" w:sz="4" w:space="0"/>
            </w:tcBorders>
            <w:shd w:val="clear" w:color="auto" w:fill="auto"/>
            <w:vAlign w:val="center"/>
          </w:tcPr>
          <w:p w14:paraId="52D7E27F">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质量标准</w:t>
            </w:r>
          </w:p>
        </w:tc>
        <w:tc>
          <w:tcPr>
            <w:tcW w:w="900" w:type="pct"/>
            <w:tcBorders>
              <w:top w:val="single" w:color="auto" w:sz="4" w:space="0"/>
              <w:left w:val="nil"/>
              <w:bottom w:val="single" w:color="auto" w:sz="4" w:space="0"/>
              <w:right w:val="single" w:color="auto" w:sz="4" w:space="0"/>
            </w:tcBorders>
            <w:shd w:val="clear" w:color="auto" w:fill="auto"/>
            <w:vAlign w:val="center"/>
          </w:tcPr>
          <w:p w14:paraId="21A91F4C">
            <w:pPr>
              <w:jc w:val="center"/>
              <w:rPr>
                <w:rFonts w:ascii="宋体" w:hAnsi="宋体" w:cs="宋体"/>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合同履行期限（交货</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时间</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tc>
        <w:tc>
          <w:tcPr>
            <w:tcW w:w="910" w:type="pct"/>
            <w:tcBorders>
              <w:top w:val="single" w:color="auto" w:sz="4" w:space="0"/>
              <w:left w:val="nil"/>
              <w:bottom w:val="single" w:color="auto" w:sz="4" w:space="0"/>
              <w:right w:val="single" w:color="auto" w:sz="4" w:space="0"/>
            </w:tcBorders>
            <w:shd w:val="clear" w:color="auto" w:fill="auto"/>
            <w:vAlign w:val="center"/>
          </w:tcPr>
          <w:p w14:paraId="211E7B24">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服务承诺</w:t>
            </w:r>
          </w:p>
        </w:tc>
      </w:tr>
      <w:tr w14:paraId="6399282B">
        <w:tblPrEx>
          <w:tblCellMar>
            <w:top w:w="0" w:type="dxa"/>
            <w:left w:w="108" w:type="dxa"/>
            <w:bottom w:w="0" w:type="dxa"/>
            <w:right w:w="108" w:type="dxa"/>
          </w:tblCellMar>
        </w:tblPrEx>
        <w:trPr>
          <w:trHeight w:val="1781" w:hRule="atLeast"/>
          <w:jc w:val="center"/>
        </w:trPr>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678A1CB9">
            <w:pPr>
              <w:jc w:val="center"/>
              <w:rPr>
                <w:rFonts w:ascii="宋体" w:hAnsi="宋体" w:cs="宋体"/>
                <w:color w:val="000000" w:themeColor="text1"/>
                <w:sz w:val="21"/>
                <w:szCs w:val="21"/>
                <w:highlight w:val="none"/>
                <w14:textFill>
                  <w14:solidFill>
                    <w14:schemeClr w14:val="tx1"/>
                  </w14:solidFill>
                </w14:textFill>
              </w:rPr>
            </w:pP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29EFCA94">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元</w:t>
            </w:r>
          </w:p>
        </w:tc>
        <w:tc>
          <w:tcPr>
            <w:tcW w:w="779" w:type="pct"/>
            <w:tcBorders>
              <w:top w:val="single" w:color="auto" w:sz="4" w:space="0"/>
              <w:left w:val="nil"/>
              <w:bottom w:val="single" w:color="auto" w:sz="4" w:space="0"/>
              <w:right w:val="single" w:color="auto" w:sz="4" w:space="0"/>
            </w:tcBorders>
            <w:shd w:val="clear" w:color="auto" w:fill="auto"/>
            <w:vAlign w:val="center"/>
          </w:tcPr>
          <w:p w14:paraId="510492CB">
            <w:pPr>
              <w:jc w:val="center"/>
              <w:rPr>
                <w:rFonts w:ascii="宋体" w:hAnsi="宋体"/>
                <w:color w:val="000000" w:themeColor="text1"/>
                <w:sz w:val="21"/>
                <w:szCs w:val="21"/>
                <w:highlight w:val="none"/>
                <w14:textFill>
                  <w14:solidFill>
                    <w14:schemeClr w14:val="tx1"/>
                  </w14:solidFill>
                </w14:textFill>
              </w:rPr>
            </w:pPr>
          </w:p>
        </w:tc>
        <w:tc>
          <w:tcPr>
            <w:tcW w:w="900" w:type="pct"/>
            <w:tcBorders>
              <w:top w:val="single" w:color="auto" w:sz="4" w:space="0"/>
              <w:left w:val="nil"/>
              <w:bottom w:val="single" w:color="auto" w:sz="4" w:space="0"/>
              <w:right w:val="single" w:color="auto" w:sz="4" w:space="0"/>
            </w:tcBorders>
            <w:shd w:val="clear" w:color="auto" w:fill="auto"/>
            <w:vAlign w:val="center"/>
          </w:tcPr>
          <w:p w14:paraId="52164C7B">
            <w:pPr>
              <w:jc w:val="center"/>
              <w:rPr>
                <w:rFonts w:ascii="宋体" w:hAnsi="宋体"/>
                <w:color w:val="000000" w:themeColor="text1"/>
                <w:sz w:val="21"/>
                <w:szCs w:val="21"/>
                <w:highlight w:val="none"/>
                <w14:textFill>
                  <w14:solidFill>
                    <w14:schemeClr w14:val="tx1"/>
                  </w14:solidFill>
                </w14:textFill>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14:paraId="195E0ED9">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（有/无）</w:t>
            </w:r>
          </w:p>
        </w:tc>
      </w:tr>
    </w:tbl>
    <w:p w14:paraId="479B7381">
      <w:pPr>
        <w:spacing w:line="360" w:lineRule="auto"/>
        <w:ind w:firstLine="394" w:firstLineChars="196"/>
        <w:rPr>
          <w:rFonts w:ascii="宋体" w:hAnsi="宋体"/>
          <w:b/>
          <w:bCs/>
          <w:color w:val="000000" w:themeColor="text1"/>
          <w:sz w:val="2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r>
        <w:rPr>
          <w:rFonts w:hint="eastAsia" w:ascii="宋体" w:hAnsi="宋体"/>
          <w:b/>
          <w:bCs/>
          <w:color w:val="000000" w:themeColor="text1"/>
          <w:sz w:val="21"/>
          <w:szCs w:val="21"/>
          <w:highlight w:val="none"/>
          <w14:textFill>
            <w14:solidFill>
              <w14:schemeClr w14:val="tx1"/>
            </w14:solidFill>
          </w14:textFill>
        </w:rPr>
        <w:t>注：1、本表只作唱标用，但本表的一切内容均具有法律效力，不得更改；</w:t>
      </w:r>
    </w:p>
    <w:p w14:paraId="5314F9B6">
      <w:pPr>
        <w:spacing w:line="360" w:lineRule="auto"/>
        <w:ind w:left="402" w:hanging="422" w:hanging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 xml:space="preserve">          2、投标报价</w:t>
      </w:r>
      <w:r>
        <w:rPr>
          <w:rFonts w:hint="eastAsia" w:ascii="宋体" w:hAnsi="宋体" w:cs="宋体"/>
          <w:b/>
          <w:color w:val="000000" w:themeColor="text1"/>
          <w:sz w:val="21"/>
          <w:szCs w:val="21"/>
          <w:highlight w:val="none"/>
          <w14:textFill>
            <w14:solidFill>
              <w14:schemeClr w14:val="tx1"/>
            </w14:solidFill>
          </w14:textFill>
        </w:rPr>
        <w:t>不超过预算金额（最高限价），超过为无效报价。</w:t>
      </w:r>
      <w:r>
        <w:rPr>
          <w:rFonts w:hint="eastAsia" w:ascii="宋体" w:hAnsi="宋体"/>
          <w:b/>
          <w:bCs/>
          <w:color w:val="000000" w:themeColor="text1"/>
          <w:sz w:val="21"/>
          <w:szCs w:val="21"/>
          <w:highlight w:val="none"/>
          <w14:textFill>
            <w14:solidFill>
              <w14:schemeClr w14:val="tx1"/>
            </w14:solidFill>
          </w14:textFill>
        </w:rPr>
        <w:t>本表中填写的投标报价应与投标文件中正本内容，如果不一致以开标一览表内容为准；</w:t>
      </w:r>
    </w:p>
    <w:p w14:paraId="2CEDD4EF">
      <w:pPr>
        <w:spacing w:line="360" w:lineRule="auto"/>
        <w:ind w:left="456" w:leftChars="228" w:firstLine="517" w:firstLineChars="245"/>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3、本开表一览表须装订在投标文件内，然后再单独打印一份签字和加盖印章后，单独密封在一个小信封内，随投标文件一同递交。</w:t>
      </w:r>
    </w:p>
    <w:p w14:paraId="0E44C854">
      <w:pPr>
        <w:spacing w:line="280" w:lineRule="exact"/>
        <w:ind w:firstLine="394" w:firstLineChars="196"/>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                                                                     </w:t>
      </w:r>
    </w:p>
    <w:p w14:paraId="3386C881">
      <w:pPr>
        <w:spacing w:line="280" w:lineRule="exact"/>
        <w:rPr>
          <w:rFonts w:ascii="宋体" w:hAnsi="宋体"/>
          <w:b/>
          <w:bCs/>
          <w:color w:val="000000" w:themeColor="text1"/>
          <w:sz w:val="21"/>
          <w:szCs w:val="21"/>
          <w:highlight w:val="none"/>
          <w14:textFill>
            <w14:solidFill>
              <w14:schemeClr w14:val="tx1"/>
            </w14:solidFill>
          </w14:textFill>
        </w:rPr>
      </w:pPr>
    </w:p>
    <w:p w14:paraId="5ADB5FB9">
      <w:pPr>
        <w:spacing w:line="280" w:lineRule="exact"/>
        <w:rPr>
          <w:rFonts w:ascii="宋体" w:hAnsi="宋体"/>
          <w:b/>
          <w:bCs/>
          <w:color w:val="000000" w:themeColor="text1"/>
          <w:sz w:val="21"/>
          <w:szCs w:val="21"/>
          <w:highlight w:val="none"/>
          <w14:textFill>
            <w14:solidFill>
              <w14:schemeClr w14:val="tx1"/>
            </w14:solidFill>
          </w14:textFill>
        </w:rPr>
      </w:pPr>
    </w:p>
    <w:p w14:paraId="26F99FF6">
      <w:pPr>
        <w:spacing w:line="280" w:lineRule="exact"/>
        <w:rPr>
          <w:rFonts w:ascii="宋体" w:hAnsi="宋体"/>
          <w:b/>
          <w:bCs/>
          <w:color w:val="000000" w:themeColor="text1"/>
          <w:sz w:val="21"/>
          <w:szCs w:val="21"/>
          <w:highlight w:val="none"/>
          <w14:textFill>
            <w14:solidFill>
              <w14:schemeClr w14:val="tx1"/>
            </w14:solidFill>
          </w14:textFill>
        </w:rPr>
      </w:pPr>
    </w:p>
    <w:p w14:paraId="31001ACD">
      <w:pPr>
        <w:spacing w:line="280" w:lineRule="exact"/>
        <w:rPr>
          <w:rFonts w:ascii="宋体" w:hAnsi="宋体"/>
          <w:b/>
          <w:bCs/>
          <w:color w:val="000000" w:themeColor="text1"/>
          <w:sz w:val="21"/>
          <w:szCs w:val="21"/>
          <w:highlight w:val="none"/>
          <w14:textFill>
            <w14:solidFill>
              <w14:schemeClr w14:val="tx1"/>
            </w14:solidFill>
          </w14:textFill>
        </w:rPr>
      </w:pPr>
    </w:p>
    <w:p w14:paraId="1C94869C">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（公章）                    </w:t>
      </w:r>
    </w:p>
    <w:p w14:paraId="2A248F5D">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1880F417">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（盖章）</w:t>
      </w:r>
    </w:p>
    <w:p w14:paraId="2A230F7B">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4C920AC0">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（签字）  </w:t>
      </w:r>
    </w:p>
    <w:p w14:paraId="79A89B2C">
      <w:pPr>
        <w:spacing w:line="360" w:lineRule="auto"/>
        <w:ind w:firstLine="3990" w:firstLineChars="1900"/>
        <w:rPr>
          <w:rFonts w:ascii="宋体" w:hAnsi="宋体"/>
          <w:color w:val="000000" w:themeColor="text1"/>
          <w:sz w:val="21"/>
          <w:szCs w:val="21"/>
          <w:highlight w:val="none"/>
          <w14:textFill>
            <w14:solidFill>
              <w14:schemeClr w14:val="tx1"/>
            </w14:solidFill>
          </w14:textFill>
        </w:rPr>
      </w:pPr>
    </w:p>
    <w:p w14:paraId="51BEBA0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　　期：</w:t>
      </w:r>
      <w:r>
        <w:rPr>
          <w:rFonts w:hint="eastAsia" w:ascii="宋体" w:hAnsi="宋体"/>
          <w:color w:val="000000" w:themeColor="text1"/>
          <w:sz w:val="21"/>
          <w:szCs w:val="21"/>
          <w:highlight w:val="none"/>
          <w:u w:val="single"/>
          <w14:textFill>
            <w14:solidFill>
              <w14:schemeClr w14:val="tx1"/>
            </w14:solidFill>
          </w14:textFill>
        </w:rPr>
        <w:t xml:space="preserve">                </w:t>
      </w:r>
    </w:p>
    <w:p w14:paraId="0AB943AD">
      <w:pP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3B0A6A2F">
      <w:pPr>
        <w:ind w:firstLine="3373" w:firstLineChars="1050"/>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w:t>
      </w:r>
      <w:r>
        <w:rPr>
          <w:rFonts w:hint="eastAsia" w:ascii="宋体" w:hAnsi="宋体" w:cs="宋体"/>
          <w:b/>
          <w:color w:val="000000" w:themeColor="text1"/>
          <w:sz w:val="32"/>
          <w:szCs w:val="32"/>
          <w:highlight w:val="none"/>
          <w:lang w:eastAsia="zh-CN"/>
          <w14:textFill>
            <w14:solidFill>
              <w14:schemeClr w14:val="tx1"/>
            </w14:solidFill>
          </w14:textFill>
        </w:rPr>
        <w:t>分项</w:t>
      </w:r>
      <w:r>
        <w:rPr>
          <w:rFonts w:hint="eastAsia" w:ascii="宋体" w:hAnsi="宋体" w:cs="宋体"/>
          <w:b/>
          <w:color w:val="000000" w:themeColor="text1"/>
          <w:sz w:val="32"/>
          <w:szCs w:val="32"/>
          <w:highlight w:val="none"/>
          <w14:textFill>
            <w14:solidFill>
              <w14:schemeClr w14:val="tx1"/>
            </w14:solidFill>
          </w14:textFill>
        </w:rPr>
        <w:t>报价表</w:t>
      </w:r>
    </w:p>
    <w:p w14:paraId="4CECE4BF">
      <w:pPr>
        <w:rPr>
          <w:rFonts w:ascii="宋体" w:hAnsi="宋体" w:cs="仿宋_GB2312"/>
          <w:color w:val="000000" w:themeColor="text1"/>
          <w:spacing w:val="14"/>
          <w:sz w:val="32"/>
          <w:szCs w:val="32"/>
          <w:highlight w:val="none"/>
          <w14:textFill>
            <w14:solidFill>
              <w14:schemeClr w14:val="tx1"/>
            </w14:solidFill>
          </w14:textFill>
        </w:rPr>
      </w:pPr>
    </w:p>
    <w:tbl>
      <w:tblPr>
        <w:tblStyle w:val="43"/>
        <w:tblW w:w="9113"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1075"/>
        <w:gridCol w:w="1180"/>
        <w:gridCol w:w="1081"/>
        <w:gridCol w:w="542"/>
        <w:gridCol w:w="2086"/>
      </w:tblGrid>
      <w:tr w14:paraId="3C1F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113" w:type="dxa"/>
            <w:gridSpan w:val="7"/>
            <w:vAlign w:val="center"/>
          </w:tcPr>
          <w:p w14:paraId="7FC28E0E">
            <w:pPr>
              <w:rPr>
                <w:rFonts w:asciiTheme="minorEastAsia" w:hAnsiTheme="minorEastAsia" w:eastAsiaTheme="minorEastAsia"/>
                <w:b/>
                <w:sz w:val="21"/>
                <w:szCs w:val="21"/>
                <w:highlight w:val="none"/>
              </w:rPr>
            </w:pPr>
            <w:r>
              <w:rPr>
                <w:rFonts w:hint="eastAsia" w:asciiTheme="minorEastAsia" w:hAnsiTheme="minorEastAsia" w:eastAsiaTheme="minorEastAsia"/>
                <w:b/>
                <w:bCs/>
                <w:sz w:val="21"/>
                <w:szCs w:val="21"/>
                <w:highlight w:val="none"/>
              </w:rPr>
              <w:t xml:space="preserve">项目名称：                                             </w:t>
            </w:r>
            <w:r>
              <w:rPr>
                <w:rFonts w:hint="eastAsia" w:asciiTheme="minorEastAsia" w:hAnsiTheme="minorEastAsia" w:eastAsiaTheme="minorEastAsia"/>
                <w:b/>
                <w:sz w:val="21"/>
                <w:szCs w:val="21"/>
                <w:highlight w:val="none"/>
              </w:rPr>
              <w:t>项目编号：</w:t>
            </w:r>
          </w:p>
        </w:tc>
      </w:tr>
      <w:tr w14:paraId="7FC0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113" w:type="dxa"/>
            <w:gridSpan w:val="7"/>
            <w:vAlign w:val="center"/>
          </w:tcPr>
          <w:p w14:paraId="2E8D7AF3">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货物明细表：（单位：元）</w:t>
            </w:r>
          </w:p>
        </w:tc>
      </w:tr>
      <w:tr w14:paraId="6CAF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54723C5E">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序号</w:t>
            </w:r>
          </w:p>
        </w:tc>
        <w:tc>
          <w:tcPr>
            <w:tcW w:w="2281" w:type="dxa"/>
            <w:vAlign w:val="center"/>
          </w:tcPr>
          <w:p w14:paraId="277D2C54">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项目</w:t>
            </w:r>
            <w:r>
              <w:rPr>
                <w:rFonts w:hint="eastAsia" w:asciiTheme="minorEastAsia" w:hAnsiTheme="minorEastAsia" w:eastAsiaTheme="minorEastAsia"/>
                <w:sz w:val="21"/>
                <w:szCs w:val="21"/>
                <w:highlight w:val="none"/>
              </w:rPr>
              <w:t>名称</w:t>
            </w:r>
          </w:p>
        </w:tc>
        <w:tc>
          <w:tcPr>
            <w:tcW w:w="1075" w:type="dxa"/>
            <w:vAlign w:val="center"/>
          </w:tcPr>
          <w:p w14:paraId="13ECC1FF">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品牌型号</w:t>
            </w:r>
          </w:p>
        </w:tc>
        <w:tc>
          <w:tcPr>
            <w:tcW w:w="1180" w:type="dxa"/>
            <w:vAlign w:val="center"/>
          </w:tcPr>
          <w:p w14:paraId="306D4D99">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数量</w:t>
            </w:r>
          </w:p>
        </w:tc>
        <w:tc>
          <w:tcPr>
            <w:tcW w:w="1081" w:type="dxa"/>
            <w:vAlign w:val="center"/>
          </w:tcPr>
          <w:p w14:paraId="4886175E">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单价</w:t>
            </w:r>
          </w:p>
        </w:tc>
        <w:tc>
          <w:tcPr>
            <w:tcW w:w="2628" w:type="dxa"/>
            <w:gridSpan w:val="2"/>
            <w:vAlign w:val="center"/>
          </w:tcPr>
          <w:p w14:paraId="28DBC343">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分项总价</w:t>
            </w:r>
          </w:p>
        </w:tc>
      </w:tr>
      <w:tr w14:paraId="18EA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15517F29">
            <w:pPr>
              <w:jc w:val="center"/>
              <w:rPr>
                <w:rFonts w:asciiTheme="minorEastAsia" w:hAnsiTheme="minorEastAsia" w:eastAsiaTheme="minorEastAsia"/>
                <w:sz w:val="21"/>
                <w:szCs w:val="21"/>
                <w:highlight w:val="none"/>
              </w:rPr>
            </w:pPr>
          </w:p>
        </w:tc>
        <w:tc>
          <w:tcPr>
            <w:tcW w:w="2281" w:type="dxa"/>
            <w:vAlign w:val="center"/>
          </w:tcPr>
          <w:p w14:paraId="285D73FA">
            <w:pPr>
              <w:jc w:val="center"/>
              <w:rPr>
                <w:rFonts w:asciiTheme="minorEastAsia" w:hAnsiTheme="minorEastAsia" w:eastAsiaTheme="minorEastAsia"/>
                <w:sz w:val="21"/>
                <w:szCs w:val="21"/>
                <w:highlight w:val="none"/>
              </w:rPr>
            </w:pPr>
          </w:p>
        </w:tc>
        <w:tc>
          <w:tcPr>
            <w:tcW w:w="1075" w:type="dxa"/>
            <w:vAlign w:val="center"/>
          </w:tcPr>
          <w:p w14:paraId="4C08B180">
            <w:pPr>
              <w:jc w:val="center"/>
              <w:rPr>
                <w:rFonts w:asciiTheme="minorEastAsia" w:hAnsiTheme="minorEastAsia" w:eastAsiaTheme="minorEastAsia"/>
                <w:sz w:val="21"/>
                <w:szCs w:val="21"/>
                <w:highlight w:val="none"/>
              </w:rPr>
            </w:pPr>
          </w:p>
        </w:tc>
        <w:tc>
          <w:tcPr>
            <w:tcW w:w="1180" w:type="dxa"/>
            <w:vAlign w:val="center"/>
          </w:tcPr>
          <w:p w14:paraId="17631A15">
            <w:pPr>
              <w:jc w:val="center"/>
              <w:rPr>
                <w:rFonts w:asciiTheme="minorEastAsia" w:hAnsiTheme="minorEastAsia" w:eastAsiaTheme="minorEastAsia"/>
                <w:sz w:val="21"/>
                <w:szCs w:val="21"/>
                <w:highlight w:val="none"/>
              </w:rPr>
            </w:pPr>
          </w:p>
        </w:tc>
        <w:tc>
          <w:tcPr>
            <w:tcW w:w="1081" w:type="dxa"/>
            <w:vAlign w:val="center"/>
          </w:tcPr>
          <w:p w14:paraId="493155E3">
            <w:pPr>
              <w:jc w:val="center"/>
              <w:rPr>
                <w:rFonts w:asciiTheme="minorEastAsia" w:hAnsiTheme="minorEastAsia" w:eastAsiaTheme="minorEastAsia"/>
                <w:sz w:val="21"/>
                <w:szCs w:val="21"/>
                <w:highlight w:val="none"/>
              </w:rPr>
            </w:pPr>
          </w:p>
        </w:tc>
        <w:tc>
          <w:tcPr>
            <w:tcW w:w="2628" w:type="dxa"/>
            <w:gridSpan w:val="2"/>
            <w:vAlign w:val="center"/>
          </w:tcPr>
          <w:p w14:paraId="285249B2">
            <w:pPr>
              <w:jc w:val="center"/>
              <w:rPr>
                <w:rFonts w:asciiTheme="minorEastAsia" w:hAnsiTheme="minorEastAsia" w:eastAsiaTheme="minorEastAsia"/>
                <w:sz w:val="21"/>
                <w:szCs w:val="21"/>
                <w:highlight w:val="none"/>
              </w:rPr>
            </w:pPr>
          </w:p>
        </w:tc>
      </w:tr>
      <w:tr w14:paraId="5E6E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5711B527">
            <w:pPr>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w:t>
            </w:r>
          </w:p>
        </w:tc>
        <w:tc>
          <w:tcPr>
            <w:tcW w:w="2281" w:type="dxa"/>
            <w:vAlign w:val="center"/>
          </w:tcPr>
          <w:p w14:paraId="5E7D09FE">
            <w:pPr>
              <w:jc w:val="center"/>
              <w:rPr>
                <w:rFonts w:asciiTheme="minorEastAsia" w:hAnsiTheme="minorEastAsia" w:eastAsiaTheme="minorEastAsia"/>
                <w:sz w:val="21"/>
                <w:szCs w:val="21"/>
                <w:highlight w:val="none"/>
              </w:rPr>
            </w:pPr>
          </w:p>
        </w:tc>
        <w:tc>
          <w:tcPr>
            <w:tcW w:w="1075" w:type="dxa"/>
            <w:vAlign w:val="center"/>
          </w:tcPr>
          <w:p w14:paraId="4D54DB4D">
            <w:pPr>
              <w:jc w:val="center"/>
              <w:rPr>
                <w:rFonts w:asciiTheme="minorEastAsia" w:hAnsiTheme="minorEastAsia" w:eastAsiaTheme="minorEastAsia"/>
                <w:sz w:val="21"/>
                <w:szCs w:val="21"/>
                <w:highlight w:val="none"/>
              </w:rPr>
            </w:pPr>
          </w:p>
        </w:tc>
        <w:tc>
          <w:tcPr>
            <w:tcW w:w="1180" w:type="dxa"/>
            <w:vAlign w:val="center"/>
          </w:tcPr>
          <w:p w14:paraId="11292DB8">
            <w:pPr>
              <w:jc w:val="center"/>
              <w:rPr>
                <w:rFonts w:asciiTheme="minorEastAsia" w:hAnsiTheme="minorEastAsia" w:eastAsiaTheme="minorEastAsia"/>
                <w:sz w:val="21"/>
                <w:szCs w:val="21"/>
                <w:highlight w:val="none"/>
              </w:rPr>
            </w:pPr>
          </w:p>
        </w:tc>
        <w:tc>
          <w:tcPr>
            <w:tcW w:w="1081" w:type="dxa"/>
            <w:vAlign w:val="center"/>
          </w:tcPr>
          <w:p w14:paraId="13064053">
            <w:pPr>
              <w:jc w:val="center"/>
              <w:rPr>
                <w:rFonts w:asciiTheme="minorEastAsia" w:hAnsiTheme="minorEastAsia" w:eastAsiaTheme="minorEastAsia"/>
                <w:sz w:val="21"/>
                <w:szCs w:val="21"/>
                <w:highlight w:val="none"/>
              </w:rPr>
            </w:pPr>
          </w:p>
        </w:tc>
        <w:tc>
          <w:tcPr>
            <w:tcW w:w="2628" w:type="dxa"/>
            <w:gridSpan w:val="2"/>
            <w:vAlign w:val="center"/>
          </w:tcPr>
          <w:p w14:paraId="6FD25ED8">
            <w:pPr>
              <w:jc w:val="center"/>
              <w:rPr>
                <w:rFonts w:asciiTheme="minorEastAsia" w:hAnsiTheme="minorEastAsia" w:eastAsiaTheme="minorEastAsia"/>
                <w:sz w:val="21"/>
                <w:szCs w:val="21"/>
                <w:highlight w:val="none"/>
              </w:rPr>
            </w:pPr>
          </w:p>
        </w:tc>
      </w:tr>
      <w:tr w14:paraId="7395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5F1667F1">
            <w:pPr>
              <w:jc w:val="center"/>
              <w:rPr>
                <w:rFonts w:asciiTheme="minorEastAsia" w:hAnsiTheme="minorEastAsia" w:eastAsiaTheme="minorEastAsia"/>
                <w:sz w:val="21"/>
                <w:szCs w:val="21"/>
                <w:highlight w:val="none"/>
              </w:rPr>
            </w:pPr>
          </w:p>
        </w:tc>
        <w:tc>
          <w:tcPr>
            <w:tcW w:w="2281" w:type="dxa"/>
            <w:vAlign w:val="center"/>
          </w:tcPr>
          <w:p w14:paraId="6EBF8718">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合计</w:t>
            </w:r>
          </w:p>
        </w:tc>
        <w:tc>
          <w:tcPr>
            <w:tcW w:w="1075" w:type="dxa"/>
            <w:vAlign w:val="center"/>
          </w:tcPr>
          <w:p w14:paraId="5AE576FC">
            <w:pPr>
              <w:jc w:val="center"/>
              <w:rPr>
                <w:rFonts w:asciiTheme="minorEastAsia" w:hAnsiTheme="minorEastAsia" w:eastAsiaTheme="minorEastAsia"/>
                <w:sz w:val="21"/>
                <w:szCs w:val="21"/>
                <w:highlight w:val="none"/>
              </w:rPr>
            </w:pPr>
          </w:p>
        </w:tc>
        <w:tc>
          <w:tcPr>
            <w:tcW w:w="1180" w:type="dxa"/>
            <w:vAlign w:val="center"/>
          </w:tcPr>
          <w:p w14:paraId="3ABDF668">
            <w:pPr>
              <w:jc w:val="center"/>
              <w:rPr>
                <w:rFonts w:asciiTheme="minorEastAsia" w:hAnsiTheme="minorEastAsia" w:eastAsiaTheme="minorEastAsia"/>
                <w:sz w:val="21"/>
                <w:szCs w:val="21"/>
                <w:highlight w:val="none"/>
              </w:rPr>
            </w:pPr>
          </w:p>
        </w:tc>
        <w:tc>
          <w:tcPr>
            <w:tcW w:w="1081" w:type="dxa"/>
            <w:vAlign w:val="center"/>
          </w:tcPr>
          <w:p w14:paraId="64E283ED">
            <w:pPr>
              <w:jc w:val="center"/>
              <w:rPr>
                <w:rFonts w:asciiTheme="minorEastAsia" w:hAnsiTheme="minorEastAsia" w:eastAsiaTheme="minorEastAsia"/>
                <w:sz w:val="21"/>
                <w:szCs w:val="21"/>
                <w:highlight w:val="none"/>
              </w:rPr>
            </w:pPr>
          </w:p>
        </w:tc>
        <w:tc>
          <w:tcPr>
            <w:tcW w:w="2628" w:type="dxa"/>
            <w:gridSpan w:val="2"/>
            <w:vAlign w:val="center"/>
          </w:tcPr>
          <w:p w14:paraId="06475053">
            <w:pPr>
              <w:jc w:val="center"/>
              <w:rPr>
                <w:rFonts w:asciiTheme="minorEastAsia" w:hAnsiTheme="minorEastAsia" w:eastAsiaTheme="minorEastAsia"/>
                <w:sz w:val="21"/>
                <w:szCs w:val="21"/>
                <w:highlight w:val="none"/>
              </w:rPr>
            </w:pPr>
          </w:p>
        </w:tc>
      </w:tr>
      <w:tr w14:paraId="3CF9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13" w:type="dxa"/>
            <w:gridSpan w:val="7"/>
            <w:vAlign w:val="center"/>
          </w:tcPr>
          <w:p w14:paraId="7DE85364">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其他费用明细表：</w:t>
            </w:r>
          </w:p>
        </w:tc>
      </w:tr>
      <w:tr w14:paraId="34DA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vAlign w:val="center"/>
          </w:tcPr>
          <w:p w14:paraId="21C65E71">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序号</w:t>
            </w:r>
          </w:p>
        </w:tc>
        <w:tc>
          <w:tcPr>
            <w:tcW w:w="2281" w:type="dxa"/>
            <w:vAlign w:val="center"/>
          </w:tcPr>
          <w:p w14:paraId="0B6128BE">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项目</w:t>
            </w:r>
          </w:p>
        </w:tc>
        <w:tc>
          <w:tcPr>
            <w:tcW w:w="2255" w:type="dxa"/>
            <w:gridSpan w:val="2"/>
            <w:vAlign w:val="center"/>
          </w:tcPr>
          <w:p w14:paraId="61034107">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内容和标准</w:t>
            </w:r>
          </w:p>
        </w:tc>
        <w:tc>
          <w:tcPr>
            <w:tcW w:w="1623" w:type="dxa"/>
            <w:gridSpan w:val="2"/>
            <w:vAlign w:val="center"/>
          </w:tcPr>
          <w:p w14:paraId="29D2D6F3">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报价</w:t>
            </w:r>
          </w:p>
        </w:tc>
        <w:tc>
          <w:tcPr>
            <w:tcW w:w="2086" w:type="dxa"/>
            <w:vAlign w:val="center"/>
          </w:tcPr>
          <w:p w14:paraId="5538F3F4">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备注</w:t>
            </w:r>
          </w:p>
        </w:tc>
      </w:tr>
      <w:tr w14:paraId="692B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vAlign w:val="center"/>
          </w:tcPr>
          <w:p w14:paraId="511BE053">
            <w:pPr>
              <w:jc w:val="center"/>
              <w:rPr>
                <w:rFonts w:asciiTheme="minorEastAsia" w:hAnsiTheme="minorEastAsia" w:eastAsiaTheme="minorEastAsia"/>
                <w:sz w:val="21"/>
                <w:szCs w:val="21"/>
                <w:highlight w:val="none"/>
              </w:rPr>
            </w:pPr>
          </w:p>
        </w:tc>
        <w:tc>
          <w:tcPr>
            <w:tcW w:w="2281" w:type="dxa"/>
            <w:vAlign w:val="center"/>
          </w:tcPr>
          <w:p w14:paraId="509115B9">
            <w:pPr>
              <w:jc w:val="center"/>
              <w:rPr>
                <w:rFonts w:asciiTheme="minorEastAsia" w:hAnsiTheme="minorEastAsia" w:eastAsiaTheme="minorEastAsia"/>
                <w:sz w:val="21"/>
                <w:szCs w:val="21"/>
                <w:highlight w:val="none"/>
              </w:rPr>
            </w:pPr>
          </w:p>
        </w:tc>
        <w:tc>
          <w:tcPr>
            <w:tcW w:w="2255" w:type="dxa"/>
            <w:gridSpan w:val="2"/>
            <w:vAlign w:val="center"/>
          </w:tcPr>
          <w:p w14:paraId="46A9EED7">
            <w:pPr>
              <w:jc w:val="center"/>
              <w:rPr>
                <w:rFonts w:asciiTheme="minorEastAsia" w:hAnsiTheme="minorEastAsia" w:eastAsiaTheme="minorEastAsia"/>
                <w:sz w:val="21"/>
                <w:szCs w:val="21"/>
                <w:highlight w:val="none"/>
              </w:rPr>
            </w:pPr>
          </w:p>
        </w:tc>
        <w:tc>
          <w:tcPr>
            <w:tcW w:w="1623" w:type="dxa"/>
            <w:gridSpan w:val="2"/>
            <w:vAlign w:val="center"/>
          </w:tcPr>
          <w:p w14:paraId="6C0E45D9">
            <w:pPr>
              <w:jc w:val="center"/>
              <w:rPr>
                <w:rFonts w:asciiTheme="minorEastAsia" w:hAnsiTheme="minorEastAsia" w:eastAsiaTheme="minorEastAsia"/>
                <w:sz w:val="21"/>
                <w:szCs w:val="21"/>
                <w:highlight w:val="none"/>
              </w:rPr>
            </w:pPr>
          </w:p>
        </w:tc>
        <w:tc>
          <w:tcPr>
            <w:tcW w:w="2086" w:type="dxa"/>
            <w:vAlign w:val="center"/>
          </w:tcPr>
          <w:p w14:paraId="15631308">
            <w:pPr>
              <w:jc w:val="center"/>
              <w:rPr>
                <w:rFonts w:asciiTheme="minorEastAsia" w:hAnsiTheme="minorEastAsia" w:eastAsiaTheme="minorEastAsia"/>
                <w:sz w:val="21"/>
                <w:szCs w:val="21"/>
                <w:highlight w:val="none"/>
              </w:rPr>
            </w:pPr>
          </w:p>
        </w:tc>
      </w:tr>
      <w:tr w14:paraId="1550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5DCF3170">
            <w:pPr>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w:t>
            </w:r>
          </w:p>
        </w:tc>
        <w:tc>
          <w:tcPr>
            <w:tcW w:w="2281" w:type="dxa"/>
            <w:vAlign w:val="center"/>
          </w:tcPr>
          <w:p w14:paraId="46D76303">
            <w:pPr>
              <w:jc w:val="center"/>
              <w:rPr>
                <w:rFonts w:asciiTheme="minorEastAsia" w:hAnsiTheme="minorEastAsia" w:eastAsiaTheme="minorEastAsia"/>
                <w:sz w:val="21"/>
                <w:szCs w:val="21"/>
                <w:highlight w:val="none"/>
              </w:rPr>
            </w:pPr>
          </w:p>
        </w:tc>
        <w:tc>
          <w:tcPr>
            <w:tcW w:w="2255" w:type="dxa"/>
            <w:gridSpan w:val="2"/>
            <w:vAlign w:val="center"/>
          </w:tcPr>
          <w:p w14:paraId="3A601980">
            <w:pPr>
              <w:jc w:val="center"/>
              <w:rPr>
                <w:rFonts w:asciiTheme="minorEastAsia" w:hAnsiTheme="minorEastAsia" w:eastAsiaTheme="minorEastAsia"/>
                <w:sz w:val="21"/>
                <w:szCs w:val="21"/>
                <w:highlight w:val="none"/>
              </w:rPr>
            </w:pPr>
          </w:p>
        </w:tc>
        <w:tc>
          <w:tcPr>
            <w:tcW w:w="1623" w:type="dxa"/>
            <w:gridSpan w:val="2"/>
            <w:vAlign w:val="center"/>
          </w:tcPr>
          <w:p w14:paraId="59474285">
            <w:pPr>
              <w:jc w:val="center"/>
              <w:rPr>
                <w:rFonts w:asciiTheme="minorEastAsia" w:hAnsiTheme="minorEastAsia" w:eastAsiaTheme="minorEastAsia"/>
                <w:sz w:val="21"/>
                <w:szCs w:val="21"/>
                <w:highlight w:val="none"/>
              </w:rPr>
            </w:pPr>
          </w:p>
        </w:tc>
        <w:tc>
          <w:tcPr>
            <w:tcW w:w="2086" w:type="dxa"/>
            <w:vAlign w:val="center"/>
          </w:tcPr>
          <w:p w14:paraId="237388D8">
            <w:pPr>
              <w:jc w:val="center"/>
              <w:rPr>
                <w:rFonts w:asciiTheme="minorEastAsia" w:hAnsiTheme="minorEastAsia" w:eastAsiaTheme="minorEastAsia"/>
                <w:sz w:val="21"/>
                <w:szCs w:val="21"/>
                <w:highlight w:val="none"/>
              </w:rPr>
            </w:pPr>
          </w:p>
        </w:tc>
      </w:tr>
      <w:tr w14:paraId="456A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113" w:type="dxa"/>
            <w:gridSpan w:val="7"/>
            <w:vAlign w:val="center"/>
          </w:tcPr>
          <w:p w14:paraId="0BAC86A3">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明细报价汇总表：</w:t>
            </w:r>
          </w:p>
        </w:tc>
      </w:tr>
      <w:tr w14:paraId="5432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4"/>
            <w:vAlign w:val="center"/>
          </w:tcPr>
          <w:p w14:paraId="6DAD7110">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投标</w:t>
            </w:r>
            <w:r>
              <w:rPr>
                <w:rFonts w:hint="eastAsia" w:asciiTheme="minorEastAsia" w:hAnsiTheme="minorEastAsia" w:eastAsiaTheme="minorEastAsia"/>
                <w:sz w:val="21"/>
                <w:szCs w:val="21"/>
                <w:highlight w:val="none"/>
                <w:lang w:val="zh-CN"/>
              </w:rPr>
              <w:t>报价</w:t>
            </w:r>
            <w:r>
              <w:rPr>
                <w:rFonts w:hint="eastAsia" w:asciiTheme="minorEastAsia" w:hAnsiTheme="minorEastAsia" w:eastAsiaTheme="minorEastAsia"/>
                <w:sz w:val="21"/>
                <w:szCs w:val="21"/>
                <w:highlight w:val="none"/>
              </w:rPr>
              <w:t>（货物报价合计</w:t>
            </w:r>
            <w:r>
              <w:rPr>
                <w:rFonts w:asciiTheme="minorEastAsia" w:hAnsiTheme="minorEastAsia" w:eastAsiaTheme="minorEastAsia"/>
                <w:sz w:val="21"/>
                <w:szCs w:val="21"/>
                <w:highlight w:val="none"/>
              </w:rPr>
              <w:t>+其他费用合计）</w:t>
            </w:r>
          </w:p>
        </w:tc>
        <w:tc>
          <w:tcPr>
            <w:tcW w:w="3709" w:type="dxa"/>
            <w:gridSpan w:val="3"/>
            <w:vAlign w:val="center"/>
          </w:tcPr>
          <w:p w14:paraId="5D89650F">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大写：人民币</w:t>
            </w:r>
            <w:r>
              <w:rPr>
                <w:rFonts w:hint="eastAsia" w:asciiTheme="minorEastAsia" w:hAnsiTheme="minorEastAsia" w:eastAsiaTheme="minorEastAsia"/>
                <w:sz w:val="21"/>
                <w:szCs w:val="21"/>
                <w:highlight w:val="none"/>
                <w:u w:val="single"/>
              </w:rPr>
              <w:t xml:space="preserve">          元</w:t>
            </w:r>
          </w:p>
          <w:p w14:paraId="67E714EA">
            <w:pPr>
              <w:rPr>
                <w:rFonts w:asciiTheme="minorEastAsia" w:hAnsiTheme="minorEastAsia" w:eastAsiaTheme="minorEastAsia"/>
                <w:sz w:val="21"/>
                <w:szCs w:val="21"/>
                <w:highlight w:val="none"/>
                <w:u w:val="single"/>
              </w:rPr>
            </w:pPr>
            <w:r>
              <w:rPr>
                <w:rFonts w:hint="eastAsia" w:asciiTheme="minorEastAsia" w:hAnsiTheme="minorEastAsia" w:eastAsiaTheme="minorEastAsia"/>
                <w:sz w:val="21"/>
                <w:szCs w:val="21"/>
                <w:highlight w:val="none"/>
              </w:rPr>
              <w:t xml:space="preserve">小写：￥ </w:t>
            </w:r>
            <w:r>
              <w:rPr>
                <w:rFonts w:hint="eastAsia" w:asciiTheme="minorEastAsia" w:hAnsiTheme="minorEastAsia" w:eastAsiaTheme="minorEastAsia"/>
                <w:sz w:val="21"/>
                <w:szCs w:val="21"/>
                <w:highlight w:val="none"/>
                <w:u w:val="single"/>
              </w:rPr>
              <w:t xml:space="preserve">             元</w:t>
            </w:r>
          </w:p>
        </w:tc>
      </w:tr>
    </w:tbl>
    <w:p w14:paraId="4C34806A">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512BF62E">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71B73717">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43D0F5F9">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供应商名称：</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14:paraId="746F6F0A">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32142497">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14:paraId="42BD9C81">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4C3AA7C9">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（签字）</w:t>
      </w:r>
    </w:p>
    <w:p w14:paraId="0F80093B">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7FC47035">
      <w:pPr>
        <w:autoSpaceDE w:val="0"/>
        <w:autoSpaceDN w:val="0"/>
        <w:adjustRightInd w:val="0"/>
        <w:snapToGrid w:val="0"/>
        <w:spacing w:line="249"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      期： </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5ECC6341">
      <w:pPr>
        <w:pStyle w:val="19"/>
        <w:rPr>
          <w:rFonts w:ascii="宋体" w:hAnsi="宋体" w:cs="宋体"/>
          <w:b/>
          <w:color w:val="000000" w:themeColor="text1"/>
          <w:sz w:val="32"/>
          <w:szCs w:val="32"/>
          <w:highlight w:val="none"/>
          <w14:textFill>
            <w14:solidFill>
              <w14:schemeClr w14:val="tx1"/>
            </w14:solidFill>
          </w14:textFill>
        </w:rPr>
      </w:pPr>
    </w:p>
    <w:p w14:paraId="61491D9A">
      <w:pPr>
        <w:pStyle w:val="19"/>
        <w:rPr>
          <w:rFonts w:ascii="宋体" w:hAnsi="宋体" w:cs="宋体"/>
          <w:b/>
          <w:color w:val="000000" w:themeColor="text1"/>
          <w:sz w:val="32"/>
          <w:szCs w:val="32"/>
          <w:highlight w:val="none"/>
          <w14:textFill>
            <w14:solidFill>
              <w14:schemeClr w14:val="tx1"/>
            </w14:solidFill>
          </w14:textFill>
        </w:rPr>
      </w:pPr>
    </w:p>
    <w:p w14:paraId="012501A0">
      <w:pPr>
        <w:rPr>
          <w:color w:val="000000" w:themeColor="text1"/>
          <w:highlight w:val="none"/>
          <w14:textFill>
            <w14:solidFill>
              <w14:schemeClr w14:val="tx1"/>
            </w14:solidFill>
          </w14:textFill>
        </w:rPr>
      </w:pPr>
    </w:p>
    <w:p w14:paraId="4AC1E8F7">
      <w:pPr>
        <w:jc w:val="center"/>
        <w:rPr>
          <w:rFonts w:ascii="宋体" w:hAnsi="宋体" w:cs="宋体"/>
          <w:b/>
          <w:color w:val="000000" w:themeColor="text1"/>
          <w:sz w:val="32"/>
          <w:szCs w:val="32"/>
          <w:highlight w:val="none"/>
          <w14:textFill>
            <w14:solidFill>
              <w14:schemeClr w14:val="tx1"/>
            </w14:solidFill>
          </w14:textFill>
        </w:rPr>
      </w:pPr>
    </w:p>
    <w:p w14:paraId="018F857D">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三、投标函</w:t>
      </w:r>
    </w:p>
    <w:p w14:paraId="3D1152AC">
      <w:pPr>
        <w:jc w:val="center"/>
        <w:rPr>
          <w:rFonts w:ascii="宋体" w:hAnsi="宋体"/>
          <w:color w:val="000000" w:themeColor="text1"/>
          <w:sz w:val="32"/>
          <w:szCs w:val="32"/>
          <w:highlight w:val="none"/>
          <w14:textFill>
            <w14:solidFill>
              <w14:schemeClr w14:val="tx1"/>
            </w14:solidFill>
          </w14:textFill>
        </w:rPr>
      </w:pPr>
    </w:p>
    <w:p w14:paraId="0EB3F1D8">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（采购人名称）</w:t>
      </w:r>
    </w:p>
    <w:p w14:paraId="019FE3E0">
      <w:pPr>
        <w:pStyle w:val="17"/>
        <w:widowControl w:val="0"/>
        <w:tabs>
          <w:tab w:val="left" w:pos="1468"/>
          <w:tab w:val="left" w:pos="3883"/>
        </w:tabs>
        <w:wordWrap w:val="0"/>
        <w:spacing w:line="312" w:lineRule="auto"/>
        <w:ind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1.我</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已</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细</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究了</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3"/>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pacing w:val="-94"/>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项</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目</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招标文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件</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全部</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内容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愿意以人民币（大写）</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）的投标总报价</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，合同履行期限（交货期）：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完成本项目工作，质量标准</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DED7DA7">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2.一旦我方中标，我方保证按招标文件中所规定的范围和将签订的合同的内容完成任务，参与项目全过程的服务。我方将接受并遵守招标文件所规定的全部条款。</w:t>
      </w:r>
    </w:p>
    <w:p w14:paraId="2CD2305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3.我方同意本投标文件在投标人须知中规定的开标日期对我方有约束力，并在投标人须知规定的投标有限期截止之时为止，一直对我方有约束力且随时可能按此投标文件中标。</w:t>
      </w:r>
    </w:p>
    <w:p w14:paraId="2C659F71">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4.在签署合同时，贵单位的中标通知书和本投标文件将构成约束我们双方的契约。</w:t>
      </w:r>
    </w:p>
    <w:p w14:paraId="2FB61FC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5.我方承诺完全响应招标文件规定的投标有效期。</w:t>
      </w:r>
    </w:p>
    <w:p w14:paraId="27348BCA">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3A059307">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1C8DF32A">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（公章）                    </w:t>
      </w:r>
    </w:p>
    <w:p w14:paraId="73684FB2">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3315C951">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（盖章）</w:t>
      </w:r>
    </w:p>
    <w:p w14:paraId="61D3BEFC">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636A5C0F">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（签字）  </w:t>
      </w:r>
    </w:p>
    <w:p w14:paraId="6C7F8DEF">
      <w:pPr>
        <w:spacing w:line="360" w:lineRule="auto"/>
        <w:ind w:firstLine="3990" w:firstLineChars="1900"/>
        <w:rPr>
          <w:rFonts w:ascii="宋体" w:hAnsi="宋体"/>
          <w:color w:val="000000" w:themeColor="text1"/>
          <w:sz w:val="21"/>
          <w:szCs w:val="21"/>
          <w:highlight w:val="none"/>
          <w14:textFill>
            <w14:solidFill>
              <w14:schemeClr w14:val="tx1"/>
            </w14:solidFill>
          </w14:textFill>
        </w:rPr>
      </w:pPr>
    </w:p>
    <w:p w14:paraId="782B66E6">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　　期：</w:t>
      </w:r>
      <w:r>
        <w:rPr>
          <w:rFonts w:hint="eastAsia" w:ascii="宋体" w:hAnsi="宋体"/>
          <w:color w:val="000000" w:themeColor="text1"/>
          <w:sz w:val="21"/>
          <w:szCs w:val="21"/>
          <w:highlight w:val="none"/>
          <w:u w:val="single"/>
          <w14:textFill>
            <w14:solidFill>
              <w14:schemeClr w14:val="tx1"/>
            </w14:solidFill>
          </w14:textFill>
        </w:rPr>
        <w:t xml:space="preserve">                </w:t>
      </w:r>
    </w:p>
    <w:p w14:paraId="6394DA90">
      <w:pP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p>
    <w:p w14:paraId="4C384028">
      <w:pPr>
        <w:pStyle w:val="4"/>
        <w:keepNext w:val="0"/>
        <w:keepLines w:val="0"/>
        <w:wordWrap w:val="0"/>
        <w:spacing w:line="360" w:lineRule="auto"/>
        <w:jc w:val="center"/>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报价函附录</w:t>
      </w:r>
    </w:p>
    <w:tbl>
      <w:tblPr>
        <w:tblStyle w:val="43"/>
        <w:tblW w:w="9180" w:type="dxa"/>
        <w:tblInd w:w="0" w:type="dxa"/>
        <w:tblLayout w:type="fixed"/>
        <w:tblCellMar>
          <w:top w:w="0" w:type="dxa"/>
          <w:left w:w="108" w:type="dxa"/>
          <w:bottom w:w="0" w:type="dxa"/>
          <w:right w:w="108" w:type="dxa"/>
        </w:tblCellMar>
      </w:tblPr>
      <w:tblGrid>
        <w:gridCol w:w="846"/>
        <w:gridCol w:w="2570"/>
        <w:gridCol w:w="3532"/>
        <w:gridCol w:w="2232"/>
      </w:tblGrid>
      <w:tr w14:paraId="3B646E3C">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7188D905">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序号</w:t>
            </w:r>
          </w:p>
        </w:tc>
        <w:tc>
          <w:tcPr>
            <w:tcW w:w="2570" w:type="dxa"/>
            <w:tcBorders>
              <w:top w:val="single" w:color="auto" w:sz="4" w:space="0"/>
              <w:left w:val="single" w:color="auto" w:sz="4" w:space="0"/>
              <w:bottom w:val="single" w:color="auto" w:sz="4" w:space="0"/>
              <w:right w:val="single" w:color="auto" w:sz="4" w:space="0"/>
            </w:tcBorders>
            <w:vAlign w:val="center"/>
          </w:tcPr>
          <w:p w14:paraId="231ADE06">
            <w:pPr>
              <w:widowControl w:val="0"/>
              <w:spacing w:line="440" w:lineRule="exact"/>
              <w:rPr>
                <w:rFonts w:ascii="宋体" w:hAnsi="宋体" w:cs="宋体"/>
                <w:sz w:val="21"/>
                <w:szCs w:val="21"/>
                <w:highlight w:val="none"/>
              </w:rPr>
            </w:pPr>
            <w:r>
              <w:rPr>
                <w:rFonts w:hint="eastAsia" w:ascii="宋体" w:hAnsi="宋体" w:cs="宋体"/>
                <w:sz w:val="21"/>
                <w:szCs w:val="21"/>
                <w:highlight w:val="none"/>
              </w:rPr>
              <w:t>条款名称</w:t>
            </w:r>
          </w:p>
        </w:tc>
        <w:tc>
          <w:tcPr>
            <w:tcW w:w="3532" w:type="dxa"/>
            <w:tcBorders>
              <w:top w:val="single" w:color="auto" w:sz="4" w:space="0"/>
              <w:left w:val="single" w:color="auto" w:sz="4" w:space="0"/>
              <w:bottom w:val="single" w:color="auto" w:sz="4" w:space="0"/>
              <w:right w:val="single" w:color="auto" w:sz="4" w:space="0"/>
            </w:tcBorders>
            <w:vAlign w:val="center"/>
          </w:tcPr>
          <w:p w14:paraId="38619853">
            <w:pPr>
              <w:widowControl w:val="0"/>
              <w:spacing w:line="440" w:lineRule="exact"/>
              <w:rPr>
                <w:rFonts w:ascii="宋体" w:hAnsi="宋体" w:cs="宋体"/>
                <w:sz w:val="21"/>
                <w:szCs w:val="21"/>
                <w:highlight w:val="none"/>
              </w:rPr>
            </w:pPr>
            <w:r>
              <w:rPr>
                <w:rFonts w:hint="eastAsia" w:ascii="宋体" w:hAnsi="宋体" w:cs="宋体"/>
                <w:sz w:val="21"/>
                <w:szCs w:val="21"/>
                <w:highlight w:val="none"/>
              </w:rPr>
              <w:t>约定内容</w:t>
            </w:r>
          </w:p>
        </w:tc>
        <w:tc>
          <w:tcPr>
            <w:tcW w:w="2232" w:type="dxa"/>
            <w:tcBorders>
              <w:top w:val="single" w:color="auto" w:sz="4" w:space="0"/>
              <w:left w:val="single" w:color="auto" w:sz="4" w:space="0"/>
              <w:bottom w:val="single" w:color="auto" w:sz="4" w:space="0"/>
              <w:right w:val="single" w:color="auto" w:sz="4" w:space="0"/>
            </w:tcBorders>
            <w:vAlign w:val="center"/>
          </w:tcPr>
          <w:p w14:paraId="585D85A1">
            <w:pPr>
              <w:widowControl w:val="0"/>
              <w:spacing w:line="440" w:lineRule="exact"/>
              <w:rPr>
                <w:rFonts w:ascii="宋体" w:hAnsi="宋体" w:cs="宋体"/>
                <w:sz w:val="21"/>
                <w:szCs w:val="21"/>
                <w:highlight w:val="none"/>
              </w:rPr>
            </w:pPr>
            <w:r>
              <w:rPr>
                <w:rFonts w:hint="eastAsia" w:ascii="宋体" w:hAnsi="宋体" w:cs="宋体"/>
                <w:sz w:val="21"/>
                <w:szCs w:val="21"/>
                <w:highlight w:val="none"/>
              </w:rPr>
              <w:t>是否响应</w:t>
            </w:r>
          </w:p>
        </w:tc>
      </w:tr>
      <w:tr w14:paraId="0BFC2DC4">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47EBAE5F">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1</w:t>
            </w:r>
          </w:p>
        </w:tc>
        <w:tc>
          <w:tcPr>
            <w:tcW w:w="2570" w:type="dxa"/>
            <w:tcBorders>
              <w:top w:val="single" w:color="auto" w:sz="4" w:space="0"/>
              <w:left w:val="single" w:color="auto" w:sz="4" w:space="0"/>
              <w:bottom w:val="single" w:color="auto" w:sz="4" w:space="0"/>
              <w:right w:val="single" w:color="auto" w:sz="4" w:space="0"/>
            </w:tcBorders>
            <w:vAlign w:val="center"/>
          </w:tcPr>
          <w:p w14:paraId="11301AA7">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合同履行期限（交货期）</w:t>
            </w:r>
          </w:p>
        </w:tc>
        <w:tc>
          <w:tcPr>
            <w:tcW w:w="3532" w:type="dxa"/>
            <w:tcBorders>
              <w:top w:val="single" w:color="auto" w:sz="4" w:space="0"/>
              <w:left w:val="single" w:color="auto" w:sz="4" w:space="0"/>
              <w:bottom w:val="single" w:color="auto" w:sz="4" w:space="0"/>
              <w:right w:val="single" w:color="auto" w:sz="4" w:space="0"/>
            </w:tcBorders>
            <w:vAlign w:val="center"/>
          </w:tcPr>
          <w:p w14:paraId="128F7C98">
            <w:pPr>
              <w:widowControl w:val="0"/>
              <w:spacing w:line="44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合同签订生效后，12月31日前完成。</w:t>
            </w:r>
          </w:p>
        </w:tc>
        <w:tc>
          <w:tcPr>
            <w:tcW w:w="2232" w:type="dxa"/>
            <w:tcBorders>
              <w:top w:val="single" w:color="auto" w:sz="4" w:space="0"/>
              <w:left w:val="single" w:color="auto" w:sz="4" w:space="0"/>
              <w:bottom w:val="single" w:color="auto" w:sz="4" w:space="0"/>
              <w:right w:val="single" w:color="auto" w:sz="4" w:space="0"/>
            </w:tcBorders>
            <w:vAlign w:val="center"/>
          </w:tcPr>
          <w:p w14:paraId="0BD0CCAE">
            <w:pPr>
              <w:widowControl w:val="0"/>
              <w:spacing w:line="440" w:lineRule="exact"/>
              <w:rPr>
                <w:rFonts w:ascii="宋体" w:hAnsi="宋体" w:cs="宋体"/>
                <w:sz w:val="21"/>
                <w:szCs w:val="21"/>
                <w:highlight w:val="none"/>
              </w:rPr>
            </w:pPr>
          </w:p>
        </w:tc>
      </w:tr>
      <w:tr w14:paraId="7F57D73F">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69E30BD4">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2</w:t>
            </w:r>
          </w:p>
        </w:tc>
        <w:tc>
          <w:tcPr>
            <w:tcW w:w="2570" w:type="dxa"/>
            <w:tcBorders>
              <w:top w:val="single" w:color="auto" w:sz="4" w:space="0"/>
              <w:left w:val="single" w:color="auto" w:sz="4" w:space="0"/>
              <w:bottom w:val="single" w:color="auto" w:sz="4" w:space="0"/>
              <w:right w:val="single" w:color="auto" w:sz="4" w:space="0"/>
            </w:tcBorders>
            <w:vAlign w:val="center"/>
          </w:tcPr>
          <w:p w14:paraId="537E6164">
            <w:pPr>
              <w:widowControl w:val="0"/>
              <w:spacing w:line="440" w:lineRule="exact"/>
              <w:rPr>
                <w:rFonts w:ascii="宋体" w:hAnsi="宋体" w:cs="宋体"/>
                <w:sz w:val="21"/>
                <w:szCs w:val="21"/>
                <w:highlight w:val="none"/>
              </w:rPr>
            </w:pPr>
            <w:r>
              <w:rPr>
                <w:rFonts w:hint="eastAsia" w:cs="宋体"/>
                <w:sz w:val="21"/>
                <w:szCs w:val="21"/>
                <w:highlight w:val="none"/>
              </w:rPr>
              <w:t>投标</w:t>
            </w:r>
            <w:r>
              <w:rPr>
                <w:rFonts w:hint="eastAsia" w:ascii="宋体" w:hAnsi="宋体" w:cs="宋体"/>
                <w:sz w:val="21"/>
                <w:szCs w:val="21"/>
                <w:highlight w:val="none"/>
              </w:rPr>
              <w:t>有效期</w:t>
            </w:r>
          </w:p>
        </w:tc>
        <w:tc>
          <w:tcPr>
            <w:tcW w:w="3532" w:type="dxa"/>
            <w:tcBorders>
              <w:top w:val="single" w:color="auto" w:sz="4" w:space="0"/>
              <w:left w:val="single" w:color="auto" w:sz="4" w:space="0"/>
              <w:bottom w:val="single" w:color="auto" w:sz="4" w:space="0"/>
              <w:right w:val="single" w:color="auto" w:sz="4" w:space="0"/>
            </w:tcBorders>
            <w:vAlign w:val="center"/>
          </w:tcPr>
          <w:p w14:paraId="45A506BF">
            <w:pPr>
              <w:widowControl w:val="0"/>
              <w:spacing w:line="440" w:lineRule="exact"/>
              <w:rPr>
                <w:rFonts w:ascii="宋体" w:hAnsi="宋体" w:cs="宋体"/>
                <w:sz w:val="21"/>
                <w:szCs w:val="21"/>
                <w:highlight w:val="none"/>
              </w:rPr>
            </w:pPr>
            <w:r>
              <w:rPr>
                <w:rFonts w:hint="eastAsia" w:ascii="宋体" w:hAnsi="宋体" w:cs="宋体"/>
                <w:sz w:val="21"/>
                <w:szCs w:val="21"/>
                <w:highlight w:val="none"/>
              </w:rPr>
              <w:t>90天</w:t>
            </w:r>
          </w:p>
        </w:tc>
        <w:tc>
          <w:tcPr>
            <w:tcW w:w="2232" w:type="dxa"/>
            <w:tcBorders>
              <w:top w:val="single" w:color="auto" w:sz="4" w:space="0"/>
              <w:left w:val="single" w:color="auto" w:sz="4" w:space="0"/>
              <w:bottom w:val="single" w:color="auto" w:sz="4" w:space="0"/>
              <w:right w:val="single" w:color="auto" w:sz="4" w:space="0"/>
            </w:tcBorders>
            <w:vAlign w:val="center"/>
          </w:tcPr>
          <w:p w14:paraId="63CE9A00">
            <w:pPr>
              <w:widowControl w:val="0"/>
              <w:spacing w:line="440" w:lineRule="exact"/>
              <w:rPr>
                <w:rFonts w:ascii="宋体" w:hAnsi="宋体" w:cs="宋体"/>
                <w:sz w:val="21"/>
                <w:szCs w:val="21"/>
                <w:highlight w:val="none"/>
              </w:rPr>
            </w:pPr>
          </w:p>
        </w:tc>
      </w:tr>
      <w:tr w14:paraId="09E91EA2">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5D7B4B96">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3</w:t>
            </w:r>
          </w:p>
        </w:tc>
        <w:tc>
          <w:tcPr>
            <w:tcW w:w="2570" w:type="dxa"/>
            <w:tcBorders>
              <w:top w:val="single" w:color="auto" w:sz="4" w:space="0"/>
              <w:left w:val="single" w:color="auto" w:sz="4" w:space="0"/>
              <w:bottom w:val="single" w:color="auto" w:sz="4" w:space="0"/>
              <w:right w:val="single" w:color="auto" w:sz="4" w:space="0"/>
            </w:tcBorders>
            <w:shd w:val="clear" w:color="auto" w:fill="auto"/>
            <w:vAlign w:val="center"/>
          </w:tcPr>
          <w:p w14:paraId="4809108E">
            <w:pPr>
              <w:widowControl w:val="0"/>
              <w:spacing w:line="440" w:lineRule="exact"/>
              <w:rPr>
                <w:rFonts w:ascii="宋体" w:hAnsi="宋体" w:cs="宋体"/>
                <w:kern w:val="2"/>
                <w:sz w:val="21"/>
                <w:szCs w:val="21"/>
                <w:highlight w:val="none"/>
              </w:rPr>
            </w:pPr>
            <w:r>
              <w:rPr>
                <w:rFonts w:hint="eastAsia" w:cs="宋体"/>
                <w:sz w:val="21"/>
                <w:szCs w:val="21"/>
                <w:highlight w:val="none"/>
              </w:rPr>
              <w:t>质量</w:t>
            </w:r>
            <w:r>
              <w:rPr>
                <w:rFonts w:hint="eastAsia" w:ascii="宋体" w:hAnsi="宋体" w:cs="宋体"/>
                <w:sz w:val="21"/>
                <w:szCs w:val="21"/>
                <w:highlight w:val="none"/>
              </w:rPr>
              <w:t>标准</w:t>
            </w:r>
          </w:p>
        </w:tc>
        <w:tc>
          <w:tcPr>
            <w:tcW w:w="3532" w:type="dxa"/>
            <w:tcBorders>
              <w:top w:val="single" w:color="auto" w:sz="4" w:space="0"/>
              <w:left w:val="single" w:color="auto" w:sz="4" w:space="0"/>
              <w:bottom w:val="single" w:color="auto" w:sz="4" w:space="0"/>
              <w:right w:val="single" w:color="auto" w:sz="4" w:space="0"/>
            </w:tcBorders>
            <w:shd w:val="clear" w:color="auto" w:fill="auto"/>
            <w:vAlign w:val="center"/>
          </w:tcPr>
          <w:p w14:paraId="5F8C9BFD">
            <w:pPr>
              <w:widowControl w:val="0"/>
              <w:spacing w:line="440" w:lineRule="exact"/>
              <w:rPr>
                <w:rFonts w:ascii="宋体" w:hAnsi="宋体" w:cs="宋体"/>
                <w:kern w:val="2"/>
                <w:sz w:val="21"/>
                <w:szCs w:val="21"/>
                <w:highlight w:val="none"/>
              </w:rPr>
            </w:pPr>
            <w:r>
              <w:rPr>
                <w:rFonts w:hint="eastAsia" w:ascii="宋体" w:hAnsi="宋体"/>
                <w:color w:val="auto"/>
                <w:sz w:val="21"/>
                <w:szCs w:val="21"/>
                <w:highlight w:val="none"/>
              </w:rPr>
              <w:t>符合国家及行业相关合格标准；</w:t>
            </w:r>
            <w:r>
              <w:rPr>
                <w:rFonts w:hint="eastAsia" w:ascii="宋体" w:hAnsi="宋体"/>
                <w:color w:val="auto"/>
                <w:sz w:val="21"/>
                <w:szCs w:val="21"/>
                <w:highlight w:val="none"/>
                <w:lang w:val="zh-CN"/>
              </w:rPr>
              <w:t>符合招标参数要求</w:t>
            </w:r>
          </w:p>
        </w:tc>
        <w:tc>
          <w:tcPr>
            <w:tcW w:w="2232" w:type="dxa"/>
            <w:tcBorders>
              <w:top w:val="single" w:color="auto" w:sz="4" w:space="0"/>
              <w:left w:val="single" w:color="auto" w:sz="4" w:space="0"/>
              <w:bottom w:val="single" w:color="auto" w:sz="4" w:space="0"/>
              <w:right w:val="single" w:color="auto" w:sz="4" w:space="0"/>
            </w:tcBorders>
            <w:vAlign w:val="center"/>
          </w:tcPr>
          <w:p w14:paraId="2156BDFE">
            <w:pPr>
              <w:widowControl w:val="0"/>
              <w:spacing w:line="440" w:lineRule="exact"/>
              <w:rPr>
                <w:rFonts w:ascii="宋体" w:hAnsi="宋体" w:cs="宋体"/>
                <w:sz w:val="21"/>
                <w:szCs w:val="21"/>
                <w:highlight w:val="none"/>
              </w:rPr>
            </w:pPr>
          </w:p>
        </w:tc>
      </w:tr>
      <w:tr w14:paraId="04E141D8">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1FC2BA5">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4</w:t>
            </w:r>
          </w:p>
        </w:tc>
        <w:tc>
          <w:tcPr>
            <w:tcW w:w="2570" w:type="dxa"/>
            <w:tcBorders>
              <w:top w:val="single" w:color="auto" w:sz="4" w:space="0"/>
              <w:left w:val="single" w:color="auto" w:sz="4" w:space="0"/>
              <w:bottom w:val="single" w:color="auto" w:sz="4" w:space="0"/>
              <w:right w:val="single" w:color="auto" w:sz="4" w:space="0"/>
            </w:tcBorders>
            <w:vAlign w:val="center"/>
          </w:tcPr>
          <w:p w14:paraId="5BAE9066">
            <w:pPr>
              <w:widowControl w:val="0"/>
              <w:spacing w:line="440" w:lineRule="exact"/>
              <w:rPr>
                <w:rFonts w:ascii="宋体" w:hAnsi="宋体" w:cs="宋体"/>
                <w:kern w:val="2"/>
                <w:sz w:val="21"/>
                <w:szCs w:val="21"/>
                <w:highlight w:val="none"/>
              </w:rPr>
            </w:pPr>
            <w:r>
              <w:rPr>
                <w:rFonts w:hint="eastAsia" w:ascii="宋体" w:hAnsi="宋体" w:cs="宋体"/>
                <w:sz w:val="21"/>
                <w:szCs w:val="21"/>
                <w:highlight w:val="none"/>
              </w:rPr>
              <w:t>……</w:t>
            </w:r>
          </w:p>
        </w:tc>
        <w:tc>
          <w:tcPr>
            <w:tcW w:w="3532" w:type="dxa"/>
            <w:tcBorders>
              <w:top w:val="single" w:color="auto" w:sz="4" w:space="0"/>
              <w:left w:val="single" w:color="auto" w:sz="4" w:space="0"/>
              <w:bottom w:val="single" w:color="auto" w:sz="4" w:space="0"/>
              <w:right w:val="single" w:color="auto" w:sz="4" w:space="0"/>
            </w:tcBorders>
            <w:vAlign w:val="center"/>
          </w:tcPr>
          <w:p w14:paraId="0544E39E">
            <w:pPr>
              <w:widowControl w:val="0"/>
              <w:spacing w:line="440" w:lineRule="exact"/>
              <w:rPr>
                <w:rFonts w:ascii="宋体" w:hAnsi="宋体" w:cs="宋体"/>
                <w:kern w:val="2"/>
                <w:sz w:val="21"/>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731AD172">
            <w:pPr>
              <w:widowControl w:val="0"/>
              <w:spacing w:line="440" w:lineRule="exact"/>
              <w:rPr>
                <w:rFonts w:ascii="宋体" w:hAnsi="宋体" w:cs="宋体"/>
                <w:sz w:val="21"/>
                <w:szCs w:val="21"/>
                <w:highlight w:val="none"/>
              </w:rPr>
            </w:pPr>
          </w:p>
        </w:tc>
      </w:tr>
      <w:tr w14:paraId="52A6B147">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144D131">
            <w:pPr>
              <w:widowControl w:val="0"/>
              <w:spacing w:line="440" w:lineRule="exact"/>
              <w:jc w:val="center"/>
              <w:rPr>
                <w:rFonts w:ascii="宋体" w:hAnsi="宋体" w:cs="宋体"/>
                <w:sz w:val="21"/>
                <w:szCs w:val="21"/>
                <w:highlight w:val="none"/>
              </w:rPr>
            </w:pPr>
          </w:p>
        </w:tc>
        <w:tc>
          <w:tcPr>
            <w:tcW w:w="2570" w:type="dxa"/>
            <w:tcBorders>
              <w:top w:val="single" w:color="auto" w:sz="4" w:space="0"/>
              <w:left w:val="single" w:color="auto" w:sz="4" w:space="0"/>
              <w:bottom w:val="single" w:color="auto" w:sz="4" w:space="0"/>
              <w:right w:val="single" w:color="auto" w:sz="4" w:space="0"/>
            </w:tcBorders>
            <w:vAlign w:val="center"/>
          </w:tcPr>
          <w:p w14:paraId="52AB66DF">
            <w:pPr>
              <w:widowControl w:val="0"/>
              <w:spacing w:line="440" w:lineRule="exact"/>
              <w:rPr>
                <w:rFonts w:ascii="宋体" w:hAnsi="宋体" w:cs="宋体"/>
                <w:sz w:val="21"/>
                <w:szCs w:val="21"/>
                <w:highlight w:val="none"/>
              </w:rPr>
            </w:pPr>
          </w:p>
        </w:tc>
        <w:tc>
          <w:tcPr>
            <w:tcW w:w="3532" w:type="dxa"/>
            <w:tcBorders>
              <w:top w:val="single" w:color="auto" w:sz="4" w:space="0"/>
              <w:left w:val="single" w:color="auto" w:sz="4" w:space="0"/>
              <w:bottom w:val="single" w:color="auto" w:sz="4" w:space="0"/>
              <w:right w:val="single" w:color="auto" w:sz="4" w:space="0"/>
            </w:tcBorders>
            <w:vAlign w:val="center"/>
          </w:tcPr>
          <w:p w14:paraId="216CD951">
            <w:pPr>
              <w:widowControl w:val="0"/>
              <w:rPr>
                <w:sz w:val="21"/>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0585ECA3">
            <w:pPr>
              <w:widowControl w:val="0"/>
              <w:spacing w:line="440" w:lineRule="exact"/>
              <w:rPr>
                <w:rFonts w:ascii="宋体" w:hAnsi="宋体" w:cs="宋体"/>
                <w:sz w:val="21"/>
                <w:szCs w:val="21"/>
                <w:highlight w:val="none"/>
              </w:rPr>
            </w:pPr>
          </w:p>
        </w:tc>
      </w:tr>
      <w:tr w14:paraId="0FFD9864">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7C19C87B">
            <w:pPr>
              <w:widowControl w:val="0"/>
              <w:spacing w:line="440" w:lineRule="exact"/>
              <w:jc w:val="center"/>
              <w:rPr>
                <w:rFonts w:ascii="宋体" w:hAnsi="宋体" w:cs="宋体"/>
                <w:sz w:val="21"/>
                <w:szCs w:val="21"/>
                <w:highlight w:val="none"/>
              </w:rPr>
            </w:pPr>
          </w:p>
        </w:tc>
        <w:tc>
          <w:tcPr>
            <w:tcW w:w="2570" w:type="dxa"/>
            <w:tcBorders>
              <w:top w:val="single" w:color="auto" w:sz="4" w:space="0"/>
              <w:left w:val="single" w:color="auto" w:sz="4" w:space="0"/>
              <w:bottom w:val="single" w:color="auto" w:sz="4" w:space="0"/>
              <w:right w:val="single" w:color="auto" w:sz="4" w:space="0"/>
            </w:tcBorders>
            <w:vAlign w:val="center"/>
          </w:tcPr>
          <w:p w14:paraId="7BCAAC84">
            <w:pPr>
              <w:widowControl w:val="0"/>
              <w:spacing w:line="440" w:lineRule="exact"/>
              <w:rPr>
                <w:rFonts w:ascii="宋体" w:hAnsi="宋体" w:cs="宋体"/>
                <w:sz w:val="21"/>
                <w:szCs w:val="21"/>
                <w:highlight w:val="none"/>
              </w:rPr>
            </w:pPr>
          </w:p>
        </w:tc>
        <w:tc>
          <w:tcPr>
            <w:tcW w:w="3532" w:type="dxa"/>
            <w:tcBorders>
              <w:top w:val="single" w:color="auto" w:sz="4" w:space="0"/>
              <w:left w:val="single" w:color="auto" w:sz="4" w:space="0"/>
              <w:bottom w:val="single" w:color="auto" w:sz="4" w:space="0"/>
              <w:right w:val="single" w:color="auto" w:sz="4" w:space="0"/>
            </w:tcBorders>
            <w:vAlign w:val="center"/>
          </w:tcPr>
          <w:p w14:paraId="1CFA7DFC">
            <w:pPr>
              <w:widowControl w:val="0"/>
              <w:spacing w:line="440" w:lineRule="exact"/>
              <w:rPr>
                <w:rFonts w:ascii="宋体" w:hAnsi="宋体" w:cs="宋体"/>
                <w:sz w:val="21"/>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1C249281">
            <w:pPr>
              <w:widowControl w:val="0"/>
              <w:spacing w:line="440" w:lineRule="exact"/>
              <w:rPr>
                <w:rFonts w:ascii="宋体" w:hAnsi="宋体" w:cs="宋体"/>
                <w:sz w:val="21"/>
                <w:szCs w:val="21"/>
                <w:highlight w:val="none"/>
              </w:rPr>
            </w:pPr>
          </w:p>
        </w:tc>
      </w:tr>
      <w:tr w14:paraId="5635C660">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3CACA0A4">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备注：供应商在响应招标文件中规定的实质性要求和条件的基础上，可做出其他有利于采购人的承诺。此类承诺可在本表中予以补充填写。</w:t>
            </w:r>
          </w:p>
        </w:tc>
      </w:tr>
    </w:tbl>
    <w:p w14:paraId="04774686">
      <w:pPr>
        <w:pStyle w:val="17"/>
        <w:wordWrap w:val="0"/>
        <w:rPr>
          <w:rFonts w:asciiTheme="minorEastAsia" w:hAnsiTheme="minorEastAsia" w:eastAsiaTheme="minorEastAsia" w:cstheme="minorEastAsia"/>
          <w:color w:val="000000" w:themeColor="text1"/>
          <w:highlight w:val="none"/>
          <w14:textFill>
            <w14:solidFill>
              <w14:schemeClr w14:val="tx1"/>
            </w14:solidFill>
          </w14:textFill>
        </w:rPr>
      </w:pPr>
    </w:p>
    <w:p w14:paraId="687C8871">
      <w:pPr>
        <w:widowControl w:val="0"/>
        <w:spacing w:line="440" w:lineRule="exact"/>
        <w:rPr>
          <w:rFonts w:ascii="宋体" w:hAnsi="宋体" w:cs="宋体"/>
          <w:szCs w:val="21"/>
          <w:highlight w:val="none"/>
        </w:rPr>
      </w:pPr>
    </w:p>
    <w:p w14:paraId="5E5BA2D8">
      <w:pPr>
        <w:widowControl w:val="0"/>
        <w:spacing w:line="440" w:lineRule="exact"/>
        <w:rPr>
          <w:rFonts w:ascii="宋体" w:hAnsi="宋体" w:cs="宋体"/>
          <w:szCs w:val="21"/>
          <w:highlight w:val="none"/>
        </w:rPr>
      </w:pPr>
    </w:p>
    <w:p w14:paraId="19BD8810">
      <w:pPr>
        <w:widowControl w:val="0"/>
        <w:spacing w:line="440" w:lineRule="exact"/>
        <w:rPr>
          <w:rFonts w:ascii="宋体" w:hAnsi="宋体" w:cs="宋体"/>
          <w:szCs w:val="21"/>
          <w:highlight w:val="none"/>
        </w:rPr>
      </w:pPr>
    </w:p>
    <w:p w14:paraId="30D00D8D">
      <w:pPr>
        <w:widowControl w:val="0"/>
        <w:spacing w:line="440" w:lineRule="exact"/>
        <w:rPr>
          <w:rFonts w:ascii="宋体" w:hAnsi="宋体" w:cs="宋体"/>
          <w:sz w:val="21"/>
          <w:szCs w:val="21"/>
          <w:highlight w:val="none"/>
        </w:rPr>
      </w:pPr>
      <w:r>
        <w:rPr>
          <w:rFonts w:hint="eastAsia" w:ascii="宋体" w:hAnsi="宋体" w:cs="宋体"/>
          <w:sz w:val="21"/>
          <w:szCs w:val="21"/>
          <w:highlight w:val="none"/>
        </w:rPr>
        <w:t>供应商名称：</w:t>
      </w:r>
      <w:r>
        <w:rPr>
          <w:rFonts w:hint="eastAsia" w:ascii="宋体" w:hAnsi="宋体" w:cs="宋体"/>
          <w:sz w:val="21"/>
          <w:szCs w:val="21"/>
          <w:highlight w:val="none"/>
          <w:u w:val="single"/>
        </w:rPr>
        <w:t xml:space="preserve">                      </w:t>
      </w:r>
      <w:r>
        <w:rPr>
          <w:rFonts w:hint="eastAsia" w:ascii="宋体" w:hAnsi="宋体" w:cs="宋体"/>
          <w:sz w:val="21"/>
          <w:szCs w:val="21"/>
          <w:highlight w:val="none"/>
        </w:rPr>
        <w:t>（盖单位章）</w:t>
      </w:r>
    </w:p>
    <w:p w14:paraId="62C72B94">
      <w:pPr>
        <w:widowControl w:val="0"/>
        <w:spacing w:line="440" w:lineRule="exact"/>
        <w:rPr>
          <w:rFonts w:ascii="宋体" w:hAnsi="宋体" w:cs="宋体"/>
          <w:sz w:val="21"/>
          <w:szCs w:val="21"/>
          <w:highlight w:val="none"/>
        </w:rPr>
      </w:pPr>
    </w:p>
    <w:p w14:paraId="076BF486">
      <w:pPr>
        <w:widowControl w:val="0"/>
        <w:spacing w:line="440" w:lineRule="exact"/>
        <w:rPr>
          <w:rFonts w:ascii="宋体" w:hAnsi="宋体" w:cs="宋体"/>
          <w:sz w:val="21"/>
          <w:szCs w:val="21"/>
          <w:highlight w:val="none"/>
        </w:rPr>
      </w:pPr>
      <w:r>
        <w:rPr>
          <w:rFonts w:hint="eastAsia" w:ascii="宋体" w:hAnsi="宋体" w:cs="宋体"/>
          <w:sz w:val="21"/>
          <w:szCs w:val="21"/>
          <w:highlight w:val="none"/>
        </w:rPr>
        <w:t>法定代表人或其委托代理人：</w:t>
      </w:r>
      <w:r>
        <w:rPr>
          <w:rFonts w:hint="eastAsia" w:ascii="宋体" w:hAnsi="宋体" w:cs="宋体"/>
          <w:sz w:val="21"/>
          <w:szCs w:val="21"/>
          <w:highlight w:val="none"/>
          <w:u w:val="single"/>
        </w:rPr>
        <w:t xml:space="preserve">          </w:t>
      </w:r>
      <w:r>
        <w:rPr>
          <w:rFonts w:hint="eastAsia" w:ascii="宋体" w:hAnsi="宋体" w:cs="宋体"/>
          <w:sz w:val="21"/>
          <w:szCs w:val="21"/>
          <w:highlight w:val="none"/>
        </w:rPr>
        <w:t>（签字）</w:t>
      </w:r>
    </w:p>
    <w:p w14:paraId="53356E6A">
      <w:pPr>
        <w:spacing w:line="440" w:lineRule="exact"/>
        <w:jc w:val="right"/>
        <w:rPr>
          <w:rFonts w:ascii="宋体" w:hAnsi="宋体" w:cs="宋体"/>
          <w:sz w:val="21"/>
          <w:szCs w:val="21"/>
          <w:highlight w:val="none"/>
          <w:u w:val="single"/>
        </w:rPr>
      </w:pPr>
    </w:p>
    <w:p w14:paraId="7F94004D">
      <w:pPr>
        <w:spacing w:line="440" w:lineRule="exact"/>
        <w:jc w:val="right"/>
        <w:rPr>
          <w:rFonts w:ascii="宋体" w:hAnsi="宋体" w:cs="宋体"/>
          <w:sz w:val="21"/>
          <w:szCs w:val="21"/>
          <w:highlight w:val="none"/>
          <w:u w:val="single"/>
        </w:rPr>
      </w:pPr>
    </w:p>
    <w:p w14:paraId="3C0A5336">
      <w:pPr>
        <w:spacing w:line="440" w:lineRule="exact"/>
        <w:jc w:val="right"/>
        <w:rPr>
          <w:rFonts w:ascii="宋体" w:hAnsi="宋体" w:cs="宋体"/>
          <w:sz w:val="21"/>
          <w:szCs w:val="21"/>
          <w:highlight w:val="none"/>
        </w:rPr>
      </w:pP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61C0710B">
      <w:pPr>
        <w:widowControl w:val="0"/>
        <w:numPr>
          <w:ilvl w:val="0"/>
          <w:numId w:val="10"/>
        </w:numPr>
        <w:spacing w:after="100" w:afterAutospacing="1"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42B4FF3D">
      <w:pPr>
        <w:rPr>
          <w:color w:val="000000" w:themeColor="text1"/>
          <w:highlight w:val="none"/>
          <w14:textFill>
            <w14:solidFill>
              <w14:schemeClr w14:val="tx1"/>
            </w14:solidFill>
          </w14:textFill>
        </w:rPr>
      </w:pPr>
    </w:p>
    <w:p w14:paraId="4AF131D4">
      <w:pPr>
        <w:pStyle w:val="91"/>
        <w:spacing w:after="100" w:afterAutospacing="1"/>
        <w:ind w:left="160"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四、法定代表人资格证明</w:t>
      </w:r>
    </w:p>
    <w:p w14:paraId="59EF583F">
      <w:pPr>
        <w:spacing w:after="100" w:afterAutospacing="1" w:line="360" w:lineRule="auto"/>
        <w:ind w:left="980"/>
        <w:jc w:val="center"/>
        <w:rPr>
          <w:rFonts w:ascii="宋体" w:hAnsi="宋体"/>
          <w:color w:val="000000" w:themeColor="text1"/>
          <w:sz w:val="32"/>
          <w:szCs w:val="32"/>
          <w:highlight w:val="none"/>
          <w14:textFill>
            <w14:solidFill>
              <w14:schemeClr w14:val="tx1"/>
            </w14:solidFill>
          </w14:textFill>
        </w:rPr>
      </w:pPr>
    </w:p>
    <w:p w14:paraId="4EDF11BB">
      <w:pPr>
        <w:tabs>
          <w:tab w:val="left" w:pos="400"/>
        </w:tabs>
        <w:autoSpaceDE w:val="0"/>
        <w:autoSpaceDN w:val="0"/>
        <w:adjustRightInd w:val="0"/>
        <w:spacing w:line="480" w:lineRule="auto"/>
        <w:ind w:left="136" w:leftChars="68" w:firstLine="205" w:firstLineChars="98"/>
        <w:rPr>
          <w:rFonts w:ascii="宋体" w:hAnsi="宋体" w:cs="宋体"/>
          <w:color w:val="000000" w:themeColor="text1"/>
          <w:sz w:val="21"/>
          <w:szCs w:val="21"/>
          <w:highlight w:val="none"/>
          <w:u w:val="singl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投标人名称</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p>
    <w:p w14:paraId="5A26E05A">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单位性质</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w:t>
      </w:r>
    </w:p>
    <w:p w14:paraId="2A090CE1">
      <w:pPr>
        <w:autoSpaceDE w:val="0"/>
        <w:autoSpaceDN w:val="0"/>
        <w:adjustRightInd w:val="0"/>
        <w:spacing w:line="480" w:lineRule="auto"/>
        <w:ind w:firstLine="210" w:firstLineChars="100"/>
        <w:rPr>
          <w:rFonts w:ascii="宋体" w:hAnsi="宋体" w:cs="宋体"/>
          <w:color w:val="000000" w:themeColor="text1"/>
          <w:sz w:val="21"/>
          <w:szCs w:val="21"/>
          <w:highlight w:val="none"/>
          <w:u w:val="singl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地址</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p>
    <w:p w14:paraId="3BC4673A">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成立时间</w:t>
      </w:r>
      <w:r>
        <w:rPr>
          <w:rFonts w:ascii="宋体" w:hAnsi="宋体" w:cs="宋体"/>
          <w:color w:val="000000" w:themeColor="text1"/>
          <w:sz w:val="21"/>
          <w:szCs w:val="21"/>
          <w:highlight w:val="none"/>
          <w:u w:val="singl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年</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月</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日</w:t>
      </w:r>
    </w:p>
    <w:p w14:paraId="632FD999">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经营期限</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p>
    <w:p w14:paraId="450C4976">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姓名</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性别</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年龄</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职务</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w:t>
      </w:r>
    </w:p>
    <w:p w14:paraId="59465F88">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系</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lang w:val="zh-CN"/>
          <w14:textFill>
            <w14:solidFill>
              <w14:schemeClr w14:val="tx1"/>
            </w14:solidFill>
          </w14:textFill>
        </w:rPr>
        <w:t>投标人名称</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lang w:val="zh-CN"/>
          <w14:textFill>
            <w14:solidFill>
              <w14:schemeClr w14:val="tx1"/>
            </w14:solidFill>
          </w14:textFill>
        </w:rPr>
        <w:t>的法定代表人。</w:t>
      </w:r>
    </w:p>
    <w:p w14:paraId="024E5FEA">
      <w:pPr>
        <w:autoSpaceDE w:val="0"/>
        <w:autoSpaceDN w:val="0"/>
        <w:adjustRightInd w:val="0"/>
        <w:spacing w:line="360" w:lineRule="auto"/>
        <w:rPr>
          <w:rFonts w:ascii="宋体" w:hAnsi="宋体" w:cs="宋体"/>
          <w:color w:val="000000" w:themeColor="text1"/>
          <w:szCs w:val="18"/>
          <w:highlight w:val="none"/>
          <w:lang w:val="zh-CN"/>
          <w14:textFill>
            <w14:solidFill>
              <w14:schemeClr w14:val="tx1"/>
            </w14:solidFill>
          </w14:textFill>
        </w:rPr>
      </w:pPr>
      <w:r>
        <w:rPr>
          <w:rFonts w:ascii="宋体" w:hAnsi="宋体" w:cs="宋体"/>
          <w:color w:val="000000" w:themeColor="text1"/>
          <w:szCs w:val="18"/>
          <w:highlight w:val="none"/>
          <w:lang w:val="zh-CN"/>
          <w14:textFill>
            <w14:solidFill>
              <w14:schemeClr w14:val="tx1"/>
            </w14:solidFill>
          </w14:textFill>
        </w:rPr>
        <w:t xml:space="preserve">    </w:t>
      </w:r>
      <w:r>
        <w:rPr>
          <w:rFonts w:hint="eastAsia" w:ascii="宋体" w:hAnsi="宋体" w:cs="宋体"/>
          <w:color w:val="000000" w:themeColor="text1"/>
          <w:szCs w:val="18"/>
          <w:highlight w:val="none"/>
          <w:lang w:val="zh-CN"/>
          <w14:textFill>
            <w14:solidFill>
              <w14:schemeClr w14:val="tx1"/>
            </w14:solidFill>
          </w14:textFill>
        </w:rPr>
        <w:t xml:space="preserve">   </w:t>
      </w:r>
    </w:p>
    <w:p w14:paraId="546DC15E">
      <w:pPr>
        <w:autoSpaceDE w:val="0"/>
        <w:autoSpaceDN w:val="0"/>
        <w:adjustRightInd w:val="0"/>
        <w:spacing w:line="360" w:lineRule="auto"/>
        <w:rPr>
          <w:rFonts w:ascii="宋体" w:hAnsi="宋体" w:cs="宋体"/>
          <w:color w:val="000000" w:themeColor="text1"/>
          <w:szCs w:val="18"/>
          <w:highlight w:val="none"/>
          <w:lang w:val="zh-CN"/>
          <w14:textFill>
            <w14:solidFill>
              <w14:schemeClr w14:val="tx1"/>
            </w14:solidFill>
          </w14:textFill>
        </w:rPr>
      </w:pPr>
    </w:p>
    <w:p w14:paraId="1BBEF300">
      <w:pPr>
        <w:spacing w:line="360" w:lineRule="auto"/>
        <w:ind w:firstLine="800" w:firstLineChars="400"/>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特此证明。</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39"/>
      </w:tblGrid>
      <w:tr w14:paraId="6F786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trPr>
        <w:tc>
          <w:tcPr>
            <w:tcW w:w="9039" w:type="dxa"/>
          </w:tcPr>
          <w:p w14:paraId="2A919459">
            <w:pPr>
              <w:spacing w:line="360" w:lineRule="auto"/>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附：法定代表人身份证复印件</w:t>
            </w:r>
            <w:r>
              <w:rPr>
                <w:rFonts w:hint="eastAsia" w:ascii="宋体" w:hAnsi="宋体"/>
                <w:color w:val="000000" w:themeColor="text1"/>
                <w:sz w:val="21"/>
                <w:szCs w:val="21"/>
                <w:highlight w:val="none"/>
                <w:shd w:val="clear" w:fill="FFFFFF" w:themeFill="background1"/>
                <w:lang w:eastAsia="zh-CN"/>
                <w14:textFill>
                  <w14:solidFill>
                    <w14:schemeClr w14:val="tx1"/>
                  </w14:solidFill>
                </w14:textFill>
              </w:rPr>
              <w:t>（</w:t>
            </w:r>
            <w:r>
              <w:rPr>
                <w:rFonts w:hint="eastAsia" w:ascii="宋体" w:hAnsi="宋体"/>
                <w:color w:val="000000" w:themeColor="text1"/>
                <w:sz w:val="21"/>
                <w:szCs w:val="21"/>
                <w:highlight w:val="none"/>
                <w:shd w:val="clear" w:fill="FFFFFF" w:themeFill="background1"/>
                <w:lang w:val="en-US" w:eastAsia="zh-CN"/>
                <w14:textFill>
                  <w14:solidFill>
                    <w14:schemeClr w14:val="tx1"/>
                  </w14:solidFill>
                </w14:textFill>
              </w:rPr>
              <w:t>正反面）</w:t>
            </w:r>
          </w:p>
        </w:tc>
      </w:tr>
    </w:tbl>
    <w:p w14:paraId="33A1748A">
      <w:pPr>
        <w:spacing w:line="360" w:lineRule="auto"/>
        <w:rPr>
          <w:rFonts w:ascii="宋体" w:hAnsi="宋体"/>
          <w:color w:val="000000" w:themeColor="text1"/>
          <w:sz w:val="21"/>
          <w:szCs w:val="21"/>
          <w:highlight w:val="none"/>
          <w14:textFill>
            <w14:solidFill>
              <w14:schemeClr w14:val="tx1"/>
            </w14:solidFill>
          </w14:textFill>
        </w:rPr>
      </w:pPr>
    </w:p>
    <w:p w14:paraId="07BFE1A8">
      <w:pPr>
        <w:spacing w:line="360" w:lineRule="auto"/>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14:paraId="648E9D08">
      <w:pPr>
        <w:spacing w:line="360" w:lineRule="auto"/>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14:paraId="634B75D8">
      <w:pPr>
        <w:spacing w:line="360" w:lineRule="auto"/>
        <w:jc w:val="right"/>
        <w:rPr>
          <w:rFonts w:ascii="宋体" w:hAnsi="宋体"/>
          <w:color w:val="000000" w:themeColor="text1"/>
          <w:sz w:val="21"/>
          <w:szCs w:val="21"/>
          <w:highlight w:val="none"/>
          <w14:textFill>
            <w14:solidFill>
              <w14:schemeClr w14:val="tx1"/>
            </w14:solidFill>
          </w14:textFill>
        </w:rPr>
      </w:pPr>
    </w:p>
    <w:p w14:paraId="6CAF244A">
      <w:pPr>
        <w:spacing w:line="440" w:lineRule="exact"/>
        <w:jc w:val="right"/>
        <w:rPr>
          <w:rFonts w:ascii="宋体" w:hAnsi="宋体" w:cs="宋体"/>
          <w:sz w:val="21"/>
          <w:szCs w:val="21"/>
          <w:highlight w:val="none"/>
        </w:rPr>
      </w:pPr>
      <w:r>
        <w:rPr>
          <w:rFonts w:hint="eastAsia" w:ascii="宋体" w:hAnsi="宋体"/>
          <w:color w:val="000000" w:themeColor="text1"/>
          <w:sz w:val="21"/>
          <w:szCs w:val="21"/>
          <w:highlight w:val="none"/>
          <w14:textFill>
            <w14:solidFill>
              <w14:schemeClr w14:val="tx1"/>
            </w14:solidFill>
          </w14:textFill>
        </w:rPr>
        <w:t xml:space="preserve">                   日  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3769ED38">
      <w:pPr>
        <w:autoSpaceDE w:val="0"/>
        <w:autoSpaceDN w:val="0"/>
        <w:adjustRightInd w:val="0"/>
        <w:spacing w:line="360" w:lineRule="auto"/>
        <w:jc w:val="right"/>
        <w:rPr>
          <w:rFonts w:ascii="宋体" w:hAnsi="宋体" w:cs="宋体"/>
          <w:color w:val="000000" w:themeColor="text1"/>
          <w:sz w:val="21"/>
          <w:szCs w:val="21"/>
          <w:highlight w:val="none"/>
          <w:lang w:val="zh-CN"/>
          <w14:textFill>
            <w14:solidFill>
              <w14:schemeClr w14:val="tx1"/>
            </w14:solidFill>
          </w14:textFill>
        </w:rPr>
      </w:pPr>
    </w:p>
    <w:p w14:paraId="5D5BF203">
      <w:pPr>
        <w:autoSpaceDE w:val="0"/>
        <w:autoSpaceDN w:val="0"/>
        <w:adjustRightInd w:val="0"/>
        <w:snapToGrid w:val="0"/>
        <w:spacing w:line="240" w:lineRule="exact"/>
        <w:rPr>
          <w:rFonts w:ascii="宋体" w:hAnsi="宋体"/>
          <w:color w:val="000000" w:themeColor="text1"/>
          <w:highlight w:val="none"/>
          <w14:textFill>
            <w14:solidFill>
              <w14:schemeClr w14:val="tx1"/>
            </w14:solidFill>
          </w14:textFill>
        </w:rPr>
      </w:pPr>
    </w:p>
    <w:p w14:paraId="2B6A6B7A">
      <w:pPr>
        <w:rPr>
          <w:rFonts w:ascii="宋体" w:hAnsi="宋体"/>
          <w:color w:val="000000" w:themeColor="text1"/>
          <w:sz w:val="32"/>
          <w:szCs w:val="32"/>
          <w:highlight w:val="none"/>
          <w14:textFill>
            <w14:solidFill>
              <w14:schemeClr w14:val="tx1"/>
            </w14:solidFill>
          </w14:textFill>
        </w:rPr>
      </w:pPr>
    </w:p>
    <w:p w14:paraId="6EE620AB">
      <w:pPr>
        <w:spacing w:after="100" w:afterAutospacing="1"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69C4897D">
      <w:pPr>
        <w:rPr>
          <w:color w:val="000000" w:themeColor="text1"/>
          <w:highlight w:val="none"/>
          <w14:textFill>
            <w14:solidFill>
              <w14:schemeClr w14:val="tx1"/>
            </w14:solidFill>
          </w14:textFill>
        </w:rPr>
      </w:pPr>
    </w:p>
    <w:p w14:paraId="41D8B876">
      <w:pPr>
        <w:spacing w:after="100" w:afterAutospacing="1"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五、法定代表人授权委托书</w:t>
      </w:r>
    </w:p>
    <w:p w14:paraId="5594E343">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本授权委托书声明：</w:t>
      </w:r>
    </w:p>
    <w:p w14:paraId="08AB0AE4">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我</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（姓名）系</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（投标人名称）的法定代表人，现授权委托</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（姓名）为我公司代表，以</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（投标人名称）的名义参加</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本项目投标活动。</w:t>
      </w:r>
    </w:p>
    <w:p w14:paraId="76EF475E">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委托代理人在开标、评标、合同谈判过程中签署的一切文件和处理与之有关的一切事务，我均予以承认。</w:t>
      </w:r>
    </w:p>
    <w:p w14:paraId="2FDB660F">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委托代理人无转委托权。</w:t>
      </w:r>
    </w:p>
    <w:p w14:paraId="7CE48CEB">
      <w:pPr>
        <w:spacing w:line="360" w:lineRule="auto"/>
        <w:rPr>
          <w:rFonts w:ascii="宋体" w:hAnsi="宋体"/>
          <w:color w:val="000000" w:themeColor="text1"/>
          <w:sz w:val="21"/>
          <w:szCs w:val="21"/>
          <w:highlight w:val="none"/>
          <w14:textFill>
            <w14:solidFill>
              <w14:schemeClr w14:val="tx1"/>
            </w14:solidFill>
          </w14:textFill>
        </w:rPr>
      </w:pPr>
    </w:p>
    <w:p w14:paraId="3D30A27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特此委托。</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7"/>
      </w:tblGrid>
      <w:tr w14:paraId="18200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969" w:type="dxa"/>
          </w:tcPr>
          <w:p w14:paraId="6699B34D">
            <w:pPr>
              <w:spacing w:line="360" w:lineRule="auto"/>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附：委托代理人身份证复印件</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正反面）</w:t>
            </w:r>
          </w:p>
        </w:tc>
      </w:tr>
    </w:tbl>
    <w:p w14:paraId="5E65BBA5">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51C61C7A">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159C4A80">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3F9C0AFC">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14:paraId="35A2B9BB">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085431DF">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14:paraId="07FFD4EE">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3CDC40FA">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（签字）</w:t>
      </w:r>
    </w:p>
    <w:p w14:paraId="62D65A35">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56532FBE">
      <w:pPr>
        <w:autoSpaceDE w:val="0"/>
        <w:autoSpaceDN w:val="0"/>
        <w:adjustRightInd w:val="0"/>
        <w:snapToGrid w:val="0"/>
        <w:spacing w:line="249"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      期： </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3E04209F">
      <w:pPr>
        <w:autoSpaceDE w:val="0"/>
        <w:autoSpaceDN w:val="0"/>
        <w:adjustRightInd w:val="0"/>
        <w:snapToGrid w:val="0"/>
        <w:spacing w:line="249" w:lineRule="exact"/>
        <w:rPr>
          <w:rFonts w:ascii="宋体" w:hAnsi="宋体" w:cs="宋体"/>
          <w:color w:val="000000" w:themeColor="text1"/>
          <w:sz w:val="24"/>
          <w:highlight w:val="none"/>
          <w14:textFill>
            <w14:solidFill>
              <w14:schemeClr w14:val="tx1"/>
            </w14:solidFill>
          </w14:textFill>
        </w:rPr>
      </w:pPr>
    </w:p>
    <w:p w14:paraId="7D6140B7">
      <w:pPr>
        <w:rPr>
          <w:rFonts w:ascii="宋体" w:hAnsi="宋体"/>
          <w:b/>
          <w:color w:val="000000" w:themeColor="text1"/>
          <w:highlight w:val="none"/>
          <w14:textFill>
            <w14:solidFill>
              <w14:schemeClr w14:val="tx1"/>
            </w14:solidFill>
          </w14:textFill>
        </w:rPr>
      </w:pPr>
    </w:p>
    <w:p w14:paraId="4F75F6E4">
      <w:pPr>
        <w:rPr>
          <w:rFonts w:ascii="宋体" w:hAnsi="宋体" w:cs="仿宋_GB2312"/>
          <w:color w:val="000000" w:themeColor="text1"/>
          <w:spacing w:val="14"/>
          <w:sz w:val="32"/>
          <w:szCs w:val="32"/>
          <w:highlight w:val="none"/>
          <w14:textFill>
            <w14:solidFill>
              <w14:schemeClr w14:val="tx1"/>
            </w14:solidFill>
          </w14:textFill>
        </w:rPr>
      </w:pPr>
    </w:p>
    <w:p w14:paraId="4CDB59A9">
      <w:pPr>
        <w:jc w:val="center"/>
        <w:rPr>
          <w:color w:val="000000" w:themeColor="text1"/>
          <w:highlight w:val="none"/>
          <w14:textFill>
            <w14:solidFill>
              <w14:schemeClr w14:val="tx1"/>
            </w14:solidFill>
          </w14:textFill>
        </w:rPr>
      </w:pPr>
      <w:bookmarkStart w:id="77" w:name="_Toc201719190"/>
      <w:bookmarkStart w:id="78" w:name="_Toc455496977"/>
      <w:bookmarkStart w:id="79" w:name="_Toc455576013"/>
      <w:r>
        <w:rPr>
          <w:color w:val="000000" w:themeColor="text1"/>
          <w:highlight w:val="none"/>
          <w14:textFill>
            <w14:solidFill>
              <w14:schemeClr w14:val="tx1"/>
            </w14:solidFill>
          </w14:textFill>
        </w:rPr>
        <w:br w:type="page"/>
      </w:r>
      <w:bookmarkStart w:id="80" w:name="_Toc476591081"/>
    </w:p>
    <w:p w14:paraId="0B8797EA">
      <w:pPr>
        <w:jc w:val="center"/>
        <w:rPr>
          <w:color w:val="000000" w:themeColor="text1"/>
          <w:highlight w:val="none"/>
          <w14:textFill>
            <w14:solidFill>
              <w14:schemeClr w14:val="tx1"/>
            </w14:solidFill>
          </w14:textFill>
        </w:rPr>
      </w:pPr>
    </w:p>
    <w:p w14:paraId="2EB9FAAC">
      <w:pPr>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六、投标保证金</w:t>
      </w:r>
      <w:bookmarkEnd w:id="77"/>
      <w:bookmarkEnd w:id="78"/>
      <w:bookmarkEnd w:id="79"/>
      <w:bookmarkEnd w:id="80"/>
    </w:p>
    <w:p w14:paraId="0C56AF69">
      <w:pPr>
        <w:autoSpaceDE w:val="0"/>
        <w:autoSpaceDN w:val="0"/>
        <w:adjustRightInd w:val="0"/>
        <w:spacing w:line="400" w:lineRule="exact"/>
        <w:rPr>
          <w:rFonts w:ascii="宋体" w:hAnsi="宋体" w:cs="MS Sans Serif"/>
          <w:color w:val="000000" w:themeColor="text1"/>
          <w:szCs w:val="18"/>
          <w:highlight w:val="none"/>
          <w:u w:val="single"/>
          <w:lang w:val="zh-CN"/>
          <w14:textFill>
            <w14:solidFill>
              <w14:schemeClr w14:val="tx1"/>
            </w14:solidFill>
          </w14:textFill>
        </w:rPr>
      </w:pPr>
    </w:p>
    <w:p w14:paraId="2649B56A">
      <w:pPr>
        <w:spacing w:line="360" w:lineRule="auto"/>
        <w:ind w:firstLine="420" w:firstLineChars="200"/>
        <w:rPr>
          <w:rFonts w:ascii="宋体" w:hAnsi="宋体" w:cs="宋体"/>
          <w:bCs/>
          <w:sz w:val="21"/>
          <w:szCs w:val="21"/>
          <w:highlight w:val="none"/>
        </w:rPr>
      </w:pPr>
      <w:r>
        <w:rPr>
          <w:rFonts w:hint="eastAsia" w:ascii="宋体" w:hAnsi="宋体" w:cs="宋体"/>
          <w:bCs/>
          <w:sz w:val="21"/>
          <w:szCs w:val="21"/>
          <w:highlight w:val="none"/>
        </w:rPr>
        <w:t>根据长春市财政局发布的长财采购〔2021〕695 号文件要求，诚信记录良好的供应商不收取投标保证金，对于满足《中华人民共和国政府采购法》第二十二条有关规定，经“信用中国”网站查询存在行政处罚信息的供应商，采购人、采购代理机构可以按规定收取投标保证金。</w:t>
      </w:r>
    </w:p>
    <w:p w14:paraId="55A71DA4">
      <w:pPr>
        <w:spacing w:line="360" w:lineRule="auto"/>
        <w:rPr>
          <w:rFonts w:ascii="宋体" w:hAnsi="宋体" w:cs="宋体"/>
          <w:bCs/>
          <w:color w:val="000000"/>
          <w:szCs w:val="21"/>
          <w:highlight w:val="none"/>
          <w:lang w:val="zh-CN"/>
        </w:rPr>
      </w:pPr>
    </w:p>
    <w:p w14:paraId="0C781AF8">
      <w:pPr>
        <w:spacing w:before="240" w:beforeLines="100" w:after="120" w:afterLines="50" w:line="360" w:lineRule="auto"/>
        <w:ind w:firstLine="420" w:firstLineChars="200"/>
        <w:rPr>
          <w:rFonts w:ascii="宋体" w:hAnsi="宋体" w:cs="宋体"/>
          <w:bCs/>
          <w:sz w:val="24"/>
          <w:highlight w:val="none"/>
        </w:rPr>
      </w:pPr>
      <w:r>
        <w:rPr>
          <w:rFonts w:hint="eastAsia" w:ascii="宋体" w:hAnsi="宋体" w:cs="宋体"/>
          <w:sz w:val="21"/>
          <w:szCs w:val="21"/>
          <w:highlight w:val="none"/>
          <w:lang w:val="zh-CN"/>
        </w:rPr>
        <w:t>符合要求的供应商在投标文件中提供“信用中国”网站查询无行政处罚信息的证明材料。</w:t>
      </w:r>
    </w:p>
    <w:p w14:paraId="36C88D84">
      <w:pPr>
        <w:spacing w:before="240" w:beforeLines="100" w:after="120" w:afterLines="50" w:line="360" w:lineRule="auto"/>
        <w:ind w:firstLine="480" w:firstLineChars="200"/>
        <w:rPr>
          <w:rFonts w:ascii="宋体" w:hAnsi="宋体" w:cs="宋体"/>
          <w:bCs/>
          <w:sz w:val="24"/>
          <w:highlight w:val="none"/>
        </w:rPr>
      </w:pPr>
    </w:p>
    <w:p w14:paraId="4724FD02">
      <w:pPr>
        <w:spacing w:before="240" w:beforeLines="100" w:after="120" w:afterLines="50" w:line="360" w:lineRule="auto"/>
        <w:ind w:firstLine="480" w:firstLineChars="200"/>
        <w:rPr>
          <w:rFonts w:ascii="宋体" w:hAnsi="宋体" w:cs="宋体"/>
          <w:bCs/>
          <w:sz w:val="24"/>
          <w:highlight w:val="none"/>
        </w:rPr>
      </w:pPr>
    </w:p>
    <w:p w14:paraId="39B60A03">
      <w:pPr>
        <w:spacing w:before="240" w:beforeLines="100" w:after="120" w:afterLines="50" w:line="360" w:lineRule="auto"/>
        <w:ind w:firstLine="480" w:firstLineChars="200"/>
        <w:rPr>
          <w:rFonts w:ascii="宋体" w:hAnsi="宋体" w:cs="宋体"/>
          <w:bCs/>
          <w:sz w:val="24"/>
          <w:highlight w:val="none"/>
        </w:rPr>
      </w:pPr>
    </w:p>
    <w:p w14:paraId="60858BB8">
      <w:pPr>
        <w:spacing w:before="240" w:beforeLines="100" w:after="120" w:afterLines="50" w:line="360" w:lineRule="auto"/>
        <w:ind w:firstLine="480" w:firstLineChars="200"/>
        <w:rPr>
          <w:rFonts w:ascii="宋体" w:hAnsi="宋体" w:cs="宋体"/>
          <w:bCs/>
          <w:sz w:val="24"/>
          <w:highlight w:val="none"/>
        </w:rPr>
      </w:pPr>
    </w:p>
    <w:p w14:paraId="043F91B5">
      <w:pPr>
        <w:spacing w:before="240" w:beforeLines="100" w:after="120" w:afterLines="50" w:line="360" w:lineRule="auto"/>
        <w:ind w:firstLine="480" w:firstLineChars="200"/>
        <w:rPr>
          <w:rFonts w:ascii="宋体" w:hAnsi="宋体" w:cs="宋体"/>
          <w:bCs/>
          <w:sz w:val="24"/>
          <w:highlight w:val="none"/>
        </w:rPr>
      </w:pPr>
    </w:p>
    <w:p w14:paraId="2E9CAEA9">
      <w:pPr>
        <w:spacing w:before="240" w:beforeLines="100" w:after="120" w:afterLines="50" w:line="360" w:lineRule="auto"/>
        <w:ind w:firstLine="480" w:firstLineChars="200"/>
        <w:rPr>
          <w:rFonts w:ascii="宋体" w:hAnsi="宋体" w:cs="宋体"/>
          <w:bCs/>
          <w:sz w:val="24"/>
          <w:highlight w:val="none"/>
        </w:rPr>
      </w:pPr>
    </w:p>
    <w:p w14:paraId="2453C06F">
      <w:pPr>
        <w:spacing w:before="240" w:beforeLines="100" w:after="120" w:afterLines="50" w:line="360" w:lineRule="auto"/>
        <w:ind w:firstLine="480" w:firstLineChars="200"/>
        <w:rPr>
          <w:rFonts w:ascii="宋体" w:hAnsi="宋体" w:cs="宋体"/>
          <w:bCs/>
          <w:sz w:val="24"/>
          <w:highlight w:val="none"/>
        </w:rPr>
      </w:pPr>
    </w:p>
    <w:p w14:paraId="18492AAE">
      <w:pPr>
        <w:spacing w:before="240" w:beforeLines="100" w:after="120" w:afterLines="50" w:line="360" w:lineRule="auto"/>
        <w:ind w:firstLine="480" w:firstLineChars="200"/>
        <w:rPr>
          <w:rFonts w:ascii="宋体" w:hAnsi="宋体" w:cs="宋体"/>
          <w:bCs/>
          <w:sz w:val="24"/>
          <w:highlight w:val="none"/>
        </w:rPr>
      </w:pPr>
    </w:p>
    <w:p w14:paraId="49F9822D">
      <w:pPr>
        <w:spacing w:before="240" w:beforeLines="100" w:after="120" w:afterLines="50" w:line="360" w:lineRule="auto"/>
        <w:ind w:firstLine="480" w:firstLineChars="200"/>
        <w:rPr>
          <w:rFonts w:ascii="宋体" w:hAnsi="宋体" w:cs="宋体"/>
          <w:bCs/>
          <w:sz w:val="24"/>
          <w:highlight w:val="none"/>
        </w:rPr>
      </w:pPr>
    </w:p>
    <w:p w14:paraId="561D2E8D">
      <w:pPr>
        <w:spacing w:before="240" w:beforeLines="100" w:after="120" w:afterLines="50" w:line="360" w:lineRule="auto"/>
        <w:ind w:firstLine="480" w:firstLineChars="200"/>
        <w:rPr>
          <w:rFonts w:ascii="宋体" w:hAnsi="宋体" w:cs="宋体"/>
          <w:bCs/>
          <w:sz w:val="24"/>
          <w:highlight w:val="none"/>
        </w:rPr>
      </w:pPr>
    </w:p>
    <w:p w14:paraId="7E61A153">
      <w:pPr>
        <w:spacing w:before="240" w:beforeLines="100" w:after="120" w:afterLines="50" w:line="360" w:lineRule="auto"/>
        <w:ind w:firstLine="420" w:firstLineChars="200"/>
        <w:rPr>
          <w:rFonts w:ascii="宋体" w:hAnsi="宋体" w:cs="宋体"/>
          <w:sz w:val="21"/>
          <w:szCs w:val="21"/>
          <w:highlight w:val="none"/>
        </w:rPr>
      </w:pPr>
      <w:r>
        <w:rPr>
          <w:rFonts w:hint="eastAsia" w:ascii="宋体" w:hAnsi="宋体" w:cs="宋体"/>
          <w:bCs/>
          <w:sz w:val="21"/>
          <w:szCs w:val="21"/>
          <w:highlight w:val="none"/>
        </w:rPr>
        <w:t>注：后附</w:t>
      </w:r>
      <w:r>
        <w:rPr>
          <w:rFonts w:hint="eastAsia" w:ascii="宋体" w:hAnsi="宋体" w:cs="宋体"/>
          <w:bCs/>
          <w:sz w:val="21"/>
          <w:szCs w:val="21"/>
          <w:highlight w:val="none"/>
          <w:lang w:val="zh-CN"/>
        </w:rPr>
        <w:t>银行基本账户开户许可证或银行基本账户信息，</w:t>
      </w:r>
      <w:r>
        <w:rPr>
          <w:rFonts w:hint="eastAsia" w:ascii="宋体" w:hAnsi="宋体" w:cs="宋体"/>
          <w:bCs/>
          <w:sz w:val="21"/>
          <w:szCs w:val="21"/>
          <w:highlight w:val="none"/>
        </w:rPr>
        <w:t>如有投标</w:t>
      </w:r>
      <w:r>
        <w:rPr>
          <w:rFonts w:hint="eastAsia" w:ascii="宋体" w:hAnsi="宋体" w:cs="宋体"/>
          <w:bCs/>
          <w:sz w:val="21"/>
          <w:szCs w:val="21"/>
          <w:highlight w:val="none"/>
          <w:lang w:val="zh-CN"/>
        </w:rPr>
        <w:t>保证金（适用于存在行政处罚信息的供应商），</w:t>
      </w:r>
      <w:r>
        <w:rPr>
          <w:rFonts w:hint="eastAsia" w:ascii="宋体" w:hAnsi="宋体" w:cs="宋体"/>
          <w:bCs/>
          <w:sz w:val="21"/>
          <w:szCs w:val="21"/>
          <w:highlight w:val="none"/>
        </w:rPr>
        <w:t>提供</w:t>
      </w:r>
      <w:r>
        <w:rPr>
          <w:rFonts w:hint="eastAsia" w:ascii="宋体" w:hAnsi="宋体" w:cs="宋体"/>
          <w:bCs/>
          <w:sz w:val="21"/>
          <w:szCs w:val="21"/>
          <w:highlight w:val="none"/>
          <w:lang w:val="zh-CN"/>
        </w:rPr>
        <w:t>转账凭证</w:t>
      </w:r>
      <w:r>
        <w:rPr>
          <w:rFonts w:hint="eastAsia" w:ascii="宋体" w:hAnsi="宋体" w:cs="宋体"/>
          <w:bCs/>
          <w:sz w:val="21"/>
          <w:szCs w:val="21"/>
          <w:highlight w:val="none"/>
        </w:rPr>
        <w:t>复印件加盖公章。</w:t>
      </w:r>
    </w:p>
    <w:p w14:paraId="5B8B26BE">
      <w:pPr>
        <w:autoSpaceDE w:val="0"/>
        <w:autoSpaceDN w:val="0"/>
        <w:adjustRightInd w:val="0"/>
        <w:spacing w:line="400" w:lineRule="exact"/>
        <w:rPr>
          <w:rFonts w:ascii="宋体" w:hAnsi="宋体"/>
          <w:color w:val="000000" w:themeColor="text1"/>
          <w:szCs w:val="21"/>
          <w:highlight w:val="none"/>
          <w14:textFill>
            <w14:solidFill>
              <w14:schemeClr w14:val="tx1"/>
            </w14:solidFill>
          </w14:textFill>
        </w:rPr>
      </w:pPr>
    </w:p>
    <w:p w14:paraId="54629A1C">
      <w:pPr>
        <w:autoSpaceDE w:val="0"/>
        <w:autoSpaceDN w:val="0"/>
        <w:adjustRightInd w:val="0"/>
        <w:spacing w:line="400" w:lineRule="exact"/>
        <w:rPr>
          <w:rFonts w:ascii="宋体" w:hAnsi="宋体" w:cs="仿宋_GB2312"/>
          <w:color w:val="000000" w:themeColor="text1"/>
          <w:spacing w:val="14"/>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1B428F0C">
      <w:pPr>
        <w:autoSpaceDE w:val="0"/>
        <w:autoSpaceDN w:val="0"/>
        <w:adjustRightInd w:val="0"/>
        <w:spacing w:line="400" w:lineRule="exact"/>
        <w:rPr>
          <w:color w:val="000000" w:themeColor="text1"/>
          <w:highlight w:val="none"/>
          <w14:textFill>
            <w14:solidFill>
              <w14:schemeClr w14:val="tx1"/>
            </w14:solidFill>
          </w14:textFill>
        </w:rPr>
      </w:pPr>
      <w:r>
        <w:rPr>
          <w:rFonts w:hint="eastAsia" w:ascii="宋体" w:hAnsi="宋体" w:cs="MS Sans Serif"/>
          <w:bCs/>
          <w:color w:val="000000" w:themeColor="text1"/>
          <w:sz w:val="24"/>
          <w:highlight w:val="none"/>
          <w:lang w:val="zh-CN"/>
          <w14:textFill>
            <w14:solidFill>
              <w14:schemeClr w14:val="tx1"/>
            </w14:solidFill>
          </w14:textFill>
        </w:rPr>
        <w:t xml:space="preserve"> </w:t>
      </w:r>
    </w:p>
    <w:p w14:paraId="2488942A">
      <w:pPr>
        <w:numPr>
          <w:ilvl w:val="0"/>
          <w:numId w:val="11"/>
        </w:numPr>
        <w:spacing w:after="100" w:afterAutospacing="1"/>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资格审查资料</w:t>
      </w:r>
    </w:p>
    <w:p w14:paraId="34270513">
      <w:pPr>
        <w:adjustRightInd w:val="0"/>
        <w:snapToGrid w:val="0"/>
        <w:spacing w:line="300" w:lineRule="auto"/>
        <w:jc w:val="center"/>
        <w:outlineLvl w:val="0"/>
        <w:rPr>
          <w:rFonts w:ascii="宋体" w:hAnsi="宋体" w:cs="宋体"/>
          <w:b/>
          <w:bCs/>
          <w:sz w:val="24"/>
          <w:szCs w:val="24"/>
          <w:highlight w:val="none"/>
        </w:rPr>
      </w:pPr>
      <w:bookmarkStart w:id="81" w:name="_bookmark204"/>
      <w:bookmarkEnd w:id="81"/>
      <w:bookmarkStart w:id="82" w:name="_Toc4621"/>
      <w:r>
        <w:rPr>
          <w:rFonts w:hint="eastAsia" w:ascii="宋体" w:hAnsi="宋体" w:cs="宋体"/>
          <w:b/>
          <w:bCs/>
          <w:sz w:val="24"/>
          <w:szCs w:val="24"/>
          <w:highlight w:val="none"/>
        </w:rPr>
        <w:t>（一）基本情况表</w:t>
      </w:r>
      <w:bookmarkEnd w:id="82"/>
    </w:p>
    <w:tbl>
      <w:tblPr>
        <w:tblStyle w:val="4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2410"/>
      </w:tblGrid>
      <w:tr w14:paraId="34DD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50574A3">
            <w:pPr>
              <w:jc w:val="center"/>
              <w:rPr>
                <w:rFonts w:ascii="宋体" w:hAnsi="宋体" w:cs="宋体"/>
                <w:sz w:val="21"/>
                <w:szCs w:val="21"/>
                <w:highlight w:val="none"/>
              </w:rPr>
            </w:pPr>
            <w:r>
              <w:rPr>
                <w:rFonts w:hint="eastAsia" w:ascii="宋体" w:hAnsi="宋体" w:cs="宋体"/>
                <w:sz w:val="21"/>
                <w:szCs w:val="21"/>
                <w:highlight w:val="none"/>
              </w:rPr>
              <w:t>供应商名称</w:t>
            </w:r>
          </w:p>
        </w:tc>
        <w:tc>
          <w:tcPr>
            <w:tcW w:w="7305" w:type="dxa"/>
            <w:gridSpan w:val="7"/>
            <w:vAlign w:val="center"/>
          </w:tcPr>
          <w:p w14:paraId="3E6191DF">
            <w:pPr>
              <w:jc w:val="center"/>
              <w:rPr>
                <w:rFonts w:ascii="宋体" w:hAnsi="宋体" w:cs="宋体"/>
                <w:sz w:val="21"/>
                <w:szCs w:val="21"/>
                <w:highlight w:val="none"/>
              </w:rPr>
            </w:pPr>
          </w:p>
        </w:tc>
      </w:tr>
      <w:tr w14:paraId="57D7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1EF6C28">
            <w:pPr>
              <w:jc w:val="center"/>
              <w:rPr>
                <w:rFonts w:ascii="宋体" w:hAnsi="宋体" w:cs="宋体"/>
                <w:sz w:val="21"/>
                <w:szCs w:val="21"/>
                <w:highlight w:val="none"/>
              </w:rPr>
            </w:pPr>
            <w:r>
              <w:rPr>
                <w:rFonts w:hint="eastAsia" w:ascii="宋体" w:hAnsi="宋体" w:cs="宋体"/>
                <w:sz w:val="21"/>
                <w:szCs w:val="21"/>
                <w:highlight w:val="none"/>
              </w:rPr>
              <w:t>注册地址</w:t>
            </w:r>
          </w:p>
        </w:tc>
        <w:tc>
          <w:tcPr>
            <w:tcW w:w="3389" w:type="dxa"/>
            <w:gridSpan w:val="4"/>
            <w:vAlign w:val="center"/>
          </w:tcPr>
          <w:p w14:paraId="4498B3CE">
            <w:pPr>
              <w:jc w:val="center"/>
              <w:rPr>
                <w:rFonts w:ascii="宋体" w:hAnsi="宋体" w:cs="宋体"/>
                <w:sz w:val="21"/>
                <w:szCs w:val="21"/>
                <w:highlight w:val="none"/>
              </w:rPr>
            </w:pPr>
          </w:p>
        </w:tc>
        <w:tc>
          <w:tcPr>
            <w:tcW w:w="1246" w:type="dxa"/>
            <w:vAlign w:val="center"/>
          </w:tcPr>
          <w:p w14:paraId="1BC3DAE6">
            <w:pPr>
              <w:jc w:val="center"/>
              <w:rPr>
                <w:rFonts w:ascii="宋体" w:hAnsi="宋体" w:cs="宋体"/>
                <w:sz w:val="21"/>
                <w:szCs w:val="21"/>
                <w:highlight w:val="none"/>
              </w:rPr>
            </w:pPr>
            <w:r>
              <w:rPr>
                <w:rFonts w:hint="eastAsia" w:ascii="宋体" w:hAnsi="宋体" w:cs="宋体"/>
                <w:sz w:val="21"/>
                <w:szCs w:val="21"/>
                <w:highlight w:val="none"/>
              </w:rPr>
              <w:t>邮政编码</w:t>
            </w:r>
          </w:p>
        </w:tc>
        <w:tc>
          <w:tcPr>
            <w:tcW w:w="2670" w:type="dxa"/>
            <w:gridSpan w:val="2"/>
            <w:vAlign w:val="center"/>
          </w:tcPr>
          <w:p w14:paraId="12139B76">
            <w:pPr>
              <w:jc w:val="center"/>
              <w:rPr>
                <w:rFonts w:ascii="宋体" w:hAnsi="宋体" w:cs="宋体"/>
                <w:sz w:val="21"/>
                <w:szCs w:val="21"/>
                <w:highlight w:val="none"/>
              </w:rPr>
            </w:pPr>
          </w:p>
        </w:tc>
      </w:tr>
      <w:tr w14:paraId="29E5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5BE2EC53">
            <w:pPr>
              <w:jc w:val="center"/>
              <w:rPr>
                <w:rFonts w:ascii="宋体" w:hAnsi="宋体" w:cs="宋体"/>
                <w:sz w:val="21"/>
                <w:szCs w:val="21"/>
                <w:highlight w:val="none"/>
              </w:rPr>
            </w:pPr>
            <w:r>
              <w:rPr>
                <w:rFonts w:hint="eastAsia" w:ascii="宋体" w:hAnsi="宋体" w:cs="宋体"/>
                <w:sz w:val="21"/>
                <w:szCs w:val="21"/>
                <w:highlight w:val="none"/>
              </w:rPr>
              <w:t>联系方式</w:t>
            </w:r>
          </w:p>
        </w:tc>
        <w:tc>
          <w:tcPr>
            <w:tcW w:w="897" w:type="dxa"/>
            <w:vAlign w:val="center"/>
          </w:tcPr>
          <w:p w14:paraId="03D0CC7E">
            <w:pPr>
              <w:jc w:val="center"/>
              <w:rPr>
                <w:rFonts w:ascii="宋体" w:hAnsi="宋体" w:cs="宋体"/>
                <w:sz w:val="21"/>
                <w:szCs w:val="21"/>
                <w:highlight w:val="none"/>
              </w:rPr>
            </w:pPr>
            <w:r>
              <w:rPr>
                <w:rFonts w:hint="eastAsia" w:ascii="宋体" w:hAnsi="宋体" w:cs="宋体"/>
                <w:sz w:val="21"/>
                <w:szCs w:val="21"/>
                <w:highlight w:val="none"/>
              </w:rPr>
              <w:t>联系人</w:t>
            </w:r>
          </w:p>
        </w:tc>
        <w:tc>
          <w:tcPr>
            <w:tcW w:w="2492" w:type="dxa"/>
            <w:gridSpan w:val="3"/>
            <w:vAlign w:val="center"/>
          </w:tcPr>
          <w:p w14:paraId="407E0DA2">
            <w:pPr>
              <w:jc w:val="center"/>
              <w:rPr>
                <w:rFonts w:ascii="宋体" w:hAnsi="宋体" w:cs="宋体"/>
                <w:sz w:val="21"/>
                <w:szCs w:val="21"/>
                <w:highlight w:val="none"/>
              </w:rPr>
            </w:pPr>
          </w:p>
        </w:tc>
        <w:tc>
          <w:tcPr>
            <w:tcW w:w="1246" w:type="dxa"/>
            <w:vAlign w:val="center"/>
          </w:tcPr>
          <w:p w14:paraId="14343406">
            <w:pPr>
              <w:jc w:val="center"/>
              <w:rPr>
                <w:rFonts w:ascii="宋体" w:hAnsi="宋体" w:cs="宋体"/>
                <w:sz w:val="21"/>
                <w:szCs w:val="21"/>
                <w:highlight w:val="none"/>
              </w:rPr>
            </w:pPr>
            <w:r>
              <w:rPr>
                <w:rFonts w:hint="eastAsia" w:ascii="宋体" w:hAnsi="宋体" w:cs="宋体"/>
                <w:sz w:val="21"/>
                <w:szCs w:val="21"/>
                <w:highlight w:val="none"/>
              </w:rPr>
              <w:t>电  话</w:t>
            </w:r>
          </w:p>
        </w:tc>
        <w:tc>
          <w:tcPr>
            <w:tcW w:w="2670" w:type="dxa"/>
            <w:gridSpan w:val="2"/>
            <w:vAlign w:val="center"/>
          </w:tcPr>
          <w:p w14:paraId="1A914763">
            <w:pPr>
              <w:jc w:val="center"/>
              <w:rPr>
                <w:rFonts w:ascii="宋体" w:hAnsi="宋体" w:cs="宋体"/>
                <w:sz w:val="21"/>
                <w:szCs w:val="21"/>
                <w:highlight w:val="none"/>
              </w:rPr>
            </w:pPr>
          </w:p>
        </w:tc>
      </w:tr>
      <w:tr w14:paraId="7DE0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2F28E618">
            <w:pPr>
              <w:jc w:val="center"/>
              <w:rPr>
                <w:rFonts w:ascii="宋体" w:hAnsi="宋体" w:cs="宋体"/>
                <w:sz w:val="21"/>
                <w:szCs w:val="21"/>
                <w:highlight w:val="none"/>
              </w:rPr>
            </w:pPr>
          </w:p>
        </w:tc>
        <w:tc>
          <w:tcPr>
            <w:tcW w:w="897" w:type="dxa"/>
            <w:vAlign w:val="center"/>
          </w:tcPr>
          <w:p w14:paraId="25577DDB">
            <w:pPr>
              <w:jc w:val="center"/>
              <w:rPr>
                <w:rFonts w:ascii="宋体" w:hAnsi="宋体" w:cs="宋体"/>
                <w:sz w:val="21"/>
                <w:szCs w:val="21"/>
                <w:highlight w:val="none"/>
              </w:rPr>
            </w:pPr>
            <w:r>
              <w:rPr>
                <w:rFonts w:hint="eastAsia" w:ascii="宋体" w:hAnsi="宋体" w:cs="宋体"/>
                <w:sz w:val="21"/>
                <w:szCs w:val="21"/>
                <w:highlight w:val="none"/>
              </w:rPr>
              <w:t>传  真</w:t>
            </w:r>
          </w:p>
        </w:tc>
        <w:tc>
          <w:tcPr>
            <w:tcW w:w="2492" w:type="dxa"/>
            <w:gridSpan w:val="3"/>
            <w:vAlign w:val="center"/>
          </w:tcPr>
          <w:p w14:paraId="44EA1A7D">
            <w:pPr>
              <w:jc w:val="center"/>
              <w:rPr>
                <w:rFonts w:ascii="宋体" w:hAnsi="宋体" w:cs="宋体"/>
                <w:sz w:val="21"/>
                <w:szCs w:val="21"/>
                <w:highlight w:val="none"/>
              </w:rPr>
            </w:pPr>
          </w:p>
        </w:tc>
        <w:tc>
          <w:tcPr>
            <w:tcW w:w="1246" w:type="dxa"/>
            <w:vAlign w:val="center"/>
          </w:tcPr>
          <w:p w14:paraId="73B8D891">
            <w:pPr>
              <w:jc w:val="center"/>
              <w:rPr>
                <w:rFonts w:ascii="宋体" w:hAnsi="宋体" w:cs="宋体"/>
                <w:sz w:val="21"/>
                <w:szCs w:val="21"/>
                <w:highlight w:val="none"/>
              </w:rPr>
            </w:pPr>
            <w:r>
              <w:rPr>
                <w:rFonts w:hint="eastAsia" w:ascii="宋体" w:hAnsi="宋体" w:cs="宋体"/>
                <w:sz w:val="21"/>
                <w:szCs w:val="21"/>
                <w:highlight w:val="none"/>
              </w:rPr>
              <w:t>网  址</w:t>
            </w:r>
          </w:p>
        </w:tc>
        <w:tc>
          <w:tcPr>
            <w:tcW w:w="2670" w:type="dxa"/>
            <w:gridSpan w:val="2"/>
            <w:vAlign w:val="center"/>
          </w:tcPr>
          <w:p w14:paraId="0B029710">
            <w:pPr>
              <w:jc w:val="center"/>
              <w:rPr>
                <w:rFonts w:ascii="宋体" w:hAnsi="宋体" w:cs="宋体"/>
                <w:sz w:val="21"/>
                <w:szCs w:val="21"/>
                <w:highlight w:val="none"/>
              </w:rPr>
            </w:pPr>
          </w:p>
        </w:tc>
      </w:tr>
      <w:tr w14:paraId="418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B26DD32">
            <w:pPr>
              <w:jc w:val="center"/>
              <w:rPr>
                <w:rFonts w:ascii="宋体" w:hAnsi="宋体" w:cs="宋体"/>
                <w:sz w:val="21"/>
                <w:szCs w:val="21"/>
                <w:highlight w:val="none"/>
              </w:rPr>
            </w:pPr>
            <w:r>
              <w:rPr>
                <w:rFonts w:hint="eastAsia" w:ascii="宋体" w:hAnsi="宋体" w:cs="宋体"/>
                <w:sz w:val="21"/>
                <w:szCs w:val="21"/>
                <w:highlight w:val="none"/>
              </w:rPr>
              <w:t>组织结构</w:t>
            </w:r>
          </w:p>
        </w:tc>
        <w:tc>
          <w:tcPr>
            <w:tcW w:w="7305" w:type="dxa"/>
            <w:gridSpan w:val="7"/>
            <w:vAlign w:val="center"/>
          </w:tcPr>
          <w:p w14:paraId="41C71D67">
            <w:pPr>
              <w:jc w:val="center"/>
              <w:rPr>
                <w:rFonts w:ascii="宋体" w:hAnsi="宋体" w:cs="宋体"/>
                <w:sz w:val="21"/>
                <w:szCs w:val="21"/>
                <w:highlight w:val="none"/>
              </w:rPr>
            </w:pPr>
          </w:p>
        </w:tc>
      </w:tr>
      <w:tr w14:paraId="581C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F209E5D">
            <w:pPr>
              <w:jc w:val="center"/>
              <w:rPr>
                <w:rFonts w:ascii="宋体" w:hAnsi="宋体" w:cs="宋体"/>
                <w:sz w:val="21"/>
                <w:szCs w:val="21"/>
                <w:highlight w:val="none"/>
              </w:rPr>
            </w:pPr>
            <w:r>
              <w:rPr>
                <w:rFonts w:hint="eastAsia" w:ascii="宋体" w:hAnsi="宋体" w:cs="宋体"/>
                <w:sz w:val="21"/>
                <w:szCs w:val="21"/>
                <w:highlight w:val="none"/>
              </w:rPr>
              <w:t>法定代表人</w:t>
            </w:r>
          </w:p>
        </w:tc>
        <w:tc>
          <w:tcPr>
            <w:tcW w:w="897" w:type="dxa"/>
            <w:vAlign w:val="center"/>
          </w:tcPr>
          <w:p w14:paraId="72BED20F">
            <w:pPr>
              <w:jc w:val="center"/>
              <w:rPr>
                <w:rFonts w:ascii="宋体" w:hAnsi="宋体" w:cs="宋体"/>
                <w:sz w:val="21"/>
                <w:szCs w:val="21"/>
                <w:highlight w:val="none"/>
              </w:rPr>
            </w:pPr>
            <w:r>
              <w:rPr>
                <w:rFonts w:hint="eastAsia" w:ascii="宋体" w:hAnsi="宋体" w:cs="宋体"/>
                <w:sz w:val="21"/>
                <w:szCs w:val="21"/>
                <w:highlight w:val="none"/>
              </w:rPr>
              <w:t>姓名</w:t>
            </w:r>
          </w:p>
        </w:tc>
        <w:tc>
          <w:tcPr>
            <w:tcW w:w="2297" w:type="dxa"/>
            <w:gridSpan w:val="2"/>
            <w:vAlign w:val="center"/>
          </w:tcPr>
          <w:p w14:paraId="66220E92">
            <w:pPr>
              <w:jc w:val="center"/>
              <w:rPr>
                <w:rFonts w:ascii="宋体" w:hAnsi="宋体" w:cs="宋体"/>
                <w:sz w:val="21"/>
                <w:szCs w:val="21"/>
                <w:highlight w:val="none"/>
              </w:rPr>
            </w:pPr>
          </w:p>
        </w:tc>
        <w:tc>
          <w:tcPr>
            <w:tcW w:w="1701" w:type="dxa"/>
            <w:gridSpan w:val="3"/>
            <w:vAlign w:val="center"/>
          </w:tcPr>
          <w:p w14:paraId="163101B8">
            <w:pPr>
              <w:jc w:val="center"/>
              <w:rPr>
                <w:rFonts w:ascii="宋体" w:hAnsi="宋体" w:cs="宋体"/>
                <w:kern w:val="2"/>
                <w:sz w:val="21"/>
                <w:szCs w:val="21"/>
                <w:highlight w:val="none"/>
              </w:rPr>
            </w:pPr>
            <w:r>
              <w:rPr>
                <w:rFonts w:hint="eastAsia" w:ascii="宋体" w:hAnsi="宋体" w:cs="宋体"/>
                <w:sz w:val="21"/>
                <w:szCs w:val="21"/>
                <w:highlight w:val="none"/>
              </w:rPr>
              <w:t>电话</w:t>
            </w:r>
          </w:p>
        </w:tc>
        <w:tc>
          <w:tcPr>
            <w:tcW w:w="2410" w:type="dxa"/>
            <w:vAlign w:val="center"/>
          </w:tcPr>
          <w:p w14:paraId="747415AA">
            <w:pPr>
              <w:jc w:val="center"/>
              <w:rPr>
                <w:rFonts w:ascii="宋体" w:hAnsi="宋体" w:cs="宋体"/>
                <w:sz w:val="21"/>
                <w:szCs w:val="21"/>
                <w:highlight w:val="none"/>
              </w:rPr>
            </w:pPr>
          </w:p>
        </w:tc>
      </w:tr>
      <w:tr w14:paraId="3840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C14E403">
            <w:pPr>
              <w:jc w:val="center"/>
              <w:rPr>
                <w:rFonts w:ascii="宋体" w:hAnsi="宋体" w:cs="宋体"/>
                <w:sz w:val="21"/>
                <w:szCs w:val="21"/>
                <w:highlight w:val="none"/>
              </w:rPr>
            </w:pPr>
            <w:r>
              <w:rPr>
                <w:rFonts w:hint="eastAsia" w:ascii="宋体" w:hAnsi="宋体" w:cs="宋体"/>
                <w:sz w:val="21"/>
                <w:szCs w:val="21"/>
                <w:highlight w:val="none"/>
              </w:rPr>
              <w:t>成立时间</w:t>
            </w:r>
          </w:p>
        </w:tc>
        <w:tc>
          <w:tcPr>
            <w:tcW w:w="1918" w:type="dxa"/>
            <w:gridSpan w:val="2"/>
            <w:vAlign w:val="center"/>
          </w:tcPr>
          <w:p w14:paraId="62CD0AC7">
            <w:pPr>
              <w:jc w:val="center"/>
              <w:rPr>
                <w:rFonts w:ascii="宋体" w:hAnsi="宋体" w:cs="宋体"/>
                <w:sz w:val="21"/>
                <w:szCs w:val="21"/>
                <w:highlight w:val="none"/>
              </w:rPr>
            </w:pPr>
          </w:p>
        </w:tc>
        <w:tc>
          <w:tcPr>
            <w:tcW w:w="5387" w:type="dxa"/>
            <w:gridSpan w:val="5"/>
            <w:vAlign w:val="center"/>
          </w:tcPr>
          <w:p w14:paraId="024E4FB1">
            <w:pPr>
              <w:jc w:val="both"/>
              <w:rPr>
                <w:rFonts w:ascii="宋体" w:hAnsi="宋体" w:cs="宋体"/>
                <w:sz w:val="21"/>
                <w:szCs w:val="21"/>
                <w:highlight w:val="none"/>
              </w:rPr>
            </w:pPr>
            <w:r>
              <w:rPr>
                <w:rFonts w:hint="eastAsia" w:ascii="宋体" w:hAnsi="宋体" w:cs="宋体"/>
                <w:sz w:val="21"/>
                <w:szCs w:val="21"/>
                <w:highlight w:val="none"/>
              </w:rPr>
              <w:t>员工总人数：              技术人员：</w:t>
            </w:r>
          </w:p>
        </w:tc>
      </w:tr>
      <w:tr w14:paraId="55AE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D656EB3">
            <w:pPr>
              <w:jc w:val="center"/>
              <w:rPr>
                <w:rFonts w:ascii="宋体" w:hAnsi="宋体" w:cs="宋体"/>
                <w:sz w:val="21"/>
                <w:szCs w:val="21"/>
                <w:highlight w:val="none"/>
              </w:rPr>
            </w:pPr>
            <w:r>
              <w:rPr>
                <w:rFonts w:hint="eastAsia" w:ascii="宋体" w:hAnsi="宋体" w:cs="宋体"/>
                <w:sz w:val="21"/>
                <w:szCs w:val="21"/>
                <w:highlight w:val="none"/>
              </w:rPr>
              <w:t>营业执照号</w:t>
            </w:r>
          </w:p>
        </w:tc>
        <w:tc>
          <w:tcPr>
            <w:tcW w:w="7305" w:type="dxa"/>
            <w:gridSpan w:val="7"/>
            <w:vAlign w:val="center"/>
          </w:tcPr>
          <w:p w14:paraId="67DF241F">
            <w:pPr>
              <w:jc w:val="center"/>
              <w:rPr>
                <w:rFonts w:ascii="宋体" w:hAnsi="宋体" w:cs="宋体"/>
                <w:sz w:val="21"/>
                <w:szCs w:val="21"/>
                <w:highlight w:val="none"/>
              </w:rPr>
            </w:pPr>
          </w:p>
        </w:tc>
      </w:tr>
      <w:tr w14:paraId="45DE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DC59773">
            <w:pPr>
              <w:jc w:val="center"/>
              <w:rPr>
                <w:rFonts w:ascii="宋体" w:hAnsi="宋体" w:cs="宋体"/>
                <w:sz w:val="21"/>
                <w:szCs w:val="21"/>
                <w:highlight w:val="none"/>
              </w:rPr>
            </w:pPr>
            <w:r>
              <w:rPr>
                <w:rFonts w:hint="eastAsia" w:ascii="宋体" w:hAnsi="宋体" w:cs="宋体"/>
                <w:sz w:val="21"/>
                <w:szCs w:val="21"/>
                <w:highlight w:val="none"/>
              </w:rPr>
              <w:t>注册资金</w:t>
            </w:r>
          </w:p>
        </w:tc>
        <w:tc>
          <w:tcPr>
            <w:tcW w:w="7305" w:type="dxa"/>
            <w:gridSpan w:val="7"/>
            <w:vAlign w:val="center"/>
          </w:tcPr>
          <w:p w14:paraId="7DCE14EE">
            <w:pPr>
              <w:jc w:val="center"/>
              <w:rPr>
                <w:rFonts w:ascii="宋体" w:hAnsi="宋体" w:cs="宋体"/>
                <w:sz w:val="21"/>
                <w:szCs w:val="21"/>
                <w:highlight w:val="none"/>
              </w:rPr>
            </w:pPr>
          </w:p>
        </w:tc>
      </w:tr>
      <w:tr w14:paraId="59D9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888484F">
            <w:pPr>
              <w:jc w:val="center"/>
              <w:rPr>
                <w:rFonts w:ascii="宋体" w:hAnsi="宋体" w:cs="宋体"/>
                <w:sz w:val="21"/>
                <w:szCs w:val="21"/>
                <w:highlight w:val="none"/>
              </w:rPr>
            </w:pPr>
            <w:r>
              <w:rPr>
                <w:rFonts w:hint="eastAsia" w:ascii="宋体" w:hAnsi="宋体" w:cs="宋体"/>
                <w:sz w:val="21"/>
                <w:szCs w:val="21"/>
                <w:highlight w:val="none"/>
              </w:rPr>
              <w:t>开户银行</w:t>
            </w:r>
          </w:p>
        </w:tc>
        <w:tc>
          <w:tcPr>
            <w:tcW w:w="7305" w:type="dxa"/>
            <w:gridSpan w:val="7"/>
            <w:vAlign w:val="center"/>
          </w:tcPr>
          <w:p w14:paraId="18BC219F">
            <w:pPr>
              <w:jc w:val="center"/>
              <w:rPr>
                <w:rFonts w:ascii="宋体" w:hAnsi="宋体" w:cs="宋体"/>
                <w:sz w:val="21"/>
                <w:szCs w:val="21"/>
                <w:highlight w:val="none"/>
              </w:rPr>
            </w:pPr>
          </w:p>
        </w:tc>
      </w:tr>
      <w:tr w14:paraId="763F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EB80F5F">
            <w:pPr>
              <w:jc w:val="center"/>
              <w:rPr>
                <w:rFonts w:ascii="宋体" w:hAnsi="宋体" w:cs="宋体"/>
                <w:sz w:val="21"/>
                <w:szCs w:val="21"/>
                <w:highlight w:val="none"/>
              </w:rPr>
            </w:pPr>
            <w:r>
              <w:rPr>
                <w:rFonts w:hint="eastAsia" w:ascii="宋体" w:hAnsi="宋体" w:cs="宋体"/>
                <w:sz w:val="21"/>
                <w:szCs w:val="21"/>
                <w:highlight w:val="none"/>
              </w:rPr>
              <w:t>账号</w:t>
            </w:r>
          </w:p>
        </w:tc>
        <w:tc>
          <w:tcPr>
            <w:tcW w:w="7305" w:type="dxa"/>
            <w:gridSpan w:val="7"/>
            <w:vAlign w:val="center"/>
          </w:tcPr>
          <w:p w14:paraId="0DFF649B">
            <w:pPr>
              <w:jc w:val="center"/>
              <w:rPr>
                <w:rFonts w:ascii="宋体" w:hAnsi="宋体" w:cs="宋体"/>
                <w:sz w:val="21"/>
                <w:szCs w:val="21"/>
                <w:highlight w:val="none"/>
              </w:rPr>
            </w:pPr>
          </w:p>
        </w:tc>
      </w:tr>
      <w:tr w14:paraId="2F1A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2A49738C">
            <w:pPr>
              <w:jc w:val="center"/>
              <w:rPr>
                <w:rFonts w:ascii="宋体" w:hAnsi="宋体" w:cs="宋体"/>
                <w:sz w:val="21"/>
                <w:szCs w:val="21"/>
                <w:highlight w:val="none"/>
              </w:rPr>
            </w:pPr>
            <w:r>
              <w:rPr>
                <w:rFonts w:hint="eastAsia" w:ascii="宋体" w:hAnsi="宋体" w:cs="宋体"/>
                <w:sz w:val="21"/>
                <w:szCs w:val="21"/>
                <w:highlight w:val="none"/>
              </w:rPr>
              <w:t>经营范围</w:t>
            </w:r>
          </w:p>
        </w:tc>
        <w:tc>
          <w:tcPr>
            <w:tcW w:w="7305" w:type="dxa"/>
            <w:gridSpan w:val="7"/>
            <w:vAlign w:val="center"/>
          </w:tcPr>
          <w:p w14:paraId="2A1D4D44">
            <w:pPr>
              <w:jc w:val="center"/>
              <w:rPr>
                <w:rFonts w:ascii="宋体" w:hAnsi="宋体" w:cs="宋体"/>
                <w:sz w:val="21"/>
                <w:szCs w:val="21"/>
                <w:highlight w:val="none"/>
              </w:rPr>
            </w:pPr>
          </w:p>
        </w:tc>
      </w:tr>
      <w:tr w14:paraId="6639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F5C7554">
            <w:pPr>
              <w:jc w:val="center"/>
              <w:rPr>
                <w:rFonts w:ascii="宋体" w:hAnsi="宋体" w:cs="宋体"/>
                <w:sz w:val="21"/>
                <w:szCs w:val="21"/>
                <w:highlight w:val="none"/>
              </w:rPr>
            </w:pPr>
            <w:r>
              <w:rPr>
                <w:rFonts w:hint="eastAsia" w:ascii="宋体" w:hAnsi="宋体" w:cs="宋体"/>
                <w:sz w:val="21"/>
                <w:szCs w:val="21"/>
                <w:highlight w:val="none"/>
              </w:rPr>
              <w:t>备注</w:t>
            </w:r>
          </w:p>
        </w:tc>
        <w:tc>
          <w:tcPr>
            <w:tcW w:w="7305" w:type="dxa"/>
            <w:gridSpan w:val="7"/>
            <w:vAlign w:val="center"/>
          </w:tcPr>
          <w:p w14:paraId="1E783A2B">
            <w:pPr>
              <w:jc w:val="center"/>
              <w:rPr>
                <w:rFonts w:ascii="宋体" w:hAnsi="宋体" w:cs="宋体"/>
                <w:sz w:val="21"/>
                <w:szCs w:val="21"/>
                <w:highlight w:val="none"/>
              </w:rPr>
            </w:pPr>
          </w:p>
        </w:tc>
      </w:tr>
    </w:tbl>
    <w:p w14:paraId="19C71C5E">
      <w:pPr>
        <w:pStyle w:val="17"/>
        <w:wordWrap w:val="0"/>
        <w:spacing w:before="74" w:line="331" w:lineRule="auto"/>
        <w:ind w:left="240"/>
        <w:rPr>
          <w:rFonts w:ascii="宋体" w:hAnsi="宋体" w:cs="宋体"/>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highlight w:val="none"/>
          <w14:textFill>
            <w14:solidFill>
              <w14:schemeClr w14:val="tx1"/>
            </w14:solidFill>
          </w14:textFill>
        </w:rPr>
        <w:t>注：</w:t>
      </w:r>
      <w:r>
        <w:rPr>
          <w:rFonts w:hint="eastAsia" w:cs="宋体"/>
          <w:spacing w:val="-5"/>
          <w:highlight w:val="none"/>
        </w:rPr>
        <w:t>后附营业执照、医疗器械相关证书或凭证等</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 xml:space="preserve">。 </w:t>
      </w:r>
    </w:p>
    <w:p w14:paraId="14EE6F5A">
      <w:pPr>
        <w:rPr>
          <w:color w:val="000000" w:themeColor="text1"/>
          <w:highlight w:val="none"/>
          <w14:textFill>
            <w14:solidFill>
              <w14:schemeClr w14:val="tx1"/>
            </w14:solidFill>
          </w14:textFill>
        </w:rPr>
      </w:pPr>
    </w:p>
    <w:p w14:paraId="09641662">
      <w:pPr>
        <w:adjustRightInd w:val="0"/>
        <w:snapToGrid w:val="0"/>
        <w:spacing w:line="300" w:lineRule="auto"/>
        <w:jc w:val="center"/>
        <w:outlineLvl w:val="0"/>
        <w:rPr>
          <w:rFonts w:ascii="宋体" w:hAnsi="宋体" w:cs="宋体"/>
          <w:b/>
          <w:bCs/>
          <w:sz w:val="32"/>
          <w:szCs w:val="32"/>
          <w:highlight w:val="none"/>
        </w:rPr>
      </w:pPr>
      <w:r>
        <w:rPr>
          <w:rFonts w:hint="eastAsia" w:ascii="宋体" w:hAnsi="宋体" w:cs="宋体"/>
          <w:b/>
          <w:color w:val="000000" w:themeColor="text1"/>
          <w:sz w:val="32"/>
          <w:szCs w:val="32"/>
          <w:highlight w:val="none"/>
          <w14:textFill>
            <w14:solidFill>
              <w14:schemeClr w14:val="tx1"/>
            </w14:solidFill>
          </w14:textFill>
        </w:rPr>
        <w:br w:type="page"/>
      </w:r>
      <w:r>
        <w:rPr>
          <w:rFonts w:hint="eastAsia" w:ascii="宋体" w:hAnsi="宋体" w:cs="宋体"/>
          <w:b/>
          <w:bCs/>
          <w:sz w:val="32"/>
          <w:szCs w:val="32"/>
          <w:highlight w:val="none"/>
        </w:rPr>
        <w:t>（</w:t>
      </w:r>
      <w:r>
        <w:rPr>
          <w:rFonts w:hint="eastAsia" w:cs="宋体"/>
          <w:b/>
          <w:bCs/>
          <w:sz w:val="32"/>
          <w:szCs w:val="32"/>
          <w:highlight w:val="none"/>
        </w:rPr>
        <w:t>二</w:t>
      </w:r>
      <w:r>
        <w:rPr>
          <w:rFonts w:hint="eastAsia" w:ascii="宋体" w:hAnsi="宋体" w:cs="宋体"/>
          <w:b/>
          <w:bCs/>
          <w:sz w:val="32"/>
          <w:szCs w:val="32"/>
          <w:highlight w:val="none"/>
        </w:rPr>
        <w:t>）</w:t>
      </w:r>
      <w:r>
        <w:rPr>
          <w:rFonts w:hint="eastAsia" w:cs="宋体"/>
          <w:b/>
          <w:bCs/>
          <w:sz w:val="32"/>
          <w:szCs w:val="32"/>
          <w:highlight w:val="none"/>
        </w:rPr>
        <w:t>资格条件承诺函</w:t>
      </w:r>
    </w:p>
    <w:p w14:paraId="17492DF4">
      <w:pPr>
        <w:spacing w:line="360" w:lineRule="auto"/>
        <w:rPr>
          <w:rFonts w:ascii="宋体" w:hAnsi="宋体" w:cs="宋体"/>
          <w:sz w:val="21"/>
          <w:szCs w:val="21"/>
          <w:highlight w:val="none"/>
        </w:rPr>
      </w:pPr>
      <w:bookmarkStart w:id="83" w:name="_bookmark206"/>
      <w:bookmarkEnd w:id="83"/>
    </w:p>
    <w:p w14:paraId="73137331">
      <w:pPr>
        <w:spacing w:line="480" w:lineRule="auto"/>
        <w:rPr>
          <w:rFonts w:ascii="宋体" w:hAnsi="宋体" w:cs="宋体"/>
          <w:sz w:val="21"/>
          <w:szCs w:val="21"/>
          <w:highlight w:val="none"/>
        </w:rPr>
      </w:pPr>
      <w:r>
        <w:rPr>
          <w:rFonts w:hint="eastAsia" w:ascii="宋体" w:hAnsi="宋体" w:cs="宋体"/>
          <w:sz w:val="21"/>
          <w:szCs w:val="21"/>
          <w:highlight w:val="none"/>
        </w:rPr>
        <w:t>致：</w:t>
      </w:r>
      <w:r>
        <w:rPr>
          <w:rFonts w:hint="eastAsia" w:ascii="宋体" w:hAnsi="宋体" w:cs="宋体"/>
          <w:sz w:val="21"/>
          <w:szCs w:val="21"/>
          <w:highlight w:val="none"/>
          <w:u w:val="single"/>
        </w:rPr>
        <w:t>（采购人、采购代理机构）</w:t>
      </w:r>
      <w:r>
        <w:rPr>
          <w:rFonts w:hint="eastAsia" w:ascii="宋体" w:hAnsi="宋体" w:cs="宋体"/>
          <w:sz w:val="21"/>
          <w:szCs w:val="21"/>
          <w:highlight w:val="none"/>
        </w:rPr>
        <w:t>:</w:t>
      </w:r>
    </w:p>
    <w:p w14:paraId="20F096E8">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我单位</w:t>
      </w:r>
      <w:r>
        <w:rPr>
          <w:rFonts w:hint="eastAsia" w:cs="宋体"/>
          <w:sz w:val="21"/>
          <w:szCs w:val="21"/>
          <w:highlight w:val="none"/>
          <w:u w:val="single"/>
        </w:rPr>
        <w:t xml:space="preserve">    </w:t>
      </w:r>
      <w:r>
        <w:rPr>
          <w:rFonts w:hint="eastAsia" w:ascii="宋体" w:hAnsi="宋体" w:cs="宋体"/>
          <w:sz w:val="21"/>
          <w:szCs w:val="21"/>
          <w:highlight w:val="none"/>
          <w:u w:val="single"/>
        </w:rPr>
        <w:t>（公司）</w:t>
      </w:r>
      <w:r>
        <w:rPr>
          <w:rFonts w:hint="eastAsia" w:cs="宋体"/>
          <w:sz w:val="21"/>
          <w:szCs w:val="21"/>
          <w:highlight w:val="none"/>
          <w:u w:val="single"/>
        </w:rPr>
        <w:t xml:space="preserve">   </w:t>
      </w:r>
      <w:r>
        <w:rPr>
          <w:rFonts w:hint="eastAsia" w:ascii="宋体" w:hAnsi="宋体" w:cs="宋体"/>
          <w:sz w:val="21"/>
          <w:szCs w:val="21"/>
          <w:highlight w:val="none"/>
        </w:rPr>
        <w:t>参与</w:t>
      </w:r>
      <w:r>
        <w:rPr>
          <w:rFonts w:hint="eastAsia" w:ascii="宋体" w:hAnsi="宋体" w:cs="宋体"/>
          <w:sz w:val="21"/>
          <w:szCs w:val="21"/>
          <w:highlight w:val="none"/>
          <w:u w:val="single"/>
        </w:rPr>
        <w:t>（采购项目名称</w:t>
      </w:r>
      <w:r>
        <w:rPr>
          <w:rFonts w:hint="eastAsia" w:cs="宋体"/>
          <w:sz w:val="21"/>
          <w:szCs w:val="21"/>
          <w:highlight w:val="none"/>
          <w:u w:val="single"/>
        </w:rPr>
        <w:t xml:space="preserve">  </w:t>
      </w:r>
      <w:r>
        <w:rPr>
          <w:rFonts w:hint="eastAsia" w:ascii="宋体" w:hAnsi="宋体" w:cs="宋体"/>
          <w:sz w:val="21"/>
          <w:szCs w:val="21"/>
          <w:highlight w:val="none"/>
          <w:u w:val="single"/>
        </w:rPr>
        <w:t>项目编号）</w:t>
      </w:r>
      <w:r>
        <w:rPr>
          <w:rFonts w:hint="eastAsia" w:ascii="宋体" w:hAnsi="宋体" w:cs="宋体"/>
          <w:sz w:val="21"/>
          <w:szCs w:val="21"/>
          <w:highlight w:val="none"/>
        </w:rPr>
        <w:t>采购项目的政府采购活动，现承诺如下：</w:t>
      </w:r>
    </w:p>
    <w:p w14:paraId="0D775D4F">
      <w:pPr>
        <w:spacing w:line="480" w:lineRule="auto"/>
        <w:ind w:firstLine="420" w:firstLineChars="200"/>
        <w:rPr>
          <w:rFonts w:ascii="宋体" w:hAnsi="宋体" w:cs="宋体"/>
          <w:sz w:val="21"/>
          <w:szCs w:val="21"/>
          <w:highlight w:val="none"/>
        </w:rPr>
      </w:pPr>
      <w:r>
        <w:rPr>
          <w:rFonts w:hint="eastAsia" w:cs="宋体"/>
          <w:sz w:val="21"/>
          <w:szCs w:val="21"/>
          <w:highlight w:val="none"/>
        </w:rPr>
        <w:t>1.</w:t>
      </w:r>
      <w:r>
        <w:rPr>
          <w:rFonts w:hint="eastAsia" w:ascii="宋体" w:hAnsi="宋体" w:cs="宋体"/>
          <w:sz w:val="21"/>
          <w:szCs w:val="21"/>
          <w:highlight w:val="none"/>
        </w:rPr>
        <w:t>具有良好的商业信誉和健全的财务会计制度；</w:t>
      </w:r>
    </w:p>
    <w:p w14:paraId="22400086">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2</w:t>
      </w:r>
      <w:r>
        <w:rPr>
          <w:rFonts w:hint="eastAsia" w:cs="宋体"/>
          <w:sz w:val="21"/>
          <w:szCs w:val="21"/>
          <w:highlight w:val="none"/>
        </w:rPr>
        <w:t>.</w:t>
      </w:r>
      <w:r>
        <w:rPr>
          <w:rFonts w:hint="eastAsia" w:ascii="宋体" w:hAnsi="宋体" w:cs="宋体"/>
          <w:sz w:val="21"/>
          <w:szCs w:val="21"/>
          <w:highlight w:val="none"/>
        </w:rPr>
        <w:t>具有依法缴纳税收的良好记录；</w:t>
      </w:r>
    </w:p>
    <w:p w14:paraId="7DE15ED3">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3</w:t>
      </w:r>
      <w:r>
        <w:rPr>
          <w:rFonts w:hint="eastAsia" w:cs="宋体"/>
          <w:sz w:val="21"/>
          <w:szCs w:val="21"/>
          <w:highlight w:val="none"/>
        </w:rPr>
        <w:t>.</w:t>
      </w:r>
      <w:r>
        <w:rPr>
          <w:rFonts w:hint="eastAsia" w:ascii="宋体" w:hAnsi="宋体" w:cs="宋体"/>
          <w:sz w:val="21"/>
          <w:szCs w:val="21"/>
          <w:highlight w:val="none"/>
        </w:rPr>
        <w:t>具有依法缴纳社会保障金的良好记录。</w:t>
      </w:r>
    </w:p>
    <w:p w14:paraId="48C5725D">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66C3F9B4">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我单位</w:t>
      </w:r>
      <w:r>
        <w:rPr>
          <w:rFonts w:hint="eastAsia" w:cs="宋体"/>
          <w:sz w:val="21"/>
          <w:szCs w:val="21"/>
          <w:highlight w:val="none"/>
          <w:u w:val="single"/>
        </w:rPr>
        <w:t xml:space="preserve">    </w:t>
      </w:r>
      <w:r>
        <w:rPr>
          <w:rFonts w:hint="eastAsia" w:ascii="宋体" w:hAnsi="宋体" w:cs="宋体"/>
          <w:sz w:val="21"/>
          <w:szCs w:val="21"/>
          <w:highlight w:val="none"/>
          <w:u w:val="single"/>
        </w:rPr>
        <w:t>（公司）</w:t>
      </w:r>
      <w:r>
        <w:rPr>
          <w:rFonts w:hint="eastAsia" w:cs="宋体"/>
          <w:sz w:val="21"/>
          <w:szCs w:val="21"/>
          <w:highlight w:val="none"/>
          <w:u w:val="single"/>
        </w:rPr>
        <w:t xml:space="preserve">    </w:t>
      </w:r>
      <w:r>
        <w:rPr>
          <w:rFonts w:hint="eastAsia" w:ascii="宋体" w:hAnsi="宋体" w:cs="宋体"/>
          <w:sz w:val="21"/>
          <w:szCs w:val="21"/>
          <w:highlight w:val="none"/>
        </w:rPr>
        <w:t>对上述承诺的真实性负责。如有虚假，将依法承担相应责任。</w:t>
      </w:r>
    </w:p>
    <w:p w14:paraId="6DED6574">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特此承诺。</w:t>
      </w:r>
    </w:p>
    <w:p w14:paraId="09976DBF">
      <w:pPr>
        <w:wordWrap w:val="0"/>
        <w:spacing w:line="360" w:lineRule="auto"/>
        <w:jc w:val="both"/>
        <w:rPr>
          <w:rFonts w:ascii="宋体" w:hAnsi="宋体" w:cs="宋体"/>
          <w:sz w:val="21"/>
          <w:szCs w:val="21"/>
          <w:highlight w:val="none"/>
        </w:rPr>
      </w:pPr>
    </w:p>
    <w:p w14:paraId="4465B6C0">
      <w:pPr>
        <w:wordWrap w:val="0"/>
        <w:spacing w:line="360" w:lineRule="auto"/>
        <w:jc w:val="right"/>
        <w:rPr>
          <w:rFonts w:ascii="宋体" w:hAnsi="宋体" w:cs="宋体"/>
          <w:sz w:val="21"/>
          <w:szCs w:val="21"/>
          <w:highlight w:val="none"/>
        </w:rPr>
      </w:pPr>
    </w:p>
    <w:p w14:paraId="3C3EA38E">
      <w:pPr>
        <w:wordWrap/>
        <w:spacing w:line="360" w:lineRule="auto"/>
        <w:jc w:val="left"/>
        <w:rPr>
          <w:rFonts w:ascii="宋体" w:hAnsi="宋体" w:cs="宋体"/>
          <w:sz w:val="21"/>
          <w:szCs w:val="21"/>
          <w:highlight w:val="none"/>
        </w:rPr>
      </w:pPr>
      <w:r>
        <w:rPr>
          <w:rFonts w:hint="eastAsia" w:ascii="宋体" w:hAnsi="宋体" w:cs="宋体"/>
          <w:sz w:val="21"/>
          <w:szCs w:val="21"/>
          <w:highlight w:val="none"/>
        </w:rPr>
        <w:t>盖章：</w:t>
      </w:r>
      <w:r>
        <w:rPr>
          <w:rFonts w:hint="eastAsia" w:cs="宋体"/>
          <w:sz w:val="21"/>
          <w:szCs w:val="21"/>
          <w:highlight w:val="none"/>
        </w:rPr>
        <w:t xml:space="preserve">                      </w:t>
      </w:r>
    </w:p>
    <w:p w14:paraId="6BD9FE22">
      <w:pPr>
        <w:wordWrap/>
        <w:spacing w:line="360" w:lineRule="auto"/>
        <w:jc w:val="left"/>
        <w:rPr>
          <w:rFonts w:ascii="宋体" w:hAnsi="宋体" w:cs="宋体"/>
          <w:sz w:val="21"/>
          <w:szCs w:val="21"/>
          <w:highlight w:val="none"/>
        </w:rPr>
      </w:pPr>
      <w:r>
        <w:rPr>
          <w:rFonts w:hint="eastAsia" w:ascii="宋体" w:hAnsi="宋体" w:cs="宋体"/>
          <w:sz w:val="21"/>
          <w:szCs w:val="21"/>
          <w:highlight w:val="none"/>
        </w:rPr>
        <w:t>签字：</w:t>
      </w:r>
      <w:r>
        <w:rPr>
          <w:rFonts w:hint="eastAsia" w:cs="宋体"/>
          <w:sz w:val="21"/>
          <w:szCs w:val="21"/>
          <w:highlight w:val="none"/>
        </w:rPr>
        <w:t xml:space="preserve">                      </w:t>
      </w:r>
    </w:p>
    <w:p w14:paraId="2CEEC5DF">
      <w:pPr>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sz w:val="21"/>
          <w:szCs w:val="21"/>
          <w:highlight w:val="none"/>
        </w:rPr>
        <w:t>日期：</w:t>
      </w:r>
      <w:r>
        <w:rPr>
          <w:rFonts w:hint="eastAsia" w:cs="宋体"/>
          <w:sz w:val="21"/>
          <w:szCs w:val="21"/>
          <w:highlight w:val="none"/>
        </w:rPr>
        <w:t xml:space="preserve">        </w:t>
      </w:r>
    </w:p>
    <w:p w14:paraId="455F8DA3">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2D46BF02">
      <w:pPr>
        <w:spacing w:after="100" w:afterAutospacing="1" w:line="48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bCs/>
          <w:sz w:val="32"/>
          <w:szCs w:val="32"/>
          <w:highlight w:val="none"/>
        </w:rPr>
        <w:t>（</w:t>
      </w:r>
      <w:r>
        <w:rPr>
          <w:rFonts w:hint="eastAsia" w:cs="宋体"/>
          <w:b/>
          <w:bCs/>
          <w:sz w:val="32"/>
          <w:szCs w:val="32"/>
          <w:highlight w:val="none"/>
        </w:rPr>
        <w:t>三</w:t>
      </w:r>
      <w:r>
        <w:rPr>
          <w:rFonts w:hint="eastAsia" w:ascii="宋体" w:hAnsi="宋体" w:cs="宋体"/>
          <w:b/>
          <w:bCs/>
          <w:sz w:val="32"/>
          <w:szCs w:val="32"/>
          <w:highlight w:val="none"/>
        </w:rPr>
        <w:t>）近年完成的类似项目情况表</w:t>
      </w:r>
    </w:p>
    <w:tbl>
      <w:tblPr>
        <w:tblStyle w:val="43"/>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8"/>
        <w:gridCol w:w="6670"/>
      </w:tblGrid>
      <w:tr w14:paraId="7BEAF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78D144A5">
            <w:pPr>
              <w:pStyle w:val="185"/>
              <w:wordWrap w:val="0"/>
              <w:rPr>
                <w:rFonts w:ascii="宋体" w:hAnsi="宋体" w:cs="宋体"/>
                <w:color w:val="000000" w:themeColor="text1"/>
                <w:sz w:val="17"/>
                <w:highlight w:val="none"/>
                <w14:textFill>
                  <w14:solidFill>
                    <w14:schemeClr w14:val="tx1"/>
                  </w14:solidFill>
                </w14:textFill>
              </w:rPr>
            </w:pPr>
          </w:p>
          <w:p w14:paraId="37C107D3">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项目名称</w:t>
            </w:r>
          </w:p>
        </w:tc>
        <w:tc>
          <w:tcPr>
            <w:tcW w:w="3669" w:type="pct"/>
          </w:tcPr>
          <w:p w14:paraId="3A570BC7">
            <w:pPr>
              <w:wordWrap w:val="0"/>
              <w:rPr>
                <w:rFonts w:ascii="宋体" w:hAnsi="宋体" w:cs="宋体"/>
                <w:color w:val="000000" w:themeColor="text1"/>
                <w:highlight w:val="none"/>
                <w14:textFill>
                  <w14:solidFill>
                    <w14:schemeClr w14:val="tx1"/>
                  </w14:solidFill>
                </w14:textFill>
              </w:rPr>
            </w:pPr>
          </w:p>
        </w:tc>
      </w:tr>
      <w:tr w14:paraId="0A2C3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45A37DD7">
            <w:pPr>
              <w:pStyle w:val="185"/>
              <w:wordWrap w:val="0"/>
              <w:rPr>
                <w:rFonts w:ascii="宋体" w:hAnsi="宋体" w:cs="宋体"/>
                <w:color w:val="000000" w:themeColor="text1"/>
                <w:sz w:val="17"/>
                <w:highlight w:val="none"/>
                <w14:textFill>
                  <w14:solidFill>
                    <w14:schemeClr w14:val="tx1"/>
                  </w14:solidFill>
                </w14:textFill>
              </w:rPr>
            </w:pPr>
          </w:p>
          <w:p w14:paraId="4083E4F8">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项目所在地</w:t>
            </w:r>
          </w:p>
        </w:tc>
        <w:tc>
          <w:tcPr>
            <w:tcW w:w="3669" w:type="pct"/>
          </w:tcPr>
          <w:p w14:paraId="592E8CD5">
            <w:pPr>
              <w:wordWrap w:val="0"/>
              <w:rPr>
                <w:rFonts w:ascii="宋体" w:hAnsi="宋体" w:cs="宋体"/>
                <w:color w:val="000000" w:themeColor="text1"/>
                <w:highlight w:val="none"/>
                <w14:textFill>
                  <w14:solidFill>
                    <w14:schemeClr w14:val="tx1"/>
                  </w14:solidFill>
                </w14:textFill>
              </w:rPr>
            </w:pPr>
          </w:p>
        </w:tc>
      </w:tr>
      <w:tr w14:paraId="4A8B3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61D35E53">
            <w:pPr>
              <w:pStyle w:val="185"/>
              <w:wordWrap w:val="0"/>
              <w:rPr>
                <w:rFonts w:ascii="宋体" w:hAnsi="宋体" w:cs="宋体"/>
                <w:color w:val="000000" w:themeColor="text1"/>
                <w:sz w:val="17"/>
                <w:highlight w:val="none"/>
                <w14:textFill>
                  <w14:solidFill>
                    <w14:schemeClr w14:val="tx1"/>
                  </w14:solidFill>
                </w14:textFill>
              </w:rPr>
            </w:pPr>
          </w:p>
          <w:p w14:paraId="41731DC5">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发包人名称</w:t>
            </w:r>
          </w:p>
        </w:tc>
        <w:tc>
          <w:tcPr>
            <w:tcW w:w="3669" w:type="pct"/>
          </w:tcPr>
          <w:p w14:paraId="60C9C6A9">
            <w:pPr>
              <w:wordWrap w:val="0"/>
              <w:rPr>
                <w:rFonts w:ascii="宋体" w:hAnsi="宋体" w:cs="宋体"/>
                <w:color w:val="000000" w:themeColor="text1"/>
                <w:highlight w:val="none"/>
                <w14:textFill>
                  <w14:solidFill>
                    <w14:schemeClr w14:val="tx1"/>
                  </w14:solidFill>
                </w14:textFill>
              </w:rPr>
            </w:pPr>
          </w:p>
        </w:tc>
      </w:tr>
      <w:tr w14:paraId="4D5D3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330" w:type="pct"/>
          </w:tcPr>
          <w:p w14:paraId="33A94DEF">
            <w:pPr>
              <w:pStyle w:val="185"/>
              <w:wordWrap w:val="0"/>
              <w:rPr>
                <w:rFonts w:ascii="宋体" w:hAnsi="宋体" w:cs="宋体"/>
                <w:color w:val="000000" w:themeColor="text1"/>
                <w:sz w:val="17"/>
                <w:highlight w:val="none"/>
                <w14:textFill>
                  <w14:solidFill>
                    <w14:schemeClr w14:val="tx1"/>
                  </w14:solidFill>
                </w14:textFill>
              </w:rPr>
            </w:pPr>
          </w:p>
          <w:p w14:paraId="2AB4CA03">
            <w:pPr>
              <w:pStyle w:val="185"/>
              <w:wordWrap w:val="0"/>
              <w:spacing w:before="1"/>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发包人地址</w:t>
            </w:r>
          </w:p>
        </w:tc>
        <w:tc>
          <w:tcPr>
            <w:tcW w:w="3669" w:type="pct"/>
          </w:tcPr>
          <w:p w14:paraId="66EA8973">
            <w:pPr>
              <w:wordWrap w:val="0"/>
              <w:rPr>
                <w:rFonts w:ascii="宋体" w:hAnsi="宋体" w:cs="宋体"/>
                <w:color w:val="000000" w:themeColor="text1"/>
                <w:highlight w:val="none"/>
                <w14:textFill>
                  <w14:solidFill>
                    <w14:schemeClr w14:val="tx1"/>
                  </w14:solidFill>
                </w14:textFill>
              </w:rPr>
            </w:pPr>
          </w:p>
        </w:tc>
      </w:tr>
      <w:tr w14:paraId="1D941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72A7DFBA">
            <w:pPr>
              <w:pStyle w:val="185"/>
              <w:wordWrap w:val="0"/>
              <w:rPr>
                <w:rFonts w:ascii="宋体" w:hAnsi="宋体" w:cs="宋体"/>
                <w:color w:val="000000" w:themeColor="text1"/>
                <w:sz w:val="17"/>
                <w:highlight w:val="none"/>
                <w14:textFill>
                  <w14:solidFill>
                    <w14:schemeClr w14:val="tx1"/>
                  </w14:solidFill>
                </w14:textFill>
              </w:rPr>
            </w:pPr>
          </w:p>
          <w:p w14:paraId="413021F3">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发包人电话</w:t>
            </w:r>
          </w:p>
        </w:tc>
        <w:tc>
          <w:tcPr>
            <w:tcW w:w="3669" w:type="pct"/>
          </w:tcPr>
          <w:p w14:paraId="3BA920AB">
            <w:pPr>
              <w:wordWrap w:val="0"/>
              <w:rPr>
                <w:rFonts w:ascii="宋体" w:hAnsi="宋体" w:cs="宋体"/>
                <w:color w:val="000000" w:themeColor="text1"/>
                <w:highlight w:val="none"/>
                <w14:textFill>
                  <w14:solidFill>
                    <w14:schemeClr w14:val="tx1"/>
                  </w14:solidFill>
                </w14:textFill>
              </w:rPr>
            </w:pPr>
          </w:p>
        </w:tc>
      </w:tr>
      <w:tr w14:paraId="6DF62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3E82C588">
            <w:pPr>
              <w:pStyle w:val="185"/>
              <w:wordWrap w:val="0"/>
              <w:rPr>
                <w:rFonts w:ascii="宋体" w:hAnsi="宋体" w:cs="宋体"/>
                <w:color w:val="000000" w:themeColor="text1"/>
                <w:sz w:val="17"/>
                <w:highlight w:val="none"/>
                <w14:textFill>
                  <w14:solidFill>
                    <w14:schemeClr w14:val="tx1"/>
                  </w14:solidFill>
                </w14:textFill>
              </w:rPr>
            </w:pPr>
          </w:p>
          <w:p w14:paraId="57658249">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合同价格</w:t>
            </w:r>
          </w:p>
        </w:tc>
        <w:tc>
          <w:tcPr>
            <w:tcW w:w="3669" w:type="pct"/>
          </w:tcPr>
          <w:p w14:paraId="51B8F308">
            <w:pPr>
              <w:wordWrap w:val="0"/>
              <w:rPr>
                <w:rFonts w:ascii="宋体" w:hAnsi="宋体" w:cs="宋体"/>
                <w:color w:val="000000" w:themeColor="text1"/>
                <w:highlight w:val="none"/>
                <w14:textFill>
                  <w14:solidFill>
                    <w14:schemeClr w14:val="tx1"/>
                  </w14:solidFill>
                </w14:textFill>
              </w:rPr>
            </w:pPr>
          </w:p>
        </w:tc>
      </w:tr>
      <w:tr w14:paraId="7E0E1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72EC369B">
            <w:pPr>
              <w:pStyle w:val="185"/>
              <w:wordWrap w:val="0"/>
              <w:rPr>
                <w:rFonts w:ascii="宋体" w:hAnsi="宋体" w:cs="宋体"/>
                <w:color w:val="000000" w:themeColor="text1"/>
                <w:sz w:val="17"/>
                <w:highlight w:val="none"/>
                <w14:textFill>
                  <w14:solidFill>
                    <w14:schemeClr w14:val="tx1"/>
                  </w14:solidFill>
                </w14:textFill>
              </w:rPr>
            </w:pPr>
          </w:p>
          <w:p w14:paraId="2AA87453">
            <w:pPr>
              <w:pStyle w:val="185"/>
              <w:wordWrap w:val="0"/>
              <w:ind w:left="479"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合同履行期限</w:t>
            </w:r>
          </w:p>
        </w:tc>
        <w:tc>
          <w:tcPr>
            <w:tcW w:w="3669" w:type="pct"/>
          </w:tcPr>
          <w:p w14:paraId="721DF87D">
            <w:pPr>
              <w:wordWrap w:val="0"/>
              <w:rPr>
                <w:rFonts w:ascii="宋体" w:hAnsi="宋体" w:cs="宋体"/>
                <w:color w:val="000000" w:themeColor="text1"/>
                <w:highlight w:val="none"/>
                <w14:textFill>
                  <w14:solidFill>
                    <w14:schemeClr w14:val="tx1"/>
                  </w14:solidFill>
                </w14:textFill>
              </w:rPr>
            </w:pPr>
          </w:p>
        </w:tc>
      </w:tr>
      <w:tr w14:paraId="225E1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0C5AD3CB">
            <w:pPr>
              <w:pStyle w:val="185"/>
              <w:wordWrap w:val="0"/>
              <w:rPr>
                <w:rFonts w:ascii="宋体" w:hAnsi="宋体" w:cs="宋体"/>
                <w:color w:val="000000" w:themeColor="text1"/>
                <w:sz w:val="17"/>
                <w:highlight w:val="none"/>
                <w14:textFill>
                  <w14:solidFill>
                    <w14:schemeClr w14:val="tx1"/>
                  </w14:solidFill>
                </w14:textFill>
              </w:rPr>
            </w:pPr>
          </w:p>
          <w:p w14:paraId="6C548B35">
            <w:pPr>
              <w:pStyle w:val="185"/>
              <w:wordWrap w:val="0"/>
              <w:ind w:left="477"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工作内容</w:t>
            </w:r>
          </w:p>
        </w:tc>
        <w:tc>
          <w:tcPr>
            <w:tcW w:w="3669" w:type="pct"/>
          </w:tcPr>
          <w:p w14:paraId="44C6E7E4">
            <w:pPr>
              <w:wordWrap w:val="0"/>
              <w:rPr>
                <w:rFonts w:ascii="宋体" w:hAnsi="宋体" w:cs="宋体"/>
                <w:color w:val="000000" w:themeColor="text1"/>
                <w:highlight w:val="none"/>
                <w14:textFill>
                  <w14:solidFill>
                    <w14:schemeClr w14:val="tx1"/>
                  </w14:solidFill>
                </w14:textFill>
              </w:rPr>
            </w:pPr>
          </w:p>
        </w:tc>
      </w:tr>
      <w:tr w14:paraId="69C98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1330" w:type="pct"/>
          </w:tcPr>
          <w:p w14:paraId="666867B8">
            <w:pPr>
              <w:pStyle w:val="185"/>
              <w:wordWrap w:val="0"/>
              <w:rPr>
                <w:rFonts w:ascii="宋体" w:hAnsi="宋体" w:cs="宋体"/>
                <w:color w:val="000000" w:themeColor="text1"/>
                <w:highlight w:val="none"/>
                <w14:textFill>
                  <w14:solidFill>
                    <w14:schemeClr w14:val="tx1"/>
                  </w14:solidFill>
                </w14:textFill>
              </w:rPr>
            </w:pPr>
          </w:p>
          <w:p w14:paraId="2189395F">
            <w:pPr>
              <w:pStyle w:val="185"/>
              <w:wordWrap w:val="0"/>
              <w:rPr>
                <w:rFonts w:ascii="宋体" w:hAnsi="宋体" w:cs="宋体"/>
                <w:color w:val="000000" w:themeColor="text1"/>
                <w:highlight w:val="none"/>
                <w14:textFill>
                  <w14:solidFill>
                    <w14:schemeClr w14:val="tx1"/>
                  </w14:solidFill>
                </w14:textFill>
              </w:rPr>
            </w:pPr>
          </w:p>
          <w:p w14:paraId="496537E9">
            <w:pPr>
              <w:pStyle w:val="185"/>
              <w:wordWrap w:val="0"/>
              <w:rPr>
                <w:rFonts w:ascii="宋体" w:hAnsi="宋体" w:cs="宋体"/>
                <w:color w:val="000000" w:themeColor="text1"/>
                <w:highlight w:val="none"/>
                <w14:textFill>
                  <w14:solidFill>
                    <w14:schemeClr w14:val="tx1"/>
                  </w14:solidFill>
                </w14:textFill>
              </w:rPr>
            </w:pPr>
          </w:p>
          <w:p w14:paraId="03E51BA3">
            <w:pPr>
              <w:pStyle w:val="185"/>
              <w:wordWrap w:val="0"/>
              <w:rPr>
                <w:rFonts w:ascii="宋体" w:hAnsi="宋体" w:cs="宋体"/>
                <w:color w:val="000000" w:themeColor="text1"/>
                <w:highlight w:val="none"/>
                <w14:textFill>
                  <w14:solidFill>
                    <w14:schemeClr w14:val="tx1"/>
                  </w14:solidFill>
                </w14:textFill>
              </w:rPr>
            </w:pPr>
          </w:p>
          <w:p w14:paraId="5CD30D4A">
            <w:pPr>
              <w:pStyle w:val="185"/>
              <w:wordWrap w:val="0"/>
              <w:spacing w:before="1"/>
              <w:rPr>
                <w:rFonts w:ascii="宋体" w:hAnsi="宋体" w:cs="宋体"/>
                <w:color w:val="000000" w:themeColor="text1"/>
                <w:sz w:val="29"/>
                <w:highlight w:val="none"/>
                <w14:textFill>
                  <w14:solidFill>
                    <w14:schemeClr w14:val="tx1"/>
                  </w14:solidFill>
                </w14:textFill>
              </w:rPr>
            </w:pPr>
          </w:p>
          <w:p w14:paraId="72DD562C">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项目描述</w:t>
            </w:r>
          </w:p>
        </w:tc>
        <w:tc>
          <w:tcPr>
            <w:tcW w:w="3669" w:type="pct"/>
          </w:tcPr>
          <w:p w14:paraId="0B6E2C46">
            <w:pPr>
              <w:wordWrap w:val="0"/>
              <w:rPr>
                <w:rFonts w:ascii="宋体" w:hAnsi="宋体" w:cs="宋体"/>
                <w:color w:val="000000" w:themeColor="text1"/>
                <w:highlight w:val="none"/>
                <w14:textFill>
                  <w14:solidFill>
                    <w14:schemeClr w14:val="tx1"/>
                  </w14:solidFill>
                </w14:textFill>
              </w:rPr>
            </w:pPr>
          </w:p>
        </w:tc>
      </w:tr>
      <w:tr w14:paraId="62CE8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5CD077BE">
            <w:pPr>
              <w:pStyle w:val="185"/>
              <w:wordWrap w:val="0"/>
              <w:rPr>
                <w:rFonts w:ascii="宋体" w:hAnsi="宋体" w:cs="宋体"/>
                <w:color w:val="000000" w:themeColor="text1"/>
                <w:sz w:val="17"/>
                <w:highlight w:val="none"/>
                <w14:textFill>
                  <w14:solidFill>
                    <w14:schemeClr w14:val="tx1"/>
                  </w14:solidFill>
                </w14:textFill>
              </w:rPr>
            </w:pPr>
          </w:p>
          <w:p w14:paraId="171AE1EF">
            <w:pPr>
              <w:pStyle w:val="185"/>
              <w:wordWrap w:val="0"/>
              <w:ind w:left="479"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备注</w:t>
            </w:r>
          </w:p>
        </w:tc>
        <w:tc>
          <w:tcPr>
            <w:tcW w:w="3669" w:type="pct"/>
          </w:tcPr>
          <w:p w14:paraId="57052822">
            <w:pPr>
              <w:wordWrap w:val="0"/>
              <w:rPr>
                <w:rFonts w:ascii="宋体" w:hAnsi="宋体" w:cs="宋体"/>
                <w:color w:val="000000" w:themeColor="text1"/>
                <w:highlight w:val="none"/>
                <w14:textFill>
                  <w14:solidFill>
                    <w14:schemeClr w14:val="tx1"/>
                  </w14:solidFill>
                </w14:textFill>
              </w:rPr>
            </w:pPr>
          </w:p>
        </w:tc>
      </w:tr>
    </w:tbl>
    <w:p w14:paraId="5F0C2196">
      <w:pPr>
        <w:pStyle w:val="17"/>
        <w:wordWrap w:val="0"/>
        <w:spacing w:before="37"/>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w:t>
      </w:r>
      <w:r>
        <w:rPr>
          <w:rFonts w:hint="eastAsia" w:ascii="宋体" w:hAnsi="宋体" w:cs="宋体"/>
          <w:spacing w:val="-5"/>
          <w:highlight w:val="none"/>
        </w:rPr>
        <w:t>需提供证明资料内容详见评标方法</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76305E93">
      <w:pPr>
        <w:ind w:left="687" w:hanging="687" w:hangingChars="34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p>
    <w:p w14:paraId="7591134E">
      <w:pPr>
        <w:ind w:left="687" w:hanging="687" w:hangingChars="342"/>
        <w:rPr>
          <w:rFonts w:ascii="宋体" w:hAnsi="宋体"/>
          <w:b/>
          <w:color w:val="000000" w:themeColor="text1"/>
          <w:szCs w:val="21"/>
          <w:highlight w:val="none"/>
          <w14:textFill>
            <w14:solidFill>
              <w14:schemeClr w14:val="tx1"/>
            </w14:solidFill>
          </w14:textFill>
        </w:rPr>
      </w:pPr>
    </w:p>
    <w:p w14:paraId="5C1BC42D">
      <w:pPr>
        <w:rPr>
          <w:rFonts w:ascii="宋体" w:hAnsi="宋体" w:cs="宋体"/>
          <w:b/>
          <w:color w:val="000000" w:themeColor="text1"/>
          <w:sz w:val="32"/>
          <w:szCs w:val="32"/>
          <w:highlight w:val="none"/>
          <w14:textFill>
            <w14:solidFill>
              <w14:schemeClr w14:val="tx1"/>
            </w14:solidFill>
          </w14:textFill>
        </w:rPr>
      </w:pPr>
    </w:p>
    <w:p w14:paraId="16BF7C4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C94226D">
      <w:pPr>
        <w:rPr>
          <w:color w:val="000000" w:themeColor="text1"/>
          <w:highlight w:val="none"/>
          <w14:textFill>
            <w14:solidFill>
              <w14:schemeClr w14:val="tx1"/>
            </w14:solidFill>
          </w14:textFill>
        </w:rPr>
      </w:pPr>
      <w:bookmarkStart w:id="84" w:name="_Toc284060544"/>
      <w:bookmarkStart w:id="85" w:name="_Toc60537410"/>
    </w:p>
    <w:p w14:paraId="3A7F8600">
      <w:pPr>
        <w:adjustRightInd w:val="0"/>
        <w:snapToGrid w:val="0"/>
        <w:spacing w:line="300" w:lineRule="auto"/>
        <w:jc w:val="center"/>
        <w:outlineLvl w:val="0"/>
        <w:rPr>
          <w:rFonts w:ascii="华文中宋" w:hAnsi="华文中宋" w:eastAsia="华文中宋"/>
          <w:b/>
          <w:sz w:val="28"/>
          <w:highlight w:val="none"/>
        </w:rPr>
      </w:pPr>
      <w:r>
        <w:rPr>
          <w:rFonts w:hint="eastAsia" w:ascii="宋体" w:hAnsi="宋体" w:cs="宋体"/>
          <w:b/>
          <w:color w:val="000000" w:themeColor="text1"/>
          <w:sz w:val="32"/>
          <w:szCs w:val="32"/>
          <w:highlight w:val="none"/>
          <w14:textFill>
            <w14:solidFill>
              <w14:schemeClr w14:val="tx1"/>
            </w14:solidFill>
          </w14:textFill>
        </w:rPr>
        <w:t>八、</w:t>
      </w:r>
      <w:r>
        <w:rPr>
          <w:rFonts w:hint="eastAsia" w:cs="宋体"/>
          <w:b/>
          <w:bCs/>
          <w:sz w:val="32"/>
          <w:szCs w:val="32"/>
          <w:highlight w:val="none"/>
        </w:rPr>
        <w:t>商务、技术</w:t>
      </w:r>
      <w:r>
        <w:rPr>
          <w:rFonts w:hint="eastAsia" w:ascii="宋体" w:hAnsi="宋体" w:cs="宋体"/>
          <w:b/>
          <w:bCs/>
          <w:kern w:val="2"/>
          <w:sz w:val="32"/>
          <w:szCs w:val="32"/>
          <w:highlight w:val="none"/>
        </w:rPr>
        <w:t>偏离表</w:t>
      </w:r>
    </w:p>
    <w:p w14:paraId="403DF6F7">
      <w:pPr>
        <w:adjustRightInd w:val="0"/>
        <w:snapToGrid w:val="0"/>
        <w:spacing w:line="300" w:lineRule="auto"/>
        <w:rPr>
          <w:rFonts w:ascii="宋体"/>
          <w:sz w:val="18"/>
          <w:highlight w:val="none"/>
        </w:rPr>
      </w:pPr>
    </w:p>
    <w:p w14:paraId="4DF08333">
      <w:pPr>
        <w:adjustRightInd w:val="0"/>
        <w:snapToGrid w:val="0"/>
        <w:spacing w:line="300" w:lineRule="auto"/>
        <w:rPr>
          <w:rFonts w:ascii="宋体"/>
          <w:sz w:val="21"/>
          <w:szCs w:val="21"/>
          <w:highlight w:val="none"/>
        </w:rPr>
      </w:pPr>
    </w:p>
    <w:p w14:paraId="1D2F6E2C">
      <w:pPr>
        <w:adjustRightInd w:val="0"/>
        <w:snapToGrid w:val="0"/>
        <w:spacing w:line="300" w:lineRule="auto"/>
        <w:jc w:val="center"/>
        <w:outlineLvl w:val="0"/>
        <w:rPr>
          <w:rFonts w:ascii="宋体" w:hAnsi="宋体" w:cs="宋体"/>
          <w:b/>
          <w:bCs/>
          <w:sz w:val="32"/>
          <w:szCs w:val="32"/>
          <w:highlight w:val="none"/>
        </w:rPr>
      </w:pPr>
      <w:r>
        <w:rPr>
          <w:rFonts w:hint="eastAsia" w:ascii="宋体" w:hAnsi="宋体" w:cs="宋体"/>
          <w:b/>
          <w:bCs/>
          <w:sz w:val="32"/>
          <w:szCs w:val="32"/>
          <w:highlight w:val="none"/>
        </w:rPr>
        <w:t>1.商务偏离表</w:t>
      </w:r>
    </w:p>
    <w:p w14:paraId="39FD5AE9">
      <w:pPr>
        <w:adjustRightInd w:val="0"/>
        <w:snapToGrid w:val="0"/>
        <w:spacing w:line="300" w:lineRule="auto"/>
        <w:rPr>
          <w:rFonts w:ascii="宋体"/>
          <w:sz w:val="21"/>
          <w:szCs w:val="21"/>
          <w:highlight w:val="none"/>
          <w:u w:val="single"/>
        </w:rPr>
      </w:pPr>
      <w:r>
        <w:rPr>
          <w:rFonts w:hint="eastAsia" w:ascii="宋体"/>
          <w:sz w:val="21"/>
          <w:szCs w:val="21"/>
          <w:highlight w:val="none"/>
        </w:rPr>
        <w:t xml:space="preserve">项目名称： </w:t>
      </w:r>
      <w:r>
        <w:rPr>
          <w:rFonts w:hint="eastAsia" w:ascii="宋体"/>
          <w:sz w:val="21"/>
          <w:szCs w:val="21"/>
          <w:highlight w:val="none"/>
          <w:u w:val="single"/>
        </w:rPr>
        <w:t xml:space="preserve">                       </w:t>
      </w:r>
    </w:p>
    <w:p w14:paraId="29CAAE13">
      <w:pPr>
        <w:adjustRightInd w:val="0"/>
        <w:snapToGrid w:val="0"/>
        <w:spacing w:line="300" w:lineRule="auto"/>
        <w:rPr>
          <w:rFonts w:ascii="宋体" w:hAnsi="宋体"/>
          <w:snapToGrid w:val="0"/>
          <w:sz w:val="18"/>
          <w:highlight w:val="none"/>
        </w:rPr>
      </w:pPr>
      <w:r>
        <w:rPr>
          <w:rFonts w:hint="eastAsia" w:ascii="宋体"/>
          <w:sz w:val="21"/>
          <w:szCs w:val="21"/>
          <w:highlight w:val="none"/>
        </w:rPr>
        <w:t>项目编号：</w:t>
      </w:r>
      <w:r>
        <w:rPr>
          <w:rFonts w:hint="eastAsia" w:ascii="宋体"/>
          <w:i/>
          <w:iCs/>
          <w:sz w:val="21"/>
          <w:szCs w:val="21"/>
          <w:highlight w:val="none"/>
        </w:rPr>
        <w:t xml:space="preserve"> </w:t>
      </w:r>
      <w:r>
        <w:rPr>
          <w:rFonts w:hint="eastAsia" w:ascii="宋体"/>
          <w:sz w:val="21"/>
          <w:szCs w:val="21"/>
          <w:highlight w:val="none"/>
          <w:u w:val="single"/>
        </w:rPr>
        <w:t xml:space="preserve">                       </w:t>
      </w:r>
    </w:p>
    <w:tbl>
      <w:tblPr>
        <w:tblStyle w:val="43"/>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1865"/>
      </w:tblGrid>
      <w:tr w14:paraId="414C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70E3210C">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序号</w:t>
            </w:r>
          </w:p>
        </w:tc>
        <w:tc>
          <w:tcPr>
            <w:tcW w:w="2352" w:type="dxa"/>
            <w:vAlign w:val="center"/>
          </w:tcPr>
          <w:p w14:paraId="10E3D37C">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招标文件要求</w:t>
            </w:r>
          </w:p>
        </w:tc>
        <w:tc>
          <w:tcPr>
            <w:tcW w:w="2126" w:type="dxa"/>
            <w:vAlign w:val="center"/>
          </w:tcPr>
          <w:p w14:paraId="5AF71932">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bCs/>
                <w:sz w:val="21"/>
                <w:szCs w:val="21"/>
                <w:highlight w:val="none"/>
              </w:rPr>
              <w:t>投标文件响应内容</w:t>
            </w:r>
          </w:p>
        </w:tc>
        <w:tc>
          <w:tcPr>
            <w:tcW w:w="1644" w:type="dxa"/>
            <w:vAlign w:val="center"/>
          </w:tcPr>
          <w:p w14:paraId="0E54201A">
            <w:pPr>
              <w:ind w:left="293" w:hanging="293" w:hangingChars="139"/>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偏离情况</w:t>
            </w:r>
          </w:p>
        </w:tc>
        <w:tc>
          <w:tcPr>
            <w:tcW w:w="1865" w:type="dxa"/>
            <w:vAlign w:val="center"/>
          </w:tcPr>
          <w:p w14:paraId="26E09268">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说明</w:t>
            </w:r>
          </w:p>
        </w:tc>
      </w:tr>
      <w:tr w14:paraId="3F15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4FBEF3E9">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1D99A345">
            <w:pPr>
              <w:spacing w:line="300" w:lineRule="auto"/>
              <w:rPr>
                <w:rFonts w:hint="eastAsia" w:ascii="宋体" w:hAnsi="宋体" w:eastAsia="宋体" w:cs="宋体"/>
                <w:sz w:val="24"/>
                <w:szCs w:val="24"/>
                <w:highlight w:val="none"/>
                <w:lang w:val="en-US" w:eastAsia="zh-CN" w:bidi="ar-SA"/>
              </w:rPr>
            </w:pPr>
          </w:p>
        </w:tc>
        <w:tc>
          <w:tcPr>
            <w:tcW w:w="2126" w:type="dxa"/>
            <w:vAlign w:val="center"/>
          </w:tcPr>
          <w:p w14:paraId="0DA25D62">
            <w:pPr>
              <w:spacing w:line="360" w:lineRule="auto"/>
              <w:jc w:val="center"/>
              <w:rPr>
                <w:rFonts w:asciiTheme="minorEastAsia" w:hAnsiTheme="minorEastAsia" w:eastAsiaTheme="minorEastAsia"/>
                <w:sz w:val="21"/>
                <w:szCs w:val="21"/>
                <w:highlight w:val="none"/>
              </w:rPr>
            </w:pPr>
          </w:p>
        </w:tc>
        <w:tc>
          <w:tcPr>
            <w:tcW w:w="1644" w:type="dxa"/>
            <w:vAlign w:val="center"/>
          </w:tcPr>
          <w:p w14:paraId="56666F2B">
            <w:pPr>
              <w:spacing w:line="360" w:lineRule="auto"/>
              <w:jc w:val="center"/>
              <w:rPr>
                <w:rFonts w:asciiTheme="minorEastAsia" w:hAnsiTheme="minorEastAsia" w:eastAsiaTheme="minorEastAsia"/>
                <w:sz w:val="21"/>
                <w:szCs w:val="21"/>
                <w:highlight w:val="none"/>
              </w:rPr>
            </w:pPr>
          </w:p>
        </w:tc>
        <w:tc>
          <w:tcPr>
            <w:tcW w:w="1865" w:type="dxa"/>
            <w:vAlign w:val="center"/>
          </w:tcPr>
          <w:p w14:paraId="46600430">
            <w:pPr>
              <w:spacing w:line="360" w:lineRule="auto"/>
              <w:jc w:val="center"/>
              <w:rPr>
                <w:rFonts w:asciiTheme="minorEastAsia" w:hAnsiTheme="minorEastAsia" w:eastAsiaTheme="minorEastAsia"/>
                <w:sz w:val="21"/>
                <w:szCs w:val="21"/>
                <w:highlight w:val="none"/>
              </w:rPr>
            </w:pPr>
          </w:p>
        </w:tc>
      </w:tr>
      <w:tr w14:paraId="30A3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341FB74E">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7C0CC34F">
            <w:pPr>
              <w:spacing w:line="300" w:lineRule="auto"/>
              <w:rPr>
                <w:rFonts w:hint="eastAsia" w:ascii="宋体" w:hAnsi="宋体" w:eastAsia="宋体" w:cs="宋体"/>
                <w:sz w:val="24"/>
                <w:szCs w:val="24"/>
                <w:highlight w:val="none"/>
                <w:lang w:val="en-US" w:eastAsia="zh-CN" w:bidi="ar-SA"/>
              </w:rPr>
            </w:pPr>
          </w:p>
        </w:tc>
        <w:tc>
          <w:tcPr>
            <w:tcW w:w="2126" w:type="dxa"/>
            <w:vAlign w:val="center"/>
          </w:tcPr>
          <w:p w14:paraId="32BBF548">
            <w:pPr>
              <w:spacing w:line="360" w:lineRule="auto"/>
              <w:jc w:val="center"/>
              <w:rPr>
                <w:rFonts w:asciiTheme="minorEastAsia" w:hAnsiTheme="minorEastAsia" w:eastAsiaTheme="minorEastAsia"/>
                <w:sz w:val="21"/>
                <w:szCs w:val="21"/>
                <w:highlight w:val="none"/>
              </w:rPr>
            </w:pPr>
          </w:p>
        </w:tc>
        <w:tc>
          <w:tcPr>
            <w:tcW w:w="1644" w:type="dxa"/>
            <w:vAlign w:val="center"/>
          </w:tcPr>
          <w:p w14:paraId="7BD4CA55">
            <w:pPr>
              <w:spacing w:line="360" w:lineRule="auto"/>
              <w:jc w:val="center"/>
              <w:rPr>
                <w:rFonts w:asciiTheme="minorEastAsia" w:hAnsiTheme="minorEastAsia" w:eastAsiaTheme="minorEastAsia"/>
                <w:sz w:val="21"/>
                <w:szCs w:val="21"/>
                <w:highlight w:val="none"/>
              </w:rPr>
            </w:pPr>
          </w:p>
        </w:tc>
        <w:tc>
          <w:tcPr>
            <w:tcW w:w="1865" w:type="dxa"/>
            <w:vAlign w:val="center"/>
          </w:tcPr>
          <w:p w14:paraId="7B8E2EDE">
            <w:pPr>
              <w:spacing w:line="360" w:lineRule="auto"/>
              <w:jc w:val="center"/>
              <w:rPr>
                <w:rFonts w:asciiTheme="minorEastAsia" w:hAnsiTheme="minorEastAsia" w:eastAsiaTheme="minorEastAsia"/>
                <w:sz w:val="21"/>
                <w:szCs w:val="21"/>
                <w:highlight w:val="none"/>
              </w:rPr>
            </w:pPr>
          </w:p>
        </w:tc>
      </w:tr>
      <w:tr w14:paraId="0E09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76491619">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294446DE">
            <w:pPr>
              <w:spacing w:line="300" w:lineRule="auto"/>
              <w:rPr>
                <w:rFonts w:hint="eastAsia" w:ascii="宋体" w:hAnsi="宋体" w:eastAsia="宋体" w:cs="宋体"/>
                <w:sz w:val="24"/>
                <w:szCs w:val="24"/>
                <w:highlight w:val="none"/>
                <w:lang w:val="en-US" w:eastAsia="zh-CN" w:bidi="ar-SA"/>
              </w:rPr>
            </w:pPr>
          </w:p>
        </w:tc>
        <w:tc>
          <w:tcPr>
            <w:tcW w:w="2126" w:type="dxa"/>
            <w:vAlign w:val="center"/>
          </w:tcPr>
          <w:p w14:paraId="388F8E8E">
            <w:pPr>
              <w:spacing w:line="360" w:lineRule="auto"/>
              <w:jc w:val="center"/>
              <w:rPr>
                <w:rFonts w:asciiTheme="minorEastAsia" w:hAnsiTheme="minorEastAsia" w:eastAsiaTheme="minorEastAsia"/>
                <w:sz w:val="21"/>
                <w:szCs w:val="21"/>
                <w:highlight w:val="none"/>
              </w:rPr>
            </w:pPr>
          </w:p>
        </w:tc>
        <w:tc>
          <w:tcPr>
            <w:tcW w:w="1644" w:type="dxa"/>
            <w:vAlign w:val="center"/>
          </w:tcPr>
          <w:p w14:paraId="3E05D018">
            <w:pPr>
              <w:spacing w:line="360" w:lineRule="auto"/>
              <w:jc w:val="center"/>
              <w:rPr>
                <w:rFonts w:asciiTheme="minorEastAsia" w:hAnsiTheme="minorEastAsia" w:eastAsiaTheme="minorEastAsia"/>
                <w:sz w:val="21"/>
                <w:szCs w:val="21"/>
                <w:highlight w:val="none"/>
              </w:rPr>
            </w:pPr>
          </w:p>
        </w:tc>
        <w:tc>
          <w:tcPr>
            <w:tcW w:w="1865" w:type="dxa"/>
            <w:vAlign w:val="center"/>
          </w:tcPr>
          <w:p w14:paraId="278A30C4">
            <w:pPr>
              <w:spacing w:line="360" w:lineRule="auto"/>
              <w:jc w:val="center"/>
              <w:rPr>
                <w:rFonts w:asciiTheme="minorEastAsia" w:hAnsiTheme="minorEastAsia" w:eastAsiaTheme="minorEastAsia"/>
                <w:sz w:val="21"/>
                <w:szCs w:val="21"/>
                <w:highlight w:val="none"/>
              </w:rPr>
            </w:pPr>
          </w:p>
        </w:tc>
      </w:tr>
      <w:tr w14:paraId="3DED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778BA426">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1FB7FE9C">
            <w:pPr>
              <w:spacing w:line="300" w:lineRule="auto"/>
              <w:rPr>
                <w:rFonts w:hint="eastAsia" w:ascii="宋体" w:hAnsi="宋体" w:eastAsia="宋体" w:cs="宋体"/>
                <w:sz w:val="24"/>
                <w:highlight w:val="none"/>
                <w:lang w:val="en-US" w:eastAsia="zh-CN" w:bidi="ar-SA"/>
              </w:rPr>
            </w:pPr>
          </w:p>
        </w:tc>
        <w:tc>
          <w:tcPr>
            <w:tcW w:w="2126" w:type="dxa"/>
            <w:vAlign w:val="center"/>
          </w:tcPr>
          <w:p w14:paraId="0833A754">
            <w:pPr>
              <w:spacing w:line="360" w:lineRule="auto"/>
              <w:jc w:val="center"/>
              <w:rPr>
                <w:rFonts w:asciiTheme="minorEastAsia" w:hAnsiTheme="minorEastAsia" w:eastAsiaTheme="minorEastAsia"/>
                <w:sz w:val="21"/>
                <w:szCs w:val="21"/>
                <w:highlight w:val="none"/>
              </w:rPr>
            </w:pPr>
          </w:p>
        </w:tc>
        <w:tc>
          <w:tcPr>
            <w:tcW w:w="1644" w:type="dxa"/>
            <w:vAlign w:val="center"/>
          </w:tcPr>
          <w:p w14:paraId="382B9A38">
            <w:pPr>
              <w:spacing w:line="360" w:lineRule="auto"/>
              <w:jc w:val="center"/>
              <w:rPr>
                <w:rFonts w:asciiTheme="minorEastAsia" w:hAnsiTheme="minorEastAsia" w:eastAsiaTheme="minorEastAsia"/>
                <w:sz w:val="21"/>
                <w:szCs w:val="21"/>
                <w:highlight w:val="none"/>
              </w:rPr>
            </w:pPr>
          </w:p>
        </w:tc>
        <w:tc>
          <w:tcPr>
            <w:tcW w:w="1865" w:type="dxa"/>
            <w:vAlign w:val="center"/>
          </w:tcPr>
          <w:p w14:paraId="3FF5A182">
            <w:pPr>
              <w:spacing w:line="360" w:lineRule="auto"/>
              <w:jc w:val="center"/>
              <w:rPr>
                <w:rFonts w:asciiTheme="minorEastAsia" w:hAnsiTheme="minorEastAsia" w:eastAsiaTheme="minorEastAsia"/>
                <w:sz w:val="21"/>
                <w:szCs w:val="21"/>
                <w:highlight w:val="none"/>
              </w:rPr>
            </w:pPr>
          </w:p>
        </w:tc>
      </w:tr>
      <w:tr w14:paraId="53E3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029697FA">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393A869E">
            <w:pPr>
              <w:spacing w:line="300" w:lineRule="auto"/>
              <w:rPr>
                <w:rFonts w:hint="default" w:ascii="宋体" w:hAnsi="宋体" w:eastAsia="宋体" w:cs="宋体"/>
                <w:sz w:val="24"/>
                <w:szCs w:val="24"/>
                <w:highlight w:val="none"/>
                <w:lang w:val="en-US" w:eastAsia="zh-CN" w:bidi="ar-SA"/>
              </w:rPr>
            </w:pPr>
          </w:p>
        </w:tc>
        <w:tc>
          <w:tcPr>
            <w:tcW w:w="2126" w:type="dxa"/>
            <w:vAlign w:val="center"/>
          </w:tcPr>
          <w:p w14:paraId="48DD0D93">
            <w:pPr>
              <w:spacing w:line="360" w:lineRule="auto"/>
              <w:jc w:val="center"/>
              <w:rPr>
                <w:rFonts w:asciiTheme="minorEastAsia" w:hAnsiTheme="minorEastAsia" w:eastAsiaTheme="minorEastAsia"/>
                <w:sz w:val="21"/>
                <w:szCs w:val="21"/>
                <w:highlight w:val="none"/>
              </w:rPr>
            </w:pPr>
          </w:p>
        </w:tc>
        <w:tc>
          <w:tcPr>
            <w:tcW w:w="1644" w:type="dxa"/>
            <w:vAlign w:val="center"/>
          </w:tcPr>
          <w:p w14:paraId="35AE3282">
            <w:pPr>
              <w:spacing w:line="360" w:lineRule="auto"/>
              <w:jc w:val="center"/>
              <w:rPr>
                <w:rFonts w:asciiTheme="minorEastAsia" w:hAnsiTheme="minorEastAsia" w:eastAsiaTheme="minorEastAsia"/>
                <w:sz w:val="21"/>
                <w:szCs w:val="21"/>
                <w:highlight w:val="none"/>
              </w:rPr>
            </w:pPr>
          </w:p>
        </w:tc>
        <w:tc>
          <w:tcPr>
            <w:tcW w:w="1865" w:type="dxa"/>
            <w:vAlign w:val="center"/>
          </w:tcPr>
          <w:p w14:paraId="703848CF">
            <w:pPr>
              <w:spacing w:line="360" w:lineRule="auto"/>
              <w:jc w:val="center"/>
              <w:rPr>
                <w:rFonts w:asciiTheme="minorEastAsia" w:hAnsiTheme="minorEastAsia" w:eastAsiaTheme="minorEastAsia"/>
                <w:sz w:val="21"/>
                <w:szCs w:val="21"/>
                <w:highlight w:val="none"/>
              </w:rPr>
            </w:pPr>
          </w:p>
        </w:tc>
      </w:tr>
      <w:tr w14:paraId="1CBD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38718B0F">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1A649CC2">
            <w:pPr>
              <w:spacing w:line="300" w:lineRule="auto"/>
              <w:rPr>
                <w:rFonts w:hint="default" w:ascii="宋体" w:hAnsi="宋体" w:eastAsia="宋体" w:cs="宋体"/>
                <w:sz w:val="24"/>
                <w:szCs w:val="24"/>
                <w:highlight w:val="none"/>
                <w:lang w:val="en-US" w:eastAsia="zh-CN" w:bidi="ar-SA"/>
              </w:rPr>
            </w:pPr>
          </w:p>
        </w:tc>
        <w:tc>
          <w:tcPr>
            <w:tcW w:w="2126" w:type="dxa"/>
            <w:vAlign w:val="center"/>
          </w:tcPr>
          <w:p w14:paraId="1983723A">
            <w:pPr>
              <w:spacing w:line="360" w:lineRule="auto"/>
              <w:jc w:val="center"/>
              <w:rPr>
                <w:rFonts w:asciiTheme="minorEastAsia" w:hAnsiTheme="minorEastAsia" w:eastAsiaTheme="minorEastAsia"/>
                <w:sz w:val="21"/>
                <w:szCs w:val="21"/>
                <w:highlight w:val="none"/>
              </w:rPr>
            </w:pPr>
          </w:p>
        </w:tc>
        <w:tc>
          <w:tcPr>
            <w:tcW w:w="1644" w:type="dxa"/>
            <w:vAlign w:val="center"/>
          </w:tcPr>
          <w:p w14:paraId="60F5BA7E">
            <w:pPr>
              <w:spacing w:line="360" w:lineRule="auto"/>
              <w:jc w:val="center"/>
              <w:rPr>
                <w:rFonts w:asciiTheme="minorEastAsia" w:hAnsiTheme="minorEastAsia" w:eastAsiaTheme="minorEastAsia"/>
                <w:sz w:val="21"/>
                <w:szCs w:val="21"/>
                <w:highlight w:val="none"/>
              </w:rPr>
            </w:pPr>
          </w:p>
        </w:tc>
        <w:tc>
          <w:tcPr>
            <w:tcW w:w="1865" w:type="dxa"/>
            <w:vAlign w:val="center"/>
          </w:tcPr>
          <w:p w14:paraId="0E003F34">
            <w:pPr>
              <w:spacing w:line="360" w:lineRule="auto"/>
              <w:jc w:val="center"/>
              <w:rPr>
                <w:rFonts w:asciiTheme="minorEastAsia" w:hAnsiTheme="minorEastAsia" w:eastAsiaTheme="minorEastAsia"/>
                <w:sz w:val="21"/>
                <w:szCs w:val="21"/>
                <w:highlight w:val="none"/>
              </w:rPr>
            </w:pPr>
          </w:p>
        </w:tc>
      </w:tr>
      <w:tr w14:paraId="3DB4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1F23129C">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544548F9">
            <w:pPr>
              <w:spacing w:line="300" w:lineRule="auto"/>
              <w:rPr>
                <w:rFonts w:hint="default" w:ascii="宋体" w:hAnsi="宋体" w:eastAsia="宋体" w:cs="宋体"/>
                <w:sz w:val="24"/>
                <w:szCs w:val="24"/>
                <w:highlight w:val="none"/>
                <w:lang w:val="en-US" w:eastAsia="zh-CN" w:bidi="ar-SA"/>
              </w:rPr>
            </w:pPr>
          </w:p>
        </w:tc>
        <w:tc>
          <w:tcPr>
            <w:tcW w:w="2126" w:type="dxa"/>
            <w:vAlign w:val="center"/>
          </w:tcPr>
          <w:p w14:paraId="3560F0F8">
            <w:pPr>
              <w:spacing w:line="360" w:lineRule="auto"/>
              <w:jc w:val="center"/>
              <w:rPr>
                <w:rFonts w:asciiTheme="minorEastAsia" w:hAnsiTheme="minorEastAsia" w:eastAsiaTheme="minorEastAsia"/>
                <w:sz w:val="21"/>
                <w:szCs w:val="21"/>
                <w:highlight w:val="none"/>
              </w:rPr>
            </w:pPr>
          </w:p>
        </w:tc>
        <w:tc>
          <w:tcPr>
            <w:tcW w:w="1644" w:type="dxa"/>
            <w:vAlign w:val="center"/>
          </w:tcPr>
          <w:p w14:paraId="17502F55">
            <w:pPr>
              <w:spacing w:line="360" w:lineRule="auto"/>
              <w:jc w:val="center"/>
              <w:rPr>
                <w:rFonts w:asciiTheme="minorEastAsia" w:hAnsiTheme="minorEastAsia" w:eastAsiaTheme="minorEastAsia"/>
                <w:sz w:val="21"/>
                <w:szCs w:val="21"/>
                <w:highlight w:val="none"/>
              </w:rPr>
            </w:pPr>
          </w:p>
        </w:tc>
        <w:tc>
          <w:tcPr>
            <w:tcW w:w="1865" w:type="dxa"/>
            <w:vAlign w:val="center"/>
          </w:tcPr>
          <w:p w14:paraId="3D012C86">
            <w:pPr>
              <w:spacing w:line="360" w:lineRule="auto"/>
              <w:jc w:val="center"/>
              <w:rPr>
                <w:rFonts w:asciiTheme="minorEastAsia" w:hAnsiTheme="minorEastAsia" w:eastAsiaTheme="minorEastAsia"/>
                <w:sz w:val="21"/>
                <w:szCs w:val="21"/>
                <w:highlight w:val="none"/>
              </w:rPr>
            </w:pPr>
          </w:p>
        </w:tc>
      </w:tr>
    </w:tbl>
    <w:p w14:paraId="60B00290">
      <w:pPr>
        <w:spacing w:before="120" w:beforeLines="50" w:line="288" w:lineRule="auto"/>
        <w:rPr>
          <w:rFonts w:ascii="宋体" w:hAnsi="宋体" w:cs="宋体"/>
          <w:sz w:val="21"/>
          <w:szCs w:val="21"/>
          <w:highlight w:val="none"/>
        </w:rPr>
      </w:pPr>
      <w:r>
        <w:rPr>
          <w:rFonts w:hint="eastAsia" w:ascii="宋体" w:hAnsi="宋体" w:cs="宋体"/>
          <w:sz w:val="21"/>
          <w:szCs w:val="21"/>
          <w:highlight w:val="none"/>
        </w:rPr>
        <w:t>注明：</w:t>
      </w:r>
    </w:p>
    <w:p w14:paraId="35E5D369">
      <w:pPr>
        <w:pStyle w:val="91"/>
        <w:numPr>
          <w:ilvl w:val="0"/>
          <w:numId w:val="12"/>
        </w:numPr>
        <w:spacing w:line="288" w:lineRule="auto"/>
        <w:ind w:firstLineChars="0"/>
        <w:rPr>
          <w:rFonts w:ascii="宋体" w:hAnsi="宋体" w:cs="宋体"/>
          <w:color w:val="auto"/>
          <w:szCs w:val="21"/>
          <w:highlight w:val="none"/>
        </w:rPr>
      </w:pPr>
      <w:r>
        <w:rPr>
          <w:rFonts w:hint="eastAsia" w:ascii="宋体" w:hAnsi="宋体" w:cs="宋体"/>
          <w:bCs/>
          <w:color w:val="auto"/>
          <w:szCs w:val="21"/>
          <w:highlight w:val="none"/>
        </w:rPr>
        <w:t>偏离情况项填写“正”、“负”或“无”，说明项中填写原因。</w:t>
      </w:r>
    </w:p>
    <w:p w14:paraId="5D73A5A9">
      <w:pPr>
        <w:pStyle w:val="91"/>
        <w:numPr>
          <w:ilvl w:val="0"/>
          <w:numId w:val="12"/>
        </w:numPr>
        <w:spacing w:line="288" w:lineRule="auto"/>
        <w:ind w:firstLineChars="0"/>
        <w:rPr>
          <w:rFonts w:ascii="宋体" w:hAnsi="宋体" w:cs="宋体"/>
          <w:bCs/>
          <w:color w:val="auto"/>
          <w:szCs w:val="21"/>
          <w:highlight w:val="none"/>
        </w:rPr>
      </w:pPr>
      <w:r>
        <w:rPr>
          <w:rFonts w:hint="eastAsia" w:ascii="宋体" w:hAnsi="宋体" w:cs="宋体"/>
          <w:bCs/>
          <w:color w:val="auto"/>
          <w:szCs w:val="21"/>
          <w:highlight w:val="none"/>
        </w:rPr>
        <w:t>供应商应按照招标文件要求，对响应有偏离的，则说明偏离的内容，若有要求提供相关证明资料的，须按要求提供，否则视为负偏离。</w:t>
      </w:r>
    </w:p>
    <w:p w14:paraId="3C98F0E2">
      <w:pPr>
        <w:pStyle w:val="18"/>
        <w:adjustRightInd w:val="0"/>
        <w:snapToGrid w:val="0"/>
        <w:spacing w:line="300" w:lineRule="auto"/>
        <w:ind w:left="400"/>
        <w:rPr>
          <w:rFonts w:ascii="宋体" w:hAnsi="宋体"/>
          <w:b/>
          <w:bCs/>
          <w:snapToGrid w:val="0"/>
          <w:sz w:val="21"/>
          <w:szCs w:val="21"/>
          <w:highlight w:val="none"/>
        </w:rPr>
      </w:pPr>
    </w:p>
    <w:p w14:paraId="20AFF655">
      <w:pPr>
        <w:pStyle w:val="18"/>
        <w:adjustRightInd w:val="0"/>
        <w:snapToGrid w:val="0"/>
        <w:spacing w:line="300" w:lineRule="auto"/>
        <w:ind w:left="400"/>
        <w:rPr>
          <w:rFonts w:ascii="宋体" w:hAnsi="宋体"/>
          <w:b/>
          <w:bCs/>
          <w:snapToGrid w:val="0"/>
          <w:sz w:val="21"/>
          <w:szCs w:val="21"/>
          <w:highlight w:val="none"/>
        </w:rPr>
      </w:pPr>
    </w:p>
    <w:p w14:paraId="15FBA7E6">
      <w:pPr>
        <w:pStyle w:val="18"/>
        <w:adjustRightInd w:val="0"/>
        <w:snapToGrid w:val="0"/>
        <w:spacing w:line="300" w:lineRule="auto"/>
        <w:ind w:left="400"/>
        <w:rPr>
          <w:rFonts w:ascii="宋体" w:hAnsi="宋体"/>
          <w:b/>
          <w:bCs/>
          <w:snapToGrid w:val="0"/>
          <w:sz w:val="21"/>
          <w:szCs w:val="21"/>
          <w:highlight w:val="none"/>
        </w:rPr>
      </w:pPr>
    </w:p>
    <w:p w14:paraId="23B63C95">
      <w:pPr>
        <w:pStyle w:val="18"/>
        <w:adjustRightInd w:val="0"/>
        <w:snapToGrid w:val="0"/>
        <w:spacing w:line="300" w:lineRule="auto"/>
        <w:ind w:left="400"/>
        <w:rPr>
          <w:rFonts w:ascii="宋体" w:hAnsi="宋体"/>
          <w:b/>
          <w:bCs/>
          <w:snapToGrid w:val="0"/>
          <w:sz w:val="21"/>
          <w:szCs w:val="21"/>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1C77EC06">
        <w:tblPrEx>
          <w:tblCellMar>
            <w:top w:w="0" w:type="dxa"/>
            <w:left w:w="108" w:type="dxa"/>
            <w:bottom w:w="0" w:type="dxa"/>
            <w:right w:w="108" w:type="dxa"/>
          </w:tblCellMar>
        </w:tblPrEx>
        <w:trPr>
          <w:trHeight w:val="680" w:hRule="atLeast"/>
        </w:trPr>
        <w:tc>
          <w:tcPr>
            <w:tcW w:w="5353" w:type="dxa"/>
            <w:shd w:val="clear" w:color="auto" w:fill="auto"/>
          </w:tcPr>
          <w:p w14:paraId="3A58BABA">
            <w:pPr>
              <w:overflowPunct w:val="0"/>
              <w:adjustRightInd w:val="0"/>
              <w:spacing w:line="288" w:lineRule="auto"/>
              <w:rPr>
                <w:rFonts w:ascii="宋体" w:hAnsi="宋体" w:cs="宋体"/>
                <w:sz w:val="21"/>
                <w:szCs w:val="21"/>
                <w:highlight w:val="none"/>
                <w:u w:val="single"/>
              </w:rPr>
            </w:pPr>
            <w:r>
              <w:rPr>
                <w:rFonts w:hint="eastAsia" w:ascii="宋体" w:hAnsi="宋体" w:cs="宋体"/>
                <w:sz w:val="21"/>
                <w:szCs w:val="21"/>
                <w:highlight w:val="none"/>
              </w:rPr>
              <w:t>供应商名称（加盖公章）：</w:t>
            </w:r>
            <w:r>
              <w:rPr>
                <w:rFonts w:hint="eastAsia" w:ascii="宋体" w:hAnsi="宋体" w:cs="宋体"/>
                <w:sz w:val="21"/>
                <w:szCs w:val="21"/>
                <w:highlight w:val="none"/>
                <w:u w:val="single"/>
              </w:rPr>
              <w:t xml:space="preserve">                         </w:t>
            </w:r>
          </w:p>
        </w:tc>
        <w:tc>
          <w:tcPr>
            <w:tcW w:w="3175" w:type="dxa"/>
            <w:shd w:val="clear" w:color="auto" w:fill="auto"/>
          </w:tcPr>
          <w:p w14:paraId="73CAB94C">
            <w:pPr>
              <w:spacing w:line="288" w:lineRule="auto"/>
              <w:rPr>
                <w:rFonts w:ascii="宋体" w:hAnsi="宋体" w:cs="宋体"/>
                <w:sz w:val="21"/>
                <w:szCs w:val="21"/>
                <w:highlight w:val="none"/>
              </w:rPr>
            </w:pPr>
          </w:p>
        </w:tc>
      </w:tr>
      <w:tr w14:paraId="040B84AA">
        <w:tblPrEx>
          <w:tblCellMar>
            <w:top w:w="0" w:type="dxa"/>
            <w:left w:w="108" w:type="dxa"/>
            <w:bottom w:w="0" w:type="dxa"/>
            <w:right w:w="108" w:type="dxa"/>
          </w:tblCellMar>
        </w:tblPrEx>
        <w:trPr>
          <w:trHeight w:val="730" w:hRule="atLeast"/>
        </w:trPr>
        <w:tc>
          <w:tcPr>
            <w:tcW w:w="5353" w:type="dxa"/>
            <w:shd w:val="clear" w:color="auto" w:fill="auto"/>
          </w:tcPr>
          <w:p w14:paraId="08FF652F">
            <w:pPr>
              <w:overflowPunct w:val="0"/>
              <w:adjustRightInd w:val="0"/>
              <w:spacing w:line="288" w:lineRule="auto"/>
              <w:rPr>
                <w:rFonts w:ascii="宋体" w:hAnsi="宋体" w:cs="宋体"/>
                <w:sz w:val="21"/>
                <w:szCs w:val="21"/>
                <w:highlight w:val="none"/>
              </w:rPr>
            </w:pPr>
            <w:r>
              <w:rPr>
                <w:rFonts w:hint="eastAsia" w:ascii="宋体" w:hAnsi="宋体" w:cs="宋体"/>
                <w:sz w:val="21"/>
                <w:szCs w:val="21"/>
                <w:highlight w:val="none"/>
              </w:rPr>
              <w:t xml:space="preserve">法定代表人或其委托代理人（签字）： </w:t>
            </w:r>
            <w:r>
              <w:rPr>
                <w:rFonts w:hint="eastAsia" w:ascii="宋体" w:hAnsi="宋体" w:cs="宋体"/>
                <w:sz w:val="21"/>
                <w:szCs w:val="21"/>
                <w:highlight w:val="none"/>
                <w:u w:val="single"/>
              </w:rPr>
              <w:t xml:space="preserve">              </w:t>
            </w:r>
          </w:p>
        </w:tc>
        <w:tc>
          <w:tcPr>
            <w:tcW w:w="3175" w:type="dxa"/>
            <w:shd w:val="clear" w:color="auto" w:fill="auto"/>
          </w:tcPr>
          <w:p w14:paraId="5700A0EE">
            <w:pPr>
              <w:spacing w:line="288" w:lineRule="auto"/>
              <w:rPr>
                <w:rFonts w:ascii="宋体" w:hAnsi="宋体" w:cs="宋体"/>
                <w:sz w:val="21"/>
                <w:szCs w:val="21"/>
                <w:highlight w:val="none"/>
              </w:rPr>
            </w:pPr>
          </w:p>
        </w:tc>
      </w:tr>
      <w:tr w14:paraId="7347B1BA">
        <w:tblPrEx>
          <w:tblCellMar>
            <w:top w:w="0" w:type="dxa"/>
            <w:left w:w="108" w:type="dxa"/>
            <w:bottom w:w="0" w:type="dxa"/>
            <w:right w:w="108" w:type="dxa"/>
          </w:tblCellMar>
        </w:tblPrEx>
        <w:trPr>
          <w:trHeight w:val="680" w:hRule="atLeast"/>
        </w:trPr>
        <w:tc>
          <w:tcPr>
            <w:tcW w:w="5353" w:type="dxa"/>
            <w:shd w:val="clear" w:color="auto" w:fill="auto"/>
          </w:tcPr>
          <w:p w14:paraId="1B14B3DC">
            <w:pPr>
              <w:spacing w:line="288" w:lineRule="auto"/>
              <w:rPr>
                <w:rFonts w:ascii="宋体" w:hAnsi="宋体" w:cs="宋体"/>
                <w:sz w:val="21"/>
                <w:szCs w:val="21"/>
                <w:highlight w:val="none"/>
              </w:rPr>
            </w:pPr>
            <w:r>
              <w:rPr>
                <w:rFonts w:hint="eastAsia" w:ascii="宋体" w:hAnsi="宋体" w:cs="宋体"/>
                <w:sz w:val="21"/>
                <w:szCs w:val="21"/>
                <w:highlight w:val="none"/>
              </w:rPr>
              <w:t>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月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日</w:t>
            </w:r>
          </w:p>
        </w:tc>
        <w:tc>
          <w:tcPr>
            <w:tcW w:w="3175" w:type="dxa"/>
            <w:shd w:val="clear" w:color="auto" w:fill="auto"/>
          </w:tcPr>
          <w:p w14:paraId="7F3F0FFB">
            <w:pPr>
              <w:spacing w:line="288" w:lineRule="auto"/>
              <w:rPr>
                <w:rFonts w:ascii="宋体" w:hAnsi="宋体" w:cs="宋体"/>
                <w:sz w:val="21"/>
                <w:szCs w:val="21"/>
                <w:highlight w:val="none"/>
              </w:rPr>
            </w:pPr>
          </w:p>
        </w:tc>
      </w:tr>
    </w:tbl>
    <w:p w14:paraId="501C2804">
      <w:pPr>
        <w:adjustRightInd w:val="0"/>
        <w:snapToGrid w:val="0"/>
        <w:spacing w:line="300" w:lineRule="auto"/>
        <w:jc w:val="center"/>
        <w:outlineLvl w:val="0"/>
        <w:rPr>
          <w:rFonts w:ascii="宋体" w:hAnsi="宋体" w:cs="宋体"/>
          <w:b/>
          <w:bCs/>
          <w:sz w:val="32"/>
          <w:szCs w:val="32"/>
          <w:highlight w:val="none"/>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r>
        <w:rPr>
          <w:rFonts w:hint="eastAsia" w:ascii="宋体" w:hAnsi="宋体" w:cs="宋体"/>
          <w:b/>
          <w:bCs/>
          <w:sz w:val="32"/>
          <w:szCs w:val="32"/>
          <w:highlight w:val="none"/>
        </w:rPr>
        <w:t>2.技术规格偏离表</w:t>
      </w:r>
    </w:p>
    <w:p w14:paraId="6DEF6883">
      <w:pPr>
        <w:adjustRightInd w:val="0"/>
        <w:snapToGrid w:val="0"/>
        <w:spacing w:line="300" w:lineRule="auto"/>
        <w:rPr>
          <w:rFonts w:ascii="宋体"/>
          <w:sz w:val="21"/>
          <w:szCs w:val="21"/>
          <w:highlight w:val="none"/>
        </w:rPr>
      </w:pPr>
    </w:p>
    <w:p w14:paraId="57CAB772">
      <w:pPr>
        <w:adjustRightInd w:val="0"/>
        <w:snapToGrid w:val="0"/>
        <w:spacing w:line="300" w:lineRule="auto"/>
        <w:rPr>
          <w:rFonts w:ascii="宋体"/>
          <w:sz w:val="21"/>
          <w:szCs w:val="21"/>
          <w:highlight w:val="none"/>
        </w:rPr>
      </w:pPr>
    </w:p>
    <w:p w14:paraId="11DD9E30">
      <w:pPr>
        <w:adjustRightInd w:val="0"/>
        <w:snapToGrid w:val="0"/>
        <w:spacing w:line="300" w:lineRule="auto"/>
        <w:rPr>
          <w:rFonts w:ascii="宋体" w:hAnsi="宋体" w:cs="宋体"/>
          <w:sz w:val="21"/>
          <w:szCs w:val="21"/>
          <w:highlight w:val="none"/>
          <w:u w:val="single"/>
        </w:rPr>
      </w:pPr>
      <w:r>
        <w:rPr>
          <w:rFonts w:hint="eastAsia" w:ascii="宋体"/>
          <w:sz w:val="21"/>
          <w:szCs w:val="21"/>
          <w:highlight w:val="none"/>
        </w:rPr>
        <w:t>项</w:t>
      </w:r>
      <w:r>
        <w:rPr>
          <w:rFonts w:hint="eastAsia" w:ascii="宋体" w:hAnsi="宋体" w:cs="宋体"/>
          <w:sz w:val="21"/>
          <w:szCs w:val="21"/>
          <w:highlight w:val="none"/>
        </w:rPr>
        <w:t xml:space="preserve">目名称： </w:t>
      </w:r>
      <w:r>
        <w:rPr>
          <w:rFonts w:hint="eastAsia" w:ascii="宋体" w:hAnsi="宋体" w:cs="宋体"/>
          <w:sz w:val="21"/>
          <w:szCs w:val="21"/>
          <w:highlight w:val="none"/>
          <w:u w:val="single"/>
        </w:rPr>
        <w:t xml:space="preserve">                       </w:t>
      </w:r>
    </w:p>
    <w:p w14:paraId="651B7A6E">
      <w:pPr>
        <w:adjustRightInd w:val="0"/>
        <w:snapToGrid w:val="0"/>
        <w:spacing w:line="300" w:lineRule="auto"/>
        <w:rPr>
          <w:rFonts w:ascii="宋体" w:hAnsi="宋体" w:cs="宋体"/>
          <w:snapToGrid w:val="0"/>
          <w:sz w:val="21"/>
          <w:szCs w:val="21"/>
          <w:highlight w:val="none"/>
        </w:rPr>
      </w:pPr>
      <w:r>
        <w:rPr>
          <w:rFonts w:hint="eastAsia" w:ascii="宋体" w:hAnsi="宋体" w:cs="宋体"/>
          <w:sz w:val="21"/>
          <w:szCs w:val="21"/>
          <w:highlight w:val="none"/>
        </w:rPr>
        <w:t>项目编号：</w:t>
      </w:r>
      <w:r>
        <w:rPr>
          <w:rFonts w:hint="eastAsia" w:ascii="宋体" w:hAnsi="宋体" w:cs="宋体"/>
          <w:i/>
          <w:iCs/>
          <w:sz w:val="21"/>
          <w:szCs w:val="21"/>
          <w:highlight w:val="none"/>
        </w:rPr>
        <w:t xml:space="preserve"> </w:t>
      </w:r>
      <w:r>
        <w:rPr>
          <w:rFonts w:hint="eastAsia" w:ascii="宋体" w:hAnsi="宋体" w:cs="宋体"/>
          <w:sz w:val="21"/>
          <w:szCs w:val="21"/>
          <w:highlight w:val="none"/>
          <w:u w:val="single"/>
        </w:rPr>
        <w:t xml:space="preserve">                       </w:t>
      </w:r>
    </w:p>
    <w:tbl>
      <w:tblPr>
        <w:tblStyle w:val="43"/>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1641"/>
      </w:tblGrid>
      <w:tr w14:paraId="3354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5E4DA939">
            <w:pPr>
              <w:jc w:val="center"/>
              <w:rPr>
                <w:rFonts w:ascii="宋体" w:hAnsi="宋体" w:cs="宋体"/>
                <w:b/>
                <w:sz w:val="21"/>
                <w:szCs w:val="21"/>
                <w:highlight w:val="none"/>
              </w:rPr>
            </w:pPr>
            <w:r>
              <w:rPr>
                <w:rFonts w:hint="eastAsia" w:ascii="宋体" w:hAnsi="宋体" w:cs="宋体"/>
                <w:b/>
                <w:sz w:val="21"/>
                <w:szCs w:val="21"/>
                <w:highlight w:val="none"/>
              </w:rPr>
              <w:t>序号</w:t>
            </w:r>
          </w:p>
        </w:tc>
        <w:tc>
          <w:tcPr>
            <w:tcW w:w="2352" w:type="dxa"/>
            <w:vAlign w:val="center"/>
          </w:tcPr>
          <w:p w14:paraId="127117DE">
            <w:pPr>
              <w:jc w:val="center"/>
              <w:rPr>
                <w:rFonts w:ascii="宋体" w:hAnsi="宋体" w:cs="宋体"/>
                <w:b/>
                <w:sz w:val="21"/>
                <w:szCs w:val="21"/>
                <w:highlight w:val="none"/>
              </w:rPr>
            </w:pPr>
            <w:r>
              <w:rPr>
                <w:rFonts w:hint="eastAsia" w:ascii="宋体" w:hAnsi="宋体" w:cs="宋体"/>
                <w:b/>
                <w:sz w:val="21"/>
                <w:szCs w:val="21"/>
                <w:highlight w:val="none"/>
              </w:rPr>
              <w:t>招标文件要求</w:t>
            </w:r>
          </w:p>
        </w:tc>
        <w:tc>
          <w:tcPr>
            <w:tcW w:w="2126" w:type="dxa"/>
            <w:vAlign w:val="center"/>
          </w:tcPr>
          <w:p w14:paraId="798B18F4">
            <w:pPr>
              <w:jc w:val="center"/>
              <w:rPr>
                <w:rFonts w:ascii="宋体" w:hAnsi="宋体" w:cs="宋体"/>
                <w:b/>
                <w:sz w:val="21"/>
                <w:szCs w:val="21"/>
                <w:highlight w:val="none"/>
              </w:rPr>
            </w:pPr>
            <w:r>
              <w:rPr>
                <w:rFonts w:hint="eastAsia" w:ascii="宋体" w:hAnsi="宋体" w:cs="宋体"/>
                <w:b/>
                <w:bCs/>
                <w:sz w:val="21"/>
                <w:szCs w:val="21"/>
                <w:highlight w:val="none"/>
              </w:rPr>
              <w:t>投标文件响应内容</w:t>
            </w:r>
          </w:p>
        </w:tc>
        <w:tc>
          <w:tcPr>
            <w:tcW w:w="1644" w:type="dxa"/>
            <w:vAlign w:val="center"/>
          </w:tcPr>
          <w:p w14:paraId="126AB406">
            <w:pPr>
              <w:ind w:left="293" w:hanging="293" w:hangingChars="139"/>
              <w:jc w:val="center"/>
              <w:rPr>
                <w:rFonts w:ascii="宋体" w:hAnsi="宋体" w:cs="宋体"/>
                <w:b/>
                <w:sz w:val="21"/>
                <w:szCs w:val="21"/>
                <w:highlight w:val="none"/>
              </w:rPr>
            </w:pPr>
            <w:r>
              <w:rPr>
                <w:rFonts w:hint="eastAsia" w:ascii="宋体" w:hAnsi="宋体" w:cs="宋体"/>
                <w:b/>
                <w:sz w:val="21"/>
                <w:szCs w:val="21"/>
                <w:highlight w:val="none"/>
              </w:rPr>
              <w:t>偏离情况</w:t>
            </w:r>
          </w:p>
        </w:tc>
        <w:tc>
          <w:tcPr>
            <w:tcW w:w="1641" w:type="dxa"/>
            <w:vAlign w:val="center"/>
          </w:tcPr>
          <w:p w14:paraId="0C1B2A2D">
            <w:pPr>
              <w:jc w:val="center"/>
              <w:rPr>
                <w:rFonts w:ascii="宋体" w:hAnsi="宋体" w:cs="宋体"/>
                <w:b/>
                <w:sz w:val="21"/>
                <w:szCs w:val="21"/>
                <w:highlight w:val="none"/>
              </w:rPr>
            </w:pPr>
            <w:r>
              <w:rPr>
                <w:rFonts w:hint="eastAsia" w:ascii="宋体" w:hAnsi="宋体" w:cs="宋体"/>
                <w:b/>
                <w:sz w:val="21"/>
                <w:szCs w:val="21"/>
                <w:highlight w:val="none"/>
              </w:rPr>
              <w:t>说明</w:t>
            </w:r>
          </w:p>
        </w:tc>
      </w:tr>
      <w:tr w14:paraId="37BB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34DFEBB8">
            <w:pPr>
              <w:spacing w:line="360" w:lineRule="auto"/>
              <w:jc w:val="center"/>
              <w:rPr>
                <w:rFonts w:ascii="宋体" w:hAnsi="宋体" w:cs="宋体"/>
                <w:sz w:val="21"/>
                <w:szCs w:val="21"/>
                <w:highlight w:val="none"/>
              </w:rPr>
            </w:pPr>
          </w:p>
        </w:tc>
        <w:tc>
          <w:tcPr>
            <w:tcW w:w="2352" w:type="dxa"/>
            <w:vAlign w:val="center"/>
          </w:tcPr>
          <w:p w14:paraId="4926EB96">
            <w:pPr>
              <w:spacing w:line="360" w:lineRule="auto"/>
              <w:jc w:val="center"/>
              <w:rPr>
                <w:rFonts w:ascii="宋体" w:hAnsi="宋体" w:cs="宋体"/>
                <w:sz w:val="21"/>
                <w:szCs w:val="21"/>
                <w:highlight w:val="none"/>
              </w:rPr>
            </w:pPr>
          </w:p>
        </w:tc>
        <w:tc>
          <w:tcPr>
            <w:tcW w:w="2126" w:type="dxa"/>
            <w:vAlign w:val="center"/>
          </w:tcPr>
          <w:p w14:paraId="1D542620">
            <w:pPr>
              <w:spacing w:line="360" w:lineRule="auto"/>
              <w:jc w:val="center"/>
              <w:rPr>
                <w:rFonts w:ascii="宋体" w:hAnsi="宋体" w:cs="宋体"/>
                <w:sz w:val="21"/>
                <w:szCs w:val="21"/>
                <w:highlight w:val="none"/>
              </w:rPr>
            </w:pPr>
          </w:p>
        </w:tc>
        <w:tc>
          <w:tcPr>
            <w:tcW w:w="1644" w:type="dxa"/>
            <w:vAlign w:val="center"/>
          </w:tcPr>
          <w:p w14:paraId="0BAF8E74">
            <w:pPr>
              <w:spacing w:line="360" w:lineRule="auto"/>
              <w:jc w:val="center"/>
              <w:rPr>
                <w:rFonts w:ascii="宋体" w:hAnsi="宋体" w:cs="宋体"/>
                <w:sz w:val="21"/>
                <w:szCs w:val="21"/>
                <w:highlight w:val="none"/>
              </w:rPr>
            </w:pPr>
          </w:p>
        </w:tc>
        <w:tc>
          <w:tcPr>
            <w:tcW w:w="1641" w:type="dxa"/>
            <w:vAlign w:val="center"/>
          </w:tcPr>
          <w:p w14:paraId="766F53B1">
            <w:pPr>
              <w:spacing w:line="360" w:lineRule="auto"/>
              <w:jc w:val="center"/>
              <w:rPr>
                <w:rFonts w:ascii="宋体" w:hAnsi="宋体" w:cs="宋体"/>
                <w:sz w:val="21"/>
                <w:szCs w:val="21"/>
                <w:highlight w:val="none"/>
              </w:rPr>
            </w:pPr>
          </w:p>
        </w:tc>
      </w:tr>
      <w:tr w14:paraId="19D8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20DA8ED3">
            <w:pPr>
              <w:spacing w:line="360" w:lineRule="auto"/>
              <w:jc w:val="center"/>
              <w:rPr>
                <w:rFonts w:ascii="宋体" w:hAnsi="宋体" w:cs="宋体"/>
                <w:sz w:val="21"/>
                <w:szCs w:val="21"/>
                <w:highlight w:val="none"/>
              </w:rPr>
            </w:pPr>
          </w:p>
        </w:tc>
        <w:tc>
          <w:tcPr>
            <w:tcW w:w="2352" w:type="dxa"/>
            <w:vAlign w:val="center"/>
          </w:tcPr>
          <w:p w14:paraId="2E4EFF6E">
            <w:pPr>
              <w:spacing w:line="360" w:lineRule="auto"/>
              <w:jc w:val="center"/>
              <w:rPr>
                <w:rFonts w:ascii="宋体" w:hAnsi="宋体" w:cs="宋体"/>
                <w:sz w:val="21"/>
                <w:szCs w:val="21"/>
                <w:highlight w:val="none"/>
              </w:rPr>
            </w:pPr>
          </w:p>
        </w:tc>
        <w:tc>
          <w:tcPr>
            <w:tcW w:w="2126" w:type="dxa"/>
            <w:vAlign w:val="center"/>
          </w:tcPr>
          <w:p w14:paraId="13A99FA1">
            <w:pPr>
              <w:spacing w:line="360" w:lineRule="auto"/>
              <w:jc w:val="center"/>
              <w:rPr>
                <w:rFonts w:ascii="宋体" w:hAnsi="宋体" w:cs="宋体"/>
                <w:sz w:val="21"/>
                <w:szCs w:val="21"/>
                <w:highlight w:val="none"/>
              </w:rPr>
            </w:pPr>
          </w:p>
        </w:tc>
        <w:tc>
          <w:tcPr>
            <w:tcW w:w="1644" w:type="dxa"/>
            <w:vAlign w:val="center"/>
          </w:tcPr>
          <w:p w14:paraId="0ADC9A37">
            <w:pPr>
              <w:spacing w:line="360" w:lineRule="auto"/>
              <w:jc w:val="center"/>
              <w:rPr>
                <w:rFonts w:ascii="宋体" w:hAnsi="宋体" w:cs="宋体"/>
                <w:sz w:val="21"/>
                <w:szCs w:val="21"/>
                <w:highlight w:val="none"/>
              </w:rPr>
            </w:pPr>
          </w:p>
        </w:tc>
        <w:tc>
          <w:tcPr>
            <w:tcW w:w="1641" w:type="dxa"/>
            <w:vAlign w:val="center"/>
          </w:tcPr>
          <w:p w14:paraId="6AB6B2D1">
            <w:pPr>
              <w:spacing w:line="360" w:lineRule="auto"/>
              <w:jc w:val="center"/>
              <w:rPr>
                <w:rFonts w:ascii="宋体" w:hAnsi="宋体" w:cs="宋体"/>
                <w:sz w:val="21"/>
                <w:szCs w:val="21"/>
                <w:highlight w:val="none"/>
              </w:rPr>
            </w:pPr>
          </w:p>
        </w:tc>
      </w:tr>
      <w:tr w14:paraId="018E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433F2A16">
            <w:pPr>
              <w:spacing w:line="360" w:lineRule="auto"/>
              <w:jc w:val="center"/>
              <w:rPr>
                <w:rFonts w:ascii="宋体" w:hAnsi="宋体" w:cs="宋体"/>
                <w:sz w:val="21"/>
                <w:szCs w:val="21"/>
                <w:highlight w:val="none"/>
              </w:rPr>
            </w:pPr>
          </w:p>
        </w:tc>
        <w:tc>
          <w:tcPr>
            <w:tcW w:w="2352" w:type="dxa"/>
            <w:vAlign w:val="center"/>
          </w:tcPr>
          <w:p w14:paraId="34CD3FB3">
            <w:pPr>
              <w:spacing w:line="360" w:lineRule="auto"/>
              <w:jc w:val="center"/>
              <w:rPr>
                <w:rFonts w:ascii="宋体" w:hAnsi="宋体" w:cs="宋体"/>
                <w:sz w:val="21"/>
                <w:szCs w:val="21"/>
                <w:highlight w:val="none"/>
              </w:rPr>
            </w:pPr>
          </w:p>
        </w:tc>
        <w:tc>
          <w:tcPr>
            <w:tcW w:w="2126" w:type="dxa"/>
            <w:vAlign w:val="center"/>
          </w:tcPr>
          <w:p w14:paraId="62B38D92">
            <w:pPr>
              <w:spacing w:line="360" w:lineRule="auto"/>
              <w:jc w:val="center"/>
              <w:rPr>
                <w:rFonts w:ascii="宋体" w:hAnsi="宋体" w:cs="宋体"/>
                <w:sz w:val="21"/>
                <w:szCs w:val="21"/>
                <w:highlight w:val="none"/>
              </w:rPr>
            </w:pPr>
          </w:p>
        </w:tc>
        <w:tc>
          <w:tcPr>
            <w:tcW w:w="1644" w:type="dxa"/>
            <w:vAlign w:val="center"/>
          </w:tcPr>
          <w:p w14:paraId="165A8B76">
            <w:pPr>
              <w:spacing w:line="360" w:lineRule="auto"/>
              <w:jc w:val="center"/>
              <w:rPr>
                <w:rFonts w:ascii="宋体" w:hAnsi="宋体" w:cs="宋体"/>
                <w:sz w:val="21"/>
                <w:szCs w:val="21"/>
                <w:highlight w:val="none"/>
              </w:rPr>
            </w:pPr>
          </w:p>
        </w:tc>
        <w:tc>
          <w:tcPr>
            <w:tcW w:w="1641" w:type="dxa"/>
            <w:vAlign w:val="center"/>
          </w:tcPr>
          <w:p w14:paraId="4734BAF5">
            <w:pPr>
              <w:spacing w:line="360" w:lineRule="auto"/>
              <w:jc w:val="center"/>
              <w:rPr>
                <w:rFonts w:ascii="宋体" w:hAnsi="宋体" w:cs="宋体"/>
                <w:sz w:val="21"/>
                <w:szCs w:val="21"/>
                <w:highlight w:val="none"/>
              </w:rPr>
            </w:pPr>
          </w:p>
        </w:tc>
      </w:tr>
      <w:tr w14:paraId="7CD4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588C4A70">
            <w:pPr>
              <w:spacing w:line="360" w:lineRule="auto"/>
              <w:jc w:val="center"/>
              <w:rPr>
                <w:rFonts w:ascii="宋体" w:hAnsi="宋体" w:cs="宋体"/>
                <w:sz w:val="21"/>
                <w:szCs w:val="21"/>
                <w:highlight w:val="none"/>
              </w:rPr>
            </w:pPr>
          </w:p>
        </w:tc>
        <w:tc>
          <w:tcPr>
            <w:tcW w:w="2352" w:type="dxa"/>
            <w:vAlign w:val="center"/>
          </w:tcPr>
          <w:p w14:paraId="063B84C1">
            <w:pPr>
              <w:spacing w:line="360" w:lineRule="auto"/>
              <w:jc w:val="center"/>
              <w:rPr>
                <w:rFonts w:ascii="宋体" w:hAnsi="宋体" w:cs="宋体"/>
                <w:sz w:val="21"/>
                <w:szCs w:val="21"/>
                <w:highlight w:val="none"/>
              </w:rPr>
            </w:pPr>
          </w:p>
        </w:tc>
        <w:tc>
          <w:tcPr>
            <w:tcW w:w="2126" w:type="dxa"/>
            <w:vAlign w:val="center"/>
          </w:tcPr>
          <w:p w14:paraId="53E8E25C">
            <w:pPr>
              <w:spacing w:line="360" w:lineRule="auto"/>
              <w:jc w:val="center"/>
              <w:rPr>
                <w:rFonts w:ascii="宋体" w:hAnsi="宋体" w:cs="宋体"/>
                <w:sz w:val="21"/>
                <w:szCs w:val="21"/>
                <w:highlight w:val="none"/>
              </w:rPr>
            </w:pPr>
          </w:p>
        </w:tc>
        <w:tc>
          <w:tcPr>
            <w:tcW w:w="1644" w:type="dxa"/>
            <w:vAlign w:val="center"/>
          </w:tcPr>
          <w:p w14:paraId="7D96136C">
            <w:pPr>
              <w:spacing w:line="360" w:lineRule="auto"/>
              <w:jc w:val="center"/>
              <w:rPr>
                <w:rFonts w:ascii="宋体" w:hAnsi="宋体" w:cs="宋体"/>
                <w:sz w:val="21"/>
                <w:szCs w:val="21"/>
                <w:highlight w:val="none"/>
              </w:rPr>
            </w:pPr>
          </w:p>
        </w:tc>
        <w:tc>
          <w:tcPr>
            <w:tcW w:w="1641" w:type="dxa"/>
            <w:vAlign w:val="center"/>
          </w:tcPr>
          <w:p w14:paraId="111D08B8">
            <w:pPr>
              <w:spacing w:line="360" w:lineRule="auto"/>
              <w:jc w:val="center"/>
              <w:rPr>
                <w:rFonts w:ascii="宋体" w:hAnsi="宋体" w:cs="宋体"/>
                <w:sz w:val="21"/>
                <w:szCs w:val="21"/>
                <w:highlight w:val="none"/>
              </w:rPr>
            </w:pPr>
          </w:p>
        </w:tc>
      </w:tr>
      <w:tr w14:paraId="46C9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2A88148D">
            <w:pPr>
              <w:spacing w:line="360" w:lineRule="auto"/>
              <w:jc w:val="center"/>
              <w:rPr>
                <w:rFonts w:ascii="宋体" w:hAnsi="宋体" w:cs="宋体"/>
                <w:sz w:val="21"/>
                <w:szCs w:val="21"/>
                <w:highlight w:val="none"/>
              </w:rPr>
            </w:pPr>
          </w:p>
        </w:tc>
        <w:tc>
          <w:tcPr>
            <w:tcW w:w="2352" w:type="dxa"/>
            <w:vAlign w:val="center"/>
          </w:tcPr>
          <w:p w14:paraId="1D4BF0C6">
            <w:pPr>
              <w:spacing w:line="360" w:lineRule="auto"/>
              <w:jc w:val="center"/>
              <w:rPr>
                <w:rFonts w:ascii="宋体" w:hAnsi="宋体" w:cs="宋体"/>
                <w:sz w:val="21"/>
                <w:szCs w:val="21"/>
                <w:highlight w:val="none"/>
              </w:rPr>
            </w:pPr>
          </w:p>
        </w:tc>
        <w:tc>
          <w:tcPr>
            <w:tcW w:w="2126" w:type="dxa"/>
            <w:vAlign w:val="center"/>
          </w:tcPr>
          <w:p w14:paraId="1E5FDA8B">
            <w:pPr>
              <w:spacing w:line="360" w:lineRule="auto"/>
              <w:jc w:val="center"/>
              <w:rPr>
                <w:rFonts w:ascii="宋体" w:hAnsi="宋体" w:cs="宋体"/>
                <w:sz w:val="21"/>
                <w:szCs w:val="21"/>
                <w:highlight w:val="none"/>
              </w:rPr>
            </w:pPr>
          </w:p>
        </w:tc>
        <w:tc>
          <w:tcPr>
            <w:tcW w:w="1644" w:type="dxa"/>
            <w:vAlign w:val="center"/>
          </w:tcPr>
          <w:p w14:paraId="33A0FF74">
            <w:pPr>
              <w:spacing w:line="360" w:lineRule="auto"/>
              <w:jc w:val="center"/>
              <w:rPr>
                <w:rFonts w:ascii="宋体" w:hAnsi="宋体" w:cs="宋体"/>
                <w:sz w:val="21"/>
                <w:szCs w:val="21"/>
                <w:highlight w:val="none"/>
              </w:rPr>
            </w:pPr>
          </w:p>
        </w:tc>
        <w:tc>
          <w:tcPr>
            <w:tcW w:w="1641" w:type="dxa"/>
            <w:vAlign w:val="center"/>
          </w:tcPr>
          <w:p w14:paraId="729081F7">
            <w:pPr>
              <w:spacing w:line="360" w:lineRule="auto"/>
              <w:jc w:val="center"/>
              <w:rPr>
                <w:rFonts w:ascii="宋体" w:hAnsi="宋体" w:cs="宋体"/>
                <w:sz w:val="21"/>
                <w:szCs w:val="21"/>
                <w:highlight w:val="none"/>
              </w:rPr>
            </w:pPr>
          </w:p>
        </w:tc>
      </w:tr>
    </w:tbl>
    <w:p w14:paraId="73750488">
      <w:pPr>
        <w:spacing w:before="120" w:beforeLines="50" w:line="288" w:lineRule="auto"/>
        <w:rPr>
          <w:rFonts w:ascii="宋体" w:hAnsi="宋体" w:cs="宋体"/>
          <w:sz w:val="21"/>
          <w:szCs w:val="21"/>
          <w:highlight w:val="none"/>
        </w:rPr>
      </w:pPr>
      <w:r>
        <w:rPr>
          <w:rFonts w:hint="eastAsia" w:ascii="宋体" w:hAnsi="宋体" w:cs="宋体"/>
          <w:sz w:val="21"/>
          <w:szCs w:val="21"/>
          <w:highlight w:val="none"/>
        </w:rPr>
        <w:t>注明：</w:t>
      </w:r>
    </w:p>
    <w:p w14:paraId="224E0F55">
      <w:pPr>
        <w:pStyle w:val="91"/>
        <w:numPr>
          <w:ilvl w:val="0"/>
          <w:numId w:val="0"/>
        </w:numPr>
        <w:spacing w:line="288" w:lineRule="auto"/>
        <w:ind w:leftChars="0"/>
        <w:rPr>
          <w:rFonts w:ascii="宋体" w:hAnsi="宋体" w:cs="宋体"/>
          <w:szCs w:val="21"/>
          <w:highlight w:val="none"/>
        </w:rPr>
      </w:pPr>
      <w:r>
        <w:rPr>
          <w:rFonts w:hint="eastAsia" w:ascii="宋体" w:hAnsi="宋体" w:cs="宋体"/>
          <w:bCs/>
          <w:szCs w:val="21"/>
          <w:highlight w:val="none"/>
          <w:lang w:val="en-US" w:eastAsia="zh-CN"/>
        </w:rPr>
        <w:t>1)</w:t>
      </w:r>
      <w:r>
        <w:rPr>
          <w:rFonts w:hint="eastAsia" w:ascii="宋体" w:hAnsi="宋体" w:cs="宋体"/>
          <w:bCs/>
          <w:szCs w:val="21"/>
          <w:highlight w:val="none"/>
        </w:rPr>
        <w:t>偏离情况项填写“正”、“负”或“无”，说明项中填写原因。</w:t>
      </w:r>
    </w:p>
    <w:p w14:paraId="2CD6A88E">
      <w:pPr>
        <w:pStyle w:val="91"/>
        <w:numPr>
          <w:ilvl w:val="0"/>
          <w:numId w:val="0"/>
        </w:numPr>
        <w:spacing w:line="288" w:lineRule="auto"/>
        <w:ind w:leftChars="0"/>
        <w:rPr>
          <w:rFonts w:ascii="宋体" w:hAnsi="宋体" w:cs="宋体"/>
          <w:bCs/>
          <w:szCs w:val="21"/>
          <w:highlight w:val="none"/>
        </w:rPr>
      </w:pPr>
      <w:r>
        <w:rPr>
          <w:rFonts w:hint="eastAsia" w:ascii="宋体" w:hAnsi="宋体" w:cs="宋体"/>
          <w:bCs/>
          <w:szCs w:val="21"/>
          <w:highlight w:val="none"/>
          <w:lang w:val="en-US" w:eastAsia="zh-CN"/>
        </w:rPr>
        <w:t>2)</w:t>
      </w:r>
      <w:r>
        <w:rPr>
          <w:rFonts w:hint="eastAsia" w:ascii="宋体" w:hAnsi="宋体" w:cs="宋体"/>
          <w:bCs/>
          <w:szCs w:val="21"/>
          <w:highlight w:val="none"/>
        </w:rPr>
        <w:t>供应商应按照招标文件要求逐条填写响应情况，对响应有偏离的，则说明偏离的内容，若有要求提供相关证明资料的，须按要求提供，否则视为负偏离。</w:t>
      </w:r>
    </w:p>
    <w:p w14:paraId="1D3A6337">
      <w:pPr>
        <w:pStyle w:val="18"/>
        <w:adjustRightInd w:val="0"/>
        <w:snapToGrid w:val="0"/>
        <w:spacing w:line="300" w:lineRule="auto"/>
        <w:ind w:left="400"/>
        <w:rPr>
          <w:rFonts w:ascii="宋体" w:hAnsi="宋体"/>
          <w:b/>
          <w:bCs/>
          <w:snapToGrid w:val="0"/>
          <w:sz w:val="21"/>
          <w:szCs w:val="21"/>
          <w:highlight w:val="none"/>
        </w:rPr>
      </w:pPr>
    </w:p>
    <w:p w14:paraId="56B91BB2">
      <w:pPr>
        <w:pStyle w:val="18"/>
        <w:adjustRightInd w:val="0"/>
        <w:snapToGrid w:val="0"/>
        <w:spacing w:line="300" w:lineRule="auto"/>
        <w:ind w:left="400"/>
        <w:rPr>
          <w:rFonts w:ascii="宋体" w:hAnsi="宋体"/>
          <w:b/>
          <w:bCs/>
          <w:snapToGrid w:val="0"/>
          <w:sz w:val="21"/>
          <w:szCs w:val="21"/>
          <w:highlight w:val="none"/>
        </w:rPr>
      </w:pPr>
    </w:p>
    <w:p w14:paraId="1D6A3D9A">
      <w:pPr>
        <w:pStyle w:val="18"/>
        <w:adjustRightInd w:val="0"/>
        <w:snapToGrid w:val="0"/>
        <w:spacing w:line="300" w:lineRule="auto"/>
        <w:ind w:left="400"/>
        <w:rPr>
          <w:rFonts w:ascii="宋体" w:hAnsi="宋体"/>
          <w:b/>
          <w:bCs/>
          <w:snapToGrid w:val="0"/>
          <w:sz w:val="21"/>
          <w:szCs w:val="21"/>
          <w:highlight w:val="none"/>
        </w:rPr>
      </w:pPr>
    </w:p>
    <w:p w14:paraId="29F32748">
      <w:pPr>
        <w:pStyle w:val="18"/>
        <w:adjustRightInd w:val="0"/>
        <w:snapToGrid w:val="0"/>
        <w:spacing w:line="300" w:lineRule="auto"/>
        <w:ind w:left="400"/>
        <w:rPr>
          <w:rFonts w:ascii="宋体" w:hAnsi="宋体"/>
          <w:b/>
          <w:bCs/>
          <w:snapToGrid w:val="0"/>
          <w:sz w:val="21"/>
          <w:szCs w:val="21"/>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51CC68DE">
        <w:trPr>
          <w:trHeight w:val="680" w:hRule="atLeast"/>
        </w:trPr>
        <w:tc>
          <w:tcPr>
            <w:tcW w:w="5353" w:type="dxa"/>
            <w:shd w:val="clear" w:color="auto" w:fill="auto"/>
          </w:tcPr>
          <w:p w14:paraId="39C8C262">
            <w:pPr>
              <w:overflowPunct w:val="0"/>
              <w:adjustRightInd w:val="0"/>
              <w:spacing w:line="288" w:lineRule="auto"/>
              <w:rPr>
                <w:rFonts w:ascii="宋体" w:hAnsi="宋体" w:cs="宋体"/>
                <w:sz w:val="21"/>
                <w:szCs w:val="21"/>
                <w:highlight w:val="none"/>
              </w:rPr>
            </w:pPr>
            <w:r>
              <w:rPr>
                <w:rFonts w:hint="eastAsia" w:ascii="宋体" w:hAnsi="宋体" w:cs="宋体"/>
                <w:sz w:val="21"/>
                <w:szCs w:val="21"/>
                <w:highlight w:val="none"/>
              </w:rPr>
              <w:t>供应商名称（加盖公章）：</w:t>
            </w:r>
            <w:r>
              <w:rPr>
                <w:rFonts w:hint="eastAsia" w:ascii="宋体" w:hAnsi="宋体" w:cs="宋体"/>
                <w:sz w:val="21"/>
                <w:szCs w:val="21"/>
                <w:highlight w:val="none"/>
                <w:u w:val="single"/>
              </w:rPr>
              <w:t xml:space="preserve">                         </w:t>
            </w:r>
          </w:p>
        </w:tc>
        <w:tc>
          <w:tcPr>
            <w:tcW w:w="3175" w:type="dxa"/>
            <w:shd w:val="clear" w:color="auto" w:fill="auto"/>
          </w:tcPr>
          <w:p w14:paraId="5600B1A9">
            <w:pPr>
              <w:spacing w:line="288" w:lineRule="auto"/>
              <w:rPr>
                <w:rFonts w:ascii="宋体" w:hAnsi="宋体" w:cs="宋体"/>
                <w:sz w:val="21"/>
                <w:szCs w:val="21"/>
                <w:highlight w:val="none"/>
              </w:rPr>
            </w:pPr>
          </w:p>
        </w:tc>
      </w:tr>
      <w:tr w14:paraId="000DD581">
        <w:tblPrEx>
          <w:tblCellMar>
            <w:top w:w="0" w:type="dxa"/>
            <w:left w:w="108" w:type="dxa"/>
            <w:bottom w:w="0" w:type="dxa"/>
            <w:right w:w="108" w:type="dxa"/>
          </w:tblCellMar>
        </w:tblPrEx>
        <w:trPr>
          <w:trHeight w:val="680" w:hRule="atLeast"/>
        </w:trPr>
        <w:tc>
          <w:tcPr>
            <w:tcW w:w="5353" w:type="dxa"/>
            <w:shd w:val="clear" w:color="auto" w:fill="auto"/>
          </w:tcPr>
          <w:p w14:paraId="652E46F2">
            <w:pPr>
              <w:overflowPunct w:val="0"/>
              <w:adjustRightInd w:val="0"/>
              <w:spacing w:line="288" w:lineRule="auto"/>
              <w:rPr>
                <w:rFonts w:ascii="宋体" w:hAnsi="宋体" w:cs="宋体"/>
                <w:sz w:val="21"/>
                <w:szCs w:val="21"/>
                <w:highlight w:val="none"/>
              </w:rPr>
            </w:pPr>
            <w:r>
              <w:rPr>
                <w:rFonts w:hint="eastAsia" w:ascii="宋体" w:hAnsi="宋体" w:cs="宋体"/>
                <w:sz w:val="21"/>
                <w:szCs w:val="21"/>
                <w:highlight w:val="none"/>
              </w:rPr>
              <w:t xml:space="preserve">法定代表人或其委托代理人（签字）： </w:t>
            </w:r>
            <w:r>
              <w:rPr>
                <w:rFonts w:hint="eastAsia" w:ascii="宋体" w:hAnsi="宋体" w:cs="宋体"/>
                <w:sz w:val="21"/>
                <w:szCs w:val="21"/>
                <w:highlight w:val="none"/>
                <w:u w:val="single"/>
              </w:rPr>
              <w:t xml:space="preserve">              </w:t>
            </w:r>
          </w:p>
        </w:tc>
        <w:tc>
          <w:tcPr>
            <w:tcW w:w="3175" w:type="dxa"/>
            <w:shd w:val="clear" w:color="auto" w:fill="auto"/>
          </w:tcPr>
          <w:p w14:paraId="3945F472">
            <w:pPr>
              <w:spacing w:line="288" w:lineRule="auto"/>
              <w:rPr>
                <w:rFonts w:ascii="宋体" w:hAnsi="宋体" w:cs="宋体"/>
                <w:sz w:val="21"/>
                <w:szCs w:val="21"/>
                <w:highlight w:val="none"/>
              </w:rPr>
            </w:pPr>
          </w:p>
        </w:tc>
      </w:tr>
      <w:tr w14:paraId="03736D92">
        <w:tblPrEx>
          <w:tblCellMar>
            <w:top w:w="0" w:type="dxa"/>
            <w:left w:w="108" w:type="dxa"/>
            <w:bottom w:w="0" w:type="dxa"/>
            <w:right w:w="108" w:type="dxa"/>
          </w:tblCellMar>
        </w:tblPrEx>
        <w:trPr>
          <w:trHeight w:val="680" w:hRule="atLeast"/>
        </w:trPr>
        <w:tc>
          <w:tcPr>
            <w:tcW w:w="5353" w:type="dxa"/>
            <w:shd w:val="clear" w:color="auto" w:fill="auto"/>
          </w:tcPr>
          <w:p w14:paraId="7EA4116C">
            <w:pPr>
              <w:spacing w:line="288" w:lineRule="auto"/>
              <w:rPr>
                <w:rFonts w:ascii="宋体" w:hAnsi="宋体" w:cs="宋体"/>
                <w:sz w:val="21"/>
                <w:szCs w:val="21"/>
                <w:highlight w:val="none"/>
              </w:rPr>
            </w:pPr>
            <w:r>
              <w:rPr>
                <w:rFonts w:hint="eastAsia" w:ascii="宋体" w:hAnsi="宋体" w:cs="宋体"/>
                <w:sz w:val="21"/>
                <w:szCs w:val="21"/>
                <w:highlight w:val="none"/>
              </w:rPr>
              <w:t>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月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日</w:t>
            </w:r>
          </w:p>
        </w:tc>
        <w:tc>
          <w:tcPr>
            <w:tcW w:w="3175" w:type="dxa"/>
            <w:shd w:val="clear" w:color="auto" w:fill="auto"/>
          </w:tcPr>
          <w:p w14:paraId="2EF9CBE2">
            <w:pPr>
              <w:spacing w:line="288" w:lineRule="auto"/>
              <w:rPr>
                <w:rFonts w:ascii="宋体" w:hAnsi="宋体" w:cs="宋体"/>
                <w:sz w:val="21"/>
                <w:szCs w:val="21"/>
                <w:highlight w:val="none"/>
              </w:rPr>
            </w:pPr>
          </w:p>
        </w:tc>
      </w:tr>
    </w:tbl>
    <w:p w14:paraId="3A8D3BE7">
      <w:pPr>
        <w:rPr>
          <w:rFonts w:asciiTheme="minorEastAsia" w:hAnsiTheme="minorEastAsia" w:eastAsiaTheme="minorEastAsia" w:cstheme="minorEastAsia"/>
          <w:color w:val="000000" w:themeColor="text1"/>
          <w:highlight w:val="none"/>
          <w14:textFill>
            <w14:solidFill>
              <w14:schemeClr w14:val="tx1"/>
            </w14:solidFill>
          </w14:textFill>
        </w:rPr>
      </w:pPr>
    </w:p>
    <w:p w14:paraId="6465D347">
      <w:pPr>
        <w:spacing w:line="360" w:lineRule="auto"/>
        <w:rPr>
          <w:b/>
          <w:bCs/>
          <w:sz w:val="24"/>
          <w:szCs w:val="24"/>
          <w:highlight w:val="none"/>
        </w:rPr>
      </w:pPr>
    </w:p>
    <w:p w14:paraId="2B60F2E1">
      <w:pPr>
        <w:spacing w:line="360" w:lineRule="auto"/>
        <w:ind w:firstLine="480" w:firstLineChars="200"/>
        <w:rPr>
          <w:b/>
          <w:bCs/>
          <w:sz w:val="24"/>
          <w:szCs w:val="24"/>
          <w:highlight w:val="none"/>
        </w:rPr>
      </w:pPr>
      <w:r>
        <w:rPr>
          <w:rFonts w:hint="eastAsia"/>
          <w:sz w:val="24"/>
          <w:szCs w:val="24"/>
          <w:highlight w:val="none"/>
        </w:rPr>
        <w:t>后附：招标文件采购需求和评标办法技术部分技术响应情况评审标准要求提供的证明材料。</w:t>
      </w:r>
    </w:p>
    <w:p w14:paraId="617C3D17">
      <w:pPr>
        <w:spacing w:line="360" w:lineRule="auto"/>
        <w:ind w:firstLine="482" w:firstLineChars="200"/>
        <w:rPr>
          <w:sz w:val="24"/>
          <w:szCs w:val="24"/>
          <w:highlight w:val="none"/>
        </w:rPr>
      </w:pPr>
      <w:r>
        <w:rPr>
          <w:rFonts w:hint="eastAsia"/>
          <w:b/>
          <w:bCs/>
          <w:sz w:val="24"/>
          <w:szCs w:val="24"/>
          <w:highlight w:val="none"/>
        </w:rPr>
        <w:t>特别说明：供应商编制投标文件时请按评审标准“技术</w:t>
      </w:r>
      <w:r>
        <w:rPr>
          <w:rFonts w:hint="eastAsia"/>
          <w:b/>
          <w:bCs/>
          <w:sz w:val="24"/>
          <w:szCs w:val="24"/>
          <w:highlight w:val="none"/>
          <w:lang w:val="en-US" w:eastAsia="zh-CN"/>
        </w:rPr>
        <w:t>标</w:t>
      </w:r>
      <w:r>
        <w:rPr>
          <w:rFonts w:hint="eastAsia"/>
          <w:b/>
          <w:bCs/>
          <w:sz w:val="24"/>
          <w:szCs w:val="24"/>
          <w:highlight w:val="none"/>
        </w:rPr>
        <w:t>响应情况”要求点对点提供证明材料，并按先后顺序标明序号（例：1、***项或★项证明材料），因标注不清楚或未做标注将可能导致评标委员会未能赋分。</w:t>
      </w:r>
    </w:p>
    <w:p w14:paraId="783A5DCE">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bCs/>
          <w:kern w:val="2"/>
          <w:sz w:val="32"/>
          <w:szCs w:val="32"/>
          <w:highlight w:val="none"/>
        </w:rPr>
        <w:br w:type="page"/>
      </w:r>
      <w:bookmarkEnd w:id="84"/>
      <w:bookmarkEnd w:id="85"/>
      <w:r>
        <w:rPr>
          <w:rFonts w:hint="eastAsia" w:ascii="宋体" w:hAnsi="宋体" w:cs="宋体"/>
          <w:b/>
          <w:color w:val="000000" w:themeColor="text1"/>
          <w:sz w:val="32"/>
          <w:szCs w:val="32"/>
          <w:highlight w:val="none"/>
          <w14:textFill>
            <w14:solidFill>
              <w14:schemeClr w14:val="tx1"/>
            </w14:solidFill>
          </w14:textFill>
        </w:rPr>
        <w:t>九、实施方案</w:t>
      </w:r>
    </w:p>
    <w:p w14:paraId="69D4820B">
      <w:pPr>
        <w:spacing w:line="360" w:lineRule="auto"/>
        <w:jc w:val="both"/>
        <w:rPr>
          <w:rFonts w:ascii="宋体" w:hAnsi="宋体" w:cs="宋体"/>
          <w:sz w:val="21"/>
          <w:szCs w:val="21"/>
          <w:highlight w:val="none"/>
        </w:rPr>
      </w:pPr>
    </w:p>
    <w:p w14:paraId="1F670895">
      <w:pPr>
        <w:spacing w:line="360" w:lineRule="auto"/>
        <w:jc w:val="both"/>
        <w:rPr>
          <w:rFonts w:ascii="宋体" w:hAnsi="宋体" w:cs="宋体"/>
          <w:sz w:val="21"/>
          <w:szCs w:val="21"/>
          <w:highlight w:val="none"/>
        </w:rPr>
      </w:pPr>
      <w:r>
        <w:rPr>
          <w:rFonts w:hint="eastAsia" w:ascii="宋体" w:hAnsi="宋体" w:cs="宋体"/>
          <w:sz w:val="21"/>
          <w:szCs w:val="21"/>
          <w:highlight w:val="none"/>
        </w:rPr>
        <w:t>实施方案包括但不限于以下内容</w:t>
      </w:r>
    </w:p>
    <w:p w14:paraId="7F8EAC61">
      <w:pPr>
        <w:spacing w:line="360" w:lineRule="auto"/>
        <w:jc w:val="both"/>
        <w:rPr>
          <w:rFonts w:hint="default" w:ascii="宋体" w:hAnsi="宋体" w:cs="宋体"/>
          <w:strike w:val="0"/>
          <w:dstrike w:val="0"/>
          <w:color w:val="000000" w:themeColor="text1"/>
          <w:sz w:val="21"/>
          <w:szCs w:val="21"/>
          <w:highlight w:val="none"/>
          <w:lang w:val="en-US" w:eastAsia="zh-CN"/>
          <w14:textFill>
            <w14:solidFill>
              <w14:schemeClr w14:val="tx1"/>
            </w14:solidFill>
          </w14:textFill>
        </w:rPr>
      </w:pPr>
    </w:p>
    <w:p w14:paraId="1B24527C">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1、</w:t>
      </w:r>
      <w:r>
        <w:rPr>
          <w:rFonts w:hint="eastAsia" w:ascii="宋体" w:hAnsi="宋体" w:cs="宋体"/>
          <w:b/>
          <w:color w:val="000000" w:themeColor="text1"/>
          <w:sz w:val="21"/>
          <w:szCs w:val="21"/>
          <w:highlight w:val="none"/>
          <w14:textFill>
            <w14:solidFill>
              <w14:schemeClr w14:val="tx1"/>
            </w14:solidFill>
          </w14:textFill>
        </w:rPr>
        <w:t>项目服务方案</w:t>
      </w:r>
    </w:p>
    <w:p w14:paraId="789D9CD4">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2、</w:t>
      </w:r>
      <w:r>
        <w:rPr>
          <w:rFonts w:hint="eastAsia" w:ascii="宋体" w:hAnsi="宋体" w:cs="宋体"/>
          <w:b/>
          <w:color w:val="000000" w:themeColor="text1"/>
          <w:sz w:val="21"/>
          <w:szCs w:val="21"/>
          <w:highlight w:val="none"/>
          <w14:textFill>
            <w14:solidFill>
              <w14:schemeClr w14:val="tx1"/>
            </w14:solidFill>
          </w14:textFill>
        </w:rPr>
        <w:t>服务保障措施</w:t>
      </w:r>
    </w:p>
    <w:p w14:paraId="13EEDA08">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3、</w:t>
      </w:r>
      <w:r>
        <w:rPr>
          <w:rFonts w:hint="eastAsia" w:ascii="宋体" w:hAnsi="宋体" w:cs="宋体"/>
          <w:b/>
          <w:color w:val="000000" w:themeColor="text1"/>
          <w:sz w:val="21"/>
          <w:szCs w:val="21"/>
          <w:highlight w:val="none"/>
          <w14:textFill>
            <w14:solidFill>
              <w14:schemeClr w14:val="tx1"/>
            </w14:solidFill>
          </w14:textFill>
        </w:rPr>
        <w:t>质量保障措施</w:t>
      </w:r>
    </w:p>
    <w:p w14:paraId="3F426F00">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4、</w:t>
      </w:r>
      <w:r>
        <w:rPr>
          <w:rFonts w:hint="eastAsia" w:ascii="宋体" w:hAnsi="宋体" w:cs="宋体"/>
          <w:b/>
          <w:color w:val="000000" w:themeColor="text1"/>
          <w:sz w:val="21"/>
          <w:szCs w:val="21"/>
          <w:highlight w:val="none"/>
          <w14:textFill>
            <w14:solidFill>
              <w14:schemeClr w14:val="tx1"/>
            </w14:solidFill>
          </w14:textFill>
        </w:rPr>
        <w:t>售后及服务承诺</w:t>
      </w:r>
    </w:p>
    <w:p w14:paraId="37F3D455">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p>
    <w:p w14:paraId="23EE5DEA">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p>
    <w:p w14:paraId="611B1709">
      <w:pPr>
        <w:spacing w:line="360" w:lineRule="auto"/>
        <w:jc w:val="both"/>
        <w:rPr>
          <w:rFonts w:ascii="宋体" w:hAnsi="宋体" w:cs="宋体"/>
          <w:b/>
          <w:color w:val="000000" w:themeColor="text1"/>
          <w:sz w:val="21"/>
          <w:szCs w:val="21"/>
          <w:highlight w:val="none"/>
          <w14:textFill>
            <w14:solidFill>
              <w14:schemeClr w14:val="tx1"/>
            </w14:solidFill>
          </w14:textFill>
        </w:rPr>
      </w:pPr>
      <w:r>
        <w:rPr>
          <w:rFonts w:ascii="宋体" w:hAnsi="宋体" w:cs="宋体"/>
          <w:b/>
          <w:color w:val="000000" w:themeColor="text1"/>
          <w:sz w:val="21"/>
          <w:szCs w:val="21"/>
          <w:highlight w:val="none"/>
          <w14:textFill>
            <w14:solidFill>
              <w14:schemeClr w14:val="tx1"/>
            </w14:solidFill>
          </w14:textFill>
        </w:rPr>
        <w:br w:type="page"/>
      </w:r>
    </w:p>
    <w:p w14:paraId="10954B43">
      <w:pPr>
        <w:tabs>
          <w:tab w:val="left" w:pos="6300"/>
        </w:tabs>
        <w:snapToGrid w:val="0"/>
        <w:spacing w:line="500" w:lineRule="exact"/>
        <w:jc w:val="center"/>
        <w:rPr>
          <w:rFonts w:hint="eastAsia" w:ascii="微软雅黑" w:hAnsi="微软雅黑" w:eastAsia="微软雅黑" w:cs="微软雅黑"/>
          <w:highlight w:val="none"/>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中小企业声明函</w:t>
      </w:r>
    </w:p>
    <w:p w14:paraId="3B8E018E">
      <w:pPr>
        <w:tabs>
          <w:tab w:val="left" w:pos="6300"/>
        </w:tabs>
        <w:snapToGrid w:val="0"/>
        <w:spacing w:line="500" w:lineRule="exact"/>
        <w:ind w:firstLine="480" w:firstLineChars="200"/>
        <w:jc w:val="center"/>
        <w:rPr>
          <w:rFonts w:hint="eastAsia" w:ascii="宋体" w:hAnsi="宋体" w:eastAsia="宋体" w:cs="宋体"/>
          <w:sz w:val="24"/>
          <w:szCs w:val="28"/>
          <w:highlight w:val="none"/>
        </w:rPr>
      </w:pPr>
    </w:p>
    <w:p w14:paraId="2035B42D">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本公司郑重声明，根据《政府采购促进中小企业发展管理办法》（</w:t>
      </w:r>
      <w:r>
        <w:rPr>
          <w:rFonts w:hint="eastAsia" w:ascii="宋体" w:hAnsi="宋体" w:eastAsia="宋体" w:cs="宋体"/>
          <w:sz w:val="24"/>
          <w:szCs w:val="24"/>
          <w:highlight w:val="none"/>
        </w:rPr>
        <w:t>财库〔2020〕46号</w:t>
      </w:r>
      <w:r>
        <w:rPr>
          <w:rFonts w:hint="eastAsia" w:ascii="宋体" w:hAnsi="宋体" w:eastAsia="宋体" w:cs="宋体"/>
          <w:sz w:val="24"/>
          <w:szCs w:val="28"/>
          <w:highlight w:val="none"/>
        </w:rPr>
        <w:t>）的规定，本公司参加</w:t>
      </w:r>
      <w:r>
        <w:rPr>
          <w:rFonts w:hint="eastAsia" w:ascii="宋体" w:hAnsi="宋体" w:eastAsia="宋体" w:cs="宋体"/>
          <w:i/>
          <w:sz w:val="24"/>
          <w:szCs w:val="28"/>
          <w:highlight w:val="none"/>
          <w:u w:val="single"/>
        </w:rPr>
        <w:t>（单位名称）</w:t>
      </w:r>
      <w:r>
        <w:rPr>
          <w:rFonts w:hint="eastAsia" w:ascii="宋体" w:hAnsi="宋体" w:eastAsia="宋体" w:cs="宋体"/>
          <w:sz w:val="24"/>
          <w:szCs w:val="28"/>
          <w:highlight w:val="none"/>
        </w:rPr>
        <w:t>的</w:t>
      </w:r>
      <w:r>
        <w:rPr>
          <w:rFonts w:hint="eastAsia" w:ascii="宋体" w:hAnsi="宋体" w:eastAsia="宋体" w:cs="宋体"/>
          <w:i/>
          <w:sz w:val="24"/>
          <w:szCs w:val="28"/>
          <w:highlight w:val="none"/>
          <w:u w:val="single"/>
        </w:rPr>
        <w:t>（项目名称）</w:t>
      </w:r>
      <w:r>
        <w:rPr>
          <w:rFonts w:hint="eastAsia" w:ascii="宋体" w:hAnsi="宋体" w:eastAsia="宋体" w:cs="宋体"/>
          <w:sz w:val="24"/>
          <w:szCs w:val="28"/>
          <w:highlight w:val="none"/>
        </w:rPr>
        <w:t>采购活动，服务全部由符合政策要求的中小企业承接。相关企业的具体情况如下：</w:t>
      </w:r>
    </w:p>
    <w:p w14:paraId="7D2FF62F">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eastAsia="宋体" w:cs="宋体"/>
          <w:i/>
          <w:sz w:val="24"/>
          <w:szCs w:val="28"/>
          <w:highlight w:val="none"/>
          <w:u w:val="single"/>
        </w:rPr>
        <w:t>（标的名称）</w:t>
      </w:r>
      <w:r>
        <w:rPr>
          <w:rFonts w:hint="eastAsia" w:ascii="宋体" w:hAnsi="宋体" w:eastAsia="宋体" w:cs="宋体"/>
          <w:sz w:val="24"/>
          <w:szCs w:val="28"/>
          <w:highlight w:val="none"/>
        </w:rPr>
        <w:t>，属于</w:t>
      </w:r>
      <w:r>
        <w:rPr>
          <w:rFonts w:hint="eastAsia" w:ascii="宋体" w:hAnsi="宋体" w:eastAsia="宋体" w:cs="宋体"/>
          <w:i/>
          <w:sz w:val="24"/>
          <w:szCs w:val="28"/>
          <w:highlight w:val="none"/>
          <w:u w:val="single"/>
        </w:rPr>
        <w:t>（采购文件中明确的所属行业）</w:t>
      </w:r>
      <w:r>
        <w:rPr>
          <w:rFonts w:hint="eastAsia" w:ascii="宋体" w:hAnsi="宋体" w:eastAsia="宋体" w:cs="宋体"/>
          <w:sz w:val="24"/>
          <w:szCs w:val="28"/>
          <w:highlight w:val="none"/>
        </w:rPr>
        <w:t>；承接企业为</w:t>
      </w:r>
      <w:r>
        <w:rPr>
          <w:rFonts w:hint="eastAsia" w:ascii="宋体" w:hAnsi="宋体" w:eastAsia="宋体" w:cs="宋体"/>
          <w:i/>
          <w:sz w:val="24"/>
          <w:szCs w:val="28"/>
          <w:highlight w:val="none"/>
          <w:u w:val="single"/>
        </w:rPr>
        <w:t>（企业名称）</w:t>
      </w:r>
      <w:r>
        <w:rPr>
          <w:rFonts w:hint="eastAsia" w:ascii="宋体" w:hAnsi="宋体" w:eastAsia="宋体" w:cs="宋体"/>
          <w:sz w:val="24"/>
          <w:szCs w:val="28"/>
          <w:highlight w:val="none"/>
        </w:rPr>
        <w:t>，从业人员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人，营业收入为</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万元，资产总额为</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万元，属于</w:t>
      </w:r>
      <w:r>
        <w:rPr>
          <w:rFonts w:hint="eastAsia" w:ascii="宋体" w:hAnsi="宋体" w:eastAsia="宋体" w:cs="宋体"/>
          <w:i/>
          <w:sz w:val="24"/>
          <w:szCs w:val="28"/>
          <w:highlight w:val="none"/>
          <w:u w:val="single"/>
        </w:rPr>
        <w:t>（中型企业、小型企业、微型企业）</w:t>
      </w:r>
      <w:r>
        <w:rPr>
          <w:rFonts w:hint="eastAsia" w:ascii="宋体" w:hAnsi="宋体" w:eastAsia="宋体" w:cs="宋体"/>
          <w:sz w:val="24"/>
          <w:szCs w:val="28"/>
          <w:highlight w:val="none"/>
        </w:rPr>
        <w:t>；</w:t>
      </w:r>
    </w:p>
    <w:p w14:paraId="2F1DF10E">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为本标的提供的服务人员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人，其中与本企业签订劳动合同</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人，其他人员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人。有其他人员的不符合中小企业扶持政策（适用于服务采购项目）;</w:t>
      </w:r>
    </w:p>
    <w:p w14:paraId="0E138D8F">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2.</w:t>
      </w:r>
      <w:r>
        <w:rPr>
          <w:rFonts w:hint="eastAsia" w:ascii="宋体" w:hAnsi="宋体" w:eastAsia="宋体" w:cs="宋体"/>
          <w:i/>
          <w:sz w:val="24"/>
          <w:szCs w:val="28"/>
          <w:highlight w:val="none"/>
          <w:u w:val="single"/>
        </w:rPr>
        <w:t xml:space="preserve"> （标的名称）</w:t>
      </w:r>
      <w:r>
        <w:rPr>
          <w:rFonts w:hint="eastAsia" w:ascii="宋体" w:hAnsi="宋体" w:eastAsia="宋体" w:cs="宋体"/>
          <w:sz w:val="24"/>
          <w:szCs w:val="28"/>
          <w:highlight w:val="none"/>
        </w:rPr>
        <w:t>，属于</w:t>
      </w:r>
      <w:r>
        <w:rPr>
          <w:rFonts w:hint="eastAsia" w:ascii="宋体" w:hAnsi="宋体" w:eastAsia="宋体" w:cs="宋体"/>
          <w:i/>
          <w:sz w:val="24"/>
          <w:szCs w:val="28"/>
          <w:highlight w:val="none"/>
          <w:u w:val="single"/>
        </w:rPr>
        <w:t>（采购文件中明确的所属行业）</w:t>
      </w:r>
      <w:r>
        <w:rPr>
          <w:rFonts w:hint="eastAsia" w:ascii="宋体" w:hAnsi="宋体" w:eastAsia="宋体" w:cs="宋体"/>
          <w:sz w:val="24"/>
          <w:szCs w:val="28"/>
          <w:highlight w:val="none"/>
        </w:rPr>
        <w:t>；承接企业为</w:t>
      </w:r>
      <w:r>
        <w:rPr>
          <w:rFonts w:hint="eastAsia" w:ascii="宋体" w:hAnsi="宋体" w:eastAsia="宋体" w:cs="宋体"/>
          <w:i/>
          <w:sz w:val="24"/>
          <w:szCs w:val="28"/>
          <w:highlight w:val="none"/>
          <w:u w:val="single"/>
        </w:rPr>
        <w:t>（企业名称）</w:t>
      </w:r>
      <w:r>
        <w:rPr>
          <w:rFonts w:hint="eastAsia" w:ascii="宋体" w:hAnsi="宋体" w:eastAsia="宋体" w:cs="宋体"/>
          <w:sz w:val="24"/>
          <w:szCs w:val="28"/>
          <w:highlight w:val="none"/>
        </w:rPr>
        <w:t>，从业人员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人，营业收入为</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万元，资产总额为</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万元，属于</w:t>
      </w:r>
      <w:r>
        <w:rPr>
          <w:rFonts w:hint="eastAsia" w:ascii="宋体" w:hAnsi="宋体" w:eastAsia="宋体" w:cs="宋体"/>
          <w:i/>
          <w:sz w:val="24"/>
          <w:szCs w:val="28"/>
          <w:highlight w:val="none"/>
          <w:u w:val="single"/>
        </w:rPr>
        <w:t>（中型企业、小型企业、微型企业）</w:t>
      </w:r>
      <w:r>
        <w:rPr>
          <w:rFonts w:hint="eastAsia" w:ascii="宋体" w:hAnsi="宋体" w:eastAsia="宋体" w:cs="宋体"/>
          <w:sz w:val="24"/>
          <w:szCs w:val="28"/>
          <w:highlight w:val="none"/>
        </w:rPr>
        <w:t>；</w:t>
      </w:r>
    </w:p>
    <w:p w14:paraId="6E9BD160">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为本标的提供的服务人员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人，其中与本企业签订劳动合同</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人，其他人员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人。有其他人员的不符合中小企业扶持政策（适用于服务采购项目）;</w:t>
      </w:r>
    </w:p>
    <w:p w14:paraId="51C61325">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w:t>
      </w:r>
    </w:p>
    <w:p w14:paraId="3EE45B52">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以上企业，不属于大企业的分支机构，不存在控股股东为大企业的情形，也不存在与大企业的负责人为同一人的情形。</w:t>
      </w:r>
    </w:p>
    <w:p w14:paraId="523A5D6C">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本企业对上述声明内容的真实性负责。如有虚假，将依法承担相应责任。</w:t>
      </w:r>
    </w:p>
    <w:p w14:paraId="73CF5F22">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                                                    </w:t>
      </w:r>
    </w:p>
    <w:p w14:paraId="5FCCFB29">
      <w:pPr>
        <w:tabs>
          <w:tab w:val="left" w:pos="6300"/>
        </w:tabs>
        <w:snapToGrid w:val="0"/>
        <w:spacing w:line="500" w:lineRule="exact"/>
        <w:ind w:firstLine="480" w:firstLineChars="200"/>
        <w:rPr>
          <w:rFonts w:hint="eastAsia" w:ascii="宋体" w:hAnsi="宋体" w:eastAsia="宋体" w:cs="宋体"/>
          <w:sz w:val="24"/>
          <w:szCs w:val="28"/>
          <w:highlight w:val="none"/>
        </w:rPr>
      </w:pPr>
    </w:p>
    <w:p w14:paraId="0708FEAC">
      <w:pPr>
        <w:tabs>
          <w:tab w:val="left" w:pos="6300"/>
        </w:tabs>
        <w:snapToGrid w:val="0"/>
        <w:spacing w:line="500" w:lineRule="exact"/>
        <w:ind w:firstLine="6120" w:firstLineChars="2550"/>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企业名称（盖章）： </w:t>
      </w:r>
    </w:p>
    <w:p w14:paraId="77F1F789">
      <w:pPr>
        <w:tabs>
          <w:tab w:val="left" w:pos="6300"/>
        </w:tabs>
        <w:snapToGrid w:val="0"/>
        <w:spacing w:line="500" w:lineRule="exact"/>
        <w:ind w:firstLine="6120" w:firstLineChars="2550"/>
        <w:rPr>
          <w:rFonts w:hint="eastAsia" w:ascii="微软雅黑" w:hAnsi="微软雅黑" w:eastAsia="微软雅黑" w:cs="微软雅黑"/>
          <w:sz w:val="24"/>
          <w:szCs w:val="28"/>
          <w:highlight w:val="none"/>
        </w:rPr>
      </w:pPr>
      <w:r>
        <w:rPr>
          <w:rFonts w:hint="eastAsia" w:ascii="宋体" w:hAnsi="宋体" w:eastAsia="宋体" w:cs="宋体"/>
          <w:sz w:val="24"/>
          <w:szCs w:val="28"/>
          <w:highlight w:val="none"/>
        </w:rPr>
        <w:t>日期：</w:t>
      </w:r>
    </w:p>
    <w:p w14:paraId="094AC78B">
      <w:pPr>
        <w:wordWrap w:val="0"/>
        <w:spacing w:after="240" w:afterLines="100"/>
        <w:jc w:val="cente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202F0AB6">
      <w:pPr>
        <w:wordWrap w:val="0"/>
        <w:spacing w:after="240" w:afterLines="100"/>
        <w:jc w:val="cente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48B87370">
      <w:pPr>
        <w:wordWrap w:val="0"/>
        <w:spacing w:after="240" w:afterLines="100"/>
        <w:jc w:val="cente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441AAB2">
      <w:pPr>
        <w:wordWrap w:val="0"/>
        <w:spacing w:after="240" w:afterLines="100"/>
        <w:jc w:val="cente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6FDE894">
      <w:pPr>
        <w:wordWrap w:val="0"/>
        <w:spacing w:after="240" w:afterLines="100"/>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十</w:t>
      </w: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、其他资料</w:t>
      </w:r>
    </w:p>
    <w:p w14:paraId="5E4926F9">
      <w:pPr>
        <w:wordWrap w:val="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01C6A4B2">
      <w:pPr>
        <w:wordWrap w:val="0"/>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招标文件中要求的资料或供应商认为针对本项目有必要提供的资料，附后。</w:t>
      </w:r>
    </w:p>
    <w:p w14:paraId="526A7381">
      <w:pPr>
        <w:spacing w:line="360" w:lineRule="auto"/>
        <w:jc w:val="center"/>
        <w:rPr>
          <w:rFonts w:ascii="宋体" w:hAnsi="宋体" w:cs="宋体"/>
          <w:b/>
          <w:color w:val="000000" w:themeColor="text1"/>
          <w:highlight w:val="none"/>
          <w14:textFill>
            <w14:solidFill>
              <w14:schemeClr w14:val="tx1"/>
            </w14:solidFill>
          </w14:textFill>
        </w:rPr>
      </w:pPr>
    </w:p>
    <w:p w14:paraId="06940B3B">
      <w:pPr>
        <w:widowControl w:val="0"/>
        <w:spacing w:line="360" w:lineRule="auto"/>
        <w:ind w:left="20"/>
        <w:rPr>
          <w:rFonts w:ascii="宋体" w:hAnsi="Calibri"/>
          <w:color w:val="000000"/>
          <w:kern w:val="2"/>
          <w:sz w:val="18"/>
          <w:szCs w:val="24"/>
          <w:highlight w:val="none"/>
        </w:rPr>
      </w:pPr>
    </w:p>
    <w:p w14:paraId="18F0C856">
      <w:pPr>
        <w:spacing w:line="360" w:lineRule="auto"/>
        <w:rPr>
          <w:rFonts w:ascii="宋体" w:hAnsi="Calibri"/>
          <w:color w:val="000000"/>
          <w:kern w:val="2"/>
          <w:sz w:val="18"/>
          <w:szCs w:val="24"/>
          <w:highlight w:val="none"/>
        </w:rPr>
      </w:pPr>
      <w:r>
        <w:rPr>
          <w:rFonts w:ascii="宋体" w:hAnsi="Calibri"/>
          <w:color w:val="000000"/>
          <w:kern w:val="2"/>
          <w:sz w:val="18"/>
          <w:szCs w:val="24"/>
          <w:highlight w:val="none"/>
        </w:rPr>
        <w:br w:type="page"/>
      </w:r>
    </w:p>
    <w:p w14:paraId="756428FD">
      <w:pPr>
        <w:pStyle w:val="38"/>
        <w:shd w:val="clear" w:color="auto" w:fill="FFFFFF"/>
        <w:jc w:val="center"/>
        <w:rPr>
          <w:rStyle w:val="46"/>
          <w:rFonts w:ascii="黑体" w:hAnsi="黑体" w:eastAsia="黑体" w:cs="黑体"/>
          <w:b w:val="0"/>
          <w:color w:val="000000"/>
          <w:sz w:val="20"/>
          <w:szCs w:val="20"/>
          <w:highlight w:val="none"/>
          <w:shd w:val="clear" w:color="auto" w:fill="FFFFFF"/>
        </w:rPr>
      </w:pPr>
    </w:p>
    <w:p w14:paraId="6F87F244">
      <w:pPr>
        <w:spacing w:before="120" w:beforeLines="50" w:after="120" w:afterLines="50"/>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政府采购促进中小企业发展管理办法</w:t>
      </w:r>
    </w:p>
    <w:p w14:paraId="1EAB4241">
      <w:pPr>
        <w:pStyle w:val="4"/>
        <w:widowControl w:val="0"/>
        <w:spacing w:before="120" w:beforeLines="50" w:after="120" w:afterLines="50" w:line="240" w:lineRule="auto"/>
        <w:jc w:val="center"/>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shd w:val="clear" w:color="auto" w:fill="FFFFFF"/>
          <w14:textFill>
            <w14:solidFill>
              <w14:schemeClr w14:val="tx1"/>
            </w14:solidFill>
          </w14:textFill>
        </w:rPr>
        <w:t>财库〔2020〕46号</w:t>
      </w:r>
    </w:p>
    <w:p w14:paraId="64F12C95">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14:paraId="12EB9475">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1AB802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14:paraId="1649B2A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第四条 在政府采购活动中，供应商提供的货物、工程或者服务符合下列情形的，享受本办法规定的中小企业扶持政策：</w:t>
      </w:r>
    </w:p>
    <w:p w14:paraId="0EB6E941">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（一）在货物采购项目中，货物由中小企业制造，即货 物由中小企业生产且使用该中小企业商号或者注册商标；</w:t>
      </w:r>
    </w:p>
    <w:p w14:paraId="40A5C94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（二）在工程采购项目中，工程由中小企业承建，即工程施工单位为中小企业；</w:t>
      </w:r>
    </w:p>
    <w:p w14:paraId="0202F58E">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2B7D7E5D">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61B996E6">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50EF11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4016DC02">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2A1356D">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符合下列情形之一的，可不专门面向中小企业预留采购份额：</w:t>
      </w:r>
    </w:p>
    <w:p w14:paraId="1D30C293">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（一）法律法规和国家有关政策明确规定优先或者应当面向事业单位、社会组织等非企业主体采购的；</w:t>
      </w:r>
    </w:p>
    <w:p w14:paraId="463FE86C">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（二）因确需使用不可替代的专利、专有技术，基础设施限制，或者提供特定公共服务等原因，只能从中小企业之外的供应商处采购的；</w:t>
      </w:r>
    </w:p>
    <w:p w14:paraId="2019AF39">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（三）按照本办法规定预留采购份额无法确保充分供应、充分竞争，或者存在可能影响政府采购目标实现的情形；</w:t>
      </w:r>
    </w:p>
    <w:p w14:paraId="7AC29B46">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（四）框架协议采购项目；</w:t>
      </w:r>
    </w:p>
    <w:p w14:paraId="581E908E">
      <w:pPr>
        <w:pStyle w:val="17"/>
        <w:widowControl w:val="0"/>
        <w:tabs>
          <w:tab w:val="left" w:pos="2207"/>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（五）省级以上人民政府财政部门规定的其他情形。 除上述情形外，其他均为适宜由中小企业提供的情形。第七条</w:t>
      </w:r>
      <w:r>
        <w:rPr>
          <w:rFonts w:hint="eastAsia" w:ascii="宋体" w:hAnsi="宋体" w:cs="宋体"/>
          <w:bCs/>
          <w:color w:val="000000" w:themeColor="text1"/>
          <w:sz w:val="21"/>
          <w:szCs w:val="21"/>
          <w:highlight w:val="none"/>
          <w14:textFill>
            <w14:solidFill>
              <w14:schemeClr w14:val="tx1"/>
            </w14:solidFill>
          </w14:textFill>
        </w:rPr>
        <w:tab/>
      </w:r>
      <w:r>
        <w:rPr>
          <w:rFonts w:hint="eastAsia" w:ascii="宋体" w:hAnsi="宋体" w:cs="宋体"/>
          <w:bCs/>
          <w:color w:val="000000" w:themeColor="text1"/>
          <w:sz w:val="21"/>
          <w:szCs w:val="21"/>
          <w:highlight w:val="none"/>
          <w14:textFill>
            <w14:solidFill>
              <w14:schemeClr w14:val="tx1"/>
            </w14:solidFill>
          </w14:textFill>
        </w:rPr>
        <w:t>采购限额标准以上，200 万元以下的货物和服务采购项目、400 万元以下的工程采购项目，适宜由中小企业提供的，采购人应当专门面向中小企业采购。</w:t>
      </w:r>
    </w:p>
    <w:p w14:paraId="2FCF176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0926FDC2">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（一）将采购项目整体或者设置采购包专门面向中小企业采购；</w:t>
      </w:r>
    </w:p>
    <w:p w14:paraId="1FE6A368">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（二）要求供应商以联合体形式参加采购活动，且联合体中中小企业承担的部分达到一定比例；</w:t>
      </w:r>
    </w:p>
    <w:p w14:paraId="3D571EC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（三）要求获得采购合同的供应商将采购项目中的一定比例分包给一家或者多家中小企业。</w:t>
      </w:r>
    </w:p>
    <w:p w14:paraId="013F81C9">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组成联合体或者接受分包合同的中小企业与联合体内 其他企业、分包企业之间不得存在直接控股、管理关系。</w:t>
      </w:r>
    </w:p>
    <w:p w14:paraId="7B7ACFEE">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4B85304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6CF34B5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BAA0456">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708D3F46">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17165C1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第十二条 采购项目涉及中小企业采购的，采购文件应当明确以下内容：</w:t>
      </w:r>
    </w:p>
    <w:p w14:paraId="7F42BDEF">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（一）预留份额的采购项目或者采购包，明确该项目或相关采购包专门面向中小企业采购，以及相关标的及预算金额；</w:t>
      </w:r>
    </w:p>
    <w:p w14:paraId="6C3CEAD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（二）要求以联合体形式参加或者合同分包的，明确联</w:t>
      </w:r>
    </w:p>
    <w:p w14:paraId="1C0A07AE">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合协议或者分包意向协议中中小企业合同金额应当达到的 比例，并作为供应商资格条件；</w:t>
      </w:r>
    </w:p>
    <w:p w14:paraId="2852A2C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（三）非预留份额的采购项目或者采购包，明确有关价格扣除比例或者价格分加分比例；</w:t>
      </w:r>
    </w:p>
    <w:p w14:paraId="4E9C86C5">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（四）规定依据本办法规定享受扶持政策获得政府采购合同的，小微企业不得将合同分包给大中型企业，中型企业不得将合同分包给大型企业；</w:t>
      </w:r>
    </w:p>
    <w:p w14:paraId="560A0E3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（五）采购人认为具备相关条件的，明确对中小企业在资金支付期限、预付款比例等方面的优惠措施；</w:t>
      </w:r>
    </w:p>
    <w:p w14:paraId="65BD9C55">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（六）明确采购标的对应的中小企业划分标准所属行业；</w:t>
      </w:r>
    </w:p>
    <w:p w14:paraId="3685707D">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（七）法律法规和省级以上人民政府财政部门规定的其他事项。</w:t>
      </w:r>
    </w:p>
    <w:p w14:paraId="07BB7588">
      <w:pPr>
        <w:pStyle w:val="17"/>
        <w:widowControl w:val="0"/>
        <w:tabs>
          <w:tab w:val="left" w:pos="2526"/>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14:paraId="20005FAC">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适用招标投标法的政府采购工程建设项目，应当在公示中标候选人时公开中标候选人的《中小企业声明函》。</w:t>
      </w:r>
    </w:p>
    <w:p w14:paraId="3EAC01D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A5D0A2F">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14:paraId="22A12BB2">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 部门负责。</w:t>
      </w:r>
    </w:p>
    <w:p w14:paraId="43535E8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中小企业主管部门应当在收到财政部门或者有关招标 投标行政监督部门关于协助开展中小企业认定函后 10 个工作日内做出书面答复。</w:t>
      </w:r>
    </w:p>
    <w:p w14:paraId="6E89E7A9">
      <w:pPr>
        <w:pStyle w:val="17"/>
        <w:widowControl w:val="0"/>
        <w:tabs>
          <w:tab w:val="left" w:pos="2459"/>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14:paraId="14279F54">
      <w:pPr>
        <w:pStyle w:val="17"/>
        <w:widowControl w:val="0"/>
        <w:tabs>
          <w:tab w:val="left" w:pos="1880"/>
          <w:tab w:val="left" w:pos="2547"/>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第十八条 主管预算单位应当自 2022 年起向同级财政部门报告本部门上一年度面向中小企业预留份额和采购的 具体情况，并在中国政府采购网公开预留项目执行情况(附 2)。未达到本办法规定的预留份额比例的，应当作出说明。 </w:t>
      </w:r>
    </w:p>
    <w:p w14:paraId="2F66C7B6">
      <w:pPr>
        <w:pStyle w:val="17"/>
        <w:widowControl w:val="0"/>
        <w:tabs>
          <w:tab w:val="left" w:pos="1880"/>
          <w:tab w:val="left" w:pos="2547"/>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1DAF18E">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第二十条 供应商按照本办法规定提供声明函内容不实的，属于提供虚假材料谋取中标、成交，依照《中华人民 共和国政府采购法》等国家有关规定追究相应责任。</w:t>
      </w:r>
    </w:p>
    <w:p w14:paraId="5FC72BF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适用招标投标法的政府采购工程建设项目，投标人按照 本办法规定提供声明函内容不实的，属于弄虚作假骗取中标， 依照《中华人民共和国招标投标法》等国家有关规定追究相 应责任。</w:t>
      </w:r>
    </w:p>
    <w:p w14:paraId="336EE092">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61B6652E">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第二十二条 对外援助项目、国家相关资格或者资质管理制度另有规定的项目，不适用本办法。</w:t>
      </w:r>
    </w:p>
    <w:p w14:paraId="0A00A1BD">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第二十三条 关于视同中小企业的其他主体的政府采购扶持政策，由财政部会同有关部门另行规定。</w:t>
      </w:r>
    </w:p>
    <w:p w14:paraId="4E06EEEF">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第二十四条 省级财政部门可以会同中小企业主管部门根据本办法的规定制定具体实施办法。</w:t>
      </w:r>
    </w:p>
    <w:p w14:paraId="262F85D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14:paraId="1F7A7F32">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4C32F1FE">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56655B26">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7D14EA29">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2AC88FCD">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54700580">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6B0C6083">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6DF2F1C0">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5CC2E536">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0214D88B">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570C7950">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7AB9448A">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316A1117">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4AAB0A2C">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3ABEEA19">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6E62D3B6">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2965B063">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4E31067A">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490A9C2D">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2E1B94D4">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3A074EC3">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042FECE8">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5103DFE7">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03A00763">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4CC5A85F">
      <w:pPr>
        <w:jc w:val="center"/>
        <w:outlineLvl w:val="9"/>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8"/>
          <w:szCs w:val="28"/>
          <w:highlight w:val="none"/>
          <w:shd w:val="clear" w:color="auto" w:fill="FFFFFF"/>
          <w:vertAlign w:val="baseline"/>
          <w:lang w:val="en-US" w:eastAsia="zh-CN" w:bidi="ar"/>
        </w:rPr>
        <w:t>关于进一步加大政府采购支持中小企业力度的通知</w:t>
      </w:r>
    </w:p>
    <w:p w14:paraId="4F4878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50" w:beforeAutospacing="0" w:after="0" w:afterLines="50" w:afterAutospacing="0" w:line="312" w:lineRule="auto"/>
        <w:ind w:left="0" w:right="0" w:firstLine="0"/>
        <w:jc w:val="center"/>
        <w:textAlignment w:val="baseline"/>
        <w:outlineLvl w:val="9"/>
        <w:rPr>
          <w:rFonts w:hint="eastAsia" w:ascii="宋体" w:hAnsi="宋体" w:eastAsia="宋体" w:cs="宋体"/>
          <w:b w:val="0"/>
          <w:bCs w:val="0"/>
          <w:i w:val="0"/>
          <w:iCs w:val="0"/>
          <w:caps w:val="0"/>
          <w:color w:val="auto"/>
          <w:spacing w:val="0"/>
          <w:sz w:val="24"/>
          <w:szCs w:val="24"/>
          <w:highlight w:val="none"/>
          <w:u w:val="none"/>
        </w:rPr>
      </w:pPr>
      <w:r>
        <w:rPr>
          <w:rFonts w:hint="eastAsia" w:ascii="宋体" w:hAnsi="宋体" w:eastAsia="宋体" w:cs="宋体"/>
          <w:b w:val="0"/>
          <w:bCs w:val="0"/>
          <w:i w:val="0"/>
          <w:iCs w:val="0"/>
          <w:caps w:val="0"/>
          <w:color w:val="auto"/>
          <w:spacing w:val="0"/>
          <w:kern w:val="0"/>
          <w:sz w:val="24"/>
          <w:szCs w:val="24"/>
          <w:highlight w:val="none"/>
          <w:u w:val="none"/>
          <w:shd w:val="clear" w:color="auto" w:fill="FFFFFF"/>
          <w:vertAlign w:val="baseline"/>
          <w:lang w:val="en-US" w:eastAsia="zh-CN" w:bidi="ar"/>
        </w:rPr>
        <w:t>财库〔2022〕19号</w:t>
      </w:r>
    </w:p>
    <w:p w14:paraId="213DB73A">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各中央预算单位，各省、自治区、直辖市、计划单列市财政厅（局），新疆生产建设兵团财政局：</w:t>
      </w:r>
    </w:p>
    <w:p w14:paraId="05CC3878">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04A09224">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8FDD260">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8908F54">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788039E">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四、认真做好组织实施。各地区、各部门应当加强组织领导，明确工作责任，细化执行要求，强化监督检查，确保国务院部署落实到位，对通知执行中出现的问题要及时</w:t>
      </w:r>
    </w:p>
    <w:p w14:paraId="4C282759">
      <w:pPr>
        <w:spacing w:line="360" w:lineRule="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向财政部报告。</w:t>
      </w:r>
    </w:p>
    <w:p w14:paraId="5D86D764">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本通知自2022年7月1日起执行。</w:t>
      </w:r>
    </w:p>
    <w:p w14:paraId="24C56D82">
      <w:pPr>
        <w:spacing w:line="360" w:lineRule="auto"/>
        <w:ind w:firstLine="480" w:firstLineChars="200"/>
        <w:jc w:val="center"/>
        <w:outlineLvl w:val="9"/>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xml:space="preserve">                     </w:t>
      </w:r>
    </w:p>
    <w:p w14:paraId="19F02A67">
      <w:pPr>
        <w:spacing w:line="360" w:lineRule="auto"/>
        <w:ind w:firstLine="480" w:firstLineChars="200"/>
        <w:jc w:val="center"/>
        <w:outlineLvl w:val="9"/>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　　财 政 部</w:t>
      </w:r>
    </w:p>
    <w:p w14:paraId="77ED169F">
      <w:pPr>
        <w:spacing w:line="360" w:lineRule="auto"/>
        <w:ind w:firstLine="480" w:firstLineChars="200"/>
        <w:jc w:val="center"/>
        <w:outlineLvl w:val="9"/>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2022年5月30日</w:t>
      </w:r>
    </w:p>
    <w:p w14:paraId="1C2CC4E1">
      <w:pPr>
        <w:spacing w:line="360" w:lineRule="auto"/>
        <w:ind w:firstLine="480" w:firstLineChars="200"/>
        <w:outlineLvl w:val="9"/>
        <w:rPr>
          <w:rFonts w:hint="eastAsia" w:ascii="宋体" w:hAnsi="宋体" w:eastAsia="宋体" w:cs="宋体"/>
          <w:bCs/>
          <w:color w:val="auto"/>
          <w:sz w:val="24"/>
          <w:szCs w:val="24"/>
          <w:highlight w:val="none"/>
          <w:lang w:val="zh-CN"/>
        </w:rPr>
      </w:pPr>
    </w:p>
    <w:p w14:paraId="7C83FAF3">
      <w:pPr>
        <w:shd w:val="clear" w:color="auto" w:fill="FFFFFF"/>
        <w:spacing w:before="120" w:beforeLines="50" w:after="120" w:afterLines="50"/>
        <w:jc w:val="center"/>
        <w:textAlignment w:val="baseline"/>
        <w:rPr>
          <w:rFonts w:ascii="宋体" w:hAnsi="宋体" w:cs="宋体"/>
          <w:color w:val="000000" w:themeColor="text1"/>
          <w:sz w:val="30"/>
          <w:szCs w:val="30"/>
          <w:highlight w:val="none"/>
          <w:shd w:val="clear" w:color="auto" w:fill="FFFFFF"/>
          <w:lang w:bidi="ar"/>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br w:type="page"/>
      </w:r>
      <w:r>
        <w:rPr>
          <w:rFonts w:hint="eastAsia" w:ascii="宋体" w:hAnsi="宋体" w:cs="宋体"/>
          <w:b/>
          <w:bCs/>
          <w:color w:val="000000" w:themeColor="text1"/>
          <w:sz w:val="30"/>
          <w:szCs w:val="30"/>
          <w:highlight w:val="none"/>
          <w:shd w:val="clear" w:color="auto" w:fill="FFFFFF"/>
          <w:lang w:bidi="ar"/>
          <w14:textFill>
            <w14:solidFill>
              <w14:schemeClr w14:val="tx1"/>
            </w14:solidFill>
          </w14:textFill>
        </w:rPr>
        <w:t>财政部 司法部关于政府采购支持监狱企业发展有关问题的通知</w:t>
      </w:r>
    </w:p>
    <w:p w14:paraId="3E5EF3B0">
      <w:pPr>
        <w:pStyle w:val="3"/>
        <w:keepNext w:val="0"/>
        <w:keepLines w:val="0"/>
        <w:spacing w:before="120" w:beforeLines="50" w:after="120" w:afterLines="50" w:line="240" w:lineRule="auto"/>
        <w:jc w:val="center"/>
        <w:textAlignment w:val="baseline"/>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shd w:val="clear" w:color="auto" w:fill="FFFFFF"/>
          <w14:textFill>
            <w14:solidFill>
              <w14:schemeClr w14:val="tx1"/>
            </w14:solidFill>
          </w14:textFill>
        </w:rPr>
        <w:t>财库〔2014〕68号</w:t>
      </w:r>
    </w:p>
    <w:p w14:paraId="005F3D17">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BEB6A76">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C45ABF9">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1BE103">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二、在政府采购活动中，监狱企业视同小型、微型企业，享受预留份额、评审中价格扣除等政府采购促进中小企业发展的政府采购政策。向监狱企业采购的金额，计入面向中小企业采购的统计数据。</w:t>
      </w:r>
    </w:p>
    <w:p w14:paraId="5CCFF40E">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A9BE9C8">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四、各地区可以结合本地区实际，对监狱企业生产的办公用品、家具用具、车辆维修和提供的保养服务、消防设备等，提出预留份额等政府采购支持措施，加大对监狱企业产品的采购力度。</w:t>
      </w:r>
    </w:p>
    <w:p w14:paraId="17DF13F5">
      <w:pPr>
        <w:pStyle w:val="38"/>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C9B6259">
      <w:pPr>
        <w:pStyle w:val="38"/>
        <w:jc w:val="righ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中华人民共和国财政部</w:t>
      </w:r>
    </w:p>
    <w:p w14:paraId="5891A740">
      <w:pPr>
        <w:pStyle w:val="38"/>
        <w:jc w:val="righ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中华人民共和国司法部</w:t>
      </w:r>
    </w:p>
    <w:p w14:paraId="04D6B5E7">
      <w:pPr>
        <w:pStyle w:val="38"/>
        <w:jc w:val="righ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2014年6月10日</w:t>
      </w:r>
    </w:p>
    <w:p w14:paraId="649FE15D">
      <w:pPr>
        <w:shd w:val="clear" w:color="auto" w:fill="FFFFFF"/>
        <w:spacing w:before="48" w:beforeLines="20" w:after="48" w:afterLines="20"/>
        <w:jc w:val="center"/>
        <w:textAlignment w:val="baseline"/>
        <w:rPr>
          <w:rFonts w:ascii="华文中宋" w:hAnsi="华文中宋" w:eastAsia="华文中宋" w:cs="华文中宋"/>
          <w:color w:val="000000" w:themeColor="text1"/>
          <w:sz w:val="30"/>
          <w:szCs w:val="30"/>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br w:type="page"/>
      </w:r>
      <w:r>
        <w:rPr>
          <w:rFonts w:hint="eastAsia" w:ascii="宋体" w:hAnsi="宋体" w:cs="宋体"/>
          <w:b/>
          <w:bCs/>
          <w:color w:val="000000" w:themeColor="text1"/>
          <w:sz w:val="32"/>
          <w:szCs w:val="32"/>
          <w:highlight w:val="none"/>
          <w:shd w:val="clear" w:color="auto" w:fill="FFFFFF"/>
          <w:lang w:bidi="ar"/>
          <w14:textFill>
            <w14:solidFill>
              <w14:schemeClr w14:val="tx1"/>
            </w14:solidFill>
          </w14:textFill>
        </w:rPr>
        <w:t>关于促进残疾人就业政府采购政策的通知</w:t>
      </w:r>
    </w:p>
    <w:p w14:paraId="2D478025">
      <w:pPr>
        <w:pStyle w:val="38"/>
        <w:spacing w:before="48" w:beforeLines="20" w:after="48" w:afterLines="20"/>
        <w:jc w:val="center"/>
        <w:textAlignment w:val="baseline"/>
        <w:rPr>
          <w:rFonts w:ascii="宋体" w:hAnsi="宋体" w:cs="宋体"/>
          <w:bCs/>
          <w:color w:val="000000" w:themeColor="text1"/>
          <w:sz w:val="21"/>
          <w:szCs w:val="21"/>
          <w:highlight w:val="none"/>
          <w14:textFill>
            <w14:solidFill>
              <w14:schemeClr w14:val="tx1"/>
            </w14:solidFill>
          </w14:textFill>
        </w:rPr>
      </w:pPr>
      <w:r>
        <w:rPr>
          <w:rStyle w:val="46"/>
          <w:rFonts w:hint="eastAsia" w:ascii="宋体" w:hAnsi="宋体" w:cs="宋体"/>
          <w:b w:val="0"/>
          <w:color w:val="000000" w:themeColor="text1"/>
          <w:sz w:val="21"/>
          <w:szCs w:val="21"/>
          <w:highlight w:val="none"/>
          <w:shd w:val="clear" w:color="auto" w:fill="FFFFFF"/>
          <w14:textFill>
            <w14:solidFill>
              <w14:schemeClr w14:val="tx1"/>
            </w14:solidFill>
          </w14:textFill>
        </w:rPr>
        <w:t>财库〔2017〕141号</w:t>
      </w:r>
    </w:p>
    <w:p w14:paraId="10D6B587">
      <w:pPr>
        <w:pStyle w:val="38"/>
        <w:jc w:val="both"/>
        <w:textAlignment w:val="baseline"/>
        <w:rPr>
          <w:rFonts w:ascii="宋体" w:hAnsi="宋体" w:cs="宋体"/>
          <w:color w:val="000000" w:themeColor="text1"/>
          <w:sz w:val="21"/>
          <w:szCs w:val="21"/>
          <w:highlight w:val="none"/>
          <w14:textFill>
            <w14:solidFill>
              <w14:schemeClr w14:val="tx1"/>
            </w14:solidFill>
          </w14:textFill>
        </w:rPr>
      </w:pPr>
      <w:bookmarkStart w:id="86" w:name="toDeptId"/>
      <w:r>
        <w:rPr>
          <w:rFonts w:hint="eastAsia" w:ascii="宋体" w:hAnsi="宋体" w:cs="宋体"/>
          <w:color w:val="000000" w:themeColor="text1"/>
          <w:sz w:val="21"/>
          <w:szCs w:val="21"/>
          <w:highlight w:val="none"/>
          <w:shd w:val="clear" w:color="auto" w:fill="FFFFFF"/>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6"/>
      <w:r>
        <w:rPr>
          <w:rFonts w:hint="eastAsia" w:ascii="宋体" w:hAnsi="宋体" w:cs="宋体"/>
          <w:color w:val="000000" w:themeColor="text1"/>
          <w:sz w:val="21"/>
          <w:szCs w:val="21"/>
          <w:highlight w:val="none"/>
          <w:shd w:val="clear" w:color="auto" w:fill="FFFFFF"/>
          <w14:textFill>
            <w14:solidFill>
              <w14:schemeClr w14:val="tx1"/>
            </w14:solidFill>
          </w14:textFill>
        </w:rPr>
        <w:t>：</w:t>
      </w:r>
    </w:p>
    <w:p w14:paraId="179089DC">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为了发挥政府采购促进残疾人就业的作用，进一步保障残疾人权益，依照《政府采购法》、《残疾人保障法》等法律法规及相关规定，现就促进残疾人就业政府采购政策通知如下：</w:t>
      </w:r>
    </w:p>
    <w:p w14:paraId="76E2606C">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一、享受政府采购支持政策的残疾人福利性单位应当同时满足以下条件：</w:t>
      </w:r>
    </w:p>
    <w:p w14:paraId="0601C45B">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（一）安置的残疾人占本单位在职职工人数的比例不低于25%（含25%），并且安置的残疾人人数不少于10人（含10人）；</w:t>
      </w:r>
    </w:p>
    <w:p w14:paraId="3CE15327">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（二）依法与安置的每位残疾人签订了一年以上（含一年）的劳动合同或服务协议；</w:t>
      </w:r>
    </w:p>
    <w:p w14:paraId="5E074869">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（三）为安置的每位残疾人按月足额缴纳了基本养老保险、基本医疗保险、失业保险、工伤保险和生育保险等社会保险费；</w:t>
      </w:r>
    </w:p>
    <w:p w14:paraId="4B674249">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（四）通过银行等金融机构向安置的每位残疾人，按月支付了不低于单位所在区县适用的经省级人民政府批准的月最低工资标准的工资；</w:t>
      </w:r>
    </w:p>
    <w:p w14:paraId="0C3818C2">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（五）提供本单位制造的货物、承担的工程或者服务（以下简称产品），或者提供其他残疾人福利性单位制造的货物（不包括使用非残疾人福利性单位注册商标的货物）。</w:t>
      </w:r>
    </w:p>
    <w:p w14:paraId="1686285D">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761C5F8">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F96B08B">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中标、成交供应商为残疾人福利性单位的，采购人或者其委托的采购代理机构应当随中标、成交结果同时公告其《残疾人福利性单位声明函》，接受社会监督。</w:t>
      </w:r>
    </w:p>
    <w:p w14:paraId="2B4A28A7">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供应商提供的《残疾人福利性单位声明函》与事实不符的，依照《政府采购法》第七十七条第一款的规定追究法律责任。</w:t>
      </w:r>
    </w:p>
    <w:p w14:paraId="3CB09F73">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2905920">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四、采购人采购公开招标数额标准以上的货物或者服务，因落实促进残疾人就业政策的需要，依法履行有关报批程序后，可采用公开招标以外的采购方式。</w:t>
      </w:r>
    </w:p>
    <w:p w14:paraId="448A7DAE">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5A38F85">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1EB317F">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七、本通知自2017年10月1日起执行。</w:t>
      </w:r>
    </w:p>
    <w:p w14:paraId="02412EA0">
      <w:pPr>
        <w:pStyle w:val="38"/>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财政部 民政部 中国残疾人联合会</w:t>
      </w:r>
    </w:p>
    <w:p w14:paraId="663F4288">
      <w:pPr>
        <w:pStyle w:val="38"/>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2017年8月22日</w:t>
      </w:r>
    </w:p>
    <w:p w14:paraId="4B123394">
      <w:pPr>
        <w:pStyle w:val="38"/>
        <w:widowControl w:val="0"/>
        <w:shd w:val="clear" w:color="auto" w:fill="FFFFFF"/>
        <w:spacing w:before="120" w:beforeLines="50" w:after="120" w:afterLines="50"/>
        <w:jc w:val="center"/>
        <w:rPr>
          <w:rStyle w:val="46"/>
          <w:rFonts w:ascii="宋体" w:hAnsi="宋体" w:cs="宋体"/>
          <w:b w:val="0"/>
          <w:color w:val="000000" w:themeColor="text1"/>
          <w:sz w:val="32"/>
          <w:szCs w:val="32"/>
          <w:highlight w:val="none"/>
          <w:shd w:val="clear" w:color="auto" w:fill="FFFFFF"/>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br w:type="page"/>
      </w: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中小企业划型标准规定</w:t>
      </w:r>
    </w:p>
    <w:p w14:paraId="5C73B34F">
      <w:pPr>
        <w:pStyle w:val="38"/>
        <w:widowControl w:val="0"/>
        <w:shd w:val="clear" w:color="auto" w:fill="FFFFFF"/>
        <w:spacing w:before="120" w:beforeLines="50" w:after="120" w:afterLines="50"/>
        <w:jc w:val="center"/>
        <w:rPr>
          <w:rStyle w:val="46"/>
          <w:rFonts w:ascii="宋体" w:hAnsi="宋体" w:cs="宋体"/>
          <w:b w:val="0"/>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工信部联企业〔2011〕300号</w:t>
      </w:r>
    </w:p>
    <w:p w14:paraId="23055FC7">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一、根据《中华人民共和国中小企业促进法》和《国务院关于进一步促进中小企业发展的若干意见》(国发〔2009〕36号)，制定本规定。</w:t>
      </w:r>
    </w:p>
    <w:p w14:paraId="50E70A9F">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51F17A5C">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42E6C8B">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四、各行业划型标准为：</w:t>
      </w:r>
    </w:p>
    <w:p w14:paraId="22840601">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0966AD93">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3CF1B0D">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2AFD116">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23D9FD">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DF28737">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29B8DA5">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23D972B">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F293458">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CAE866">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02ADEA">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A01D9D4">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ECC7F6">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05F196">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E126085">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A14EC25">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4EA945AA">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五、企业类型的划分以统计部门的统计数据为依据。</w:t>
      </w:r>
    </w:p>
    <w:p w14:paraId="0A81F9E1">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418080F0">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0E24EC3A">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63A11EE9">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九、本规定由工业和信息化部、国家统计局会同有关部门负责解释。</w:t>
      </w:r>
    </w:p>
    <w:p w14:paraId="306E50A5">
      <w:pPr>
        <w:pStyle w:val="38"/>
        <w:widowControl w:val="0"/>
        <w:shd w:val="clear" w:color="auto" w:fill="FFFFFF"/>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28D440F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6930903">
      <w:pPr>
        <w:pStyle w:val="38"/>
        <w:widowControl w:val="0"/>
        <w:shd w:val="clear" w:color="auto" w:fill="FFFFFF"/>
        <w:spacing w:before="120" w:beforeLines="50" w:after="120" w:afterLines="50"/>
        <w:jc w:val="center"/>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国家统计局关于印发《统计上</w:t>
      </w:r>
    </w:p>
    <w:p w14:paraId="030FDE67">
      <w:pPr>
        <w:pStyle w:val="38"/>
        <w:widowControl w:val="0"/>
        <w:shd w:val="clear" w:color="auto" w:fill="FFFFFF"/>
        <w:spacing w:before="120" w:beforeLines="50" w:after="120" w:afterLines="50"/>
        <w:jc w:val="center"/>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大中小微型企业划分办法（2017）》的通知</w:t>
      </w:r>
    </w:p>
    <w:p w14:paraId="306B26AD">
      <w:pPr>
        <w:pStyle w:val="38"/>
        <w:shd w:val="clear" w:color="auto" w:fill="FFFFFF"/>
        <w:spacing w:before="150" w:line="400" w:lineRule="exact"/>
        <w:ind w:firstLine="420" w:firstLineChars="200"/>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各省、自治区、直辖市统计局，新疆生产建设兵团统计局，国务院各有关部门，国家统计局各调查总队：</w:t>
      </w:r>
    </w:p>
    <w:p w14:paraId="4C1222BF">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4DE627D">
      <w:pPr>
        <w:spacing w:line="400" w:lineRule="exact"/>
        <w:rPr>
          <w:color w:val="000000" w:themeColor="text1"/>
          <w:highlight w:val="none"/>
          <w14:textFill>
            <w14:solidFill>
              <w14:schemeClr w14:val="tx1"/>
            </w14:solidFill>
          </w14:textFill>
        </w:rPr>
      </w:pPr>
    </w:p>
    <w:p w14:paraId="21C51CE2">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附件：《统计上大中小微型企业划分办法（2017）》修订说明</w:t>
      </w:r>
    </w:p>
    <w:p w14:paraId="77DBCE0A">
      <w:pPr>
        <w:pStyle w:val="38"/>
        <w:shd w:val="clear" w:color="auto" w:fill="FFFFFF"/>
        <w:spacing w:before="150" w:line="420" w:lineRule="atLeast"/>
        <w:ind w:right="825"/>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国家统计局  </w:t>
      </w:r>
    </w:p>
    <w:p w14:paraId="34917033">
      <w:pPr>
        <w:pStyle w:val="38"/>
        <w:shd w:val="clear" w:color="auto" w:fill="FFFFFF"/>
        <w:spacing w:before="150" w:line="420" w:lineRule="atLeast"/>
        <w:ind w:right="825"/>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2017年12月28日</w:t>
      </w:r>
    </w:p>
    <w:p w14:paraId="6D4EC5DD">
      <w:pPr>
        <w:pStyle w:val="38"/>
        <w:shd w:val="clear" w:color="auto" w:fill="FFFFFF"/>
        <w:spacing w:before="150" w:line="42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统计上大中小微型企业划分办法（2017）</w:t>
      </w:r>
    </w:p>
    <w:p w14:paraId="75D3D560">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14:paraId="5A352B24">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二、本办法适用对象为在中华人民共和国境内依法设立的各种组织形式的法人企业或单位。个体工商户参照本办法进行划分。</w:t>
      </w:r>
    </w:p>
    <w:p w14:paraId="6A6AAA70">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2C5A88C">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45D67B2F">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五、企业划分由政府综合统计部门根据统计年报每年确定一次，定报统计原则上不进行调整。</w:t>
      </w:r>
    </w:p>
    <w:p w14:paraId="1255C34D">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六、本办法自印发之日起执行，国家统计局2011年印发的《统计上大中小微型企业划分办法》（国统字〔2011〕75号）同时废止。</w:t>
      </w:r>
    </w:p>
    <w:p w14:paraId="77DBEA03">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附表：统计上大中小微型企业划分标准</w:t>
      </w:r>
    </w:p>
    <w:p w14:paraId="5C7AE3C7">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统计上大中小微型企业划分标准</w:t>
      </w:r>
    </w:p>
    <w:tbl>
      <w:tblPr>
        <w:tblStyle w:val="43"/>
        <w:tblW w:w="4998" w:type="pct"/>
        <w:jc w:val="center"/>
        <w:tblLayout w:type="autofit"/>
        <w:tblCellMar>
          <w:top w:w="0" w:type="dxa"/>
          <w:left w:w="0" w:type="dxa"/>
          <w:bottom w:w="0" w:type="dxa"/>
          <w:right w:w="0" w:type="dxa"/>
        </w:tblCellMar>
      </w:tblPr>
      <w:tblGrid>
        <w:gridCol w:w="1876"/>
        <w:gridCol w:w="1387"/>
        <w:gridCol w:w="872"/>
        <w:gridCol w:w="1387"/>
        <w:gridCol w:w="1411"/>
        <w:gridCol w:w="1387"/>
        <w:gridCol w:w="897"/>
      </w:tblGrid>
      <w:tr w14:paraId="05417B3F">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48378165">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行业名称</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6E12640F">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指标名称</w:t>
            </w:r>
          </w:p>
        </w:tc>
        <w:tc>
          <w:tcPr>
            <w:tcW w:w="473"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53422CC7">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计量单位</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7BF776AA">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大型</w:t>
            </w:r>
          </w:p>
        </w:tc>
        <w:tc>
          <w:tcPr>
            <w:tcW w:w="765"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05C9B1BB">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中型</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4D7B655D">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小型</w:t>
            </w:r>
          </w:p>
        </w:tc>
        <w:tc>
          <w:tcPr>
            <w:tcW w:w="486"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5E5BE95F">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微型</w:t>
            </w:r>
          </w:p>
        </w:tc>
      </w:tr>
      <w:tr w14:paraId="70323EF1">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DB56C3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农、林、牧、渔业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6B10BB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429856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7BF63B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29F3B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500≤Y＜20000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FAADF2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50≤Y＜500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E7DA40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w:t>
            </w:r>
          </w:p>
        </w:tc>
      </w:tr>
      <w:tr w14:paraId="66903157">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3BCEA3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工业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3E3C6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5C2D76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550008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616E95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9FCC6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866FEF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14:paraId="4B76D287">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6A2EE6B">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9FD80D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608553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49CE5A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Y≥40000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4EEAD4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2000≤Y＜40000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604CCD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520913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w:t>
            </w:r>
          </w:p>
        </w:tc>
      </w:tr>
      <w:tr w14:paraId="73457EFE">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899E9E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建筑业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226002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B2D1BA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BE5BEF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Y≥80000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EB8B27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6000≤Y＜80000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1DD8FC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300≤Y＜6000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9BD25F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w:t>
            </w:r>
          </w:p>
        </w:tc>
      </w:tr>
      <w:tr w14:paraId="091C4DD0">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1EA5037">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51E40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6E2B4A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B845DF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Z≥80000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B66C74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5000≤Z＜80000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636E98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300≤Z＜5000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E02A35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Z＜300</w:t>
            </w:r>
          </w:p>
        </w:tc>
      </w:tr>
      <w:tr w14:paraId="1739E9A6">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564190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批发业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56D1A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450648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E0D112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60F13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20≤X＜200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8E1A1F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5≤X＜20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4D865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X＜5</w:t>
            </w:r>
          </w:p>
        </w:tc>
      </w:tr>
      <w:tr w14:paraId="07960159">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5C07048">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87B734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6FEC66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37EDDC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Y≥40000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22D21F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5000≤Y＜40000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270BB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F1622E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w:t>
            </w:r>
          </w:p>
        </w:tc>
      </w:tr>
      <w:tr w14:paraId="17F3A5CF">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F278E0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零售业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65DE3A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DC5256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8B5C35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0A17B5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4F0989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10≤X＜50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462352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618D0458">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4BA0832">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60BCFD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D94A2D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392CDD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2CFCFB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500≤Y＜20000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43E135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100≤Y＜500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74F9F7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20DE290C">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9DE819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交通运输业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FDF6C9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67419B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756809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FBC2A2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1A3279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B7344D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14:paraId="4E498143">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D186D35">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056645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53BC48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036F76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38E6E2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48391F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200≤Y＜3000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19C077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w:t>
            </w:r>
          </w:p>
        </w:tc>
      </w:tr>
      <w:tr w14:paraId="2D3A7CE5">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2C7F780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仓储业*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FE5C29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687722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19C57F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EADA90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100≤X＜200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89AC3C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EFCA42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14:paraId="474A0790">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B0F8119">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88B00D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EAE465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BBB64D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8885B3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E8F438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E553B0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6934AE99">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54BFA5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邮政业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A22A93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53775C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6194B1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4F535C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3DB55A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84125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14:paraId="02DFCC00">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76F99F5">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2BCDC6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5451A8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E5722A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756389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DD21B2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11570C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43F0C1F6">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1F076B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住宿业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3A061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4BADBF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22C483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D063DE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75BF46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F397EA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17FF1DD3">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AB18CFD">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EDE351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BB1FF6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0E70E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D2B478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70FCEE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34C939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46F1F598">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4A7BFFE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餐饮业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56D03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3ECD73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564177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3D48C9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A8E647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28B6D5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7E3E7347">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36DAD62">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20D34D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4F960D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4AE048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C31FCA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BDCAD4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A8D242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1FA78022">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777EAC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信息传输业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260A5F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7BE515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68936D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D4D8F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100≤X＜2000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BC6F72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C9BD5B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0F32A44C">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27C1803">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88B610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859BED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35795E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016C22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1000≤Y＜100000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585B5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FEE4C6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7B26FF95">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BB0CA2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软件和信息技术服务业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4615A8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F20E22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13A66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EA3B66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14D8C5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AED500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5792AF27">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C2EC7F0">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28BDF2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8190E5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03C5EE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6B5E32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E07D8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B52B02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w:t>
            </w:r>
          </w:p>
        </w:tc>
      </w:tr>
      <w:tr w14:paraId="1E156FBD">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D413A3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房地产开发经营</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E88719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6ED9CE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0CF818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D849BB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1000≤Y＜200000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9D6F24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2AC6A2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0727089D">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F673D85">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8F30B2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ADAA81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DAA815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2FAB09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5000≤Z＜10000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51F6F0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2000≤Z＜5000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4BE1B8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Z＜2000</w:t>
            </w:r>
          </w:p>
        </w:tc>
      </w:tr>
      <w:tr w14:paraId="48C9EBAA">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44BADE8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物业管理</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EAB289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AB0D7A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7CE3EC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F40A9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7CFDDA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E4C1F1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w:t>
            </w:r>
          </w:p>
        </w:tc>
      </w:tr>
      <w:tr w14:paraId="1872F883">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AB9DA7D">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F0D05B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9592E6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862B14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6A70EC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1000≤Y＜5000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DEE4EC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56EFA3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Y＜500</w:t>
            </w:r>
          </w:p>
        </w:tc>
      </w:tr>
      <w:tr w14:paraId="5994729B">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5C33F0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租赁和商务服务业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E986D3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E614CC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DFB52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B16AF6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85F094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7CF28F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6793E3FA">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1348DD7">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A11DE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D072D4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C4AB41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Z≥120000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7CE021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8000≤Z＜120000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8FEC76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100≤Z＜8000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15899A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Z＜100</w:t>
            </w:r>
          </w:p>
        </w:tc>
      </w:tr>
      <w:tr w14:paraId="6DB79880">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0506F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其他未列明行业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CF8869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3452BF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07BFE3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50F5BF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FFFC44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10832E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bl>
    <w:p w14:paraId="24121C0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说明： 　　</w:t>
      </w:r>
    </w:p>
    <w:p w14:paraId="4899F95D">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1.大型、中型和小型企业须同时满足所列指标的下限，否则下划一档；微型企业只须满足所列指标中的一项即可。 　　</w:t>
      </w:r>
    </w:p>
    <w:p w14:paraId="4A0A4260">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3D34630A">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3.企业划分指标以现行统计制度为准。 </w:t>
      </w:r>
    </w:p>
    <w:p w14:paraId="4F9C50AA">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（1）从业人员，是指期末从业人员数，没有期末从业人员数的，采用全年平均人员数代替。 </w:t>
      </w:r>
    </w:p>
    <w:p w14:paraId="75037F7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40510AEE">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（3）资产总额，采用资产总计代替。</w:t>
      </w:r>
    </w:p>
    <w:p w14:paraId="65606327">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《统计上大中小微型企业划分办法（2017）》修订说明</w:t>
      </w:r>
    </w:p>
    <w:p w14:paraId="2E64753D">
      <w:pPr>
        <w:pStyle w:val="38"/>
        <w:shd w:val="clear" w:color="auto" w:fill="FFFFFF"/>
        <w:spacing w:before="150" w:line="540" w:lineRule="atLeast"/>
        <w:textAlignment w:val="baseline"/>
        <w:rPr>
          <w:rFonts w:ascii="宋体" w:hAnsi="宋体" w:cs="宋体"/>
          <w:b/>
          <w:bCs/>
          <w:color w:val="000000" w:themeColor="text1"/>
          <w:sz w:val="27"/>
          <w:szCs w:val="27"/>
          <w:highlight w:val="none"/>
          <w14:textFill>
            <w14:solidFill>
              <w14:schemeClr w14:val="tx1"/>
            </w14:solidFill>
          </w14:textFill>
        </w:rPr>
      </w:pPr>
      <w:r>
        <w:rPr>
          <w:rFonts w:hint="eastAsia" w:ascii="宋体" w:hAnsi="宋体" w:cs="宋体"/>
          <w:b/>
          <w:bCs/>
          <w:color w:val="000000" w:themeColor="text1"/>
          <w:sz w:val="27"/>
          <w:szCs w:val="27"/>
          <w:highlight w:val="none"/>
          <w:shd w:val="clear" w:color="auto" w:fill="FFFFFF"/>
          <w14:textFill>
            <w14:solidFill>
              <w14:schemeClr w14:val="tx1"/>
            </w14:solidFill>
          </w14:textFill>
        </w:rPr>
        <w:t>一、修订背景</w:t>
      </w:r>
    </w:p>
    <w:p w14:paraId="531EB69F">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92F5528">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7DBE8AB">
      <w:pPr>
        <w:pStyle w:val="38"/>
        <w:shd w:val="clear" w:color="auto" w:fill="FFFFFF"/>
        <w:spacing w:before="150" w:line="540" w:lineRule="atLeast"/>
        <w:textAlignment w:val="baseline"/>
        <w:rPr>
          <w:rFonts w:ascii="宋体" w:hAnsi="宋体" w:cs="宋体"/>
          <w:b/>
          <w:bCs/>
          <w:color w:val="000000" w:themeColor="text1"/>
          <w:sz w:val="27"/>
          <w:szCs w:val="27"/>
          <w:highlight w:val="none"/>
          <w14:textFill>
            <w14:solidFill>
              <w14:schemeClr w14:val="tx1"/>
            </w14:solidFill>
          </w14:textFill>
        </w:rPr>
      </w:pPr>
      <w:r>
        <w:rPr>
          <w:rFonts w:hint="eastAsia" w:ascii="宋体" w:hAnsi="宋体" w:cs="宋体"/>
          <w:b/>
          <w:bCs/>
          <w:color w:val="000000" w:themeColor="text1"/>
          <w:sz w:val="27"/>
          <w:szCs w:val="27"/>
          <w:highlight w:val="none"/>
          <w:shd w:val="clear" w:color="auto" w:fill="FFFFFF"/>
          <w14:textFill>
            <w14:solidFill>
              <w14:schemeClr w14:val="tx1"/>
            </w14:solidFill>
          </w14:textFill>
        </w:rPr>
        <w:t>二、修订主要内容</w:t>
      </w:r>
    </w:p>
    <w:p w14:paraId="29A01EF0">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07161CA8">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将交通运输业中包括的“装卸搬运和运输代理业”修改为“多式联运和运输代理业、装卸搬运”。</w:t>
      </w:r>
    </w:p>
    <w:p w14:paraId="7F48F02A">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仓储业所包括的行业中类，根据《国民经济行业分类》（GB/T4754—2017）调整为“通用仓储，低温仓储，危险品仓储，谷物、棉花等农产品仓储，中药材仓储和其他仓储业”。</w:t>
      </w:r>
    </w:p>
    <w:p w14:paraId="13A2DE63">
      <w:pPr>
        <w:spacing w:after="240"/>
        <w:rPr>
          <w:color w:val="000000" w:themeColor="text1"/>
          <w:highlight w:val="none"/>
          <w14:textFill>
            <w14:solidFill>
              <w14:schemeClr w14:val="tx1"/>
            </w14:solidFill>
          </w14:textFill>
        </w:rPr>
      </w:pPr>
    </w:p>
    <w:p w14:paraId="0AF4B5AD">
      <w:pPr>
        <w:pStyle w:val="38"/>
        <w:shd w:val="clear" w:color="auto" w:fill="FFFFFF"/>
        <w:spacing w:before="150" w:line="440" w:lineRule="exact"/>
        <w:jc w:val="center"/>
        <w:textAlignment w:val="baseline"/>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中国人民银行中国银行业监督管理委员会 </w:t>
      </w:r>
    </w:p>
    <w:p w14:paraId="0448CEFC">
      <w:pPr>
        <w:pStyle w:val="38"/>
        <w:shd w:val="clear" w:color="auto" w:fill="FFFFFF"/>
        <w:spacing w:before="150" w:line="440" w:lineRule="exact"/>
        <w:jc w:val="center"/>
        <w:textAlignment w:val="baseline"/>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中国证券监督管理委员会中国保险监督管理委员会 </w:t>
      </w:r>
    </w:p>
    <w:p w14:paraId="42B4561D">
      <w:pPr>
        <w:pStyle w:val="38"/>
        <w:shd w:val="clear" w:color="auto" w:fill="FFFFFF"/>
        <w:spacing w:before="150" w:line="440" w:lineRule="exact"/>
        <w:jc w:val="center"/>
        <w:textAlignment w:val="baseline"/>
        <w:rPr>
          <w:rFonts w:ascii="宋体" w:hAnsi="宋体" w:cs="宋体"/>
          <w:b/>
          <w:bCs/>
          <w:color w:val="000000" w:themeColor="text1"/>
          <w:sz w:val="51"/>
          <w:szCs w:val="51"/>
          <w:highlight w:val="none"/>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国家统计局关于印发《金融业企业划型标准规定》的通知</w:t>
      </w:r>
    </w:p>
    <w:p w14:paraId="51EBE515">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 </w:t>
      </w:r>
    </w:p>
    <w:p w14:paraId="2BAD5996">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请人民银行上海总部，各分行、营业管理部、省会（首府）城市中心支行、副省级城市中心支行会同所在省（区、市）银监局、证监局、保监局、统计局将本通知联合转发至辖内相关机构。</w:t>
      </w:r>
    </w:p>
    <w:p w14:paraId="73E71A31">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附件：金融业企业划型标准规定</w:t>
      </w:r>
    </w:p>
    <w:p w14:paraId="02AF6BD9">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6AAF9246">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6BFDEB4A">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13B07953">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735C53BF">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2FB7E569">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金融业企业划型标准规定</w:t>
      </w:r>
    </w:p>
    <w:p w14:paraId="12FD003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 根据《中华人民共和国中小企业促进法》、《国务院关于进一步促进中小企业发展的若干意见》（国发〔2009〕36号）和《国务院办公厅关于金融支持小微企业发展的实施意见》（国办发〔2013〕87号），制定本规定。 </w:t>
      </w:r>
    </w:p>
    <w:p w14:paraId="624A1A60">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 适用范围。本规定适用于从事《国民经济行业分类》(GB/T4754-2011)中J门类（金融业）活动的企业。 </w:t>
      </w:r>
    </w:p>
    <w:p w14:paraId="273AE334">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 </w:t>
      </w:r>
    </w:p>
    <w:p w14:paraId="48FE6CF4">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四、划型标准指标。采用一个完整会计年度中四个季度末法人并表口径的资产总额（信托公司为信托资产）平均值作为划型指标，该指标以监管部门数据为准。 </w:t>
      </w:r>
    </w:p>
    <w:p w14:paraId="0168B86D">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五、指标标准值。依据指标标准值，将各类金融业企业划分为大、中、小、微四个规模类型，中型企业标准上限及以上的为大型企业。 </w:t>
      </w:r>
    </w:p>
    <w:p w14:paraId="537ADFC0">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 银行业存款类金融机构。资产总额40000亿元以下的为中小微型企业。其中，资产总额5000亿元及以上的为中型企业，资产总额50亿元及以上的为小型企业，资产总额50亿元以下的为微型企业。 </w:t>
      </w:r>
    </w:p>
    <w:p w14:paraId="4CFD83B7">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 银行业非存款类金融机构。资产总额1000亿元以下的为中小微型企业。其中，资产总额200亿元及以上的为中型企业，资产总额50亿元及以上的为小型企业，资产总额50亿元以下的为微型企业。 </w:t>
      </w:r>
    </w:p>
    <w:p w14:paraId="40E608C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 贷款公司、小额贷款公司及典当行。资产总额1000亿元以下的为中小微型企业。其中，资产总额200亿元及以上的为中型企业，资产总额50亿元及以上的为小型企业，资产总额50亿元以下的为微型企业。 </w:t>
      </w:r>
    </w:p>
    <w:p w14:paraId="50548AB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 证券业金融机构。资产总额1000亿元以下的为中小微型企业。其中，资产总额100亿元及以上的为中型企业，资产总额10亿元及以上的为小型企业，资产总额10亿元以下的为微型企业。 </w:t>
      </w:r>
    </w:p>
    <w:p w14:paraId="2DAB7663">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 保险业金融机构。资产总额5000亿元以下的为中小微型企业。其中，资产总额400亿元及以上的为中型企业，资产总额20亿元及以上的为小型企业，资产总额20亿元以下的为微型企业。 </w:t>
      </w:r>
    </w:p>
    <w:p w14:paraId="67C5E84D">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 信托公司。信托资产1000亿元以下的为中小微型企业。其中，信托资产400亿元及以上的为中型企业，信托资产20亿元及以上的为小型企业，信托资产20亿元以下的为微型企业。 </w:t>
      </w:r>
    </w:p>
    <w:p w14:paraId="38CF75BC">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 金融控股公司。资产总额40000亿元以下的为中小微型企业。其中，资产总额5000亿元及以上的为中型企业，资产总额50亿元及以上的为小型企业，资产总额50亿元以下的为微型企业。 </w:t>
      </w:r>
    </w:p>
    <w:p w14:paraId="6C48603B">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 除贷款公司、小额贷款公司，典当行以外的其他金融机构。资产总额1000亿元以下的为中小微型企业。其中，资产总额200亿元及以上的为中型企业，资产总额50亿元及以上的为小型企业，资产总额50亿元以下的为微型企业。 </w:t>
      </w:r>
    </w:p>
    <w:p w14:paraId="6F89BF9C">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 </w:t>
      </w:r>
    </w:p>
    <w:p w14:paraId="7EF64FEF">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 标准值的评估和调整。金融业企业划型标准工作组毎五年对划型标准值受经济发展与通货膨胀等因素的响程度进行评估和调整。 </w:t>
      </w:r>
    </w:p>
    <w:p w14:paraId="431CA7D4">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 本规定的中型金融业企业标准上限即为大型金融业企业下限。国务院有关部门据此进行相关数据的统计分析，不得制定与本规定不一致的金融业企业划型标准。 </w:t>
      </w:r>
    </w:p>
    <w:p w14:paraId="43650CB4">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 融资担保公司参照本规定中“除贷款公司、小额贷款公司、典当行以外的其他金融机构”标准划型。 </w:t>
      </w:r>
    </w:p>
    <w:p w14:paraId="0E909CC3">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十、本规定由人民银行会同银监会，证监会、保监会和统计局负责解释。 </w:t>
      </w:r>
    </w:p>
    <w:p w14:paraId="55A5AC16">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十一、本规定自发布之日起实施。</w:t>
      </w:r>
    </w:p>
    <w:p w14:paraId="6D411572">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附：金融业企业划型标准</w:t>
      </w:r>
    </w:p>
    <w:p w14:paraId="59D47011">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64DD8B0D">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金融业企业划型标准</w:t>
      </w:r>
    </w:p>
    <w:tbl>
      <w:tblPr>
        <w:tblStyle w:val="43"/>
        <w:tblW w:w="4997" w:type="pct"/>
        <w:jc w:val="center"/>
        <w:tblLayout w:type="autofit"/>
        <w:tblCellMar>
          <w:top w:w="0" w:type="dxa"/>
          <w:left w:w="0" w:type="dxa"/>
          <w:bottom w:w="0" w:type="dxa"/>
          <w:right w:w="0" w:type="dxa"/>
        </w:tblCellMar>
      </w:tblPr>
      <w:tblGrid>
        <w:gridCol w:w="542"/>
        <w:gridCol w:w="756"/>
        <w:gridCol w:w="4097"/>
        <w:gridCol w:w="1189"/>
        <w:gridCol w:w="2631"/>
      </w:tblGrid>
      <w:tr w14:paraId="3081473B">
        <w:tblPrEx>
          <w:tblCellMar>
            <w:top w:w="0" w:type="dxa"/>
            <w:left w:w="0" w:type="dxa"/>
            <w:bottom w:w="0" w:type="dxa"/>
            <w:right w:w="0" w:type="dxa"/>
          </w:tblCellMar>
        </w:tblPrEx>
        <w:trPr>
          <w:jc w:val="center"/>
        </w:trPr>
        <w:tc>
          <w:tcPr>
            <w:tcW w:w="704" w:type="pct"/>
            <w:gridSpan w:val="2"/>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3B40B264">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行业</w:t>
            </w:r>
          </w:p>
        </w:tc>
        <w:tc>
          <w:tcPr>
            <w:tcW w:w="222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6D075F46">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类别</w:t>
            </w:r>
          </w:p>
        </w:tc>
        <w:tc>
          <w:tcPr>
            <w:tcW w:w="645"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0F707D38">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类型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10CB041B">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资产总额</w:t>
            </w:r>
          </w:p>
        </w:tc>
      </w:tr>
      <w:tr w14:paraId="19479787">
        <w:tblPrEx>
          <w:tblCellMar>
            <w:top w:w="0" w:type="dxa"/>
            <w:left w:w="0" w:type="dxa"/>
            <w:bottom w:w="0" w:type="dxa"/>
            <w:right w:w="0" w:type="dxa"/>
          </w:tblCellMar>
        </w:tblPrEx>
        <w:trPr>
          <w:jc w:val="center"/>
        </w:trPr>
        <w:tc>
          <w:tcPr>
            <w:tcW w:w="294"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79A2AE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货币金融服务</w:t>
            </w: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6B6999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货币银行服务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3F2E55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银行业存款类金融机构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ABCD05E">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45781C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5000亿元（含）至40000亿元</w:t>
            </w:r>
          </w:p>
        </w:tc>
      </w:tr>
      <w:tr w14:paraId="0DE97CAD">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C85AC01">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9648994">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90CB7FA">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BA28D0">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802D44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50亿元（含）至5000亿元</w:t>
            </w:r>
          </w:p>
        </w:tc>
      </w:tr>
      <w:tr w14:paraId="280569F8">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3D77ED3">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B6DE162">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B49B4DB">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C9C64B0">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DE6F9E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14:paraId="7CF633D3">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0B92708">
            <w:pPr>
              <w:rPr>
                <w:rFonts w:ascii="宋体"/>
                <w:color w:val="000000" w:themeColor="text1"/>
                <w:sz w:val="21"/>
                <w:szCs w:val="21"/>
                <w:highlight w:val="none"/>
                <w14:textFill>
                  <w14:solidFill>
                    <w14:schemeClr w14:val="tx1"/>
                  </w14:solidFill>
                </w14:textFill>
              </w:rPr>
            </w:pP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0E2AC5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非货币银行服务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9A74DA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银行业非存款类金融机构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749B464">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21BDAE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200亿元（含）至1000亿元</w:t>
            </w:r>
          </w:p>
        </w:tc>
      </w:tr>
      <w:tr w14:paraId="644AF35E">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8FE2C5C">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7344E9A">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4240DF3">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3C389FB">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DC910B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50亿元（含）至200亿元</w:t>
            </w:r>
          </w:p>
        </w:tc>
      </w:tr>
      <w:tr w14:paraId="2E1DA286">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C0687BC">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2DB5BB2">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0D1A5A9">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46D74F">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54850D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14:paraId="5E6AB089">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AC2CAF2">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215DC60">
            <w:pPr>
              <w:rPr>
                <w:rFonts w:ascii="宋体"/>
                <w:color w:val="000000" w:themeColor="text1"/>
                <w:sz w:val="21"/>
                <w:szCs w:val="21"/>
                <w:highlight w:val="none"/>
                <w14:textFill>
                  <w14:solidFill>
                    <w14:schemeClr w14:val="tx1"/>
                  </w14:solidFill>
                </w14:textFill>
              </w:rPr>
            </w:pP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98BDF4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贷款公司、小额贷款公司及典当行</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9DE9527">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4DC8AA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200亿元（含）至1000亿元</w:t>
            </w:r>
          </w:p>
        </w:tc>
      </w:tr>
      <w:tr w14:paraId="02EF6935">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911A942">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8C38A1B">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AF7CDB0">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A92753F">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5E86A4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50亿元（含）至200亿元</w:t>
            </w:r>
          </w:p>
        </w:tc>
      </w:tr>
      <w:tr w14:paraId="083ABEA8">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9F60A44">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5F38A05">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B4B8086">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27989F1">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67AB8C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14:paraId="5BD93E27">
        <w:tblPrEx>
          <w:tblCellMar>
            <w:top w:w="0" w:type="dxa"/>
            <w:left w:w="0" w:type="dxa"/>
            <w:bottom w:w="0" w:type="dxa"/>
            <w:right w:w="0" w:type="dxa"/>
          </w:tblCellMar>
        </w:tblPrEx>
        <w:trPr>
          <w:jc w:val="center"/>
        </w:trPr>
        <w:tc>
          <w:tcPr>
            <w:tcW w:w="704" w:type="pct"/>
            <w:gridSpan w:val="2"/>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2AFA718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资本市场服务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B3AE23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证券业金融机构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16A7860">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0F4961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100亿元（含）至1000亿元</w:t>
            </w:r>
          </w:p>
        </w:tc>
      </w:tr>
      <w:tr w14:paraId="446C7FBA">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C911544">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1BC919F">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2D1438C">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C00819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10亿元（含）至100亿元</w:t>
            </w:r>
          </w:p>
        </w:tc>
      </w:tr>
      <w:tr w14:paraId="250E8F95">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26195CC">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1E3380F">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4655CD8">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2E187D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10亿元以下</w:t>
            </w:r>
          </w:p>
        </w:tc>
      </w:tr>
      <w:tr w14:paraId="7AF6B685">
        <w:tblPrEx>
          <w:tblCellMar>
            <w:top w:w="0" w:type="dxa"/>
            <w:left w:w="0" w:type="dxa"/>
            <w:bottom w:w="0" w:type="dxa"/>
            <w:right w:w="0" w:type="dxa"/>
          </w:tblCellMar>
        </w:tblPrEx>
        <w:trPr>
          <w:jc w:val="center"/>
        </w:trPr>
        <w:tc>
          <w:tcPr>
            <w:tcW w:w="704" w:type="pct"/>
            <w:gridSpan w:val="2"/>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01E25A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保险业</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A6989B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保险业金融机构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BB7B7C4">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E58D04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400亿元（含）至5000亿元</w:t>
            </w:r>
          </w:p>
        </w:tc>
      </w:tr>
      <w:tr w14:paraId="7DA9F665">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969D1B8">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E140D8C">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1F6F821">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F5EEE7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20亿元（含）至400亿元</w:t>
            </w:r>
          </w:p>
        </w:tc>
      </w:tr>
      <w:tr w14:paraId="67FD84E8">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3271D62">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66D0CE5">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859BD77">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F6D0C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20亿元以下</w:t>
            </w:r>
          </w:p>
        </w:tc>
      </w:tr>
      <w:tr w14:paraId="0A283460">
        <w:tblPrEx>
          <w:tblCellMar>
            <w:top w:w="0" w:type="dxa"/>
            <w:left w:w="0" w:type="dxa"/>
            <w:bottom w:w="0" w:type="dxa"/>
            <w:right w:w="0" w:type="dxa"/>
          </w:tblCellMar>
        </w:tblPrEx>
        <w:trPr>
          <w:jc w:val="center"/>
        </w:trPr>
        <w:tc>
          <w:tcPr>
            <w:tcW w:w="294"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084F64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其他金融业</w:t>
            </w: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D95379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金融信托与管理服务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2043BD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信托公司</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104BCA4">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7E4D81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400亿元（含）至1000亿元</w:t>
            </w:r>
          </w:p>
        </w:tc>
      </w:tr>
      <w:tr w14:paraId="2BF04D54">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342520A">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502813D">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3A4EF86">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4C5EC5D">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D16DE4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20亿元（含）至400亿元</w:t>
            </w:r>
          </w:p>
        </w:tc>
      </w:tr>
      <w:tr w14:paraId="5682D942">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6C89694">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2FFD2D5">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6775F7D">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6344CF8">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2AD172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20亿元以下</w:t>
            </w:r>
          </w:p>
        </w:tc>
      </w:tr>
      <w:tr w14:paraId="5CF27D11">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77AA5C9">
            <w:pPr>
              <w:rPr>
                <w:rFonts w:ascii="宋体"/>
                <w:color w:val="000000" w:themeColor="text1"/>
                <w:sz w:val="21"/>
                <w:szCs w:val="21"/>
                <w:highlight w:val="none"/>
                <w14:textFill>
                  <w14:solidFill>
                    <w14:schemeClr w14:val="tx1"/>
                  </w14:solidFill>
                </w14:textFill>
              </w:rPr>
            </w:pP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08A0BF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控股公司服务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DB1B1B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金融控股公司</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950B36A">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F255B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5000亿元（含）至40000亿元</w:t>
            </w:r>
          </w:p>
        </w:tc>
      </w:tr>
      <w:tr w14:paraId="7EE4B6EC">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7C86740">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87CD7D9">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7B22E9F">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C12B759">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50638E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50亿元（含）至5000亿元</w:t>
            </w:r>
          </w:p>
        </w:tc>
      </w:tr>
      <w:tr w14:paraId="0E0B7225">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17618E9">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FDBFF62">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2279B73">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11AFEA5">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B4117C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14:paraId="160193BC">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49B910B">
            <w:pPr>
              <w:rPr>
                <w:rFonts w:ascii="宋体"/>
                <w:color w:val="000000" w:themeColor="text1"/>
                <w:sz w:val="21"/>
                <w:szCs w:val="21"/>
                <w:highlight w:val="none"/>
                <w14:textFill>
                  <w14:solidFill>
                    <w14:schemeClr w14:val="tx1"/>
                  </w14:solidFill>
                </w14:textFill>
              </w:rPr>
            </w:pP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4431EC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其他未包括的金融业</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E59A90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除贷款公司、小额贷款公司及典当行以外的其他金融机构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A9CA3CA">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19AFEC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200亿元（含）至1000亿元</w:t>
            </w:r>
          </w:p>
        </w:tc>
      </w:tr>
      <w:tr w14:paraId="2EC08A5A">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B18C41B">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1468BD2">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6829F26">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D1502AB">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27419E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50亿元（含）至200亿元</w:t>
            </w:r>
          </w:p>
        </w:tc>
      </w:tr>
      <w:tr w14:paraId="57231D8B">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7FA0DA3">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3420BDD">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5F0D7FB">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79DE709">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81E367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bl>
    <w:p w14:paraId="194D6CF1">
      <w:pPr>
        <w:rPr>
          <w:color w:val="000000" w:themeColor="text1"/>
          <w:highlight w:val="none"/>
          <w14:textFill>
            <w14:solidFill>
              <w14:schemeClr w14:val="tx1"/>
            </w14:solidFill>
          </w14:textFill>
        </w:rPr>
      </w:pPr>
    </w:p>
    <w:p w14:paraId="1013885D">
      <w:pPr>
        <w:spacing w:line="360" w:lineRule="auto"/>
        <w:ind w:firstLine="390"/>
        <w:rPr>
          <w:rFonts w:ascii="宋体" w:hAnsi="宋体" w:cs="宋体"/>
          <w:b/>
          <w:color w:val="000000" w:themeColor="text1"/>
          <w:sz w:val="32"/>
          <w:szCs w:val="32"/>
          <w:highlight w:val="none"/>
          <w14:textFill>
            <w14:solidFill>
              <w14:schemeClr w14:val="tx1"/>
            </w14:solidFill>
          </w14:textFill>
        </w:rPr>
      </w:pPr>
    </w:p>
    <w:p w14:paraId="46BA1B49">
      <w:pPr>
        <w:rPr>
          <w:highlight w:val="none"/>
        </w:rPr>
      </w:pPr>
    </w:p>
    <w:sectPr>
      <w:pgSz w:w="11906" w:h="16838"/>
      <w:pgMar w:top="1418" w:right="1247" w:bottom="1418" w:left="158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roman"/>
    <w:pitch w:val="default"/>
    <w:sig w:usb0="00000287" w:usb1="00000000" w:usb2="00000000" w:usb3="00000000" w:csb0="2000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东文宋体">
    <w:altName w:val="宋体"/>
    <w:panose1 w:val="00000000000000000000"/>
    <w:charset w:val="00"/>
    <w:family w:val="auto"/>
    <w:pitch w:val="default"/>
    <w:sig w:usb0="00000000" w:usb1="00000000" w:usb2="00000000" w:usb3="00000000" w:csb0="00000000"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6049D">
    <w:pPr>
      <w:pStyle w:val="28"/>
      <w:framePr w:wrap="around" w:vAnchor="text" w:hAnchor="margin" w:xAlign="center" w:y="1"/>
      <w:rPr>
        <w:rStyle w:val="47"/>
      </w:rPr>
    </w:pPr>
    <w:r>
      <w:fldChar w:fldCharType="begin"/>
    </w:r>
    <w:r>
      <w:rPr>
        <w:rStyle w:val="47"/>
      </w:rPr>
      <w:instrText xml:space="preserve">PAGE  </w:instrText>
    </w:r>
    <w:r>
      <w:fldChar w:fldCharType="end"/>
    </w:r>
  </w:p>
  <w:p w14:paraId="6E4F992A">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7422C">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0D6E4">
                          <w:pPr>
                            <w:pStyle w:val="2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90D6E4">
                    <w:pPr>
                      <w:pStyle w:val="2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50CD1">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91241">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9C91241">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07F38">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FB804">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D3FB804">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7DDD7">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A7762">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1A7762">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2515">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EF116">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90EF116">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B1439">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A7399">
                          <w:pPr>
                            <w:pStyle w:val="2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2A7399">
                    <w:pPr>
                      <w:pStyle w:val="2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F5733">
    <w:pPr>
      <w:pStyle w:val="29"/>
      <w:pBdr>
        <w:bottom w:val="single" w:color="auto" w:sz="6" w:space="3"/>
      </w:pBdr>
      <w:jc w:val="both"/>
    </w:pPr>
    <w:r>
      <w:rPr>
        <w:rFonts w:hint="eastAsia"/>
      </w:rPr>
      <w:t xml:space="preserve">    　　                            </w:t>
    </w:r>
    <w:r>
      <w:t xml:space="preserve">  </w:t>
    </w:r>
    <w:r>
      <w:rPr>
        <w:rFonts w:hint="eastAsia"/>
      </w:rPr>
      <w:t xml:space="preserve">                 </w:t>
    </w:r>
    <w:r>
      <w:t xml:space="preserve"> </w:t>
    </w:r>
    <w:r>
      <w:rPr>
        <w:rFonts w:hint="eastAsia"/>
      </w:rPr>
      <w:t xml:space="preserve">       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7D76">
    <w:pPr>
      <w:pStyle w:val="29"/>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40590"/>
    <w:multiLevelType w:val="singleLevel"/>
    <w:tmpl w:val="BA140590"/>
    <w:lvl w:ilvl="0" w:tentative="0">
      <w:start w:val="4"/>
      <w:numFmt w:val="chineseCounting"/>
      <w:suff w:val="space"/>
      <w:lvlText w:val="第%1部分"/>
      <w:lvlJc w:val="left"/>
      <w:rPr>
        <w:rFonts w:hint="eastAsia"/>
      </w:rPr>
    </w:lvl>
  </w:abstractNum>
  <w:abstractNum w:abstractNumId="1">
    <w:nsid w:val="DDB644DF"/>
    <w:multiLevelType w:val="singleLevel"/>
    <w:tmpl w:val="DDB644DF"/>
    <w:lvl w:ilvl="0" w:tentative="0">
      <w:start w:val="2"/>
      <w:numFmt w:val="chineseCounting"/>
      <w:suff w:val="nothing"/>
      <w:lvlText w:val="%1、"/>
      <w:lvlJc w:val="left"/>
      <w:rPr>
        <w:rFonts w:hint="eastAsia"/>
      </w:rPr>
    </w:lvl>
  </w:abstractNum>
  <w:abstractNum w:abstractNumId="2">
    <w:nsid w:val="E552BE96"/>
    <w:multiLevelType w:val="singleLevel"/>
    <w:tmpl w:val="E552BE96"/>
    <w:lvl w:ilvl="0" w:tentative="0">
      <w:start w:val="1"/>
      <w:numFmt w:val="decimal"/>
      <w:lvlText w:val="%1."/>
      <w:lvlJc w:val="left"/>
      <w:pPr>
        <w:tabs>
          <w:tab w:val="left" w:pos="312"/>
        </w:tabs>
      </w:pPr>
    </w:lvl>
  </w:abstractNum>
  <w:abstractNum w:abstractNumId="3">
    <w:nsid w:val="0000000E"/>
    <w:multiLevelType w:val="multilevel"/>
    <w:tmpl w:val="0000000E"/>
    <w:lvl w:ilvl="0" w:tentative="0">
      <w:start w:val="1"/>
      <w:numFmt w:val="bullet"/>
      <w:pStyle w:val="6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4">
    <w:nsid w:val="099A1B7E"/>
    <w:multiLevelType w:val="multilevel"/>
    <w:tmpl w:val="099A1B7E"/>
    <w:lvl w:ilvl="0" w:tentative="0">
      <w:start w:val="1"/>
      <w:numFmt w:val="decimal"/>
      <w:lvlText w:val="%1."/>
      <w:lvlJc w:val="center"/>
      <w:pPr>
        <w:tabs>
          <w:tab w:val="left" w:pos="416"/>
        </w:tabs>
        <w:ind w:left="416" w:hanging="13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EF14C94"/>
    <w:multiLevelType w:val="singleLevel"/>
    <w:tmpl w:val="0EF14C94"/>
    <w:lvl w:ilvl="0" w:tentative="0">
      <w:start w:val="1"/>
      <w:numFmt w:val="decimal"/>
      <w:lvlText w:val="%1."/>
      <w:lvlJc w:val="left"/>
      <w:pPr>
        <w:tabs>
          <w:tab w:val="left" w:pos="312"/>
        </w:tabs>
      </w:pPr>
    </w:lvl>
  </w:abstractNum>
  <w:abstractNum w:abstractNumId="6">
    <w:nsid w:val="15167C52"/>
    <w:multiLevelType w:val="singleLevel"/>
    <w:tmpl w:val="15167C52"/>
    <w:lvl w:ilvl="0" w:tentative="0">
      <w:start w:val="1"/>
      <w:numFmt w:val="chineseCounting"/>
      <w:suff w:val="nothing"/>
      <w:lvlText w:val="%1、"/>
      <w:lvlJc w:val="left"/>
      <w:rPr>
        <w:rFonts w:hint="eastAsia"/>
      </w:rPr>
    </w:lvl>
  </w:abstractNum>
  <w:abstractNum w:abstractNumId="7">
    <w:nsid w:val="33092639"/>
    <w:multiLevelType w:val="singleLevel"/>
    <w:tmpl w:val="33092639"/>
    <w:lvl w:ilvl="0" w:tentative="0">
      <w:start w:val="1"/>
      <w:numFmt w:val="decimal"/>
      <w:lvlText w:val="（%1）"/>
      <w:lvlJc w:val="left"/>
      <w:pPr>
        <w:tabs>
          <w:tab w:val="left" w:pos="1080"/>
        </w:tabs>
        <w:ind w:left="1080" w:hanging="600"/>
      </w:pPr>
      <w:rPr>
        <w:rFonts w:hint="eastAsia"/>
        <w:lang w:val="en-US"/>
      </w:rPr>
    </w:lvl>
  </w:abstractNum>
  <w:abstractNum w:abstractNumId="8">
    <w:nsid w:val="35D21E45"/>
    <w:multiLevelType w:val="singleLevel"/>
    <w:tmpl w:val="35D21E45"/>
    <w:lvl w:ilvl="0" w:tentative="0">
      <w:start w:val="7"/>
      <w:numFmt w:val="chineseCounting"/>
      <w:suff w:val="nothing"/>
      <w:lvlText w:val="%1、"/>
      <w:lvlJc w:val="left"/>
      <w:rPr>
        <w:rFonts w:hint="eastAsia"/>
      </w:rPr>
    </w:lvl>
  </w:abstractNum>
  <w:abstractNum w:abstractNumId="9">
    <w:nsid w:val="74A24AE9"/>
    <w:multiLevelType w:val="multilevel"/>
    <w:tmpl w:val="74A24AE9"/>
    <w:lvl w:ilvl="0" w:tentative="0">
      <w:start w:val="3"/>
      <w:numFmt w:val="japaneseCounting"/>
      <w:lvlText w:val="%1、"/>
      <w:lvlJc w:val="left"/>
      <w:pPr>
        <w:tabs>
          <w:tab w:val="left" w:pos="880"/>
        </w:tabs>
        <w:ind w:left="880" w:hanging="720"/>
      </w:pPr>
      <w:rPr>
        <w:rFonts w:hint="default"/>
      </w:rPr>
    </w:lvl>
    <w:lvl w:ilvl="1" w:tentative="0">
      <w:start w:val="1"/>
      <w:numFmt w:val="lowerLetter"/>
      <w:lvlText w:val="%2)"/>
      <w:lvlJc w:val="left"/>
      <w:pPr>
        <w:tabs>
          <w:tab w:val="left" w:pos="1000"/>
        </w:tabs>
        <w:ind w:left="1000" w:hanging="420"/>
      </w:pPr>
    </w:lvl>
    <w:lvl w:ilvl="2" w:tentative="0">
      <w:start w:val="1"/>
      <w:numFmt w:val="lowerRoman"/>
      <w:lvlText w:val="%3."/>
      <w:lvlJc w:val="right"/>
      <w:pPr>
        <w:tabs>
          <w:tab w:val="left" w:pos="1420"/>
        </w:tabs>
        <w:ind w:left="1420" w:hanging="420"/>
      </w:pPr>
    </w:lvl>
    <w:lvl w:ilvl="3" w:tentative="0">
      <w:start w:val="1"/>
      <w:numFmt w:val="decimal"/>
      <w:lvlText w:val="%4."/>
      <w:lvlJc w:val="left"/>
      <w:pPr>
        <w:tabs>
          <w:tab w:val="left" w:pos="1840"/>
        </w:tabs>
        <w:ind w:left="1840" w:hanging="420"/>
      </w:pPr>
    </w:lvl>
    <w:lvl w:ilvl="4" w:tentative="0">
      <w:start w:val="1"/>
      <w:numFmt w:val="lowerLetter"/>
      <w:lvlText w:val="%5)"/>
      <w:lvlJc w:val="left"/>
      <w:pPr>
        <w:tabs>
          <w:tab w:val="left" w:pos="2260"/>
        </w:tabs>
        <w:ind w:left="2260" w:hanging="420"/>
      </w:pPr>
    </w:lvl>
    <w:lvl w:ilvl="5" w:tentative="0">
      <w:start w:val="1"/>
      <w:numFmt w:val="lowerRoman"/>
      <w:lvlText w:val="%6."/>
      <w:lvlJc w:val="right"/>
      <w:pPr>
        <w:tabs>
          <w:tab w:val="left" w:pos="2680"/>
        </w:tabs>
        <w:ind w:left="2680" w:hanging="420"/>
      </w:pPr>
    </w:lvl>
    <w:lvl w:ilvl="6" w:tentative="0">
      <w:start w:val="1"/>
      <w:numFmt w:val="decimal"/>
      <w:lvlText w:val="%7."/>
      <w:lvlJc w:val="left"/>
      <w:pPr>
        <w:tabs>
          <w:tab w:val="left" w:pos="3100"/>
        </w:tabs>
        <w:ind w:left="3100" w:hanging="420"/>
      </w:pPr>
    </w:lvl>
    <w:lvl w:ilvl="7" w:tentative="0">
      <w:start w:val="1"/>
      <w:numFmt w:val="lowerLetter"/>
      <w:lvlText w:val="%8)"/>
      <w:lvlJc w:val="left"/>
      <w:pPr>
        <w:tabs>
          <w:tab w:val="left" w:pos="3520"/>
        </w:tabs>
        <w:ind w:left="3520" w:hanging="420"/>
      </w:pPr>
    </w:lvl>
    <w:lvl w:ilvl="8" w:tentative="0">
      <w:start w:val="1"/>
      <w:numFmt w:val="lowerRoman"/>
      <w:lvlText w:val="%9."/>
      <w:lvlJc w:val="right"/>
      <w:pPr>
        <w:tabs>
          <w:tab w:val="left" w:pos="3940"/>
        </w:tabs>
        <w:ind w:left="3940" w:hanging="420"/>
      </w:pPr>
    </w:lvl>
  </w:abstractNum>
  <w:abstractNum w:abstractNumId="10">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6345C4"/>
    <w:multiLevelType w:val="multilevel"/>
    <w:tmpl w:val="7C6345C4"/>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7"/>
  </w:num>
  <w:num w:numId="5">
    <w:abstractNumId w:val="5"/>
  </w:num>
  <w:num w:numId="6">
    <w:abstractNumId w:val="0"/>
  </w:num>
  <w:num w:numId="7">
    <w:abstractNumId w:val="1"/>
  </w:num>
  <w:num w:numId="8">
    <w:abstractNumId w:val="11"/>
  </w:num>
  <w:num w:numId="9">
    <w:abstractNumId w:val="6"/>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ZDRjODMxYTI1NWI4YWVjMmI2YmEzYmY1ZGJhNmE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10C"/>
    <w:rsid w:val="000157BA"/>
    <w:rsid w:val="0001631D"/>
    <w:rsid w:val="0002036F"/>
    <w:rsid w:val="00021436"/>
    <w:rsid w:val="00021C37"/>
    <w:rsid w:val="000223F9"/>
    <w:rsid w:val="00022933"/>
    <w:rsid w:val="000231ED"/>
    <w:rsid w:val="00024500"/>
    <w:rsid w:val="00026024"/>
    <w:rsid w:val="0002653C"/>
    <w:rsid w:val="00026779"/>
    <w:rsid w:val="0002782B"/>
    <w:rsid w:val="00027BD7"/>
    <w:rsid w:val="00030044"/>
    <w:rsid w:val="00030540"/>
    <w:rsid w:val="0003186C"/>
    <w:rsid w:val="00031BE2"/>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A1441"/>
    <w:rsid w:val="000A1ABB"/>
    <w:rsid w:val="000A24F2"/>
    <w:rsid w:val="000A2912"/>
    <w:rsid w:val="000A332E"/>
    <w:rsid w:val="000A396A"/>
    <w:rsid w:val="000A3F73"/>
    <w:rsid w:val="000A41A3"/>
    <w:rsid w:val="000A4632"/>
    <w:rsid w:val="000A7438"/>
    <w:rsid w:val="000A7811"/>
    <w:rsid w:val="000A7FF5"/>
    <w:rsid w:val="000B00B2"/>
    <w:rsid w:val="000B133E"/>
    <w:rsid w:val="000B198D"/>
    <w:rsid w:val="000B3407"/>
    <w:rsid w:val="000B3530"/>
    <w:rsid w:val="000B3B88"/>
    <w:rsid w:val="000B3CF8"/>
    <w:rsid w:val="000B52AD"/>
    <w:rsid w:val="000B5852"/>
    <w:rsid w:val="000B6FE7"/>
    <w:rsid w:val="000B7C82"/>
    <w:rsid w:val="000B7D24"/>
    <w:rsid w:val="000C023A"/>
    <w:rsid w:val="000C0B27"/>
    <w:rsid w:val="000C0DE6"/>
    <w:rsid w:val="000C248C"/>
    <w:rsid w:val="000C287B"/>
    <w:rsid w:val="000C2B24"/>
    <w:rsid w:val="000C31AA"/>
    <w:rsid w:val="000C36D1"/>
    <w:rsid w:val="000C4042"/>
    <w:rsid w:val="000C5810"/>
    <w:rsid w:val="000C5D64"/>
    <w:rsid w:val="000C5F6A"/>
    <w:rsid w:val="000C77CA"/>
    <w:rsid w:val="000D06BA"/>
    <w:rsid w:val="000D0922"/>
    <w:rsid w:val="000D0C4A"/>
    <w:rsid w:val="000D130E"/>
    <w:rsid w:val="000D158E"/>
    <w:rsid w:val="000D3A8E"/>
    <w:rsid w:val="000D40C2"/>
    <w:rsid w:val="000D477C"/>
    <w:rsid w:val="000D49B6"/>
    <w:rsid w:val="000D7693"/>
    <w:rsid w:val="000D7950"/>
    <w:rsid w:val="000E057A"/>
    <w:rsid w:val="000E1750"/>
    <w:rsid w:val="000E1781"/>
    <w:rsid w:val="000E2037"/>
    <w:rsid w:val="000E2D94"/>
    <w:rsid w:val="000E36CC"/>
    <w:rsid w:val="000E4183"/>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1AC2"/>
    <w:rsid w:val="00102208"/>
    <w:rsid w:val="00102DE7"/>
    <w:rsid w:val="001035DB"/>
    <w:rsid w:val="0010403B"/>
    <w:rsid w:val="00104197"/>
    <w:rsid w:val="001044BD"/>
    <w:rsid w:val="001061F8"/>
    <w:rsid w:val="00110620"/>
    <w:rsid w:val="00110BBA"/>
    <w:rsid w:val="00110FFE"/>
    <w:rsid w:val="001114B9"/>
    <w:rsid w:val="00112AC0"/>
    <w:rsid w:val="0011332C"/>
    <w:rsid w:val="0011338E"/>
    <w:rsid w:val="001136AF"/>
    <w:rsid w:val="0011395F"/>
    <w:rsid w:val="00113982"/>
    <w:rsid w:val="00113E06"/>
    <w:rsid w:val="00113ED0"/>
    <w:rsid w:val="0011504E"/>
    <w:rsid w:val="0011530B"/>
    <w:rsid w:val="00115B9A"/>
    <w:rsid w:val="00116851"/>
    <w:rsid w:val="00121222"/>
    <w:rsid w:val="00121DC0"/>
    <w:rsid w:val="0012219F"/>
    <w:rsid w:val="001227E3"/>
    <w:rsid w:val="00123A74"/>
    <w:rsid w:val="001244FF"/>
    <w:rsid w:val="00124BFE"/>
    <w:rsid w:val="00124C45"/>
    <w:rsid w:val="001258F2"/>
    <w:rsid w:val="001260E7"/>
    <w:rsid w:val="00126BBD"/>
    <w:rsid w:val="001276D5"/>
    <w:rsid w:val="0013146D"/>
    <w:rsid w:val="001319A6"/>
    <w:rsid w:val="00131E40"/>
    <w:rsid w:val="00132A44"/>
    <w:rsid w:val="00135537"/>
    <w:rsid w:val="001373D4"/>
    <w:rsid w:val="00137702"/>
    <w:rsid w:val="001377DD"/>
    <w:rsid w:val="0014011A"/>
    <w:rsid w:val="001403D9"/>
    <w:rsid w:val="00140B10"/>
    <w:rsid w:val="00141467"/>
    <w:rsid w:val="00141E49"/>
    <w:rsid w:val="00142CBC"/>
    <w:rsid w:val="00143DD4"/>
    <w:rsid w:val="00144405"/>
    <w:rsid w:val="0014546C"/>
    <w:rsid w:val="001454B9"/>
    <w:rsid w:val="00146021"/>
    <w:rsid w:val="00146C13"/>
    <w:rsid w:val="00146FFB"/>
    <w:rsid w:val="00147026"/>
    <w:rsid w:val="001473EB"/>
    <w:rsid w:val="0015116F"/>
    <w:rsid w:val="001512D5"/>
    <w:rsid w:val="0015159E"/>
    <w:rsid w:val="001521C4"/>
    <w:rsid w:val="001526E7"/>
    <w:rsid w:val="0015272E"/>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4C26"/>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60E"/>
    <w:rsid w:val="00184C02"/>
    <w:rsid w:val="001853DA"/>
    <w:rsid w:val="00185A61"/>
    <w:rsid w:val="00185C2A"/>
    <w:rsid w:val="00186638"/>
    <w:rsid w:val="001867F8"/>
    <w:rsid w:val="001869A1"/>
    <w:rsid w:val="00187E2F"/>
    <w:rsid w:val="00190F1F"/>
    <w:rsid w:val="00191573"/>
    <w:rsid w:val="00192B5F"/>
    <w:rsid w:val="00193EAE"/>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DC0"/>
    <w:rsid w:val="001B2F54"/>
    <w:rsid w:val="001B3D89"/>
    <w:rsid w:val="001B423E"/>
    <w:rsid w:val="001B513E"/>
    <w:rsid w:val="001B6A17"/>
    <w:rsid w:val="001C0129"/>
    <w:rsid w:val="001C0229"/>
    <w:rsid w:val="001C082B"/>
    <w:rsid w:val="001C0DC9"/>
    <w:rsid w:val="001C0F0B"/>
    <w:rsid w:val="001C1539"/>
    <w:rsid w:val="001C155E"/>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A17"/>
    <w:rsid w:val="001E3E85"/>
    <w:rsid w:val="001E406D"/>
    <w:rsid w:val="001E6F8A"/>
    <w:rsid w:val="001E7903"/>
    <w:rsid w:val="001E7942"/>
    <w:rsid w:val="001F0915"/>
    <w:rsid w:val="001F2450"/>
    <w:rsid w:val="001F3299"/>
    <w:rsid w:val="001F49D3"/>
    <w:rsid w:val="001F515E"/>
    <w:rsid w:val="001F58C1"/>
    <w:rsid w:val="001F6505"/>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AEA"/>
    <w:rsid w:val="002221BA"/>
    <w:rsid w:val="002222A9"/>
    <w:rsid w:val="0022269B"/>
    <w:rsid w:val="002227A0"/>
    <w:rsid w:val="0022285B"/>
    <w:rsid w:val="00223A8A"/>
    <w:rsid w:val="002247B5"/>
    <w:rsid w:val="00224F3D"/>
    <w:rsid w:val="00225EF3"/>
    <w:rsid w:val="002265B7"/>
    <w:rsid w:val="002276F1"/>
    <w:rsid w:val="0023090F"/>
    <w:rsid w:val="002312DC"/>
    <w:rsid w:val="00231322"/>
    <w:rsid w:val="00231713"/>
    <w:rsid w:val="00233135"/>
    <w:rsid w:val="0023333E"/>
    <w:rsid w:val="00235DE7"/>
    <w:rsid w:val="00236F42"/>
    <w:rsid w:val="00237D56"/>
    <w:rsid w:val="00237EA1"/>
    <w:rsid w:val="00240494"/>
    <w:rsid w:val="002411C2"/>
    <w:rsid w:val="00241466"/>
    <w:rsid w:val="0024152C"/>
    <w:rsid w:val="00241E37"/>
    <w:rsid w:val="0024225C"/>
    <w:rsid w:val="002426FF"/>
    <w:rsid w:val="002434B0"/>
    <w:rsid w:val="002443F2"/>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3E80"/>
    <w:rsid w:val="00274730"/>
    <w:rsid w:val="00274FE5"/>
    <w:rsid w:val="0027597F"/>
    <w:rsid w:val="00275DC3"/>
    <w:rsid w:val="002761CF"/>
    <w:rsid w:val="00276A04"/>
    <w:rsid w:val="002773D1"/>
    <w:rsid w:val="00277B8E"/>
    <w:rsid w:val="00280063"/>
    <w:rsid w:val="00280529"/>
    <w:rsid w:val="00280C23"/>
    <w:rsid w:val="00281919"/>
    <w:rsid w:val="00281B5F"/>
    <w:rsid w:val="0028216E"/>
    <w:rsid w:val="00282319"/>
    <w:rsid w:val="00282904"/>
    <w:rsid w:val="002835CD"/>
    <w:rsid w:val="002845D3"/>
    <w:rsid w:val="002849E2"/>
    <w:rsid w:val="00284F4A"/>
    <w:rsid w:val="00285219"/>
    <w:rsid w:val="00285834"/>
    <w:rsid w:val="00285D46"/>
    <w:rsid w:val="0028617D"/>
    <w:rsid w:val="00286E64"/>
    <w:rsid w:val="00290413"/>
    <w:rsid w:val="00290581"/>
    <w:rsid w:val="0029124F"/>
    <w:rsid w:val="00291830"/>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AA9"/>
    <w:rsid w:val="002A4B13"/>
    <w:rsid w:val="002A5926"/>
    <w:rsid w:val="002A6561"/>
    <w:rsid w:val="002A78DA"/>
    <w:rsid w:val="002B033D"/>
    <w:rsid w:val="002B104F"/>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39F7"/>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60B"/>
    <w:rsid w:val="002E4B5E"/>
    <w:rsid w:val="002E4BD1"/>
    <w:rsid w:val="002E7409"/>
    <w:rsid w:val="002E7863"/>
    <w:rsid w:val="002F0354"/>
    <w:rsid w:val="002F035C"/>
    <w:rsid w:val="002F038C"/>
    <w:rsid w:val="002F0834"/>
    <w:rsid w:val="002F1A92"/>
    <w:rsid w:val="002F1C7E"/>
    <w:rsid w:val="002F1EE1"/>
    <w:rsid w:val="002F4E62"/>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3643"/>
    <w:rsid w:val="00314488"/>
    <w:rsid w:val="00314FC1"/>
    <w:rsid w:val="0031604F"/>
    <w:rsid w:val="003163D7"/>
    <w:rsid w:val="0031699C"/>
    <w:rsid w:val="003176CF"/>
    <w:rsid w:val="00320568"/>
    <w:rsid w:val="00320677"/>
    <w:rsid w:val="003207AD"/>
    <w:rsid w:val="00321A2A"/>
    <w:rsid w:val="00321BED"/>
    <w:rsid w:val="00321E74"/>
    <w:rsid w:val="00321FAD"/>
    <w:rsid w:val="00322743"/>
    <w:rsid w:val="003243DE"/>
    <w:rsid w:val="0032441D"/>
    <w:rsid w:val="00324762"/>
    <w:rsid w:val="00324906"/>
    <w:rsid w:val="003252EC"/>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500E0"/>
    <w:rsid w:val="003502DA"/>
    <w:rsid w:val="00350537"/>
    <w:rsid w:val="00351C0F"/>
    <w:rsid w:val="00351CF4"/>
    <w:rsid w:val="00351F00"/>
    <w:rsid w:val="00352622"/>
    <w:rsid w:val="003526A9"/>
    <w:rsid w:val="00352743"/>
    <w:rsid w:val="00353557"/>
    <w:rsid w:val="00353C94"/>
    <w:rsid w:val="0035447F"/>
    <w:rsid w:val="0035559B"/>
    <w:rsid w:val="00355805"/>
    <w:rsid w:val="003560CF"/>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326"/>
    <w:rsid w:val="0037122C"/>
    <w:rsid w:val="003717C7"/>
    <w:rsid w:val="00372158"/>
    <w:rsid w:val="0037298D"/>
    <w:rsid w:val="003732C5"/>
    <w:rsid w:val="00373D94"/>
    <w:rsid w:val="0037469C"/>
    <w:rsid w:val="00374937"/>
    <w:rsid w:val="00374AED"/>
    <w:rsid w:val="003752C8"/>
    <w:rsid w:val="00375900"/>
    <w:rsid w:val="00375EC9"/>
    <w:rsid w:val="00376602"/>
    <w:rsid w:val="00376672"/>
    <w:rsid w:val="00377AF1"/>
    <w:rsid w:val="00380157"/>
    <w:rsid w:val="003808EF"/>
    <w:rsid w:val="00382FB3"/>
    <w:rsid w:val="003837BF"/>
    <w:rsid w:val="00383DB9"/>
    <w:rsid w:val="00383FD9"/>
    <w:rsid w:val="00384809"/>
    <w:rsid w:val="0038705A"/>
    <w:rsid w:val="003871A8"/>
    <w:rsid w:val="00387816"/>
    <w:rsid w:val="00387C68"/>
    <w:rsid w:val="00387DD5"/>
    <w:rsid w:val="003908B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457F"/>
    <w:rsid w:val="003B4BAF"/>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2FA"/>
    <w:rsid w:val="003D34D4"/>
    <w:rsid w:val="003D4DE2"/>
    <w:rsid w:val="003D5386"/>
    <w:rsid w:val="003D6411"/>
    <w:rsid w:val="003D6AD1"/>
    <w:rsid w:val="003D6B39"/>
    <w:rsid w:val="003D6F34"/>
    <w:rsid w:val="003E0178"/>
    <w:rsid w:val="003E0296"/>
    <w:rsid w:val="003E0568"/>
    <w:rsid w:val="003E18CF"/>
    <w:rsid w:val="003E3DDD"/>
    <w:rsid w:val="003E5B11"/>
    <w:rsid w:val="003E5FD4"/>
    <w:rsid w:val="003E6285"/>
    <w:rsid w:val="003E6501"/>
    <w:rsid w:val="003E6747"/>
    <w:rsid w:val="003E6929"/>
    <w:rsid w:val="003F0E69"/>
    <w:rsid w:val="003F169E"/>
    <w:rsid w:val="003F1B16"/>
    <w:rsid w:val="003F30A5"/>
    <w:rsid w:val="003F4088"/>
    <w:rsid w:val="003F4D1D"/>
    <w:rsid w:val="003F54D8"/>
    <w:rsid w:val="003F76C2"/>
    <w:rsid w:val="003F77D9"/>
    <w:rsid w:val="003F78FB"/>
    <w:rsid w:val="003F7D61"/>
    <w:rsid w:val="003F7FD6"/>
    <w:rsid w:val="00401670"/>
    <w:rsid w:val="004030E1"/>
    <w:rsid w:val="0040451B"/>
    <w:rsid w:val="0040455C"/>
    <w:rsid w:val="00404C1C"/>
    <w:rsid w:val="004059FE"/>
    <w:rsid w:val="004067EA"/>
    <w:rsid w:val="0040720F"/>
    <w:rsid w:val="004117A7"/>
    <w:rsid w:val="00411942"/>
    <w:rsid w:val="00411A30"/>
    <w:rsid w:val="00411F39"/>
    <w:rsid w:val="00412C62"/>
    <w:rsid w:val="0041360E"/>
    <w:rsid w:val="00414151"/>
    <w:rsid w:val="0041454B"/>
    <w:rsid w:val="00414943"/>
    <w:rsid w:val="00415B9F"/>
    <w:rsid w:val="00416CE4"/>
    <w:rsid w:val="00416DEA"/>
    <w:rsid w:val="00416EE3"/>
    <w:rsid w:val="00417EF4"/>
    <w:rsid w:val="00420331"/>
    <w:rsid w:val="00420CE6"/>
    <w:rsid w:val="00420E36"/>
    <w:rsid w:val="0042214C"/>
    <w:rsid w:val="004234B3"/>
    <w:rsid w:val="00423E2D"/>
    <w:rsid w:val="0042414B"/>
    <w:rsid w:val="00424A87"/>
    <w:rsid w:val="00424C66"/>
    <w:rsid w:val="004254AC"/>
    <w:rsid w:val="00425777"/>
    <w:rsid w:val="00426AB8"/>
    <w:rsid w:val="00426DE2"/>
    <w:rsid w:val="004276C6"/>
    <w:rsid w:val="0043014C"/>
    <w:rsid w:val="00430511"/>
    <w:rsid w:val="00430618"/>
    <w:rsid w:val="00431C9D"/>
    <w:rsid w:val="0043209F"/>
    <w:rsid w:val="0043488B"/>
    <w:rsid w:val="004357D6"/>
    <w:rsid w:val="00435B26"/>
    <w:rsid w:val="00435D3A"/>
    <w:rsid w:val="00435EF6"/>
    <w:rsid w:val="00436320"/>
    <w:rsid w:val="0043680D"/>
    <w:rsid w:val="0043755C"/>
    <w:rsid w:val="00437DBF"/>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4C8"/>
    <w:rsid w:val="00453064"/>
    <w:rsid w:val="004531AF"/>
    <w:rsid w:val="00453475"/>
    <w:rsid w:val="0045415D"/>
    <w:rsid w:val="00454431"/>
    <w:rsid w:val="0045497F"/>
    <w:rsid w:val="004555B7"/>
    <w:rsid w:val="00455831"/>
    <w:rsid w:val="00455A74"/>
    <w:rsid w:val="00455D65"/>
    <w:rsid w:val="00456AA1"/>
    <w:rsid w:val="00457946"/>
    <w:rsid w:val="004600C8"/>
    <w:rsid w:val="0046019D"/>
    <w:rsid w:val="00460C2F"/>
    <w:rsid w:val="00462B32"/>
    <w:rsid w:val="00462BBE"/>
    <w:rsid w:val="0046421E"/>
    <w:rsid w:val="00465658"/>
    <w:rsid w:val="0046589A"/>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3E5"/>
    <w:rsid w:val="00480581"/>
    <w:rsid w:val="00482825"/>
    <w:rsid w:val="00482BC7"/>
    <w:rsid w:val="00482EA9"/>
    <w:rsid w:val="00483E71"/>
    <w:rsid w:val="00484F1B"/>
    <w:rsid w:val="004852D0"/>
    <w:rsid w:val="00485E1A"/>
    <w:rsid w:val="00486669"/>
    <w:rsid w:val="00486C05"/>
    <w:rsid w:val="0048781C"/>
    <w:rsid w:val="00487C42"/>
    <w:rsid w:val="004907FB"/>
    <w:rsid w:val="004916A3"/>
    <w:rsid w:val="00491A7A"/>
    <w:rsid w:val="00491CC1"/>
    <w:rsid w:val="004924CF"/>
    <w:rsid w:val="004926D1"/>
    <w:rsid w:val="0049299C"/>
    <w:rsid w:val="0049301E"/>
    <w:rsid w:val="0049373A"/>
    <w:rsid w:val="0049399F"/>
    <w:rsid w:val="00494A7A"/>
    <w:rsid w:val="004958B1"/>
    <w:rsid w:val="00495A6D"/>
    <w:rsid w:val="00496468"/>
    <w:rsid w:val="00496E7B"/>
    <w:rsid w:val="00497120"/>
    <w:rsid w:val="00497226"/>
    <w:rsid w:val="004979FC"/>
    <w:rsid w:val="00497CAC"/>
    <w:rsid w:val="00497EFA"/>
    <w:rsid w:val="004A07B9"/>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4CB"/>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4C9F"/>
    <w:rsid w:val="004F51D5"/>
    <w:rsid w:val="004F625C"/>
    <w:rsid w:val="005014FB"/>
    <w:rsid w:val="00501697"/>
    <w:rsid w:val="005017E8"/>
    <w:rsid w:val="00502169"/>
    <w:rsid w:val="005023AA"/>
    <w:rsid w:val="00502A21"/>
    <w:rsid w:val="00505E91"/>
    <w:rsid w:val="0050643B"/>
    <w:rsid w:val="00506987"/>
    <w:rsid w:val="00507B51"/>
    <w:rsid w:val="00510AD1"/>
    <w:rsid w:val="00511B57"/>
    <w:rsid w:val="00511CB7"/>
    <w:rsid w:val="00512150"/>
    <w:rsid w:val="005130CF"/>
    <w:rsid w:val="00513178"/>
    <w:rsid w:val="00513BBF"/>
    <w:rsid w:val="00513C6B"/>
    <w:rsid w:val="00514288"/>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A06"/>
    <w:rsid w:val="00532F9A"/>
    <w:rsid w:val="00533059"/>
    <w:rsid w:val="005330C2"/>
    <w:rsid w:val="00533185"/>
    <w:rsid w:val="0053425E"/>
    <w:rsid w:val="0053470D"/>
    <w:rsid w:val="00534BC8"/>
    <w:rsid w:val="00534EEE"/>
    <w:rsid w:val="00535082"/>
    <w:rsid w:val="0053517D"/>
    <w:rsid w:val="005369E6"/>
    <w:rsid w:val="00536CC3"/>
    <w:rsid w:val="00537A0A"/>
    <w:rsid w:val="00537A91"/>
    <w:rsid w:val="00540273"/>
    <w:rsid w:val="00540434"/>
    <w:rsid w:val="005406BE"/>
    <w:rsid w:val="00540992"/>
    <w:rsid w:val="00542BAF"/>
    <w:rsid w:val="00542E65"/>
    <w:rsid w:val="00542EBE"/>
    <w:rsid w:val="005437C9"/>
    <w:rsid w:val="00543906"/>
    <w:rsid w:val="00543D59"/>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61EC"/>
    <w:rsid w:val="005579D6"/>
    <w:rsid w:val="005600CE"/>
    <w:rsid w:val="00560BC6"/>
    <w:rsid w:val="0056186E"/>
    <w:rsid w:val="0056196B"/>
    <w:rsid w:val="00562CA8"/>
    <w:rsid w:val="00563CA8"/>
    <w:rsid w:val="005641F8"/>
    <w:rsid w:val="0056451B"/>
    <w:rsid w:val="00564F47"/>
    <w:rsid w:val="005654B8"/>
    <w:rsid w:val="00565E58"/>
    <w:rsid w:val="00566CA2"/>
    <w:rsid w:val="0056703E"/>
    <w:rsid w:val="00567280"/>
    <w:rsid w:val="005702B3"/>
    <w:rsid w:val="00570ACB"/>
    <w:rsid w:val="00570B45"/>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807BB"/>
    <w:rsid w:val="005822E6"/>
    <w:rsid w:val="00582F4D"/>
    <w:rsid w:val="0058376D"/>
    <w:rsid w:val="00584051"/>
    <w:rsid w:val="0058427C"/>
    <w:rsid w:val="00584EDA"/>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3B9"/>
    <w:rsid w:val="005D3E49"/>
    <w:rsid w:val="005D517E"/>
    <w:rsid w:val="005D51AC"/>
    <w:rsid w:val="005D5220"/>
    <w:rsid w:val="005D5853"/>
    <w:rsid w:val="005D68F9"/>
    <w:rsid w:val="005D6E16"/>
    <w:rsid w:val="005D744E"/>
    <w:rsid w:val="005D79A4"/>
    <w:rsid w:val="005E00D6"/>
    <w:rsid w:val="005E0104"/>
    <w:rsid w:val="005E03E6"/>
    <w:rsid w:val="005E06A4"/>
    <w:rsid w:val="005E1229"/>
    <w:rsid w:val="005E152C"/>
    <w:rsid w:val="005E1ECB"/>
    <w:rsid w:val="005E21CB"/>
    <w:rsid w:val="005E297E"/>
    <w:rsid w:val="005E29B8"/>
    <w:rsid w:val="005E3D7B"/>
    <w:rsid w:val="005E45EA"/>
    <w:rsid w:val="005E5849"/>
    <w:rsid w:val="005E6809"/>
    <w:rsid w:val="005E6BF7"/>
    <w:rsid w:val="005E71AF"/>
    <w:rsid w:val="005E7FD1"/>
    <w:rsid w:val="005F1C3C"/>
    <w:rsid w:val="005F3C63"/>
    <w:rsid w:val="005F3FA6"/>
    <w:rsid w:val="005F404C"/>
    <w:rsid w:val="005F41D6"/>
    <w:rsid w:val="005F575D"/>
    <w:rsid w:val="005F6710"/>
    <w:rsid w:val="005F6F40"/>
    <w:rsid w:val="005F6F9D"/>
    <w:rsid w:val="005F7157"/>
    <w:rsid w:val="006006B1"/>
    <w:rsid w:val="00600A04"/>
    <w:rsid w:val="00601C15"/>
    <w:rsid w:val="00602842"/>
    <w:rsid w:val="00602ECA"/>
    <w:rsid w:val="006032C2"/>
    <w:rsid w:val="006053F2"/>
    <w:rsid w:val="006056E6"/>
    <w:rsid w:val="00605F40"/>
    <w:rsid w:val="00606C51"/>
    <w:rsid w:val="00606E89"/>
    <w:rsid w:val="006100E7"/>
    <w:rsid w:val="006108D4"/>
    <w:rsid w:val="00610D1E"/>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1A3"/>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0F48"/>
    <w:rsid w:val="0064111F"/>
    <w:rsid w:val="006420A9"/>
    <w:rsid w:val="00642B77"/>
    <w:rsid w:val="00642C23"/>
    <w:rsid w:val="00644D5B"/>
    <w:rsid w:val="00644DD5"/>
    <w:rsid w:val="00645900"/>
    <w:rsid w:val="006459DF"/>
    <w:rsid w:val="006460BC"/>
    <w:rsid w:val="0064617F"/>
    <w:rsid w:val="0064729C"/>
    <w:rsid w:val="006474F0"/>
    <w:rsid w:val="006511D1"/>
    <w:rsid w:val="0065190A"/>
    <w:rsid w:val="00651F60"/>
    <w:rsid w:val="00652A1E"/>
    <w:rsid w:val="00652FD7"/>
    <w:rsid w:val="00653546"/>
    <w:rsid w:val="00653817"/>
    <w:rsid w:val="00653892"/>
    <w:rsid w:val="00654EEE"/>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A4"/>
    <w:rsid w:val="00671366"/>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CF1"/>
    <w:rsid w:val="00690DCC"/>
    <w:rsid w:val="00691BC8"/>
    <w:rsid w:val="006923D9"/>
    <w:rsid w:val="006926DE"/>
    <w:rsid w:val="00692D89"/>
    <w:rsid w:val="00692F61"/>
    <w:rsid w:val="00693AAD"/>
    <w:rsid w:val="00693BA5"/>
    <w:rsid w:val="00694829"/>
    <w:rsid w:val="00694B06"/>
    <w:rsid w:val="0069553E"/>
    <w:rsid w:val="00695689"/>
    <w:rsid w:val="0069637C"/>
    <w:rsid w:val="006A125C"/>
    <w:rsid w:val="006A1400"/>
    <w:rsid w:val="006A141B"/>
    <w:rsid w:val="006A1D83"/>
    <w:rsid w:val="006A1FF2"/>
    <w:rsid w:val="006A277E"/>
    <w:rsid w:val="006A3840"/>
    <w:rsid w:val="006A5689"/>
    <w:rsid w:val="006A6176"/>
    <w:rsid w:val="006A61B9"/>
    <w:rsid w:val="006A6531"/>
    <w:rsid w:val="006A6745"/>
    <w:rsid w:val="006A6A3A"/>
    <w:rsid w:val="006A7002"/>
    <w:rsid w:val="006B019D"/>
    <w:rsid w:val="006B4359"/>
    <w:rsid w:val="006B5635"/>
    <w:rsid w:val="006B6057"/>
    <w:rsid w:val="006B7334"/>
    <w:rsid w:val="006C156B"/>
    <w:rsid w:val="006C19F7"/>
    <w:rsid w:val="006C24E3"/>
    <w:rsid w:val="006C32AB"/>
    <w:rsid w:val="006C59A6"/>
    <w:rsid w:val="006C5BF8"/>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2AA"/>
    <w:rsid w:val="006E098F"/>
    <w:rsid w:val="006E11FC"/>
    <w:rsid w:val="006E171E"/>
    <w:rsid w:val="006E2165"/>
    <w:rsid w:val="006E22EB"/>
    <w:rsid w:val="006E247A"/>
    <w:rsid w:val="006E2EA4"/>
    <w:rsid w:val="006E3040"/>
    <w:rsid w:val="006E31B9"/>
    <w:rsid w:val="006E323B"/>
    <w:rsid w:val="006E3C71"/>
    <w:rsid w:val="006E478E"/>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16F4A"/>
    <w:rsid w:val="00720DE2"/>
    <w:rsid w:val="007216D3"/>
    <w:rsid w:val="00721BD9"/>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2157"/>
    <w:rsid w:val="0075359E"/>
    <w:rsid w:val="0075586B"/>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FE2"/>
    <w:rsid w:val="0077314D"/>
    <w:rsid w:val="00773644"/>
    <w:rsid w:val="00773C1C"/>
    <w:rsid w:val="00774B3E"/>
    <w:rsid w:val="0077534C"/>
    <w:rsid w:val="007758F0"/>
    <w:rsid w:val="00777569"/>
    <w:rsid w:val="007813A8"/>
    <w:rsid w:val="00782BF0"/>
    <w:rsid w:val="007831EF"/>
    <w:rsid w:val="00783AEF"/>
    <w:rsid w:val="00783DA7"/>
    <w:rsid w:val="00784BEF"/>
    <w:rsid w:val="00785A4E"/>
    <w:rsid w:val="00785EA8"/>
    <w:rsid w:val="00786352"/>
    <w:rsid w:val="00786856"/>
    <w:rsid w:val="00786E41"/>
    <w:rsid w:val="00787B77"/>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2DA2"/>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2B57"/>
    <w:rsid w:val="007C3B21"/>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D3C"/>
    <w:rsid w:val="007D7FDD"/>
    <w:rsid w:val="007E0604"/>
    <w:rsid w:val="007E0CE2"/>
    <w:rsid w:val="007E0D8B"/>
    <w:rsid w:val="007E15AA"/>
    <w:rsid w:val="007E1F87"/>
    <w:rsid w:val="007E2018"/>
    <w:rsid w:val="007E2B8C"/>
    <w:rsid w:val="007E4843"/>
    <w:rsid w:val="007E50C9"/>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28A7"/>
    <w:rsid w:val="008044E4"/>
    <w:rsid w:val="00804AB1"/>
    <w:rsid w:val="00805541"/>
    <w:rsid w:val="00806066"/>
    <w:rsid w:val="00806232"/>
    <w:rsid w:val="008067B3"/>
    <w:rsid w:val="00806AA5"/>
    <w:rsid w:val="008071F4"/>
    <w:rsid w:val="008101BD"/>
    <w:rsid w:val="00810A38"/>
    <w:rsid w:val="00810EB1"/>
    <w:rsid w:val="008118A2"/>
    <w:rsid w:val="00811F09"/>
    <w:rsid w:val="008125BA"/>
    <w:rsid w:val="00812C70"/>
    <w:rsid w:val="0081367A"/>
    <w:rsid w:val="00813BFB"/>
    <w:rsid w:val="008146E3"/>
    <w:rsid w:val="00814C0C"/>
    <w:rsid w:val="00814ED7"/>
    <w:rsid w:val="008159BD"/>
    <w:rsid w:val="00815FFC"/>
    <w:rsid w:val="008168A6"/>
    <w:rsid w:val="00816D6A"/>
    <w:rsid w:val="0081742E"/>
    <w:rsid w:val="00817535"/>
    <w:rsid w:val="008176F0"/>
    <w:rsid w:val="0082041E"/>
    <w:rsid w:val="008207D8"/>
    <w:rsid w:val="00821BFB"/>
    <w:rsid w:val="0082285B"/>
    <w:rsid w:val="008235F9"/>
    <w:rsid w:val="00823F7D"/>
    <w:rsid w:val="00824F08"/>
    <w:rsid w:val="00825305"/>
    <w:rsid w:val="00825ABB"/>
    <w:rsid w:val="00825D61"/>
    <w:rsid w:val="0082640F"/>
    <w:rsid w:val="0082647D"/>
    <w:rsid w:val="008275D6"/>
    <w:rsid w:val="00827781"/>
    <w:rsid w:val="00827B16"/>
    <w:rsid w:val="00827CE0"/>
    <w:rsid w:val="00830E25"/>
    <w:rsid w:val="0083228C"/>
    <w:rsid w:val="00832AF9"/>
    <w:rsid w:val="00832F37"/>
    <w:rsid w:val="008347E1"/>
    <w:rsid w:val="00835835"/>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564D4"/>
    <w:rsid w:val="00857F04"/>
    <w:rsid w:val="008602B1"/>
    <w:rsid w:val="00860476"/>
    <w:rsid w:val="00860731"/>
    <w:rsid w:val="0086097D"/>
    <w:rsid w:val="008616E7"/>
    <w:rsid w:val="00861CFE"/>
    <w:rsid w:val="0086322A"/>
    <w:rsid w:val="00863360"/>
    <w:rsid w:val="00863820"/>
    <w:rsid w:val="008640AD"/>
    <w:rsid w:val="0086630B"/>
    <w:rsid w:val="00867BD3"/>
    <w:rsid w:val="008703C2"/>
    <w:rsid w:val="008706B6"/>
    <w:rsid w:val="00870F85"/>
    <w:rsid w:val="00871A21"/>
    <w:rsid w:val="008730B5"/>
    <w:rsid w:val="008733A3"/>
    <w:rsid w:val="0087342E"/>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574C"/>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26B"/>
    <w:rsid w:val="008A334C"/>
    <w:rsid w:val="008A3414"/>
    <w:rsid w:val="008A347C"/>
    <w:rsid w:val="008A3AED"/>
    <w:rsid w:val="008A3B00"/>
    <w:rsid w:val="008A4A9B"/>
    <w:rsid w:val="008A6931"/>
    <w:rsid w:val="008A6B77"/>
    <w:rsid w:val="008A71EF"/>
    <w:rsid w:val="008A7558"/>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514"/>
    <w:rsid w:val="008C17DD"/>
    <w:rsid w:val="008C30CA"/>
    <w:rsid w:val="008C440A"/>
    <w:rsid w:val="008C464E"/>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2FEB"/>
    <w:rsid w:val="00923950"/>
    <w:rsid w:val="00924AF4"/>
    <w:rsid w:val="00925BEE"/>
    <w:rsid w:val="009264AC"/>
    <w:rsid w:val="00927069"/>
    <w:rsid w:val="009273A8"/>
    <w:rsid w:val="009273B5"/>
    <w:rsid w:val="00930CE2"/>
    <w:rsid w:val="00932510"/>
    <w:rsid w:val="009330AE"/>
    <w:rsid w:val="009345EE"/>
    <w:rsid w:val="009346B4"/>
    <w:rsid w:val="00937375"/>
    <w:rsid w:val="00940C73"/>
    <w:rsid w:val="00940DB9"/>
    <w:rsid w:val="00941A59"/>
    <w:rsid w:val="00941C8F"/>
    <w:rsid w:val="0094209B"/>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08A"/>
    <w:rsid w:val="0098434D"/>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3C0"/>
    <w:rsid w:val="009922EC"/>
    <w:rsid w:val="009924B2"/>
    <w:rsid w:val="0099261C"/>
    <w:rsid w:val="00992787"/>
    <w:rsid w:val="00992837"/>
    <w:rsid w:val="009929E9"/>
    <w:rsid w:val="00992BB2"/>
    <w:rsid w:val="00993418"/>
    <w:rsid w:val="00993456"/>
    <w:rsid w:val="00993796"/>
    <w:rsid w:val="00993806"/>
    <w:rsid w:val="00993D41"/>
    <w:rsid w:val="00994774"/>
    <w:rsid w:val="0099625B"/>
    <w:rsid w:val="00996D85"/>
    <w:rsid w:val="00997177"/>
    <w:rsid w:val="0099759F"/>
    <w:rsid w:val="00997912"/>
    <w:rsid w:val="00997956"/>
    <w:rsid w:val="00997C1B"/>
    <w:rsid w:val="00997C6F"/>
    <w:rsid w:val="009A0EAC"/>
    <w:rsid w:val="009A2A5D"/>
    <w:rsid w:val="009A2AEC"/>
    <w:rsid w:val="009A4EFA"/>
    <w:rsid w:val="009A6365"/>
    <w:rsid w:val="009A7384"/>
    <w:rsid w:val="009B29D4"/>
    <w:rsid w:val="009B2C8A"/>
    <w:rsid w:val="009B3C6A"/>
    <w:rsid w:val="009B53BE"/>
    <w:rsid w:val="009B599D"/>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E00EC"/>
    <w:rsid w:val="009E040F"/>
    <w:rsid w:val="009E0FA2"/>
    <w:rsid w:val="009E1001"/>
    <w:rsid w:val="009E15C9"/>
    <w:rsid w:val="009E2416"/>
    <w:rsid w:val="009E252C"/>
    <w:rsid w:val="009E2B70"/>
    <w:rsid w:val="009E381F"/>
    <w:rsid w:val="009E4062"/>
    <w:rsid w:val="009E49E6"/>
    <w:rsid w:val="009E4E8B"/>
    <w:rsid w:val="009E6022"/>
    <w:rsid w:val="009E616D"/>
    <w:rsid w:val="009E69C2"/>
    <w:rsid w:val="009E70F5"/>
    <w:rsid w:val="009F03C9"/>
    <w:rsid w:val="009F16E0"/>
    <w:rsid w:val="009F206B"/>
    <w:rsid w:val="009F357D"/>
    <w:rsid w:val="009F3A2F"/>
    <w:rsid w:val="009F45EF"/>
    <w:rsid w:val="009F4C63"/>
    <w:rsid w:val="009F51A3"/>
    <w:rsid w:val="009F5401"/>
    <w:rsid w:val="009F61BC"/>
    <w:rsid w:val="009F6FDE"/>
    <w:rsid w:val="009F79A2"/>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4724"/>
    <w:rsid w:val="00A15456"/>
    <w:rsid w:val="00A15864"/>
    <w:rsid w:val="00A15EF0"/>
    <w:rsid w:val="00A162FC"/>
    <w:rsid w:val="00A165D8"/>
    <w:rsid w:val="00A16F3C"/>
    <w:rsid w:val="00A17A6E"/>
    <w:rsid w:val="00A20872"/>
    <w:rsid w:val="00A209AB"/>
    <w:rsid w:val="00A20E09"/>
    <w:rsid w:val="00A21CD6"/>
    <w:rsid w:val="00A224AA"/>
    <w:rsid w:val="00A22623"/>
    <w:rsid w:val="00A22B7B"/>
    <w:rsid w:val="00A230BB"/>
    <w:rsid w:val="00A23267"/>
    <w:rsid w:val="00A237BE"/>
    <w:rsid w:val="00A23957"/>
    <w:rsid w:val="00A25FA8"/>
    <w:rsid w:val="00A261A1"/>
    <w:rsid w:val="00A265D4"/>
    <w:rsid w:val="00A27A7B"/>
    <w:rsid w:val="00A3039F"/>
    <w:rsid w:val="00A30639"/>
    <w:rsid w:val="00A32090"/>
    <w:rsid w:val="00A32F30"/>
    <w:rsid w:val="00A33312"/>
    <w:rsid w:val="00A3375C"/>
    <w:rsid w:val="00A33974"/>
    <w:rsid w:val="00A33DBE"/>
    <w:rsid w:val="00A3527A"/>
    <w:rsid w:val="00A35F3A"/>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85"/>
    <w:rsid w:val="00A55AEE"/>
    <w:rsid w:val="00A55EA7"/>
    <w:rsid w:val="00A571ED"/>
    <w:rsid w:val="00A578F8"/>
    <w:rsid w:val="00A57AB0"/>
    <w:rsid w:val="00A57BA6"/>
    <w:rsid w:val="00A6096D"/>
    <w:rsid w:val="00A61C17"/>
    <w:rsid w:val="00A62934"/>
    <w:rsid w:val="00A62A00"/>
    <w:rsid w:val="00A63E74"/>
    <w:rsid w:val="00A641BD"/>
    <w:rsid w:val="00A6499E"/>
    <w:rsid w:val="00A6507B"/>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0EE7"/>
    <w:rsid w:val="00A819EB"/>
    <w:rsid w:val="00A830A4"/>
    <w:rsid w:val="00A8321D"/>
    <w:rsid w:val="00A843A1"/>
    <w:rsid w:val="00A843BF"/>
    <w:rsid w:val="00A846ED"/>
    <w:rsid w:val="00A855F8"/>
    <w:rsid w:val="00A85664"/>
    <w:rsid w:val="00A85CA2"/>
    <w:rsid w:val="00A8601A"/>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688B"/>
    <w:rsid w:val="00AA6B7A"/>
    <w:rsid w:val="00AA6F63"/>
    <w:rsid w:val="00AB08D1"/>
    <w:rsid w:val="00AB0EEC"/>
    <w:rsid w:val="00AB2093"/>
    <w:rsid w:val="00AB3E38"/>
    <w:rsid w:val="00AB43FD"/>
    <w:rsid w:val="00AB55F5"/>
    <w:rsid w:val="00AB5AA2"/>
    <w:rsid w:val="00AB5AE2"/>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3835"/>
    <w:rsid w:val="00AD4339"/>
    <w:rsid w:val="00AD4A76"/>
    <w:rsid w:val="00AD5854"/>
    <w:rsid w:val="00AD5936"/>
    <w:rsid w:val="00AD5FBA"/>
    <w:rsid w:val="00AD66A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AF707B"/>
    <w:rsid w:val="00B004A9"/>
    <w:rsid w:val="00B00943"/>
    <w:rsid w:val="00B00BC0"/>
    <w:rsid w:val="00B00BF1"/>
    <w:rsid w:val="00B014EA"/>
    <w:rsid w:val="00B01C63"/>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548"/>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83E"/>
    <w:rsid w:val="00B249E5"/>
    <w:rsid w:val="00B25250"/>
    <w:rsid w:val="00B2553B"/>
    <w:rsid w:val="00B25576"/>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144"/>
    <w:rsid w:val="00B767E2"/>
    <w:rsid w:val="00B76BB1"/>
    <w:rsid w:val="00B77050"/>
    <w:rsid w:val="00B77C3C"/>
    <w:rsid w:val="00B8003A"/>
    <w:rsid w:val="00B80041"/>
    <w:rsid w:val="00B80D13"/>
    <w:rsid w:val="00B810D7"/>
    <w:rsid w:val="00B81577"/>
    <w:rsid w:val="00B820EB"/>
    <w:rsid w:val="00B8246D"/>
    <w:rsid w:val="00B82518"/>
    <w:rsid w:val="00B8353A"/>
    <w:rsid w:val="00B837DB"/>
    <w:rsid w:val="00B849C9"/>
    <w:rsid w:val="00B84A7B"/>
    <w:rsid w:val="00B84CC5"/>
    <w:rsid w:val="00B84F2D"/>
    <w:rsid w:val="00B8542E"/>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5DA"/>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58B"/>
    <w:rsid w:val="00C117C2"/>
    <w:rsid w:val="00C119ED"/>
    <w:rsid w:val="00C12046"/>
    <w:rsid w:val="00C135C8"/>
    <w:rsid w:val="00C152A9"/>
    <w:rsid w:val="00C15662"/>
    <w:rsid w:val="00C15E3C"/>
    <w:rsid w:val="00C168FC"/>
    <w:rsid w:val="00C204A9"/>
    <w:rsid w:val="00C20C6A"/>
    <w:rsid w:val="00C245EA"/>
    <w:rsid w:val="00C246F1"/>
    <w:rsid w:val="00C25B06"/>
    <w:rsid w:val="00C266E6"/>
    <w:rsid w:val="00C26846"/>
    <w:rsid w:val="00C275C4"/>
    <w:rsid w:val="00C27F0E"/>
    <w:rsid w:val="00C27FFC"/>
    <w:rsid w:val="00C30131"/>
    <w:rsid w:val="00C307AA"/>
    <w:rsid w:val="00C30CED"/>
    <w:rsid w:val="00C327B7"/>
    <w:rsid w:val="00C3283F"/>
    <w:rsid w:val="00C33122"/>
    <w:rsid w:val="00C3368E"/>
    <w:rsid w:val="00C3383B"/>
    <w:rsid w:val="00C338D5"/>
    <w:rsid w:val="00C33A6D"/>
    <w:rsid w:val="00C349C9"/>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4D59"/>
    <w:rsid w:val="00C55B85"/>
    <w:rsid w:val="00C56B9C"/>
    <w:rsid w:val="00C56BE8"/>
    <w:rsid w:val="00C57515"/>
    <w:rsid w:val="00C5791B"/>
    <w:rsid w:val="00C57C86"/>
    <w:rsid w:val="00C57E70"/>
    <w:rsid w:val="00C6120F"/>
    <w:rsid w:val="00C62463"/>
    <w:rsid w:val="00C63961"/>
    <w:rsid w:val="00C63B21"/>
    <w:rsid w:val="00C64218"/>
    <w:rsid w:val="00C6571F"/>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C1F"/>
    <w:rsid w:val="00C84FC6"/>
    <w:rsid w:val="00C85242"/>
    <w:rsid w:val="00C85BD1"/>
    <w:rsid w:val="00C85E7D"/>
    <w:rsid w:val="00C86BB1"/>
    <w:rsid w:val="00C86C41"/>
    <w:rsid w:val="00C871F0"/>
    <w:rsid w:val="00C8722C"/>
    <w:rsid w:val="00C90045"/>
    <w:rsid w:val="00C907CB"/>
    <w:rsid w:val="00C90BA7"/>
    <w:rsid w:val="00C91D07"/>
    <w:rsid w:val="00C91F82"/>
    <w:rsid w:val="00C92129"/>
    <w:rsid w:val="00C921BD"/>
    <w:rsid w:val="00C92AE6"/>
    <w:rsid w:val="00C934EB"/>
    <w:rsid w:val="00C93A07"/>
    <w:rsid w:val="00C94CF6"/>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6FAE"/>
    <w:rsid w:val="00CC14A0"/>
    <w:rsid w:val="00CC1638"/>
    <w:rsid w:val="00CC2061"/>
    <w:rsid w:val="00CC36EE"/>
    <w:rsid w:val="00CC3BC8"/>
    <w:rsid w:val="00CC5599"/>
    <w:rsid w:val="00CC60DB"/>
    <w:rsid w:val="00CC6596"/>
    <w:rsid w:val="00CD12BF"/>
    <w:rsid w:val="00CD17AB"/>
    <w:rsid w:val="00CD184E"/>
    <w:rsid w:val="00CD1E0E"/>
    <w:rsid w:val="00CD2078"/>
    <w:rsid w:val="00CD228A"/>
    <w:rsid w:val="00CD25C7"/>
    <w:rsid w:val="00CD2F6D"/>
    <w:rsid w:val="00CD419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561D"/>
    <w:rsid w:val="00CF62D0"/>
    <w:rsid w:val="00CF7664"/>
    <w:rsid w:val="00D00058"/>
    <w:rsid w:val="00D003BD"/>
    <w:rsid w:val="00D029C8"/>
    <w:rsid w:val="00D02E51"/>
    <w:rsid w:val="00D03925"/>
    <w:rsid w:val="00D04595"/>
    <w:rsid w:val="00D04A72"/>
    <w:rsid w:val="00D05A9A"/>
    <w:rsid w:val="00D0797E"/>
    <w:rsid w:val="00D11F40"/>
    <w:rsid w:val="00D127EF"/>
    <w:rsid w:val="00D139E9"/>
    <w:rsid w:val="00D13FCD"/>
    <w:rsid w:val="00D13FDD"/>
    <w:rsid w:val="00D14F48"/>
    <w:rsid w:val="00D15109"/>
    <w:rsid w:val="00D15D24"/>
    <w:rsid w:val="00D16329"/>
    <w:rsid w:val="00D17322"/>
    <w:rsid w:val="00D1772C"/>
    <w:rsid w:val="00D20196"/>
    <w:rsid w:val="00D213FF"/>
    <w:rsid w:val="00D223E2"/>
    <w:rsid w:val="00D2337B"/>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3BE"/>
    <w:rsid w:val="00D341D2"/>
    <w:rsid w:val="00D354FD"/>
    <w:rsid w:val="00D36149"/>
    <w:rsid w:val="00D377DD"/>
    <w:rsid w:val="00D37A3B"/>
    <w:rsid w:val="00D37C4B"/>
    <w:rsid w:val="00D40BF8"/>
    <w:rsid w:val="00D41883"/>
    <w:rsid w:val="00D41C01"/>
    <w:rsid w:val="00D41DBA"/>
    <w:rsid w:val="00D41E3A"/>
    <w:rsid w:val="00D42559"/>
    <w:rsid w:val="00D43023"/>
    <w:rsid w:val="00D44599"/>
    <w:rsid w:val="00D45555"/>
    <w:rsid w:val="00D4591A"/>
    <w:rsid w:val="00D45A24"/>
    <w:rsid w:val="00D45B24"/>
    <w:rsid w:val="00D466D6"/>
    <w:rsid w:val="00D51874"/>
    <w:rsid w:val="00D52D6C"/>
    <w:rsid w:val="00D5407D"/>
    <w:rsid w:val="00D540C1"/>
    <w:rsid w:val="00D545E5"/>
    <w:rsid w:val="00D550D0"/>
    <w:rsid w:val="00D55DA9"/>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1D6"/>
    <w:rsid w:val="00D81609"/>
    <w:rsid w:val="00D817DF"/>
    <w:rsid w:val="00D8187F"/>
    <w:rsid w:val="00D81FD5"/>
    <w:rsid w:val="00D829C2"/>
    <w:rsid w:val="00D83723"/>
    <w:rsid w:val="00D844A8"/>
    <w:rsid w:val="00D84B05"/>
    <w:rsid w:val="00D85638"/>
    <w:rsid w:val="00D85D76"/>
    <w:rsid w:val="00D864D1"/>
    <w:rsid w:val="00D86868"/>
    <w:rsid w:val="00D90B42"/>
    <w:rsid w:val="00D90B9D"/>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D5B"/>
    <w:rsid w:val="00DB2ED7"/>
    <w:rsid w:val="00DB30F3"/>
    <w:rsid w:val="00DB36EB"/>
    <w:rsid w:val="00DB3DD1"/>
    <w:rsid w:val="00DB3FB2"/>
    <w:rsid w:val="00DB423C"/>
    <w:rsid w:val="00DB4FF2"/>
    <w:rsid w:val="00DB72CE"/>
    <w:rsid w:val="00DB7A4C"/>
    <w:rsid w:val="00DB7E72"/>
    <w:rsid w:val="00DC04E6"/>
    <w:rsid w:val="00DC1F90"/>
    <w:rsid w:val="00DC2F9A"/>
    <w:rsid w:val="00DC3202"/>
    <w:rsid w:val="00DC3825"/>
    <w:rsid w:val="00DC39C7"/>
    <w:rsid w:val="00DC3E6F"/>
    <w:rsid w:val="00DC44CC"/>
    <w:rsid w:val="00DC44F3"/>
    <w:rsid w:val="00DC6290"/>
    <w:rsid w:val="00DC6F2F"/>
    <w:rsid w:val="00DC7185"/>
    <w:rsid w:val="00DC7556"/>
    <w:rsid w:val="00DC7AB4"/>
    <w:rsid w:val="00DD0E6E"/>
    <w:rsid w:val="00DD1D0B"/>
    <w:rsid w:val="00DD2ABE"/>
    <w:rsid w:val="00DD32F8"/>
    <w:rsid w:val="00DD34EE"/>
    <w:rsid w:val="00DD3E7A"/>
    <w:rsid w:val="00DD606C"/>
    <w:rsid w:val="00DD61F7"/>
    <w:rsid w:val="00DD66D5"/>
    <w:rsid w:val="00DD6AC6"/>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975"/>
    <w:rsid w:val="00DE5C6E"/>
    <w:rsid w:val="00DE6567"/>
    <w:rsid w:val="00DE755B"/>
    <w:rsid w:val="00DF0A76"/>
    <w:rsid w:val="00DF13BE"/>
    <w:rsid w:val="00DF25BE"/>
    <w:rsid w:val="00DF2BF9"/>
    <w:rsid w:val="00DF37D1"/>
    <w:rsid w:val="00DF3E4D"/>
    <w:rsid w:val="00DF5A53"/>
    <w:rsid w:val="00DF6580"/>
    <w:rsid w:val="00DF6617"/>
    <w:rsid w:val="00DF76F7"/>
    <w:rsid w:val="00E00FCA"/>
    <w:rsid w:val="00E01727"/>
    <w:rsid w:val="00E0245D"/>
    <w:rsid w:val="00E02FC4"/>
    <w:rsid w:val="00E03384"/>
    <w:rsid w:val="00E04912"/>
    <w:rsid w:val="00E04B60"/>
    <w:rsid w:val="00E057E0"/>
    <w:rsid w:val="00E059FB"/>
    <w:rsid w:val="00E05ABB"/>
    <w:rsid w:val="00E07875"/>
    <w:rsid w:val="00E1027E"/>
    <w:rsid w:val="00E107A3"/>
    <w:rsid w:val="00E10DD6"/>
    <w:rsid w:val="00E11B8F"/>
    <w:rsid w:val="00E11CBE"/>
    <w:rsid w:val="00E12419"/>
    <w:rsid w:val="00E126E0"/>
    <w:rsid w:val="00E13264"/>
    <w:rsid w:val="00E13486"/>
    <w:rsid w:val="00E136E6"/>
    <w:rsid w:val="00E141C1"/>
    <w:rsid w:val="00E141C6"/>
    <w:rsid w:val="00E142EA"/>
    <w:rsid w:val="00E14397"/>
    <w:rsid w:val="00E14816"/>
    <w:rsid w:val="00E14E1A"/>
    <w:rsid w:val="00E15C96"/>
    <w:rsid w:val="00E15D16"/>
    <w:rsid w:val="00E1728C"/>
    <w:rsid w:val="00E1797D"/>
    <w:rsid w:val="00E207A4"/>
    <w:rsid w:val="00E2164A"/>
    <w:rsid w:val="00E21F35"/>
    <w:rsid w:val="00E22E2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AF0"/>
    <w:rsid w:val="00E37F83"/>
    <w:rsid w:val="00E40192"/>
    <w:rsid w:val="00E4032E"/>
    <w:rsid w:val="00E41542"/>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67C9E"/>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0D4C"/>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A0EE3"/>
    <w:rsid w:val="00EA0F80"/>
    <w:rsid w:val="00EA240D"/>
    <w:rsid w:val="00EA3B1C"/>
    <w:rsid w:val="00EA499F"/>
    <w:rsid w:val="00EA6B69"/>
    <w:rsid w:val="00EB1476"/>
    <w:rsid w:val="00EB1479"/>
    <w:rsid w:val="00EB16FF"/>
    <w:rsid w:val="00EB1C55"/>
    <w:rsid w:val="00EB2A07"/>
    <w:rsid w:val="00EB4FAC"/>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5E33"/>
    <w:rsid w:val="00ED652E"/>
    <w:rsid w:val="00ED6B44"/>
    <w:rsid w:val="00ED75DF"/>
    <w:rsid w:val="00EE0136"/>
    <w:rsid w:val="00EE0A08"/>
    <w:rsid w:val="00EE15CD"/>
    <w:rsid w:val="00EE1A8E"/>
    <w:rsid w:val="00EE2933"/>
    <w:rsid w:val="00EE5396"/>
    <w:rsid w:val="00EE5535"/>
    <w:rsid w:val="00EE76C9"/>
    <w:rsid w:val="00EF081C"/>
    <w:rsid w:val="00EF0D2C"/>
    <w:rsid w:val="00EF23D4"/>
    <w:rsid w:val="00EF37BB"/>
    <w:rsid w:val="00EF3DD7"/>
    <w:rsid w:val="00EF49A8"/>
    <w:rsid w:val="00EF58C8"/>
    <w:rsid w:val="00EF60CE"/>
    <w:rsid w:val="00EF672B"/>
    <w:rsid w:val="00EF69B1"/>
    <w:rsid w:val="00EF7772"/>
    <w:rsid w:val="00F0094B"/>
    <w:rsid w:val="00F014CE"/>
    <w:rsid w:val="00F056EC"/>
    <w:rsid w:val="00F05718"/>
    <w:rsid w:val="00F05809"/>
    <w:rsid w:val="00F05FA8"/>
    <w:rsid w:val="00F0654F"/>
    <w:rsid w:val="00F0680C"/>
    <w:rsid w:val="00F06C7F"/>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13AE"/>
    <w:rsid w:val="00F21BC6"/>
    <w:rsid w:val="00F221BC"/>
    <w:rsid w:val="00F22414"/>
    <w:rsid w:val="00F22F79"/>
    <w:rsid w:val="00F232FB"/>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1D19"/>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622"/>
    <w:rsid w:val="00F805E0"/>
    <w:rsid w:val="00F81C9E"/>
    <w:rsid w:val="00F826C3"/>
    <w:rsid w:val="00F831C3"/>
    <w:rsid w:val="00F832ED"/>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6DD4"/>
    <w:rsid w:val="00F97085"/>
    <w:rsid w:val="00F97792"/>
    <w:rsid w:val="00F979E0"/>
    <w:rsid w:val="00FA09E6"/>
    <w:rsid w:val="00FA1B17"/>
    <w:rsid w:val="00FA26E1"/>
    <w:rsid w:val="00FA2D09"/>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6269"/>
    <w:rsid w:val="00FB644D"/>
    <w:rsid w:val="00FB66F1"/>
    <w:rsid w:val="00FB6D89"/>
    <w:rsid w:val="00FB731E"/>
    <w:rsid w:val="00FC02A7"/>
    <w:rsid w:val="00FC0688"/>
    <w:rsid w:val="00FC2415"/>
    <w:rsid w:val="00FC31B9"/>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4494"/>
    <w:rsid w:val="00FD48F3"/>
    <w:rsid w:val="00FD4D2A"/>
    <w:rsid w:val="00FD54AE"/>
    <w:rsid w:val="00FD7276"/>
    <w:rsid w:val="00FD7FD7"/>
    <w:rsid w:val="00FE067C"/>
    <w:rsid w:val="00FE1222"/>
    <w:rsid w:val="00FE1567"/>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654B"/>
    <w:rsid w:val="00FF66A2"/>
    <w:rsid w:val="00FF6CD5"/>
    <w:rsid w:val="00FF7204"/>
    <w:rsid w:val="00FF726E"/>
    <w:rsid w:val="01050F22"/>
    <w:rsid w:val="01083CCE"/>
    <w:rsid w:val="011253ED"/>
    <w:rsid w:val="011B0745"/>
    <w:rsid w:val="012810B4"/>
    <w:rsid w:val="01537400"/>
    <w:rsid w:val="01600513"/>
    <w:rsid w:val="01926154"/>
    <w:rsid w:val="01973B44"/>
    <w:rsid w:val="01981D96"/>
    <w:rsid w:val="01B34E22"/>
    <w:rsid w:val="01E66FA5"/>
    <w:rsid w:val="01F36A43"/>
    <w:rsid w:val="024B446E"/>
    <w:rsid w:val="02571C51"/>
    <w:rsid w:val="026659F0"/>
    <w:rsid w:val="02785724"/>
    <w:rsid w:val="028916DF"/>
    <w:rsid w:val="029D7C98"/>
    <w:rsid w:val="02CD3CC1"/>
    <w:rsid w:val="02F70216"/>
    <w:rsid w:val="03082F4B"/>
    <w:rsid w:val="0317318F"/>
    <w:rsid w:val="03231B33"/>
    <w:rsid w:val="033C2BF5"/>
    <w:rsid w:val="0358511F"/>
    <w:rsid w:val="037B54CB"/>
    <w:rsid w:val="03922815"/>
    <w:rsid w:val="039B323B"/>
    <w:rsid w:val="03CC315E"/>
    <w:rsid w:val="03E7444B"/>
    <w:rsid w:val="04221DEB"/>
    <w:rsid w:val="046406D1"/>
    <w:rsid w:val="047563BF"/>
    <w:rsid w:val="049F343C"/>
    <w:rsid w:val="04B97507"/>
    <w:rsid w:val="04D66460"/>
    <w:rsid w:val="05243941"/>
    <w:rsid w:val="052E656D"/>
    <w:rsid w:val="05900FD6"/>
    <w:rsid w:val="059A72D7"/>
    <w:rsid w:val="05B13F5A"/>
    <w:rsid w:val="05C00580"/>
    <w:rsid w:val="05C23605"/>
    <w:rsid w:val="05D435B9"/>
    <w:rsid w:val="05D851F7"/>
    <w:rsid w:val="05F2114A"/>
    <w:rsid w:val="061340E1"/>
    <w:rsid w:val="06383B48"/>
    <w:rsid w:val="063B7194"/>
    <w:rsid w:val="064029FC"/>
    <w:rsid w:val="0672167D"/>
    <w:rsid w:val="06774DCA"/>
    <w:rsid w:val="067D77AC"/>
    <w:rsid w:val="06874187"/>
    <w:rsid w:val="069C40D7"/>
    <w:rsid w:val="06C822EA"/>
    <w:rsid w:val="06CE1DB6"/>
    <w:rsid w:val="072C4328"/>
    <w:rsid w:val="075A5A3E"/>
    <w:rsid w:val="075E75DE"/>
    <w:rsid w:val="07632E46"/>
    <w:rsid w:val="07AF458F"/>
    <w:rsid w:val="07B2792A"/>
    <w:rsid w:val="07B53D17"/>
    <w:rsid w:val="07FC49BB"/>
    <w:rsid w:val="08042CA2"/>
    <w:rsid w:val="08053877"/>
    <w:rsid w:val="083E11BD"/>
    <w:rsid w:val="084A5DB4"/>
    <w:rsid w:val="08634780"/>
    <w:rsid w:val="08935065"/>
    <w:rsid w:val="08AE00F1"/>
    <w:rsid w:val="08BD20E2"/>
    <w:rsid w:val="08CC4A1B"/>
    <w:rsid w:val="09173EE8"/>
    <w:rsid w:val="091A12E3"/>
    <w:rsid w:val="093700E7"/>
    <w:rsid w:val="09497E1A"/>
    <w:rsid w:val="094E5847"/>
    <w:rsid w:val="09576AD2"/>
    <w:rsid w:val="098A290C"/>
    <w:rsid w:val="0993176D"/>
    <w:rsid w:val="09B64B07"/>
    <w:rsid w:val="09D41DD9"/>
    <w:rsid w:val="09D81C01"/>
    <w:rsid w:val="0A2649D7"/>
    <w:rsid w:val="0A690774"/>
    <w:rsid w:val="0A7F7F97"/>
    <w:rsid w:val="0A851326"/>
    <w:rsid w:val="0A892BC4"/>
    <w:rsid w:val="0A9F5867"/>
    <w:rsid w:val="0AB94B2B"/>
    <w:rsid w:val="0AE04125"/>
    <w:rsid w:val="0AF1188D"/>
    <w:rsid w:val="0B293A5F"/>
    <w:rsid w:val="0B362A3B"/>
    <w:rsid w:val="0B597B84"/>
    <w:rsid w:val="0B5F0E51"/>
    <w:rsid w:val="0B6B2298"/>
    <w:rsid w:val="0B6D5629"/>
    <w:rsid w:val="0B8A1735"/>
    <w:rsid w:val="0B925AA8"/>
    <w:rsid w:val="0BAB6B6A"/>
    <w:rsid w:val="0BBC2B25"/>
    <w:rsid w:val="0BC07847"/>
    <w:rsid w:val="0C046A34"/>
    <w:rsid w:val="0C6D4563"/>
    <w:rsid w:val="0C71390F"/>
    <w:rsid w:val="0C8E44C1"/>
    <w:rsid w:val="0CDB522D"/>
    <w:rsid w:val="0D3A117D"/>
    <w:rsid w:val="0D49663A"/>
    <w:rsid w:val="0D667E91"/>
    <w:rsid w:val="0D883087"/>
    <w:rsid w:val="0DA87365"/>
    <w:rsid w:val="0E547045"/>
    <w:rsid w:val="0E8D5C3B"/>
    <w:rsid w:val="0EA20DE0"/>
    <w:rsid w:val="0EA33B28"/>
    <w:rsid w:val="0EA578A0"/>
    <w:rsid w:val="0EE303C9"/>
    <w:rsid w:val="0EFB5712"/>
    <w:rsid w:val="0F1D1E7E"/>
    <w:rsid w:val="0F205690"/>
    <w:rsid w:val="0F3B1FB3"/>
    <w:rsid w:val="0F661726"/>
    <w:rsid w:val="0F6F0C5E"/>
    <w:rsid w:val="0F815DA9"/>
    <w:rsid w:val="0F9564DC"/>
    <w:rsid w:val="0FB83603"/>
    <w:rsid w:val="0FBA381F"/>
    <w:rsid w:val="0FCF7C3B"/>
    <w:rsid w:val="100F5919"/>
    <w:rsid w:val="103507FE"/>
    <w:rsid w:val="10424777"/>
    <w:rsid w:val="106F63B8"/>
    <w:rsid w:val="10C2298C"/>
    <w:rsid w:val="113E5D8A"/>
    <w:rsid w:val="11427629"/>
    <w:rsid w:val="11582032"/>
    <w:rsid w:val="11A958FA"/>
    <w:rsid w:val="11E12AF0"/>
    <w:rsid w:val="120668A8"/>
    <w:rsid w:val="12135F22"/>
    <w:rsid w:val="12605E9D"/>
    <w:rsid w:val="128E09D9"/>
    <w:rsid w:val="12930F4F"/>
    <w:rsid w:val="12977E48"/>
    <w:rsid w:val="12A146D5"/>
    <w:rsid w:val="12AD766B"/>
    <w:rsid w:val="12C624DB"/>
    <w:rsid w:val="12E74E6B"/>
    <w:rsid w:val="12F64B6E"/>
    <w:rsid w:val="13050CDE"/>
    <w:rsid w:val="130C7D63"/>
    <w:rsid w:val="132A2A6A"/>
    <w:rsid w:val="13407938"/>
    <w:rsid w:val="13451652"/>
    <w:rsid w:val="1351449B"/>
    <w:rsid w:val="135D699C"/>
    <w:rsid w:val="138D5338"/>
    <w:rsid w:val="13A04ADA"/>
    <w:rsid w:val="13CC69F5"/>
    <w:rsid w:val="13E75FB2"/>
    <w:rsid w:val="14025795"/>
    <w:rsid w:val="147A16EE"/>
    <w:rsid w:val="148D1503"/>
    <w:rsid w:val="14912BA9"/>
    <w:rsid w:val="14A97CD9"/>
    <w:rsid w:val="14C26FAF"/>
    <w:rsid w:val="14E82BDD"/>
    <w:rsid w:val="155B515D"/>
    <w:rsid w:val="156B2F10"/>
    <w:rsid w:val="15B36D47"/>
    <w:rsid w:val="15E55C9A"/>
    <w:rsid w:val="15EA4303"/>
    <w:rsid w:val="15EA4C8F"/>
    <w:rsid w:val="15F44AD5"/>
    <w:rsid w:val="16467BBB"/>
    <w:rsid w:val="165878EE"/>
    <w:rsid w:val="16771C49"/>
    <w:rsid w:val="167F10BD"/>
    <w:rsid w:val="169A1AB3"/>
    <w:rsid w:val="16CF5E02"/>
    <w:rsid w:val="16D2144F"/>
    <w:rsid w:val="1707192A"/>
    <w:rsid w:val="17394D6E"/>
    <w:rsid w:val="17942BA8"/>
    <w:rsid w:val="17996C28"/>
    <w:rsid w:val="17B617BC"/>
    <w:rsid w:val="17F13B56"/>
    <w:rsid w:val="17F673BF"/>
    <w:rsid w:val="18057602"/>
    <w:rsid w:val="180A6356"/>
    <w:rsid w:val="1820443C"/>
    <w:rsid w:val="183D4FEE"/>
    <w:rsid w:val="18470C21"/>
    <w:rsid w:val="18616D75"/>
    <w:rsid w:val="186B1B5B"/>
    <w:rsid w:val="18803DEB"/>
    <w:rsid w:val="189F1804"/>
    <w:rsid w:val="18A706B9"/>
    <w:rsid w:val="18AB0608"/>
    <w:rsid w:val="18EC43CB"/>
    <w:rsid w:val="19121FD6"/>
    <w:rsid w:val="19597C05"/>
    <w:rsid w:val="19726F19"/>
    <w:rsid w:val="19DC5C88"/>
    <w:rsid w:val="19ED03B4"/>
    <w:rsid w:val="1A255D39"/>
    <w:rsid w:val="1A437ED6"/>
    <w:rsid w:val="1A663D17"/>
    <w:rsid w:val="1A6D66CD"/>
    <w:rsid w:val="1A8E1B30"/>
    <w:rsid w:val="1A99206E"/>
    <w:rsid w:val="1AA350E9"/>
    <w:rsid w:val="1AB64BE3"/>
    <w:rsid w:val="1AC40C7B"/>
    <w:rsid w:val="1AD4308C"/>
    <w:rsid w:val="1AF4210B"/>
    <w:rsid w:val="1B214580"/>
    <w:rsid w:val="1B3B6807"/>
    <w:rsid w:val="1B3C79A3"/>
    <w:rsid w:val="1B444488"/>
    <w:rsid w:val="1BAF1D5E"/>
    <w:rsid w:val="1BCF2401"/>
    <w:rsid w:val="1BD45C69"/>
    <w:rsid w:val="1BDC5034"/>
    <w:rsid w:val="1BEA723A"/>
    <w:rsid w:val="1BF41E67"/>
    <w:rsid w:val="1C2F2E9F"/>
    <w:rsid w:val="1C4C57FF"/>
    <w:rsid w:val="1C4F709D"/>
    <w:rsid w:val="1C592469"/>
    <w:rsid w:val="1C7549F6"/>
    <w:rsid w:val="1C786A3B"/>
    <w:rsid w:val="1C8E5E18"/>
    <w:rsid w:val="1CB3587E"/>
    <w:rsid w:val="1D5A59B3"/>
    <w:rsid w:val="1D5C5F16"/>
    <w:rsid w:val="1D5C6D72"/>
    <w:rsid w:val="1D890952"/>
    <w:rsid w:val="1DA10FA1"/>
    <w:rsid w:val="1DB23D88"/>
    <w:rsid w:val="1DCD471E"/>
    <w:rsid w:val="1ECA3515"/>
    <w:rsid w:val="1EFF4DAB"/>
    <w:rsid w:val="1F204D21"/>
    <w:rsid w:val="1F2E38E2"/>
    <w:rsid w:val="1F3D58D3"/>
    <w:rsid w:val="1F403A40"/>
    <w:rsid w:val="1F52137F"/>
    <w:rsid w:val="1F6812CD"/>
    <w:rsid w:val="1F813A12"/>
    <w:rsid w:val="1F9F6B3E"/>
    <w:rsid w:val="1FB50C49"/>
    <w:rsid w:val="20085EE1"/>
    <w:rsid w:val="200F7270"/>
    <w:rsid w:val="201B5C14"/>
    <w:rsid w:val="205630F0"/>
    <w:rsid w:val="206A6B9C"/>
    <w:rsid w:val="2090355A"/>
    <w:rsid w:val="20915ED7"/>
    <w:rsid w:val="20AC0F62"/>
    <w:rsid w:val="20AD2576"/>
    <w:rsid w:val="20D65FDF"/>
    <w:rsid w:val="20DA5ACF"/>
    <w:rsid w:val="20FE25F5"/>
    <w:rsid w:val="210E7527"/>
    <w:rsid w:val="21134B3E"/>
    <w:rsid w:val="21350F58"/>
    <w:rsid w:val="2149055F"/>
    <w:rsid w:val="21492FB1"/>
    <w:rsid w:val="21515666"/>
    <w:rsid w:val="216A06D1"/>
    <w:rsid w:val="21725D08"/>
    <w:rsid w:val="21843C8D"/>
    <w:rsid w:val="21846D50"/>
    <w:rsid w:val="21D95D87"/>
    <w:rsid w:val="21E559DB"/>
    <w:rsid w:val="21F15CAB"/>
    <w:rsid w:val="22244596"/>
    <w:rsid w:val="22394A78"/>
    <w:rsid w:val="224A0A33"/>
    <w:rsid w:val="22517AAF"/>
    <w:rsid w:val="22623FCE"/>
    <w:rsid w:val="22636AE2"/>
    <w:rsid w:val="22995516"/>
    <w:rsid w:val="22B365D8"/>
    <w:rsid w:val="22B36CBA"/>
    <w:rsid w:val="22FF7A6F"/>
    <w:rsid w:val="23046E34"/>
    <w:rsid w:val="230E1A60"/>
    <w:rsid w:val="23450EDC"/>
    <w:rsid w:val="23810484"/>
    <w:rsid w:val="238A4A63"/>
    <w:rsid w:val="23957B07"/>
    <w:rsid w:val="239C706C"/>
    <w:rsid w:val="239F6B5C"/>
    <w:rsid w:val="23A66992"/>
    <w:rsid w:val="23C44E13"/>
    <w:rsid w:val="23CD191B"/>
    <w:rsid w:val="23CD52D2"/>
    <w:rsid w:val="23D902C0"/>
    <w:rsid w:val="23E822B1"/>
    <w:rsid w:val="23FE1AD5"/>
    <w:rsid w:val="24207C9D"/>
    <w:rsid w:val="244871F4"/>
    <w:rsid w:val="24545D96"/>
    <w:rsid w:val="24616E41"/>
    <w:rsid w:val="246833F2"/>
    <w:rsid w:val="24743E15"/>
    <w:rsid w:val="247C6E9E"/>
    <w:rsid w:val="248124AE"/>
    <w:rsid w:val="249C309C"/>
    <w:rsid w:val="24A6668C"/>
    <w:rsid w:val="24B85758"/>
    <w:rsid w:val="24D07365"/>
    <w:rsid w:val="24D171E9"/>
    <w:rsid w:val="24F21193"/>
    <w:rsid w:val="24F609FE"/>
    <w:rsid w:val="250421EB"/>
    <w:rsid w:val="251175E6"/>
    <w:rsid w:val="2611159E"/>
    <w:rsid w:val="262477ED"/>
    <w:rsid w:val="262D66A1"/>
    <w:rsid w:val="2642191D"/>
    <w:rsid w:val="265579A6"/>
    <w:rsid w:val="269229A8"/>
    <w:rsid w:val="26BE379D"/>
    <w:rsid w:val="26BE7476"/>
    <w:rsid w:val="26D62895"/>
    <w:rsid w:val="26DC3C24"/>
    <w:rsid w:val="27027B2E"/>
    <w:rsid w:val="27194E78"/>
    <w:rsid w:val="272918A9"/>
    <w:rsid w:val="273D761C"/>
    <w:rsid w:val="27BD5803"/>
    <w:rsid w:val="27C90FEC"/>
    <w:rsid w:val="280653FC"/>
    <w:rsid w:val="280D24E3"/>
    <w:rsid w:val="280D2C22"/>
    <w:rsid w:val="28245882"/>
    <w:rsid w:val="283133A6"/>
    <w:rsid w:val="28450E2E"/>
    <w:rsid w:val="28771E56"/>
    <w:rsid w:val="288F719F"/>
    <w:rsid w:val="28934155"/>
    <w:rsid w:val="28A32C4B"/>
    <w:rsid w:val="28AF339E"/>
    <w:rsid w:val="28CF4E80"/>
    <w:rsid w:val="290C4C94"/>
    <w:rsid w:val="291504AA"/>
    <w:rsid w:val="29417CAA"/>
    <w:rsid w:val="294D7198"/>
    <w:rsid w:val="294E705B"/>
    <w:rsid w:val="297D524A"/>
    <w:rsid w:val="299B2F17"/>
    <w:rsid w:val="29A15F3D"/>
    <w:rsid w:val="29C56BF1"/>
    <w:rsid w:val="2A9767DF"/>
    <w:rsid w:val="2A9E13F0"/>
    <w:rsid w:val="2B054B6B"/>
    <w:rsid w:val="2B255B99"/>
    <w:rsid w:val="2B3758CC"/>
    <w:rsid w:val="2B41674B"/>
    <w:rsid w:val="2BBB474F"/>
    <w:rsid w:val="2BF069EC"/>
    <w:rsid w:val="2C055F0E"/>
    <w:rsid w:val="2C372028"/>
    <w:rsid w:val="2C425EFD"/>
    <w:rsid w:val="2C487B06"/>
    <w:rsid w:val="2C7D1787"/>
    <w:rsid w:val="2C9A6113"/>
    <w:rsid w:val="2CA5186E"/>
    <w:rsid w:val="2CAD0FE3"/>
    <w:rsid w:val="2CD72CCD"/>
    <w:rsid w:val="2CD94E8D"/>
    <w:rsid w:val="2D0F08AF"/>
    <w:rsid w:val="2D4744ED"/>
    <w:rsid w:val="2D574004"/>
    <w:rsid w:val="2D66545A"/>
    <w:rsid w:val="2D760F49"/>
    <w:rsid w:val="2D947006"/>
    <w:rsid w:val="2DAA4A7C"/>
    <w:rsid w:val="2DAA682A"/>
    <w:rsid w:val="2DF33AB2"/>
    <w:rsid w:val="2DF61A6F"/>
    <w:rsid w:val="2E227124"/>
    <w:rsid w:val="2E3236FF"/>
    <w:rsid w:val="2E3D2D55"/>
    <w:rsid w:val="2E6D24D1"/>
    <w:rsid w:val="2E9E2094"/>
    <w:rsid w:val="2E9F138C"/>
    <w:rsid w:val="2EA15E7F"/>
    <w:rsid w:val="2ED316F4"/>
    <w:rsid w:val="2EDF69A7"/>
    <w:rsid w:val="2EF36364"/>
    <w:rsid w:val="2F081A5A"/>
    <w:rsid w:val="2F2D7712"/>
    <w:rsid w:val="2F301C24"/>
    <w:rsid w:val="2F3E61AE"/>
    <w:rsid w:val="2F4E7C05"/>
    <w:rsid w:val="2F643F15"/>
    <w:rsid w:val="2FEE50F3"/>
    <w:rsid w:val="303D5733"/>
    <w:rsid w:val="30590D3B"/>
    <w:rsid w:val="30737D3B"/>
    <w:rsid w:val="30751371"/>
    <w:rsid w:val="30A9101A"/>
    <w:rsid w:val="30E87E7C"/>
    <w:rsid w:val="30FC01F6"/>
    <w:rsid w:val="30FC739C"/>
    <w:rsid w:val="31376626"/>
    <w:rsid w:val="314A64F7"/>
    <w:rsid w:val="315076E8"/>
    <w:rsid w:val="315C0975"/>
    <w:rsid w:val="316771C6"/>
    <w:rsid w:val="317C228B"/>
    <w:rsid w:val="3192385D"/>
    <w:rsid w:val="319805E6"/>
    <w:rsid w:val="319E0453"/>
    <w:rsid w:val="31A740D8"/>
    <w:rsid w:val="31BC2BEC"/>
    <w:rsid w:val="31FD6C15"/>
    <w:rsid w:val="320C0483"/>
    <w:rsid w:val="321E0D93"/>
    <w:rsid w:val="32296186"/>
    <w:rsid w:val="3243100D"/>
    <w:rsid w:val="324A4137"/>
    <w:rsid w:val="324F79A0"/>
    <w:rsid w:val="32760F95"/>
    <w:rsid w:val="329934D8"/>
    <w:rsid w:val="32BD2BA4"/>
    <w:rsid w:val="32E97DF4"/>
    <w:rsid w:val="32FB0021"/>
    <w:rsid w:val="33042538"/>
    <w:rsid w:val="33125324"/>
    <w:rsid w:val="333A41AC"/>
    <w:rsid w:val="33673093"/>
    <w:rsid w:val="337663FE"/>
    <w:rsid w:val="33835B53"/>
    <w:rsid w:val="3385640A"/>
    <w:rsid w:val="33892053"/>
    <w:rsid w:val="33E67E90"/>
    <w:rsid w:val="33F109F7"/>
    <w:rsid w:val="341113B0"/>
    <w:rsid w:val="342002E1"/>
    <w:rsid w:val="34256150"/>
    <w:rsid w:val="34403831"/>
    <w:rsid w:val="34454F45"/>
    <w:rsid w:val="34562B0B"/>
    <w:rsid w:val="34655C26"/>
    <w:rsid w:val="34C75F13"/>
    <w:rsid w:val="34E37753"/>
    <w:rsid w:val="35064C8D"/>
    <w:rsid w:val="352C3FC8"/>
    <w:rsid w:val="352E1AEE"/>
    <w:rsid w:val="35507C9C"/>
    <w:rsid w:val="357E2A76"/>
    <w:rsid w:val="35876F78"/>
    <w:rsid w:val="358C1F9B"/>
    <w:rsid w:val="35A71011"/>
    <w:rsid w:val="35C81F43"/>
    <w:rsid w:val="35DF43A3"/>
    <w:rsid w:val="35EB5C31"/>
    <w:rsid w:val="360016DD"/>
    <w:rsid w:val="36287EA7"/>
    <w:rsid w:val="363B2715"/>
    <w:rsid w:val="364E4909"/>
    <w:rsid w:val="365657A0"/>
    <w:rsid w:val="36660251"/>
    <w:rsid w:val="370B27C8"/>
    <w:rsid w:val="37182A56"/>
    <w:rsid w:val="371F2036"/>
    <w:rsid w:val="373A29CC"/>
    <w:rsid w:val="3753277D"/>
    <w:rsid w:val="375515B4"/>
    <w:rsid w:val="37ED5C91"/>
    <w:rsid w:val="38172D0E"/>
    <w:rsid w:val="38187D2E"/>
    <w:rsid w:val="3837515E"/>
    <w:rsid w:val="384927A0"/>
    <w:rsid w:val="38B14F10"/>
    <w:rsid w:val="38B7004D"/>
    <w:rsid w:val="38B90269"/>
    <w:rsid w:val="38F64A1A"/>
    <w:rsid w:val="392B2C6B"/>
    <w:rsid w:val="39505958"/>
    <w:rsid w:val="397B5273"/>
    <w:rsid w:val="39812B34"/>
    <w:rsid w:val="39844181"/>
    <w:rsid w:val="39903935"/>
    <w:rsid w:val="39B06F76"/>
    <w:rsid w:val="39C72511"/>
    <w:rsid w:val="39D07618"/>
    <w:rsid w:val="3A176FF5"/>
    <w:rsid w:val="3A340FF7"/>
    <w:rsid w:val="3A3F6B21"/>
    <w:rsid w:val="3A4F678F"/>
    <w:rsid w:val="3A563FC1"/>
    <w:rsid w:val="3A777A93"/>
    <w:rsid w:val="3A7B57D6"/>
    <w:rsid w:val="3AA82343"/>
    <w:rsid w:val="3AFB28B2"/>
    <w:rsid w:val="3B0752BB"/>
    <w:rsid w:val="3B0C0B24"/>
    <w:rsid w:val="3B1F2605"/>
    <w:rsid w:val="3B424B80"/>
    <w:rsid w:val="3B954675"/>
    <w:rsid w:val="3BA0301A"/>
    <w:rsid w:val="3BB30F9F"/>
    <w:rsid w:val="3BBC60A6"/>
    <w:rsid w:val="3BE178BA"/>
    <w:rsid w:val="3BE455FD"/>
    <w:rsid w:val="3BE60C08"/>
    <w:rsid w:val="3BF84C04"/>
    <w:rsid w:val="3C2105FF"/>
    <w:rsid w:val="3C280707"/>
    <w:rsid w:val="3C5E53AF"/>
    <w:rsid w:val="3CD86FCF"/>
    <w:rsid w:val="3CE11114"/>
    <w:rsid w:val="3CEC296C"/>
    <w:rsid w:val="3D3C316D"/>
    <w:rsid w:val="3D5C573D"/>
    <w:rsid w:val="3D9848F1"/>
    <w:rsid w:val="3D995F73"/>
    <w:rsid w:val="3D9A2417"/>
    <w:rsid w:val="3DC94AAA"/>
    <w:rsid w:val="3DF1282B"/>
    <w:rsid w:val="3E38578C"/>
    <w:rsid w:val="3E640EDA"/>
    <w:rsid w:val="3E6B1215"/>
    <w:rsid w:val="3E9F580B"/>
    <w:rsid w:val="3EA1729E"/>
    <w:rsid w:val="3F2A3E42"/>
    <w:rsid w:val="3F3348D1"/>
    <w:rsid w:val="3F3B3785"/>
    <w:rsid w:val="3F446ADE"/>
    <w:rsid w:val="3F5D7BA0"/>
    <w:rsid w:val="3F656A54"/>
    <w:rsid w:val="3FAF7CCF"/>
    <w:rsid w:val="3FE61943"/>
    <w:rsid w:val="3FE71217"/>
    <w:rsid w:val="3FF57DD8"/>
    <w:rsid w:val="400B75FC"/>
    <w:rsid w:val="40291830"/>
    <w:rsid w:val="404F3FFC"/>
    <w:rsid w:val="406C796F"/>
    <w:rsid w:val="409072AC"/>
    <w:rsid w:val="40AB493B"/>
    <w:rsid w:val="40FD6DCE"/>
    <w:rsid w:val="41006A35"/>
    <w:rsid w:val="411249BA"/>
    <w:rsid w:val="41171FD0"/>
    <w:rsid w:val="411C3143"/>
    <w:rsid w:val="411E510D"/>
    <w:rsid w:val="41483F38"/>
    <w:rsid w:val="414A5F02"/>
    <w:rsid w:val="41792343"/>
    <w:rsid w:val="41831414"/>
    <w:rsid w:val="4198167F"/>
    <w:rsid w:val="41A05B22"/>
    <w:rsid w:val="41BF4055"/>
    <w:rsid w:val="41CC2DBB"/>
    <w:rsid w:val="41E52780"/>
    <w:rsid w:val="41FB0E2F"/>
    <w:rsid w:val="41FB544E"/>
    <w:rsid w:val="420339DD"/>
    <w:rsid w:val="42110A7D"/>
    <w:rsid w:val="421729DE"/>
    <w:rsid w:val="427005BB"/>
    <w:rsid w:val="429338D8"/>
    <w:rsid w:val="42B11027"/>
    <w:rsid w:val="42B23D5F"/>
    <w:rsid w:val="42C22487"/>
    <w:rsid w:val="42CD0B98"/>
    <w:rsid w:val="42DA32B5"/>
    <w:rsid w:val="430F56AE"/>
    <w:rsid w:val="43707776"/>
    <w:rsid w:val="43865F28"/>
    <w:rsid w:val="439223D0"/>
    <w:rsid w:val="43D44D4F"/>
    <w:rsid w:val="44071E88"/>
    <w:rsid w:val="442A5B77"/>
    <w:rsid w:val="443E41B9"/>
    <w:rsid w:val="445A645C"/>
    <w:rsid w:val="448C6831"/>
    <w:rsid w:val="449175CA"/>
    <w:rsid w:val="44A54CDD"/>
    <w:rsid w:val="44BD2E10"/>
    <w:rsid w:val="44DE1B9E"/>
    <w:rsid w:val="44E952E8"/>
    <w:rsid w:val="44F83783"/>
    <w:rsid w:val="453018B3"/>
    <w:rsid w:val="45435142"/>
    <w:rsid w:val="45446F3A"/>
    <w:rsid w:val="4545710C"/>
    <w:rsid w:val="4582403C"/>
    <w:rsid w:val="45973B41"/>
    <w:rsid w:val="45975239"/>
    <w:rsid w:val="45AC34E5"/>
    <w:rsid w:val="45BB5620"/>
    <w:rsid w:val="45C218AE"/>
    <w:rsid w:val="45C90447"/>
    <w:rsid w:val="45D263A0"/>
    <w:rsid w:val="45DB181E"/>
    <w:rsid w:val="45DC10F2"/>
    <w:rsid w:val="45E43CB8"/>
    <w:rsid w:val="45EF7078"/>
    <w:rsid w:val="45F97EF6"/>
    <w:rsid w:val="4623373F"/>
    <w:rsid w:val="463352C3"/>
    <w:rsid w:val="464949DA"/>
    <w:rsid w:val="4654446A"/>
    <w:rsid w:val="46555E19"/>
    <w:rsid w:val="46647A66"/>
    <w:rsid w:val="469009AD"/>
    <w:rsid w:val="46DC75FC"/>
    <w:rsid w:val="46FC7F77"/>
    <w:rsid w:val="47252C7D"/>
    <w:rsid w:val="47356D0C"/>
    <w:rsid w:val="47361098"/>
    <w:rsid w:val="474E6020"/>
    <w:rsid w:val="475E44B5"/>
    <w:rsid w:val="477353BB"/>
    <w:rsid w:val="47863A0C"/>
    <w:rsid w:val="47A125F4"/>
    <w:rsid w:val="47CD6BD8"/>
    <w:rsid w:val="480D36B8"/>
    <w:rsid w:val="48284AC3"/>
    <w:rsid w:val="486C0E54"/>
    <w:rsid w:val="486D4757"/>
    <w:rsid w:val="48D507A7"/>
    <w:rsid w:val="48F0064E"/>
    <w:rsid w:val="49303C2F"/>
    <w:rsid w:val="49942410"/>
    <w:rsid w:val="499A554C"/>
    <w:rsid w:val="499A72FA"/>
    <w:rsid w:val="49EA64D4"/>
    <w:rsid w:val="49F72B9B"/>
    <w:rsid w:val="4A001853"/>
    <w:rsid w:val="4A1452FF"/>
    <w:rsid w:val="4A78588E"/>
    <w:rsid w:val="4A7E6C1C"/>
    <w:rsid w:val="4A9308A6"/>
    <w:rsid w:val="4AA97B59"/>
    <w:rsid w:val="4AAA7C87"/>
    <w:rsid w:val="4ADD7DE7"/>
    <w:rsid w:val="4B3519D1"/>
    <w:rsid w:val="4B3D6AD7"/>
    <w:rsid w:val="4B5A1437"/>
    <w:rsid w:val="4BB548C0"/>
    <w:rsid w:val="4BD77BC4"/>
    <w:rsid w:val="4C1B203D"/>
    <w:rsid w:val="4C4C5224"/>
    <w:rsid w:val="4C612351"/>
    <w:rsid w:val="4C72630D"/>
    <w:rsid w:val="4CA50490"/>
    <w:rsid w:val="4CAD5597"/>
    <w:rsid w:val="4CAE1A3B"/>
    <w:rsid w:val="4CBF59F6"/>
    <w:rsid w:val="4CD026A6"/>
    <w:rsid w:val="4D2C0BB1"/>
    <w:rsid w:val="4D513FA5"/>
    <w:rsid w:val="4D9F75D5"/>
    <w:rsid w:val="4E1E7219"/>
    <w:rsid w:val="4E51243A"/>
    <w:rsid w:val="4E517186"/>
    <w:rsid w:val="4E916F1E"/>
    <w:rsid w:val="4E980D90"/>
    <w:rsid w:val="4EA967EB"/>
    <w:rsid w:val="4EB57963"/>
    <w:rsid w:val="4EB96475"/>
    <w:rsid w:val="4EBD703D"/>
    <w:rsid w:val="4ECA741E"/>
    <w:rsid w:val="4EEC23A6"/>
    <w:rsid w:val="4F361873"/>
    <w:rsid w:val="4F700C72"/>
    <w:rsid w:val="4F836FD1"/>
    <w:rsid w:val="4F93316A"/>
    <w:rsid w:val="4FAD422B"/>
    <w:rsid w:val="4FBA6948"/>
    <w:rsid w:val="4FCD042A"/>
    <w:rsid w:val="4FE23BDC"/>
    <w:rsid w:val="4FE94208"/>
    <w:rsid w:val="4FEF63C4"/>
    <w:rsid w:val="5014473A"/>
    <w:rsid w:val="50551558"/>
    <w:rsid w:val="505620F6"/>
    <w:rsid w:val="50680152"/>
    <w:rsid w:val="50BB0282"/>
    <w:rsid w:val="50EA5EA6"/>
    <w:rsid w:val="511C02C4"/>
    <w:rsid w:val="512A746A"/>
    <w:rsid w:val="513B13C3"/>
    <w:rsid w:val="51735108"/>
    <w:rsid w:val="518D7D5A"/>
    <w:rsid w:val="519D207E"/>
    <w:rsid w:val="51AA57AB"/>
    <w:rsid w:val="51AE0344"/>
    <w:rsid w:val="51BB2504"/>
    <w:rsid w:val="51EE4687"/>
    <w:rsid w:val="51F30BA2"/>
    <w:rsid w:val="51F36142"/>
    <w:rsid w:val="521F6F37"/>
    <w:rsid w:val="523A78CD"/>
    <w:rsid w:val="52A6771E"/>
    <w:rsid w:val="52AB2578"/>
    <w:rsid w:val="52BE482B"/>
    <w:rsid w:val="5334431C"/>
    <w:rsid w:val="53933C38"/>
    <w:rsid w:val="53E667F9"/>
    <w:rsid w:val="540939FA"/>
    <w:rsid w:val="541C6180"/>
    <w:rsid w:val="54371FCF"/>
    <w:rsid w:val="544455CE"/>
    <w:rsid w:val="54530666"/>
    <w:rsid w:val="54741D03"/>
    <w:rsid w:val="549E05E7"/>
    <w:rsid w:val="54AB2D04"/>
    <w:rsid w:val="54AD082A"/>
    <w:rsid w:val="54AE0FDD"/>
    <w:rsid w:val="54CB198F"/>
    <w:rsid w:val="54E57FC4"/>
    <w:rsid w:val="55132468"/>
    <w:rsid w:val="551E1403"/>
    <w:rsid w:val="5520724E"/>
    <w:rsid w:val="55676C2B"/>
    <w:rsid w:val="557F6076"/>
    <w:rsid w:val="558275C0"/>
    <w:rsid w:val="55B915A0"/>
    <w:rsid w:val="55D818D6"/>
    <w:rsid w:val="56073F6A"/>
    <w:rsid w:val="566665BC"/>
    <w:rsid w:val="567C6706"/>
    <w:rsid w:val="56817962"/>
    <w:rsid w:val="56824C41"/>
    <w:rsid w:val="568F27AE"/>
    <w:rsid w:val="568F4829"/>
    <w:rsid w:val="56903F5F"/>
    <w:rsid w:val="569A012D"/>
    <w:rsid w:val="57095CAB"/>
    <w:rsid w:val="570F562D"/>
    <w:rsid w:val="571C1C97"/>
    <w:rsid w:val="5726041F"/>
    <w:rsid w:val="574E5D37"/>
    <w:rsid w:val="575F1007"/>
    <w:rsid w:val="576B42C3"/>
    <w:rsid w:val="57711FE2"/>
    <w:rsid w:val="577738A3"/>
    <w:rsid w:val="57783371"/>
    <w:rsid w:val="57792C45"/>
    <w:rsid w:val="57A96194"/>
    <w:rsid w:val="57AD1ACD"/>
    <w:rsid w:val="57B54757"/>
    <w:rsid w:val="57C956CF"/>
    <w:rsid w:val="57D85BBE"/>
    <w:rsid w:val="581A61D6"/>
    <w:rsid w:val="5858730C"/>
    <w:rsid w:val="5886561A"/>
    <w:rsid w:val="58A5001E"/>
    <w:rsid w:val="58DD0FB2"/>
    <w:rsid w:val="59022143"/>
    <w:rsid w:val="592310BA"/>
    <w:rsid w:val="592B226D"/>
    <w:rsid w:val="594554D5"/>
    <w:rsid w:val="59457283"/>
    <w:rsid w:val="597F0A98"/>
    <w:rsid w:val="59923323"/>
    <w:rsid w:val="59CC108C"/>
    <w:rsid w:val="59D37220"/>
    <w:rsid w:val="5A0636D9"/>
    <w:rsid w:val="5A227BBC"/>
    <w:rsid w:val="5A230B9F"/>
    <w:rsid w:val="5A655703"/>
    <w:rsid w:val="5A6B2401"/>
    <w:rsid w:val="5A7410B4"/>
    <w:rsid w:val="5A782CCD"/>
    <w:rsid w:val="5A9B11BD"/>
    <w:rsid w:val="5A9D4E9D"/>
    <w:rsid w:val="5AAE0E58"/>
    <w:rsid w:val="5AEF4ADF"/>
    <w:rsid w:val="5AFD6893"/>
    <w:rsid w:val="5B1433B1"/>
    <w:rsid w:val="5B445318"/>
    <w:rsid w:val="5B503CBD"/>
    <w:rsid w:val="5B8B3B5F"/>
    <w:rsid w:val="5B914A01"/>
    <w:rsid w:val="5B9A06E1"/>
    <w:rsid w:val="5BCF366A"/>
    <w:rsid w:val="5BD60666"/>
    <w:rsid w:val="5BE7262C"/>
    <w:rsid w:val="5BEC478B"/>
    <w:rsid w:val="5C1473E0"/>
    <w:rsid w:val="5C413EE3"/>
    <w:rsid w:val="5C8E2CEF"/>
    <w:rsid w:val="5C950521"/>
    <w:rsid w:val="5C9B365E"/>
    <w:rsid w:val="5CA258EC"/>
    <w:rsid w:val="5CBF734C"/>
    <w:rsid w:val="5CE86853"/>
    <w:rsid w:val="5CF61D0D"/>
    <w:rsid w:val="5D0E2082"/>
    <w:rsid w:val="5D467E93"/>
    <w:rsid w:val="5DD45079"/>
    <w:rsid w:val="5DEA05A2"/>
    <w:rsid w:val="5DFB2606"/>
    <w:rsid w:val="5E176D14"/>
    <w:rsid w:val="5E1831B8"/>
    <w:rsid w:val="5E604B5F"/>
    <w:rsid w:val="5E9465B6"/>
    <w:rsid w:val="5EAA7B88"/>
    <w:rsid w:val="5EB56C59"/>
    <w:rsid w:val="5F395FE7"/>
    <w:rsid w:val="5F6462B7"/>
    <w:rsid w:val="5FB82E15"/>
    <w:rsid w:val="5FDE4B10"/>
    <w:rsid w:val="600B28A8"/>
    <w:rsid w:val="600F70A7"/>
    <w:rsid w:val="60180424"/>
    <w:rsid w:val="60321E53"/>
    <w:rsid w:val="60487608"/>
    <w:rsid w:val="604B7DE5"/>
    <w:rsid w:val="607F289B"/>
    <w:rsid w:val="60822B6A"/>
    <w:rsid w:val="608C5C6B"/>
    <w:rsid w:val="60CA4511"/>
    <w:rsid w:val="60CF38D6"/>
    <w:rsid w:val="60D32015"/>
    <w:rsid w:val="60D86C2E"/>
    <w:rsid w:val="60DA0FAA"/>
    <w:rsid w:val="60DD5FF3"/>
    <w:rsid w:val="60EC6236"/>
    <w:rsid w:val="610F14C6"/>
    <w:rsid w:val="61137C66"/>
    <w:rsid w:val="611C2FBF"/>
    <w:rsid w:val="61250DED"/>
    <w:rsid w:val="618E54C4"/>
    <w:rsid w:val="61943B37"/>
    <w:rsid w:val="619743F4"/>
    <w:rsid w:val="620121B5"/>
    <w:rsid w:val="62045801"/>
    <w:rsid w:val="620677CB"/>
    <w:rsid w:val="623E6F65"/>
    <w:rsid w:val="62476747"/>
    <w:rsid w:val="624A5CB4"/>
    <w:rsid w:val="624D427E"/>
    <w:rsid w:val="627E3805"/>
    <w:rsid w:val="62930E6E"/>
    <w:rsid w:val="62966DA1"/>
    <w:rsid w:val="62EA49F7"/>
    <w:rsid w:val="62F92E8C"/>
    <w:rsid w:val="630567A8"/>
    <w:rsid w:val="631853C6"/>
    <w:rsid w:val="63217532"/>
    <w:rsid w:val="63260125"/>
    <w:rsid w:val="634047A4"/>
    <w:rsid w:val="63506F50"/>
    <w:rsid w:val="6395126D"/>
    <w:rsid w:val="63957059"/>
    <w:rsid w:val="63BA086D"/>
    <w:rsid w:val="63D062E3"/>
    <w:rsid w:val="63DD630A"/>
    <w:rsid w:val="6416019A"/>
    <w:rsid w:val="641C1DB4"/>
    <w:rsid w:val="645E569D"/>
    <w:rsid w:val="6470717E"/>
    <w:rsid w:val="64B057DE"/>
    <w:rsid w:val="64B96D77"/>
    <w:rsid w:val="64BB05F2"/>
    <w:rsid w:val="64CE2C89"/>
    <w:rsid w:val="64D4770D"/>
    <w:rsid w:val="64DF4A2F"/>
    <w:rsid w:val="653D4A71"/>
    <w:rsid w:val="656D375E"/>
    <w:rsid w:val="65953340"/>
    <w:rsid w:val="65AE4402"/>
    <w:rsid w:val="65EB11B2"/>
    <w:rsid w:val="65FC33BF"/>
    <w:rsid w:val="6615622F"/>
    <w:rsid w:val="661A1A97"/>
    <w:rsid w:val="6640476F"/>
    <w:rsid w:val="66421087"/>
    <w:rsid w:val="66680A54"/>
    <w:rsid w:val="668138C4"/>
    <w:rsid w:val="668C4743"/>
    <w:rsid w:val="6695111E"/>
    <w:rsid w:val="66A41A90"/>
    <w:rsid w:val="66AB08E7"/>
    <w:rsid w:val="66DC57F7"/>
    <w:rsid w:val="66E005EB"/>
    <w:rsid w:val="674566A0"/>
    <w:rsid w:val="675114E9"/>
    <w:rsid w:val="677E5755"/>
    <w:rsid w:val="67BC7A52"/>
    <w:rsid w:val="67DC0256"/>
    <w:rsid w:val="6805723E"/>
    <w:rsid w:val="6821545C"/>
    <w:rsid w:val="68336E40"/>
    <w:rsid w:val="68572B2F"/>
    <w:rsid w:val="68582403"/>
    <w:rsid w:val="686B2D87"/>
    <w:rsid w:val="68727968"/>
    <w:rsid w:val="689E7DA6"/>
    <w:rsid w:val="68AC2CF6"/>
    <w:rsid w:val="68B41D2F"/>
    <w:rsid w:val="68B735CD"/>
    <w:rsid w:val="68CB194B"/>
    <w:rsid w:val="68FC5484"/>
    <w:rsid w:val="690305C1"/>
    <w:rsid w:val="692109DB"/>
    <w:rsid w:val="692F13B6"/>
    <w:rsid w:val="693C3AD3"/>
    <w:rsid w:val="697D0373"/>
    <w:rsid w:val="69A73642"/>
    <w:rsid w:val="69B95123"/>
    <w:rsid w:val="6A10568B"/>
    <w:rsid w:val="6A425452"/>
    <w:rsid w:val="6A657521"/>
    <w:rsid w:val="6A90057A"/>
    <w:rsid w:val="6AA3205B"/>
    <w:rsid w:val="6AB44268"/>
    <w:rsid w:val="6AB53970"/>
    <w:rsid w:val="6AD93563"/>
    <w:rsid w:val="6AE4339E"/>
    <w:rsid w:val="6B3638C9"/>
    <w:rsid w:val="6B4355EC"/>
    <w:rsid w:val="6B5222C8"/>
    <w:rsid w:val="6B560E7C"/>
    <w:rsid w:val="6B916358"/>
    <w:rsid w:val="6B9FF7F4"/>
    <w:rsid w:val="6BAE1C75"/>
    <w:rsid w:val="6BE75D74"/>
    <w:rsid w:val="6BE97F42"/>
    <w:rsid w:val="6BFA4F5C"/>
    <w:rsid w:val="6C030E69"/>
    <w:rsid w:val="6C5555D7"/>
    <w:rsid w:val="6C77379F"/>
    <w:rsid w:val="6D2C1EED"/>
    <w:rsid w:val="6D3B2A1F"/>
    <w:rsid w:val="6D45564C"/>
    <w:rsid w:val="6D5533B5"/>
    <w:rsid w:val="6D667370"/>
    <w:rsid w:val="6DC3789B"/>
    <w:rsid w:val="6DEA61F3"/>
    <w:rsid w:val="6DED64EA"/>
    <w:rsid w:val="6DF57072"/>
    <w:rsid w:val="6DFE31EA"/>
    <w:rsid w:val="6E096679"/>
    <w:rsid w:val="6E3A5F81"/>
    <w:rsid w:val="6E443B55"/>
    <w:rsid w:val="6E5D2990"/>
    <w:rsid w:val="6E6E2980"/>
    <w:rsid w:val="6E9248C1"/>
    <w:rsid w:val="6EB505AF"/>
    <w:rsid w:val="6ED749C9"/>
    <w:rsid w:val="6F1F0452"/>
    <w:rsid w:val="6F34735B"/>
    <w:rsid w:val="6F621A30"/>
    <w:rsid w:val="6F6B7162"/>
    <w:rsid w:val="6F7E0BF8"/>
    <w:rsid w:val="6F82620A"/>
    <w:rsid w:val="6F9C351D"/>
    <w:rsid w:val="6FC36CFC"/>
    <w:rsid w:val="6FF735EA"/>
    <w:rsid w:val="700E61C9"/>
    <w:rsid w:val="701778DC"/>
    <w:rsid w:val="70221C74"/>
    <w:rsid w:val="70291255"/>
    <w:rsid w:val="70463DEA"/>
    <w:rsid w:val="70687184"/>
    <w:rsid w:val="708B7819"/>
    <w:rsid w:val="70904E30"/>
    <w:rsid w:val="70972849"/>
    <w:rsid w:val="70B2124A"/>
    <w:rsid w:val="713A2FED"/>
    <w:rsid w:val="71970440"/>
    <w:rsid w:val="71C50B09"/>
    <w:rsid w:val="71D10A6E"/>
    <w:rsid w:val="71E500A1"/>
    <w:rsid w:val="71E74F23"/>
    <w:rsid w:val="720F7FD6"/>
    <w:rsid w:val="7247DC7E"/>
    <w:rsid w:val="72615139"/>
    <w:rsid w:val="7271138A"/>
    <w:rsid w:val="72755DC2"/>
    <w:rsid w:val="72861EAA"/>
    <w:rsid w:val="729624A5"/>
    <w:rsid w:val="72B34E05"/>
    <w:rsid w:val="72E176CB"/>
    <w:rsid w:val="72EC6569"/>
    <w:rsid w:val="72F6011D"/>
    <w:rsid w:val="731A30D6"/>
    <w:rsid w:val="732E0930"/>
    <w:rsid w:val="73320420"/>
    <w:rsid w:val="733C0FA4"/>
    <w:rsid w:val="7348106F"/>
    <w:rsid w:val="7349576A"/>
    <w:rsid w:val="73506AF8"/>
    <w:rsid w:val="735B3FFC"/>
    <w:rsid w:val="7379604F"/>
    <w:rsid w:val="738806AE"/>
    <w:rsid w:val="738F7621"/>
    <w:rsid w:val="73D17C39"/>
    <w:rsid w:val="73D56FFD"/>
    <w:rsid w:val="740E3C5F"/>
    <w:rsid w:val="74212243"/>
    <w:rsid w:val="74257F85"/>
    <w:rsid w:val="743401C8"/>
    <w:rsid w:val="747D56CB"/>
    <w:rsid w:val="74AE06FF"/>
    <w:rsid w:val="74C26893"/>
    <w:rsid w:val="74C4779E"/>
    <w:rsid w:val="74CE23CA"/>
    <w:rsid w:val="74D472B5"/>
    <w:rsid w:val="74F51F3E"/>
    <w:rsid w:val="750722DF"/>
    <w:rsid w:val="752C0E9F"/>
    <w:rsid w:val="75510906"/>
    <w:rsid w:val="75534576"/>
    <w:rsid w:val="757C2C68"/>
    <w:rsid w:val="75AF5D58"/>
    <w:rsid w:val="75B17978"/>
    <w:rsid w:val="75CB2646"/>
    <w:rsid w:val="75D51537"/>
    <w:rsid w:val="762D3121"/>
    <w:rsid w:val="76345020"/>
    <w:rsid w:val="7657019E"/>
    <w:rsid w:val="768C388F"/>
    <w:rsid w:val="769E73E4"/>
    <w:rsid w:val="76A64435"/>
    <w:rsid w:val="76B97DEF"/>
    <w:rsid w:val="76CD0A00"/>
    <w:rsid w:val="770976EA"/>
    <w:rsid w:val="771334D2"/>
    <w:rsid w:val="77293973"/>
    <w:rsid w:val="773E7BB3"/>
    <w:rsid w:val="775D17E4"/>
    <w:rsid w:val="775F555C"/>
    <w:rsid w:val="7763680E"/>
    <w:rsid w:val="776C1A27"/>
    <w:rsid w:val="779C4FA5"/>
    <w:rsid w:val="77A94803"/>
    <w:rsid w:val="77AB3E76"/>
    <w:rsid w:val="77C975EC"/>
    <w:rsid w:val="77CA50CB"/>
    <w:rsid w:val="77D54725"/>
    <w:rsid w:val="77DA0571"/>
    <w:rsid w:val="77FD0061"/>
    <w:rsid w:val="781138F8"/>
    <w:rsid w:val="78153E6C"/>
    <w:rsid w:val="78177BE5"/>
    <w:rsid w:val="783C589D"/>
    <w:rsid w:val="786F17CF"/>
    <w:rsid w:val="78954B9F"/>
    <w:rsid w:val="78BA3601"/>
    <w:rsid w:val="78F02670"/>
    <w:rsid w:val="78F61EF0"/>
    <w:rsid w:val="797A042B"/>
    <w:rsid w:val="798968C0"/>
    <w:rsid w:val="798A3867"/>
    <w:rsid w:val="799A6D1F"/>
    <w:rsid w:val="79E32CF8"/>
    <w:rsid w:val="79F24605"/>
    <w:rsid w:val="7A1A1C0E"/>
    <w:rsid w:val="7A320D06"/>
    <w:rsid w:val="7A546ECE"/>
    <w:rsid w:val="7A7C01D3"/>
    <w:rsid w:val="7A903C7E"/>
    <w:rsid w:val="7AC202DC"/>
    <w:rsid w:val="7AE00762"/>
    <w:rsid w:val="7BB265A2"/>
    <w:rsid w:val="7BB830BA"/>
    <w:rsid w:val="7BD160B9"/>
    <w:rsid w:val="7BF85F7F"/>
    <w:rsid w:val="7C1E4412"/>
    <w:rsid w:val="7C255C9F"/>
    <w:rsid w:val="7C280612"/>
    <w:rsid w:val="7C690BD8"/>
    <w:rsid w:val="7C720E56"/>
    <w:rsid w:val="7C7A4BE6"/>
    <w:rsid w:val="7CB43C54"/>
    <w:rsid w:val="7CC42B1F"/>
    <w:rsid w:val="7CC540B3"/>
    <w:rsid w:val="7CE979E6"/>
    <w:rsid w:val="7CF624BE"/>
    <w:rsid w:val="7CFDC0C3"/>
    <w:rsid w:val="7D046CFB"/>
    <w:rsid w:val="7D052701"/>
    <w:rsid w:val="7D142945"/>
    <w:rsid w:val="7D1A6F58"/>
    <w:rsid w:val="7D1E1A15"/>
    <w:rsid w:val="7D5C5EE8"/>
    <w:rsid w:val="7D8B36E0"/>
    <w:rsid w:val="7DBF4FA6"/>
    <w:rsid w:val="7DC73E5B"/>
    <w:rsid w:val="7DCD5A40"/>
    <w:rsid w:val="7DF764EE"/>
    <w:rsid w:val="7E0230E5"/>
    <w:rsid w:val="7E0546B0"/>
    <w:rsid w:val="7E233A0A"/>
    <w:rsid w:val="7E2C3CBE"/>
    <w:rsid w:val="7E325778"/>
    <w:rsid w:val="7E3C03A5"/>
    <w:rsid w:val="7E4B4A8C"/>
    <w:rsid w:val="7E592E7A"/>
    <w:rsid w:val="7E7067B4"/>
    <w:rsid w:val="7EA30424"/>
    <w:rsid w:val="7EAB552B"/>
    <w:rsid w:val="7ED20D09"/>
    <w:rsid w:val="7ED30121"/>
    <w:rsid w:val="7EE7398F"/>
    <w:rsid w:val="7EFE0786"/>
    <w:rsid w:val="7F201A75"/>
    <w:rsid w:val="7F233313"/>
    <w:rsid w:val="7F3177DE"/>
    <w:rsid w:val="7F3D2627"/>
    <w:rsid w:val="7F5415CF"/>
    <w:rsid w:val="7F7917BB"/>
    <w:rsid w:val="7F7E49ED"/>
    <w:rsid w:val="7FB421BD"/>
    <w:rsid w:val="7FC05006"/>
    <w:rsid w:val="7FD840FD"/>
    <w:rsid w:val="7FF6731A"/>
    <w:rsid w:val="DE7F26BB"/>
    <w:rsid w:val="F36D2E10"/>
    <w:rsid w:val="FDDFB3BD"/>
    <w:rsid w:val="FE5B55CA"/>
    <w:rsid w:val="FF73DF42"/>
    <w:rsid w:val="FFFA0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61"/>
    <w:qFormat/>
    <w:uiPriority w:val="9"/>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link w:val="187"/>
    <w:qFormat/>
    <w:uiPriority w:val="0"/>
    <w:pPr>
      <w:keepNext/>
      <w:keepLines/>
      <w:spacing w:before="260" w:after="260" w:line="416" w:lineRule="auto"/>
      <w:outlineLvl w:val="2"/>
    </w:pPr>
    <w:rPr>
      <w:b/>
      <w:sz w:val="32"/>
    </w:rPr>
  </w:style>
  <w:style w:type="paragraph" w:styleId="5">
    <w:name w:val="heading 4"/>
    <w:basedOn w:val="1"/>
    <w:next w:val="1"/>
    <w:qFormat/>
    <w:uiPriority w:val="0"/>
    <w:pPr>
      <w:keepNext/>
      <w:spacing w:line="460" w:lineRule="exact"/>
      <w:jc w:val="both"/>
      <w:outlineLvl w:val="3"/>
    </w:pPr>
    <w:rPr>
      <w:rFonts w:ascii="宋体"/>
      <w:sz w:val="24"/>
    </w:rPr>
  </w:style>
  <w:style w:type="paragraph" w:styleId="6">
    <w:name w:val="heading 5"/>
    <w:basedOn w:val="1"/>
    <w:next w:val="7"/>
    <w:qFormat/>
    <w:uiPriority w:val="0"/>
    <w:pPr>
      <w:keepNext/>
      <w:keepLines/>
      <w:widowControl w:val="0"/>
      <w:spacing w:before="280" w:after="290" w:line="376" w:lineRule="auto"/>
      <w:jc w:val="both"/>
      <w:outlineLvl w:val="4"/>
    </w:pPr>
    <w:rPr>
      <w:b/>
      <w:kern w:val="2"/>
      <w:sz w:val="24"/>
    </w:rPr>
  </w:style>
  <w:style w:type="paragraph" w:styleId="9">
    <w:name w:val="heading 6"/>
    <w:basedOn w:val="1"/>
    <w:next w:val="7"/>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10">
    <w:name w:val="heading 7"/>
    <w:basedOn w:val="1"/>
    <w:next w:val="7"/>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1">
    <w:name w:val="heading 8"/>
    <w:basedOn w:val="1"/>
    <w:next w:val="7"/>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2">
    <w:name w:val="heading 9"/>
    <w:basedOn w:val="1"/>
    <w:next w:val="7"/>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style>
  <w:style w:type="paragraph" w:styleId="8">
    <w:name w:val="toc 2"/>
    <w:basedOn w:val="1"/>
    <w:next w:val="1"/>
    <w:qFormat/>
    <w:uiPriority w:val="39"/>
    <w:pPr>
      <w:ind w:left="200"/>
    </w:pPr>
    <w:rPr>
      <w:rFonts w:ascii="Calibri" w:hAnsi="Calibri" w:cs="Calibri"/>
      <w:smallCaps/>
    </w:rPr>
  </w:style>
  <w:style w:type="paragraph" w:styleId="13">
    <w:name w:val="toc 7"/>
    <w:basedOn w:val="1"/>
    <w:next w:val="1"/>
    <w:qFormat/>
    <w:uiPriority w:val="0"/>
    <w:pPr>
      <w:ind w:left="1200"/>
    </w:pPr>
    <w:rPr>
      <w:rFonts w:ascii="Calibri" w:hAnsi="Calibri" w:cs="Calibri"/>
      <w:sz w:val="18"/>
      <w:szCs w:val="18"/>
    </w:rPr>
  </w:style>
  <w:style w:type="paragraph" w:styleId="14">
    <w:name w:val="Document Map"/>
    <w:basedOn w:val="1"/>
    <w:semiHidden/>
    <w:qFormat/>
    <w:uiPriority w:val="0"/>
    <w:pPr>
      <w:shd w:val="clear" w:color="auto" w:fill="000080"/>
    </w:pPr>
  </w:style>
  <w:style w:type="paragraph" w:styleId="15">
    <w:name w:val="annotation text"/>
    <w:basedOn w:val="1"/>
    <w:qFormat/>
    <w:uiPriority w:val="0"/>
  </w:style>
  <w:style w:type="paragraph" w:styleId="16">
    <w:name w:val="Body Text 3"/>
    <w:basedOn w:val="1"/>
    <w:qFormat/>
    <w:uiPriority w:val="0"/>
    <w:pPr>
      <w:spacing w:after="120"/>
    </w:pPr>
    <w:rPr>
      <w:sz w:val="16"/>
      <w:szCs w:val="16"/>
    </w:rPr>
  </w:style>
  <w:style w:type="paragraph" w:styleId="17">
    <w:name w:val="Body Text"/>
    <w:basedOn w:val="1"/>
    <w:next w:val="1"/>
    <w:link w:val="70"/>
    <w:qFormat/>
    <w:uiPriority w:val="0"/>
    <w:pPr>
      <w:spacing w:after="120"/>
    </w:pPr>
  </w:style>
  <w:style w:type="paragraph" w:styleId="18">
    <w:name w:val="Body Text Indent"/>
    <w:basedOn w:val="1"/>
    <w:next w:val="1"/>
    <w:qFormat/>
    <w:uiPriority w:val="0"/>
    <w:pPr>
      <w:spacing w:after="120"/>
      <w:ind w:left="420" w:leftChars="200"/>
    </w:pPr>
  </w:style>
  <w:style w:type="paragraph" w:styleId="19">
    <w:name w:val="List 2"/>
    <w:basedOn w:val="1"/>
    <w:qFormat/>
    <w:uiPriority w:val="0"/>
    <w:pPr>
      <w:widowControl w:val="0"/>
      <w:adjustRightInd w:val="0"/>
      <w:spacing w:line="360" w:lineRule="auto"/>
      <w:jc w:val="both"/>
      <w:textAlignment w:val="baseline"/>
    </w:pPr>
    <w:rPr>
      <w:sz w:val="24"/>
    </w:rPr>
  </w:style>
  <w:style w:type="paragraph" w:styleId="20">
    <w:name w:val="Block Text"/>
    <w:basedOn w:val="1"/>
    <w:qFormat/>
    <w:uiPriority w:val="0"/>
    <w:pPr>
      <w:widowControl w:val="0"/>
      <w:ind w:left="1155" w:right="40" w:rightChars="19"/>
      <w:jc w:val="both"/>
    </w:pPr>
    <w:rPr>
      <w:kern w:val="2"/>
      <w:sz w:val="21"/>
      <w:szCs w:val="24"/>
    </w:rPr>
  </w:style>
  <w:style w:type="paragraph" w:styleId="21">
    <w:name w:val="toc 5"/>
    <w:basedOn w:val="1"/>
    <w:next w:val="1"/>
    <w:qFormat/>
    <w:uiPriority w:val="0"/>
    <w:pPr>
      <w:ind w:left="800"/>
    </w:pPr>
    <w:rPr>
      <w:rFonts w:ascii="Calibri" w:hAnsi="Calibri" w:cs="Calibri"/>
      <w:sz w:val="18"/>
      <w:szCs w:val="18"/>
    </w:rPr>
  </w:style>
  <w:style w:type="paragraph" w:styleId="22">
    <w:name w:val="toc 3"/>
    <w:basedOn w:val="1"/>
    <w:next w:val="1"/>
    <w:semiHidden/>
    <w:qFormat/>
    <w:uiPriority w:val="0"/>
    <w:pPr>
      <w:ind w:left="400"/>
    </w:pPr>
    <w:rPr>
      <w:rFonts w:ascii="Calibri" w:hAnsi="Calibri" w:cs="Calibri"/>
      <w:i/>
      <w:iCs/>
    </w:rPr>
  </w:style>
  <w:style w:type="paragraph" w:styleId="23">
    <w:name w:val="Plain Text"/>
    <w:basedOn w:val="1"/>
    <w:link w:val="71"/>
    <w:qFormat/>
    <w:uiPriority w:val="0"/>
    <w:rPr>
      <w:rFonts w:ascii="宋体" w:hAnsi="Courier New" w:cs="Century"/>
      <w:sz w:val="21"/>
      <w:szCs w:val="21"/>
    </w:rPr>
  </w:style>
  <w:style w:type="paragraph" w:styleId="24">
    <w:name w:val="toc 8"/>
    <w:basedOn w:val="1"/>
    <w:next w:val="1"/>
    <w:qFormat/>
    <w:uiPriority w:val="0"/>
    <w:pPr>
      <w:ind w:left="1400"/>
    </w:pPr>
    <w:rPr>
      <w:rFonts w:ascii="Calibri" w:hAnsi="Calibri" w:cs="Calibri"/>
      <w:sz w:val="18"/>
      <w:szCs w:val="18"/>
    </w:rPr>
  </w:style>
  <w:style w:type="paragraph" w:styleId="25">
    <w:name w:val="Date"/>
    <w:basedOn w:val="1"/>
    <w:next w:val="1"/>
    <w:link w:val="68"/>
    <w:qFormat/>
    <w:uiPriority w:val="0"/>
    <w:pPr>
      <w:jc w:val="both"/>
    </w:pPr>
    <w:rPr>
      <w:rFonts w:ascii="宋体"/>
      <w:sz w:val="24"/>
    </w:rPr>
  </w:style>
  <w:style w:type="paragraph" w:styleId="26">
    <w:name w:val="Body Text Indent 2"/>
    <w:basedOn w:val="1"/>
    <w:qFormat/>
    <w:uiPriority w:val="0"/>
    <w:pPr>
      <w:spacing w:after="120" w:line="480" w:lineRule="auto"/>
      <w:ind w:left="420" w:leftChars="200"/>
    </w:pPr>
  </w:style>
  <w:style w:type="paragraph" w:styleId="27">
    <w:name w:val="Balloon Text"/>
    <w:basedOn w:val="1"/>
    <w:semiHidden/>
    <w:qFormat/>
    <w:uiPriority w:val="0"/>
    <w:rPr>
      <w:sz w:val="18"/>
      <w:szCs w:val="18"/>
    </w:rPr>
  </w:style>
  <w:style w:type="paragraph" w:styleId="28">
    <w:name w:val="footer"/>
    <w:basedOn w:val="1"/>
    <w:link w:val="178"/>
    <w:qFormat/>
    <w:uiPriority w:val="99"/>
    <w:pPr>
      <w:tabs>
        <w:tab w:val="center" w:pos="4153"/>
        <w:tab w:val="right" w:pos="8306"/>
      </w:tabs>
      <w:snapToGrid w:val="0"/>
    </w:pPr>
    <w:rPr>
      <w:sz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spacing w:before="120" w:after="120"/>
    </w:pPr>
    <w:rPr>
      <w:rFonts w:ascii="Calibri" w:hAnsi="Calibri" w:cs="Calibri"/>
      <w:b/>
      <w:bCs/>
      <w:caps/>
    </w:rPr>
  </w:style>
  <w:style w:type="paragraph" w:styleId="31">
    <w:name w:val="toc 4"/>
    <w:basedOn w:val="1"/>
    <w:next w:val="1"/>
    <w:qFormat/>
    <w:uiPriority w:val="0"/>
    <w:pPr>
      <w:ind w:left="600"/>
    </w:pPr>
    <w:rPr>
      <w:rFonts w:ascii="Calibri" w:hAnsi="Calibri" w:cs="Calibri"/>
      <w:sz w:val="18"/>
      <w:szCs w:val="18"/>
    </w:rPr>
  </w:style>
  <w:style w:type="paragraph" w:styleId="32">
    <w:name w:val="List"/>
    <w:basedOn w:val="1"/>
    <w:qFormat/>
    <w:uiPriority w:val="0"/>
    <w:pPr>
      <w:widowControl w:val="0"/>
      <w:adjustRightInd w:val="0"/>
      <w:spacing w:line="360" w:lineRule="auto"/>
      <w:jc w:val="both"/>
      <w:textAlignment w:val="baseline"/>
    </w:pPr>
    <w:rPr>
      <w:sz w:val="24"/>
    </w:rPr>
  </w:style>
  <w:style w:type="paragraph" w:styleId="33">
    <w:name w:val="toc 6"/>
    <w:basedOn w:val="1"/>
    <w:next w:val="1"/>
    <w:qFormat/>
    <w:uiPriority w:val="0"/>
    <w:pPr>
      <w:ind w:left="1000"/>
    </w:pPr>
    <w:rPr>
      <w:rFonts w:ascii="Calibri" w:hAnsi="Calibri" w:cs="Calibri"/>
      <w:sz w:val="18"/>
      <w:szCs w:val="18"/>
    </w:rPr>
  </w:style>
  <w:style w:type="paragraph" w:styleId="34">
    <w:name w:val="Body Text Indent 3"/>
    <w:basedOn w:val="1"/>
    <w:qFormat/>
    <w:uiPriority w:val="0"/>
    <w:pPr>
      <w:spacing w:after="120"/>
      <w:ind w:left="420" w:leftChars="200"/>
    </w:pPr>
    <w:rPr>
      <w:sz w:val="16"/>
      <w:szCs w:val="16"/>
    </w:rPr>
  </w:style>
  <w:style w:type="paragraph" w:styleId="35">
    <w:name w:val="toc 9"/>
    <w:basedOn w:val="1"/>
    <w:next w:val="1"/>
    <w:qFormat/>
    <w:uiPriority w:val="0"/>
    <w:pPr>
      <w:ind w:left="1600"/>
    </w:pPr>
    <w:rPr>
      <w:rFonts w:ascii="Calibri" w:hAnsi="Calibri" w:cs="Calibri"/>
      <w:sz w:val="18"/>
      <w:szCs w:val="18"/>
    </w:rPr>
  </w:style>
  <w:style w:type="paragraph" w:styleId="36">
    <w:name w:val="Body Text 2"/>
    <w:basedOn w:val="1"/>
    <w:qFormat/>
    <w:uiPriority w:val="0"/>
    <w:pPr>
      <w:spacing w:after="120" w:line="480" w:lineRule="auto"/>
    </w:pPr>
  </w:style>
  <w:style w:type="paragraph" w:styleId="37">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8">
    <w:name w:val="Normal (Web)"/>
    <w:basedOn w:val="1"/>
    <w:qFormat/>
    <w:uiPriority w:val="99"/>
    <w:rPr>
      <w:sz w:val="24"/>
      <w:szCs w:val="24"/>
    </w:rPr>
  </w:style>
  <w:style w:type="paragraph" w:styleId="39">
    <w:name w:val="index 1"/>
    <w:basedOn w:val="1"/>
    <w:next w:val="1"/>
    <w:semiHidden/>
    <w:qFormat/>
    <w:uiPriority w:val="0"/>
  </w:style>
  <w:style w:type="paragraph" w:styleId="40">
    <w:name w:val="Title"/>
    <w:basedOn w:val="1"/>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1">
    <w:name w:val="Body Text First Indent"/>
    <w:basedOn w:val="17"/>
    <w:qFormat/>
    <w:uiPriority w:val="0"/>
    <w:pPr>
      <w:widowControl w:val="0"/>
      <w:adjustRightInd w:val="0"/>
      <w:spacing w:after="0" w:line="312" w:lineRule="auto"/>
      <w:ind w:firstLine="567"/>
      <w:jc w:val="both"/>
      <w:textAlignment w:val="baseline"/>
    </w:pPr>
    <w:rPr>
      <w:sz w:val="28"/>
    </w:rPr>
  </w:style>
  <w:style w:type="paragraph" w:styleId="42">
    <w:name w:val="Body Text First Indent 2"/>
    <w:basedOn w:val="18"/>
    <w:next w:val="1"/>
    <w:unhideWhenUsed/>
    <w:qFormat/>
    <w:uiPriority w:val="99"/>
    <w:pPr>
      <w:ind w:firstLine="200" w:firstLineChars="200"/>
    </w:pPr>
    <w:rPr>
      <w:kern w:val="2"/>
      <w:sz w:val="21"/>
      <w:szCs w:val="24"/>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bCs/>
    </w:rPr>
  </w:style>
  <w:style w:type="character" w:styleId="47">
    <w:name w:val="page number"/>
    <w:basedOn w:val="45"/>
    <w:qFormat/>
    <w:uiPriority w:val="0"/>
  </w:style>
  <w:style w:type="character" w:styleId="48">
    <w:name w:val="FollowedHyperlink"/>
    <w:basedOn w:val="45"/>
    <w:qFormat/>
    <w:uiPriority w:val="99"/>
    <w:rPr>
      <w:color w:val="800080"/>
      <w:u w:val="single"/>
    </w:rPr>
  </w:style>
  <w:style w:type="character" w:styleId="49">
    <w:name w:val="Emphasis"/>
    <w:basedOn w:val="45"/>
    <w:qFormat/>
    <w:uiPriority w:val="20"/>
    <w:rPr>
      <w:i/>
      <w:iCs/>
    </w:rPr>
  </w:style>
  <w:style w:type="character" w:styleId="50">
    <w:name w:val="line number"/>
    <w:basedOn w:val="45"/>
    <w:qFormat/>
    <w:uiPriority w:val="0"/>
  </w:style>
  <w:style w:type="character" w:styleId="51">
    <w:name w:val="HTML Definition"/>
    <w:basedOn w:val="45"/>
    <w:semiHidden/>
    <w:unhideWhenUsed/>
    <w:qFormat/>
    <w:uiPriority w:val="0"/>
  </w:style>
  <w:style w:type="character" w:styleId="52">
    <w:name w:val="HTML Typewriter"/>
    <w:basedOn w:val="45"/>
    <w:semiHidden/>
    <w:unhideWhenUsed/>
    <w:qFormat/>
    <w:uiPriority w:val="0"/>
    <w:rPr>
      <w:rFonts w:ascii="monospace" w:hAnsi="monospace" w:eastAsia="monospace" w:cs="monospace"/>
      <w:sz w:val="20"/>
    </w:rPr>
  </w:style>
  <w:style w:type="character" w:styleId="53">
    <w:name w:val="HTML Acronym"/>
    <w:basedOn w:val="45"/>
    <w:semiHidden/>
    <w:unhideWhenUsed/>
    <w:qFormat/>
    <w:uiPriority w:val="0"/>
  </w:style>
  <w:style w:type="character" w:styleId="54">
    <w:name w:val="HTML Variable"/>
    <w:basedOn w:val="45"/>
    <w:semiHidden/>
    <w:unhideWhenUsed/>
    <w:qFormat/>
    <w:uiPriority w:val="0"/>
  </w:style>
  <w:style w:type="character" w:styleId="55">
    <w:name w:val="Hyperlink"/>
    <w:basedOn w:val="45"/>
    <w:qFormat/>
    <w:uiPriority w:val="99"/>
    <w:rPr>
      <w:color w:val="0000FF"/>
      <w:u w:val="single"/>
    </w:rPr>
  </w:style>
  <w:style w:type="character" w:styleId="56">
    <w:name w:val="HTML Code"/>
    <w:basedOn w:val="45"/>
    <w:semiHidden/>
    <w:unhideWhenUsed/>
    <w:qFormat/>
    <w:uiPriority w:val="0"/>
    <w:rPr>
      <w:rFonts w:hint="default" w:ascii="monospace" w:hAnsi="monospace" w:eastAsia="monospace" w:cs="monospace"/>
      <w:sz w:val="20"/>
    </w:rPr>
  </w:style>
  <w:style w:type="character" w:styleId="57">
    <w:name w:val="HTML Cite"/>
    <w:basedOn w:val="45"/>
    <w:semiHidden/>
    <w:unhideWhenUsed/>
    <w:qFormat/>
    <w:uiPriority w:val="0"/>
  </w:style>
  <w:style w:type="character" w:styleId="58">
    <w:name w:val="HTML Keyboard"/>
    <w:basedOn w:val="45"/>
    <w:semiHidden/>
    <w:unhideWhenUsed/>
    <w:qFormat/>
    <w:uiPriority w:val="0"/>
    <w:rPr>
      <w:rFonts w:hint="default" w:ascii="monospace" w:hAnsi="monospace" w:eastAsia="monospace" w:cs="monospace"/>
      <w:sz w:val="20"/>
    </w:rPr>
  </w:style>
  <w:style w:type="character" w:styleId="59">
    <w:name w:val="HTML Sample"/>
    <w:basedOn w:val="45"/>
    <w:semiHidden/>
    <w:unhideWhenUsed/>
    <w:qFormat/>
    <w:uiPriority w:val="0"/>
    <w:rPr>
      <w:rFonts w:hint="default" w:ascii="monospace" w:hAnsi="monospace" w:eastAsia="monospace" w:cs="monospace"/>
    </w:rPr>
  </w:style>
  <w:style w:type="paragraph" w:customStyle="1" w:styleId="60">
    <w:name w:val="首行缩进"/>
    <w:basedOn w:val="1"/>
    <w:qFormat/>
    <w:uiPriority w:val="0"/>
    <w:pPr>
      <w:widowControl w:val="0"/>
      <w:numPr>
        <w:ilvl w:val="0"/>
        <w:numId w:val="1"/>
      </w:numPr>
      <w:spacing w:line="360" w:lineRule="auto"/>
      <w:jc w:val="both"/>
    </w:pPr>
    <w:rPr>
      <w:rFonts w:eastAsia="仿宋_GB2312"/>
      <w:kern w:val="2"/>
      <w:sz w:val="21"/>
    </w:rPr>
  </w:style>
  <w:style w:type="character" w:customStyle="1" w:styleId="61">
    <w:name w:val="标题 1 Char"/>
    <w:basedOn w:val="45"/>
    <w:link w:val="2"/>
    <w:qFormat/>
    <w:uiPriority w:val="9"/>
    <w:rPr>
      <w:b/>
      <w:kern w:val="44"/>
      <w:sz w:val="44"/>
    </w:rPr>
  </w:style>
  <w:style w:type="character" w:customStyle="1" w:styleId="62">
    <w:name w:val="普通文字 Char Char"/>
    <w:qFormat/>
    <w:uiPriority w:val="0"/>
    <w:rPr>
      <w:rFonts w:ascii="宋体" w:hAnsi="Courier New" w:eastAsia="宋体" w:cs="Century"/>
      <w:sz w:val="21"/>
      <w:szCs w:val="21"/>
      <w:lang w:val="en-US" w:eastAsia="zh-CN" w:bidi="ar-SA"/>
    </w:rPr>
  </w:style>
  <w:style w:type="character" w:customStyle="1" w:styleId="63">
    <w:name w:val="font11"/>
    <w:basedOn w:val="45"/>
    <w:qFormat/>
    <w:uiPriority w:val="0"/>
    <w:rPr>
      <w:rFonts w:hint="eastAsia" w:ascii="宋体" w:hAnsi="宋体" w:eastAsia="宋体" w:cs="宋体"/>
      <w:color w:val="000000"/>
      <w:sz w:val="22"/>
      <w:szCs w:val="22"/>
      <w:u w:val="none"/>
    </w:rPr>
  </w:style>
  <w:style w:type="character" w:customStyle="1" w:styleId="64">
    <w:name w:val="正文文本 Char"/>
    <w:qFormat/>
    <w:uiPriority w:val="0"/>
    <w:rPr>
      <w:rFonts w:eastAsia="宋体"/>
      <w:lang w:val="en-US" w:eastAsia="zh-CN" w:bidi="ar-SA"/>
    </w:rPr>
  </w:style>
  <w:style w:type="character" w:customStyle="1" w:styleId="65">
    <w:name w:val="引用 Char"/>
    <w:basedOn w:val="45"/>
    <w:link w:val="66"/>
    <w:qFormat/>
    <w:uiPriority w:val="29"/>
    <w:rPr>
      <w:i/>
      <w:iCs/>
      <w:color w:val="000000"/>
    </w:rPr>
  </w:style>
  <w:style w:type="paragraph" w:styleId="66">
    <w:name w:val="Quote"/>
    <w:basedOn w:val="1"/>
    <w:next w:val="1"/>
    <w:link w:val="65"/>
    <w:qFormat/>
    <w:uiPriority w:val="29"/>
    <w:rPr>
      <w:i/>
      <w:iCs/>
      <w:color w:val="000000"/>
    </w:rPr>
  </w:style>
  <w:style w:type="character" w:customStyle="1" w:styleId="67">
    <w:name w:val="text"/>
    <w:basedOn w:val="45"/>
    <w:qFormat/>
    <w:uiPriority w:val="0"/>
  </w:style>
  <w:style w:type="character" w:customStyle="1" w:styleId="68">
    <w:name w:val="日期 Char"/>
    <w:basedOn w:val="45"/>
    <w:link w:val="25"/>
    <w:qFormat/>
    <w:uiPriority w:val="0"/>
    <w:rPr>
      <w:rFonts w:ascii="宋体"/>
      <w:sz w:val="24"/>
    </w:rPr>
  </w:style>
  <w:style w:type="character" w:customStyle="1" w:styleId="69">
    <w:name w:val="titlestyle10831"/>
    <w:basedOn w:val="45"/>
    <w:qFormat/>
    <w:uiPriority w:val="0"/>
    <w:rPr>
      <w:rFonts w:hint="eastAsia" w:ascii="黑体" w:hAnsi="黑体" w:eastAsia="黑体"/>
      <w:b/>
      <w:bCs/>
      <w:sz w:val="36"/>
      <w:szCs w:val="36"/>
    </w:rPr>
  </w:style>
  <w:style w:type="character" w:customStyle="1" w:styleId="70">
    <w:name w:val="正文文本 Char1"/>
    <w:basedOn w:val="45"/>
    <w:link w:val="17"/>
    <w:qFormat/>
    <w:uiPriority w:val="0"/>
    <w:rPr>
      <w:rFonts w:eastAsia="宋体"/>
      <w:lang w:val="en-US" w:eastAsia="zh-CN" w:bidi="ar-SA"/>
    </w:rPr>
  </w:style>
  <w:style w:type="character" w:customStyle="1" w:styleId="71">
    <w:name w:val="纯文本 Char"/>
    <w:basedOn w:val="45"/>
    <w:link w:val="23"/>
    <w:qFormat/>
    <w:uiPriority w:val="0"/>
    <w:rPr>
      <w:rFonts w:ascii="宋体" w:hAnsi="Courier New" w:eastAsia="宋体" w:cs="Century"/>
      <w:sz w:val="21"/>
      <w:szCs w:val="21"/>
      <w:lang w:val="en-US" w:eastAsia="zh-CN" w:bidi="ar-SA"/>
    </w:rPr>
  </w:style>
  <w:style w:type="character" w:customStyle="1" w:styleId="72">
    <w:name w:val="apple-tab-span"/>
    <w:basedOn w:val="45"/>
    <w:qFormat/>
    <w:uiPriority w:val="0"/>
  </w:style>
  <w:style w:type="character" w:customStyle="1" w:styleId="73">
    <w:name w:val="Char Char Char"/>
    <w:basedOn w:val="45"/>
    <w:qFormat/>
    <w:uiPriority w:val="0"/>
    <w:rPr>
      <w:rFonts w:ascii="宋体" w:hAnsi="Courier New" w:eastAsia="宋体"/>
      <w:kern w:val="2"/>
      <w:sz w:val="24"/>
      <w:lang w:val="en-US" w:eastAsia="zh-CN" w:bidi="ar-SA"/>
    </w:rPr>
  </w:style>
  <w:style w:type="character" w:customStyle="1" w:styleId="74">
    <w:name w:val="para"/>
    <w:basedOn w:val="45"/>
    <w:qFormat/>
    <w:uiPriority w:val="0"/>
  </w:style>
  <w:style w:type="character" w:customStyle="1" w:styleId="75">
    <w:name w:val="main14"/>
    <w:basedOn w:val="45"/>
    <w:qFormat/>
    <w:uiPriority w:val="0"/>
  </w:style>
  <w:style w:type="character" w:customStyle="1" w:styleId="76">
    <w:name w:val="title_emph"/>
    <w:basedOn w:val="45"/>
    <w:qFormat/>
    <w:uiPriority w:val="0"/>
  </w:style>
  <w:style w:type="character" w:customStyle="1" w:styleId="77">
    <w:name w:val="font01"/>
    <w:basedOn w:val="45"/>
    <w:qFormat/>
    <w:uiPriority w:val="0"/>
    <w:rPr>
      <w:rFonts w:hint="eastAsia" w:ascii="宋体" w:hAnsi="宋体" w:eastAsia="宋体" w:cs="宋体"/>
      <w:color w:val="000000"/>
      <w:sz w:val="22"/>
      <w:szCs w:val="22"/>
      <w:u w:val="none"/>
    </w:rPr>
  </w:style>
  <w:style w:type="paragraph" w:customStyle="1" w:styleId="78">
    <w:name w:val="È±Ê¡ÎÄ±¾"/>
    <w:basedOn w:val="1"/>
    <w:qFormat/>
    <w:uiPriority w:val="0"/>
    <w:pPr>
      <w:overflowPunct w:val="0"/>
      <w:autoSpaceDE w:val="0"/>
      <w:autoSpaceDN w:val="0"/>
      <w:adjustRightInd w:val="0"/>
      <w:textAlignment w:val="baseline"/>
    </w:pPr>
    <w:rPr>
      <w:sz w:val="24"/>
    </w:rPr>
  </w:style>
  <w:style w:type="character" w:customStyle="1" w:styleId="79">
    <w:name w:val="页眉 Char"/>
    <w:basedOn w:val="45"/>
    <w:link w:val="29"/>
    <w:qFormat/>
    <w:uiPriority w:val="99"/>
    <w:rPr>
      <w:sz w:val="18"/>
    </w:rPr>
  </w:style>
  <w:style w:type="paragraph" w:customStyle="1" w:styleId="80">
    <w:name w:val="Char Char Char Char"/>
    <w:basedOn w:val="1"/>
    <w:qFormat/>
    <w:uiPriority w:val="0"/>
    <w:pPr>
      <w:widowControl w:val="0"/>
      <w:jc w:val="both"/>
    </w:pPr>
    <w:rPr>
      <w:rFonts w:ascii="Tahoma" w:hAnsi="Tahoma"/>
      <w:kern w:val="2"/>
      <w:sz w:val="24"/>
    </w:rPr>
  </w:style>
  <w:style w:type="paragraph" w:customStyle="1" w:styleId="81">
    <w:name w:val="1"/>
    <w:basedOn w:val="1"/>
    <w:next w:val="38"/>
    <w:qFormat/>
    <w:uiPriority w:val="0"/>
    <w:pPr>
      <w:spacing w:before="100" w:beforeAutospacing="1" w:after="100" w:afterAutospacing="1"/>
    </w:pPr>
    <w:rPr>
      <w:rFonts w:ascii="宋体" w:hAnsi="宋体" w:cs="黑体"/>
      <w:sz w:val="24"/>
      <w:szCs w:val="24"/>
    </w:rPr>
  </w:style>
  <w:style w:type="paragraph" w:customStyle="1" w:styleId="82">
    <w:name w:val="正文文本缩进1"/>
    <w:basedOn w:val="1"/>
    <w:qFormat/>
    <w:uiPriority w:val="0"/>
    <w:pPr>
      <w:widowControl w:val="0"/>
      <w:ind w:firstLine="560" w:firstLineChars="200"/>
      <w:jc w:val="both"/>
    </w:pPr>
    <w:rPr>
      <w:kern w:val="2"/>
      <w:sz w:val="28"/>
      <w:szCs w:val="28"/>
    </w:rPr>
  </w:style>
  <w:style w:type="paragraph" w:customStyle="1" w:styleId="83">
    <w:name w:val="IBM 正文"/>
    <w:basedOn w:val="1"/>
    <w:qFormat/>
    <w:uiPriority w:val="0"/>
    <w:pPr>
      <w:widowControl w:val="0"/>
      <w:spacing w:line="400" w:lineRule="exact"/>
      <w:jc w:val="both"/>
    </w:pPr>
    <w:rPr>
      <w:spacing w:val="20"/>
      <w:kern w:val="2"/>
      <w:sz w:val="24"/>
    </w:rPr>
  </w:style>
  <w:style w:type="paragraph" w:customStyle="1" w:styleId="84">
    <w:name w:val="Char"/>
    <w:basedOn w:val="1"/>
    <w:qFormat/>
    <w:uiPriority w:val="0"/>
    <w:pPr>
      <w:spacing w:after="160" w:line="240" w:lineRule="exact"/>
    </w:pPr>
    <w:rPr>
      <w:rFonts w:ascii="宋体" w:hAnsi="宋体"/>
      <w:lang w:eastAsia="en-US"/>
    </w:rPr>
  </w:style>
  <w:style w:type="paragraph" w:customStyle="1" w:styleId="85">
    <w:name w:val="样式2"/>
    <w:basedOn w:val="1"/>
    <w:qFormat/>
    <w:uiPriority w:val="0"/>
    <w:pPr>
      <w:widowControl w:val="0"/>
      <w:jc w:val="both"/>
    </w:pPr>
    <w:rPr>
      <w:rFonts w:ascii="仿宋_GB2312" w:eastAsia="仿宋_GB2312"/>
      <w:kern w:val="2"/>
      <w:sz w:val="32"/>
    </w:rPr>
  </w:style>
  <w:style w:type="paragraph" w:customStyle="1" w:styleId="86">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87">
    <w:name w:val="Char Char Char1 Char"/>
    <w:basedOn w:val="1"/>
    <w:qFormat/>
    <w:uiPriority w:val="0"/>
    <w:pPr>
      <w:widowControl w:val="0"/>
      <w:jc w:val="both"/>
    </w:pPr>
    <w:rPr>
      <w:rFonts w:ascii="Tahoma" w:hAnsi="Tahoma"/>
      <w:kern w:val="2"/>
      <w:sz w:val="24"/>
    </w:rPr>
  </w:style>
  <w:style w:type="paragraph" w:customStyle="1" w:styleId="88">
    <w:name w:val="缺省文本:1"/>
    <w:basedOn w:val="1"/>
    <w:qFormat/>
    <w:uiPriority w:val="0"/>
    <w:pPr>
      <w:widowControl w:val="0"/>
      <w:autoSpaceDE w:val="0"/>
      <w:autoSpaceDN w:val="0"/>
      <w:adjustRightInd w:val="0"/>
    </w:pPr>
    <w:rPr>
      <w:sz w:val="24"/>
      <w:szCs w:val="24"/>
    </w:rPr>
  </w:style>
  <w:style w:type="paragraph" w:customStyle="1" w:styleId="89">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90">
    <w:name w:val="默认段落字体 Para Char Char Char Char Char Char Char Char Char1 Char Char Char Char"/>
    <w:basedOn w:val="1"/>
    <w:qFormat/>
    <w:uiPriority w:val="0"/>
    <w:pPr>
      <w:widowControl w:val="0"/>
      <w:adjustRightInd w:val="0"/>
      <w:spacing w:line="312" w:lineRule="atLeast"/>
      <w:jc w:val="both"/>
      <w:textAlignment w:val="baseline"/>
    </w:pPr>
    <w:rPr>
      <w:b/>
      <w:bCs/>
      <w:sz w:val="36"/>
      <w:szCs w:val="32"/>
    </w:rPr>
  </w:style>
  <w:style w:type="paragraph" w:styleId="91">
    <w:name w:val="List Paragraph"/>
    <w:basedOn w:val="1"/>
    <w:link w:val="130"/>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2">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93">
    <w:name w:val="标题 4.1"/>
    <w:basedOn w:val="1"/>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5">
    <w:name w:val="reader-word-layer reader-word-s16-2"/>
    <w:basedOn w:val="1"/>
    <w:qFormat/>
    <w:uiPriority w:val="0"/>
    <w:pPr>
      <w:spacing w:before="100" w:beforeAutospacing="1" w:after="100" w:afterAutospacing="1"/>
    </w:pPr>
    <w:rPr>
      <w:rFonts w:ascii="宋体" w:hAnsi="宋体" w:cs="宋体"/>
      <w:sz w:val="24"/>
      <w:szCs w:val="24"/>
    </w:rPr>
  </w:style>
  <w:style w:type="paragraph" w:customStyle="1" w:styleId="96">
    <w:name w:val="标题5"/>
    <w:basedOn w:val="1"/>
    <w:qFormat/>
    <w:uiPriority w:val="0"/>
    <w:pPr>
      <w:widowControl w:val="0"/>
      <w:tabs>
        <w:tab w:val="left" w:pos="7035"/>
      </w:tabs>
      <w:jc w:val="both"/>
    </w:pPr>
    <w:rPr>
      <w:rFonts w:ascii="宋体" w:hAnsi="宋体"/>
      <w:b/>
      <w:color w:val="000000"/>
      <w:kern w:val="2"/>
      <w:sz w:val="24"/>
      <w:szCs w:val="24"/>
    </w:rPr>
  </w:style>
  <w:style w:type="paragraph" w:customStyle="1" w:styleId="97">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98">
    <w:name w:val="reader-word-layer reader-word-s16-14"/>
    <w:basedOn w:val="1"/>
    <w:qFormat/>
    <w:uiPriority w:val="0"/>
    <w:pPr>
      <w:spacing w:before="100" w:beforeAutospacing="1" w:after="100" w:afterAutospacing="1"/>
    </w:pPr>
    <w:rPr>
      <w:rFonts w:ascii="宋体" w:hAnsi="宋体" w:cs="宋体"/>
      <w:sz w:val="24"/>
      <w:szCs w:val="24"/>
    </w:rPr>
  </w:style>
  <w:style w:type="paragraph" w:customStyle="1" w:styleId="99">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0">
    <w:name w:val="reader-word-layer reader-word-s16-16"/>
    <w:basedOn w:val="1"/>
    <w:qFormat/>
    <w:uiPriority w:val="0"/>
    <w:pPr>
      <w:spacing w:before="100" w:beforeAutospacing="1" w:after="100" w:afterAutospacing="1"/>
    </w:pPr>
    <w:rPr>
      <w:rFonts w:ascii="宋体" w:hAnsi="宋体" w:cs="宋体"/>
      <w:sz w:val="24"/>
      <w:szCs w:val="24"/>
    </w:rPr>
  </w:style>
  <w:style w:type="paragraph" w:customStyle="1" w:styleId="101">
    <w:name w:val="o"/>
    <w:basedOn w:val="1"/>
    <w:qFormat/>
    <w:uiPriority w:val="0"/>
    <w:pPr>
      <w:widowControl w:val="0"/>
      <w:adjustRightInd w:val="0"/>
      <w:spacing w:line="360" w:lineRule="atLeast"/>
      <w:textAlignment w:val="baseline"/>
    </w:pPr>
    <w:rPr>
      <w:rFonts w:ascii="宋体"/>
      <w:sz w:val="32"/>
    </w:rPr>
  </w:style>
  <w:style w:type="paragraph" w:customStyle="1" w:styleId="102">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3">
    <w:name w:val="小标题"/>
    <w:basedOn w:val="1"/>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4">
    <w:name w:val="默认段落字体 Para Char Char Char Char Char Char Char Char Char1 Char Char Char Char Char Char Char"/>
    <w:basedOn w:val="14"/>
    <w:qFormat/>
    <w:uiPriority w:val="0"/>
    <w:pPr>
      <w:widowControl w:val="0"/>
      <w:jc w:val="both"/>
    </w:pPr>
    <w:rPr>
      <w:rFonts w:ascii="Tahoma" w:hAnsi="Tahoma" w:cs="Tahoma"/>
      <w:kern w:val="2"/>
      <w:sz w:val="24"/>
      <w:szCs w:val="24"/>
    </w:rPr>
  </w:style>
  <w:style w:type="paragraph" w:customStyle="1" w:styleId="105">
    <w:name w:val="?¡ì?¡ì?¡§¡è?¡ìo????¡§¡è?:1:1"/>
    <w:basedOn w:val="1"/>
    <w:qFormat/>
    <w:uiPriority w:val="0"/>
    <w:pPr>
      <w:overflowPunct w:val="0"/>
      <w:autoSpaceDE w:val="0"/>
      <w:autoSpaceDN w:val="0"/>
      <w:adjustRightInd w:val="0"/>
    </w:pPr>
    <w:rPr>
      <w:sz w:val="24"/>
    </w:rPr>
  </w:style>
  <w:style w:type="paragraph" w:customStyle="1" w:styleId="106">
    <w:name w:val="Char Char2"/>
    <w:basedOn w:val="1"/>
    <w:qFormat/>
    <w:uiPriority w:val="0"/>
    <w:pPr>
      <w:widowControl w:val="0"/>
      <w:jc w:val="both"/>
    </w:pPr>
    <w:rPr>
      <w:rFonts w:ascii="Tahoma" w:hAnsi="Tahoma"/>
      <w:kern w:val="2"/>
      <w:sz w:val="24"/>
    </w:rPr>
  </w:style>
  <w:style w:type="paragraph" w:customStyle="1" w:styleId="107">
    <w:name w:val="reader-word-layer reader-word-s16-12"/>
    <w:basedOn w:val="1"/>
    <w:qFormat/>
    <w:uiPriority w:val="0"/>
    <w:pPr>
      <w:spacing w:before="100" w:beforeAutospacing="1" w:after="100" w:afterAutospacing="1"/>
    </w:pPr>
    <w:rPr>
      <w:rFonts w:ascii="宋体" w:hAnsi="宋体" w:cs="宋体"/>
      <w:sz w:val="24"/>
      <w:szCs w:val="24"/>
    </w:rPr>
  </w:style>
  <w:style w:type="paragraph" w:customStyle="1" w:styleId="108">
    <w:name w:val="reader-word-layer reader-word-s16-9"/>
    <w:basedOn w:val="1"/>
    <w:qFormat/>
    <w:uiPriority w:val="0"/>
    <w:pPr>
      <w:spacing w:before="100" w:beforeAutospacing="1" w:after="100" w:afterAutospacing="1"/>
    </w:pPr>
    <w:rPr>
      <w:rFonts w:ascii="宋体" w:hAnsi="宋体" w:cs="宋体"/>
      <w:sz w:val="24"/>
      <w:szCs w:val="24"/>
    </w:rPr>
  </w:style>
  <w:style w:type="paragraph" w:customStyle="1" w:styleId="109">
    <w:name w:val="Char1 Char Char Char"/>
    <w:basedOn w:val="1"/>
    <w:qFormat/>
    <w:uiPriority w:val="0"/>
    <w:pPr>
      <w:widowControl w:val="0"/>
      <w:jc w:val="both"/>
    </w:pPr>
    <w:rPr>
      <w:kern w:val="2"/>
      <w:sz w:val="21"/>
      <w:szCs w:val="24"/>
    </w:rPr>
  </w:style>
  <w:style w:type="paragraph" w:customStyle="1" w:styleId="110">
    <w:name w:val="默认段落字体 Para Char Char Char Char"/>
    <w:basedOn w:val="1"/>
    <w:qFormat/>
    <w:uiPriority w:val="0"/>
    <w:pPr>
      <w:widowControl w:val="0"/>
      <w:jc w:val="both"/>
    </w:pPr>
    <w:rPr>
      <w:kern w:val="2"/>
      <w:sz w:val="21"/>
      <w:szCs w:val="24"/>
    </w:rPr>
  </w:style>
  <w:style w:type="paragraph" w:customStyle="1" w:styleId="111">
    <w:name w:val="?¡ì?¡ì?¡§¡è?¡ìo????¡§¡è?:1"/>
    <w:basedOn w:val="1"/>
    <w:qFormat/>
    <w:uiPriority w:val="0"/>
    <w:pPr>
      <w:overflowPunct w:val="0"/>
      <w:autoSpaceDE w:val="0"/>
      <w:autoSpaceDN w:val="0"/>
      <w:adjustRightInd w:val="0"/>
    </w:pPr>
    <w:rPr>
      <w:sz w:val="24"/>
    </w:rPr>
  </w:style>
  <w:style w:type="paragraph" w:customStyle="1" w:styleId="112">
    <w:name w:val="默认段落字体 Para Char"/>
    <w:basedOn w:val="1"/>
    <w:qFormat/>
    <w:uiPriority w:val="0"/>
    <w:pPr>
      <w:widowControl w:val="0"/>
      <w:jc w:val="both"/>
    </w:pPr>
    <w:rPr>
      <w:kern w:val="2"/>
      <w:sz w:val="21"/>
      <w:szCs w:val="24"/>
    </w:rPr>
  </w:style>
  <w:style w:type="paragraph" w:customStyle="1" w:styleId="113">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4">
    <w:name w:val="reader-word-layer reader-word-s16-17"/>
    <w:basedOn w:val="1"/>
    <w:qFormat/>
    <w:uiPriority w:val="0"/>
    <w:pPr>
      <w:spacing w:before="100" w:beforeAutospacing="1" w:after="100" w:afterAutospacing="1"/>
    </w:pPr>
    <w:rPr>
      <w:rFonts w:ascii="宋体" w:hAnsi="宋体" w:cs="宋体"/>
      <w:sz w:val="24"/>
      <w:szCs w:val="24"/>
    </w:rPr>
  </w:style>
  <w:style w:type="paragraph" w:customStyle="1" w:styleId="115">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16">
    <w:name w:val="reader-word-layer reader-word-s16-11"/>
    <w:basedOn w:val="1"/>
    <w:qFormat/>
    <w:uiPriority w:val="0"/>
    <w:pPr>
      <w:spacing w:before="100" w:beforeAutospacing="1" w:after="100" w:afterAutospacing="1"/>
    </w:pPr>
    <w:rPr>
      <w:rFonts w:ascii="宋体" w:hAnsi="宋体" w:cs="宋体"/>
      <w:sz w:val="24"/>
      <w:szCs w:val="24"/>
    </w:rPr>
  </w:style>
  <w:style w:type="paragraph" w:customStyle="1" w:styleId="117">
    <w:name w:val="È±Ê¡ÎÄ±¾:1:1"/>
    <w:basedOn w:val="1"/>
    <w:qFormat/>
    <w:uiPriority w:val="0"/>
    <w:pPr>
      <w:overflowPunct w:val="0"/>
      <w:autoSpaceDE w:val="0"/>
      <w:autoSpaceDN w:val="0"/>
      <w:adjustRightInd w:val="0"/>
      <w:textAlignment w:val="baseline"/>
    </w:pPr>
    <w:rPr>
      <w:sz w:val="24"/>
    </w:rPr>
  </w:style>
  <w:style w:type="paragraph" w:customStyle="1" w:styleId="118">
    <w:name w:val="样式1"/>
    <w:basedOn w:val="1"/>
    <w:qFormat/>
    <w:uiPriority w:val="0"/>
    <w:pPr>
      <w:widowControl w:val="0"/>
      <w:spacing w:before="120" w:after="120" w:line="300" w:lineRule="auto"/>
      <w:jc w:val="both"/>
    </w:pPr>
    <w:rPr>
      <w:rFonts w:ascii="宋体" w:hAnsi="宋体"/>
      <w:b/>
      <w:kern w:val="2"/>
      <w:sz w:val="24"/>
    </w:rPr>
  </w:style>
  <w:style w:type="paragraph" w:customStyle="1" w:styleId="119">
    <w:name w:val="_Style 17"/>
    <w:basedOn w:val="1"/>
    <w:next w:val="38"/>
    <w:qFormat/>
    <w:uiPriority w:val="0"/>
    <w:pPr>
      <w:spacing w:before="100" w:beforeAutospacing="1" w:after="100" w:afterAutospacing="1"/>
    </w:pPr>
    <w:rPr>
      <w:rFonts w:ascii="宋体" w:hAnsi="宋体" w:cs="黑体"/>
      <w:sz w:val="24"/>
      <w:szCs w:val="24"/>
    </w:rPr>
  </w:style>
  <w:style w:type="paragraph" w:customStyle="1" w:styleId="120">
    <w:name w:val="Char Char Char Char1"/>
    <w:basedOn w:val="1"/>
    <w:qFormat/>
    <w:uiPriority w:val="0"/>
    <w:pPr>
      <w:widowControl w:val="0"/>
      <w:jc w:val="both"/>
    </w:pPr>
    <w:rPr>
      <w:rFonts w:ascii="Tahoma" w:hAnsi="Tahoma"/>
      <w:kern w:val="2"/>
      <w:sz w:val="24"/>
    </w:rPr>
  </w:style>
  <w:style w:type="paragraph" w:customStyle="1" w:styleId="121">
    <w:name w:val="reader-word-layer reader-word-s16-7"/>
    <w:basedOn w:val="1"/>
    <w:qFormat/>
    <w:uiPriority w:val="0"/>
    <w:pPr>
      <w:spacing w:before="100" w:beforeAutospacing="1" w:after="100" w:afterAutospacing="1"/>
    </w:pPr>
    <w:rPr>
      <w:rFonts w:ascii="宋体" w:hAnsi="宋体" w:cs="宋体"/>
      <w:sz w:val="24"/>
      <w:szCs w:val="24"/>
    </w:rPr>
  </w:style>
  <w:style w:type="paragraph" w:customStyle="1" w:styleId="122">
    <w:name w:val="正文文本缩进8"/>
    <w:basedOn w:val="1"/>
    <w:qFormat/>
    <w:uiPriority w:val="0"/>
    <w:pPr>
      <w:widowControl w:val="0"/>
      <w:ind w:firstLine="560" w:firstLineChars="200"/>
      <w:jc w:val="both"/>
    </w:pPr>
    <w:rPr>
      <w:kern w:val="2"/>
      <w:sz w:val="28"/>
      <w:szCs w:val="28"/>
    </w:rPr>
  </w:style>
  <w:style w:type="paragraph" w:customStyle="1" w:styleId="123">
    <w:name w:val="_Style 110"/>
    <w:basedOn w:val="1"/>
    <w:next w:val="91"/>
    <w:qFormat/>
    <w:uiPriority w:val="34"/>
    <w:pPr>
      <w:widowControl w:val="0"/>
      <w:ind w:firstLine="420" w:firstLineChars="200"/>
      <w:jc w:val="both"/>
    </w:pPr>
    <w:rPr>
      <w:kern w:val="2"/>
      <w:sz w:val="21"/>
    </w:rPr>
  </w:style>
  <w:style w:type="character" w:customStyle="1" w:styleId="124">
    <w:name w:val="页脚 Char"/>
    <w:link w:val="125"/>
    <w:qFormat/>
    <w:uiPriority w:val="0"/>
    <w:rPr>
      <w:sz w:val="18"/>
    </w:rPr>
  </w:style>
  <w:style w:type="paragraph" w:customStyle="1" w:styleId="125">
    <w:name w:val="页脚1"/>
    <w:basedOn w:val="1"/>
    <w:link w:val="124"/>
    <w:qFormat/>
    <w:uiPriority w:val="0"/>
    <w:pPr>
      <w:widowControl w:val="0"/>
      <w:tabs>
        <w:tab w:val="center" w:pos="4153"/>
        <w:tab w:val="right" w:pos="8306"/>
      </w:tabs>
      <w:snapToGrid w:val="0"/>
    </w:pPr>
    <w:rPr>
      <w:sz w:val="18"/>
    </w:rPr>
  </w:style>
  <w:style w:type="paragraph" w:customStyle="1" w:styleId="126">
    <w:name w:val="页眉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7">
    <w:name w:val="页眉1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8">
    <w:name w:val="正文缩进1"/>
    <w:basedOn w:val="1"/>
    <w:qFormat/>
    <w:uiPriority w:val="0"/>
    <w:pPr>
      <w:ind w:firstLine="420"/>
      <w:jc w:val="center"/>
    </w:pPr>
    <w:rPr>
      <w:b/>
      <w:sz w:val="44"/>
    </w:rPr>
  </w:style>
  <w:style w:type="paragraph" w:styleId="12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0">
    <w:name w:val="列出段落 Char"/>
    <w:link w:val="91"/>
    <w:qFormat/>
    <w:uiPriority w:val="34"/>
    <w:rPr>
      <w:rFonts w:ascii="Calibri" w:hAnsi="Calibri" w:eastAsia="宋体" w:cs="Times New Roman"/>
      <w:kern w:val="2"/>
      <w:sz w:val="21"/>
      <w:szCs w:val="22"/>
    </w:rPr>
  </w:style>
  <w:style w:type="paragraph" w:customStyle="1" w:styleId="131">
    <w:name w:val="正文 + 宋体"/>
    <w:basedOn w:val="1"/>
    <w:qFormat/>
    <w:uiPriority w:val="99"/>
    <w:pPr>
      <w:spacing w:before="40" w:after="160"/>
    </w:pPr>
    <w:rPr>
      <w:rFonts w:ascii="宋体" w:hAnsi="宋体" w:eastAsia="微软雅黑"/>
      <w:color w:val="595959"/>
      <w:kern w:val="20"/>
      <w:sz w:val="21"/>
      <w:szCs w:val="21"/>
      <w:lang w:val="zh-CN"/>
    </w:rPr>
  </w:style>
  <w:style w:type="paragraph" w:customStyle="1" w:styleId="132">
    <w:name w:val="Normal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
    <w:name w:val="样式 样式 左侧:  2 字符 + 左侧:  0.85 厘米 首行缩进:  2 字符1"/>
    <w:basedOn w:val="1"/>
    <w:qFormat/>
    <w:uiPriority w:val="0"/>
    <w:pPr>
      <w:widowControl w:val="0"/>
      <w:ind w:left="482" w:firstLine="200" w:firstLineChars="200"/>
      <w:jc w:val="both"/>
    </w:pPr>
    <w:rPr>
      <w:rFonts w:ascii="Calibri" w:hAnsi="Calibri" w:cs="宋体"/>
      <w:kern w:val="2"/>
      <w:sz w:val="21"/>
    </w:rPr>
  </w:style>
  <w:style w:type="paragraph" w:customStyle="1" w:styleId="134">
    <w:name w:val="font5"/>
    <w:basedOn w:val="1"/>
    <w:qFormat/>
    <w:uiPriority w:val="0"/>
    <w:pPr>
      <w:spacing w:before="100" w:beforeAutospacing="1" w:after="100" w:afterAutospacing="1"/>
    </w:pPr>
    <w:rPr>
      <w:rFonts w:ascii="宋体" w:hAnsi="宋体" w:cs="宋体"/>
      <w:sz w:val="18"/>
      <w:szCs w:val="18"/>
    </w:rPr>
  </w:style>
  <w:style w:type="paragraph" w:customStyle="1" w:styleId="135">
    <w:name w:val="font6"/>
    <w:basedOn w:val="1"/>
    <w:qFormat/>
    <w:uiPriority w:val="0"/>
    <w:pPr>
      <w:spacing w:before="100" w:beforeAutospacing="1" w:after="100" w:afterAutospacing="1"/>
    </w:pPr>
    <w:rPr>
      <w:rFonts w:ascii="宋体" w:hAnsi="宋体" w:cs="宋体"/>
      <w:sz w:val="18"/>
      <w:szCs w:val="18"/>
    </w:rPr>
  </w:style>
  <w:style w:type="paragraph" w:customStyle="1" w:styleId="136">
    <w:name w:val="font7"/>
    <w:basedOn w:val="1"/>
    <w:qFormat/>
    <w:uiPriority w:val="0"/>
    <w:pPr>
      <w:spacing w:before="100" w:beforeAutospacing="1" w:after="100" w:afterAutospacing="1"/>
    </w:pPr>
    <w:rPr>
      <w:rFonts w:ascii="宋体" w:hAnsi="宋体" w:cs="宋体"/>
      <w:sz w:val="18"/>
      <w:szCs w:val="18"/>
    </w:rPr>
  </w:style>
  <w:style w:type="paragraph" w:customStyle="1" w:styleId="137">
    <w:name w:val="font8"/>
    <w:basedOn w:val="1"/>
    <w:qFormat/>
    <w:uiPriority w:val="0"/>
    <w:pPr>
      <w:spacing w:before="100" w:beforeAutospacing="1" w:after="100" w:afterAutospacing="1"/>
    </w:pPr>
    <w:rPr>
      <w:rFonts w:ascii="Tahoma" w:hAnsi="Tahoma" w:cs="Tahoma"/>
      <w:sz w:val="18"/>
      <w:szCs w:val="18"/>
    </w:rPr>
  </w:style>
  <w:style w:type="paragraph" w:customStyle="1" w:styleId="138">
    <w:name w:val="font9"/>
    <w:basedOn w:val="1"/>
    <w:qFormat/>
    <w:uiPriority w:val="0"/>
    <w:pPr>
      <w:spacing w:before="100" w:beforeAutospacing="1" w:after="100" w:afterAutospacing="1"/>
    </w:pPr>
    <w:rPr>
      <w:rFonts w:ascii="宋体" w:hAnsi="宋体" w:cs="宋体"/>
      <w:sz w:val="18"/>
      <w:szCs w:val="18"/>
    </w:rPr>
  </w:style>
  <w:style w:type="paragraph" w:customStyle="1" w:styleId="139">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140">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41">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142">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14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4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45">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46">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47">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szCs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4"/>
      <w:szCs w:val="24"/>
    </w:rPr>
  </w:style>
  <w:style w:type="paragraph" w:customStyle="1" w:styleId="149">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000000"/>
      <w:sz w:val="24"/>
      <w:szCs w:val="24"/>
    </w:rPr>
  </w:style>
  <w:style w:type="paragraph" w:customStyle="1" w:styleId="150">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51">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5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53">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54">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000000"/>
      <w:sz w:val="24"/>
      <w:szCs w:val="24"/>
    </w:rPr>
  </w:style>
  <w:style w:type="paragraph" w:customStyle="1" w:styleId="155">
    <w:name w:val="xl84"/>
    <w:basedOn w:val="1"/>
    <w:qFormat/>
    <w:uiPriority w:val="0"/>
    <w:pPr>
      <w:shd w:val="clear" w:color="000000" w:fill="FFFFFF"/>
      <w:spacing w:before="100" w:beforeAutospacing="1" w:after="100" w:afterAutospacing="1"/>
    </w:pPr>
    <w:rPr>
      <w:rFonts w:ascii="宋体" w:hAnsi="宋体" w:cs="宋体"/>
      <w:sz w:val="24"/>
      <w:szCs w:val="24"/>
    </w:rPr>
  </w:style>
  <w:style w:type="paragraph" w:customStyle="1" w:styleId="156">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57">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158">
    <w:name w:val="xl8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159">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0">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1">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2">
    <w:name w:val="xl9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63">
    <w:name w:val="xl92"/>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4">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65">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24"/>
      <w:szCs w:val="24"/>
    </w:rPr>
  </w:style>
  <w:style w:type="paragraph" w:customStyle="1" w:styleId="166">
    <w:name w:val="xl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FF0000"/>
      <w:sz w:val="24"/>
      <w:szCs w:val="24"/>
    </w:rPr>
  </w:style>
  <w:style w:type="paragraph" w:customStyle="1" w:styleId="167">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168">
    <w:name w:val="xl97"/>
    <w:basedOn w:val="1"/>
    <w:qFormat/>
    <w:uiPriority w:val="0"/>
    <w:pPr>
      <w:spacing w:before="100" w:beforeAutospacing="1" w:after="100" w:afterAutospacing="1"/>
      <w:jc w:val="center"/>
    </w:pPr>
    <w:rPr>
      <w:rFonts w:ascii="宋体" w:hAnsi="宋体" w:cs="宋体"/>
      <w:sz w:val="24"/>
      <w:szCs w:val="24"/>
    </w:rPr>
  </w:style>
  <w:style w:type="paragraph" w:customStyle="1" w:styleId="169">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4"/>
      <w:szCs w:val="24"/>
    </w:rPr>
  </w:style>
  <w:style w:type="paragraph" w:customStyle="1" w:styleId="170">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24"/>
      <w:szCs w:val="24"/>
    </w:rPr>
  </w:style>
  <w:style w:type="paragraph" w:customStyle="1" w:styleId="171">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72">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b/>
      <w:bCs/>
      <w:sz w:val="24"/>
      <w:szCs w:val="24"/>
    </w:rPr>
  </w:style>
  <w:style w:type="paragraph" w:customStyle="1" w:styleId="173">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74">
    <w:name w:val="xl103"/>
    <w:basedOn w:val="1"/>
    <w:qFormat/>
    <w:uiPriority w:val="0"/>
    <w:pPr>
      <w:spacing w:before="100" w:beforeAutospacing="1" w:after="100" w:afterAutospacing="1"/>
    </w:pPr>
    <w:rPr>
      <w:rFonts w:ascii="宋体" w:hAnsi="宋体" w:cs="宋体"/>
      <w:sz w:val="24"/>
      <w:szCs w:val="24"/>
    </w:rPr>
  </w:style>
  <w:style w:type="paragraph" w:customStyle="1" w:styleId="175">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76">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177">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character" w:customStyle="1" w:styleId="178">
    <w:name w:val="页脚 Char1"/>
    <w:basedOn w:val="45"/>
    <w:link w:val="28"/>
    <w:qFormat/>
    <w:uiPriority w:val="99"/>
    <w:rPr>
      <w:rFonts w:ascii="Times New Roman" w:hAnsi="Times New Roman" w:eastAsia="宋体" w:cs="Times New Roman"/>
      <w:sz w:val="18"/>
    </w:rPr>
  </w:style>
  <w:style w:type="character" w:customStyle="1" w:styleId="179">
    <w:name w:val="未处理的提及1"/>
    <w:basedOn w:val="45"/>
    <w:semiHidden/>
    <w:unhideWhenUsed/>
    <w:qFormat/>
    <w:uiPriority w:val="99"/>
    <w:rPr>
      <w:color w:val="605E5C"/>
      <w:shd w:val="clear" w:color="auto" w:fill="E1DFDD"/>
    </w:rPr>
  </w:style>
  <w:style w:type="character" w:customStyle="1" w:styleId="180">
    <w:name w:val="font71"/>
    <w:basedOn w:val="45"/>
    <w:qFormat/>
    <w:uiPriority w:val="0"/>
    <w:rPr>
      <w:rFonts w:hint="eastAsia" w:ascii="宋体" w:hAnsi="宋体" w:eastAsia="宋体" w:cs="宋体"/>
      <w:color w:val="333333"/>
      <w:sz w:val="20"/>
      <w:szCs w:val="20"/>
      <w:u w:val="none"/>
    </w:rPr>
  </w:style>
  <w:style w:type="character" w:customStyle="1" w:styleId="181">
    <w:name w:val="font101"/>
    <w:basedOn w:val="45"/>
    <w:qFormat/>
    <w:uiPriority w:val="0"/>
    <w:rPr>
      <w:rFonts w:hint="default" w:ascii="Times New Roman" w:hAnsi="Times New Roman" w:cs="Times New Roman"/>
      <w:color w:val="333333"/>
      <w:sz w:val="20"/>
      <w:szCs w:val="20"/>
      <w:u w:val="none"/>
    </w:rPr>
  </w:style>
  <w:style w:type="character" w:customStyle="1" w:styleId="182">
    <w:name w:val="font81"/>
    <w:basedOn w:val="45"/>
    <w:qFormat/>
    <w:uiPriority w:val="0"/>
    <w:rPr>
      <w:rFonts w:ascii="宋体" w:hAnsi="宋体" w:eastAsia="宋体" w:cs="宋体"/>
      <w:color w:val="000000"/>
      <w:sz w:val="22"/>
      <w:szCs w:val="22"/>
      <w:u w:val="none"/>
    </w:rPr>
  </w:style>
  <w:style w:type="character" w:customStyle="1" w:styleId="183">
    <w:name w:val="layui-layer-tabnow"/>
    <w:basedOn w:val="45"/>
    <w:qFormat/>
    <w:uiPriority w:val="0"/>
    <w:rPr>
      <w:bdr w:val="single" w:color="CCCCCC" w:sz="6" w:space="0"/>
      <w:shd w:val="clear" w:color="auto" w:fill="FFFFFF"/>
    </w:rPr>
  </w:style>
  <w:style w:type="character" w:customStyle="1" w:styleId="184">
    <w:name w:val="first-child"/>
    <w:basedOn w:val="45"/>
    <w:qFormat/>
    <w:uiPriority w:val="0"/>
  </w:style>
  <w:style w:type="paragraph" w:customStyle="1" w:styleId="185">
    <w:name w:val="Table Paragraph"/>
    <w:basedOn w:val="1"/>
    <w:qFormat/>
    <w:uiPriority w:val="1"/>
  </w:style>
  <w:style w:type="table" w:customStyle="1" w:styleId="186">
    <w:name w:val="Table Normal"/>
    <w:semiHidden/>
    <w:unhideWhenUsed/>
    <w:qFormat/>
    <w:uiPriority w:val="2"/>
    <w:tblPr>
      <w:tblCellMar>
        <w:top w:w="0" w:type="dxa"/>
        <w:left w:w="0" w:type="dxa"/>
        <w:bottom w:w="0" w:type="dxa"/>
        <w:right w:w="0" w:type="dxa"/>
      </w:tblCellMar>
    </w:tblPr>
  </w:style>
  <w:style w:type="character" w:customStyle="1" w:styleId="187">
    <w:name w:val="标题 3 Char"/>
    <w:basedOn w:val="45"/>
    <w:link w:val="4"/>
    <w:qFormat/>
    <w:uiPriority w:val="0"/>
    <w:rPr>
      <w:b/>
      <w:sz w:val="32"/>
    </w:rPr>
  </w:style>
  <w:style w:type="character" w:customStyle="1" w:styleId="188">
    <w:name w:val="font21"/>
    <w:basedOn w:val="45"/>
    <w:qFormat/>
    <w:uiPriority w:val="0"/>
    <w:rPr>
      <w:rFonts w:hint="eastAsia" w:ascii="宋体" w:hAnsi="宋体" w:eastAsia="宋体" w:cs="宋体"/>
      <w:b/>
      <w:bCs/>
      <w:color w:val="000000"/>
      <w:sz w:val="22"/>
      <w:szCs w:val="22"/>
      <w:u w:val="none"/>
    </w:rPr>
  </w:style>
  <w:style w:type="character" w:customStyle="1" w:styleId="189">
    <w:name w:val="font31"/>
    <w:basedOn w:val="45"/>
    <w:qFormat/>
    <w:uiPriority w:val="0"/>
    <w:rPr>
      <w:rFonts w:ascii="东文宋体" w:hAnsi="东文宋体" w:eastAsia="东文宋体" w:cs="东文宋体"/>
      <w:color w:val="000000"/>
      <w:sz w:val="22"/>
      <w:szCs w:val="22"/>
      <w:u w:val="none"/>
    </w:rPr>
  </w:style>
  <w:style w:type="paragraph" w:customStyle="1" w:styleId="190">
    <w:name w:val="Table Text"/>
    <w:basedOn w:val="1"/>
    <w:semiHidden/>
    <w:qFormat/>
    <w:uiPriority w:val="0"/>
    <w:rPr>
      <w:rFonts w:ascii="宋体" w:hAnsi="宋体" w:eastAsia="宋体" w:cs="宋体"/>
      <w:sz w:val="15"/>
      <w:szCs w:val="15"/>
      <w:lang w:val="en-US" w:eastAsia="en-US" w:bidi="ar-SA"/>
    </w:rPr>
  </w:style>
  <w:style w:type="character" w:customStyle="1" w:styleId="191">
    <w:name w:val="NormalCharacter"/>
    <w:link w:val="192"/>
    <w:semiHidden/>
    <w:qFormat/>
    <w:uiPriority w:val="0"/>
    <w:rPr>
      <w:rFonts w:ascii="Tahoma" w:hAnsi="Tahoma"/>
      <w:sz w:val="24"/>
      <w:szCs w:val="28"/>
    </w:rPr>
  </w:style>
  <w:style w:type="paragraph" w:customStyle="1" w:styleId="192">
    <w:name w:val="UserStyle_2"/>
    <w:basedOn w:val="1"/>
    <w:link w:val="191"/>
    <w:semiHidden/>
    <w:qFormat/>
    <w:uiPriority w:val="0"/>
    <w:rPr>
      <w:rFonts w:ascii="Tahoma" w:hAnsi="Tahoma"/>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中恒一信项目管理咨询有限公司</Company>
  <Pages>74</Pages>
  <Words>142</Words>
  <Characters>164</Characters>
  <Lines>76</Lines>
  <Paragraphs>106</Paragraphs>
  <TotalTime>0</TotalTime>
  <ScaleCrop>false</ScaleCrop>
  <LinksUpToDate>false</LinksUpToDate>
  <CharactersWithSpaces>196</CharactersWithSpaces>
  <Application>WPS Office_12.1.0.21915_F1E327BC-269C-435d-A152-05C5408002CA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2021-09-17T14:30:00Z</dcterms:created>
  <dc:creator>赵明</dc:creator>
  <cp:lastModifiedBy>WF</cp:lastModifiedBy>
  <cp:lastPrinted>2025-01-23T10:23:00Z</cp:lastPrinted>
  <dcterms:modified xsi:type="dcterms:W3CDTF">2025-07-21T08:29:04Z</dcterms:modified>
  <dc:title>招标文件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C9FAD6874CE64F27AB017A5D6BA6083B_13</vt:lpwstr>
  </property>
  <property fmtid="{D5CDD505-2E9C-101B-9397-08002B2CF9AE}" pid="4" name="KSOTemplateDocerSaveRecord">
    <vt:lpwstr>eyJoZGlkIjoiOGQ1MzA3MzA1NWMwZTI0YjBlMjQ4NWExYjA2ZDc2ZjUiLCJ1c2VySWQiOiIzMzM2NTYyMDkifQ==</vt:lpwstr>
  </property>
</Properties>
</file>