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BC43E">
      <w:pPr>
        <w:jc w:val="center"/>
        <w:rPr>
          <w:rFonts w:hint="eastAsia" w:ascii="宋体" w:hAnsi="宋体" w:eastAsia="宋体" w:cs="宋体"/>
          <w:b/>
          <w:bCs/>
          <w:color w:val="auto"/>
          <w:sz w:val="56"/>
          <w:szCs w:val="72"/>
          <w:highlight w:val="none"/>
          <w:lang w:eastAsia="zh-CN"/>
        </w:rPr>
      </w:pPr>
    </w:p>
    <w:p w14:paraId="6C7D60CD">
      <w:pPr>
        <w:jc w:val="center"/>
        <w:rPr>
          <w:rFonts w:hint="eastAsia" w:ascii="宋体" w:hAnsi="宋体" w:eastAsia="宋体" w:cs="宋体"/>
          <w:b/>
          <w:bCs/>
          <w:color w:val="auto"/>
          <w:sz w:val="60"/>
          <w:szCs w:val="96"/>
          <w:highlight w:val="none"/>
          <w:lang w:eastAsia="zh-CN"/>
        </w:rPr>
      </w:pPr>
      <w:r>
        <w:rPr>
          <w:rFonts w:hint="eastAsia" w:ascii="宋体" w:hAnsi="宋体" w:eastAsia="宋体" w:cs="宋体"/>
          <w:b/>
          <w:bCs/>
          <w:color w:val="auto"/>
          <w:sz w:val="60"/>
          <w:szCs w:val="96"/>
          <w:highlight w:val="none"/>
          <w:lang w:eastAsia="zh-CN"/>
        </w:rPr>
        <w:t>吉林司法警官职业学院常态化智慧教室建设项目</w:t>
      </w:r>
    </w:p>
    <w:p w14:paraId="3CBBC9BE">
      <w:pPr>
        <w:jc w:val="center"/>
        <w:rPr>
          <w:rFonts w:hint="eastAsia" w:ascii="宋体" w:hAnsi="宋体" w:eastAsia="宋体" w:cs="宋体"/>
          <w:b/>
          <w:bCs/>
          <w:color w:val="auto"/>
          <w:sz w:val="84"/>
          <w:szCs w:val="72"/>
          <w:highlight w:val="none"/>
        </w:rPr>
      </w:pPr>
    </w:p>
    <w:p w14:paraId="3E6D149A">
      <w:pPr>
        <w:jc w:val="center"/>
        <w:rPr>
          <w:rFonts w:hint="eastAsia" w:ascii="宋体" w:hAnsi="宋体" w:eastAsia="宋体" w:cs="宋体"/>
          <w:b/>
          <w:bCs/>
          <w:color w:val="auto"/>
          <w:sz w:val="84"/>
          <w:szCs w:val="72"/>
          <w:highlight w:val="none"/>
        </w:rPr>
      </w:pPr>
    </w:p>
    <w:p w14:paraId="45107A01">
      <w:pPr>
        <w:jc w:val="center"/>
        <w:rPr>
          <w:rFonts w:ascii="宋体" w:hAnsi="宋体" w:cs="宋体"/>
          <w:b/>
          <w:sz w:val="32"/>
          <w:szCs w:val="32"/>
        </w:rPr>
      </w:pPr>
      <w:r>
        <w:rPr>
          <w:rFonts w:hint="eastAsia" w:ascii="宋体" w:hAnsi="宋体" w:eastAsia="宋体" w:cs="宋体"/>
          <w:b/>
          <w:bCs/>
          <w:color w:val="auto"/>
          <w:sz w:val="84"/>
          <w:szCs w:val="72"/>
          <w:highlight w:val="none"/>
        </w:rPr>
        <w:t>竞争性谈判文件</w:t>
      </w:r>
    </w:p>
    <w:p w14:paraId="69B98551">
      <w:pPr>
        <w:tabs>
          <w:tab w:val="left" w:pos="3630"/>
        </w:tabs>
        <w:jc w:val="center"/>
        <w:rPr>
          <w:rFonts w:ascii="宋体" w:hAnsi="宋体" w:cs="宋体"/>
          <w:b/>
          <w:color w:val="C00000"/>
          <w:sz w:val="28"/>
        </w:rPr>
      </w:pPr>
      <w:r>
        <w:rPr>
          <w:rFonts w:hint="eastAsia" w:ascii="宋体" w:hAnsi="宋体" w:cs="宋体"/>
          <w:b/>
          <w:color w:val="000000"/>
          <w:sz w:val="24"/>
          <w:szCs w:val="24"/>
        </w:rPr>
        <w:t>项目编号: 采购计划-[2025]-07114号-JLSB2025-107C-H</w:t>
      </w:r>
    </w:p>
    <w:p w14:paraId="12F8B6CC">
      <w:pPr>
        <w:tabs>
          <w:tab w:val="left" w:pos="7140"/>
        </w:tabs>
        <w:ind w:firstLine="602" w:firstLineChars="200"/>
        <w:rPr>
          <w:rFonts w:hint="eastAsia" w:ascii="宋体" w:hAnsi="宋体" w:cs="宋体"/>
          <w:b/>
          <w:bCs/>
          <w:color w:val="000000"/>
          <w:sz w:val="30"/>
          <w:szCs w:val="30"/>
        </w:rPr>
      </w:pPr>
    </w:p>
    <w:p w14:paraId="37B21AAC">
      <w:pPr>
        <w:tabs>
          <w:tab w:val="left" w:pos="7140"/>
        </w:tabs>
        <w:ind w:firstLine="602" w:firstLineChars="200"/>
        <w:rPr>
          <w:rFonts w:hint="eastAsia" w:ascii="宋体" w:hAnsi="宋体" w:cs="宋体"/>
          <w:b/>
          <w:bCs/>
          <w:color w:val="000000"/>
          <w:sz w:val="30"/>
          <w:szCs w:val="30"/>
        </w:rPr>
      </w:pPr>
    </w:p>
    <w:p w14:paraId="395BD363">
      <w:pPr>
        <w:tabs>
          <w:tab w:val="left" w:pos="7140"/>
        </w:tabs>
        <w:ind w:firstLine="602" w:firstLineChars="200"/>
        <w:rPr>
          <w:rFonts w:hint="eastAsia" w:ascii="宋体" w:hAnsi="宋体" w:cs="宋体"/>
          <w:b/>
          <w:bCs/>
          <w:color w:val="000000"/>
          <w:sz w:val="30"/>
          <w:szCs w:val="30"/>
        </w:rPr>
      </w:pPr>
    </w:p>
    <w:p w14:paraId="5F3F0F20">
      <w:pPr>
        <w:tabs>
          <w:tab w:val="left" w:pos="7140"/>
        </w:tabs>
        <w:ind w:firstLine="602" w:firstLineChars="200"/>
        <w:rPr>
          <w:rFonts w:hint="eastAsia" w:ascii="宋体" w:hAnsi="宋体" w:cs="宋体"/>
          <w:b/>
          <w:bCs/>
          <w:color w:val="000000"/>
          <w:sz w:val="30"/>
          <w:szCs w:val="30"/>
        </w:rPr>
      </w:pPr>
    </w:p>
    <w:p w14:paraId="7613C808">
      <w:pPr>
        <w:tabs>
          <w:tab w:val="left" w:pos="7140"/>
        </w:tabs>
        <w:ind w:firstLine="602" w:firstLineChars="200"/>
        <w:rPr>
          <w:rFonts w:hint="eastAsia" w:ascii="宋体" w:hAnsi="宋体" w:cs="宋体"/>
          <w:b/>
          <w:bCs/>
          <w:color w:val="000000"/>
          <w:sz w:val="30"/>
          <w:szCs w:val="30"/>
        </w:rPr>
      </w:pPr>
    </w:p>
    <w:p w14:paraId="3EEEA8A6">
      <w:pPr>
        <w:tabs>
          <w:tab w:val="left" w:pos="7140"/>
        </w:tabs>
        <w:ind w:firstLine="602" w:firstLineChars="200"/>
        <w:rPr>
          <w:rFonts w:hint="eastAsia" w:ascii="宋体" w:hAnsi="宋体" w:cs="宋体"/>
          <w:b/>
          <w:bCs/>
          <w:color w:val="000000"/>
          <w:sz w:val="30"/>
          <w:szCs w:val="30"/>
        </w:rPr>
      </w:pPr>
    </w:p>
    <w:p w14:paraId="3B58DBA0">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val="0"/>
          <w:bCs w:val="0"/>
          <w:sz w:val="30"/>
          <w:szCs w:val="30"/>
          <w:lang w:val="en-US" w:eastAsia="zh-CN"/>
        </w:rPr>
      </w:pPr>
    </w:p>
    <w:p w14:paraId="651F100C">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bCs/>
          <w:sz w:val="30"/>
          <w:szCs w:val="30"/>
          <w:highlight w:val="none"/>
        </w:rPr>
      </w:pPr>
      <w:r>
        <w:rPr>
          <w:rFonts w:hint="eastAsia" w:ascii="宋体" w:hAnsi="宋体"/>
          <w:b/>
          <w:bCs/>
          <w:sz w:val="30"/>
          <w:szCs w:val="30"/>
          <w:lang w:val="en-US" w:eastAsia="zh-CN"/>
        </w:rPr>
        <w:t>采购</w:t>
      </w:r>
      <w:r>
        <w:rPr>
          <w:rFonts w:hint="eastAsia" w:ascii="宋体" w:hAnsi="宋体"/>
          <w:b/>
          <w:bCs/>
          <w:sz w:val="30"/>
          <w:szCs w:val="30"/>
        </w:rPr>
        <w:t>人：</w:t>
      </w:r>
      <w:r>
        <w:rPr>
          <w:rFonts w:hint="eastAsia" w:ascii="宋体" w:hAnsi="宋体"/>
          <w:b/>
          <w:bCs/>
          <w:sz w:val="30"/>
          <w:szCs w:val="30"/>
          <w:lang w:val="zh-CN"/>
        </w:rPr>
        <w:t>吉林司法警官职业学院</w:t>
      </w:r>
    </w:p>
    <w:p w14:paraId="5A92A4C5">
      <w:pPr>
        <w:spacing w:line="360" w:lineRule="auto"/>
        <w:jc w:val="center"/>
        <w:rPr>
          <w:rFonts w:hint="default" w:ascii="宋体" w:hAnsi="宋体" w:eastAsia="宋体"/>
          <w:b/>
          <w:bCs/>
          <w:sz w:val="30"/>
          <w:szCs w:val="30"/>
          <w:lang w:val="en-US" w:eastAsia="zh-CN"/>
        </w:rPr>
      </w:pPr>
      <w:r>
        <w:rPr>
          <w:rFonts w:hint="eastAsia" w:ascii="宋体" w:hAnsi="宋体"/>
          <w:b/>
          <w:bCs/>
          <w:sz w:val="30"/>
          <w:szCs w:val="30"/>
        </w:rPr>
        <w:t>招标代理机构</w:t>
      </w:r>
      <w:r>
        <w:rPr>
          <w:rFonts w:hint="eastAsia" w:ascii="宋体" w:hAnsi="宋体"/>
          <w:b/>
          <w:bCs/>
          <w:sz w:val="30"/>
          <w:szCs w:val="30"/>
          <w:lang w:eastAsia="zh-CN"/>
        </w:rPr>
        <w:t>：</w:t>
      </w:r>
      <w:r>
        <w:rPr>
          <w:rFonts w:hint="eastAsia" w:ascii="宋体" w:hAnsi="宋体"/>
          <w:b/>
          <w:bCs/>
          <w:sz w:val="30"/>
          <w:szCs w:val="30"/>
          <w:lang w:val="zh-CN" w:eastAsia="zh-CN"/>
        </w:rPr>
        <w:t>吉林省世博项目管理有限公司</w:t>
      </w:r>
    </w:p>
    <w:p w14:paraId="73FAF56F">
      <w:pPr>
        <w:pageBreakBefore w:val="0"/>
        <w:kinsoku/>
        <w:wordWrap/>
        <w:overflowPunct/>
        <w:topLinePunct w:val="0"/>
        <w:autoSpaceDE w:val="0"/>
        <w:autoSpaceDN w:val="0"/>
        <w:bidi w:val="0"/>
        <w:adjustRightInd w:val="0"/>
        <w:snapToGrid w:val="0"/>
        <w:spacing w:line="520" w:lineRule="exact"/>
        <w:jc w:val="center"/>
        <w:textAlignment w:val="auto"/>
        <w:outlineLvl w:val="9"/>
        <w:rPr>
          <w:rFonts w:ascii="宋体" w:hAnsi="宋体"/>
          <w:b/>
          <w:bCs/>
          <w:sz w:val="30"/>
          <w:szCs w:val="30"/>
        </w:rPr>
        <w:sectPr>
          <w:footerReference r:id="rId5" w:type="first"/>
          <w:headerReference r:id="rId3" w:type="default"/>
          <w:footerReference r:id="rId4" w:type="even"/>
          <w:pgSz w:w="11906" w:h="16838"/>
          <w:pgMar w:top="1701" w:right="850" w:bottom="1701" w:left="1134" w:header="851" w:footer="737" w:gutter="0"/>
          <w:pgNumType w:fmt="decimal" w:start="0"/>
          <w:cols w:space="0" w:num="1"/>
          <w:rtlGutter w:val="0"/>
          <w:docGrid w:type="lines" w:linePitch="490" w:charSpace="0"/>
        </w:sectPr>
      </w:pPr>
      <w:r>
        <w:rPr>
          <w:rFonts w:hint="eastAsia" w:ascii="宋体" w:hAnsi="宋体"/>
          <w:b/>
          <w:bCs/>
          <w:sz w:val="30"/>
          <w:szCs w:val="30"/>
        </w:rPr>
        <w:t>20</w:t>
      </w:r>
      <w:r>
        <w:rPr>
          <w:rFonts w:hint="eastAsia" w:ascii="宋体" w:hAnsi="宋体"/>
          <w:b/>
          <w:bCs/>
          <w:sz w:val="30"/>
          <w:szCs w:val="30"/>
          <w:lang w:val="en-US" w:eastAsia="zh-CN"/>
        </w:rPr>
        <w:t>25</w:t>
      </w:r>
      <w:r>
        <w:rPr>
          <w:rFonts w:hint="eastAsia" w:ascii="宋体" w:hAnsi="宋体"/>
          <w:b/>
          <w:bCs/>
          <w:sz w:val="30"/>
          <w:szCs w:val="30"/>
        </w:rPr>
        <w:t>年</w:t>
      </w:r>
      <w:r>
        <w:rPr>
          <w:rFonts w:hint="eastAsia" w:ascii="宋体" w:hAnsi="宋体"/>
          <w:b/>
          <w:bCs/>
          <w:sz w:val="30"/>
          <w:szCs w:val="30"/>
          <w:lang w:val="en-US" w:eastAsia="zh-CN"/>
        </w:rPr>
        <w:t>06</w:t>
      </w:r>
      <w:r>
        <w:rPr>
          <w:rFonts w:hint="eastAsia" w:ascii="宋体" w:hAnsi="宋体"/>
          <w:b/>
          <w:bCs/>
          <w:sz w:val="30"/>
          <w:szCs w:val="30"/>
        </w:rPr>
        <w:t>月</w:t>
      </w:r>
    </w:p>
    <w:sdt>
      <w:sdtPr>
        <w:rPr>
          <w:rFonts w:ascii="宋体" w:hAnsi="宋体" w:eastAsia="宋体" w:cs="Times New Roman"/>
          <w:kern w:val="2"/>
          <w:sz w:val="21"/>
          <w:szCs w:val="24"/>
          <w:lang w:val="en-US" w:eastAsia="zh-CN" w:bidi="ar-SA"/>
        </w:rPr>
        <w:id w:val="147475647"/>
        <w15:color w:val="DBDBDB"/>
        <w:docPartObj>
          <w:docPartGallery w:val="Table of Contents"/>
          <w:docPartUnique/>
        </w:docPartObj>
      </w:sdtPr>
      <w:sdtEndPr>
        <w:rPr>
          <w:rFonts w:ascii="宋体" w:hAnsi="宋体" w:eastAsia="宋体" w:cs="宋体"/>
          <w:kern w:val="2"/>
          <w:sz w:val="21"/>
          <w:szCs w:val="32"/>
          <w:lang w:val="en-US" w:eastAsia="zh-CN" w:bidi="ar-SA"/>
        </w:rPr>
      </w:sdtEndPr>
      <w:sdtContent>
        <w:p w14:paraId="6D23BBB2">
          <w:pPr>
            <w:spacing w:before="0" w:beforeLines="0" w:after="0" w:afterLines="0" w:line="240" w:lineRule="auto"/>
            <w:ind w:left="0" w:leftChars="0" w:right="0" w:rightChars="0" w:firstLine="0" w:firstLineChars="0"/>
            <w:jc w:val="center"/>
            <w:rPr>
              <w:b/>
              <w:bCs/>
              <w:sz w:val="96"/>
              <w:szCs w:val="144"/>
            </w:rPr>
          </w:pPr>
          <w:r>
            <w:rPr>
              <w:rFonts w:ascii="宋体" w:hAnsi="宋体" w:eastAsia="宋体"/>
              <w:b/>
              <w:bCs/>
              <w:sz w:val="60"/>
              <w:szCs w:val="96"/>
            </w:rPr>
            <w:t>目录</w:t>
          </w:r>
        </w:p>
        <w:p w14:paraId="746392A8">
          <w:pPr>
            <w:pStyle w:val="12"/>
            <w:tabs>
              <w:tab w:val="right" w:leader="dot" w:pos="9780"/>
            </w:tabs>
            <w:spacing w:line="360" w:lineRule="auto"/>
            <w:rPr>
              <w:sz w:val="28"/>
              <w:szCs w:val="28"/>
            </w:rPr>
          </w:pPr>
          <w:r>
            <w:rPr>
              <w:rFonts w:ascii="宋体" w:hAnsi="宋体" w:eastAsia="宋体" w:cs="宋体"/>
              <w:kern w:val="2"/>
              <w:sz w:val="32"/>
              <w:szCs w:val="48"/>
              <w:lang w:val="en-US" w:eastAsia="zh-CN" w:bidi="ar-SA"/>
            </w:rPr>
            <w:fldChar w:fldCharType="begin"/>
          </w:r>
          <w:r>
            <w:rPr>
              <w:rFonts w:ascii="宋体" w:hAnsi="宋体" w:eastAsia="宋体" w:cs="宋体"/>
              <w:kern w:val="2"/>
              <w:sz w:val="32"/>
              <w:szCs w:val="48"/>
              <w:lang w:val="en-US" w:eastAsia="zh-CN" w:bidi="ar-SA"/>
            </w:rPr>
            <w:instrText xml:space="preserve">TOC \o "1-1" \h \u </w:instrText>
          </w:r>
          <w:r>
            <w:rPr>
              <w:rFonts w:ascii="宋体" w:hAnsi="宋体" w:eastAsia="宋体" w:cs="宋体"/>
              <w:kern w:val="2"/>
              <w:sz w:val="32"/>
              <w:szCs w:val="48"/>
              <w:lang w:val="en-US" w:eastAsia="zh-CN" w:bidi="ar-SA"/>
            </w:rPr>
            <w:fldChar w:fldCharType="separate"/>
          </w: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_Toc4175 </w:instrText>
          </w:r>
          <w:r>
            <w:rPr>
              <w:rFonts w:ascii="宋体" w:hAnsi="宋体" w:eastAsia="宋体" w:cs="宋体"/>
              <w:kern w:val="2"/>
              <w:sz w:val="28"/>
              <w:szCs w:val="48"/>
              <w:lang w:val="en-US" w:eastAsia="zh-CN" w:bidi="ar-SA"/>
            </w:rPr>
            <w:fldChar w:fldCharType="separate"/>
          </w:r>
          <w:r>
            <w:rPr>
              <w:rFonts w:hint="eastAsia"/>
              <w:sz w:val="28"/>
              <w:szCs w:val="52"/>
            </w:rPr>
            <w:t>第一章  竞争性谈判公告</w:t>
          </w:r>
          <w:r>
            <w:rPr>
              <w:sz w:val="28"/>
              <w:szCs w:val="28"/>
            </w:rPr>
            <w:tab/>
          </w:r>
          <w:r>
            <w:rPr>
              <w:sz w:val="28"/>
              <w:szCs w:val="28"/>
            </w:rPr>
            <w:fldChar w:fldCharType="begin"/>
          </w:r>
          <w:r>
            <w:rPr>
              <w:sz w:val="28"/>
              <w:szCs w:val="28"/>
            </w:rPr>
            <w:instrText xml:space="preserve"> PAGEREF _Toc4175 \h </w:instrText>
          </w:r>
          <w:r>
            <w:rPr>
              <w:sz w:val="28"/>
              <w:szCs w:val="28"/>
            </w:rPr>
            <w:fldChar w:fldCharType="separate"/>
          </w:r>
          <w:r>
            <w:rPr>
              <w:sz w:val="28"/>
              <w:szCs w:val="28"/>
            </w:rPr>
            <w:t>1</w:t>
          </w:r>
          <w:r>
            <w:rPr>
              <w:sz w:val="28"/>
              <w:szCs w:val="28"/>
            </w:rPr>
            <w:fldChar w:fldCharType="end"/>
          </w:r>
          <w:r>
            <w:rPr>
              <w:rFonts w:ascii="宋体" w:hAnsi="宋体" w:eastAsia="宋体" w:cs="宋体"/>
              <w:kern w:val="2"/>
              <w:sz w:val="28"/>
              <w:szCs w:val="48"/>
              <w:lang w:val="en-US" w:eastAsia="zh-CN" w:bidi="ar-SA"/>
            </w:rPr>
            <w:fldChar w:fldCharType="end"/>
          </w:r>
        </w:p>
        <w:p w14:paraId="76FA7325">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_Toc10155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第二章  供应商须知</w:t>
          </w:r>
          <w:r>
            <w:rPr>
              <w:sz w:val="28"/>
              <w:szCs w:val="28"/>
            </w:rPr>
            <w:tab/>
          </w:r>
          <w:r>
            <w:rPr>
              <w:sz w:val="28"/>
              <w:szCs w:val="28"/>
            </w:rPr>
            <w:fldChar w:fldCharType="begin"/>
          </w:r>
          <w:r>
            <w:rPr>
              <w:sz w:val="28"/>
              <w:szCs w:val="28"/>
            </w:rPr>
            <w:instrText xml:space="preserve"> PAGEREF _Toc10155 \h </w:instrText>
          </w:r>
          <w:r>
            <w:rPr>
              <w:sz w:val="28"/>
              <w:szCs w:val="28"/>
            </w:rPr>
            <w:fldChar w:fldCharType="separate"/>
          </w:r>
          <w:r>
            <w:rPr>
              <w:sz w:val="28"/>
              <w:szCs w:val="28"/>
            </w:rPr>
            <w:t>4</w:t>
          </w:r>
          <w:r>
            <w:rPr>
              <w:sz w:val="28"/>
              <w:szCs w:val="28"/>
            </w:rPr>
            <w:fldChar w:fldCharType="end"/>
          </w:r>
          <w:r>
            <w:rPr>
              <w:rFonts w:ascii="宋体" w:hAnsi="宋体" w:eastAsia="宋体" w:cs="宋体"/>
              <w:kern w:val="2"/>
              <w:sz w:val="28"/>
              <w:szCs w:val="48"/>
              <w:lang w:val="en-US" w:eastAsia="zh-CN" w:bidi="ar-SA"/>
            </w:rPr>
            <w:fldChar w:fldCharType="end"/>
          </w:r>
        </w:p>
        <w:p w14:paraId="743D8CBE">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_Toc693 </w:instrText>
          </w:r>
          <w:r>
            <w:rPr>
              <w:rFonts w:ascii="宋体" w:hAnsi="宋体" w:eastAsia="宋体" w:cs="宋体"/>
              <w:kern w:val="2"/>
              <w:sz w:val="28"/>
              <w:szCs w:val="48"/>
              <w:lang w:val="en-US" w:eastAsia="zh-CN" w:bidi="ar-SA"/>
            </w:rPr>
            <w:fldChar w:fldCharType="separate"/>
          </w:r>
          <w:r>
            <w:rPr>
              <w:rFonts w:hint="eastAsia"/>
              <w:sz w:val="28"/>
              <w:szCs w:val="52"/>
              <w:lang w:val="zh-CN"/>
            </w:rPr>
            <w:t xml:space="preserve">第三章 </w:t>
          </w:r>
          <w:r>
            <w:rPr>
              <w:rFonts w:hint="eastAsia"/>
              <w:sz w:val="28"/>
              <w:szCs w:val="52"/>
            </w:rPr>
            <w:t>货物采购</w:t>
          </w:r>
          <w:r>
            <w:rPr>
              <w:rFonts w:hint="eastAsia"/>
              <w:sz w:val="28"/>
              <w:szCs w:val="52"/>
              <w:lang w:val="zh-CN"/>
            </w:rPr>
            <w:t>需求</w:t>
          </w:r>
          <w:r>
            <w:rPr>
              <w:sz w:val="28"/>
              <w:szCs w:val="28"/>
            </w:rPr>
            <w:tab/>
          </w:r>
          <w:r>
            <w:rPr>
              <w:sz w:val="28"/>
              <w:szCs w:val="28"/>
            </w:rPr>
            <w:fldChar w:fldCharType="begin"/>
          </w:r>
          <w:r>
            <w:rPr>
              <w:sz w:val="28"/>
              <w:szCs w:val="28"/>
            </w:rPr>
            <w:instrText xml:space="preserve"> PAGEREF _Toc693 \h </w:instrText>
          </w:r>
          <w:r>
            <w:rPr>
              <w:sz w:val="28"/>
              <w:szCs w:val="28"/>
            </w:rPr>
            <w:fldChar w:fldCharType="separate"/>
          </w:r>
          <w:r>
            <w:rPr>
              <w:sz w:val="28"/>
              <w:szCs w:val="28"/>
            </w:rPr>
            <w:t>27</w:t>
          </w:r>
          <w:r>
            <w:rPr>
              <w:sz w:val="28"/>
              <w:szCs w:val="28"/>
            </w:rPr>
            <w:fldChar w:fldCharType="end"/>
          </w:r>
          <w:r>
            <w:rPr>
              <w:rFonts w:ascii="宋体" w:hAnsi="宋体" w:eastAsia="宋体" w:cs="宋体"/>
              <w:kern w:val="2"/>
              <w:sz w:val="28"/>
              <w:szCs w:val="48"/>
              <w:lang w:val="en-US" w:eastAsia="zh-CN" w:bidi="ar-SA"/>
            </w:rPr>
            <w:fldChar w:fldCharType="end"/>
          </w:r>
        </w:p>
        <w:p w14:paraId="2A8AA928">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_Toc19078 </w:instrText>
          </w:r>
          <w:r>
            <w:rPr>
              <w:rFonts w:ascii="宋体" w:hAnsi="宋体" w:eastAsia="宋体" w:cs="宋体"/>
              <w:kern w:val="2"/>
              <w:sz w:val="28"/>
              <w:szCs w:val="48"/>
              <w:lang w:val="en-US" w:eastAsia="zh-CN" w:bidi="ar-SA"/>
            </w:rPr>
            <w:fldChar w:fldCharType="separate"/>
          </w:r>
          <w:r>
            <w:rPr>
              <w:rFonts w:hint="eastAsia"/>
              <w:sz w:val="28"/>
              <w:szCs w:val="56"/>
            </w:rPr>
            <w:t>第四章  评审</w:t>
          </w:r>
          <w:r>
            <w:rPr>
              <w:rFonts w:hint="eastAsia"/>
              <w:sz w:val="28"/>
              <w:szCs w:val="56"/>
              <w:lang w:eastAsia="zh-CN"/>
            </w:rPr>
            <w:t>办</w:t>
          </w:r>
          <w:r>
            <w:rPr>
              <w:rFonts w:hint="eastAsia"/>
              <w:sz w:val="28"/>
              <w:szCs w:val="56"/>
            </w:rPr>
            <w:t>法</w:t>
          </w:r>
          <w:r>
            <w:rPr>
              <w:sz w:val="28"/>
              <w:szCs w:val="28"/>
            </w:rPr>
            <w:tab/>
          </w:r>
          <w:r>
            <w:rPr>
              <w:sz w:val="28"/>
              <w:szCs w:val="28"/>
            </w:rPr>
            <w:fldChar w:fldCharType="begin"/>
          </w:r>
          <w:r>
            <w:rPr>
              <w:sz w:val="28"/>
              <w:szCs w:val="28"/>
            </w:rPr>
            <w:instrText xml:space="preserve"> PAGEREF _Toc19078 \h </w:instrText>
          </w:r>
          <w:r>
            <w:rPr>
              <w:sz w:val="28"/>
              <w:szCs w:val="28"/>
            </w:rPr>
            <w:fldChar w:fldCharType="separate"/>
          </w:r>
          <w:r>
            <w:rPr>
              <w:sz w:val="28"/>
              <w:szCs w:val="28"/>
            </w:rPr>
            <w:t>43</w:t>
          </w:r>
          <w:r>
            <w:rPr>
              <w:sz w:val="28"/>
              <w:szCs w:val="28"/>
            </w:rPr>
            <w:fldChar w:fldCharType="end"/>
          </w:r>
          <w:r>
            <w:rPr>
              <w:rFonts w:ascii="宋体" w:hAnsi="宋体" w:eastAsia="宋体" w:cs="宋体"/>
              <w:kern w:val="2"/>
              <w:sz w:val="28"/>
              <w:szCs w:val="48"/>
              <w:lang w:val="en-US" w:eastAsia="zh-CN" w:bidi="ar-SA"/>
            </w:rPr>
            <w:fldChar w:fldCharType="end"/>
          </w:r>
        </w:p>
        <w:p w14:paraId="4CA6214B">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_Toc20340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第五章  合同主要条款及格式（仅供参考）</w:t>
          </w:r>
          <w:r>
            <w:rPr>
              <w:sz w:val="28"/>
              <w:szCs w:val="28"/>
            </w:rPr>
            <w:tab/>
          </w:r>
          <w:r>
            <w:rPr>
              <w:sz w:val="28"/>
              <w:szCs w:val="28"/>
            </w:rPr>
            <w:fldChar w:fldCharType="begin"/>
          </w:r>
          <w:r>
            <w:rPr>
              <w:sz w:val="28"/>
              <w:szCs w:val="28"/>
            </w:rPr>
            <w:instrText xml:space="preserve"> PAGEREF _Toc20340 \h </w:instrText>
          </w:r>
          <w:r>
            <w:rPr>
              <w:sz w:val="28"/>
              <w:szCs w:val="28"/>
            </w:rPr>
            <w:fldChar w:fldCharType="separate"/>
          </w:r>
          <w:r>
            <w:rPr>
              <w:sz w:val="28"/>
              <w:szCs w:val="28"/>
            </w:rPr>
            <w:t>50</w:t>
          </w:r>
          <w:r>
            <w:rPr>
              <w:sz w:val="28"/>
              <w:szCs w:val="28"/>
            </w:rPr>
            <w:fldChar w:fldCharType="end"/>
          </w:r>
          <w:r>
            <w:rPr>
              <w:rFonts w:ascii="宋体" w:hAnsi="宋体" w:eastAsia="宋体" w:cs="宋体"/>
              <w:kern w:val="2"/>
              <w:sz w:val="28"/>
              <w:szCs w:val="48"/>
              <w:lang w:val="en-US" w:eastAsia="zh-CN" w:bidi="ar-SA"/>
            </w:rPr>
            <w:fldChar w:fldCharType="end"/>
          </w:r>
        </w:p>
        <w:p w14:paraId="6708BEC1">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_Toc13817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8"/>
            </w:rPr>
            <w:t>第六章  响应文件格式</w:t>
          </w:r>
          <w:r>
            <w:rPr>
              <w:sz w:val="28"/>
              <w:szCs w:val="28"/>
            </w:rPr>
            <w:tab/>
          </w:r>
          <w:r>
            <w:rPr>
              <w:sz w:val="28"/>
              <w:szCs w:val="28"/>
            </w:rPr>
            <w:fldChar w:fldCharType="begin"/>
          </w:r>
          <w:r>
            <w:rPr>
              <w:sz w:val="28"/>
              <w:szCs w:val="28"/>
            </w:rPr>
            <w:instrText xml:space="preserve"> PAGEREF _Toc13817 \h </w:instrText>
          </w:r>
          <w:r>
            <w:rPr>
              <w:sz w:val="28"/>
              <w:szCs w:val="28"/>
            </w:rPr>
            <w:fldChar w:fldCharType="separate"/>
          </w:r>
          <w:r>
            <w:rPr>
              <w:sz w:val="28"/>
              <w:szCs w:val="28"/>
            </w:rPr>
            <w:t>51</w:t>
          </w:r>
          <w:r>
            <w:rPr>
              <w:sz w:val="28"/>
              <w:szCs w:val="28"/>
            </w:rPr>
            <w:fldChar w:fldCharType="end"/>
          </w:r>
          <w:r>
            <w:rPr>
              <w:rFonts w:ascii="宋体" w:hAnsi="宋体" w:eastAsia="宋体" w:cs="宋体"/>
              <w:kern w:val="2"/>
              <w:sz w:val="28"/>
              <w:szCs w:val="48"/>
              <w:lang w:val="en-US" w:eastAsia="zh-CN" w:bidi="ar-SA"/>
            </w:rPr>
            <w:fldChar w:fldCharType="end"/>
          </w:r>
        </w:p>
        <w:p w14:paraId="6790A83B">
          <w:pPr>
            <w:pStyle w:val="12"/>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_Toc17192 </w:instrText>
          </w:r>
          <w:r>
            <w:rPr>
              <w:rFonts w:ascii="宋体" w:hAnsi="宋体" w:eastAsia="宋体" w:cs="宋体"/>
              <w:kern w:val="2"/>
              <w:sz w:val="28"/>
              <w:szCs w:val="48"/>
              <w:lang w:val="en-US" w:eastAsia="zh-CN" w:bidi="ar-SA"/>
            </w:rPr>
            <w:fldChar w:fldCharType="separate"/>
          </w:r>
          <w:r>
            <w:rPr>
              <w:rFonts w:hint="eastAsia"/>
              <w:sz w:val="28"/>
              <w:szCs w:val="28"/>
            </w:rPr>
            <w:t>第七章 附件</w:t>
          </w:r>
          <w:r>
            <w:rPr>
              <w:sz w:val="28"/>
              <w:szCs w:val="28"/>
            </w:rPr>
            <w:tab/>
          </w:r>
          <w:r>
            <w:rPr>
              <w:sz w:val="28"/>
              <w:szCs w:val="28"/>
            </w:rPr>
            <w:fldChar w:fldCharType="begin"/>
          </w:r>
          <w:r>
            <w:rPr>
              <w:sz w:val="28"/>
              <w:szCs w:val="28"/>
            </w:rPr>
            <w:instrText xml:space="preserve"> PAGEREF _Toc17192 \h </w:instrText>
          </w:r>
          <w:r>
            <w:rPr>
              <w:sz w:val="28"/>
              <w:szCs w:val="28"/>
            </w:rPr>
            <w:fldChar w:fldCharType="separate"/>
          </w:r>
          <w:r>
            <w:rPr>
              <w:sz w:val="28"/>
              <w:szCs w:val="28"/>
            </w:rPr>
            <w:t>76</w:t>
          </w:r>
          <w:r>
            <w:rPr>
              <w:sz w:val="28"/>
              <w:szCs w:val="28"/>
            </w:rPr>
            <w:fldChar w:fldCharType="end"/>
          </w:r>
          <w:r>
            <w:rPr>
              <w:rFonts w:ascii="宋体" w:hAnsi="宋体" w:eastAsia="宋体" w:cs="宋体"/>
              <w:kern w:val="2"/>
              <w:sz w:val="28"/>
              <w:szCs w:val="48"/>
              <w:lang w:val="en-US" w:eastAsia="zh-CN" w:bidi="ar-SA"/>
            </w:rPr>
            <w:fldChar w:fldCharType="end"/>
          </w:r>
        </w:p>
        <w:p w14:paraId="615A2688">
          <w:pPr>
            <w:pStyle w:val="12"/>
            <w:tabs>
              <w:tab w:val="right" w:leader="dot" w:pos="9780"/>
            </w:tabs>
            <w:rPr>
              <w:sz w:val="28"/>
              <w:szCs w:val="28"/>
            </w:rPr>
          </w:pPr>
        </w:p>
        <w:p w14:paraId="7C14440D">
          <w:pPr>
            <w:jc w:val="center"/>
            <w:rPr>
              <w:rFonts w:ascii="宋体" w:hAnsi="宋体" w:eastAsia="宋体" w:cs="宋体"/>
              <w:kern w:val="2"/>
              <w:sz w:val="21"/>
              <w:szCs w:val="32"/>
              <w:lang w:val="en-US" w:eastAsia="zh-CN" w:bidi="ar-SA"/>
            </w:rPr>
          </w:pPr>
          <w:r>
            <w:rPr>
              <w:rFonts w:ascii="宋体" w:hAnsi="宋体" w:eastAsia="宋体" w:cs="宋体"/>
              <w:kern w:val="2"/>
              <w:sz w:val="32"/>
              <w:szCs w:val="48"/>
              <w:lang w:val="en-US" w:eastAsia="zh-CN" w:bidi="ar-SA"/>
            </w:rPr>
            <w:fldChar w:fldCharType="end"/>
          </w:r>
        </w:p>
      </w:sdtContent>
    </w:sdt>
    <w:p w14:paraId="6113956F">
      <w:pPr>
        <w:jc w:val="center"/>
        <w:rPr>
          <w:rFonts w:ascii="宋体" w:hAnsi="宋体" w:eastAsia="宋体" w:cs="宋体"/>
          <w:kern w:val="2"/>
          <w:sz w:val="21"/>
          <w:szCs w:val="32"/>
          <w:lang w:val="en-US" w:eastAsia="zh-CN" w:bidi="ar-SA"/>
        </w:rPr>
      </w:pPr>
    </w:p>
    <w:p w14:paraId="519E3E99">
      <w:pPr>
        <w:pStyle w:val="6"/>
        <w:rPr>
          <w:rFonts w:ascii="宋体" w:hAnsi="宋体" w:cs="宋体"/>
          <w:b/>
          <w:sz w:val="32"/>
          <w:szCs w:val="32"/>
        </w:rPr>
      </w:pPr>
    </w:p>
    <w:p w14:paraId="7EC80ABE">
      <w:pPr>
        <w:pStyle w:val="16"/>
        <w:rPr>
          <w:rFonts w:ascii="宋体" w:cs="宋体"/>
          <w:b/>
          <w:sz w:val="32"/>
          <w:szCs w:val="32"/>
        </w:rPr>
      </w:pPr>
    </w:p>
    <w:p w14:paraId="6F78AAC7">
      <w:pPr>
        <w:pStyle w:val="16"/>
        <w:rPr>
          <w:rFonts w:ascii="宋体" w:cs="宋体"/>
          <w:b/>
          <w:sz w:val="32"/>
          <w:szCs w:val="32"/>
        </w:rPr>
      </w:pPr>
    </w:p>
    <w:p w14:paraId="6F4BC781">
      <w:pPr>
        <w:pStyle w:val="16"/>
        <w:rPr>
          <w:rFonts w:ascii="宋体" w:cs="宋体"/>
          <w:b/>
          <w:sz w:val="32"/>
          <w:szCs w:val="32"/>
        </w:rPr>
      </w:pPr>
    </w:p>
    <w:p w14:paraId="1E6BA9BB">
      <w:pPr>
        <w:pStyle w:val="16"/>
        <w:rPr>
          <w:rFonts w:ascii="宋体" w:cs="宋体"/>
          <w:b/>
          <w:sz w:val="32"/>
          <w:szCs w:val="32"/>
        </w:rPr>
      </w:pPr>
    </w:p>
    <w:p w14:paraId="11A54B44">
      <w:pPr>
        <w:pStyle w:val="16"/>
        <w:rPr>
          <w:rFonts w:ascii="宋体" w:cs="宋体"/>
          <w:b/>
          <w:sz w:val="32"/>
          <w:szCs w:val="32"/>
        </w:rPr>
      </w:pPr>
    </w:p>
    <w:p w14:paraId="635A40AD">
      <w:pPr>
        <w:pStyle w:val="16"/>
        <w:rPr>
          <w:rFonts w:ascii="宋体" w:cs="宋体"/>
          <w:b/>
          <w:sz w:val="32"/>
          <w:szCs w:val="32"/>
        </w:rPr>
      </w:pPr>
    </w:p>
    <w:p w14:paraId="0EC9022F">
      <w:pPr>
        <w:pStyle w:val="16"/>
        <w:rPr>
          <w:rFonts w:ascii="宋体" w:cs="宋体"/>
          <w:b/>
          <w:sz w:val="32"/>
          <w:szCs w:val="32"/>
        </w:rPr>
      </w:pPr>
    </w:p>
    <w:p w14:paraId="15F7B5A5">
      <w:pPr>
        <w:pStyle w:val="16"/>
        <w:rPr>
          <w:rFonts w:ascii="宋体" w:cs="宋体"/>
          <w:b/>
          <w:sz w:val="32"/>
          <w:szCs w:val="32"/>
        </w:rPr>
      </w:pPr>
    </w:p>
    <w:p w14:paraId="2491B3F4">
      <w:pPr>
        <w:pStyle w:val="16"/>
        <w:rPr>
          <w:rFonts w:ascii="宋体" w:cs="宋体"/>
          <w:b/>
          <w:sz w:val="32"/>
          <w:szCs w:val="32"/>
        </w:rPr>
      </w:pPr>
    </w:p>
    <w:p w14:paraId="7BAC68C6">
      <w:pPr>
        <w:pStyle w:val="16"/>
        <w:rPr>
          <w:rFonts w:ascii="宋体" w:cs="宋体"/>
          <w:b/>
          <w:sz w:val="32"/>
          <w:szCs w:val="32"/>
        </w:rPr>
      </w:pPr>
    </w:p>
    <w:p w14:paraId="4D794396">
      <w:pPr>
        <w:pStyle w:val="16"/>
        <w:rPr>
          <w:rFonts w:ascii="宋体" w:cs="宋体"/>
          <w:b/>
          <w:sz w:val="32"/>
          <w:szCs w:val="32"/>
        </w:rPr>
      </w:pPr>
    </w:p>
    <w:p w14:paraId="1D2604D2">
      <w:pPr>
        <w:pStyle w:val="16"/>
        <w:rPr>
          <w:rFonts w:ascii="宋体" w:cs="宋体"/>
          <w:b/>
          <w:sz w:val="32"/>
          <w:szCs w:val="32"/>
        </w:rPr>
      </w:pPr>
    </w:p>
    <w:p w14:paraId="1BA0E818">
      <w:pPr>
        <w:pStyle w:val="16"/>
        <w:rPr>
          <w:rFonts w:ascii="宋体" w:cs="宋体"/>
          <w:b/>
          <w:sz w:val="32"/>
          <w:szCs w:val="32"/>
        </w:rPr>
      </w:pPr>
    </w:p>
    <w:p w14:paraId="6197BA9B">
      <w:pPr>
        <w:pStyle w:val="16"/>
        <w:rPr>
          <w:rFonts w:ascii="宋体" w:cs="宋体"/>
          <w:b/>
          <w:sz w:val="32"/>
          <w:szCs w:val="32"/>
        </w:rPr>
      </w:pPr>
    </w:p>
    <w:p w14:paraId="11D1A95B">
      <w:pPr>
        <w:jc w:val="center"/>
        <w:rPr>
          <w:rFonts w:ascii="宋体" w:hAnsi="宋体" w:cs="宋体"/>
          <w:b/>
          <w:sz w:val="32"/>
          <w:szCs w:val="32"/>
        </w:rPr>
        <w:sectPr>
          <w:headerReference r:id="rId6" w:type="default"/>
          <w:footerReference r:id="rId7" w:type="default"/>
          <w:pgSz w:w="11906" w:h="16838"/>
          <w:pgMar w:top="1134" w:right="992" w:bottom="1134" w:left="1134" w:header="851" w:footer="992" w:gutter="0"/>
          <w:pgNumType w:start="1"/>
          <w:cols w:space="720" w:num="1"/>
          <w:docGrid w:linePitch="312" w:charSpace="0"/>
        </w:sectPr>
      </w:pPr>
    </w:p>
    <w:p w14:paraId="03F60F61">
      <w:pPr>
        <w:pStyle w:val="2"/>
        <w:bidi w:val="0"/>
        <w:spacing w:line="240" w:lineRule="auto"/>
        <w:jc w:val="center"/>
        <w:rPr>
          <w:sz w:val="36"/>
          <w:szCs w:val="36"/>
        </w:rPr>
      </w:pPr>
      <w:bookmarkStart w:id="0" w:name="_Toc4175"/>
      <w:r>
        <w:rPr>
          <w:rFonts w:hint="eastAsia"/>
          <w:sz w:val="36"/>
          <w:szCs w:val="36"/>
        </w:rPr>
        <w:t>第一章  竞争性谈判公告</w:t>
      </w:r>
      <w:bookmarkEnd w:id="0"/>
    </w:p>
    <w:tbl>
      <w:tblPr>
        <w:tblStyle w:val="18"/>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6813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421D984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项目概况：</w:t>
            </w:r>
          </w:p>
          <w:p w14:paraId="3374C19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cs="宋体"/>
                <w:i w:val="0"/>
                <w:iCs w:val="0"/>
                <w:sz w:val="24"/>
                <w:szCs w:val="24"/>
                <w:highlight w:val="none"/>
                <w:lang w:val="en-US" w:eastAsia="zh-CN"/>
              </w:rPr>
              <w:t>吉林司法警官职业学院常态化智慧教室建设项目</w:t>
            </w:r>
            <w:r>
              <w:rPr>
                <w:rFonts w:hint="eastAsia" w:ascii="宋体" w:hAnsi="宋体" w:eastAsia="宋体" w:cs="宋体"/>
                <w:i w:val="0"/>
                <w:iCs w:val="0"/>
                <w:sz w:val="24"/>
                <w:szCs w:val="24"/>
                <w:highlight w:val="none"/>
                <w:lang w:val="en-US" w:eastAsia="zh-CN"/>
              </w:rPr>
              <w:t>的潜在供应商应在“政采云”平台（https://www.zcygov.cn/）获取谈判文件，并于2025年</w:t>
            </w:r>
            <w:r>
              <w:rPr>
                <w:rFonts w:hint="eastAsia" w:ascii="宋体" w:hAnsi="宋体" w:cs="宋体"/>
                <w:i w:val="0"/>
                <w:iCs w:val="0"/>
                <w:sz w:val="24"/>
                <w:szCs w:val="24"/>
                <w:highlight w:val="none"/>
                <w:lang w:val="en-US" w:eastAsia="zh-CN"/>
              </w:rPr>
              <w:t>06</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26</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16</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30</w:t>
            </w:r>
            <w:r>
              <w:rPr>
                <w:rFonts w:hint="eastAsia" w:ascii="宋体" w:hAnsi="宋体" w:eastAsia="宋体" w:cs="宋体"/>
                <w:i w:val="0"/>
                <w:iCs w:val="0"/>
                <w:sz w:val="24"/>
                <w:szCs w:val="24"/>
                <w:highlight w:val="none"/>
                <w:lang w:val="en-US" w:eastAsia="zh-CN"/>
              </w:rPr>
              <w:t>分（北京时间）前提交响应文件。</w:t>
            </w:r>
          </w:p>
        </w:tc>
      </w:tr>
    </w:tbl>
    <w:p w14:paraId="546D23F9">
      <w:pPr>
        <w:widowControl/>
        <w:spacing w:line="360" w:lineRule="auto"/>
        <w:rPr>
          <w:rFonts w:ascii="宋体" w:hAnsi="宋体" w:cs="宋体"/>
          <w:b/>
          <w:kern w:val="0"/>
          <w:sz w:val="24"/>
          <w:szCs w:val="24"/>
        </w:rPr>
      </w:pPr>
      <w:r>
        <w:rPr>
          <w:rFonts w:hint="eastAsia" w:ascii="宋体" w:hAnsi="宋体" w:cs="宋体"/>
          <w:b/>
          <w:kern w:val="0"/>
          <w:sz w:val="24"/>
          <w:szCs w:val="24"/>
        </w:rPr>
        <w:t>一、项目基本情况：</w:t>
      </w:r>
    </w:p>
    <w:p w14:paraId="123FAE7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1.采购编号：采购计划-[2025]-07114号-JLSB2025-107C-H；</w:t>
      </w:r>
    </w:p>
    <w:p w14:paraId="25DF72F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2.项目名称：</w:t>
      </w:r>
      <w:r>
        <w:rPr>
          <w:rFonts w:hint="eastAsia" w:ascii="宋体" w:hAnsi="宋体" w:cs="宋体"/>
          <w:i w:val="0"/>
          <w:iCs w:val="0"/>
          <w:sz w:val="24"/>
          <w:szCs w:val="24"/>
          <w:highlight w:val="none"/>
          <w:lang w:val="en-US" w:eastAsia="zh-CN"/>
        </w:rPr>
        <w:t>吉林司法警官职业学院常态化智慧教室建设项目</w:t>
      </w:r>
      <w:r>
        <w:rPr>
          <w:rFonts w:hint="eastAsia" w:ascii="宋体" w:hAnsi="宋体" w:eastAsia="宋体" w:cs="宋体"/>
          <w:i w:val="0"/>
          <w:iCs w:val="0"/>
          <w:sz w:val="24"/>
          <w:szCs w:val="24"/>
          <w:highlight w:val="none"/>
          <w:lang w:val="en-US" w:eastAsia="zh-CN"/>
        </w:rPr>
        <w:t>；</w:t>
      </w:r>
    </w:p>
    <w:p w14:paraId="506CDD0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3.采购方式：竞争性谈判；</w:t>
      </w:r>
    </w:p>
    <w:p w14:paraId="5D120FD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4.预算金额（最高限价）：1</w:t>
      </w:r>
      <w:r>
        <w:rPr>
          <w:rFonts w:hint="eastAsia" w:ascii="宋体" w:hAnsi="宋体" w:cs="宋体"/>
          <w:i w:val="0"/>
          <w:iCs w:val="0"/>
          <w:sz w:val="24"/>
          <w:szCs w:val="24"/>
          <w:highlight w:val="none"/>
          <w:lang w:val="en-US" w:eastAsia="zh-CN"/>
        </w:rPr>
        <w:t>39</w:t>
      </w:r>
      <w:r>
        <w:rPr>
          <w:rFonts w:hint="eastAsia" w:ascii="宋体" w:hAnsi="宋体" w:eastAsia="宋体" w:cs="宋体"/>
          <w:i w:val="0"/>
          <w:iCs w:val="0"/>
          <w:sz w:val="24"/>
          <w:szCs w:val="24"/>
          <w:highlight w:val="none"/>
          <w:lang w:val="en-US" w:eastAsia="zh-CN"/>
        </w:rPr>
        <w:t>万元；</w:t>
      </w:r>
    </w:p>
    <w:p w14:paraId="645A288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i w:val="0"/>
          <w:iCs w:val="0"/>
          <w:sz w:val="24"/>
          <w:szCs w:val="24"/>
          <w:highlight w:val="none"/>
          <w:lang w:val="en-US" w:eastAsia="zh-CN"/>
        </w:rPr>
        <w:t>5.采购内容：</w:t>
      </w:r>
      <w:r>
        <w:rPr>
          <w:rFonts w:hint="eastAsia" w:ascii="宋体" w:hAnsi="宋体" w:cs="宋体"/>
          <w:i w:val="0"/>
          <w:iCs w:val="0"/>
          <w:sz w:val="24"/>
          <w:szCs w:val="24"/>
          <w:highlight w:val="none"/>
          <w:lang w:val="en-US" w:eastAsia="zh-CN"/>
        </w:rPr>
        <w:t>吉林司法警官职业学院常态化智慧教室建设项目</w:t>
      </w:r>
      <w:r>
        <w:rPr>
          <w:rFonts w:hint="eastAsia" w:ascii="宋体" w:hAnsi="宋体" w:eastAsia="宋体" w:cs="宋体"/>
          <w:i w:val="0"/>
          <w:iCs w:val="0"/>
          <w:sz w:val="24"/>
          <w:szCs w:val="24"/>
          <w:highlight w:val="none"/>
          <w:lang w:val="en-US" w:eastAsia="zh-CN"/>
        </w:rPr>
        <w:t>(详见第三章采购需求）；</w:t>
      </w:r>
    </w:p>
    <w:p w14:paraId="4AACF4CD">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bookmarkStart w:id="1" w:name="获取委托代理协议相应内容"/>
      <w:bookmarkEnd w:id="1"/>
      <w:r>
        <w:rPr>
          <w:rFonts w:hint="eastAsia" w:ascii="宋体" w:hAnsi="宋体" w:eastAsia="宋体" w:cs="宋体"/>
          <w:bCs/>
          <w:kern w:val="0"/>
          <w:sz w:val="24"/>
          <w:szCs w:val="24"/>
          <w:highlight w:val="none"/>
          <w:lang w:val="en-US" w:eastAsia="zh-CN"/>
        </w:rPr>
        <w:t>合同履行期限(交货期限）</w:t>
      </w:r>
      <w:r>
        <w:rPr>
          <w:rFonts w:hint="eastAsia" w:ascii="宋体" w:hAnsi="宋体" w:cs="宋体"/>
          <w:bCs/>
          <w:kern w:val="0"/>
          <w:sz w:val="24"/>
          <w:szCs w:val="24"/>
          <w:highlight w:val="none"/>
          <w:lang w:val="en-US" w:eastAsia="zh-CN"/>
        </w:rPr>
        <w:t>：</w:t>
      </w:r>
      <w:r>
        <w:rPr>
          <w:rFonts w:hint="eastAsia" w:ascii="宋体" w:hAnsi="宋体" w:eastAsia="宋体" w:cs="宋体"/>
          <w:bCs/>
          <w:kern w:val="0"/>
          <w:sz w:val="24"/>
          <w:szCs w:val="24"/>
          <w:highlight w:val="none"/>
        </w:rPr>
        <w:t>自合同签订之日起</w:t>
      </w:r>
      <w:r>
        <w:rPr>
          <w:rFonts w:hint="eastAsia" w:ascii="宋体" w:hAnsi="宋体" w:cs="宋体"/>
          <w:bCs/>
          <w:kern w:val="0"/>
          <w:sz w:val="24"/>
          <w:szCs w:val="24"/>
          <w:highlight w:val="none"/>
          <w:lang w:val="en-US" w:eastAsia="zh-CN"/>
        </w:rPr>
        <w:t>30</w:t>
      </w:r>
      <w:r>
        <w:rPr>
          <w:rFonts w:hint="eastAsia" w:ascii="宋体" w:hAnsi="宋体" w:eastAsia="宋体" w:cs="宋体"/>
          <w:bCs/>
          <w:kern w:val="0"/>
          <w:sz w:val="24"/>
          <w:szCs w:val="24"/>
          <w:highlight w:val="none"/>
          <w:lang w:val="zh-CN"/>
        </w:rPr>
        <w:t>天内完成</w:t>
      </w:r>
      <w:r>
        <w:rPr>
          <w:rFonts w:hint="eastAsia" w:ascii="宋体" w:hAnsi="宋体" w:cs="宋体"/>
          <w:bCs/>
          <w:kern w:val="0"/>
          <w:sz w:val="24"/>
          <w:szCs w:val="24"/>
          <w:highlight w:val="none"/>
          <w:lang w:val="zh-CN"/>
        </w:rPr>
        <w:t>；</w:t>
      </w:r>
    </w:p>
    <w:p w14:paraId="22C9757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7.</w:t>
      </w:r>
      <w:r>
        <w:rPr>
          <w:rFonts w:hint="eastAsia" w:ascii="宋体" w:hAnsi="宋体" w:eastAsia="宋体" w:cs="宋体"/>
          <w:i w:val="0"/>
          <w:iCs w:val="0"/>
          <w:sz w:val="24"/>
          <w:szCs w:val="24"/>
          <w:highlight w:val="none"/>
        </w:rPr>
        <w:t>供货地点：吉林司法警官职业学院</w:t>
      </w:r>
      <w:r>
        <w:rPr>
          <w:rFonts w:hint="eastAsia" w:ascii="宋体" w:hAnsi="宋体" w:eastAsia="宋体" w:cs="宋体"/>
          <w:i w:val="0"/>
          <w:iCs w:val="0"/>
          <w:sz w:val="24"/>
          <w:szCs w:val="24"/>
          <w:highlight w:val="none"/>
          <w:lang w:eastAsia="zh-CN"/>
        </w:rPr>
        <w:t>；</w:t>
      </w:r>
    </w:p>
    <w:p w14:paraId="2BEC183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8.</w:t>
      </w:r>
      <w:r>
        <w:rPr>
          <w:rFonts w:hint="eastAsia" w:ascii="宋体" w:hAnsi="宋体" w:eastAsia="宋体" w:cs="宋体"/>
          <w:i w:val="0"/>
          <w:iCs w:val="0"/>
          <w:sz w:val="24"/>
          <w:szCs w:val="24"/>
          <w:highlight w:val="none"/>
        </w:rPr>
        <w:t>质量要求：符合国家及相关行业合格标准</w:t>
      </w:r>
      <w:r>
        <w:rPr>
          <w:rFonts w:hint="eastAsia" w:ascii="宋体" w:hAnsi="宋体" w:eastAsia="宋体" w:cs="宋体"/>
          <w:i w:val="0"/>
          <w:iCs w:val="0"/>
          <w:sz w:val="24"/>
          <w:szCs w:val="24"/>
          <w:highlight w:val="none"/>
          <w:lang w:eastAsia="zh-CN"/>
        </w:rPr>
        <w:t>；</w:t>
      </w:r>
    </w:p>
    <w:p w14:paraId="4C9C2DD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9.本项目不接受联合体投标。</w:t>
      </w:r>
    </w:p>
    <w:p w14:paraId="35C3EB52">
      <w:pPr>
        <w:spacing w:line="360" w:lineRule="auto"/>
        <w:rPr>
          <w:rFonts w:ascii="宋体" w:hAnsi="宋体" w:cs="宋体"/>
          <w:b/>
          <w:sz w:val="24"/>
          <w:szCs w:val="24"/>
        </w:rPr>
      </w:pPr>
      <w:r>
        <w:rPr>
          <w:rFonts w:hint="eastAsia" w:ascii="宋体" w:hAnsi="宋体" w:cs="宋体"/>
          <w:b/>
          <w:kern w:val="0"/>
          <w:sz w:val="24"/>
          <w:szCs w:val="24"/>
        </w:rPr>
        <w:t>二、申请人的资格要求：</w:t>
      </w:r>
    </w:p>
    <w:p w14:paraId="43CCD56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rPr>
      </w:pPr>
      <w:bookmarkStart w:id="2" w:name="_bookmark3"/>
      <w:bookmarkEnd w:id="2"/>
      <w:r>
        <w:rPr>
          <w:rFonts w:hint="eastAsia" w:ascii="宋体" w:hAnsi="宋体" w:eastAsia="宋体" w:cs="宋体"/>
          <w:color w:val="000000"/>
          <w:kern w:val="0"/>
          <w:sz w:val="24"/>
          <w:szCs w:val="24"/>
          <w:lang w:val="en-US" w:eastAsia="zh-CN" w:bidi="ar"/>
        </w:rPr>
        <w:t>1.满足《中华人民共和国政府采购法》第二十二条规定；</w:t>
      </w:r>
    </w:p>
    <w:p w14:paraId="78CD2DF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i w:val="0"/>
          <w:iCs w:val="0"/>
          <w:sz w:val="24"/>
          <w:szCs w:val="24"/>
          <w:highlight w:val="none"/>
        </w:rPr>
        <w:t>落实政府采购政策需满足的资格要求：本项目非专门面向中小企业</w:t>
      </w:r>
      <w:r>
        <w:rPr>
          <w:rFonts w:hint="eastAsia" w:ascii="宋体" w:hAnsi="宋体" w:eastAsia="宋体" w:cs="宋体"/>
          <w:i w:val="0"/>
          <w:iCs w:val="0"/>
          <w:sz w:val="24"/>
          <w:szCs w:val="24"/>
          <w:highlight w:val="none"/>
          <w:lang w:val="en-US" w:eastAsia="zh-CN"/>
        </w:rPr>
        <w:t xml:space="preserve">采购； </w:t>
      </w:r>
    </w:p>
    <w:p w14:paraId="2F35A90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rFonts w:hint="eastAsia" w:ascii="宋体" w:hAnsi="宋体" w:eastAsia="宋体" w:cs="宋体"/>
          <w:i w:val="0"/>
          <w:i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i w:val="0"/>
          <w:iCs w:val="0"/>
          <w:sz w:val="24"/>
          <w:szCs w:val="24"/>
          <w:highlight w:val="none"/>
          <w:lang w:val="en-US" w:eastAsia="zh-CN"/>
        </w:rPr>
        <w:t>本项目的特定资格要求：</w:t>
      </w:r>
    </w:p>
    <w:p w14:paraId="6B3849D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highlight w:val="none"/>
        </w:rPr>
      </w:pPr>
      <w:r>
        <w:rPr>
          <w:rFonts w:hint="eastAsia" w:ascii="宋体" w:hAnsi="宋体" w:cs="宋体"/>
          <w:i w:val="0"/>
          <w:iCs w:val="0"/>
          <w:sz w:val="24"/>
          <w:szCs w:val="24"/>
          <w:highlight w:val="none"/>
          <w:lang w:val="en-US" w:eastAsia="zh-CN"/>
        </w:rPr>
        <w:t>3.1</w:t>
      </w:r>
      <w:r>
        <w:rPr>
          <w:rFonts w:hint="eastAsia" w:ascii="宋体" w:hAnsi="宋体" w:eastAsia="宋体" w:cs="宋体"/>
          <w:i w:val="0"/>
          <w:iCs w:val="0"/>
          <w:sz w:val="24"/>
          <w:szCs w:val="24"/>
          <w:highlight w:val="none"/>
          <w:lang w:val="en-US" w:eastAsia="zh-CN"/>
        </w:rPr>
        <w:t>供应商在中华人民共和国境内注册，能够独立承担民事责任的法人或其他组织形式，具备有效的营业执照；并在人员、设备、资金等方面具有承担本项目的能力。</w:t>
      </w:r>
    </w:p>
    <w:p w14:paraId="3A67F5B3">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3.2</w:t>
      </w:r>
      <w:r>
        <w:rPr>
          <w:rFonts w:hint="eastAsia" w:ascii="宋体" w:hAnsi="宋体" w:eastAsia="宋体" w:cs="宋体"/>
          <w:i w:val="0"/>
          <w:iCs w:val="0"/>
          <w:sz w:val="24"/>
          <w:szCs w:val="24"/>
          <w:highlight w:val="none"/>
          <w:lang w:val="en-US" w:eastAsia="zh-CN"/>
        </w:rPr>
        <w:t>近三年财务状况良好，提供由专业审计机构出具的</w:t>
      </w:r>
      <w:r>
        <w:rPr>
          <w:rFonts w:hint="eastAsia" w:ascii="宋体" w:hAnsi="宋体" w:eastAsia="宋体" w:cs="宋体"/>
          <w:i w:val="0"/>
          <w:iCs w:val="0"/>
          <w:sz w:val="24"/>
          <w:szCs w:val="24"/>
          <w:highlight w:val="none"/>
        </w:rPr>
        <w:t>近三年(20</w:t>
      </w:r>
      <w:r>
        <w:rPr>
          <w:rFonts w:hint="eastAsia" w:ascii="宋体" w:hAnsi="宋体" w:eastAsia="宋体" w:cs="宋体"/>
          <w:i w:val="0"/>
          <w:iCs w:val="0"/>
          <w:sz w:val="24"/>
          <w:szCs w:val="24"/>
          <w:highlight w:val="none"/>
          <w:lang w:val="en-US" w:eastAsia="zh-CN"/>
        </w:rPr>
        <w:t>22</w:t>
      </w:r>
      <w:r>
        <w:rPr>
          <w:rFonts w:hint="eastAsia" w:ascii="宋体" w:hAnsi="宋体" w:eastAsia="宋体" w:cs="宋体"/>
          <w:i w:val="0"/>
          <w:iCs w:val="0"/>
          <w:sz w:val="24"/>
          <w:szCs w:val="24"/>
          <w:highlight w:val="none"/>
        </w:rPr>
        <w:t>-202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年)的财务审计报告(新成立不足三年的企业提供自成立之日起至202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年的财务审计报告,若供应商为202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w:t>
      </w:r>
      <w:r>
        <w:rPr>
          <w:rFonts w:hint="eastAsia" w:ascii="宋体" w:hAnsi="宋体" w:eastAsia="宋体" w:cs="宋体"/>
          <w:i w:val="0"/>
          <w:iCs w:val="0"/>
          <w:sz w:val="24"/>
          <w:szCs w:val="24"/>
          <w:highlight w:val="none"/>
          <w:lang w:val="en-US" w:eastAsia="zh-CN"/>
        </w:rPr>
        <w:t>12</w:t>
      </w:r>
      <w:r>
        <w:rPr>
          <w:rFonts w:hint="eastAsia" w:ascii="宋体" w:hAnsi="宋体" w:eastAsia="宋体" w:cs="宋体"/>
          <w:i w:val="0"/>
          <w:iCs w:val="0"/>
          <w:sz w:val="24"/>
          <w:szCs w:val="24"/>
          <w:highlight w:val="none"/>
        </w:rPr>
        <w:t>月</w:t>
      </w:r>
      <w:r>
        <w:rPr>
          <w:rFonts w:hint="eastAsia" w:ascii="宋体" w:hAnsi="宋体" w:eastAsia="宋体" w:cs="宋体"/>
          <w:i w:val="0"/>
          <w:iCs w:val="0"/>
          <w:sz w:val="24"/>
          <w:szCs w:val="24"/>
          <w:highlight w:val="none"/>
          <w:lang w:val="en-US" w:eastAsia="zh-CN"/>
        </w:rPr>
        <w:t>3</w:t>
      </w:r>
      <w:r>
        <w:rPr>
          <w:rFonts w:hint="eastAsia" w:ascii="宋体" w:hAnsi="宋体" w:eastAsia="宋体" w:cs="宋体"/>
          <w:i w:val="0"/>
          <w:iCs w:val="0"/>
          <w:sz w:val="24"/>
          <w:szCs w:val="24"/>
          <w:highlight w:val="none"/>
        </w:rPr>
        <w:t>1日及以后注册成立的公司，</w:t>
      </w:r>
      <w:r>
        <w:rPr>
          <w:rFonts w:hint="eastAsia" w:ascii="宋体" w:hAnsi="宋体" w:eastAsia="宋体" w:cs="宋体"/>
          <w:i w:val="0"/>
          <w:iCs w:val="0"/>
          <w:sz w:val="24"/>
          <w:szCs w:val="24"/>
          <w:highlight w:val="none"/>
          <w:lang w:val="en-US" w:eastAsia="zh-CN"/>
        </w:rPr>
        <w:t>提供</w:t>
      </w:r>
      <w:r>
        <w:rPr>
          <w:rFonts w:hint="eastAsia" w:ascii="宋体" w:hAnsi="宋体" w:eastAsia="宋体" w:cs="宋体"/>
          <w:i w:val="0"/>
          <w:iCs w:val="0"/>
          <w:sz w:val="24"/>
          <w:szCs w:val="24"/>
          <w:highlight w:val="none"/>
        </w:rPr>
        <w:t>财务状况良好承诺书)</w:t>
      </w:r>
      <w:r>
        <w:rPr>
          <w:rFonts w:hint="eastAsia" w:ascii="宋体" w:hAnsi="宋体" w:cs="宋体"/>
          <w:i w:val="0"/>
          <w:iCs w:val="0"/>
          <w:sz w:val="24"/>
          <w:szCs w:val="24"/>
          <w:highlight w:val="none"/>
          <w:lang w:val="en-US" w:eastAsia="zh-CN"/>
        </w:rPr>
        <w:t>。</w:t>
      </w:r>
    </w:p>
    <w:p w14:paraId="348B8B33">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3.3</w:t>
      </w:r>
      <w:r>
        <w:rPr>
          <w:rFonts w:hint="eastAsia" w:ascii="宋体" w:hAnsi="宋体" w:eastAsia="宋体" w:cs="宋体"/>
          <w:i w:val="0"/>
          <w:iCs w:val="0"/>
          <w:sz w:val="24"/>
          <w:szCs w:val="24"/>
          <w:highlight w:val="none"/>
          <w:lang w:val="en-US" w:eastAsia="zh-CN"/>
        </w:rPr>
        <w:t>信誉要求</w:t>
      </w:r>
    </w:p>
    <w:p w14:paraId="1F3E3C9D">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（1）不接受列入政府取消投标资格记录期间的企业或个人参加投标；参加政府采购活动前三年内，在经营活动中没有重大违法记录。</w:t>
      </w:r>
    </w:p>
    <w:p w14:paraId="37DA589F">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7EACD57F">
      <w:pPr>
        <w:widowControl/>
        <w:spacing w:line="360" w:lineRule="auto"/>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6B3FCC7A">
      <w:pPr>
        <w:widowControl/>
        <w:spacing w:line="360" w:lineRule="auto"/>
        <w:rPr>
          <w:rFonts w:ascii="宋体" w:hAnsi="宋体" w:cs="宋体"/>
          <w:bCs/>
          <w:sz w:val="24"/>
          <w:szCs w:val="24"/>
          <w:highlight w:val="none"/>
        </w:rPr>
      </w:pPr>
      <w:r>
        <w:rPr>
          <w:rFonts w:hint="eastAsia" w:ascii="宋体" w:hAnsi="宋体" w:cs="宋体"/>
          <w:b/>
          <w:sz w:val="24"/>
          <w:szCs w:val="24"/>
        </w:rPr>
        <w:t>三、获取谈判</w:t>
      </w:r>
      <w:r>
        <w:rPr>
          <w:rFonts w:hint="eastAsia" w:ascii="宋体" w:hAnsi="宋体" w:cs="宋体"/>
          <w:b/>
          <w:sz w:val="24"/>
          <w:szCs w:val="24"/>
          <w:highlight w:val="none"/>
        </w:rPr>
        <w:t>文件:</w:t>
      </w:r>
    </w:p>
    <w:p w14:paraId="1D4F1822">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06</w:t>
      </w:r>
      <w:r>
        <w:rPr>
          <w:rFonts w:hint="eastAsia" w:ascii="宋体" w:hAnsi="宋体" w:eastAsia="宋体" w:cs="宋体"/>
          <w:color w:val="auto"/>
          <w:highlight w:val="none"/>
          <w:lang w:eastAsia="zh-CN"/>
        </w:rPr>
        <w:t>月</w:t>
      </w:r>
      <w:r>
        <w:rPr>
          <w:rFonts w:hint="eastAsia" w:cs="宋体"/>
          <w:color w:val="auto"/>
          <w:highlight w:val="none"/>
          <w:lang w:val="en-US" w:eastAsia="zh-CN"/>
        </w:rPr>
        <w:t>17</w:t>
      </w:r>
      <w:r>
        <w:rPr>
          <w:rFonts w:hint="eastAsia" w:ascii="宋体" w:hAnsi="宋体" w:eastAsia="宋体" w:cs="宋体"/>
          <w:color w:val="auto"/>
          <w:highlight w:val="none"/>
          <w:lang w:eastAsia="zh-CN"/>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06</w:t>
      </w:r>
      <w:r>
        <w:rPr>
          <w:rFonts w:hint="eastAsia" w:ascii="宋体" w:hAnsi="宋体" w:eastAsia="宋体" w:cs="宋体"/>
          <w:color w:val="auto"/>
          <w:highlight w:val="none"/>
          <w:lang w:eastAsia="zh-CN"/>
        </w:rPr>
        <w:t>月</w:t>
      </w:r>
      <w:r>
        <w:rPr>
          <w:rFonts w:hint="eastAsia" w:cs="宋体"/>
          <w:color w:val="auto"/>
          <w:highlight w:val="none"/>
          <w:lang w:val="en-US" w:eastAsia="zh-CN"/>
        </w:rPr>
        <w:t>19</w:t>
      </w:r>
      <w:r>
        <w:rPr>
          <w:rFonts w:hint="eastAsia" w:ascii="宋体" w:hAnsi="宋体" w:eastAsia="宋体" w:cs="宋体"/>
          <w:color w:val="auto"/>
          <w:highlight w:val="none"/>
          <w:lang w:eastAsia="zh-CN"/>
        </w:rPr>
        <w:t>日</w:t>
      </w:r>
    </w:p>
    <w:p w14:paraId="58A36287">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地点</w:t>
      </w:r>
      <w:r>
        <w:rPr>
          <w:rFonts w:hint="eastAsia" w:ascii="宋体" w:hAnsi="宋体" w:eastAsia="宋体" w:cs="宋体"/>
          <w:color w:val="auto"/>
          <w:lang w:eastAsia="zh-CN"/>
        </w:rPr>
        <w:t>：政采云平台（https://www.zcygov.cn/）线上获取</w:t>
      </w:r>
    </w:p>
    <w:p w14:paraId="49FF3146">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eastAsia="宋体" w:cs="宋体"/>
          <w:color w:val="auto"/>
          <w:lang w:val="en-US" w:eastAsia="zh-CN"/>
        </w:rPr>
        <w:t>供应商登录政采云平台https://www.zcygov.cn/在线申请获取采购文件（进入“项目采购”应用，在获取采购文件菜单中选择项目，申请获取采购文件）其他途径获取的谈判文件开标时一律按无效投标处理。</w:t>
      </w:r>
    </w:p>
    <w:p w14:paraId="10DECDFF">
      <w:pPr>
        <w:pStyle w:val="15"/>
        <w:adjustRightInd w:val="0"/>
        <w:snapToGrid w:val="0"/>
        <w:spacing w:before="150" w:beforeAutospacing="0" w:after="0" w:afterAutospacing="0" w:line="360" w:lineRule="auto"/>
        <w:ind w:firstLine="480" w:firstLineChars="200"/>
        <w:jc w:val="both"/>
        <w:rPr>
          <w:rFonts w:ascii="宋体" w:hAnsi="宋体" w:cs="宋体"/>
          <w:sz w:val="24"/>
          <w:szCs w:val="24"/>
        </w:rPr>
      </w:pPr>
      <w:r>
        <w:rPr>
          <w:rFonts w:hint="eastAsia" w:ascii="宋体" w:hAnsi="宋体" w:eastAsia="宋体" w:cs="宋体"/>
          <w:color w:val="auto"/>
        </w:rPr>
        <w:t>售价：</w:t>
      </w:r>
      <w:r>
        <w:rPr>
          <w:rFonts w:hint="eastAsia" w:ascii="宋体" w:hAnsi="宋体" w:eastAsia="宋体" w:cs="宋体"/>
          <w:color w:val="auto"/>
          <w:spacing w:val="0"/>
          <w:kern w:val="0"/>
          <w:sz w:val="24"/>
          <w:szCs w:val="24"/>
          <w:lang w:val="en-US" w:eastAsia="zh-CN" w:bidi="ar-SA"/>
        </w:rPr>
        <w:t>¥</w:t>
      </w:r>
      <w:r>
        <w:rPr>
          <w:rFonts w:hint="eastAsia" w:ascii="宋体" w:hAnsi="宋体" w:eastAsia="宋体" w:cs="宋体"/>
          <w:color w:val="auto"/>
          <w:sz w:val="24"/>
          <w:szCs w:val="24"/>
          <w:highlight w:val="none"/>
        </w:rPr>
        <w:t>0.0元</w:t>
      </w:r>
      <w:r>
        <w:rPr>
          <w:rFonts w:hint="eastAsia" w:ascii="宋体" w:hAnsi="宋体" w:cs="宋体"/>
          <w:bCs/>
          <w:snapToGrid w:val="0"/>
          <w:sz w:val="24"/>
          <w:szCs w:val="24"/>
        </w:rPr>
        <w:tab/>
      </w:r>
    </w:p>
    <w:p w14:paraId="66C2A4EE">
      <w:pPr>
        <w:widowControl/>
        <w:spacing w:line="360" w:lineRule="auto"/>
        <w:rPr>
          <w:rFonts w:ascii="宋体" w:hAnsi="宋体" w:cs="宋体"/>
          <w:b/>
          <w:bCs/>
          <w:sz w:val="24"/>
          <w:szCs w:val="24"/>
        </w:rPr>
      </w:pPr>
      <w:r>
        <w:rPr>
          <w:rFonts w:hint="eastAsia" w:ascii="宋体" w:hAnsi="宋体" w:cs="宋体"/>
          <w:b/>
          <w:bCs/>
          <w:sz w:val="24"/>
          <w:szCs w:val="24"/>
        </w:rPr>
        <w:t>四、提交响应文件截止时间、开标时间和地点:</w:t>
      </w:r>
    </w:p>
    <w:p w14:paraId="7C67E365">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提交响应文件截止时间：2025年</w:t>
      </w:r>
      <w:r>
        <w:rPr>
          <w:rFonts w:hint="eastAsia" w:cs="宋体"/>
          <w:i w:val="0"/>
          <w:iCs w:val="0"/>
          <w:kern w:val="2"/>
          <w:sz w:val="24"/>
          <w:szCs w:val="24"/>
          <w:highlight w:val="none"/>
          <w:lang w:val="en-US" w:eastAsia="zh-CN" w:bidi="ar-SA"/>
        </w:rPr>
        <w:t>06</w:t>
      </w:r>
      <w:r>
        <w:rPr>
          <w:rFonts w:hint="eastAsia" w:ascii="宋体" w:hAnsi="宋体" w:eastAsia="宋体" w:cs="宋体"/>
          <w:i w:val="0"/>
          <w:iCs w:val="0"/>
          <w:kern w:val="2"/>
          <w:sz w:val="24"/>
          <w:szCs w:val="24"/>
          <w:highlight w:val="none"/>
          <w:lang w:val="en-US" w:eastAsia="zh-CN" w:bidi="ar-SA"/>
        </w:rPr>
        <w:t>月</w:t>
      </w:r>
      <w:r>
        <w:rPr>
          <w:rFonts w:hint="eastAsia" w:cs="宋体"/>
          <w:i w:val="0"/>
          <w:iCs w:val="0"/>
          <w:kern w:val="2"/>
          <w:sz w:val="24"/>
          <w:szCs w:val="24"/>
          <w:highlight w:val="none"/>
          <w:lang w:val="en-US" w:eastAsia="zh-CN" w:bidi="ar-SA"/>
        </w:rPr>
        <w:t>16</w:t>
      </w:r>
      <w:r>
        <w:rPr>
          <w:rFonts w:hint="eastAsia" w:ascii="宋体" w:hAnsi="宋体" w:eastAsia="宋体" w:cs="宋体"/>
          <w:i w:val="0"/>
          <w:iCs w:val="0"/>
          <w:kern w:val="2"/>
          <w:sz w:val="24"/>
          <w:szCs w:val="24"/>
          <w:highlight w:val="none"/>
          <w:lang w:val="en-US" w:eastAsia="zh-CN" w:bidi="ar-SA"/>
        </w:rPr>
        <w:t>日</w:t>
      </w:r>
      <w:r>
        <w:rPr>
          <w:rFonts w:hint="eastAsia" w:cs="宋体"/>
          <w:i w:val="0"/>
          <w:iCs w:val="0"/>
          <w:kern w:val="2"/>
          <w:sz w:val="24"/>
          <w:szCs w:val="24"/>
          <w:highlight w:val="none"/>
          <w:lang w:val="en-US" w:eastAsia="zh-CN" w:bidi="ar-SA"/>
        </w:rPr>
        <w:t>16</w:t>
      </w:r>
      <w:r>
        <w:rPr>
          <w:rFonts w:hint="eastAsia" w:ascii="宋体" w:hAnsi="宋体" w:eastAsia="宋体" w:cs="宋体"/>
          <w:i w:val="0"/>
          <w:iCs w:val="0"/>
          <w:kern w:val="2"/>
          <w:sz w:val="24"/>
          <w:szCs w:val="24"/>
          <w:highlight w:val="none"/>
          <w:lang w:val="en-US" w:eastAsia="zh-CN" w:bidi="ar-SA"/>
        </w:rPr>
        <w:t>时</w:t>
      </w:r>
      <w:r>
        <w:rPr>
          <w:rFonts w:hint="eastAsia" w:cs="宋体"/>
          <w:i w:val="0"/>
          <w:iCs w:val="0"/>
          <w:kern w:val="2"/>
          <w:sz w:val="24"/>
          <w:szCs w:val="24"/>
          <w:highlight w:val="none"/>
          <w:lang w:val="en-US" w:eastAsia="zh-CN" w:bidi="ar-SA"/>
        </w:rPr>
        <w:t>30</w:t>
      </w:r>
      <w:r>
        <w:rPr>
          <w:rFonts w:hint="eastAsia" w:ascii="宋体" w:hAnsi="宋体" w:eastAsia="宋体" w:cs="宋体"/>
          <w:i w:val="0"/>
          <w:iCs w:val="0"/>
          <w:kern w:val="2"/>
          <w:sz w:val="24"/>
          <w:szCs w:val="24"/>
          <w:highlight w:val="none"/>
          <w:lang w:val="en-US" w:eastAsia="zh-CN" w:bidi="ar-SA"/>
        </w:rPr>
        <w:t>分（北京时间）</w:t>
      </w:r>
    </w:p>
    <w:p w14:paraId="59888937">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开标时间：2025年</w:t>
      </w:r>
      <w:r>
        <w:rPr>
          <w:rFonts w:hint="eastAsia" w:cs="宋体"/>
          <w:i w:val="0"/>
          <w:iCs w:val="0"/>
          <w:kern w:val="2"/>
          <w:sz w:val="24"/>
          <w:szCs w:val="24"/>
          <w:highlight w:val="none"/>
          <w:lang w:val="en-US" w:eastAsia="zh-CN" w:bidi="ar-SA"/>
        </w:rPr>
        <w:t>06</w:t>
      </w:r>
      <w:r>
        <w:rPr>
          <w:rFonts w:hint="eastAsia" w:ascii="宋体" w:hAnsi="宋体" w:eastAsia="宋体" w:cs="宋体"/>
          <w:i w:val="0"/>
          <w:iCs w:val="0"/>
          <w:kern w:val="2"/>
          <w:sz w:val="24"/>
          <w:szCs w:val="24"/>
          <w:highlight w:val="none"/>
          <w:lang w:val="en-US" w:eastAsia="zh-CN" w:bidi="ar-SA"/>
        </w:rPr>
        <w:t>月</w:t>
      </w:r>
      <w:r>
        <w:rPr>
          <w:rFonts w:hint="eastAsia" w:cs="宋体"/>
          <w:i w:val="0"/>
          <w:iCs w:val="0"/>
          <w:kern w:val="2"/>
          <w:sz w:val="24"/>
          <w:szCs w:val="24"/>
          <w:highlight w:val="none"/>
          <w:lang w:val="en-US" w:eastAsia="zh-CN" w:bidi="ar-SA"/>
        </w:rPr>
        <w:t>16</w:t>
      </w:r>
      <w:r>
        <w:rPr>
          <w:rFonts w:hint="eastAsia" w:ascii="宋体" w:hAnsi="宋体" w:eastAsia="宋体" w:cs="宋体"/>
          <w:i w:val="0"/>
          <w:iCs w:val="0"/>
          <w:kern w:val="2"/>
          <w:sz w:val="24"/>
          <w:szCs w:val="24"/>
          <w:highlight w:val="none"/>
          <w:lang w:val="en-US" w:eastAsia="zh-CN" w:bidi="ar-SA"/>
        </w:rPr>
        <w:t>日</w:t>
      </w:r>
      <w:r>
        <w:rPr>
          <w:rFonts w:hint="eastAsia" w:cs="宋体"/>
          <w:i w:val="0"/>
          <w:iCs w:val="0"/>
          <w:kern w:val="2"/>
          <w:sz w:val="24"/>
          <w:szCs w:val="24"/>
          <w:highlight w:val="none"/>
          <w:lang w:val="en-US" w:eastAsia="zh-CN" w:bidi="ar-SA"/>
        </w:rPr>
        <w:t>16</w:t>
      </w:r>
      <w:r>
        <w:rPr>
          <w:rFonts w:hint="eastAsia" w:ascii="宋体" w:hAnsi="宋体" w:eastAsia="宋体" w:cs="宋体"/>
          <w:i w:val="0"/>
          <w:iCs w:val="0"/>
          <w:kern w:val="2"/>
          <w:sz w:val="24"/>
          <w:szCs w:val="24"/>
          <w:highlight w:val="none"/>
          <w:lang w:val="en-US" w:eastAsia="zh-CN" w:bidi="ar-SA"/>
        </w:rPr>
        <w:t>时</w:t>
      </w:r>
      <w:r>
        <w:rPr>
          <w:rFonts w:hint="eastAsia" w:cs="宋体"/>
          <w:i w:val="0"/>
          <w:iCs w:val="0"/>
          <w:kern w:val="2"/>
          <w:sz w:val="24"/>
          <w:szCs w:val="24"/>
          <w:highlight w:val="none"/>
          <w:lang w:val="en-US" w:eastAsia="zh-CN" w:bidi="ar-SA"/>
        </w:rPr>
        <w:t>30</w:t>
      </w:r>
      <w:r>
        <w:rPr>
          <w:rFonts w:hint="eastAsia" w:ascii="宋体" w:hAnsi="宋体" w:eastAsia="宋体" w:cs="宋体"/>
          <w:i w:val="0"/>
          <w:iCs w:val="0"/>
          <w:kern w:val="2"/>
          <w:sz w:val="24"/>
          <w:szCs w:val="24"/>
          <w:highlight w:val="none"/>
          <w:lang w:val="en-US" w:eastAsia="zh-CN" w:bidi="ar-SA"/>
        </w:rPr>
        <w:t>分（北京时间）</w:t>
      </w:r>
    </w:p>
    <w:p w14:paraId="31024CFF">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地点：长春市二道区洋浦大街6999号凯利中心AB栋101开标</w:t>
      </w:r>
      <w:r>
        <w:rPr>
          <w:rFonts w:hint="eastAsia" w:cs="宋体"/>
          <w:i w:val="0"/>
          <w:iCs w:val="0"/>
          <w:kern w:val="2"/>
          <w:sz w:val="24"/>
          <w:szCs w:val="24"/>
          <w:highlight w:val="none"/>
          <w:lang w:val="en-US" w:eastAsia="zh-CN" w:bidi="ar-SA"/>
        </w:rPr>
        <w:t>二</w:t>
      </w:r>
      <w:r>
        <w:rPr>
          <w:rFonts w:hint="eastAsia" w:ascii="宋体" w:hAnsi="宋体" w:eastAsia="宋体" w:cs="宋体"/>
          <w:i w:val="0"/>
          <w:iCs w:val="0"/>
          <w:kern w:val="2"/>
          <w:sz w:val="24"/>
          <w:szCs w:val="24"/>
          <w:highlight w:val="none"/>
          <w:lang w:val="en-US" w:eastAsia="zh-CN" w:bidi="ar-SA"/>
        </w:rPr>
        <w:t>室。（本项目执行电子化招投标，供应商须通过政府采购云平台（https://www.zcygov.cn/）递交电子版投标文件，逾期未上传电子投标文件，将不予受理。）</w:t>
      </w:r>
    </w:p>
    <w:p w14:paraId="567A8F9F">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i w:val="0"/>
          <w:iCs w:val="0"/>
          <w:kern w:val="2"/>
          <w:sz w:val="24"/>
          <w:szCs w:val="24"/>
          <w:highlight w:val="none"/>
          <w:lang w:val="en-US" w:eastAsia="zh-CN" w:bidi="ar-SA"/>
        </w:rPr>
        <w:t>本项目为全流程电子化项目，没有现场递交投标文件及现场开标环节，通过“政采云”平台（http：//www.zcygov.cn）实行在线电子响应，供应商应先安装“政采云响应客户端”（请自行前往“政采云”平台进行下载），并按照“政采云”平台的要求使用CA锁认证编制、加密投标文件后在响应截止时间前上传至“政采云”平台。并于开标时间登录“政采云”平台解密</w:t>
      </w:r>
      <w:r>
        <w:rPr>
          <w:rFonts w:hint="eastAsia" w:ascii="宋体" w:hAnsi="宋体" w:eastAsia="宋体" w:cs="宋体"/>
          <w:color w:val="auto"/>
          <w:lang w:val="en-US" w:eastAsia="zh-CN"/>
        </w:rPr>
        <w:t>电子投标文件；</w:t>
      </w:r>
    </w:p>
    <w:p w14:paraId="2319EC64">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color w:val="auto"/>
          <w:lang w:val="en-US" w:eastAsia="zh-CN"/>
        </w:rPr>
        <w:t>4.投标操作流程：供应商在政府采购云平台网注册入库成为正式供应商后，在平台上按《政</w:t>
      </w:r>
      <w:r>
        <w:rPr>
          <w:rFonts w:hint="eastAsia" w:ascii="宋体" w:hAnsi="宋体" w:eastAsia="宋体" w:cs="宋体"/>
          <w:i w:val="0"/>
          <w:iCs w:val="0"/>
          <w:kern w:val="2"/>
          <w:sz w:val="24"/>
          <w:szCs w:val="24"/>
          <w:highlight w:val="none"/>
          <w:lang w:val="en-US" w:eastAsia="zh-CN" w:bidi="ar-SA"/>
        </w:rPr>
        <w:t>府采购项目电子交易管理操作指南-供应商》进行投标操作。</w:t>
      </w:r>
    </w:p>
    <w:p w14:paraId="621D556E">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五、公告期限:</w:t>
      </w:r>
    </w:p>
    <w:p w14:paraId="35DF7E34">
      <w:pPr>
        <w:tabs>
          <w:tab w:val="left" w:pos="0"/>
        </w:tabs>
        <w:spacing w:line="360" w:lineRule="auto"/>
        <w:ind w:firstLine="421"/>
        <w:rPr>
          <w:rFonts w:ascii="宋体" w:hAnsi="宋体" w:cs="宋体"/>
          <w:bCs/>
          <w:snapToGrid w:val="0"/>
          <w:sz w:val="24"/>
          <w:szCs w:val="24"/>
        </w:rPr>
      </w:pPr>
      <w:r>
        <w:rPr>
          <w:rFonts w:hint="eastAsia" w:ascii="宋体" w:hAnsi="宋体" w:cs="宋体"/>
          <w:bCs/>
          <w:snapToGrid w:val="0"/>
          <w:sz w:val="24"/>
          <w:szCs w:val="24"/>
        </w:rPr>
        <w:t>自本公告发布之日起3个工作日。</w:t>
      </w:r>
    </w:p>
    <w:p w14:paraId="31776878">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六、其他补充事宜:</w:t>
      </w:r>
    </w:p>
    <w:p w14:paraId="5A76D0F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本次公告在政采云平台（https://www.zcygov.cn/）（同步推送至吉林省公共资源交易公共服务平台、吉林省政府采购网、中国政府采购网）、</w:t>
      </w:r>
      <w:r>
        <w:rPr>
          <w:rFonts w:hint="eastAsia" w:ascii="宋体" w:hAnsi="宋体" w:eastAsia="宋体" w:cs="宋体"/>
          <w:i w:val="0"/>
          <w:iCs w:val="0"/>
          <w:kern w:val="2"/>
          <w:sz w:val="24"/>
          <w:szCs w:val="24"/>
          <w:highlight w:val="none"/>
          <w:lang w:val="zh-CN" w:eastAsia="zh-CN" w:bidi="ar-SA"/>
        </w:rPr>
        <w:t>吉林司法警官职业学院官网</w:t>
      </w:r>
      <w:r>
        <w:rPr>
          <w:rFonts w:hint="eastAsia" w:ascii="宋体" w:hAnsi="宋体" w:eastAsia="宋体" w:cs="宋体"/>
          <w:i w:val="0"/>
          <w:iCs w:val="0"/>
          <w:kern w:val="2"/>
          <w:sz w:val="24"/>
          <w:szCs w:val="24"/>
          <w:highlight w:val="none"/>
          <w:lang w:val="en-US" w:eastAsia="zh-CN" w:bidi="ar-SA"/>
        </w:rPr>
        <w:t>上发布。</w:t>
      </w:r>
    </w:p>
    <w:p w14:paraId="0BBFDEDE">
      <w:pPr>
        <w:spacing w:line="360" w:lineRule="auto"/>
        <w:rPr>
          <w:rFonts w:ascii="宋体" w:hAnsi="宋体" w:cs="宋体"/>
          <w:b/>
          <w:sz w:val="24"/>
          <w:szCs w:val="24"/>
          <w:highlight w:val="none"/>
        </w:rPr>
      </w:pPr>
      <w:r>
        <w:rPr>
          <w:rFonts w:hint="eastAsia" w:ascii="宋体" w:hAnsi="宋体" w:cs="宋体"/>
          <w:b/>
          <w:sz w:val="24"/>
          <w:szCs w:val="24"/>
          <w:highlight w:val="none"/>
        </w:rPr>
        <w:t>七、对本次招标提出询问，请按以下方式联系：</w:t>
      </w:r>
    </w:p>
    <w:p w14:paraId="67729D2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1.采购人信息</w:t>
      </w:r>
    </w:p>
    <w:p w14:paraId="417D5B46">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采购人：吉林司法警官职业学院</w:t>
      </w:r>
    </w:p>
    <w:p w14:paraId="664FC38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址：长春市合隆经济开发区景苑路1号</w:t>
      </w:r>
    </w:p>
    <w:p w14:paraId="56A59777">
      <w:pPr>
        <w:spacing w:line="360" w:lineRule="auto"/>
        <w:ind w:firstLine="480" w:firstLineChars="200"/>
        <w:rPr>
          <w:rFonts w:hint="default"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w:t>
      </w:r>
      <w:r>
        <w:rPr>
          <w:rFonts w:hint="eastAsia" w:ascii="宋体" w:hAnsi="宋体" w:cs="宋体"/>
          <w:i w:val="0"/>
          <w:iCs w:val="0"/>
          <w:kern w:val="2"/>
          <w:sz w:val="24"/>
          <w:szCs w:val="24"/>
          <w:highlight w:val="none"/>
          <w:lang w:val="en-US" w:eastAsia="zh-CN" w:bidi="ar-SA"/>
        </w:rPr>
        <w:t>朱老师</w:t>
      </w:r>
    </w:p>
    <w:p w14:paraId="27904289">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w:t>
      </w:r>
      <w:r>
        <w:rPr>
          <w:rFonts w:hint="eastAsia" w:ascii="宋体" w:hAnsi="宋体" w:cs="宋体"/>
          <w:i w:val="0"/>
          <w:iCs w:val="0"/>
          <w:kern w:val="2"/>
          <w:sz w:val="24"/>
          <w:szCs w:val="24"/>
          <w:highlight w:val="none"/>
          <w:lang w:val="en-US" w:eastAsia="zh-CN" w:bidi="ar-SA"/>
        </w:rPr>
        <w:t>0431-83311029</w:t>
      </w:r>
    </w:p>
    <w:p w14:paraId="1E212AB2">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14866310">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采购代理机构：吉林省世博项目管理有限公司</w:t>
      </w:r>
    </w:p>
    <w:p w14:paraId="49A5C3A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地址：长春市二道区通安小区1号楼103室-04</w:t>
      </w:r>
    </w:p>
    <w:p w14:paraId="5C634F4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联系人：魏中华</w:t>
      </w:r>
    </w:p>
    <w:p w14:paraId="3DE95E56">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电话：13364300502（办公电话）</w:t>
      </w:r>
    </w:p>
    <w:p w14:paraId="1457712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3.项目联系方式</w:t>
      </w:r>
    </w:p>
    <w:p w14:paraId="3B56716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项目联系人：魏中华</w:t>
      </w:r>
    </w:p>
    <w:p w14:paraId="3704335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办公电话：13364300502(办公电话）</w:t>
      </w:r>
    </w:p>
    <w:p w14:paraId="1DF4FAF6">
      <w:pPr>
        <w:spacing w:line="360" w:lineRule="auto"/>
        <w:ind w:left="6468" w:leftChars="200" w:hanging="6048" w:hangingChars="2400"/>
        <w:jc w:val="left"/>
        <w:rPr>
          <w:rFonts w:ascii="宋体" w:hAnsi="宋体" w:cs="宋体"/>
          <w:spacing w:val="6"/>
          <w:sz w:val="24"/>
          <w:szCs w:val="24"/>
        </w:rPr>
      </w:pPr>
      <w:r>
        <w:rPr>
          <w:rFonts w:hint="eastAsia" w:ascii="宋体" w:hAnsi="宋体" w:cs="宋体"/>
          <w:spacing w:val="6"/>
          <w:sz w:val="24"/>
          <w:szCs w:val="24"/>
        </w:rPr>
        <w:t xml:space="preserve">                                                                                             </w:t>
      </w:r>
    </w:p>
    <w:p w14:paraId="3C0240B6">
      <w:pPr>
        <w:pStyle w:val="32"/>
        <w:rPr>
          <w:rFonts w:ascii="宋体" w:hAnsi="宋体" w:cs="宋体"/>
          <w:sz w:val="24"/>
          <w:szCs w:val="24"/>
        </w:rPr>
      </w:pPr>
      <w:bookmarkStart w:id="3" w:name="_Toc455565642"/>
      <w:bookmarkStart w:id="4" w:name="_Toc432277438"/>
      <w:bookmarkStart w:id="5" w:name="_Toc432264366"/>
      <w:r>
        <w:rPr>
          <w:rFonts w:hint="eastAsia" w:ascii="宋体" w:hAnsi="宋体" w:cs="宋体"/>
          <w:sz w:val="24"/>
          <w:szCs w:val="24"/>
        </w:rPr>
        <w:t xml:space="preserve">                              </w:t>
      </w:r>
    </w:p>
    <w:p w14:paraId="0192F18C">
      <w:pPr>
        <w:pStyle w:val="2"/>
        <w:spacing w:before="0" w:after="0" w:line="360" w:lineRule="auto"/>
        <w:jc w:val="center"/>
        <w:rPr>
          <w:rFonts w:ascii="宋体" w:hAnsi="宋体" w:cs="宋体"/>
          <w:sz w:val="28"/>
          <w:szCs w:val="28"/>
        </w:rPr>
      </w:pPr>
      <w:r>
        <w:rPr>
          <w:rFonts w:hint="eastAsia" w:ascii="宋体" w:hAnsi="宋体" w:cs="宋体"/>
          <w:sz w:val="24"/>
          <w:szCs w:val="24"/>
        </w:rPr>
        <w:br w:type="page"/>
      </w:r>
      <w:bookmarkEnd w:id="3"/>
      <w:bookmarkEnd w:id="4"/>
      <w:bookmarkEnd w:id="5"/>
      <w:bookmarkStart w:id="6" w:name="_Toc10155"/>
      <w:r>
        <w:rPr>
          <w:rFonts w:hint="eastAsia" w:ascii="宋体" w:hAnsi="宋体" w:cs="宋体"/>
          <w:sz w:val="28"/>
          <w:szCs w:val="28"/>
        </w:rPr>
        <w:t>第二章  供应商须知</w:t>
      </w:r>
      <w:bookmarkEnd w:id="6"/>
    </w:p>
    <w:p w14:paraId="5D520151">
      <w:pPr>
        <w:tabs>
          <w:tab w:val="left" w:pos="2190"/>
        </w:tabs>
        <w:spacing w:line="380" w:lineRule="exact"/>
        <w:ind w:firstLine="435"/>
        <w:jc w:val="center"/>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供 应 商  须 知 前 附 表</w:t>
      </w:r>
    </w:p>
    <w:tbl>
      <w:tblPr>
        <w:tblStyle w:val="18"/>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7"/>
        <w:gridCol w:w="6927"/>
      </w:tblGrid>
      <w:tr w14:paraId="31B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3" w:type="dxa"/>
            <w:vAlign w:val="center"/>
          </w:tcPr>
          <w:p w14:paraId="67996467">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序号</w:t>
            </w:r>
          </w:p>
        </w:tc>
        <w:tc>
          <w:tcPr>
            <w:tcW w:w="1807" w:type="dxa"/>
            <w:vAlign w:val="center"/>
          </w:tcPr>
          <w:p w14:paraId="79BB2FD9">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927" w:type="dxa"/>
            <w:vAlign w:val="center"/>
          </w:tcPr>
          <w:p w14:paraId="0A2EBB9B">
            <w:pPr>
              <w:spacing w:line="360" w:lineRule="auto"/>
              <w:jc w:val="center"/>
              <w:rPr>
                <w:rFonts w:ascii="宋体" w:hAnsi="宋体" w:cs="宋体"/>
                <w:szCs w:val="21"/>
              </w:rPr>
            </w:pPr>
            <w:r>
              <w:rPr>
                <w:rFonts w:hint="eastAsia" w:ascii="宋体" w:hAnsi="宋体" w:cs="宋体"/>
                <w:b w:val="0"/>
                <w:color w:val="auto"/>
                <w:sz w:val="24"/>
                <w:szCs w:val="24"/>
                <w:highlight w:val="none"/>
                <w:lang w:val="zh-CN"/>
              </w:rPr>
              <w:t>编 列 内 容</w:t>
            </w:r>
          </w:p>
        </w:tc>
      </w:tr>
      <w:tr w14:paraId="6AC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7613BA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1</w:t>
            </w:r>
          </w:p>
        </w:tc>
        <w:tc>
          <w:tcPr>
            <w:tcW w:w="1807" w:type="dxa"/>
            <w:vAlign w:val="center"/>
          </w:tcPr>
          <w:p w14:paraId="77DBADE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采购人</w:t>
            </w:r>
          </w:p>
        </w:tc>
        <w:tc>
          <w:tcPr>
            <w:tcW w:w="6927" w:type="dxa"/>
            <w:vAlign w:val="center"/>
          </w:tcPr>
          <w:p w14:paraId="4F487F31">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采购人：吉林司法警官职业学院</w:t>
            </w:r>
          </w:p>
          <w:p w14:paraId="1CA85CEB">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址：长春市合隆经济开发区景苑路1号</w:t>
            </w:r>
          </w:p>
          <w:p w14:paraId="6E689759">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联系人：朱老师</w:t>
            </w:r>
          </w:p>
          <w:p w14:paraId="1366C00B">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办公电话：0431-83311029</w:t>
            </w:r>
          </w:p>
        </w:tc>
      </w:tr>
      <w:tr w14:paraId="3DDF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0D51B29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2</w:t>
            </w:r>
          </w:p>
        </w:tc>
        <w:tc>
          <w:tcPr>
            <w:tcW w:w="1807" w:type="dxa"/>
            <w:vAlign w:val="center"/>
          </w:tcPr>
          <w:p w14:paraId="1FC0DB0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采购代理机构</w:t>
            </w:r>
          </w:p>
        </w:tc>
        <w:tc>
          <w:tcPr>
            <w:tcW w:w="6927" w:type="dxa"/>
            <w:vAlign w:val="center"/>
          </w:tcPr>
          <w:p w14:paraId="293999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 吉林省世博项目管理有限公司</w:t>
            </w:r>
          </w:p>
          <w:p w14:paraId="4AEEB916">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地址：长春市二道区通安小区1号楼103室-04</w:t>
            </w:r>
          </w:p>
          <w:p w14:paraId="2892E2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电话：13364300502（办公电话）</w:t>
            </w:r>
          </w:p>
          <w:p w14:paraId="7B4C97EB">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cs="宋体"/>
                <w:kern w:val="0"/>
                <w:sz w:val="24"/>
                <w:szCs w:val="24"/>
              </w:rPr>
            </w:pPr>
            <w:r>
              <w:rPr>
                <w:rFonts w:hint="eastAsia" w:ascii="宋体" w:hAnsi="宋体" w:eastAsia="宋体" w:cs="宋体"/>
                <w:color w:val="000000"/>
                <w:sz w:val="24"/>
                <w:szCs w:val="24"/>
                <w:lang w:val="en-US" w:eastAsia="zh-CN"/>
              </w:rPr>
              <w:t>项目联系人:</w:t>
            </w:r>
            <w:r>
              <w:rPr>
                <w:rFonts w:hint="eastAsia" w:ascii="宋体" w:hAnsi="宋体" w:eastAsia="宋体" w:cs="宋体"/>
                <w:sz w:val="24"/>
                <w:szCs w:val="24"/>
                <w:highlight w:val="none"/>
                <w:lang w:val="en-US" w:eastAsia="zh-CN"/>
              </w:rPr>
              <w:t>魏中华</w:t>
            </w:r>
          </w:p>
        </w:tc>
      </w:tr>
      <w:tr w14:paraId="3027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13" w:type="dxa"/>
            <w:vAlign w:val="center"/>
          </w:tcPr>
          <w:p w14:paraId="68B2D6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p>
        </w:tc>
        <w:tc>
          <w:tcPr>
            <w:tcW w:w="1807" w:type="dxa"/>
            <w:vAlign w:val="center"/>
          </w:tcPr>
          <w:p w14:paraId="43E5EE5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项目名称及项目编号</w:t>
            </w:r>
          </w:p>
        </w:tc>
        <w:tc>
          <w:tcPr>
            <w:tcW w:w="6927" w:type="dxa"/>
            <w:vAlign w:val="center"/>
          </w:tcPr>
          <w:p w14:paraId="2F9044D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项目名称：</w:t>
            </w:r>
            <w:r>
              <w:rPr>
                <w:rFonts w:hint="eastAsia" w:ascii="宋体" w:hAnsi="宋体" w:cs="宋体"/>
                <w:bCs/>
                <w:color w:val="auto"/>
                <w:sz w:val="24"/>
                <w:szCs w:val="24"/>
                <w:highlight w:val="none"/>
                <w:lang w:val="zh-CN" w:eastAsia="zh-CN"/>
              </w:rPr>
              <w:t>吉林司法警官职业学院常态化智慧教室建设项目</w:t>
            </w:r>
          </w:p>
          <w:p w14:paraId="788DDB5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项目编号：采购计划-[2025]-07114号-JLSB2025-107C-H</w:t>
            </w:r>
          </w:p>
        </w:tc>
      </w:tr>
      <w:tr w14:paraId="1BA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3" w:type="dxa"/>
            <w:vAlign w:val="center"/>
          </w:tcPr>
          <w:p w14:paraId="211C631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807" w:type="dxa"/>
            <w:vAlign w:val="center"/>
          </w:tcPr>
          <w:p w14:paraId="0CBF71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预算金额</w:t>
            </w:r>
          </w:p>
          <w:p w14:paraId="2C6F2E0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（最高限价）</w:t>
            </w:r>
          </w:p>
        </w:tc>
        <w:tc>
          <w:tcPr>
            <w:tcW w:w="6927" w:type="dxa"/>
            <w:vAlign w:val="center"/>
          </w:tcPr>
          <w:p w14:paraId="221C96B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人民币</w:t>
            </w:r>
            <w:r>
              <w:rPr>
                <w:rFonts w:hint="eastAsia" w:ascii="宋体" w:hAnsi="宋体" w:cs="宋体"/>
                <w:bCs/>
                <w:color w:val="auto"/>
                <w:sz w:val="24"/>
                <w:szCs w:val="24"/>
                <w:highlight w:val="none"/>
                <w:lang w:val="en-US" w:eastAsia="zh-CN"/>
              </w:rPr>
              <w:t>139万</w:t>
            </w:r>
            <w:r>
              <w:rPr>
                <w:rFonts w:hint="eastAsia" w:ascii="宋体" w:hAnsi="宋体" w:eastAsia="宋体" w:cs="宋体"/>
                <w:bCs/>
                <w:color w:val="auto"/>
                <w:sz w:val="24"/>
                <w:szCs w:val="24"/>
                <w:highlight w:val="none"/>
                <w:lang w:val="en-US" w:eastAsia="zh-CN"/>
              </w:rPr>
              <w:t>元</w:t>
            </w:r>
          </w:p>
          <w:p w14:paraId="2EA2EC9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注：供应商所报价格不得超过</w:t>
            </w:r>
            <w:r>
              <w:rPr>
                <w:rFonts w:hint="eastAsia" w:ascii="宋体" w:hAnsi="宋体" w:eastAsia="宋体" w:cs="宋体"/>
                <w:bCs/>
                <w:color w:val="auto"/>
                <w:sz w:val="24"/>
                <w:szCs w:val="24"/>
                <w:highlight w:val="none"/>
                <w:lang w:val="zh-CN" w:eastAsia="zh-CN"/>
              </w:rPr>
              <w:t>预算金额（</w:t>
            </w:r>
            <w:r>
              <w:rPr>
                <w:rFonts w:hint="eastAsia" w:ascii="宋体" w:hAnsi="宋体" w:eastAsia="宋体" w:cs="宋体"/>
                <w:bCs/>
                <w:color w:val="auto"/>
                <w:sz w:val="24"/>
                <w:szCs w:val="24"/>
                <w:highlight w:val="none"/>
                <w:lang w:val="en-US" w:eastAsia="zh-CN"/>
              </w:rPr>
              <w:t>最高限价</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，否则按废标处理。</w:t>
            </w:r>
          </w:p>
        </w:tc>
      </w:tr>
      <w:tr w14:paraId="332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236C31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1807" w:type="dxa"/>
            <w:vAlign w:val="center"/>
          </w:tcPr>
          <w:p w14:paraId="1B1709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谈判采购内容</w:t>
            </w:r>
          </w:p>
        </w:tc>
        <w:tc>
          <w:tcPr>
            <w:tcW w:w="6927" w:type="dxa"/>
            <w:vAlign w:val="center"/>
          </w:tcPr>
          <w:p w14:paraId="2EC0EEE7">
            <w:pPr>
              <w:tabs>
                <w:tab w:val="left" w:pos="5100"/>
              </w:tabs>
              <w:snapToGrid w:val="0"/>
              <w:spacing w:line="360" w:lineRule="auto"/>
              <w:jc w:val="left"/>
              <w:rPr>
                <w:rFonts w:hint="eastAsia" w:ascii="宋体" w:hAnsi="宋体" w:eastAsia="宋体" w:cs="宋体"/>
                <w:bCs/>
                <w:kern w:val="0"/>
                <w:sz w:val="24"/>
                <w:szCs w:val="24"/>
              </w:rPr>
            </w:pPr>
            <w:r>
              <w:rPr>
                <w:rFonts w:hint="eastAsia" w:ascii="宋体" w:hAnsi="宋体" w:cs="宋体"/>
                <w:i w:val="0"/>
                <w:iCs w:val="0"/>
                <w:sz w:val="24"/>
                <w:szCs w:val="24"/>
                <w:highlight w:val="none"/>
                <w:lang w:val="en-US" w:eastAsia="zh-CN"/>
              </w:rPr>
              <w:t>吉林司法警官职业学院常态化智慧教室建设项目</w:t>
            </w:r>
            <w:r>
              <w:rPr>
                <w:rFonts w:hint="eastAsia" w:ascii="宋体" w:hAnsi="宋体" w:eastAsia="宋体" w:cs="宋体"/>
                <w:i w:val="0"/>
                <w:iCs w:val="0"/>
                <w:sz w:val="24"/>
                <w:szCs w:val="24"/>
                <w:highlight w:val="none"/>
                <w:lang w:val="en-US" w:eastAsia="zh-CN"/>
              </w:rPr>
              <w:t>(详见第三章采购需求）</w:t>
            </w:r>
          </w:p>
        </w:tc>
      </w:tr>
      <w:tr w14:paraId="380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C797C6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807" w:type="dxa"/>
            <w:vAlign w:val="center"/>
          </w:tcPr>
          <w:p w14:paraId="5393ADA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供货期</w:t>
            </w:r>
          </w:p>
        </w:tc>
        <w:tc>
          <w:tcPr>
            <w:tcW w:w="6927" w:type="dxa"/>
            <w:vAlign w:val="center"/>
          </w:tcPr>
          <w:p w14:paraId="29B8DFAF">
            <w:pPr>
              <w:spacing w:line="360" w:lineRule="auto"/>
              <w:rPr>
                <w:rFonts w:hint="eastAsia" w:ascii="宋体" w:hAnsi="宋体" w:cs="宋体"/>
                <w:bCs/>
                <w:snapToGrid w:val="0"/>
                <w:sz w:val="24"/>
                <w:szCs w:val="24"/>
              </w:rPr>
            </w:pPr>
            <w:r>
              <w:rPr>
                <w:rFonts w:hint="eastAsia" w:ascii="宋体" w:hAnsi="宋体" w:cs="宋体"/>
                <w:bCs/>
                <w:snapToGrid w:val="0"/>
                <w:sz w:val="24"/>
                <w:szCs w:val="24"/>
              </w:rPr>
              <w:t>自合同签订之日起</w:t>
            </w:r>
            <w:r>
              <w:rPr>
                <w:rFonts w:hint="eastAsia" w:ascii="宋体" w:hAnsi="宋体" w:cs="宋体"/>
                <w:bCs/>
                <w:snapToGrid w:val="0"/>
                <w:sz w:val="24"/>
                <w:szCs w:val="24"/>
                <w:lang w:val="en-US" w:eastAsia="zh-CN"/>
              </w:rPr>
              <w:t>30</w:t>
            </w:r>
            <w:r>
              <w:rPr>
                <w:rFonts w:hint="eastAsia" w:ascii="宋体" w:hAnsi="宋体" w:cs="宋体"/>
                <w:bCs/>
                <w:snapToGrid w:val="0"/>
                <w:sz w:val="24"/>
                <w:szCs w:val="24"/>
                <w:lang w:val="zh-CN"/>
              </w:rPr>
              <w:t>天内完成。</w:t>
            </w:r>
          </w:p>
        </w:tc>
      </w:tr>
      <w:tr w14:paraId="774D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13" w:type="dxa"/>
            <w:vAlign w:val="center"/>
          </w:tcPr>
          <w:p w14:paraId="0D95DAF3">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807" w:type="dxa"/>
            <w:vAlign w:val="center"/>
          </w:tcPr>
          <w:p w14:paraId="3ACF5F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供货地点</w:t>
            </w:r>
          </w:p>
        </w:tc>
        <w:tc>
          <w:tcPr>
            <w:tcW w:w="6927" w:type="dxa"/>
            <w:vAlign w:val="center"/>
          </w:tcPr>
          <w:p w14:paraId="30CF1B0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吉林司法警官职业学院</w:t>
            </w:r>
          </w:p>
        </w:tc>
      </w:tr>
      <w:tr w14:paraId="5C6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792F465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807" w:type="dxa"/>
            <w:vAlign w:val="center"/>
          </w:tcPr>
          <w:p w14:paraId="005F297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质量要求</w:t>
            </w:r>
          </w:p>
        </w:tc>
        <w:tc>
          <w:tcPr>
            <w:tcW w:w="6927" w:type="dxa"/>
            <w:vAlign w:val="center"/>
          </w:tcPr>
          <w:p w14:paraId="793DF9B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符合国家及相关行业合格标准</w:t>
            </w:r>
          </w:p>
        </w:tc>
      </w:tr>
      <w:tr w14:paraId="7CFB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45DD998E">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1807" w:type="dxa"/>
            <w:shd w:val="clear" w:color="auto" w:fill="auto"/>
            <w:vAlign w:val="center"/>
          </w:tcPr>
          <w:p w14:paraId="2D4721D6">
            <w:pPr>
              <w:spacing w:line="360" w:lineRule="auto"/>
              <w:jc w:val="center"/>
              <w:rPr>
                <w:rFonts w:hint="eastAsia" w:ascii="Times New Roman" w:hAnsi="Times New Roman" w:eastAsia="宋体" w:cs="Times New Roman"/>
                <w:color w:val="auto"/>
                <w:kern w:val="2"/>
                <w:sz w:val="24"/>
                <w:szCs w:val="24"/>
                <w:highlight w:val="none"/>
                <w:lang w:val="zh-CN" w:eastAsia="zh-CN" w:bidi="ar-SA"/>
              </w:rPr>
            </w:pPr>
            <w:r>
              <w:rPr>
                <w:rFonts w:hint="eastAsia"/>
                <w:color w:val="auto"/>
                <w:sz w:val="24"/>
                <w:szCs w:val="24"/>
                <w:highlight w:val="none"/>
              </w:rPr>
              <w:t>资金来源</w:t>
            </w:r>
            <w:r>
              <w:rPr>
                <w:rFonts w:hint="eastAsia"/>
                <w:color w:val="auto"/>
                <w:sz w:val="24"/>
                <w:szCs w:val="24"/>
                <w:highlight w:val="none"/>
                <w:lang w:eastAsia="zh-CN"/>
              </w:rPr>
              <w:t>及落实情况</w:t>
            </w:r>
          </w:p>
        </w:tc>
        <w:tc>
          <w:tcPr>
            <w:tcW w:w="6927" w:type="dxa"/>
            <w:shd w:val="clear" w:color="auto" w:fill="auto"/>
            <w:vAlign w:val="center"/>
          </w:tcPr>
          <w:p w14:paraId="34B12AA1">
            <w:pPr>
              <w:spacing w:line="360" w:lineRule="auto"/>
              <w:jc w:val="both"/>
              <w:rPr>
                <w:rFonts w:hint="eastAsia"/>
                <w:bCs/>
                <w:color w:val="auto"/>
                <w:sz w:val="24"/>
                <w:szCs w:val="24"/>
                <w:highlight w:val="none"/>
                <w:lang w:val="zh-CN" w:eastAsia="zh-CN"/>
              </w:rPr>
            </w:pPr>
            <w:r>
              <w:rPr>
                <w:rFonts w:hint="eastAsia"/>
                <w:bCs/>
                <w:color w:val="auto"/>
                <w:sz w:val="24"/>
                <w:szCs w:val="24"/>
                <w:highlight w:val="none"/>
                <w:lang w:eastAsia="zh-CN"/>
              </w:rPr>
              <w:t>财政资金，已落实</w:t>
            </w:r>
          </w:p>
        </w:tc>
      </w:tr>
      <w:tr w14:paraId="59E1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0934B41A">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807" w:type="dxa"/>
            <w:vAlign w:val="center"/>
          </w:tcPr>
          <w:p w14:paraId="71BDAB4C">
            <w:pPr>
              <w:keepNext w:val="0"/>
              <w:keepLines w:val="0"/>
              <w:pageBreakBefore w:val="0"/>
              <w:widowControl w:val="0"/>
              <w:kinsoku/>
              <w:wordWrap/>
              <w:overflowPunct/>
              <w:topLinePunct w:val="0"/>
              <w:bidi w:val="0"/>
              <w:adjustRightInd w:val="0"/>
              <w:snapToGrid w:val="0"/>
              <w:spacing w:line="360" w:lineRule="auto"/>
              <w:ind w:firstLine="10" w:firstLineChars="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采购方式</w:t>
            </w:r>
          </w:p>
        </w:tc>
        <w:tc>
          <w:tcPr>
            <w:tcW w:w="6927" w:type="dxa"/>
            <w:vAlign w:val="center"/>
          </w:tcPr>
          <w:p w14:paraId="00A18339">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p>
        </w:tc>
      </w:tr>
      <w:tr w14:paraId="079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13" w:type="dxa"/>
            <w:vAlign w:val="center"/>
          </w:tcPr>
          <w:p w14:paraId="09073D1F">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807" w:type="dxa"/>
            <w:shd w:val="clear" w:color="auto" w:fill="auto"/>
            <w:vAlign w:val="center"/>
          </w:tcPr>
          <w:p w14:paraId="1D7EBF6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资质条件、能力和信誉</w:t>
            </w:r>
          </w:p>
        </w:tc>
        <w:tc>
          <w:tcPr>
            <w:tcW w:w="6927" w:type="dxa"/>
            <w:shd w:val="clear" w:color="auto" w:fill="auto"/>
            <w:vAlign w:val="top"/>
          </w:tcPr>
          <w:p w14:paraId="2AB0A4F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457E4C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2.落实政府采购政策需满足的资格要求：本项目非专门面向中小企业采购； </w:t>
            </w:r>
          </w:p>
          <w:p w14:paraId="7BF6158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66B6C1B">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3.1供应商在中华人民共和国境内注册，能够独立承担民事责任的法人或其他组织形式，具备有效的营业执照；并在人员、设备、资金等方面具有承担本项目的能力。</w:t>
            </w:r>
          </w:p>
          <w:p w14:paraId="2B677A0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近三年财务状况良好，提供由专业审计机构出具的近三年(2022-2024年)的财务审计报告(新成立不足三年的企业提供自成立之日起至2024年的财务审计报告,若供应商为2024年12月31日及以后注册成立的公司，提供财务状况良好承诺书)。</w:t>
            </w:r>
          </w:p>
          <w:p w14:paraId="1116A42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3.3信誉要求</w:t>
            </w:r>
          </w:p>
          <w:p w14:paraId="5932AD2D">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（1）不接受列入政府取消投标资格记录期间的企业或个人参加投标；参加政府采购活动前三年内，在经营活动中没有重大违法记录。</w:t>
            </w:r>
          </w:p>
          <w:p w14:paraId="5CA14AE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3D92BCB6">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tc>
      </w:tr>
      <w:tr w14:paraId="7FC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3" w:type="dxa"/>
            <w:vAlign w:val="center"/>
          </w:tcPr>
          <w:p w14:paraId="2FC34BFB">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807" w:type="dxa"/>
            <w:vAlign w:val="center"/>
          </w:tcPr>
          <w:p w14:paraId="5F7C5AFD">
            <w:pPr>
              <w:spacing w:line="360" w:lineRule="auto"/>
              <w:jc w:val="center"/>
              <w:rPr>
                <w:rFonts w:ascii="宋体" w:hAnsi="宋体" w:cs="宋体"/>
                <w:sz w:val="24"/>
                <w:szCs w:val="24"/>
              </w:rPr>
            </w:pPr>
            <w:r>
              <w:rPr>
                <w:rFonts w:hint="eastAsia"/>
                <w:color w:val="auto"/>
                <w:sz w:val="24"/>
                <w:szCs w:val="24"/>
                <w:highlight w:val="none"/>
              </w:rPr>
              <w:t>谈判有效期</w:t>
            </w:r>
          </w:p>
        </w:tc>
        <w:tc>
          <w:tcPr>
            <w:tcW w:w="6927" w:type="dxa"/>
            <w:vAlign w:val="center"/>
          </w:tcPr>
          <w:p w14:paraId="0702C51B">
            <w:pPr>
              <w:spacing w:line="360" w:lineRule="auto"/>
              <w:ind w:left="-8" w:leftChars="0" w:hanging="166" w:firstLineChars="0"/>
              <w:rPr>
                <w:sz w:val="24"/>
                <w:szCs w:val="24"/>
              </w:rPr>
            </w:pPr>
            <w:r>
              <w:rPr>
                <w:rFonts w:hint="eastAsia"/>
                <w:color w:val="auto"/>
                <w:sz w:val="24"/>
                <w:szCs w:val="24"/>
                <w:highlight w:val="none"/>
                <w:lang w:eastAsia="zh-CN"/>
              </w:rPr>
              <w:t xml:space="preserve"> </w:t>
            </w:r>
            <w:r>
              <w:rPr>
                <w:rFonts w:hint="eastAsia" w:ascii="宋体" w:hAnsi="宋体" w:cs="宋体"/>
                <w:bCs/>
                <w:color w:val="auto"/>
                <w:kern w:val="15"/>
                <w:sz w:val="24"/>
                <w:szCs w:val="24"/>
                <w:highlight w:val="none"/>
              </w:rPr>
              <w:t>响应文件截止之日后</w:t>
            </w:r>
            <w:r>
              <w:rPr>
                <w:rFonts w:hint="eastAsia" w:ascii="宋体" w:hAnsi="宋体" w:cs="宋体"/>
                <w:bCs/>
                <w:color w:val="auto"/>
                <w:kern w:val="15"/>
                <w:sz w:val="24"/>
                <w:szCs w:val="24"/>
                <w:highlight w:val="none"/>
                <w:u w:val="single"/>
                <w:lang w:val="en-US" w:eastAsia="zh-CN"/>
              </w:rPr>
              <w:t>90</w:t>
            </w:r>
            <w:r>
              <w:rPr>
                <w:rFonts w:hint="eastAsia" w:ascii="宋体" w:hAnsi="宋体" w:cs="宋体"/>
                <w:bCs/>
                <w:color w:val="auto"/>
                <w:sz w:val="24"/>
                <w:szCs w:val="24"/>
                <w:highlight w:val="none"/>
                <w:u w:val="none"/>
                <w:lang w:val="zh-CN"/>
              </w:rPr>
              <w:t>天</w:t>
            </w:r>
            <w:r>
              <w:rPr>
                <w:rFonts w:hint="eastAsia" w:ascii="宋体" w:hAnsi="宋体" w:cs="宋体"/>
                <w:bCs/>
                <w:color w:val="auto"/>
                <w:sz w:val="24"/>
                <w:szCs w:val="24"/>
                <w:highlight w:val="none"/>
                <w:lang w:val="zh-CN"/>
              </w:rPr>
              <w:t>（日历天）</w:t>
            </w:r>
            <w:r>
              <w:rPr>
                <w:rFonts w:hint="eastAsia" w:ascii="Times New Roman" w:hAnsi="Times New Roman" w:eastAsia="宋体" w:cs="Times New Roman"/>
                <w:color w:val="auto"/>
                <w:sz w:val="24"/>
                <w:szCs w:val="24"/>
                <w:highlight w:val="none"/>
              </w:rPr>
              <w:t>有效期不足的响应文件将被拒绝。</w:t>
            </w:r>
          </w:p>
        </w:tc>
      </w:tr>
      <w:tr w14:paraId="3A3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14:paraId="3DAD8BE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1807" w:type="dxa"/>
            <w:vAlign w:val="center"/>
          </w:tcPr>
          <w:p w14:paraId="2D40016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rPr>
            </w:pPr>
            <w:r>
              <w:rPr>
                <w:rFonts w:hint="eastAsia" w:ascii="宋体" w:hAnsi="宋体" w:cs="宋体"/>
                <w:bCs/>
                <w:color w:val="auto"/>
                <w:sz w:val="24"/>
                <w:szCs w:val="24"/>
                <w:highlight w:val="none"/>
                <w:lang w:val="zh-CN"/>
              </w:rPr>
              <w:t>谈判保证金</w:t>
            </w:r>
          </w:p>
        </w:tc>
        <w:tc>
          <w:tcPr>
            <w:tcW w:w="6927" w:type="dxa"/>
            <w:vAlign w:val="center"/>
          </w:tcPr>
          <w:p w14:paraId="22EF7A69">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形式：包括转账、电汇、现金，银行出具的现金支票、保兑支票、银行汇票，银行、专业担保公司、保险公司出具的保函。以现金、支票形式、转账或电汇形式提交的投标保证金应当从投标单位的基本账户转出。</w:t>
            </w:r>
          </w:p>
          <w:p w14:paraId="7EEE5FF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保证金的金额：</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w:t>
            </w:r>
            <w:r>
              <w:rPr>
                <w:rFonts w:hint="eastAsia" w:ascii="宋体" w:hAnsi="宋体" w:cs="宋体"/>
                <w:b w:val="0"/>
                <w:bCs/>
                <w:caps w:val="0"/>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000</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元</w:t>
            </w:r>
          </w:p>
          <w:p w14:paraId="63EE5034">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户名：吉林省世博项目管理有限公司</w:t>
            </w:r>
          </w:p>
          <w:p w14:paraId="21013D6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账号：8916534542000002</w:t>
            </w:r>
          </w:p>
          <w:p w14:paraId="073C6BC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开户行：吉林银行长春皓月大路支行</w:t>
            </w:r>
          </w:p>
          <w:p w14:paraId="5E9ABCFB">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注：</w:t>
            </w:r>
          </w:p>
          <w:p w14:paraId="6F704DE5">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1、投标人办理转账或汇款时应写明“项目名称投标保证金”，以便核对查实；</w:t>
            </w:r>
          </w:p>
          <w:p w14:paraId="6A4F30A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2、以保函方式递交的投标保证金应在投标截止时间前</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1个工作日</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将保函扫描件递交吉林省世博项目管理有限公司Shibo23456@sina.com邮箱，以便核实，否则后果自负；</w:t>
            </w:r>
          </w:p>
          <w:p w14:paraId="216EEAA6">
            <w:pPr>
              <w:keepLines/>
              <w:pageBreakBefore w:val="0"/>
              <w:widowControl/>
              <w:kinsoku/>
              <w:autoSpaceDE w:val="0"/>
              <w:autoSpaceDN w:val="0"/>
              <w:bidi w:val="0"/>
              <w:adjustRightInd w:val="0"/>
              <w:spacing w:line="360" w:lineRule="auto"/>
              <w:jc w:val="both"/>
              <w:rPr>
                <w:rFonts w:ascii="宋体" w:hAnsi="宋体" w:cs="宋体"/>
                <w:sz w:val="24"/>
                <w:szCs w:val="24"/>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3、投标人应在汇款时认真核对收款单位、开户行名称、账号准确无误，确保保证金按时到账，否则后果自负。</w:t>
            </w:r>
          </w:p>
        </w:tc>
      </w:tr>
      <w:tr w14:paraId="488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1F9F0592">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1807" w:type="dxa"/>
            <w:vAlign w:val="center"/>
          </w:tcPr>
          <w:p w14:paraId="21BA35A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人提出问题</w:t>
            </w:r>
            <w:r>
              <w:rPr>
                <w:rFonts w:hint="eastAsia" w:ascii="宋体" w:hAnsi="宋体" w:cs="宋体"/>
                <w:color w:val="auto"/>
                <w:kern w:val="15"/>
                <w:sz w:val="24"/>
                <w:szCs w:val="24"/>
                <w:lang w:eastAsia="zh-CN"/>
              </w:rPr>
              <w:t>的截止时间</w:t>
            </w:r>
          </w:p>
        </w:tc>
        <w:tc>
          <w:tcPr>
            <w:tcW w:w="6927" w:type="dxa"/>
            <w:vAlign w:val="center"/>
          </w:tcPr>
          <w:p w14:paraId="432EDA7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p>
          <w:p w14:paraId="3B69EFB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tc>
      </w:tr>
      <w:tr w14:paraId="2A5E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E57230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807" w:type="dxa"/>
            <w:vAlign w:val="center"/>
          </w:tcPr>
          <w:p w14:paraId="69B37DF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谈判文件</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6927" w:type="dxa"/>
            <w:vAlign w:val="center"/>
          </w:tcPr>
          <w:p w14:paraId="533AD9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r>
              <w:rPr>
                <w:rFonts w:hint="eastAsia" w:ascii="宋体" w:hAnsi="宋体" w:cs="宋体"/>
                <w:bCs/>
                <w:color w:val="auto"/>
                <w:sz w:val="24"/>
                <w:szCs w:val="24"/>
                <w:highlight w:val="none"/>
                <w:lang w:val="zh-CN"/>
              </w:rPr>
              <w:t>谈判</w:t>
            </w:r>
            <w:r>
              <w:rPr>
                <w:rFonts w:hint="eastAsia" w:ascii="宋体" w:hAnsi="宋体" w:eastAsia="宋体" w:cs="宋体"/>
                <w:color w:val="auto"/>
                <w:kern w:val="15"/>
                <w:sz w:val="24"/>
                <w:szCs w:val="24"/>
              </w:rPr>
              <w:t>文件的澄清或者修改将在</w:t>
            </w:r>
            <w:r>
              <w:rPr>
                <w:rFonts w:hint="eastAsia" w:ascii="宋体" w:hAnsi="宋体" w:eastAsia="宋体" w:cs="宋体"/>
                <w:color w:val="auto"/>
                <w:kern w:val="15"/>
                <w:sz w:val="24"/>
                <w:szCs w:val="24"/>
                <w:lang w:eastAsia="zh-CN"/>
              </w:rPr>
              <w:t>“政采云”平台（https://www.zcygov.cn/）</w:t>
            </w:r>
            <w:r>
              <w:rPr>
                <w:rFonts w:hint="eastAsia" w:ascii="宋体" w:hAnsi="宋体" w:eastAsia="宋体" w:cs="宋体"/>
                <w:color w:val="auto"/>
                <w:kern w:val="15"/>
                <w:sz w:val="24"/>
                <w:szCs w:val="24"/>
              </w:rPr>
              <w:t>上发布，所有报名并下载</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文件的</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自行网上查询，否则后果自负。</w:t>
            </w:r>
          </w:p>
        </w:tc>
      </w:tr>
      <w:tr w14:paraId="39E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667D90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1807" w:type="dxa"/>
            <w:vAlign w:val="center"/>
          </w:tcPr>
          <w:p w14:paraId="371CAA6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15"/>
                <w:sz w:val="24"/>
                <w:szCs w:val="24"/>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人提出质疑的方式和截止时间</w:t>
            </w:r>
          </w:p>
        </w:tc>
        <w:tc>
          <w:tcPr>
            <w:tcW w:w="6927" w:type="dxa"/>
            <w:vAlign w:val="center"/>
          </w:tcPr>
          <w:p w14:paraId="7A607D0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供应商</w:t>
            </w:r>
            <w:r>
              <w:rPr>
                <w:rFonts w:hint="eastAsia" w:ascii="宋体" w:hAnsi="宋体" w:eastAsia="宋体" w:cs="宋体"/>
                <w:color w:val="auto"/>
                <w:kern w:val="15"/>
                <w:sz w:val="24"/>
                <w:szCs w:val="24"/>
              </w:rPr>
              <w:t>可以在知道或者应知其权益受到损害之日起七个工作日内</w:t>
            </w:r>
            <w:r>
              <w:rPr>
                <w:rFonts w:hint="eastAsia" w:ascii="宋体" w:hAnsi="宋体" w:eastAsia="宋体" w:cs="宋体"/>
                <w:color w:val="auto"/>
                <w:kern w:val="15"/>
                <w:sz w:val="24"/>
                <w:szCs w:val="24"/>
                <w:lang w:eastAsia="zh-CN"/>
              </w:rPr>
              <w:t>。</w:t>
            </w:r>
          </w:p>
          <w:p w14:paraId="4E3FCA4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p w14:paraId="5EA6C5B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提出质疑方式：1、</w:t>
            </w: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人认为</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224FDF7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2、对采购代理机构提出质疑的，若质疑内容超出</w:t>
            </w:r>
            <w:r>
              <w:rPr>
                <w:rFonts w:hint="eastAsia" w:ascii="宋体" w:hAnsi="宋体" w:cs="宋体"/>
                <w:color w:val="auto"/>
                <w:kern w:val="15"/>
                <w:sz w:val="24"/>
                <w:szCs w:val="24"/>
                <w:lang w:eastAsia="zh-CN"/>
              </w:rPr>
              <w:t>采购</w:t>
            </w:r>
            <w:r>
              <w:rPr>
                <w:rFonts w:hint="eastAsia" w:ascii="宋体" w:hAnsi="宋体" w:eastAsia="宋体" w:cs="宋体"/>
                <w:color w:val="auto"/>
                <w:kern w:val="15"/>
                <w:sz w:val="24"/>
                <w:szCs w:val="24"/>
              </w:rPr>
              <w:t>代理范围的，应明确告知质疑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向采购人提出质疑或协调采购人答复质疑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w:t>
            </w:r>
          </w:p>
          <w:p w14:paraId="1555BC0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3、质疑应当有明确的请求和必要的证明材料。否则采购人或采购代理机构有权拒绝。</w:t>
            </w:r>
          </w:p>
        </w:tc>
      </w:tr>
      <w:tr w14:paraId="00D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5631761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1807" w:type="dxa"/>
            <w:vAlign w:val="center"/>
          </w:tcPr>
          <w:p w14:paraId="434DE96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eastAsia="宋体" w:cs="宋体"/>
                <w:bCs/>
                <w:color w:val="auto"/>
                <w:sz w:val="24"/>
                <w:szCs w:val="24"/>
                <w:highlight w:val="none"/>
                <w:lang w:val="zh-CN"/>
              </w:rPr>
              <w:t>提交响应文件截止时间</w:t>
            </w:r>
          </w:p>
        </w:tc>
        <w:tc>
          <w:tcPr>
            <w:tcW w:w="6927" w:type="dxa"/>
            <w:vAlign w:val="center"/>
          </w:tcPr>
          <w:p w14:paraId="12915D9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2025年06月26日16时30分</w:t>
            </w:r>
          </w:p>
          <w:p w14:paraId="7E01699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sz w:val="24"/>
                <w:szCs w:val="24"/>
                <w:highlight w:val="none"/>
              </w:rPr>
            </w:pPr>
            <w:r>
              <w:rPr>
                <w:rFonts w:hint="eastAsia" w:ascii="宋体" w:hAnsi="宋体" w:eastAsia="宋体" w:cs="宋体"/>
                <w:bCs/>
                <w:color w:val="auto"/>
                <w:sz w:val="24"/>
                <w:szCs w:val="24"/>
                <w:highlight w:val="none"/>
                <w:lang w:val="zh-CN" w:eastAsia="zh-CN"/>
              </w:rPr>
              <w:t>本项目执行电子化招投标，</w:t>
            </w:r>
            <w:r>
              <w:rPr>
                <w:rFonts w:hint="eastAsia" w:ascii="宋体" w:hAnsi="宋体" w:cs="宋体"/>
                <w:bCs/>
                <w:color w:val="auto"/>
                <w:sz w:val="24"/>
                <w:szCs w:val="24"/>
                <w:highlight w:val="none"/>
                <w:lang w:val="zh-CN" w:eastAsia="zh-CN"/>
              </w:rPr>
              <w:t>响应</w:t>
            </w:r>
            <w:r>
              <w:rPr>
                <w:rFonts w:hint="eastAsia" w:ascii="宋体" w:hAnsi="宋体" w:eastAsia="宋体" w:cs="宋体"/>
                <w:bCs/>
                <w:color w:val="auto"/>
                <w:sz w:val="24"/>
                <w:szCs w:val="24"/>
                <w:highlight w:val="none"/>
                <w:lang w:val="zh-CN" w:eastAsia="zh-CN"/>
              </w:rPr>
              <w:t>人须通过政府采购云平台（https://www.zcygov.cn/）递交电子版投标文件，逾期未上传电子</w:t>
            </w:r>
            <w:r>
              <w:rPr>
                <w:rFonts w:hint="eastAsia" w:ascii="宋体" w:hAnsi="宋体" w:cs="宋体"/>
                <w:bCs/>
                <w:color w:val="auto"/>
                <w:sz w:val="24"/>
                <w:szCs w:val="24"/>
                <w:highlight w:val="none"/>
                <w:lang w:val="zh-CN" w:eastAsia="zh-CN"/>
              </w:rPr>
              <w:t>谈判</w:t>
            </w:r>
            <w:r>
              <w:rPr>
                <w:rFonts w:hint="eastAsia" w:ascii="宋体" w:hAnsi="宋体" w:eastAsia="宋体" w:cs="宋体"/>
                <w:bCs/>
                <w:color w:val="auto"/>
                <w:sz w:val="24"/>
                <w:szCs w:val="24"/>
                <w:highlight w:val="none"/>
                <w:lang w:val="zh-CN" w:eastAsia="zh-CN"/>
              </w:rPr>
              <w:t>文件，将不予受理。</w:t>
            </w:r>
          </w:p>
        </w:tc>
      </w:tr>
      <w:tr w14:paraId="48F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3818411">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807" w:type="dxa"/>
            <w:vAlign w:val="center"/>
          </w:tcPr>
          <w:p w14:paraId="591DE6F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收到谈判文件澄清</w:t>
            </w:r>
            <w:r>
              <w:rPr>
                <w:rFonts w:hint="eastAsia" w:ascii="宋体" w:hAnsi="宋体" w:eastAsia="宋体" w:cs="宋体"/>
                <w:bCs/>
                <w:color w:val="auto"/>
                <w:sz w:val="24"/>
                <w:szCs w:val="24"/>
                <w:highlight w:val="none"/>
                <w:lang w:val="en-US" w:eastAsia="zh-CN"/>
              </w:rPr>
              <w:t>的形式</w:t>
            </w:r>
          </w:p>
        </w:tc>
        <w:tc>
          <w:tcPr>
            <w:tcW w:w="6927" w:type="dxa"/>
            <w:vAlign w:val="center"/>
          </w:tcPr>
          <w:p w14:paraId="051DC7F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澄清发出的同时，“政采云”平台（https://www.zcygov.cn/）以手机短信方式提醒响应人登录平台查看。响应人应注意及时浏览网上发出的澄清，无需书面回复。因响应人自身原因未及时获知澄清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16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6B45F7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1807" w:type="dxa"/>
            <w:vAlign w:val="center"/>
          </w:tcPr>
          <w:p w14:paraId="75A1A2B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供应商收到谈判文件修改</w:t>
            </w:r>
            <w:r>
              <w:rPr>
                <w:rFonts w:hint="eastAsia" w:ascii="宋体" w:hAnsi="宋体" w:eastAsia="宋体" w:cs="宋体"/>
                <w:bCs/>
                <w:color w:val="auto"/>
                <w:sz w:val="24"/>
                <w:szCs w:val="24"/>
                <w:highlight w:val="none"/>
                <w:lang w:val="en-US" w:eastAsia="zh-CN"/>
              </w:rPr>
              <w:t>的形式</w:t>
            </w:r>
          </w:p>
        </w:tc>
        <w:tc>
          <w:tcPr>
            <w:tcW w:w="6927" w:type="dxa"/>
            <w:vAlign w:val="center"/>
          </w:tcPr>
          <w:p w14:paraId="5BFA564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发出的同时，“政采云”平台（https://www.zcygov.cn/）以手机短信方式提醒响应人登录平台查看。响应人应注意及时浏览网上发出的</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，无需书面回复。因</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自身原因未及时获知</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FC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029C42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807" w:type="dxa"/>
            <w:vAlign w:val="center"/>
          </w:tcPr>
          <w:p w14:paraId="57C4589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lang w:val="zh-CN"/>
              </w:rPr>
              <w:t>构成谈判文件的其他材料</w:t>
            </w:r>
          </w:p>
        </w:tc>
        <w:tc>
          <w:tcPr>
            <w:tcW w:w="6927" w:type="dxa"/>
            <w:vAlign w:val="center"/>
          </w:tcPr>
          <w:p w14:paraId="03CB7CA5">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14:paraId="6A0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7F23617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1807" w:type="dxa"/>
            <w:vAlign w:val="center"/>
          </w:tcPr>
          <w:p w14:paraId="5CB87C50">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是否接受联合体投标</w:t>
            </w:r>
          </w:p>
        </w:tc>
        <w:tc>
          <w:tcPr>
            <w:tcW w:w="6927" w:type="dxa"/>
            <w:vAlign w:val="center"/>
          </w:tcPr>
          <w:p w14:paraId="0293FFEB">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不接受</w:t>
            </w:r>
          </w:p>
        </w:tc>
      </w:tr>
      <w:tr w14:paraId="2B7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A62C80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7" w:type="dxa"/>
            <w:vAlign w:val="center"/>
          </w:tcPr>
          <w:p w14:paraId="75A561B5">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踏勘现场</w:t>
            </w:r>
          </w:p>
        </w:tc>
        <w:tc>
          <w:tcPr>
            <w:tcW w:w="6927" w:type="dxa"/>
            <w:vAlign w:val="center"/>
          </w:tcPr>
          <w:p w14:paraId="0263C851">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不组织</w:t>
            </w:r>
          </w:p>
        </w:tc>
      </w:tr>
      <w:tr w14:paraId="4E5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46B0D76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23</w:t>
            </w:r>
          </w:p>
        </w:tc>
        <w:tc>
          <w:tcPr>
            <w:tcW w:w="1807" w:type="dxa"/>
            <w:vAlign w:val="center"/>
          </w:tcPr>
          <w:p w14:paraId="3BAFC3CC">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投标预备会</w:t>
            </w:r>
          </w:p>
        </w:tc>
        <w:tc>
          <w:tcPr>
            <w:tcW w:w="6927" w:type="dxa"/>
            <w:vAlign w:val="center"/>
          </w:tcPr>
          <w:p w14:paraId="1785DB11">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不召开</w:t>
            </w:r>
          </w:p>
        </w:tc>
      </w:tr>
      <w:tr w14:paraId="61D1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337D925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1807" w:type="dxa"/>
            <w:vAlign w:val="center"/>
          </w:tcPr>
          <w:p w14:paraId="0031774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文件份数</w:t>
            </w:r>
          </w:p>
        </w:tc>
        <w:tc>
          <w:tcPr>
            <w:tcW w:w="6927" w:type="dxa"/>
            <w:vAlign w:val="center"/>
          </w:tcPr>
          <w:p w14:paraId="464EB1F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r w14:paraId="0EF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shd w:val="clear" w:color="auto" w:fill="auto"/>
            <w:vAlign w:val="center"/>
          </w:tcPr>
          <w:p w14:paraId="6AE6926A">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25</w:t>
            </w:r>
          </w:p>
        </w:tc>
        <w:tc>
          <w:tcPr>
            <w:tcW w:w="1807" w:type="dxa"/>
            <w:shd w:val="clear" w:color="auto" w:fill="auto"/>
            <w:vAlign w:val="center"/>
          </w:tcPr>
          <w:p w14:paraId="2E496EB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装订要求</w:t>
            </w:r>
          </w:p>
        </w:tc>
        <w:tc>
          <w:tcPr>
            <w:tcW w:w="6927" w:type="dxa"/>
            <w:shd w:val="clear" w:color="auto" w:fill="auto"/>
            <w:vAlign w:val="center"/>
          </w:tcPr>
          <w:p w14:paraId="0FA68CF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投标文件的装订要整齐、牢固、采用左侧纵向无线胶订机胶订，编制目录，便于保管和利用，不能采用活页或夹条装订方式。</w:t>
            </w:r>
          </w:p>
        </w:tc>
      </w:tr>
      <w:tr w14:paraId="7CF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vAlign w:val="center"/>
          </w:tcPr>
          <w:p w14:paraId="3909A72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26</w:t>
            </w:r>
          </w:p>
        </w:tc>
        <w:tc>
          <w:tcPr>
            <w:tcW w:w="1807" w:type="dxa"/>
            <w:vAlign w:val="center"/>
          </w:tcPr>
          <w:p w14:paraId="65B27FBB">
            <w:pPr>
              <w:spacing w:line="360" w:lineRule="auto"/>
              <w:jc w:val="center"/>
              <w:rPr>
                <w:rFonts w:ascii="宋体" w:hAnsi="宋体" w:cs="宋体"/>
                <w:sz w:val="24"/>
                <w:szCs w:val="24"/>
              </w:rPr>
            </w:pPr>
            <w:r>
              <w:rPr>
                <w:rFonts w:hint="eastAsia" w:ascii="宋体" w:hAnsi="宋体" w:eastAsia="宋体" w:cs="宋体"/>
                <w:bCs/>
                <w:color w:val="auto"/>
                <w:sz w:val="24"/>
                <w:szCs w:val="24"/>
                <w:highlight w:val="none"/>
                <w:lang w:val="en-US" w:eastAsia="zh-CN"/>
              </w:rPr>
              <w:t>谈判报价</w:t>
            </w:r>
          </w:p>
        </w:tc>
        <w:tc>
          <w:tcPr>
            <w:tcW w:w="6927" w:type="dxa"/>
            <w:vAlign w:val="center"/>
          </w:tcPr>
          <w:p w14:paraId="75B70B6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供应商必须就“货物采购需求”中公布的采购内容作完整唯一报价，否则，其响应文件无效。响应文件只允许有一个报价，有选择的或有条件的报价将不予接受。</w:t>
            </w:r>
          </w:p>
          <w:p w14:paraId="65343750">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未退出谈判的供应商在规定时间内单独依次线上进行二次报价，其二次报价超出采购预算导致已通过评审的响应文件无效的，按供应商在提交响应文件截止时间后撤回响应文件处理。</w:t>
            </w:r>
          </w:p>
          <w:p w14:paraId="6A50973D">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C3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3" w:type="dxa"/>
            <w:vAlign w:val="center"/>
          </w:tcPr>
          <w:p w14:paraId="0A2F4CD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1807" w:type="dxa"/>
            <w:vAlign w:val="center"/>
          </w:tcPr>
          <w:p w14:paraId="4C5D759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谈判小组组成</w:t>
            </w:r>
          </w:p>
        </w:tc>
        <w:tc>
          <w:tcPr>
            <w:tcW w:w="6927" w:type="dxa"/>
            <w:vAlign w:val="center"/>
          </w:tcPr>
          <w:p w14:paraId="3C30C02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谈判及评审工作由采购代理机构负责组织，具体谈判、评审工作由依法组建的谈判小组负责，谈判小组由采购人代表和有关方面的专家组成。</w:t>
            </w:r>
          </w:p>
          <w:p w14:paraId="3C40714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谈判小组的构成：3人，其中采购人代表 0 人， 专家 </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 xml:space="preserve"> 人。</w:t>
            </w:r>
          </w:p>
          <w:p w14:paraId="2DC88D6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专家确定方式：</w:t>
            </w:r>
            <w:r>
              <w:rPr>
                <w:rFonts w:hint="eastAsia" w:ascii="宋体" w:hAnsi="宋体" w:eastAsia="宋体" w:cs="宋体"/>
                <w:bCs/>
                <w:color w:val="auto"/>
                <w:sz w:val="24"/>
                <w:szCs w:val="24"/>
                <w:highlight w:val="none"/>
                <w:lang w:val="zh-CN" w:eastAsia="zh-CN"/>
              </w:rPr>
              <w:t>从吉林省</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lang w:val="zh-CN" w:eastAsia="zh-CN"/>
              </w:rPr>
              <w:t>专家库中随机抽取</w:t>
            </w:r>
            <w:r>
              <w:rPr>
                <w:rFonts w:hint="eastAsia" w:ascii="宋体" w:hAnsi="宋体" w:eastAsia="宋体" w:cs="宋体"/>
                <w:bCs/>
                <w:color w:val="auto"/>
                <w:sz w:val="24"/>
                <w:szCs w:val="24"/>
                <w:highlight w:val="none"/>
                <w:lang w:val="en-US" w:eastAsia="zh-CN"/>
              </w:rPr>
              <w:t xml:space="preserve"> 。</w:t>
            </w:r>
          </w:p>
        </w:tc>
      </w:tr>
      <w:tr w14:paraId="79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6E1421C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1807" w:type="dxa"/>
            <w:vAlign w:val="center"/>
          </w:tcPr>
          <w:p w14:paraId="4926403D">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评标方法及标准</w:t>
            </w:r>
          </w:p>
        </w:tc>
        <w:tc>
          <w:tcPr>
            <w:tcW w:w="6927" w:type="dxa"/>
            <w:vAlign w:val="center"/>
          </w:tcPr>
          <w:p w14:paraId="27541ED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最低评标价法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具体详见第四章评审办法。</w:t>
            </w:r>
          </w:p>
        </w:tc>
      </w:tr>
      <w:tr w14:paraId="63B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3C531092">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29</w:t>
            </w:r>
          </w:p>
        </w:tc>
        <w:tc>
          <w:tcPr>
            <w:tcW w:w="1807" w:type="dxa"/>
            <w:vAlign w:val="center"/>
          </w:tcPr>
          <w:p w14:paraId="04EC65F5">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成交人信用信息查询</w:t>
            </w:r>
          </w:p>
          <w:p w14:paraId="19585D2E">
            <w:pPr>
              <w:spacing w:line="360" w:lineRule="auto"/>
              <w:jc w:val="center"/>
              <w:rPr>
                <w:rFonts w:hint="eastAsia" w:ascii="宋体" w:hAnsi="宋体" w:eastAsia="宋体" w:cs="宋体"/>
                <w:bCs/>
                <w:color w:val="auto"/>
                <w:sz w:val="24"/>
                <w:szCs w:val="24"/>
                <w:highlight w:val="none"/>
                <w:lang w:val="en-US" w:eastAsia="zh-CN"/>
              </w:rPr>
            </w:pPr>
          </w:p>
        </w:tc>
        <w:tc>
          <w:tcPr>
            <w:tcW w:w="6927" w:type="dxa"/>
            <w:vAlign w:val="center"/>
          </w:tcPr>
          <w:p w14:paraId="5FC2414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根据《关于做好政府采购有关信用主体标识码登记及在政府采购活动中查询使用信用记录有关问题的通知》财库〔2016〕125号的通知，采购代理机构在对成交人的成交资格进行信用查询：</w:t>
            </w:r>
          </w:p>
          <w:p w14:paraId="2B13ECE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（1）查询渠道：“信用中国”网站(www.creditchina.gov.cn)、中国政府采购网(www.ccgp.gov.cn)等；</w:t>
            </w:r>
          </w:p>
          <w:p w14:paraId="64BA4C2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（2）查询截止时点：成交通知书发出前；</w:t>
            </w:r>
          </w:p>
          <w:p w14:paraId="5D4D678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（3）信用信息查询记录和证据留存方式：在查询网站中直接打印查询记录，打印材料作为采购活动资料保存。</w:t>
            </w:r>
          </w:p>
          <w:p w14:paraId="6D0C542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30E9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3" w:type="dxa"/>
            <w:vAlign w:val="center"/>
          </w:tcPr>
          <w:p w14:paraId="1A99E540">
            <w:pPr>
              <w:spacing w:line="360" w:lineRule="auto"/>
              <w:jc w:val="center"/>
              <w:rPr>
                <w:rFonts w:hint="default" w:ascii="宋体" w:hAnsi="宋体" w:eastAsia="宋体" w:cs="宋体"/>
                <w:position w:val="-2"/>
                <w:sz w:val="24"/>
                <w:szCs w:val="24"/>
                <w:lang w:val="en-US" w:eastAsia="zh-CN"/>
              </w:rPr>
            </w:pPr>
            <w:r>
              <w:rPr>
                <w:rFonts w:hint="eastAsia" w:ascii="宋体" w:hAnsi="宋体" w:cs="宋体"/>
                <w:position w:val="-2"/>
                <w:sz w:val="24"/>
                <w:szCs w:val="24"/>
                <w:lang w:val="en-US" w:eastAsia="zh-CN"/>
              </w:rPr>
              <w:t>30</w:t>
            </w:r>
          </w:p>
        </w:tc>
        <w:tc>
          <w:tcPr>
            <w:tcW w:w="1807" w:type="dxa"/>
            <w:vAlign w:val="center"/>
          </w:tcPr>
          <w:p w14:paraId="6979FCC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成交结果公告</w:t>
            </w:r>
          </w:p>
          <w:p w14:paraId="6007F13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及成交通知书</w:t>
            </w:r>
          </w:p>
        </w:tc>
        <w:tc>
          <w:tcPr>
            <w:tcW w:w="6927" w:type="dxa"/>
            <w:vAlign w:val="center"/>
          </w:tcPr>
          <w:p w14:paraId="285808A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C5B9A5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2、在发布成交结果公告的同时，采购代理机构向成交供应商发出成交通知书。</w:t>
            </w:r>
          </w:p>
        </w:tc>
      </w:tr>
      <w:tr w14:paraId="58FF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0BD1035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c>
          <w:tcPr>
            <w:tcW w:w="1807" w:type="dxa"/>
            <w:vAlign w:val="center"/>
          </w:tcPr>
          <w:p w14:paraId="4DC0B71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履约保证金</w:t>
            </w:r>
          </w:p>
        </w:tc>
        <w:tc>
          <w:tcPr>
            <w:tcW w:w="6927" w:type="dxa"/>
            <w:shd w:val="clear" w:color="auto" w:fill="auto"/>
            <w:vAlign w:val="center"/>
          </w:tcPr>
          <w:p w14:paraId="3ED049F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成交供应商应在收到成交通知书后7天内向采购人提交成交金额5%的履约保证金。</w:t>
            </w:r>
          </w:p>
        </w:tc>
      </w:tr>
      <w:tr w14:paraId="186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469510AB">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1807" w:type="dxa"/>
            <w:vAlign w:val="center"/>
          </w:tcPr>
          <w:p w14:paraId="76EA718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近年发生诉讼及仲裁情况</w:t>
            </w:r>
          </w:p>
        </w:tc>
        <w:tc>
          <w:tcPr>
            <w:tcW w:w="6927" w:type="dxa"/>
            <w:vAlign w:val="center"/>
          </w:tcPr>
          <w:p w14:paraId="4CA9CFF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2022年至今</w:t>
            </w:r>
          </w:p>
        </w:tc>
      </w:tr>
      <w:tr w14:paraId="4E3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3" w:type="dxa"/>
            <w:vAlign w:val="center"/>
          </w:tcPr>
          <w:p w14:paraId="2ABFE0A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1807" w:type="dxa"/>
            <w:vAlign w:val="center"/>
          </w:tcPr>
          <w:p w14:paraId="45EB737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签订合同时间</w:t>
            </w:r>
          </w:p>
        </w:tc>
        <w:tc>
          <w:tcPr>
            <w:tcW w:w="6927" w:type="dxa"/>
            <w:vAlign w:val="center"/>
          </w:tcPr>
          <w:p w14:paraId="30ED79B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成交通知书发出之日起三十日内。</w:t>
            </w:r>
          </w:p>
        </w:tc>
      </w:tr>
      <w:tr w14:paraId="2F05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3" w:type="dxa"/>
            <w:vAlign w:val="center"/>
          </w:tcPr>
          <w:p w14:paraId="7C32374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w:t>
            </w:r>
          </w:p>
        </w:tc>
        <w:tc>
          <w:tcPr>
            <w:tcW w:w="1807" w:type="dxa"/>
            <w:vAlign w:val="center"/>
          </w:tcPr>
          <w:p w14:paraId="7F2FF83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合同备案存档</w:t>
            </w:r>
          </w:p>
        </w:tc>
        <w:tc>
          <w:tcPr>
            <w:tcW w:w="6927" w:type="dxa"/>
            <w:vAlign w:val="center"/>
          </w:tcPr>
          <w:p w14:paraId="5BEB5EB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政府采购合同双方自签订之日起1个工作日内将合同原件</w:t>
            </w:r>
            <w:r>
              <w:rPr>
                <w:rFonts w:hint="eastAsia" w:ascii="宋体" w:hAnsi="宋体" w:cs="宋体"/>
                <w:bCs/>
                <w:color w:val="auto"/>
                <w:sz w:val="24"/>
                <w:szCs w:val="24"/>
                <w:highlight w:val="none"/>
                <w:lang w:val="en-US" w:eastAsia="zh-CN"/>
              </w:rPr>
              <w:t>或复印件</w:t>
            </w:r>
            <w:r>
              <w:rPr>
                <w:rFonts w:hint="eastAsia" w:ascii="宋体" w:hAnsi="宋体" w:eastAsia="宋体" w:cs="宋体"/>
                <w:bCs/>
                <w:color w:val="auto"/>
                <w:sz w:val="24"/>
                <w:szCs w:val="24"/>
                <w:highlight w:val="none"/>
                <w:lang w:val="en-US" w:eastAsia="zh-CN"/>
              </w:rPr>
              <w:t>一份交采购代理机构。</w:t>
            </w:r>
          </w:p>
        </w:tc>
      </w:tr>
      <w:tr w14:paraId="28B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23CE8A4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1807" w:type="dxa"/>
          </w:tcPr>
          <w:p w14:paraId="59923EC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 保 金</w:t>
            </w:r>
          </w:p>
        </w:tc>
        <w:tc>
          <w:tcPr>
            <w:tcW w:w="6927" w:type="dxa"/>
          </w:tcPr>
          <w:p w14:paraId="587398E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以实际签订合同为准</w:t>
            </w:r>
          </w:p>
        </w:tc>
      </w:tr>
      <w:tr w14:paraId="466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477E9997">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36</w:t>
            </w:r>
          </w:p>
        </w:tc>
        <w:tc>
          <w:tcPr>
            <w:tcW w:w="1807" w:type="dxa"/>
            <w:vAlign w:val="center"/>
          </w:tcPr>
          <w:p w14:paraId="2F6704D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是否为专门面向中小企业采购</w:t>
            </w:r>
          </w:p>
        </w:tc>
        <w:tc>
          <w:tcPr>
            <w:tcW w:w="6927" w:type="dxa"/>
            <w:vAlign w:val="center"/>
          </w:tcPr>
          <w:p w14:paraId="133CA80F">
            <w:pPr>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一、是否为专门面向中小企业采购：</w:t>
            </w:r>
            <w:r>
              <w:rPr>
                <w:rFonts w:hint="eastAsia" w:ascii="宋体" w:hAnsi="宋体" w:cs="宋体"/>
                <w:bCs/>
                <w:color w:val="auto"/>
                <w:sz w:val="24"/>
                <w:szCs w:val="24"/>
                <w:highlight w:val="none"/>
                <w:lang w:val="en-US" w:eastAsia="zh-CN"/>
              </w:rPr>
              <w:t>否</w:t>
            </w:r>
          </w:p>
          <w:p w14:paraId="1CA001D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二、采购标的对应的中小企业划分标准所属行业：软件和信息技术服务业</w:t>
            </w:r>
          </w:p>
        </w:tc>
      </w:tr>
      <w:tr w14:paraId="66C5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3" w:type="dxa"/>
            <w:vAlign w:val="center"/>
          </w:tcPr>
          <w:p w14:paraId="04A32167">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37</w:t>
            </w:r>
          </w:p>
        </w:tc>
        <w:tc>
          <w:tcPr>
            <w:tcW w:w="1807" w:type="dxa"/>
            <w:vAlign w:val="center"/>
          </w:tcPr>
          <w:p w14:paraId="63C17DE2">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中小企业</w:t>
            </w:r>
            <w:r>
              <w:rPr>
                <w:rFonts w:hint="eastAsia" w:ascii="宋体" w:hAnsi="宋体" w:eastAsia="宋体" w:cs="宋体"/>
                <w:bCs/>
                <w:color w:val="auto"/>
                <w:sz w:val="24"/>
                <w:szCs w:val="24"/>
                <w:highlight w:val="none"/>
                <w:lang w:val="en-US" w:eastAsia="zh-CN"/>
              </w:rPr>
              <w:t>报价扣除</w:t>
            </w:r>
          </w:p>
        </w:tc>
        <w:tc>
          <w:tcPr>
            <w:tcW w:w="6927" w:type="dxa"/>
            <w:vAlign w:val="center"/>
          </w:tcPr>
          <w:p w14:paraId="74BF907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（1）小型和微型企业价格扣除：10%。 </w:t>
            </w:r>
          </w:p>
          <w:p w14:paraId="68C221E4">
            <w:pPr>
              <w:keepNext w:val="0"/>
              <w:keepLines w:val="0"/>
              <w:widowControl/>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（2）监狱企业价格扣除：同小型和微型企业</w:t>
            </w:r>
          </w:p>
        </w:tc>
      </w:tr>
      <w:tr w14:paraId="5A12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63C70493">
            <w:pPr>
              <w:spacing w:line="360" w:lineRule="auto"/>
              <w:jc w:val="left"/>
              <w:rPr>
                <w:rFonts w:hint="eastAsia" w:ascii="宋体" w:hAnsi="宋体" w:eastAsia="宋体" w:cs="宋体"/>
                <w:bCs/>
                <w:color w:val="auto"/>
                <w:sz w:val="24"/>
                <w:szCs w:val="24"/>
                <w:highlight w:val="none"/>
                <w:lang w:val="zh-CN" w:eastAsia="zh-CN"/>
              </w:rPr>
            </w:pPr>
          </w:p>
        </w:tc>
        <w:tc>
          <w:tcPr>
            <w:tcW w:w="8734" w:type="dxa"/>
            <w:gridSpan w:val="2"/>
            <w:vAlign w:val="center"/>
          </w:tcPr>
          <w:p w14:paraId="0B97BD1C">
            <w:pPr>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需要补充的其他内容</w:t>
            </w:r>
          </w:p>
        </w:tc>
      </w:tr>
      <w:tr w14:paraId="0F7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03A49D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lang w:val="zh-CN"/>
              </w:rPr>
              <w:t>低于成本报价</w:t>
            </w:r>
          </w:p>
        </w:tc>
        <w:tc>
          <w:tcPr>
            <w:tcW w:w="8734" w:type="dxa"/>
            <w:gridSpan w:val="2"/>
            <w:vAlign w:val="center"/>
          </w:tcPr>
          <w:p w14:paraId="56892AE5">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lang w:val="zh-CN"/>
              </w:rPr>
              <w:t>依据财政部第</w:t>
            </w:r>
            <w:r>
              <w:rPr>
                <w:rFonts w:hint="eastAsia" w:ascii="宋体" w:hAnsi="宋体" w:cs="宋体"/>
                <w:color w:val="auto"/>
                <w:kern w:val="0"/>
                <w:sz w:val="24"/>
                <w:szCs w:val="24"/>
              </w:rPr>
              <w:t>87号令第60条：</w:t>
            </w:r>
            <w:r>
              <w:rPr>
                <w:rFonts w:hint="eastAsia" w:ascii="宋体" w:hAnsi="宋体" w:cs="宋体"/>
                <w:color w:val="auto"/>
                <w:kern w:val="0"/>
                <w:sz w:val="24"/>
                <w:szCs w:val="24"/>
                <w:lang w:val="zh-CN"/>
              </w:rPr>
              <w:t>评标委员会发现供应商的报价明显低于其他通过符合性审查供应商的报价，有可能影响产品质量或者不能诚信履约的，应当要求该供应商在评标现场合理时间内作出书面说明并提供相应的证明材料。供应商不能合理说明或者不能提供相应证明材料的，由评标委员会认定该供应商以低于成本报价竞标，其投标将被否决。</w:t>
            </w:r>
          </w:p>
        </w:tc>
      </w:tr>
      <w:tr w14:paraId="7796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5562E9CB">
            <w:pPr>
              <w:spacing w:line="360" w:lineRule="auto"/>
              <w:rPr>
                <w:rFonts w:hint="eastAsia" w:ascii="宋体" w:hAnsi="宋体" w:cs="宋体"/>
                <w:sz w:val="24"/>
                <w:szCs w:val="24"/>
                <w:highlight w:val="none"/>
              </w:rPr>
            </w:pPr>
            <w:r>
              <w:rPr>
                <w:rFonts w:hint="eastAsia" w:ascii="宋体" w:hAnsi="宋体" w:cs="宋体"/>
                <w:color w:val="auto"/>
                <w:sz w:val="24"/>
                <w:szCs w:val="24"/>
                <w:highlight w:val="none"/>
              </w:rPr>
              <w:t>招标代理服务费</w:t>
            </w:r>
          </w:p>
        </w:tc>
        <w:tc>
          <w:tcPr>
            <w:tcW w:w="8734" w:type="dxa"/>
            <w:gridSpan w:val="2"/>
            <w:vAlign w:val="center"/>
          </w:tcPr>
          <w:p w14:paraId="651C3ACF">
            <w:pPr>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参照国家发展改革委发改价格【2015】299号文件的取费标准。由中标人支付。</w:t>
            </w:r>
          </w:p>
        </w:tc>
      </w:tr>
      <w:tr w14:paraId="31A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48A091F4">
            <w:pPr>
              <w:spacing w:line="360" w:lineRule="auto"/>
              <w:rPr>
                <w:rFonts w:hint="eastAsia" w:ascii="宋体" w:hAnsi="宋体" w:cs="宋体"/>
                <w:color w:val="auto"/>
                <w:sz w:val="24"/>
                <w:szCs w:val="24"/>
              </w:rPr>
            </w:pPr>
            <w:r>
              <w:rPr>
                <w:rFonts w:hint="eastAsia" w:ascii="宋体" w:hAnsi="宋体" w:cs="宋体"/>
                <w:color w:val="auto"/>
                <w:sz w:val="24"/>
                <w:szCs w:val="24"/>
              </w:rPr>
              <w:t>解释权</w:t>
            </w:r>
          </w:p>
        </w:tc>
        <w:tc>
          <w:tcPr>
            <w:tcW w:w="8734" w:type="dxa"/>
            <w:gridSpan w:val="2"/>
            <w:vAlign w:val="center"/>
          </w:tcPr>
          <w:p w14:paraId="44459A0F">
            <w:pPr>
              <w:spacing w:line="360" w:lineRule="auto"/>
              <w:jc w:val="left"/>
              <w:rPr>
                <w:rFonts w:hint="eastAsia" w:ascii="宋体" w:hAnsi="宋体" w:cs="宋体"/>
                <w:color w:val="auto"/>
                <w:sz w:val="24"/>
                <w:szCs w:val="24"/>
              </w:rPr>
            </w:pPr>
            <w:r>
              <w:rPr>
                <w:rFonts w:hint="eastAsia" w:ascii="宋体" w:hAnsi="宋体" w:cs="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cs="宋体"/>
                <w:color w:val="auto"/>
                <w:sz w:val="24"/>
                <w:szCs w:val="24"/>
                <w:lang w:eastAsia="zh-CN"/>
              </w:rPr>
              <w:t>供应商</w:t>
            </w:r>
            <w:r>
              <w:rPr>
                <w:rFonts w:hint="eastAsia" w:ascii="宋体" w:hAnsi="宋体" w:cs="宋体"/>
                <w:color w:val="auto"/>
                <w:sz w:val="24"/>
                <w:szCs w:val="24"/>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25A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2D268107">
            <w:pPr>
              <w:spacing w:line="360" w:lineRule="auto"/>
              <w:rPr>
                <w:rFonts w:hint="eastAsia" w:ascii="宋体" w:hAnsi="宋体" w:cs="宋体"/>
                <w:color w:val="auto"/>
                <w:sz w:val="24"/>
                <w:szCs w:val="24"/>
              </w:rPr>
            </w:pPr>
            <w:r>
              <w:rPr>
                <w:rFonts w:hint="eastAsia" w:ascii="宋体" w:hAnsi="宋体" w:cs="宋体"/>
                <w:color w:val="auto"/>
                <w:sz w:val="24"/>
                <w:szCs w:val="24"/>
              </w:rPr>
              <w:t>其他要求</w:t>
            </w:r>
          </w:p>
        </w:tc>
        <w:tc>
          <w:tcPr>
            <w:tcW w:w="8734" w:type="dxa"/>
            <w:gridSpan w:val="2"/>
            <w:vAlign w:val="center"/>
          </w:tcPr>
          <w:p w14:paraId="6D0B72A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供应商必须保证投标时所报资料真实有效，采购人保留对资料的核查权力，一旦发现资料有虚假现象将没收供应商全部投标保证金，并移交有关部门处理。</w:t>
            </w:r>
          </w:p>
          <w:p w14:paraId="4B57C8C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自行组织踏勘，并须结合现场踏勘的情况及招标文件要求，将本项目所涉及的所有风险及费用全部含在投标报价中。</w:t>
            </w:r>
          </w:p>
          <w:p w14:paraId="23F965AF">
            <w:pPr>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、本次投标报价应包含现场踏勘费及相关配套编制的人工、材料及完成本项目所涉及的一切等费用。</w:t>
            </w:r>
          </w:p>
        </w:tc>
      </w:tr>
      <w:tr w14:paraId="31F8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1EFA67EF">
            <w:pPr>
              <w:spacing w:line="360" w:lineRule="auto"/>
              <w:jc w:val="center"/>
              <w:rPr>
                <w:rFonts w:hint="eastAsia" w:ascii="宋体" w:hAnsi="宋体" w:cs="宋体"/>
                <w:color w:val="auto"/>
                <w:sz w:val="24"/>
                <w:szCs w:val="24"/>
              </w:rPr>
            </w:pPr>
          </w:p>
        </w:tc>
        <w:tc>
          <w:tcPr>
            <w:tcW w:w="8734" w:type="dxa"/>
            <w:gridSpan w:val="2"/>
            <w:vAlign w:val="center"/>
          </w:tcPr>
          <w:p w14:paraId="2E4CAF2A">
            <w:pPr>
              <w:spacing w:line="360" w:lineRule="auto"/>
              <w:jc w:val="center"/>
              <w:rPr>
                <w:rFonts w:hint="eastAsia" w:ascii="宋体" w:hAnsi="宋体" w:cs="宋体"/>
                <w:color w:val="auto"/>
                <w:sz w:val="24"/>
                <w:szCs w:val="24"/>
              </w:rPr>
            </w:pPr>
            <w:r>
              <w:rPr>
                <w:rFonts w:hint="eastAsia" w:ascii="宋体" w:hAnsi="宋体" w:cs="宋体"/>
                <w:b/>
                <w:bCs/>
                <w:color w:val="auto"/>
                <w:sz w:val="24"/>
                <w:szCs w:val="24"/>
              </w:rPr>
              <w:t>如</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公告与</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文件不符，按</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文件为准。</w:t>
            </w:r>
          </w:p>
        </w:tc>
      </w:tr>
      <w:tr w14:paraId="01A5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3BEFD24">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电子招投标相关说明</w:t>
            </w:r>
          </w:p>
        </w:tc>
        <w:tc>
          <w:tcPr>
            <w:tcW w:w="8734" w:type="dxa"/>
            <w:gridSpan w:val="2"/>
            <w:vAlign w:val="center"/>
          </w:tcPr>
          <w:p w14:paraId="2EC19167">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远程不见面开标具体要求：</w:t>
            </w:r>
          </w:p>
          <w:p w14:paraId="13DCB533">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开标项目的时间均以国家授时中心发布的时间为准。</w:t>
            </w:r>
          </w:p>
          <w:p w14:paraId="2D28C2A0">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潜在供应商应当在投标截止时间前，完成电子交易平台上的 CA 数字证书办理及投标文件的提交。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只需办理其中一家CA数字证书及签章，建议各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抓紧时间办理。</w:t>
            </w:r>
          </w:p>
          <w:p w14:paraId="5465BC46">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依照</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的规定完成电子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的编制和提交。如未按</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要求编制、提交电子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，将可能导致否决投标，其后果由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自负。</w:t>
            </w:r>
          </w:p>
          <w:p w14:paraId="058DC51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应充分考虑到网络及系统平台可能存在的突发状况，在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编制完成后尽早完成上传。</w:t>
            </w:r>
          </w:p>
          <w:p w14:paraId="642B16B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当日，供应商不必抵达开标现场，须于投标文件提交截止时间前登录“政采云”平台电子开标大厅，进入所参与项目。投标文件提交截止时间后，通过系统开启投标文件解密的指令，供应商可在任意地点按规定时间自行实施远程解密，解密限定在规定时间内完成，未能按要求进行解密的，由此产生的后果由供应商自行承担。</w:t>
            </w:r>
          </w:p>
          <w:p w14:paraId="6AAAF653">
            <w:pPr>
              <w:spacing w:line="360" w:lineRule="auto"/>
              <w:jc w:val="left"/>
              <w:rPr>
                <w:rFonts w:hint="eastAsia"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必须使用能正确解密</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的CA在规定的时间内完成远程解密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如遇见</w:t>
            </w:r>
            <w:r>
              <w:rPr>
                <w:rFonts w:hint="eastAsia" w:ascii="宋体" w:hAnsi="宋体" w:eastAsia="宋体" w:cs="宋体"/>
                <w:color w:val="auto"/>
                <w:sz w:val="24"/>
                <w:szCs w:val="24"/>
                <w:lang w:eastAsia="zh-Hans"/>
              </w:rPr>
              <w:t>CA</w:t>
            </w:r>
            <w:r>
              <w:rPr>
                <w:rFonts w:hint="eastAsia" w:ascii="宋体" w:hAnsi="宋体" w:eastAsia="宋体" w:cs="宋体"/>
                <w:color w:val="auto"/>
                <w:sz w:val="24"/>
                <w:szCs w:val="24"/>
                <w:lang w:val="en-US" w:eastAsia="zh-Hans"/>
              </w:rPr>
              <w:t>故障无法解密可联系</w:t>
            </w:r>
            <w:r>
              <w:rPr>
                <w:rFonts w:hint="eastAsia" w:ascii="宋体" w:hAnsi="宋体" w:eastAsia="宋体" w:cs="宋体"/>
                <w:color w:val="auto"/>
                <w:sz w:val="24"/>
                <w:szCs w:val="24"/>
                <w:lang w:val="en-US" w:eastAsia="zh-CN"/>
              </w:rPr>
              <w:t>客服。</w:t>
            </w:r>
            <w:r>
              <w:rPr>
                <w:rFonts w:hint="eastAsia" w:ascii="宋体" w:hAnsi="宋体" w:eastAsia="宋体" w:cs="宋体"/>
                <w:color w:val="auto"/>
                <w:sz w:val="24"/>
                <w:szCs w:val="24"/>
                <w:lang w:val="en-US" w:eastAsia="zh-Hans"/>
              </w:rPr>
              <w:t>政</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val="en-US" w:eastAsia="zh-Hans"/>
              </w:rPr>
              <w:t>云客服</w:t>
            </w:r>
            <w:r>
              <w:rPr>
                <w:rFonts w:hint="eastAsia" w:ascii="宋体" w:hAnsi="宋体" w:eastAsia="宋体" w:cs="宋体"/>
                <w:color w:val="auto"/>
                <w:sz w:val="24"/>
                <w:szCs w:val="24"/>
                <w:lang w:eastAsia="zh-Hans"/>
              </w:rPr>
              <w:t>：95763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原因未能解密、解密失败或解密超时，视为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或系统原因，导致无法按时完成</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解密或开标、评标工作无法进行的，可根据实际情况相应延迟解密时间或调整开标、评标时间。</w:t>
            </w:r>
          </w:p>
        </w:tc>
      </w:tr>
    </w:tbl>
    <w:p w14:paraId="75B7CD7F">
      <w:pPr>
        <w:jc w:val="center"/>
        <w:outlineLvl w:val="1"/>
        <w:rPr>
          <w:rFonts w:ascii="宋体"/>
          <w:b/>
          <w:bCs/>
          <w:color w:val="auto"/>
          <w:sz w:val="28"/>
        </w:rPr>
      </w:pPr>
      <w:r>
        <w:rPr>
          <w:rFonts w:hint="eastAsia" w:ascii="宋体" w:hAnsi="宋体" w:cs="宋体"/>
          <w:b/>
          <w:szCs w:val="21"/>
        </w:rPr>
        <w:br w:type="page"/>
      </w:r>
      <w:bookmarkStart w:id="7" w:name="_Toc22899"/>
      <w:bookmarkStart w:id="8" w:name="_Toc103723518"/>
      <w:r>
        <w:rPr>
          <w:rFonts w:hint="eastAsia" w:ascii="宋体"/>
          <w:b/>
          <w:bCs/>
          <w:color w:val="auto"/>
          <w:sz w:val="28"/>
        </w:rPr>
        <w:t>二、总则</w:t>
      </w:r>
      <w:bookmarkEnd w:id="7"/>
      <w:bookmarkEnd w:id="8"/>
    </w:p>
    <w:p w14:paraId="490F2602">
      <w:pPr>
        <w:spacing w:line="360" w:lineRule="auto"/>
        <w:rPr>
          <w:rFonts w:ascii="宋体" w:hAnsi="宋体"/>
          <w:color w:val="auto"/>
          <w:sz w:val="24"/>
        </w:rPr>
      </w:pPr>
      <w:r>
        <w:rPr>
          <w:rFonts w:hint="eastAsia" w:ascii="宋体" w:hAnsi="宋体"/>
          <w:b/>
          <w:color w:val="auto"/>
          <w:sz w:val="24"/>
        </w:rPr>
        <w:t>1.项目概况</w:t>
      </w:r>
    </w:p>
    <w:p w14:paraId="49632114">
      <w:pPr>
        <w:spacing w:line="360" w:lineRule="auto"/>
        <w:rPr>
          <w:rFonts w:ascii="宋体" w:hAnsi="宋体"/>
          <w:color w:val="auto"/>
          <w:sz w:val="24"/>
        </w:rPr>
      </w:pPr>
      <w:r>
        <w:rPr>
          <w:rFonts w:hint="eastAsia" w:ascii="宋体" w:hAnsi="宋体"/>
          <w:color w:val="auto"/>
          <w:sz w:val="24"/>
        </w:rPr>
        <w:t>1.1根据《中华人民共和国政府采购法》、《中华人民共和国政府采购法实施条例》等有关法律、法规和规章的规定，本采购项目已经具备招标条件，现对项目进行采购。</w:t>
      </w:r>
    </w:p>
    <w:p w14:paraId="5198D2B1">
      <w:pPr>
        <w:spacing w:line="360" w:lineRule="auto"/>
        <w:rPr>
          <w:rFonts w:ascii="宋体" w:hAnsi="宋体"/>
          <w:color w:val="auto"/>
          <w:sz w:val="24"/>
        </w:rPr>
      </w:pPr>
      <w:r>
        <w:rPr>
          <w:rFonts w:hint="eastAsia" w:ascii="宋体" w:hAnsi="宋体"/>
          <w:color w:val="auto"/>
          <w:sz w:val="24"/>
        </w:rPr>
        <w:t>1.2本采购项目采购人：见本须知前附表。</w:t>
      </w:r>
    </w:p>
    <w:p w14:paraId="2929C406">
      <w:pPr>
        <w:spacing w:line="360" w:lineRule="auto"/>
        <w:rPr>
          <w:rFonts w:ascii="宋体" w:hAnsi="宋体"/>
          <w:color w:val="auto"/>
          <w:sz w:val="24"/>
        </w:rPr>
      </w:pPr>
      <w:r>
        <w:rPr>
          <w:rFonts w:hint="eastAsia" w:ascii="宋体" w:hAnsi="宋体"/>
          <w:color w:val="auto"/>
          <w:sz w:val="24"/>
        </w:rPr>
        <w:t>1.3本采购项目采购代理机构：见本须知前附表。</w:t>
      </w:r>
    </w:p>
    <w:p w14:paraId="12F73ADB">
      <w:pPr>
        <w:spacing w:line="360" w:lineRule="auto"/>
        <w:rPr>
          <w:rFonts w:ascii="宋体" w:hAnsi="宋体"/>
          <w:color w:val="auto"/>
          <w:sz w:val="24"/>
        </w:rPr>
      </w:pPr>
      <w:r>
        <w:rPr>
          <w:rFonts w:hint="eastAsia" w:ascii="宋体" w:hAnsi="宋体"/>
          <w:color w:val="auto"/>
          <w:sz w:val="24"/>
        </w:rPr>
        <w:t>1.4本采购项目名称及项目编号：见本须知前附表。</w:t>
      </w:r>
    </w:p>
    <w:p w14:paraId="5DBC62AA">
      <w:pPr>
        <w:spacing w:line="360" w:lineRule="auto"/>
        <w:rPr>
          <w:rFonts w:ascii="宋体" w:hAnsi="宋体"/>
          <w:color w:val="auto"/>
          <w:sz w:val="24"/>
        </w:rPr>
      </w:pPr>
      <w:r>
        <w:rPr>
          <w:rFonts w:hint="eastAsia" w:ascii="宋体" w:hAnsi="宋体"/>
          <w:color w:val="auto"/>
          <w:sz w:val="24"/>
        </w:rPr>
        <w:t>1.5本项目实施地点：见本须知前附表。</w:t>
      </w:r>
    </w:p>
    <w:p w14:paraId="20CDD317">
      <w:pPr>
        <w:spacing w:line="360" w:lineRule="auto"/>
        <w:rPr>
          <w:rFonts w:ascii="宋体" w:hAnsi="宋体"/>
          <w:color w:val="auto"/>
          <w:sz w:val="24"/>
        </w:rPr>
      </w:pPr>
      <w:r>
        <w:rPr>
          <w:rFonts w:hint="eastAsia" w:ascii="宋体" w:hAnsi="宋体"/>
          <w:b/>
          <w:color w:val="auto"/>
          <w:sz w:val="24"/>
        </w:rPr>
        <w:t>2.资金来源和落实情况</w:t>
      </w:r>
    </w:p>
    <w:p w14:paraId="55C42185">
      <w:pPr>
        <w:spacing w:line="360" w:lineRule="auto"/>
        <w:rPr>
          <w:rFonts w:ascii="宋体" w:hAnsi="宋体"/>
          <w:color w:val="auto"/>
          <w:sz w:val="24"/>
        </w:rPr>
      </w:pPr>
      <w:r>
        <w:rPr>
          <w:rFonts w:hint="eastAsia" w:ascii="宋体" w:hAnsi="宋体"/>
          <w:color w:val="auto"/>
          <w:sz w:val="24"/>
        </w:rPr>
        <w:t>2.1本次采购项目的资金来源：见本须知前附表。</w:t>
      </w:r>
    </w:p>
    <w:p w14:paraId="3B474E31">
      <w:pPr>
        <w:spacing w:line="360" w:lineRule="auto"/>
        <w:rPr>
          <w:rFonts w:ascii="宋体" w:hAnsi="宋体"/>
          <w:color w:val="auto"/>
          <w:sz w:val="24"/>
        </w:rPr>
      </w:pPr>
      <w:r>
        <w:rPr>
          <w:rFonts w:hint="eastAsia" w:ascii="宋体" w:hAnsi="宋体"/>
          <w:color w:val="auto"/>
          <w:sz w:val="24"/>
        </w:rPr>
        <w:t>2.2本次采购项目的资金落实情况：见本须知前附表。</w:t>
      </w:r>
    </w:p>
    <w:p w14:paraId="6F883B5C">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谈判采购内容、服务期和质量要求</w:t>
      </w:r>
    </w:p>
    <w:p w14:paraId="7BA0E8DC">
      <w:pPr>
        <w:spacing w:line="360" w:lineRule="auto"/>
        <w:rPr>
          <w:rFonts w:ascii="宋体" w:hAnsi="宋体"/>
          <w:color w:val="auto"/>
          <w:sz w:val="24"/>
        </w:rPr>
      </w:pPr>
      <w:r>
        <w:rPr>
          <w:rFonts w:hint="eastAsia" w:ascii="宋体" w:hAnsi="宋体"/>
          <w:color w:val="auto"/>
          <w:sz w:val="24"/>
        </w:rPr>
        <w:t>3.1本次谈判采购内容：见本须知前附表。</w:t>
      </w:r>
    </w:p>
    <w:p w14:paraId="4F809D2A">
      <w:pPr>
        <w:spacing w:line="360" w:lineRule="auto"/>
        <w:rPr>
          <w:rFonts w:ascii="宋体" w:hAnsi="宋体"/>
          <w:color w:val="auto"/>
          <w:sz w:val="24"/>
        </w:rPr>
      </w:pPr>
      <w:r>
        <w:rPr>
          <w:rFonts w:hint="eastAsia" w:ascii="宋体" w:hAnsi="宋体"/>
          <w:color w:val="auto"/>
          <w:sz w:val="24"/>
        </w:rPr>
        <w:t>3.2本次采购的供货期：见本须知前附表。</w:t>
      </w:r>
    </w:p>
    <w:p w14:paraId="03E815D0">
      <w:pPr>
        <w:spacing w:line="360" w:lineRule="auto"/>
        <w:rPr>
          <w:rFonts w:ascii="宋体" w:hAnsi="宋体"/>
          <w:color w:val="auto"/>
          <w:sz w:val="24"/>
        </w:rPr>
      </w:pPr>
      <w:r>
        <w:rPr>
          <w:rFonts w:hint="eastAsia" w:ascii="宋体" w:hAnsi="宋体"/>
          <w:color w:val="auto"/>
          <w:sz w:val="24"/>
        </w:rPr>
        <w:t>3.3本项目的质量要求：见本须知前附表。</w:t>
      </w:r>
    </w:p>
    <w:p w14:paraId="74B5267F">
      <w:pPr>
        <w:spacing w:line="360" w:lineRule="auto"/>
        <w:rPr>
          <w:rFonts w:ascii="宋体" w:hAnsi="宋体"/>
          <w:b/>
          <w:color w:val="auto"/>
          <w:sz w:val="24"/>
        </w:rPr>
      </w:pPr>
      <w:r>
        <w:rPr>
          <w:rFonts w:hint="eastAsia" w:ascii="宋体" w:hAnsi="宋体"/>
          <w:b/>
          <w:color w:val="auto"/>
          <w:sz w:val="24"/>
        </w:rPr>
        <w:t>4.谈判供应商的资格标准与合格条件</w:t>
      </w:r>
    </w:p>
    <w:p w14:paraId="7414D971">
      <w:pPr>
        <w:spacing w:line="360" w:lineRule="auto"/>
        <w:rPr>
          <w:rFonts w:ascii="宋体" w:hAnsi="宋体"/>
          <w:color w:val="auto"/>
          <w:sz w:val="24"/>
        </w:rPr>
      </w:pPr>
      <w:r>
        <w:rPr>
          <w:rFonts w:hint="eastAsia" w:ascii="宋体" w:hAnsi="宋体"/>
          <w:color w:val="auto"/>
          <w:sz w:val="24"/>
        </w:rPr>
        <w:t>4.1谈判供应商应具备承担本项目的资质条件：见本须知前附表。</w:t>
      </w:r>
    </w:p>
    <w:p w14:paraId="0D406A1F">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.2本项目是否接授联合体响应：见本须知前附表。</w:t>
      </w:r>
    </w:p>
    <w:p w14:paraId="20A4A1BA">
      <w:pPr>
        <w:spacing w:line="360" w:lineRule="auto"/>
        <w:rPr>
          <w:rFonts w:ascii="宋体" w:hAnsi="宋体"/>
          <w:color w:val="auto"/>
          <w:sz w:val="24"/>
        </w:rPr>
      </w:pPr>
      <w:r>
        <w:rPr>
          <w:rFonts w:hint="eastAsia" w:ascii="宋体" w:hAnsi="宋体"/>
          <w:color w:val="auto"/>
          <w:sz w:val="24"/>
        </w:rPr>
        <w:t>4.3谈判供应商不得存在下列情形之一：</w:t>
      </w:r>
    </w:p>
    <w:p w14:paraId="5F00ABC1">
      <w:pPr>
        <w:spacing w:line="360" w:lineRule="auto"/>
        <w:rPr>
          <w:rFonts w:ascii="宋体" w:hAnsi="宋体"/>
          <w:color w:val="auto"/>
          <w:sz w:val="24"/>
        </w:rPr>
      </w:pPr>
      <w:r>
        <w:rPr>
          <w:rFonts w:hint="eastAsia" w:ascii="宋体" w:hAnsi="宋体"/>
          <w:color w:val="auto"/>
          <w:sz w:val="24"/>
        </w:rPr>
        <w:t>4.3.1为采购人的不具有独立法人资格的附属机构（单位）；</w:t>
      </w:r>
    </w:p>
    <w:p w14:paraId="6B7C1A90">
      <w:pPr>
        <w:spacing w:line="360" w:lineRule="auto"/>
        <w:rPr>
          <w:rFonts w:ascii="宋体" w:hAnsi="宋体"/>
          <w:color w:val="auto"/>
          <w:sz w:val="24"/>
        </w:rPr>
      </w:pPr>
      <w:r>
        <w:rPr>
          <w:rFonts w:ascii="宋体" w:hAnsi="宋体"/>
          <w:color w:val="auto"/>
          <w:sz w:val="24"/>
        </w:rPr>
        <w:t>4.3.2</w:t>
      </w:r>
      <w:r>
        <w:rPr>
          <w:rFonts w:hint="eastAsia" w:ascii="宋体" w:hAnsi="宋体"/>
          <w:color w:val="auto"/>
          <w:sz w:val="24"/>
        </w:rPr>
        <w:t>与</w:t>
      </w:r>
      <w:r>
        <w:rPr>
          <w:rFonts w:ascii="宋体" w:hAnsi="宋体"/>
          <w:color w:val="auto"/>
          <w:sz w:val="24"/>
        </w:rPr>
        <w:t>本项目其他谈判供应商</w:t>
      </w:r>
      <w:r>
        <w:rPr>
          <w:rFonts w:hint="eastAsia" w:ascii="宋体" w:hAnsi="宋体"/>
          <w:color w:val="auto"/>
          <w:sz w:val="24"/>
        </w:rPr>
        <w:t>单位</w:t>
      </w:r>
      <w:r>
        <w:rPr>
          <w:rFonts w:ascii="宋体" w:hAnsi="宋体"/>
          <w:color w:val="auto"/>
          <w:sz w:val="24"/>
        </w:rPr>
        <w:t>负责人为同一人</w:t>
      </w:r>
      <w:r>
        <w:rPr>
          <w:rFonts w:hint="eastAsia" w:ascii="宋体" w:hAnsi="宋体"/>
          <w:color w:val="auto"/>
          <w:sz w:val="24"/>
        </w:rPr>
        <w:t>或</w:t>
      </w:r>
      <w:r>
        <w:rPr>
          <w:rFonts w:ascii="宋体" w:hAnsi="宋体"/>
          <w:color w:val="auto"/>
          <w:sz w:val="24"/>
        </w:rPr>
        <w:t>存在控股</w:t>
      </w:r>
      <w:r>
        <w:rPr>
          <w:rFonts w:hint="eastAsia" w:ascii="宋体" w:hAnsi="宋体"/>
          <w:color w:val="auto"/>
          <w:sz w:val="24"/>
        </w:rPr>
        <w:t>、</w:t>
      </w:r>
      <w:r>
        <w:rPr>
          <w:rFonts w:ascii="宋体" w:hAnsi="宋体"/>
          <w:color w:val="auto"/>
          <w:sz w:val="24"/>
        </w:rPr>
        <w:t>管理关系的；</w:t>
      </w:r>
    </w:p>
    <w:p w14:paraId="5CEA3E87">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3</w:t>
      </w:r>
      <w:r>
        <w:rPr>
          <w:rFonts w:hint="eastAsia" w:ascii="宋体" w:hAnsi="宋体"/>
          <w:color w:val="auto"/>
          <w:sz w:val="24"/>
        </w:rPr>
        <w:t>为本项目前期准备提供设计或咨询服务的；</w:t>
      </w:r>
    </w:p>
    <w:p w14:paraId="12EB1E78">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4</w:t>
      </w:r>
      <w:r>
        <w:rPr>
          <w:rFonts w:hint="eastAsia" w:ascii="宋体" w:hAnsi="宋体"/>
          <w:color w:val="auto"/>
          <w:sz w:val="24"/>
        </w:rPr>
        <w:t>被责令停业的；</w:t>
      </w:r>
    </w:p>
    <w:p w14:paraId="149DE2BD">
      <w:pPr>
        <w:spacing w:line="360" w:lineRule="auto"/>
        <w:rPr>
          <w:rFonts w:ascii="宋体" w:hAnsi="宋体"/>
          <w:color w:val="auto"/>
          <w:sz w:val="24"/>
        </w:rPr>
      </w:pPr>
      <w:r>
        <w:rPr>
          <w:rFonts w:hint="eastAsia" w:ascii="宋体" w:hAnsi="宋体"/>
          <w:color w:val="auto"/>
          <w:sz w:val="24"/>
        </w:rPr>
        <w:t>4.3.5被暂停或取消谈判资格的；</w:t>
      </w:r>
    </w:p>
    <w:p w14:paraId="5596A842">
      <w:pPr>
        <w:spacing w:line="360" w:lineRule="auto"/>
        <w:rPr>
          <w:rFonts w:ascii="宋体" w:hAnsi="宋体"/>
          <w:color w:val="auto"/>
          <w:sz w:val="24"/>
        </w:rPr>
      </w:pPr>
      <w:r>
        <w:rPr>
          <w:rFonts w:hint="eastAsia" w:ascii="宋体" w:hAnsi="宋体"/>
          <w:color w:val="auto"/>
          <w:sz w:val="24"/>
        </w:rPr>
        <w:t>4.3.6财产被接管或冻结的；</w:t>
      </w:r>
    </w:p>
    <w:p w14:paraId="11D806DF">
      <w:pPr>
        <w:spacing w:line="360" w:lineRule="auto"/>
        <w:rPr>
          <w:rFonts w:ascii="宋体" w:hAnsi="宋体"/>
          <w:color w:val="auto"/>
          <w:sz w:val="24"/>
        </w:rPr>
      </w:pPr>
      <w:r>
        <w:rPr>
          <w:rFonts w:hint="eastAsia" w:ascii="宋体" w:hAnsi="宋体"/>
          <w:color w:val="auto"/>
          <w:sz w:val="24"/>
        </w:rPr>
        <w:t>4.3.7在最近三年内有骗取中标或严重违约或重大质量问题的；</w:t>
      </w:r>
    </w:p>
    <w:p w14:paraId="54A2A01C">
      <w:pPr>
        <w:spacing w:line="360" w:lineRule="auto"/>
        <w:rPr>
          <w:rFonts w:ascii="宋体" w:hAnsi="宋体"/>
          <w:color w:val="auto"/>
          <w:sz w:val="24"/>
        </w:rPr>
      </w:pPr>
      <w:r>
        <w:rPr>
          <w:rFonts w:hint="eastAsia" w:ascii="宋体" w:hAnsi="宋体"/>
          <w:b/>
          <w:color w:val="auto"/>
          <w:sz w:val="24"/>
        </w:rPr>
        <w:t>5.谈判响应费用</w:t>
      </w:r>
    </w:p>
    <w:p w14:paraId="2A4480DE">
      <w:pPr>
        <w:spacing w:line="360" w:lineRule="auto"/>
        <w:ind w:firstLine="480" w:firstLineChars="200"/>
        <w:rPr>
          <w:rFonts w:ascii="宋体" w:hAnsi="宋体"/>
          <w:color w:val="auto"/>
          <w:sz w:val="24"/>
        </w:rPr>
      </w:pPr>
      <w:r>
        <w:rPr>
          <w:rFonts w:hint="eastAsia" w:ascii="宋体" w:hAnsi="宋体"/>
          <w:color w:val="auto"/>
          <w:sz w:val="24"/>
        </w:rPr>
        <w:t>谈判供应商应承担其从谈判报名直至谈判响应文件提交的谈判全过程所涉及的一切费用。在任何情况下采购人对上述费用均不负任何责任。</w:t>
      </w:r>
    </w:p>
    <w:p w14:paraId="687193DD">
      <w:pPr>
        <w:spacing w:line="360" w:lineRule="auto"/>
        <w:rPr>
          <w:rFonts w:ascii="宋体" w:hAnsi="宋体"/>
          <w:b/>
          <w:color w:val="auto"/>
          <w:sz w:val="24"/>
        </w:rPr>
      </w:pPr>
      <w:r>
        <w:rPr>
          <w:rFonts w:hint="eastAsia" w:ascii="宋体" w:hAnsi="宋体"/>
          <w:b/>
          <w:color w:val="auto"/>
          <w:sz w:val="24"/>
        </w:rPr>
        <w:t>6.语言文字</w:t>
      </w:r>
    </w:p>
    <w:p w14:paraId="6B343284">
      <w:pPr>
        <w:spacing w:line="360" w:lineRule="auto"/>
        <w:ind w:firstLine="480"/>
        <w:rPr>
          <w:rFonts w:ascii="宋体" w:hAnsi="宋体"/>
          <w:color w:val="auto"/>
          <w:sz w:val="24"/>
        </w:rPr>
      </w:pPr>
      <w:r>
        <w:rPr>
          <w:rFonts w:hint="eastAsia" w:ascii="宋体" w:hAnsi="宋体"/>
          <w:color w:val="auto"/>
          <w:sz w:val="24"/>
        </w:rPr>
        <w:t>除专用术语外，与招标投标有关的语言均使用中文。必要时专用术语应附有中文注释。</w:t>
      </w:r>
    </w:p>
    <w:p w14:paraId="6D066DAA">
      <w:pPr>
        <w:spacing w:line="360" w:lineRule="auto"/>
        <w:rPr>
          <w:rFonts w:ascii="宋体" w:hAnsi="宋体"/>
          <w:b/>
          <w:color w:val="auto"/>
          <w:sz w:val="24"/>
        </w:rPr>
      </w:pPr>
      <w:r>
        <w:rPr>
          <w:rFonts w:hint="eastAsia" w:ascii="宋体" w:hAnsi="宋体"/>
          <w:b/>
          <w:color w:val="auto"/>
          <w:sz w:val="24"/>
        </w:rPr>
        <w:t>7.计量单位</w:t>
      </w:r>
    </w:p>
    <w:p w14:paraId="275F5174">
      <w:pPr>
        <w:spacing w:line="360" w:lineRule="auto"/>
        <w:ind w:firstLine="480" w:firstLineChars="200"/>
        <w:rPr>
          <w:rFonts w:ascii="宋体" w:hAnsi="宋体"/>
          <w:color w:val="auto"/>
          <w:sz w:val="24"/>
        </w:rPr>
      </w:pPr>
      <w:r>
        <w:rPr>
          <w:rFonts w:hint="eastAsia" w:ascii="宋体" w:hAnsi="宋体"/>
          <w:color w:val="auto"/>
          <w:sz w:val="24"/>
        </w:rPr>
        <w:t>所有的计量均采用中华人民共和国法定计量单位。</w:t>
      </w:r>
    </w:p>
    <w:p w14:paraId="7F6DC831">
      <w:pPr>
        <w:spacing w:line="360" w:lineRule="auto"/>
        <w:rPr>
          <w:rFonts w:ascii="宋体" w:hAnsi="宋体"/>
          <w:b/>
          <w:color w:val="auto"/>
          <w:sz w:val="24"/>
        </w:rPr>
      </w:pPr>
      <w:r>
        <w:rPr>
          <w:rFonts w:hint="eastAsia" w:ascii="宋体" w:hAnsi="宋体"/>
          <w:b/>
          <w:color w:val="auto"/>
          <w:sz w:val="24"/>
        </w:rPr>
        <w:t>8.现场踏勘</w:t>
      </w:r>
    </w:p>
    <w:p w14:paraId="5A384F0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03AA9EDB">
      <w:pPr>
        <w:spacing w:line="360" w:lineRule="auto"/>
        <w:rPr>
          <w:rFonts w:ascii="宋体" w:hAnsi="宋体"/>
          <w:b/>
          <w:color w:val="auto"/>
          <w:sz w:val="24"/>
        </w:rPr>
      </w:pPr>
      <w:r>
        <w:rPr>
          <w:rFonts w:hint="eastAsia" w:ascii="宋体" w:hAnsi="宋体"/>
          <w:b/>
          <w:color w:val="auto"/>
          <w:sz w:val="24"/>
        </w:rPr>
        <w:t>9.答疑会</w:t>
      </w:r>
    </w:p>
    <w:p w14:paraId="13F73F34">
      <w:pPr>
        <w:spacing w:line="360" w:lineRule="auto"/>
        <w:ind w:firstLine="480" w:firstLineChars="200"/>
        <w:rPr>
          <w:rFonts w:hint="eastAsia" w:ascii="宋体" w:hAnsi="宋体"/>
          <w:color w:val="auto"/>
          <w:sz w:val="24"/>
        </w:rPr>
      </w:pPr>
      <w:r>
        <w:rPr>
          <w:rFonts w:hint="eastAsia" w:ascii="宋体" w:hAnsi="宋体"/>
          <w:color w:val="auto"/>
          <w:sz w:val="24"/>
        </w:rPr>
        <w:t>见本须知前附表。</w:t>
      </w:r>
    </w:p>
    <w:p w14:paraId="770C384A">
      <w:pPr>
        <w:spacing w:line="360" w:lineRule="auto"/>
        <w:rPr>
          <w:rFonts w:ascii="宋体" w:hAnsi="宋体"/>
          <w:b/>
          <w:color w:val="auto"/>
          <w:sz w:val="24"/>
        </w:rPr>
      </w:pPr>
      <w:r>
        <w:rPr>
          <w:rFonts w:hint="eastAsia" w:ascii="宋体" w:hAnsi="宋体"/>
          <w:b/>
          <w:color w:val="auto"/>
          <w:sz w:val="24"/>
        </w:rPr>
        <w:t>10.分包</w:t>
      </w:r>
    </w:p>
    <w:p w14:paraId="59C6DED4">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EE09F96">
      <w:pPr>
        <w:spacing w:line="360" w:lineRule="auto"/>
        <w:rPr>
          <w:rFonts w:ascii="宋体" w:hAnsi="宋体"/>
          <w:b/>
          <w:color w:val="auto"/>
          <w:sz w:val="24"/>
        </w:rPr>
      </w:pPr>
      <w:r>
        <w:rPr>
          <w:rFonts w:hint="eastAsia" w:ascii="宋体" w:hAnsi="宋体"/>
          <w:b/>
          <w:color w:val="auto"/>
          <w:sz w:val="24"/>
        </w:rPr>
        <w:t>11.偏离</w:t>
      </w:r>
    </w:p>
    <w:p w14:paraId="613AE68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BCD66FA">
      <w:pPr>
        <w:spacing w:line="360" w:lineRule="auto"/>
        <w:rPr>
          <w:rFonts w:ascii="宋体" w:hAnsi="宋体"/>
          <w:color w:val="auto"/>
          <w:sz w:val="24"/>
        </w:rPr>
      </w:pPr>
    </w:p>
    <w:p w14:paraId="0B5DF614">
      <w:pPr>
        <w:spacing w:line="360" w:lineRule="auto"/>
        <w:jc w:val="center"/>
        <w:outlineLvl w:val="1"/>
        <w:rPr>
          <w:rFonts w:ascii="宋体" w:hAnsi="宋体"/>
          <w:b/>
          <w:color w:val="auto"/>
          <w:sz w:val="24"/>
        </w:rPr>
      </w:pPr>
      <w:bookmarkStart w:id="9" w:name="_Toc103723519"/>
      <w:bookmarkStart w:id="10" w:name="_Toc18737"/>
      <w:r>
        <w:rPr>
          <w:rFonts w:hint="eastAsia" w:ascii="宋体" w:hAnsi="宋体"/>
          <w:b/>
          <w:color w:val="auto"/>
          <w:sz w:val="28"/>
        </w:rPr>
        <w:t>三、谈判文件</w:t>
      </w:r>
      <w:bookmarkEnd w:id="9"/>
      <w:bookmarkEnd w:id="10"/>
    </w:p>
    <w:p w14:paraId="1B193D5A">
      <w:pPr>
        <w:spacing w:line="360" w:lineRule="auto"/>
        <w:rPr>
          <w:rFonts w:ascii="宋体" w:hAnsi="宋体"/>
          <w:color w:val="auto"/>
          <w:sz w:val="24"/>
        </w:rPr>
      </w:pPr>
      <w:r>
        <w:rPr>
          <w:rFonts w:hint="eastAsia" w:ascii="宋体" w:hAnsi="宋体"/>
          <w:b/>
          <w:color w:val="auto"/>
          <w:sz w:val="24"/>
        </w:rPr>
        <w:t>12.谈判文件的组成</w:t>
      </w:r>
    </w:p>
    <w:p w14:paraId="6FEEE28A">
      <w:pPr>
        <w:spacing w:line="360" w:lineRule="auto"/>
        <w:rPr>
          <w:rFonts w:ascii="宋体" w:hAnsi="宋体"/>
          <w:color w:val="auto"/>
          <w:sz w:val="24"/>
        </w:rPr>
      </w:pPr>
      <w:r>
        <w:rPr>
          <w:rFonts w:hint="eastAsia" w:ascii="宋体" w:hAnsi="宋体"/>
          <w:color w:val="auto"/>
          <w:sz w:val="24"/>
        </w:rPr>
        <w:t>12.1本谈判文件包括下列文件及按本须知第</w:t>
      </w:r>
      <w:r>
        <w:rPr>
          <w:rFonts w:hint="eastAsia" w:ascii="宋体" w:hAnsi="宋体"/>
          <w:color w:val="auto"/>
          <w:sz w:val="24"/>
          <w:lang w:val="en-US" w:eastAsia="zh-CN"/>
        </w:rPr>
        <w:t>15</w:t>
      </w:r>
      <w:r>
        <w:rPr>
          <w:rFonts w:hint="eastAsia" w:ascii="宋体" w:hAnsi="宋体"/>
          <w:color w:val="auto"/>
          <w:sz w:val="24"/>
        </w:rPr>
        <w:t>条所述的答疑文件、发出的补充文件。</w:t>
      </w:r>
    </w:p>
    <w:p w14:paraId="182114BA">
      <w:pPr>
        <w:spacing w:line="360" w:lineRule="auto"/>
        <w:ind w:firstLine="480" w:firstLineChars="200"/>
        <w:rPr>
          <w:rFonts w:ascii="宋体" w:hAnsi="宋体"/>
          <w:color w:val="auto"/>
          <w:sz w:val="24"/>
        </w:rPr>
      </w:pPr>
      <w:r>
        <w:rPr>
          <w:rFonts w:hint="eastAsia" w:ascii="宋体" w:hAnsi="宋体"/>
          <w:color w:val="auto"/>
          <w:sz w:val="24"/>
        </w:rPr>
        <w:t>第一章  竞争性谈判公告</w:t>
      </w:r>
    </w:p>
    <w:p w14:paraId="5E397831">
      <w:pPr>
        <w:spacing w:line="360" w:lineRule="auto"/>
        <w:ind w:firstLine="480" w:firstLineChars="200"/>
        <w:rPr>
          <w:rFonts w:ascii="宋体" w:hAnsi="宋体"/>
          <w:color w:val="auto"/>
          <w:sz w:val="24"/>
        </w:rPr>
      </w:pPr>
      <w:r>
        <w:rPr>
          <w:rFonts w:hint="eastAsia" w:ascii="宋体" w:hAnsi="宋体"/>
          <w:color w:val="auto"/>
          <w:sz w:val="24"/>
        </w:rPr>
        <w:t xml:space="preserve">第二章 </w:t>
      </w:r>
      <w:r>
        <w:rPr>
          <w:rFonts w:hint="eastAsia" w:ascii="宋体" w:hAnsi="宋体"/>
          <w:color w:val="auto"/>
          <w:sz w:val="24"/>
          <w:lang w:val="en-US" w:eastAsia="zh-CN"/>
        </w:rPr>
        <w:t xml:space="preserve"> </w:t>
      </w:r>
      <w:r>
        <w:rPr>
          <w:rFonts w:hint="eastAsia" w:ascii="宋体" w:hAnsi="宋体"/>
          <w:color w:val="auto"/>
          <w:sz w:val="24"/>
        </w:rPr>
        <w:t>供应商须知</w:t>
      </w:r>
    </w:p>
    <w:p w14:paraId="27A3EBCB">
      <w:pPr>
        <w:spacing w:line="360" w:lineRule="auto"/>
        <w:ind w:firstLine="480" w:firstLineChars="200"/>
        <w:rPr>
          <w:rFonts w:hint="eastAsia" w:ascii="宋体" w:hAnsi="宋体" w:eastAsia="宋体" w:cs="Times New Roman"/>
          <w:color w:val="auto"/>
          <w:sz w:val="24"/>
        </w:rPr>
      </w:pPr>
      <w:r>
        <w:rPr>
          <w:rFonts w:hint="eastAsia" w:ascii="宋体" w:hAnsi="宋体"/>
          <w:color w:val="auto"/>
          <w:sz w:val="24"/>
        </w:rPr>
        <w:t xml:space="preserve">第三章 </w:t>
      </w:r>
      <w:r>
        <w:rPr>
          <w:rFonts w:hint="eastAsia" w:ascii="宋体" w:hAnsi="宋体" w:eastAsia="宋体" w:cs="Times New Roman"/>
          <w:color w:val="auto"/>
          <w:sz w:val="24"/>
        </w:rPr>
        <w:t xml:space="preserve"> 采购需求（“采购需求”中的所有条款要求均为实质性要求）；</w:t>
      </w:r>
    </w:p>
    <w:p w14:paraId="64ED3EC0">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第四章  评审</w:t>
      </w:r>
      <w:r>
        <w:rPr>
          <w:rFonts w:hint="eastAsia" w:ascii="宋体" w:hAnsi="宋体" w:cs="Times New Roman"/>
          <w:color w:val="auto"/>
          <w:sz w:val="24"/>
          <w:lang w:eastAsia="zh-CN"/>
        </w:rPr>
        <w:t>办法</w:t>
      </w:r>
    </w:p>
    <w:p w14:paraId="21BA6C5F">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 xml:space="preserve">第五章  </w:t>
      </w:r>
      <w:r>
        <w:rPr>
          <w:rFonts w:hint="eastAsia" w:ascii="宋体" w:hAnsi="宋体" w:cs="Times New Roman"/>
          <w:color w:val="auto"/>
          <w:sz w:val="24"/>
          <w:lang w:eastAsia="zh-CN"/>
        </w:rPr>
        <w:t>合同主要条款及格式</w:t>
      </w:r>
    </w:p>
    <w:p w14:paraId="0CA78B79">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第六章  响应文件格式</w:t>
      </w:r>
    </w:p>
    <w:p w14:paraId="6F6E485A">
      <w:pPr>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cs="Times New Roman"/>
          <w:color w:val="auto"/>
          <w:sz w:val="24"/>
          <w:lang w:eastAsia="zh-CN"/>
        </w:rPr>
        <w:t>第七章</w:t>
      </w:r>
      <w:r>
        <w:rPr>
          <w:rFonts w:hint="eastAsia" w:ascii="宋体" w:hAnsi="宋体" w:cs="Times New Roman"/>
          <w:color w:val="auto"/>
          <w:sz w:val="24"/>
          <w:lang w:val="en-US" w:eastAsia="zh-CN"/>
        </w:rPr>
        <w:t xml:space="preserve">  附件</w:t>
      </w:r>
    </w:p>
    <w:p w14:paraId="124D417A">
      <w:pPr>
        <w:autoSpaceDE w:val="0"/>
        <w:autoSpaceDN w:val="0"/>
        <w:adjustRightInd w:val="0"/>
        <w:spacing w:line="360" w:lineRule="auto"/>
        <w:rPr>
          <w:rFonts w:hint="eastAsia" w:ascii="宋体" w:hAnsi="宋体" w:cs="宋体"/>
          <w:color w:val="auto"/>
          <w:sz w:val="24"/>
          <w:lang w:val="zh-CN"/>
        </w:rPr>
      </w:pPr>
      <w:r>
        <w:rPr>
          <w:rFonts w:hint="eastAsia" w:ascii="宋体" w:hAnsi="宋体"/>
          <w:color w:val="auto"/>
          <w:sz w:val="24"/>
        </w:rPr>
        <w:t>12.2</w:t>
      </w:r>
      <w:r>
        <w:rPr>
          <w:rFonts w:hint="eastAsia" w:ascii="宋体" w:hAnsi="宋体" w:cs="宋体"/>
          <w:color w:val="auto"/>
          <w:sz w:val="24"/>
          <w:lang w:val="zh-CN"/>
        </w:rPr>
        <w:t>任何要求对谈判文件进行澄清的供应商，均应执行《中华人民共和国政府采购法实施条例》第五十三条规定，在“政采云”平台（https://www.zcygov.cn/）上提问的形式向采购人提出澄清要求。无论是采购人根据需要主动对采购文件进行必要的澄清，还是根据供应商的要求对谈判文件做出澄清，采购人都将于投标截止时间前</w:t>
      </w:r>
      <w:r>
        <w:rPr>
          <w:rFonts w:hint="eastAsia" w:ascii="宋体" w:hAnsi="宋体" w:cs="宋体"/>
          <w:color w:val="auto"/>
          <w:sz w:val="24"/>
          <w:lang w:val="en-US" w:eastAsia="zh-CN"/>
        </w:rPr>
        <w:t>3</w:t>
      </w:r>
      <w:r>
        <w:rPr>
          <w:rFonts w:hint="eastAsia" w:ascii="宋体" w:hAnsi="宋体" w:cs="宋体"/>
          <w:color w:val="auto"/>
          <w:sz w:val="24"/>
          <w:lang w:val="zh-CN"/>
        </w:rPr>
        <w:t>个工作日在“政采云”平台（https://www.zcygov.cn/）上公布予以澄清。供应商应自主在网上查看，该澄清作为谈判文件的组成部分，具有约束作用。</w:t>
      </w:r>
    </w:p>
    <w:p w14:paraId="566EF878">
      <w:pPr>
        <w:spacing w:line="360" w:lineRule="auto"/>
        <w:rPr>
          <w:rFonts w:ascii="宋体" w:hAnsi="宋体"/>
          <w:b/>
          <w:color w:val="auto"/>
          <w:sz w:val="24"/>
        </w:rPr>
      </w:pPr>
      <w:r>
        <w:rPr>
          <w:rFonts w:hint="eastAsia" w:ascii="宋体" w:hAnsi="宋体"/>
          <w:b/>
          <w:bCs/>
          <w:color w:val="auto"/>
          <w:sz w:val="24"/>
        </w:rPr>
        <w:t>13.</w:t>
      </w:r>
      <w:r>
        <w:rPr>
          <w:rFonts w:hint="eastAsia" w:ascii="宋体" w:hAnsi="宋体"/>
          <w:b/>
          <w:color w:val="auto"/>
          <w:sz w:val="24"/>
        </w:rPr>
        <w:t>谈判文件的澄清</w:t>
      </w:r>
    </w:p>
    <w:p w14:paraId="31AD786C">
      <w:pPr>
        <w:spacing w:line="360" w:lineRule="auto"/>
        <w:rPr>
          <w:rFonts w:hint="eastAsia" w:ascii="宋体" w:hAnsi="宋体" w:eastAsia="宋体" w:cs="宋体"/>
          <w:spacing w:val="10"/>
          <w:kern w:val="2"/>
          <w:sz w:val="24"/>
          <w:szCs w:val="24"/>
        </w:rPr>
      </w:pPr>
      <w:r>
        <w:rPr>
          <w:rFonts w:hint="eastAsia" w:ascii="宋体" w:hAnsi="宋体"/>
          <w:color w:val="auto"/>
          <w:sz w:val="24"/>
        </w:rPr>
        <w:t>13.1谈判供应商获取谈判文件后，应仔细检查谈判文件的所有内容，</w:t>
      </w:r>
      <w:r>
        <w:rPr>
          <w:rFonts w:hint="eastAsia" w:ascii="宋体" w:hAnsi="宋体" w:eastAsia="宋体" w:cs="宋体"/>
          <w:spacing w:val="10"/>
          <w:kern w:val="2"/>
          <w:sz w:val="24"/>
          <w:szCs w:val="24"/>
        </w:rPr>
        <w:t>如发现缺页或附件不全，应及时向</w:t>
      </w:r>
      <w:r>
        <w:rPr>
          <w:rFonts w:hint="eastAsia" w:ascii="宋体" w:hAnsi="宋体" w:cs="宋体"/>
          <w:spacing w:val="10"/>
          <w:kern w:val="2"/>
          <w:sz w:val="24"/>
          <w:szCs w:val="24"/>
          <w:lang w:eastAsia="zh-CN"/>
        </w:rPr>
        <w:t>采</w:t>
      </w:r>
      <w:r>
        <w:rPr>
          <w:rFonts w:hint="eastAsia" w:ascii="宋体" w:hAnsi="宋体" w:cs="宋体"/>
          <w:color w:val="auto"/>
          <w:spacing w:val="10"/>
          <w:kern w:val="2"/>
          <w:sz w:val="24"/>
          <w:szCs w:val="24"/>
          <w:lang w:eastAsia="zh-CN"/>
        </w:rPr>
        <w:t>购</w:t>
      </w:r>
      <w:r>
        <w:rPr>
          <w:rFonts w:hint="eastAsia" w:ascii="宋体" w:hAnsi="宋体" w:eastAsia="宋体" w:cs="宋体"/>
          <w:color w:val="auto"/>
          <w:spacing w:val="10"/>
          <w:kern w:val="2"/>
          <w:sz w:val="24"/>
          <w:szCs w:val="24"/>
        </w:rPr>
        <w:t>人提出，以便补齐。如有疑问，应在开标前</w:t>
      </w:r>
      <w:r>
        <w:rPr>
          <w:rFonts w:hint="eastAsia" w:ascii="宋体" w:hAnsi="宋体" w:cs="宋体"/>
          <w:color w:val="auto"/>
          <w:sz w:val="24"/>
          <w:lang w:val="en-US" w:eastAsia="zh-CN"/>
        </w:rPr>
        <w:t>3</w:t>
      </w:r>
      <w:r>
        <w:rPr>
          <w:rFonts w:hint="eastAsia" w:ascii="宋体" w:hAnsi="宋体" w:cs="宋体"/>
          <w:color w:val="auto"/>
          <w:sz w:val="24"/>
          <w:lang w:val="zh-CN"/>
        </w:rPr>
        <w:t>个工作日前（含）</w:t>
      </w:r>
      <w:r>
        <w:rPr>
          <w:rFonts w:hint="eastAsia" w:ascii="宋体" w:hAnsi="宋体" w:eastAsia="宋体" w:cs="宋体"/>
          <w:color w:val="auto"/>
          <w:spacing w:val="10"/>
          <w:kern w:val="2"/>
          <w:sz w:val="24"/>
          <w:szCs w:val="24"/>
        </w:rPr>
        <w:t>在</w:t>
      </w:r>
      <w:r>
        <w:rPr>
          <w:rFonts w:hint="eastAsia" w:ascii="宋体" w:hAnsi="宋体" w:eastAsia="宋体" w:cs="宋体"/>
          <w:color w:val="auto"/>
          <w:spacing w:val="10"/>
          <w:kern w:val="2"/>
          <w:sz w:val="24"/>
          <w:szCs w:val="24"/>
          <w:lang w:val="en-US" w:eastAsia="zh-CN"/>
        </w:rPr>
        <w:t>政采云</w:t>
      </w:r>
      <w:r>
        <w:rPr>
          <w:rFonts w:hint="eastAsia" w:ascii="宋体" w:hAnsi="宋体" w:eastAsia="宋体" w:cs="宋体"/>
          <w:color w:val="auto"/>
          <w:spacing w:val="10"/>
          <w:kern w:val="2"/>
          <w:sz w:val="24"/>
          <w:szCs w:val="24"/>
        </w:rPr>
        <w:t>上提出</w:t>
      </w:r>
      <w:r>
        <w:rPr>
          <w:rFonts w:hint="eastAsia" w:ascii="宋体" w:hAnsi="宋体" w:eastAsia="宋体" w:cs="宋体"/>
          <w:color w:val="auto"/>
          <w:spacing w:val="10"/>
          <w:kern w:val="2"/>
          <w:sz w:val="24"/>
          <w:szCs w:val="24"/>
          <w:lang w:eastAsia="zh-CN"/>
        </w:rPr>
        <w:t>并</w:t>
      </w:r>
      <w:r>
        <w:rPr>
          <w:rFonts w:hint="eastAsia" w:ascii="宋体" w:hAnsi="宋体"/>
          <w:color w:val="auto"/>
          <w:sz w:val="24"/>
        </w:rPr>
        <w:t>书面形式（一式两份）递交给采购</w:t>
      </w:r>
      <w:r>
        <w:rPr>
          <w:rFonts w:hint="eastAsia" w:ascii="宋体" w:hAnsi="宋体"/>
          <w:color w:val="auto"/>
          <w:sz w:val="24"/>
          <w:lang w:eastAsia="zh-CN"/>
        </w:rPr>
        <w:t>代理</w:t>
      </w:r>
      <w:r>
        <w:rPr>
          <w:rFonts w:hint="eastAsia" w:ascii="宋体" w:hAnsi="宋体"/>
          <w:color w:val="auto"/>
          <w:sz w:val="24"/>
        </w:rPr>
        <w:t>机构</w:t>
      </w:r>
      <w:r>
        <w:rPr>
          <w:rFonts w:hint="eastAsia" w:ascii="宋体" w:hAnsi="宋体" w:eastAsia="宋体" w:cs="宋体"/>
          <w:spacing w:val="10"/>
          <w:kern w:val="2"/>
          <w:sz w:val="24"/>
          <w:szCs w:val="24"/>
        </w:rPr>
        <w:t>，要求</w:t>
      </w:r>
      <w:r>
        <w:rPr>
          <w:rFonts w:hint="eastAsia" w:ascii="宋体" w:hAnsi="宋体" w:cs="宋体"/>
          <w:spacing w:val="10"/>
          <w:kern w:val="2"/>
          <w:sz w:val="24"/>
          <w:szCs w:val="24"/>
          <w:lang w:eastAsia="zh-CN"/>
        </w:rPr>
        <w:t>采购</w:t>
      </w:r>
      <w:r>
        <w:rPr>
          <w:rFonts w:hint="eastAsia" w:ascii="宋体" w:hAnsi="宋体" w:eastAsia="宋体" w:cs="宋体"/>
          <w:spacing w:val="10"/>
          <w:kern w:val="2"/>
          <w:sz w:val="24"/>
          <w:szCs w:val="24"/>
        </w:rPr>
        <w:t>人对</w:t>
      </w:r>
      <w:r>
        <w:rPr>
          <w:rFonts w:hint="eastAsia" w:ascii="宋体" w:hAnsi="宋体" w:cs="宋体"/>
          <w:spacing w:val="10"/>
          <w:kern w:val="2"/>
          <w:sz w:val="24"/>
          <w:szCs w:val="24"/>
          <w:lang w:eastAsia="zh-CN"/>
        </w:rPr>
        <w:t>谈判</w:t>
      </w:r>
      <w:r>
        <w:rPr>
          <w:rFonts w:hint="eastAsia" w:ascii="宋体" w:hAnsi="宋体" w:eastAsia="宋体" w:cs="宋体"/>
          <w:spacing w:val="10"/>
          <w:kern w:val="2"/>
          <w:sz w:val="24"/>
          <w:szCs w:val="24"/>
        </w:rPr>
        <w:t>文件予以澄清。</w:t>
      </w:r>
    </w:p>
    <w:p w14:paraId="21C2F769">
      <w:pPr>
        <w:autoSpaceDE w:val="0"/>
        <w:autoSpaceDN w:val="0"/>
        <w:adjustRightInd w:val="0"/>
        <w:spacing w:line="360" w:lineRule="auto"/>
        <w:rPr>
          <w:rFonts w:hint="eastAsia" w:ascii="宋体" w:hAnsi="宋体" w:cs="宋体"/>
          <w:bCs/>
          <w:color w:val="auto"/>
          <w:sz w:val="24"/>
          <w:lang w:val="zh-CN"/>
        </w:rPr>
      </w:pPr>
      <w:r>
        <w:rPr>
          <w:rFonts w:hint="eastAsia" w:ascii="宋体" w:hAnsi="宋体"/>
          <w:color w:val="auto"/>
          <w:sz w:val="24"/>
        </w:rPr>
        <w:t>13.2</w:t>
      </w:r>
      <w:r>
        <w:rPr>
          <w:rFonts w:hint="eastAsia" w:ascii="宋体" w:hAnsi="宋体" w:cs="宋体"/>
          <w:color w:val="auto"/>
          <w:sz w:val="24"/>
          <w:lang w:val="zh-CN"/>
        </w:rPr>
        <w:t xml:space="preserve"> 采购人可在谈判截止时间</w:t>
      </w:r>
      <w:r>
        <w:rPr>
          <w:rFonts w:hint="eastAsia" w:ascii="宋体" w:hAnsi="宋体" w:cs="宋体"/>
          <w:color w:val="auto"/>
          <w:sz w:val="24"/>
          <w:lang w:val="en-US" w:eastAsia="zh-CN"/>
        </w:rPr>
        <w:t>3</w:t>
      </w:r>
      <w:r>
        <w:rPr>
          <w:rFonts w:hint="eastAsia" w:ascii="宋体" w:hAnsi="宋体" w:cs="宋体"/>
          <w:color w:val="auto"/>
          <w:sz w:val="24"/>
          <w:lang w:val="zh-CN"/>
        </w:rPr>
        <w:t>个工作日前（含）对谈判文件进行修改、补充。谈判文件的修改、补充文件将“政采云”平台（https://www.zcygov.cn/）</w:t>
      </w:r>
      <w:r>
        <w:rPr>
          <w:rFonts w:hint="eastAsia" w:ascii="宋体" w:hAnsi="宋体" w:cs="宋体"/>
          <w:color w:val="auto"/>
          <w:sz w:val="24"/>
        </w:rPr>
        <w:t>发布</w:t>
      </w:r>
      <w:r>
        <w:rPr>
          <w:rFonts w:hint="eastAsia" w:ascii="宋体" w:hAnsi="宋体" w:cs="宋体"/>
          <w:color w:val="auto"/>
          <w:sz w:val="24"/>
          <w:lang w:val="zh-CN"/>
        </w:rPr>
        <w:t>向潜在供应商发出，供应商自行在“政采云”平台（https://www.zcygov.cn/）</w:t>
      </w:r>
      <w:r>
        <w:rPr>
          <w:rFonts w:hint="eastAsia" w:ascii="宋体" w:hAnsi="宋体" w:cs="宋体"/>
          <w:color w:val="auto"/>
          <w:sz w:val="24"/>
        </w:rPr>
        <w:t>下载。</w:t>
      </w:r>
      <w:r>
        <w:rPr>
          <w:rFonts w:hint="eastAsia" w:ascii="宋体" w:hAnsi="宋体" w:cs="宋体"/>
          <w:bCs/>
          <w:color w:val="auto"/>
          <w:sz w:val="24"/>
          <w:lang w:val="zh-CN"/>
        </w:rPr>
        <w:t>并在发布谈判公告的媒体上公告。</w:t>
      </w:r>
    </w:p>
    <w:p w14:paraId="0CD3A410">
      <w:pPr>
        <w:autoSpaceDE w:val="0"/>
        <w:autoSpaceDN w:val="0"/>
        <w:adjustRightInd w:val="0"/>
        <w:spacing w:line="360" w:lineRule="auto"/>
        <w:jc w:val="left"/>
        <w:rPr>
          <w:rFonts w:hint="eastAsia" w:ascii="宋体" w:hAnsi="宋体" w:cs="宋体"/>
          <w:color w:val="auto"/>
          <w:sz w:val="24"/>
          <w:lang w:val="zh-CN"/>
        </w:rPr>
      </w:pPr>
      <w:r>
        <w:rPr>
          <w:rFonts w:ascii="宋体" w:hAnsi="宋体"/>
          <w:color w:val="auto"/>
          <w:sz w:val="24"/>
        </w:rPr>
        <w:t>13.3</w:t>
      </w:r>
      <w:r>
        <w:rPr>
          <w:rFonts w:hint="eastAsia" w:ascii="宋体" w:hAnsi="宋体" w:cs="宋体"/>
          <w:color w:val="auto"/>
          <w:sz w:val="24"/>
          <w:lang w:val="zh-CN"/>
        </w:rPr>
        <w:t>谈判文件的澄清、修改、补充文件均构成谈判文件的组成部分，对所有供应商具有约束力，供应商未在“政采云”平台（https://www.zcygov.cn/）</w:t>
      </w:r>
      <w:r>
        <w:rPr>
          <w:rFonts w:hint="eastAsia" w:ascii="宋体" w:hAnsi="宋体" w:cs="宋体"/>
          <w:color w:val="auto"/>
          <w:sz w:val="24"/>
        </w:rPr>
        <w:t>自行下载</w:t>
      </w:r>
      <w:r>
        <w:rPr>
          <w:rFonts w:hint="eastAsia" w:ascii="宋体" w:hAnsi="宋体" w:cs="宋体"/>
          <w:color w:val="auto"/>
          <w:sz w:val="24"/>
          <w:lang w:val="zh-CN"/>
        </w:rPr>
        <w:t>澄清、修改、补充文件，后果自负。</w:t>
      </w:r>
    </w:p>
    <w:p w14:paraId="07A3C248">
      <w:pPr>
        <w:tabs>
          <w:tab w:val="left" w:pos="4214"/>
        </w:tabs>
        <w:spacing w:line="360" w:lineRule="auto"/>
        <w:rPr>
          <w:rFonts w:ascii="宋体" w:hAnsi="宋体"/>
          <w:color w:val="auto"/>
          <w:sz w:val="24"/>
        </w:rPr>
      </w:pPr>
      <w:r>
        <w:rPr>
          <w:rFonts w:hint="eastAsia" w:ascii="宋体" w:hAnsi="宋体"/>
          <w:color w:val="auto"/>
          <w:sz w:val="24"/>
        </w:rPr>
        <w:t>13.4澄清发出的时间距谈判文件</w:t>
      </w:r>
      <w:r>
        <w:rPr>
          <w:rFonts w:ascii="宋体" w:hAnsi="宋体"/>
          <w:color w:val="auto"/>
          <w:sz w:val="24"/>
        </w:rPr>
        <w:t>规定的</w:t>
      </w:r>
      <w:r>
        <w:rPr>
          <w:rFonts w:hint="eastAsia" w:ascii="宋体" w:hAnsi="宋体"/>
          <w:color w:val="auto"/>
          <w:sz w:val="24"/>
        </w:rPr>
        <w:t>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日的，并且澄清内容可能影响谈判响应文件编制的，将相应延长谈判截止时间。</w:t>
      </w:r>
    </w:p>
    <w:p w14:paraId="6446D4A2">
      <w:pPr>
        <w:spacing w:line="360" w:lineRule="auto"/>
        <w:rPr>
          <w:rFonts w:ascii="宋体" w:hAnsi="宋体"/>
          <w:b/>
          <w:color w:val="auto"/>
          <w:sz w:val="24"/>
        </w:rPr>
      </w:pPr>
      <w:r>
        <w:rPr>
          <w:rFonts w:hint="eastAsia" w:ascii="宋体" w:hAnsi="宋体"/>
          <w:b/>
          <w:color w:val="auto"/>
          <w:sz w:val="24"/>
        </w:rPr>
        <w:t>14.谈判文件的修改</w:t>
      </w:r>
    </w:p>
    <w:p w14:paraId="1F3C580C">
      <w:pPr>
        <w:spacing w:line="360" w:lineRule="auto"/>
        <w:rPr>
          <w:rFonts w:ascii="宋体" w:hAnsi="宋体"/>
          <w:color w:val="auto"/>
          <w:sz w:val="24"/>
        </w:rPr>
      </w:pPr>
      <w:r>
        <w:rPr>
          <w:rFonts w:hint="eastAsia" w:ascii="宋体" w:hAnsi="宋体"/>
          <w:color w:val="auto"/>
          <w:sz w:val="24"/>
        </w:rPr>
        <w:t>14.1谈判文件发出以后，在上传谈判响应文件截止时间之前，应谈判供应商的疑问和采购人的要求，</w:t>
      </w:r>
      <w:r>
        <w:rPr>
          <w:rFonts w:hint="eastAsia" w:ascii="宋体" w:hAnsi="宋体"/>
          <w:color w:val="auto"/>
          <w:sz w:val="24"/>
          <w:lang w:eastAsia="zh-CN"/>
        </w:rPr>
        <w:t>采购代理机构</w:t>
      </w:r>
      <w:r>
        <w:rPr>
          <w:rFonts w:hint="eastAsia" w:ascii="宋体" w:hAnsi="宋体"/>
          <w:color w:val="auto"/>
          <w:sz w:val="24"/>
        </w:rPr>
        <w:t>可以对谈判文件进行必要的修改和补充。</w:t>
      </w:r>
    </w:p>
    <w:p w14:paraId="0F33C5F9">
      <w:pPr>
        <w:spacing w:line="360" w:lineRule="auto"/>
        <w:rPr>
          <w:rFonts w:ascii="宋体" w:hAnsi="宋体"/>
          <w:color w:val="auto"/>
          <w:sz w:val="24"/>
        </w:rPr>
      </w:pPr>
      <w:r>
        <w:rPr>
          <w:rFonts w:hint="eastAsia" w:ascii="宋体" w:hAnsi="宋体"/>
          <w:color w:val="auto"/>
          <w:sz w:val="24"/>
        </w:rPr>
        <w:t>14.2采购</w:t>
      </w:r>
      <w:r>
        <w:rPr>
          <w:rFonts w:hint="eastAsia" w:ascii="宋体" w:hAnsi="宋体"/>
          <w:color w:val="auto"/>
          <w:sz w:val="24"/>
          <w:lang w:eastAsia="zh-CN"/>
        </w:rPr>
        <w:t>代理</w:t>
      </w:r>
      <w:r>
        <w:rPr>
          <w:rFonts w:hint="eastAsia" w:ascii="宋体" w:hAnsi="宋体"/>
          <w:color w:val="auto"/>
          <w:sz w:val="24"/>
        </w:rPr>
        <w:t>机构对谈判文件的修改和补充将形成变更文件上传至“政采云”平台，同时在发布公告媒介上</w:t>
      </w:r>
      <w:r>
        <w:rPr>
          <w:rFonts w:ascii="宋体" w:hAnsi="宋体"/>
          <w:color w:val="auto"/>
          <w:sz w:val="24"/>
        </w:rPr>
        <w:t>发布公告，</w:t>
      </w:r>
      <w:r>
        <w:rPr>
          <w:rFonts w:hint="eastAsia" w:ascii="宋体" w:hAnsi="宋体"/>
          <w:color w:val="auto"/>
          <w:sz w:val="24"/>
        </w:rPr>
        <w:t>以供所有报名参加谈判的谈判供应商下载。</w:t>
      </w:r>
    </w:p>
    <w:p w14:paraId="6DC8E581">
      <w:pPr>
        <w:tabs>
          <w:tab w:val="left" w:pos="4214"/>
        </w:tabs>
        <w:spacing w:line="360" w:lineRule="auto"/>
        <w:rPr>
          <w:rFonts w:ascii="宋体" w:hAnsi="宋体"/>
          <w:color w:val="auto"/>
          <w:sz w:val="24"/>
        </w:rPr>
      </w:pPr>
      <w:r>
        <w:rPr>
          <w:rFonts w:hint="eastAsia" w:ascii="宋体" w:hAnsi="宋体"/>
          <w:color w:val="auto"/>
          <w:sz w:val="24"/>
        </w:rPr>
        <w:t>14.3该变更文件作为谈判文件的组成部分，具有约束作用。</w:t>
      </w:r>
    </w:p>
    <w:p w14:paraId="143B7C6B">
      <w:pPr>
        <w:tabs>
          <w:tab w:val="left" w:pos="4214"/>
        </w:tabs>
        <w:spacing w:line="360" w:lineRule="auto"/>
        <w:rPr>
          <w:rFonts w:ascii="宋体" w:hAnsi="宋体"/>
          <w:b/>
          <w:color w:val="auto"/>
          <w:sz w:val="24"/>
        </w:rPr>
      </w:pPr>
      <w:r>
        <w:rPr>
          <w:rFonts w:ascii="宋体" w:hAnsi="宋体"/>
          <w:color w:val="auto"/>
          <w:sz w:val="24"/>
        </w:rPr>
        <w:t>14.4</w:t>
      </w:r>
      <w:r>
        <w:rPr>
          <w:rFonts w:hint="eastAsia" w:ascii="宋体" w:hAnsi="宋体"/>
          <w:color w:val="auto"/>
          <w:sz w:val="24"/>
        </w:rPr>
        <w:t>变更发出的时间距谈判文件规定的谈判截止时间不足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日的，并且变更内容可能影响谈判响应文件编制的，为使响应谈判供应商在编制谈判响应文件时有充分的时间对谈判文件的修改、补充等内容进行研究，</w:t>
      </w:r>
      <w:r>
        <w:rPr>
          <w:rFonts w:hint="eastAsia" w:ascii="宋体" w:hAnsi="宋体"/>
          <w:color w:val="auto"/>
          <w:sz w:val="24"/>
          <w:lang w:eastAsia="zh-CN"/>
        </w:rPr>
        <w:t>采购代理机构</w:t>
      </w:r>
      <w:r>
        <w:rPr>
          <w:rFonts w:hint="eastAsia" w:ascii="宋体" w:hAnsi="宋体"/>
          <w:color w:val="auto"/>
          <w:sz w:val="24"/>
        </w:rPr>
        <w:t>将相应延长谈判截止时间，具体时间将在谈判文件的变更公告中予以明确。</w:t>
      </w:r>
    </w:p>
    <w:p w14:paraId="69291B72">
      <w:pPr>
        <w:spacing w:line="360" w:lineRule="auto"/>
        <w:jc w:val="center"/>
        <w:outlineLvl w:val="1"/>
        <w:rPr>
          <w:rFonts w:ascii="宋体" w:hAnsi="宋体"/>
          <w:color w:val="auto"/>
          <w:sz w:val="24"/>
        </w:rPr>
      </w:pPr>
      <w:bookmarkStart w:id="11" w:name="_Toc31928"/>
      <w:bookmarkStart w:id="12" w:name="_Toc103723520"/>
      <w:r>
        <w:rPr>
          <w:rFonts w:hint="eastAsia" w:ascii="宋体" w:hAnsi="宋体"/>
          <w:b/>
          <w:color w:val="auto"/>
          <w:sz w:val="28"/>
        </w:rPr>
        <w:t>四、谈判响应文件</w:t>
      </w:r>
      <w:bookmarkEnd w:id="11"/>
      <w:bookmarkEnd w:id="12"/>
    </w:p>
    <w:p w14:paraId="7F6E23C1">
      <w:pPr>
        <w:spacing w:line="360" w:lineRule="auto"/>
        <w:rPr>
          <w:rFonts w:ascii="宋体" w:hAnsi="宋体"/>
          <w:b/>
          <w:color w:val="auto"/>
          <w:sz w:val="24"/>
        </w:rPr>
      </w:pPr>
      <w:r>
        <w:rPr>
          <w:rFonts w:hint="eastAsia" w:ascii="宋体" w:hAnsi="宋体"/>
          <w:b/>
          <w:color w:val="auto"/>
          <w:sz w:val="24"/>
        </w:rPr>
        <w:t>15.谈判响应文件的组成</w:t>
      </w:r>
    </w:p>
    <w:p w14:paraId="6B4AD8C1">
      <w:pPr>
        <w:spacing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一、</w:t>
      </w:r>
      <w:r>
        <w:rPr>
          <w:rFonts w:hint="eastAsia" w:ascii="宋体" w:hAnsi="宋体" w:eastAsia="宋体" w:cs="Times New Roman"/>
          <w:color w:val="auto"/>
          <w:sz w:val="24"/>
        </w:rPr>
        <w:t>响应函</w:t>
      </w:r>
      <w:r>
        <w:rPr>
          <w:rFonts w:hint="eastAsia" w:ascii="宋体" w:hAnsi="宋体" w:eastAsia="宋体" w:cs="Times New Roman"/>
          <w:color w:val="auto"/>
          <w:sz w:val="24"/>
          <w:lang w:eastAsia="zh-CN"/>
        </w:rPr>
        <w:t>及响应函附表</w:t>
      </w:r>
    </w:p>
    <w:p w14:paraId="42DA7E8F">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二、</w:t>
      </w:r>
      <w:r>
        <w:rPr>
          <w:rFonts w:hint="eastAsia" w:ascii="宋体" w:hAnsi="宋体" w:eastAsia="宋体" w:cs="Times New Roman"/>
          <w:color w:val="auto"/>
          <w:sz w:val="24"/>
        </w:rPr>
        <w:t>法定代表人身份证明</w:t>
      </w:r>
    </w:p>
    <w:p w14:paraId="1F7CADC9">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三、授权委托书</w:t>
      </w:r>
    </w:p>
    <w:p w14:paraId="171BBA92">
      <w:pPr>
        <w:spacing w:line="360" w:lineRule="auto"/>
        <w:rPr>
          <w:rFonts w:hint="eastAsia" w:ascii="宋体" w:hAnsi="宋体" w:eastAsia="宋体" w:cs="Times New Roman"/>
          <w:color w:val="auto"/>
          <w:sz w:val="24"/>
          <w:lang w:eastAsia="en-US"/>
        </w:rPr>
      </w:pPr>
      <w:r>
        <w:rPr>
          <w:rFonts w:hint="eastAsia" w:ascii="宋体" w:hAnsi="宋体" w:eastAsia="宋体" w:cs="Times New Roman"/>
          <w:color w:val="auto"/>
          <w:sz w:val="24"/>
          <w:lang w:val="en-US" w:eastAsia="zh-CN"/>
        </w:rPr>
        <w:t>四、首次报价一览表、</w:t>
      </w:r>
      <w:r>
        <w:rPr>
          <w:rFonts w:hint="eastAsia" w:ascii="宋体" w:hAnsi="宋体" w:eastAsia="宋体" w:cs="Times New Roman"/>
          <w:color w:val="auto"/>
          <w:sz w:val="24"/>
        </w:rPr>
        <w:t>报价明细表</w:t>
      </w:r>
    </w:p>
    <w:p w14:paraId="0352BB32">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五、</w:t>
      </w:r>
      <w:r>
        <w:rPr>
          <w:rFonts w:hint="eastAsia" w:ascii="宋体" w:hAnsi="宋体" w:eastAsia="宋体" w:cs="Times New Roman"/>
          <w:color w:val="auto"/>
          <w:sz w:val="24"/>
        </w:rPr>
        <w:t>投标保证金</w:t>
      </w:r>
    </w:p>
    <w:p w14:paraId="07B66D72">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六、商务条款偏离表</w:t>
      </w:r>
    </w:p>
    <w:p w14:paraId="0A40AECD">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七、技术规格偏离表</w:t>
      </w:r>
    </w:p>
    <w:p w14:paraId="7AA2C1A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八、投标人资格声明</w:t>
      </w:r>
    </w:p>
    <w:p w14:paraId="6D5AED5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九、投标人基本情况</w:t>
      </w:r>
    </w:p>
    <w:p w14:paraId="0A17A74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十、财务状况报告</w:t>
      </w:r>
    </w:p>
    <w:p w14:paraId="5F16FB41">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十一、依法缴纳税收证明材料</w:t>
      </w:r>
    </w:p>
    <w:p w14:paraId="62467136">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十二、依法缴纳社会保障资金证明材料</w:t>
      </w:r>
    </w:p>
    <w:p w14:paraId="6740127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十三、具备履行合同所必需设备和专业技术能力的声明函（若有）</w:t>
      </w:r>
    </w:p>
    <w:p w14:paraId="4BCFC852">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十四、参加采购活动前三年内在经营活动中没有重大违法记录书面声明</w:t>
      </w:r>
    </w:p>
    <w:p w14:paraId="1B9ECBEB">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十五、信用记录查询截图</w:t>
      </w:r>
    </w:p>
    <w:p w14:paraId="04EF022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十六、类似项目经验（如有）</w:t>
      </w:r>
    </w:p>
    <w:p w14:paraId="18606F8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十七、服务承诺</w:t>
      </w:r>
    </w:p>
    <w:p w14:paraId="67D6906B">
      <w:pPr>
        <w:spacing w:line="360" w:lineRule="auto"/>
        <w:rPr>
          <w:rFonts w:hint="eastAsia" w:ascii="宋体" w:hAnsi="宋体" w:eastAsia="宋体" w:cs="Times New Roman"/>
          <w:color w:val="auto"/>
          <w:sz w:val="24"/>
          <w:lang w:val="en-US" w:eastAsia="en-US"/>
        </w:rPr>
      </w:pPr>
      <w:r>
        <w:rPr>
          <w:rFonts w:hint="eastAsia" w:ascii="宋体" w:hAnsi="宋体" w:eastAsia="宋体" w:cs="Times New Roman"/>
          <w:color w:val="auto"/>
          <w:sz w:val="24"/>
          <w:lang w:val="en-US" w:eastAsia="zh-CN"/>
        </w:rPr>
        <w:t>十八、</w:t>
      </w:r>
      <w:r>
        <w:rPr>
          <w:rFonts w:hint="eastAsia" w:ascii="宋体" w:hAnsi="宋体" w:eastAsia="宋体" w:cs="Times New Roman"/>
          <w:color w:val="auto"/>
          <w:sz w:val="24"/>
          <w:lang w:val="en-US" w:eastAsia="en-US"/>
        </w:rPr>
        <w:t>实施方案</w:t>
      </w:r>
    </w:p>
    <w:p w14:paraId="2FD5B57F">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十九、供应商可结合本项目自身情况自行提交其它相关证明材料</w:t>
      </w:r>
    </w:p>
    <w:p w14:paraId="62053964">
      <w:pPr>
        <w:spacing w:line="360" w:lineRule="auto"/>
        <w:rPr>
          <w:rFonts w:hint="eastAsia" w:ascii="宋体" w:hAnsi="宋体" w:eastAsia="宋体" w:cs="Times New Roman"/>
          <w:color w:val="auto"/>
          <w:sz w:val="24"/>
          <w:lang w:val="en-US" w:eastAsia="zh-CN"/>
        </w:rPr>
      </w:pPr>
    </w:p>
    <w:p w14:paraId="3A14FE1B">
      <w:pPr>
        <w:spacing w:line="360" w:lineRule="auto"/>
        <w:rPr>
          <w:rFonts w:ascii="宋体" w:hAnsi="宋体"/>
          <w:b/>
          <w:color w:val="auto"/>
          <w:sz w:val="24"/>
        </w:rPr>
      </w:pPr>
      <w:r>
        <w:rPr>
          <w:rFonts w:hint="eastAsia" w:ascii="宋体" w:hAnsi="宋体"/>
          <w:b/>
          <w:color w:val="auto"/>
          <w:sz w:val="24"/>
        </w:rPr>
        <w:t>16.谈判</w:t>
      </w:r>
      <w:r>
        <w:rPr>
          <w:rFonts w:ascii="宋体" w:hAnsi="宋体"/>
          <w:b/>
          <w:color w:val="auto"/>
          <w:sz w:val="24"/>
        </w:rPr>
        <w:t>响应</w:t>
      </w:r>
      <w:r>
        <w:rPr>
          <w:rFonts w:hint="eastAsia" w:ascii="宋体" w:hAnsi="宋体"/>
          <w:b/>
          <w:color w:val="auto"/>
          <w:sz w:val="24"/>
        </w:rPr>
        <w:t>报价</w:t>
      </w:r>
    </w:p>
    <w:p w14:paraId="4FF258E3">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.1本项目谈判报价采用本须知前附表中所规定的方式，所有谈判响应报价均以人民币元为计算单位。谈判响应报价应当是供应商履行本项目合同的最终价格。响应谈判供应商</w:t>
      </w:r>
      <w:r>
        <w:rPr>
          <w:rFonts w:ascii="宋体" w:hAnsi="宋体"/>
          <w:color w:val="auto"/>
          <w:sz w:val="24"/>
        </w:rPr>
        <w:t>的</w:t>
      </w:r>
      <w:r>
        <w:rPr>
          <w:rFonts w:hint="eastAsia" w:ascii="宋体" w:hAnsi="宋体"/>
          <w:color w:val="auto"/>
          <w:sz w:val="24"/>
        </w:rPr>
        <w:t>报</w:t>
      </w:r>
      <w:r>
        <w:rPr>
          <w:rFonts w:ascii="宋体" w:hAnsi="宋体"/>
          <w:color w:val="auto"/>
          <w:sz w:val="24"/>
        </w:rPr>
        <w:t>价应</w:t>
      </w:r>
      <w:r>
        <w:rPr>
          <w:rFonts w:hint="eastAsia" w:ascii="宋体" w:hAnsi="宋体"/>
          <w:color w:val="auto"/>
          <w:sz w:val="24"/>
        </w:rPr>
        <w:t>包括货款、标准附件、备品备件、专用工具、包装、运输、装卸、保险、税金、安装到位、调试、培训、保修等一切税金和费用。</w:t>
      </w:r>
    </w:p>
    <w:p w14:paraId="0EE3CA5C">
      <w:pPr>
        <w:spacing w:line="360" w:lineRule="auto"/>
        <w:rPr>
          <w:rFonts w:ascii="宋体" w:hAnsi="宋体"/>
          <w:color w:val="auto"/>
          <w:sz w:val="24"/>
        </w:rPr>
      </w:pPr>
      <w:r>
        <w:rPr>
          <w:rFonts w:hint="eastAsia" w:ascii="宋体" w:hAnsi="宋体"/>
          <w:color w:val="auto"/>
          <w:sz w:val="24"/>
        </w:rPr>
        <w:t>16.2响应谈判供应商所报的价格</w:t>
      </w:r>
      <w:r>
        <w:rPr>
          <w:rFonts w:ascii="宋体" w:hAnsi="宋体"/>
          <w:color w:val="auto"/>
          <w:sz w:val="24"/>
        </w:rPr>
        <w:t>(</w:t>
      </w:r>
      <w:r>
        <w:rPr>
          <w:rFonts w:hint="eastAsia" w:ascii="宋体" w:hAnsi="宋体"/>
          <w:color w:val="auto"/>
          <w:sz w:val="24"/>
        </w:rPr>
        <w:t>包括成本、利润、税金等因素</w:t>
      </w:r>
      <w:r>
        <w:rPr>
          <w:rFonts w:ascii="宋体" w:hAnsi="宋体"/>
          <w:color w:val="auto"/>
          <w:sz w:val="24"/>
        </w:rPr>
        <w:t>)</w:t>
      </w:r>
      <w:r>
        <w:rPr>
          <w:rFonts w:hint="eastAsia" w:ascii="宋体" w:hAnsi="宋体"/>
          <w:color w:val="auto"/>
          <w:sz w:val="24"/>
        </w:rPr>
        <w:t>在合同实施期间保持不变，它不应因劳务、材料、机械等的价格变动而做任何调整。在合同有效期和其必要的延长期内也不因通货膨胀、利率升降、税收变化等因素而作任何调整。</w:t>
      </w:r>
    </w:p>
    <w:p w14:paraId="067EC987">
      <w:pPr>
        <w:spacing w:line="360" w:lineRule="auto"/>
        <w:rPr>
          <w:rFonts w:ascii="宋体" w:hAnsi="宋体"/>
          <w:color w:val="auto"/>
          <w:sz w:val="24"/>
        </w:rPr>
      </w:pPr>
      <w:r>
        <w:rPr>
          <w:rFonts w:hint="eastAsia" w:ascii="宋体" w:hAnsi="宋体"/>
          <w:color w:val="auto"/>
          <w:sz w:val="24"/>
        </w:rPr>
        <w:t>16.3</w:t>
      </w:r>
      <w:r>
        <w:rPr>
          <w:rFonts w:hint="eastAsia" w:ascii="宋体" w:hAnsi="宋体"/>
          <w:bCs/>
          <w:color w:val="auto"/>
          <w:sz w:val="24"/>
        </w:rPr>
        <w:t>响应谈判供应商应按第</w:t>
      </w:r>
      <w:r>
        <w:rPr>
          <w:rFonts w:hint="eastAsia" w:ascii="宋体" w:hAnsi="宋体"/>
          <w:bCs/>
          <w:color w:val="auto"/>
          <w:sz w:val="24"/>
          <w:lang w:eastAsia="zh-CN"/>
        </w:rPr>
        <w:t>三</w:t>
      </w:r>
      <w:r>
        <w:rPr>
          <w:rFonts w:hint="eastAsia" w:ascii="宋体" w:hAnsi="宋体"/>
          <w:bCs/>
          <w:color w:val="auto"/>
          <w:sz w:val="24"/>
        </w:rPr>
        <w:t>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响应将被拒绝。</w:t>
      </w:r>
    </w:p>
    <w:p w14:paraId="5E56AD3D">
      <w:pPr>
        <w:spacing w:line="360" w:lineRule="auto"/>
        <w:rPr>
          <w:rFonts w:ascii="宋体" w:hAnsi="宋体"/>
          <w:color w:val="auto"/>
          <w:sz w:val="24"/>
        </w:rPr>
      </w:pPr>
      <w:r>
        <w:rPr>
          <w:rFonts w:hint="eastAsia" w:ascii="宋体" w:hAnsi="宋体"/>
          <w:color w:val="auto"/>
          <w:sz w:val="24"/>
        </w:rPr>
        <w:t>16.4各响应供应商不得相互串联哄抬标价或恶意压价，出现此种情况者，将被作为废标处理。</w:t>
      </w:r>
    </w:p>
    <w:p w14:paraId="77AF6D91">
      <w:pPr>
        <w:spacing w:line="360" w:lineRule="auto"/>
        <w:rPr>
          <w:rFonts w:ascii="宋体" w:hAnsi="宋体"/>
          <w:b/>
          <w:color w:val="auto"/>
          <w:sz w:val="24"/>
        </w:rPr>
      </w:pPr>
      <w:r>
        <w:rPr>
          <w:rFonts w:ascii="宋体" w:hAnsi="宋体"/>
          <w:b/>
          <w:color w:val="auto"/>
          <w:sz w:val="24"/>
        </w:rPr>
        <w:t>17.</w:t>
      </w:r>
      <w:r>
        <w:rPr>
          <w:rFonts w:hint="eastAsia" w:ascii="宋体" w:hAnsi="宋体"/>
          <w:b/>
          <w:color w:val="auto"/>
          <w:sz w:val="24"/>
        </w:rPr>
        <w:t>谈判响应</w:t>
      </w:r>
      <w:r>
        <w:rPr>
          <w:rFonts w:ascii="宋体" w:hAnsi="宋体"/>
          <w:b/>
          <w:color w:val="auto"/>
          <w:sz w:val="24"/>
        </w:rPr>
        <w:t>报价表</w:t>
      </w:r>
    </w:p>
    <w:p w14:paraId="28543847">
      <w:pPr>
        <w:spacing w:line="360" w:lineRule="auto"/>
        <w:rPr>
          <w:rFonts w:ascii="宋体" w:hAnsi="宋体"/>
          <w:color w:val="auto"/>
          <w:sz w:val="24"/>
        </w:rPr>
      </w:pPr>
      <w:r>
        <w:rPr>
          <w:rFonts w:ascii="宋体" w:hAnsi="宋体"/>
          <w:color w:val="auto"/>
          <w:sz w:val="24"/>
        </w:rPr>
        <w:t>17.1</w:t>
      </w:r>
      <w:r>
        <w:rPr>
          <w:rFonts w:hint="eastAsia" w:ascii="宋体" w:hAnsi="宋体"/>
          <w:color w:val="auto"/>
          <w:sz w:val="24"/>
        </w:rPr>
        <w:t>响应谈判供应商</w:t>
      </w:r>
      <w:r>
        <w:rPr>
          <w:rFonts w:ascii="宋体" w:hAnsi="宋体"/>
          <w:color w:val="auto"/>
          <w:sz w:val="24"/>
        </w:rPr>
        <w:t>须按照谈判文件</w:t>
      </w:r>
      <w:r>
        <w:rPr>
          <w:rFonts w:hint="eastAsia" w:ascii="宋体" w:hAnsi="宋体"/>
          <w:color w:val="auto"/>
          <w:sz w:val="24"/>
        </w:rPr>
        <w:t>的</w:t>
      </w:r>
      <w:r>
        <w:rPr>
          <w:rFonts w:ascii="宋体" w:hAnsi="宋体"/>
          <w:color w:val="auto"/>
          <w:sz w:val="24"/>
        </w:rPr>
        <w:t>要求填写，且在“</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w:t>
      </w:r>
      <w:r>
        <w:rPr>
          <w:rFonts w:ascii="宋体" w:hAnsi="宋体"/>
          <w:color w:val="auto"/>
          <w:sz w:val="24"/>
        </w:rPr>
        <w:t>提交</w:t>
      </w:r>
      <w:r>
        <w:rPr>
          <w:rFonts w:hint="eastAsia" w:ascii="宋体" w:hAnsi="宋体"/>
          <w:color w:val="auto"/>
          <w:sz w:val="24"/>
        </w:rPr>
        <w:t>。</w:t>
      </w:r>
    </w:p>
    <w:p w14:paraId="295A2607">
      <w:pPr>
        <w:spacing w:line="360" w:lineRule="auto"/>
        <w:rPr>
          <w:rFonts w:ascii="宋体" w:hAnsi="宋体"/>
          <w:color w:val="auto"/>
          <w:sz w:val="24"/>
        </w:rPr>
      </w:pPr>
      <w:r>
        <w:rPr>
          <w:rFonts w:ascii="宋体" w:hAnsi="宋体"/>
          <w:color w:val="auto"/>
          <w:sz w:val="24"/>
        </w:rPr>
        <w:t>17.</w:t>
      </w:r>
      <w:r>
        <w:rPr>
          <w:rFonts w:hint="eastAsia" w:ascii="宋体" w:hAnsi="宋体"/>
          <w:color w:val="auto"/>
          <w:sz w:val="24"/>
        </w:rPr>
        <w:t>2如谈判响应报价表内容与谈判响应文件中明细表内容不一致，以谈判响应最终报价表为准。</w:t>
      </w:r>
    </w:p>
    <w:p w14:paraId="1F0A28AB">
      <w:pPr>
        <w:spacing w:line="360" w:lineRule="auto"/>
        <w:rPr>
          <w:rFonts w:ascii="宋体" w:hAnsi="宋体"/>
          <w:b/>
          <w:color w:val="auto"/>
          <w:sz w:val="24"/>
        </w:rPr>
      </w:pPr>
      <w:r>
        <w:rPr>
          <w:rFonts w:ascii="宋体" w:hAnsi="宋体"/>
          <w:b/>
          <w:color w:val="auto"/>
          <w:sz w:val="24"/>
        </w:rPr>
        <w:t>17.3</w:t>
      </w:r>
      <w:r>
        <w:rPr>
          <w:rFonts w:hint="eastAsia" w:ascii="宋体" w:hAnsi="宋体"/>
          <w:b/>
          <w:color w:val="auto"/>
          <w:sz w:val="24"/>
        </w:rPr>
        <w:t>谈判</w:t>
      </w:r>
      <w:r>
        <w:rPr>
          <w:rFonts w:ascii="宋体" w:hAnsi="宋体"/>
          <w:b/>
          <w:color w:val="auto"/>
          <w:sz w:val="24"/>
        </w:rPr>
        <w:t>响应报价</w:t>
      </w:r>
      <w:r>
        <w:rPr>
          <w:rFonts w:hint="eastAsia" w:ascii="宋体" w:hAnsi="宋体"/>
          <w:b/>
          <w:color w:val="auto"/>
          <w:sz w:val="24"/>
        </w:rPr>
        <w:t>分为</w:t>
      </w:r>
      <w:r>
        <w:rPr>
          <w:rFonts w:ascii="宋体" w:hAnsi="宋体"/>
          <w:b/>
          <w:color w:val="auto"/>
          <w:sz w:val="24"/>
        </w:rPr>
        <w:t>谈判响应首次报价表、谈判响应</w:t>
      </w:r>
      <w:r>
        <w:rPr>
          <w:rFonts w:hint="eastAsia" w:ascii="宋体" w:hAnsi="宋体"/>
          <w:b/>
          <w:color w:val="auto"/>
          <w:sz w:val="24"/>
        </w:rPr>
        <w:t>最终</w:t>
      </w:r>
      <w:r>
        <w:rPr>
          <w:rFonts w:ascii="宋体" w:hAnsi="宋体"/>
          <w:b/>
          <w:color w:val="auto"/>
          <w:sz w:val="24"/>
        </w:rPr>
        <w:t>报价表。</w:t>
      </w:r>
    </w:p>
    <w:p w14:paraId="7C5CC879">
      <w:pPr>
        <w:spacing w:line="360" w:lineRule="auto"/>
        <w:rPr>
          <w:rFonts w:ascii="宋体" w:hAnsi="宋体"/>
          <w:b/>
          <w:color w:val="auto"/>
          <w:sz w:val="24"/>
        </w:rPr>
      </w:pPr>
      <w:r>
        <w:rPr>
          <w:rFonts w:hint="eastAsia" w:ascii="宋体" w:hAnsi="宋体"/>
          <w:b/>
          <w:color w:val="auto"/>
          <w:sz w:val="24"/>
        </w:rPr>
        <w:t>谈判</w:t>
      </w:r>
      <w:r>
        <w:rPr>
          <w:rFonts w:ascii="宋体" w:hAnsi="宋体"/>
          <w:b/>
          <w:color w:val="auto"/>
          <w:sz w:val="24"/>
        </w:rPr>
        <w:t>响应首次</w:t>
      </w:r>
      <w:r>
        <w:rPr>
          <w:rFonts w:hint="eastAsia" w:ascii="宋体" w:hAnsi="宋体"/>
          <w:b/>
          <w:color w:val="auto"/>
          <w:sz w:val="24"/>
        </w:rPr>
        <w:t>报价后</w:t>
      </w:r>
      <w:r>
        <w:rPr>
          <w:rFonts w:ascii="宋体" w:hAnsi="宋体"/>
          <w:b/>
          <w:color w:val="auto"/>
          <w:sz w:val="24"/>
        </w:rPr>
        <w:t>谈判小组</w:t>
      </w:r>
      <w:r>
        <w:rPr>
          <w:rFonts w:hint="eastAsia" w:ascii="宋体" w:hAnsi="宋体"/>
          <w:b/>
          <w:color w:val="auto"/>
          <w:sz w:val="24"/>
        </w:rPr>
        <w:t>将在资格</w:t>
      </w:r>
      <w:r>
        <w:rPr>
          <w:rFonts w:ascii="宋体" w:hAnsi="宋体"/>
          <w:b/>
          <w:color w:val="auto"/>
          <w:sz w:val="24"/>
        </w:rPr>
        <w:t>审</w:t>
      </w:r>
      <w:r>
        <w:rPr>
          <w:rFonts w:hint="eastAsia" w:ascii="宋体" w:hAnsi="宋体"/>
          <w:b/>
          <w:color w:val="auto"/>
          <w:sz w:val="24"/>
        </w:rPr>
        <w:t>评审</w:t>
      </w:r>
      <w:r>
        <w:rPr>
          <w:rFonts w:ascii="宋体" w:hAnsi="宋体"/>
          <w:b/>
          <w:color w:val="auto"/>
          <w:sz w:val="24"/>
        </w:rPr>
        <w:t>、符合性</w:t>
      </w:r>
      <w:r>
        <w:rPr>
          <w:rFonts w:hint="eastAsia" w:ascii="宋体" w:hAnsi="宋体"/>
          <w:b/>
          <w:color w:val="auto"/>
          <w:sz w:val="24"/>
        </w:rPr>
        <w:t>评审通过</w:t>
      </w:r>
      <w:r>
        <w:rPr>
          <w:rFonts w:ascii="宋体" w:hAnsi="宋体"/>
          <w:b/>
          <w:color w:val="auto"/>
          <w:sz w:val="24"/>
        </w:rPr>
        <w:t>后发起谈判</w:t>
      </w:r>
      <w:r>
        <w:rPr>
          <w:rFonts w:hint="eastAsia" w:ascii="宋体" w:hAnsi="宋体"/>
          <w:b/>
          <w:color w:val="auto"/>
          <w:sz w:val="24"/>
        </w:rPr>
        <w:t>响应</w:t>
      </w:r>
      <w:r>
        <w:rPr>
          <w:rFonts w:ascii="宋体" w:hAnsi="宋体"/>
          <w:b/>
          <w:color w:val="auto"/>
          <w:sz w:val="24"/>
        </w:rPr>
        <w:t>最终报价，</w:t>
      </w:r>
      <w:r>
        <w:rPr>
          <w:rFonts w:hint="eastAsia" w:ascii="宋体" w:hAnsi="宋体"/>
          <w:b/>
          <w:color w:val="auto"/>
          <w:sz w:val="24"/>
        </w:rPr>
        <w:t>响应</w:t>
      </w:r>
      <w:r>
        <w:rPr>
          <w:rFonts w:ascii="宋体" w:hAnsi="宋体"/>
          <w:b/>
          <w:color w:val="auto"/>
          <w:sz w:val="24"/>
        </w:rPr>
        <w:t>谈判供应商</w:t>
      </w:r>
      <w:r>
        <w:rPr>
          <w:rFonts w:hint="eastAsia" w:ascii="宋体" w:hAnsi="宋体"/>
          <w:b/>
          <w:color w:val="auto"/>
          <w:sz w:val="24"/>
        </w:rPr>
        <w:t>代表须</w:t>
      </w:r>
      <w:r>
        <w:rPr>
          <w:rFonts w:ascii="宋体" w:hAnsi="宋体"/>
          <w:b/>
          <w:color w:val="auto"/>
          <w:sz w:val="24"/>
        </w:rPr>
        <w:t>在谈判小组发起的报价</w:t>
      </w:r>
      <w:r>
        <w:rPr>
          <w:rFonts w:hint="eastAsia" w:ascii="宋体" w:hAnsi="宋体"/>
          <w:b/>
          <w:color w:val="auto"/>
          <w:sz w:val="24"/>
        </w:rPr>
        <w:t>时限</w:t>
      </w:r>
      <w:r>
        <w:rPr>
          <w:rFonts w:ascii="宋体" w:hAnsi="宋体"/>
          <w:b/>
          <w:color w:val="auto"/>
          <w:sz w:val="24"/>
        </w:rPr>
        <w:t>内提交</w:t>
      </w:r>
      <w:r>
        <w:rPr>
          <w:rFonts w:hint="eastAsia" w:ascii="宋体" w:hAnsi="宋体"/>
          <w:b/>
          <w:color w:val="auto"/>
          <w:sz w:val="24"/>
        </w:rPr>
        <w:t>谈判</w:t>
      </w:r>
      <w:r>
        <w:rPr>
          <w:rFonts w:ascii="宋体" w:hAnsi="宋体"/>
          <w:b/>
          <w:color w:val="auto"/>
          <w:sz w:val="24"/>
        </w:rPr>
        <w:t>响应最终报价</w:t>
      </w:r>
      <w:r>
        <w:rPr>
          <w:rFonts w:hint="eastAsia" w:ascii="宋体" w:hAnsi="宋体"/>
          <w:b/>
          <w:color w:val="auto"/>
          <w:sz w:val="24"/>
        </w:rPr>
        <w:t>。</w:t>
      </w:r>
    </w:p>
    <w:p w14:paraId="77AEFDF2">
      <w:pPr>
        <w:autoSpaceDE w:val="0"/>
        <w:autoSpaceDN w:val="0"/>
        <w:adjustRightInd w:val="0"/>
        <w:spacing w:before="60" w:after="60" w:line="360" w:lineRule="auto"/>
        <w:rPr>
          <w:rFonts w:cs="宋体"/>
          <w:b/>
          <w:color w:val="auto"/>
          <w:sz w:val="24"/>
        </w:rPr>
      </w:pPr>
      <w:r>
        <w:rPr>
          <w:rFonts w:hint="eastAsia" w:ascii="宋体" w:hAnsi="宋体"/>
          <w:b/>
          <w:color w:val="auto"/>
          <w:sz w:val="24"/>
        </w:rPr>
        <w:t>17.4</w:t>
      </w:r>
      <w:r>
        <w:rPr>
          <w:rFonts w:hint="eastAsia" w:cs="宋体"/>
          <w:b/>
          <w:color w:val="auto"/>
          <w:sz w:val="24"/>
        </w:rPr>
        <w:t>在线谈判</w:t>
      </w:r>
      <w:r>
        <w:rPr>
          <w:rFonts w:cs="宋体"/>
          <w:b/>
          <w:color w:val="auto"/>
          <w:sz w:val="24"/>
        </w:rPr>
        <w:t>时间和提交</w:t>
      </w:r>
      <w:r>
        <w:rPr>
          <w:rFonts w:hint="eastAsia" w:cs="宋体"/>
          <w:b/>
          <w:color w:val="auto"/>
          <w:sz w:val="24"/>
        </w:rPr>
        <w:t>最终</w:t>
      </w:r>
      <w:r>
        <w:rPr>
          <w:rFonts w:cs="宋体"/>
          <w:b/>
          <w:color w:val="auto"/>
          <w:sz w:val="24"/>
        </w:rPr>
        <w:t>报价的时间</w:t>
      </w:r>
      <w:r>
        <w:rPr>
          <w:rFonts w:hint="eastAsia" w:cs="宋体"/>
          <w:b/>
          <w:color w:val="auto"/>
          <w:sz w:val="24"/>
        </w:rPr>
        <w:t>见</w:t>
      </w:r>
      <w:r>
        <w:rPr>
          <w:rFonts w:cs="宋体"/>
          <w:b/>
          <w:color w:val="auto"/>
          <w:sz w:val="24"/>
        </w:rPr>
        <w:t>本须知前附表。</w:t>
      </w:r>
    </w:p>
    <w:p w14:paraId="3402F2A5">
      <w:pPr>
        <w:spacing w:line="360" w:lineRule="auto"/>
        <w:rPr>
          <w:rFonts w:ascii="宋体" w:hAnsi="宋体"/>
          <w:b/>
          <w:color w:val="auto"/>
          <w:sz w:val="24"/>
        </w:rPr>
      </w:pPr>
      <w:r>
        <w:rPr>
          <w:rFonts w:hint="eastAsia" w:ascii="宋体" w:hAnsi="宋体"/>
          <w:b/>
          <w:color w:val="auto"/>
          <w:sz w:val="24"/>
        </w:rPr>
        <w:t>1</w:t>
      </w:r>
      <w:r>
        <w:rPr>
          <w:rFonts w:ascii="宋体" w:hAnsi="宋体"/>
          <w:b/>
          <w:color w:val="auto"/>
          <w:sz w:val="24"/>
        </w:rPr>
        <w:t>8</w:t>
      </w:r>
      <w:r>
        <w:rPr>
          <w:rFonts w:hint="eastAsia" w:ascii="宋体" w:hAnsi="宋体"/>
          <w:b/>
          <w:color w:val="auto"/>
          <w:sz w:val="24"/>
        </w:rPr>
        <w:t>.采购</w:t>
      </w:r>
      <w:r>
        <w:rPr>
          <w:rFonts w:ascii="宋体" w:hAnsi="宋体"/>
          <w:b/>
          <w:color w:val="auto"/>
          <w:sz w:val="24"/>
        </w:rPr>
        <w:t>货物</w:t>
      </w:r>
      <w:r>
        <w:rPr>
          <w:rFonts w:hint="eastAsia" w:ascii="宋体" w:hAnsi="宋体"/>
          <w:b/>
          <w:color w:val="auto"/>
          <w:sz w:val="24"/>
        </w:rPr>
        <w:t>进口产品规定</w:t>
      </w:r>
    </w:p>
    <w:p w14:paraId="22F6472B">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9F0EFDD">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.2政府采购进口产品合同应当将维护国家利益和社会公共利益作为必备条款。合同履行过程中出现危害国家利益和社会公共利益问题的，采购人应当立即终止合同。</w:t>
      </w:r>
    </w:p>
    <w:p w14:paraId="55A30BAA">
      <w:pPr>
        <w:spacing w:line="360" w:lineRule="auto"/>
        <w:rPr>
          <w:rFonts w:ascii="宋体" w:hAnsi="宋体"/>
          <w:color w:val="auto"/>
          <w:sz w:val="24"/>
        </w:rPr>
      </w:pPr>
      <w:r>
        <w:rPr>
          <w:rFonts w:hint="eastAsia" w:ascii="宋体" w:hAnsi="宋体"/>
          <w:b/>
          <w:color w:val="auto"/>
          <w:sz w:val="24"/>
        </w:rPr>
        <w:t>1</w:t>
      </w:r>
      <w:r>
        <w:rPr>
          <w:rFonts w:ascii="宋体" w:hAnsi="宋体"/>
          <w:b/>
          <w:color w:val="auto"/>
          <w:sz w:val="24"/>
        </w:rPr>
        <w:t>9</w:t>
      </w:r>
      <w:r>
        <w:rPr>
          <w:rFonts w:hint="eastAsia" w:ascii="宋体" w:hAnsi="宋体"/>
          <w:b/>
          <w:color w:val="auto"/>
          <w:sz w:val="24"/>
        </w:rPr>
        <w:t>.谈判有效期</w:t>
      </w:r>
    </w:p>
    <w:p w14:paraId="6D98AE47">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.1谈判响应文件应在本须知前附表所规定的谈判截止期之后开始生效，响应谈判供应商不得在本须知规定的谈判有效期内要求撤销或修改其谈判响应文件。</w:t>
      </w:r>
    </w:p>
    <w:p w14:paraId="08508334">
      <w:pPr>
        <w:spacing w:line="360" w:lineRule="auto"/>
        <w:rPr>
          <w:rFonts w:ascii="宋体" w:hAnsi="宋体"/>
          <w:b/>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.2出现特殊情况需要延长响应有效期的，</w:t>
      </w:r>
      <w:r>
        <w:rPr>
          <w:rFonts w:hint="eastAsia" w:ascii="宋体" w:hAnsi="宋体"/>
          <w:color w:val="auto"/>
          <w:sz w:val="24"/>
          <w:lang w:eastAsia="zh-CN"/>
        </w:rPr>
        <w:t>采购代理机构</w:t>
      </w:r>
      <w:r>
        <w:rPr>
          <w:rFonts w:hint="eastAsia" w:ascii="宋体" w:hAnsi="宋体"/>
          <w:color w:val="auto"/>
          <w:sz w:val="24"/>
        </w:rPr>
        <w:t>以书面形式通知所有响应谈判供应商延长谈判有效期。响应谈判供应商同意延长的，但不得要求或被允许修改或撤销其谈判响应文件。响应谈判供应商拒绝延长的，其谈判响应失效。</w:t>
      </w:r>
      <w:r>
        <w:rPr>
          <w:rFonts w:ascii="宋体" w:hAnsi="宋体"/>
          <w:b/>
          <w:color w:val="auto"/>
          <w:sz w:val="24"/>
        </w:rPr>
        <w:t xml:space="preserve"> </w:t>
      </w:r>
    </w:p>
    <w:p w14:paraId="42A424C8">
      <w:pPr>
        <w:spacing w:line="360" w:lineRule="auto"/>
        <w:rPr>
          <w:rFonts w:ascii="宋体" w:hAnsi="宋体"/>
          <w:color w:val="auto"/>
          <w:sz w:val="24"/>
        </w:rPr>
      </w:pPr>
      <w:r>
        <w:rPr>
          <w:rFonts w:hint="eastAsia" w:ascii="宋体" w:hAnsi="宋体"/>
          <w:b/>
          <w:color w:val="auto"/>
          <w:sz w:val="24"/>
        </w:rPr>
        <w:t>20.谈判供应商的不良行为</w:t>
      </w:r>
    </w:p>
    <w:p w14:paraId="3C776E48">
      <w:pPr>
        <w:spacing w:line="360" w:lineRule="auto"/>
        <w:ind w:firstLine="480" w:firstLineChars="200"/>
        <w:rPr>
          <w:rFonts w:ascii="宋体" w:hAnsi="宋体"/>
          <w:color w:val="auto"/>
          <w:sz w:val="24"/>
        </w:rPr>
      </w:pPr>
      <w:r>
        <w:rPr>
          <w:rFonts w:hint="eastAsia" w:ascii="宋体" w:hAnsi="宋体"/>
          <w:color w:val="auto"/>
          <w:sz w:val="24"/>
        </w:rPr>
        <w:t>谈判供应商有下列情形之一且情节严重的，由财政部门将其列入不良行为记录名单，在一至三年内禁止参加政府采购活动，并予以通报：</w:t>
      </w:r>
    </w:p>
    <w:p w14:paraId="43D8FB5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w:t>
      </w:r>
      <w:r>
        <w:rPr>
          <w:rFonts w:ascii="宋体" w:hAnsi="宋体"/>
          <w:color w:val="auto"/>
          <w:sz w:val="24"/>
        </w:rPr>
        <w:t>1</w:t>
      </w:r>
      <w:r>
        <w:rPr>
          <w:rFonts w:hint="eastAsia" w:ascii="宋体" w:hAnsi="宋体"/>
          <w:color w:val="auto"/>
          <w:sz w:val="24"/>
        </w:rPr>
        <w:t>提供虚假材料谋取中标、成交；</w:t>
      </w:r>
    </w:p>
    <w:p w14:paraId="0F8EF064">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.2</w:t>
      </w:r>
      <w:r>
        <w:rPr>
          <w:rFonts w:hint="eastAsia" w:ascii="宋体" w:hAnsi="宋体" w:eastAsia="宋体" w:cs="Times New Roman"/>
          <w:color w:val="auto"/>
          <w:sz w:val="24"/>
        </w:rPr>
        <w:t>采取不正当手段诋毁、排挤其他供应商；</w:t>
      </w:r>
    </w:p>
    <w:p w14:paraId="7A559B7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.3与采购人、其他供应商或代理机构恶意串通；</w:t>
      </w:r>
    </w:p>
    <w:p w14:paraId="5E8E211D">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.4拒不履行合同义务或实质性变更合同内容；</w:t>
      </w:r>
    </w:p>
    <w:p w14:paraId="2045C14D">
      <w:pPr>
        <w:spacing w:line="360" w:lineRule="auto"/>
        <w:rPr>
          <w:rFonts w:hint="eastAsia" w:ascii="宋体" w:hAnsi="宋体"/>
          <w:color w:val="auto"/>
          <w:sz w:val="24"/>
        </w:rPr>
      </w:pPr>
      <w:r>
        <w:rPr>
          <w:rFonts w:ascii="宋体" w:hAnsi="宋体"/>
          <w:color w:val="auto"/>
          <w:sz w:val="24"/>
        </w:rPr>
        <w:t>20</w:t>
      </w:r>
      <w:r>
        <w:rPr>
          <w:rFonts w:hint="eastAsia" w:ascii="宋体" w:hAnsi="宋体"/>
          <w:color w:val="auto"/>
          <w:sz w:val="24"/>
        </w:rPr>
        <w:t>.5其他严重违法行为</w:t>
      </w:r>
    </w:p>
    <w:p w14:paraId="17D44CE9">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.谈判文件的编制</w:t>
      </w:r>
    </w:p>
    <w:p w14:paraId="50CC352A">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.1谈判响应文件包括本须知第1</w:t>
      </w:r>
      <w:r>
        <w:rPr>
          <w:rFonts w:ascii="宋体" w:hAnsi="宋体"/>
          <w:bCs/>
          <w:color w:val="auto"/>
          <w:sz w:val="24"/>
        </w:rPr>
        <w:t>5</w:t>
      </w:r>
      <w:r>
        <w:rPr>
          <w:rFonts w:hint="eastAsia" w:ascii="宋体" w:hAnsi="宋体"/>
          <w:bCs/>
          <w:color w:val="auto"/>
          <w:sz w:val="24"/>
        </w:rPr>
        <w:t>条规定的内容，响应谈判供应商上传的谈判响应文件应按谈判文件第六章“响应文件格式”进行编写，如有必要，可以增加附页，作为谈判响应文件的组成部分。其中，响应函在满足谈判文件实质性要求的基础上，可以提出比谈判文件更有利于采购人的承诺。</w:t>
      </w:r>
    </w:p>
    <w:p w14:paraId="08C5F9B0">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.2谈判响应文件应当对谈判文件有关供货期、谈判有效期、质量要求、谈判内容等实质性内容作出响应。</w:t>
      </w:r>
    </w:p>
    <w:p w14:paraId="4D72802D">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.3</w:t>
      </w:r>
      <w:r>
        <w:rPr>
          <w:rFonts w:hint="eastAsia" w:ascii="宋体"/>
          <w:b/>
          <w:bCs/>
          <w:color w:val="auto"/>
          <w:sz w:val="24"/>
        </w:rPr>
        <w:t>上传</w:t>
      </w:r>
      <w:r>
        <w:rPr>
          <w:rFonts w:ascii="宋体"/>
          <w:b/>
          <w:bCs/>
          <w:color w:val="auto"/>
          <w:sz w:val="24"/>
        </w:rPr>
        <w:t>的</w:t>
      </w:r>
      <w:r>
        <w:rPr>
          <w:rFonts w:hint="eastAsia" w:ascii="宋体" w:hAnsi="宋体"/>
          <w:b/>
          <w:color w:val="auto"/>
          <w:sz w:val="24"/>
        </w:rPr>
        <w:t>谈判响应文件应在规定位置处，</w:t>
      </w:r>
      <w:r>
        <w:rPr>
          <w:rFonts w:hint="eastAsia" w:ascii="宋体" w:hAnsi="宋体"/>
          <w:b/>
          <w:color w:val="auto"/>
          <w:sz w:val="24"/>
          <w:lang w:val="en-US" w:eastAsia="zh-CN"/>
        </w:rPr>
        <w:t>根据文件要求进行签字盖章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0F6A0E3A">
      <w:pPr>
        <w:spacing w:line="360" w:lineRule="auto"/>
        <w:jc w:val="left"/>
        <w:rPr>
          <w:rFonts w:ascii="宋体" w:hAnsi="宋体"/>
          <w:b/>
          <w:color w:val="auto"/>
          <w:sz w:val="24"/>
        </w:rPr>
      </w:pPr>
      <w:r>
        <w:rPr>
          <w:rFonts w:ascii="宋体" w:hAnsi="宋体"/>
          <w:b/>
          <w:color w:val="auto"/>
          <w:sz w:val="24"/>
        </w:rPr>
        <w:t>21</w:t>
      </w:r>
      <w:r>
        <w:rPr>
          <w:rFonts w:hint="eastAsia" w:ascii="宋体" w:hAnsi="宋体"/>
          <w:b/>
          <w:color w:val="auto"/>
          <w:sz w:val="24"/>
        </w:rPr>
        <w:t>.</w:t>
      </w:r>
      <w:r>
        <w:rPr>
          <w:rFonts w:ascii="宋体" w:hAnsi="宋体"/>
          <w:b/>
          <w:color w:val="auto"/>
          <w:sz w:val="24"/>
        </w:rPr>
        <w:t>4</w:t>
      </w:r>
      <w:r>
        <w:rPr>
          <w:rFonts w:hint="eastAsia" w:ascii="宋体" w:hAnsi="宋体"/>
          <w:b/>
          <w:color w:val="auto"/>
          <w:sz w:val="24"/>
        </w:rPr>
        <w:t>谈判响应文件中的内容</w:t>
      </w:r>
      <w:r>
        <w:rPr>
          <w:rFonts w:ascii="宋体" w:hAnsi="宋体"/>
          <w:b/>
          <w:color w:val="auto"/>
          <w:sz w:val="24"/>
        </w:rPr>
        <w:t>要</w:t>
      </w:r>
      <w:r>
        <w:rPr>
          <w:rFonts w:hint="eastAsia" w:ascii="宋体" w:hAnsi="宋体"/>
          <w:b/>
          <w:color w:val="auto"/>
          <w:sz w:val="24"/>
        </w:rPr>
        <w:t>清晰，易于辨认，且无篡改</w:t>
      </w:r>
      <w:r>
        <w:rPr>
          <w:rFonts w:ascii="宋体" w:hAnsi="宋体"/>
          <w:b/>
          <w:color w:val="auto"/>
          <w:sz w:val="24"/>
        </w:rPr>
        <w:t>图片</w:t>
      </w:r>
      <w:r>
        <w:rPr>
          <w:rFonts w:hint="eastAsia" w:ascii="宋体" w:hAnsi="宋体"/>
          <w:b/>
          <w:color w:val="auto"/>
          <w:sz w:val="24"/>
        </w:rPr>
        <w:t>，除非这些改动是根据</w:t>
      </w:r>
      <w:r>
        <w:rPr>
          <w:rFonts w:hint="eastAsia" w:ascii="宋体" w:hAnsi="宋体"/>
          <w:b/>
          <w:color w:val="auto"/>
          <w:sz w:val="24"/>
          <w:lang w:eastAsia="zh-CN"/>
        </w:rPr>
        <w:t>采购代理机构</w:t>
      </w:r>
      <w:r>
        <w:rPr>
          <w:rFonts w:hint="eastAsia" w:ascii="宋体" w:hAnsi="宋体"/>
          <w:b/>
          <w:color w:val="auto"/>
          <w:sz w:val="24"/>
        </w:rPr>
        <w:t>的指示进行的，或者是为改正响应谈判供应商造成的必须修改的错误而进行的。有改动时，修改处应由响应谈判供应商的法定代表人或被授权委托人签字或盖章，并</w:t>
      </w:r>
      <w:r>
        <w:rPr>
          <w:rFonts w:ascii="宋体" w:hAnsi="宋体"/>
          <w:b/>
          <w:color w:val="auto"/>
          <w:sz w:val="24"/>
        </w:rPr>
        <w:t>加盖公章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6A47F877">
      <w:pPr>
        <w:spacing w:after="120"/>
        <w:jc w:val="left"/>
        <w:rPr>
          <w:rFonts w:ascii="宋体"/>
          <w:b/>
          <w:color w:val="auto"/>
          <w:sz w:val="24"/>
        </w:rPr>
      </w:pPr>
      <w:r>
        <w:rPr>
          <w:rFonts w:ascii="宋体"/>
          <w:b/>
          <w:bCs/>
          <w:color w:val="auto"/>
          <w:sz w:val="24"/>
        </w:rPr>
        <w:t>21.5</w:t>
      </w:r>
      <w:r>
        <w:rPr>
          <w:rFonts w:hint="eastAsia" w:ascii="宋体" w:hAnsi="宋体"/>
          <w:b/>
          <w:color w:val="auto"/>
          <w:sz w:val="24"/>
        </w:rPr>
        <w:t>如果响应谈判供应商没有按本须知要求制作、签署、盖章，在初步评审时将按照无效响应处理</w:t>
      </w:r>
      <w:r>
        <w:rPr>
          <w:rFonts w:hint="eastAsia" w:ascii="宋体" w:hAnsi="宋体"/>
          <w:color w:val="auto"/>
          <w:sz w:val="24"/>
        </w:rPr>
        <w:t>。</w:t>
      </w:r>
    </w:p>
    <w:p w14:paraId="0AE72070">
      <w:pPr>
        <w:spacing w:line="360" w:lineRule="auto"/>
        <w:jc w:val="center"/>
        <w:outlineLvl w:val="1"/>
        <w:rPr>
          <w:rFonts w:ascii="宋体" w:hAnsi="宋体"/>
          <w:b/>
          <w:color w:val="auto"/>
          <w:sz w:val="28"/>
          <w:szCs w:val="28"/>
        </w:rPr>
      </w:pPr>
      <w:bookmarkStart w:id="13" w:name="_Toc103723521"/>
      <w:bookmarkStart w:id="14" w:name="_Toc23696"/>
      <w:r>
        <w:rPr>
          <w:rFonts w:hint="eastAsia" w:ascii="宋体" w:hAnsi="宋体"/>
          <w:b/>
          <w:color w:val="auto"/>
          <w:sz w:val="28"/>
          <w:szCs w:val="28"/>
        </w:rPr>
        <w:t>五、</w:t>
      </w:r>
      <w:bookmarkEnd w:id="13"/>
      <w:r>
        <w:rPr>
          <w:rFonts w:hint="eastAsia" w:ascii="宋体" w:hAnsi="宋体"/>
          <w:b/>
          <w:color w:val="auto"/>
          <w:sz w:val="28"/>
          <w:szCs w:val="28"/>
        </w:rPr>
        <w:t>谈判响应</w:t>
      </w:r>
      <w:bookmarkEnd w:id="14"/>
    </w:p>
    <w:p w14:paraId="7EF1033F">
      <w:pPr>
        <w:spacing w:line="360" w:lineRule="auto"/>
        <w:jc w:val="left"/>
        <w:rPr>
          <w:rFonts w:ascii="宋体" w:hAnsi="宋体"/>
          <w:color w:val="auto"/>
          <w:sz w:val="24"/>
        </w:rPr>
      </w:pPr>
      <w:r>
        <w:rPr>
          <w:rFonts w:hint="eastAsia" w:ascii="宋体" w:hAnsi="宋体"/>
          <w:b/>
          <w:color w:val="auto"/>
          <w:sz w:val="24"/>
        </w:rPr>
        <w:t>2</w:t>
      </w:r>
      <w:r>
        <w:rPr>
          <w:rFonts w:ascii="宋体" w:hAnsi="宋体"/>
          <w:b/>
          <w:color w:val="auto"/>
          <w:sz w:val="24"/>
        </w:rPr>
        <w:t>2</w:t>
      </w:r>
      <w:r>
        <w:rPr>
          <w:rFonts w:hint="eastAsia" w:ascii="宋体" w:hAnsi="宋体"/>
          <w:b/>
          <w:color w:val="auto"/>
          <w:sz w:val="24"/>
        </w:rPr>
        <w:t>.谈判响应文件的上传、解密</w:t>
      </w:r>
    </w:p>
    <w:p w14:paraId="696ACC16">
      <w:pPr>
        <w:spacing w:line="360" w:lineRule="auto"/>
        <w:rPr>
          <w:rFonts w:ascii="宋体" w:hAnsi="宋体"/>
          <w:color w:val="auto"/>
          <w:sz w:val="24"/>
        </w:rPr>
      </w:pPr>
      <w:r>
        <w:rPr>
          <w:rFonts w:cs="宋体" w:asciiTheme="minorEastAsia" w:hAnsiTheme="minorEastAsia" w:eastAsiaTheme="minorEastAsia"/>
          <w:b/>
          <w:color w:val="auto"/>
          <w:sz w:val="24"/>
        </w:rPr>
        <w:t>22.1</w:t>
      </w:r>
      <w:r>
        <w:rPr>
          <w:rFonts w:hint="eastAsia" w:ascii="宋体" w:hAnsi="宋体"/>
          <w:b/>
          <w:bCs/>
          <w:color w:val="auto"/>
          <w:sz w:val="24"/>
        </w:rPr>
        <w:t>响应谈判供应商应在本须知前附表规定的谈判响应截止时间前上传谈判响应文件，</w:t>
      </w:r>
      <w:r>
        <w:rPr>
          <w:rFonts w:ascii="宋体" w:hAnsi="宋体"/>
          <w:b/>
          <w:bCs/>
          <w:color w:val="auto"/>
          <w:sz w:val="24"/>
        </w:rPr>
        <w:t>在规定的</w:t>
      </w:r>
      <w:r>
        <w:rPr>
          <w:rFonts w:hint="eastAsia" w:ascii="宋体" w:hAnsi="宋体"/>
          <w:b/>
          <w:bCs/>
          <w:color w:val="auto"/>
          <w:sz w:val="24"/>
        </w:rPr>
        <w:t>解密</w:t>
      </w:r>
      <w:r>
        <w:rPr>
          <w:rFonts w:ascii="宋体" w:hAnsi="宋体"/>
          <w:b/>
          <w:bCs/>
          <w:color w:val="auto"/>
          <w:sz w:val="24"/>
        </w:rPr>
        <w:t>时间</w:t>
      </w:r>
      <w:r>
        <w:rPr>
          <w:rFonts w:hint="eastAsia" w:ascii="宋体" w:hAnsi="宋体"/>
          <w:b/>
          <w:bCs/>
          <w:color w:val="auto"/>
          <w:sz w:val="24"/>
        </w:rPr>
        <w:t>内</w:t>
      </w:r>
      <w:r>
        <w:rPr>
          <w:rFonts w:ascii="宋体" w:hAnsi="宋体"/>
          <w:b/>
          <w:bCs/>
          <w:color w:val="auto"/>
          <w:sz w:val="24"/>
        </w:rPr>
        <w:t>解密谈判响应文件。</w:t>
      </w:r>
    </w:p>
    <w:p w14:paraId="289803CE">
      <w:pPr>
        <w:spacing w:line="360" w:lineRule="auto"/>
        <w:rPr>
          <w:rFonts w:ascii="宋体" w:hAnsi="宋体"/>
          <w:b/>
          <w:color w:val="auto"/>
          <w:sz w:val="24"/>
        </w:rPr>
      </w:pPr>
      <w:r>
        <w:rPr>
          <w:rFonts w:cs="宋体" w:asciiTheme="minorEastAsia" w:hAnsiTheme="minorEastAsia" w:eastAsiaTheme="minorEastAsia"/>
          <w:b/>
          <w:color w:val="auto"/>
          <w:sz w:val="24"/>
        </w:rPr>
        <w:t>22.2</w:t>
      </w:r>
      <w:r>
        <w:rPr>
          <w:rFonts w:hint="eastAsia" w:cs="宋体" w:asciiTheme="minorEastAsia" w:hAnsiTheme="minorEastAsia" w:eastAsiaTheme="minorEastAsia"/>
          <w:b/>
          <w:color w:val="auto"/>
          <w:sz w:val="24"/>
        </w:rPr>
        <w:t>响应谈判供应商须在本须知</w:t>
      </w:r>
      <w:r>
        <w:rPr>
          <w:rFonts w:cs="宋体" w:asciiTheme="minorEastAsia" w:hAnsiTheme="minorEastAsia" w:eastAsiaTheme="minorEastAsia"/>
          <w:b/>
          <w:color w:val="auto"/>
          <w:sz w:val="24"/>
        </w:rPr>
        <w:t>前附表</w:t>
      </w:r>
      <w:r>
        <w:rPr>
          <w:rFonts w:hint="eastAsia" w:cs="宋体" w:asciiTheme="minorEastAsia" w:hAnsiTheme="minorEastAsia" w:eastAsiaTheme="minorEastAsia"/>
          <w:b/>
          <w:color w:val="auto"/>
          <w:sz w:val="24"/>
        </w:rPr>
        <w:t>规定</w:t>
      </w:r>
      <w:r>
        <w:rPr>
          <w:rFonts w:cs="宋体" w:asciiTheme="minorEastAsia" w:hAnsiTheme="minorEastAsia" w:eastAsiaTheme="minorEastAsia"/>
          <w:b/>
          <w:color w:val="auto"/>
          <w:sz w:val="24"/>
        </w:rPr>
        <w:t>的方式上</w:t>
      </w:r>
      <w:r>
        <w:rPr>
          <w:rFonts w:hint="eastAsia" w:cs="宋体" w:asciiTheme="minorEastAsia" w:hAnsiTheme="minorEastAsia" w:eastAsiaTheme="minorEastAsia"/>
          <w:b/>
          <w:color w:val="auto"/>
          <w:sz w:val="24"/>
        </w:rPr>
        <w:t>传谈判响应文件。谈判响应文件应在制作完成后，在谈判响应截止</w:t>
      </w:r>
      <w:r>
        <w:rPr>
          <w:rFonts w:cs="宋体" w:asciiTheme="minorEastAsia" w:hAnsiTheme="minorEastAsia" w:eastAsiaTheme="minorEastAsia"/>
          <w:b/>
          <w:color w:val="auto"/>
          <w:sz w:val="24"/>
        </w:rPr>
        <w:t>时间</w:t>
      </w:r>
      <w:r>
        <w:rPr>
          <w:rFonts w:hint="eastAsia" w:cs="宋体" w:asciiTheme="minorEastAsia" w:hAnsiTheme="minorEastAsia" w:eastAsiaTheme="minorEastAsia"/>
          <w:b/>
          <w:color w:val="auto"/>
          <w:sz w:val="24"/>
        </w:rPr>
        <w:t>前</w:t>
      </w:r>
      <w:r>
        <w:rPr>
          <w:rFonts w:ascii="宋体" w:hAnsi="宋体"/>
          <w:b/>
          <w:color w:val="auto"/>
          <w:sz w:val="24"/>
        </w:rPr>
        <w:t>提交至“</w:t>
      </w:r>
      <w:r>
        <w:rPr>
          <w:rFonts w:hint="eastAsia" w:ascii="宋体" w:hAnsi="宋体"/>
          <w:b/>
          <w:color w:val="auto"/>
          <w:sz w:val="24"/>
        </w:rPr>
        <w:t>政采云</w:t>
      </w:r>
      <w:r>
        <w:rPr>
          <w:rFonts w:ascii="宋体" w:hAnsi="宋体"/>
          <w:b/>
          <w:color w:val="auto"/>
          <w:sz w:val="24"/>
        </w:rPr>
        <w:t>”</w:t>
      </w:r>
      <w:r>
        <w:rPr>
          <w:rFonts w:hint="eastAsia" w:ascii="宋体" w:hAnsi="宋体"/>
          <w:b/>
          <w:color w:val="auto"/>
          <w:sz w:val="24"/>
        </w:rPr>
        <w:t>平台，</w:t>
      </w:r>
      <w:r>
        <w:rPr>
          <w:rFonts w:ascii="宋体" w:hAnsi="宋体"/>
          <w:b/>
          <w:color w:val="auto"/>
          <w:sz w:val="24"/>
        </w:rPr>
        <w:t>并</w:t>
      </w:r>
      <w:r>
        <w:rPr>
          <w:rFonts w:hint="eastAsia" w:ascii="宋体" w:hAnsi="宋体" w:cs="宋体"/>
          <w:b/>
          <w:color w:val="auto"/>
          <w:sz w:val="24"/>
        </w:rPr>
        <w:t>通过数字证书</w:t>
      </w:r>
      <w:r>
        <w:rPr>
          <w:rFonts w:hint="eastAsia" w:ascii="宋体" w:hAnsi="宋体"/>
          <w:b/>
          <w:color w:val="auto"/>
          <w:sz w:val="24"/>
        </w:rPr>
        <w:t>签章、加密。</w:t>
      </w:r>
      <w:r>
        <w:rPr>
          <w:rFonts w:hint="eastAsia" w:cs="宋体" w:asciiTheme="minorEastAsia" w:hAnsiTheme="minorEastAsia" w:eastAsiaTheme="minorEastAsia"/>
          <w:b/>
          <w:color w:val="auto"/>
          <w:sz w:val="24"/>
        </w:rPr>
        <w:t xml:space="preserve">  </w:t>
      </w:r>
    </w:p>
    <w:p w14:paraId="41808E8B">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2.3</w:t>
      </w:r>
      <w:r>
        <w:rPr>
          <w:rFonts w:hint="eastAsia" w:ascii="宋体" w:hAnsi="宋体"/>
          <w:color w:val="auto"/>
          <w:sz w:val="24"/>
        </w:rPr>
        <w:t>逾期上传的或者未上传指定</w:t>
      </w:r>
      <w:r>
        <w:rPr>
          <w:rFonts w:ascii="宋体" w:hAnsi="宋体"/>
          <w:color w:val="auto"/>
          <w:sz w:val="24"/>
        </w:rPr>
        <w:t>“</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平台的谈判响应文件，</w:t>
      </w:r>
      <w:r>
        <w:rPr>
          <w:rFonts w:hint="eastAsia" w:ascii="宋体" w:hAnsi="宋体"/>
          <w:color w:val="auto"/>
          <w:sz w:val="24"/>
          <w:lang w:eastAsia="zh-CN"/>
        </w:rPr>
        <w:t>采购代理机构</w:t>
      </w:r>
      <w:r>
        <w:rPr>
          <w:rFonts w:hint="eastAsia" w:ascii="宋体" w:hAnsi="宋体"/>
          <w:color w:val="auto"/>
          <w:sz w:val="24"/>
        </w:rPr>
        <w:t>不予受理。响应谈判供应商上传的电子谈判响应文件因未解密而造成谈判响应文件无法进行评审的，响应谈判供应商自行承担。</w:t>
      </w:r>
    </w:p>
    <w:p w14:paraId="41433130">
      <w:pPr>
        <w:spacing w:line="360" w:lineRule="auto"/>
        <w:rPr>
          <w:rFonts w:ascii="宋体" w:hAnsi="宋体"/>
          <w:color w:val="auto"/>
          <w:sz w:val="24"/>
        </w:rPr>
      </w:pPr>
      <w:r>
        <w:rPr>
          <w:rFonts w:hint="eastAsia" w:ascii="宋体" w:hAnsi="宋体"/>
          <w:b/>
          <w:color w:val="auto"/>
          <w:sz w:val="24"/>
        </w:rPr>
        <w:t>2</w:t>
      </w:r>
      <w:r>
        <w:rPr>
          <w:rFonts w:ascii="宋体" w:hAnsi="宋体"/>
          <w:b/>
          <w:color w:val="auto"/>
          <w:sz w:val="24"/>
        </w:rPr>
        <w:t>3</w:t>
      </w:r>
      <w:r>
        <w:rPr>
          <w:rFonts w:hint="eastAsia" w:ascii="宋体" w:hAnsi="宋体"/>
          <w:b/>
          <w:color w:val="auto"/>
          <w:sz w:val="24"/>
        </w:rPr>
        <w:t>.谈判</w:t>
      </w:r>
      <w:r>
        <w:rPr>
          <w:rFonts w:ascii="宋体" w:hAnsi="宋体"/>
          <w:b/>
          <w:color w:val="auto"/>
          <w:sz w:val="24"/>
        </w:rPr>
        <w:t>响应</w:t>
      </w:r>
      <w:r>
        <w:rPr>
          <w:rFonts w:hint="eastAsia" w:ascii="宋体" w:hAnsi="宋体"/>
          <w:b/>
          <w:color w:val="auto"/>
          <w:sz w:val="24"/>
        </w:rPr>
        <w:t>截止期</w:t>
      </w:r>
    </w:p>
    <w:p w14:paraId="1D29BBC8">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.1谈判响应文件的截止时间、开标时间：见本须知前附表。</w:t>
      </w:r>
    </w:p>
    <w:p w14:paraId="5056071C">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.2</w:t>
      </w:r>
      <w:r>
        <w:rPr>
          <w:rFonts w:hint="eastAsia" w:ascii="宋体" w:hAnsi="宋体"/>
          <w:color w:val="auto"/>
          <w:sz w:val="24"/>
          <w:lang w:eastAsia="zh-CN"/>
        </w:rPr>
        <w:t>采购代理机构</w:t>
      </w:r>
      <w:r>
        <w:rPr>
          <w:rFonts w:hint="eastAsia" w:ascii="宋体" w:hAnsi="宋体"/>
          <w:color w:val="auto"/>
          <w:sz w:val="24"/>
        </w:rPr>
        <w:t>可按本须知第14条的规定以修改补充通知的方式，延长提交谈判响应文件的截止时间。在此情况下，响应谈判供应商的所有权利和义务以及响应谈判供应商的受制约的截止时间，均以延长后新的谈判</w:t>
      </w:r>
      <w:r>
        <w:rPr>
          <w:rFonts w:ascii="宋体" w:hAnsi="宋体"/>
          <w:color w:val="auto"/>
          <w:sz w:val="24"/>
        </w:rPr>
        <w:t>响应</w:t>
      </w:r>
      <w:r>
        <w:rPr>
          <w:rFonts w:hint="eastAsia" w:ascii="宋体" w:hAnsi="宋体"/>
          <w:color w:val="auto"/>
          <w:sz w:val="24"/>
        </w:rPr>
        <w:t>截止时间为准。</w:t>
      </w:r>
    </w:p>
    <w:p w14:paraId="17BBD5DF">
      <w:pPr>
        <w:spacing w:line="360" w:lineRule="auto"/>
        <w:rPr>
          <w:rFonts w:ascii="宋体" w:hAnsi="宋体"/>
          <w:b/>
          <w:color w:val="auto"/>
          <w:sz w:val="24"/>
        </w:rPr>
      </w:pPr>
      <w:r>
        <w:rPr>
          <w:rFonts w:hint="eastAsia" w:ascii="宋体" w:hAnsi="宋体"/>
          <w:b/>
          <w:color w:val="auto"/>
          <w:sz w:val="24"/>
        </w:rPr>
        <w:t>2</w:t>
      </w:r>
      <w:r>
        <w:rPr>
          <w:rFonts w:ascii="宋体" w:hAnsi="宋体"/>
          <w:b/>
          <w:color w:val="auto"/>
          <w:sz w:val="24"/>
        </w:rPr>
        <w:t>4</w:t>
      </w:r>
      <w:r>
        <w:rPr>
          <w:rFonts w:hint="eastAsia" w:ascii="宋体" w:hAnsi="宋体"/>
          <w:b/>
          <w:color w:val="auto"/>
          <w:sz w:val="24"/>
        </w:rPr>
        <w:t>.谈判响应文件的修改与撤回</w:t>
      </w:r>
    </w:p>
    <w:p w14:paraId="1844E298">
      <w:pPr>
        <w:spacing w:line="360" w:lineRule="auto"/>
        <w:rPr>
          <w:rFonts w:ascii="宋体" w:hAnsi="宋体"/>
          <w:color w:val="auto"/>
          <w:sz w:val="24"/>
        </w:rPr>
      </w:pPr>
      <w:r>
        <w:rPr>
          <w:rFonts w:asciiTheme="minorEastAsia" w:hAnsiTheme="minorEastAsia" w:eastAsiaTheme="minorEastAsia"/>
          <w:color w:val="auto"/>
          <w:sz w:val="24"/>
        </w:rPr>
        <w:t>24.1</w:t>
      </w:r>
      <w:r>
        <w:rPr>
          <w:rFonts w:hint="eastAsia" w:cs="宋体" w:asciiTheme="minorEastAsia" w:hAnsiTheme="minorEastAsia" w:eastAsiaTheme="minorEastAsia"/>
          <w:color w:val="auto"/>
          <w:sz w:val="24"/>
        </w:rPr>
        <w:t xml:space="preserve">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44050FDD">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24.2</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截止时间前，除响应谈判供应商补充、修改或者撤回谈判响应文件外，任何单位和个人不得解密或提取谈判响应文件。</w:t>
      </w:r>
    </w:p>
    <w:p w14:paraId="03CCDDE7">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24.3</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截止时间止提交电子版谈判响应文件的响应谈判供应商不足3家时，电子版谈判响应文件由代理机构在“政采云”平台操作退回，除此之外采购人和采购代理机构对已提交的谈判响应文件概不退回。</w:t>
      </w:r>
    </w:p>
    <w:p w14:paraId="7549FA81">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4</w:t>
      </w:r>
      <w:r>
        <w:rPr>
          <w:rFonts w:hint="eastAsia" w:ascii="宋体" w:hAnsi="宋体"/>
          <w:color w:val="auto"/>
          <w:sz w:val="24"/>
        </w:rPr>
        <w:t>.4在本须知第</w:t>
      </w:r>
      <w:r>
        <w:rPr>
          <w:rFonts w:ascii="宋体" w:hAnsi="宋体"/>
          <w:color w:val="auto"/>
          <w:sz w:val="24"/>
        </w:rPr>
        <w:t>19</w:t>
      </w:r>
      <w:r>
        <w:rPr>
          <w:rFonts w:hint="eastAsia" w:ascii="宋体" w:hAnsi="宋体"/>
          <w:color w:val="auto"/>
          <w:sz w:val="24"/>
        </w:rPr>
        <w:t>条规定的谈胖响应截止期至响应有效期终止日之间，响应谈判供应商不能撤回谈判响应文件。</w:t>
      </w:r>
    </w:p>
    <w:p w14:paraId="30DA8C84">
      <w:pPr>
        <w:spacing w:line="360" w:lineRule="auto"/>
        <w:jc w:val="center"/>
        <w:outlineLvl w:val="1"/>
        <w:rPr>
          <w:rFonts w:ascii="宋体" w:hAnsi="宋体"/>
          <w:b/>
          <w:bCs/>
          <w:color w:val="auto"/>
          <w:sz w:val="32"/>
          <w:szCs w:val="32"/>
        </w:rPr>
      </w:pPr>
      <w:bookmarkStart w:id="15" w:name="_Toc103723522"/>
      <w:bookmarkStart w:id="16" w:name="_Toc1455"/>
      <w:r>
        <w:rPr>
          <w:rFonts w:hint="eastAsia" w:ascii="宋体" w:hAnsi="宋体"/>
          <w:b/>
          <w:bCs/>
          <w:color w:val="auto"/>
          <w:sz w:val="32"/>
          <w:szCs w:val="32"/>
        </w:rPr>
        <w:t>六、</w:t>
      </w:r>
      <w:bookmarkEnd w:id="15"/>
      <w:r>
        <w:rPr>
          <w:rFonts w:hint="eastAsia" w:ascii="宋体" w:hAnsi="宋体"/>
          <w:b/>
          <w:bCs/>
          <w:color w:val="auto"/>
          <w:sz w:val="32"/>
          <w:szCs w:val="32"/>
        </w:rPr>
        <w:t>谈判</w:t>
      </w:r>
      <w:bookmarkEnd w:id="16"/>
    </w:p>
    <w:p w14:paraId="436C5000">
      <w:pPr>
        <w:spacing w:line="360" w:lineRule="auto"/>
        <w:rPr>
          <w:rFonts w:ascii="宋体" w:hAnsi="宋体"/>
          <w:b/>
          <w:bCs/>
          <w:color w:val="auto"/>
          <w:sz w:val="24"/>
        </w:rPr>
      </w:pPr>
      <w:r>
        <w:rPr>
          <w:rFonts w:ascii="宋体" w:hAnsi="宋体"/>
          <w:b/>
          <w:bCs/>
          <w:color w:val="auto"/>
          <w:sz w:val="24"/>
        </w:rPr>
        <w:t>25.</w:t>
      </w:r>
      <w:r>
        <w:rPr>
          <w:rFonts w:hint="eastAsia" w:ascii="宋体" w:hAnsi="宋体"/>
          <w:b/>
          <w:bCs/>
          <w:color w:val="auto"/>
          <w:sz w:val="24"/>
        </w:rPr>
        <w:t>谈判时间和地点</w:t>
      </w:r>
    </w:p>
    <w:p w14:paraId="2BE784B1">
      <w:pPr>
        <w:spacing w:line="360" w:lineRule="auto"/>
        <w:ind w:firstLine="480" w:firstLineChars="200"/>
        <w:rPr>
          <w:rFonts w:hint="eastAsia" w:ascii="宋体" w:hAnsi="宋体"/>
          <w:color w:val="auto"/>
          <w:sz w:val="24"/>
          <w:lang w:eastAsia="zh-CN"/>
        </w:rPr>
      </w:pPr>
      <w:r>
        <w:rPr>
          <w:rFonts w:hint="eastAsia" w:ascii="宋体" w:hAnsi="宋体"/>
          <w:color w:val="auto"/>
          <w:sz w:val="24"/>
          <w:lang w:eastAsia="zh-CN"/>
        </w:rPr>
        <w:t>采购代理机构</w:t>
      </w:r>
      <w:r>
        <w:rPr>
          <w:rFonts w:hint="eastAsia" w:ascii="宋体" w:hAnsi="宋体"/>
          <w:color w:val="auto"/>
          <w:sz w:val="24"/>
        </w:rPr>
        <w:t>将于本须知前附表规定的开标时间和地点组织开标，响应</w:t>
      </w:r>
      <w:r>
        <w:rPr>
          <w:rFonts w:ascii="宋体" w:hAnsi="宋体"/>
          <w:color w:val="auto"/>
          <w:sz w:val="24"/>
        </w:rPr>
        <w:t>谈判供应商</w:t>
      </w:r>
      <w:r>
        <w:rPr>
          <w:rFonts w:hint="eastAsia" w:ascii="宋体" w:hAnsi="宋体"/>
          <w:color w:val="auto"/>
          <w:sz w:val="24"/>
        </w:rPr>
        <w:t>通过“政采云开标</w:t>
      </w:r>
      <w:r>
        <w:rPr>
          <w:rFonts w:ascii="宋体" w:hAnsi="宋体"/>
          <w:color w:val="auto"/>
          <w:sz w:val="24"/>
        </w:rPr>
        <w:t>大厅</w:t>
      </w:r>
      <w:r>
        <w:rPr>
          <w:rFonts w:hint="eastAsia" w:ascii="宋体" w:hAnsi="宋体"/>
          <w:color w:val="auto"/>
          <w:sz w:val="24"/>
        </w:rPr>
        <w:t>”线上参加开标会</w:t>
      </w:r>
      <w:r>
        <w:rPr>
          <w:rFonts w:hint="eastAsia" w:ascii="宋体" w:hAnsi="宋体"/>
          <w:color w:val="auto"/>
          <w:sz w:val="24"/>
          <w:lang w:eastAsia="zh-CN"/>
        </w:rPr>
        <w:t>，按规定时间对加密的响应文件进行解密</w:t>
      </w:r>
      <w:r>
        <w:rPr>
          <w:rFonts w:hint="eastAsia" w:ascii="宋体" w:hAnsi="宋体"/>
          <w:color w:val="auto"/>
          <w:sz w:val="24"/>
        </w:rPr>
        <w:t>，</w:t>
      </w:r>
      <w:r>
        <w:rPr>
          <w:rFonts w:hint="eastAsia" w:ascii="宋体" w:hAnsi="宋体"/>
          <w:color w:val="auto"/>
          <w:sz w:val="24"/>
          <w:lang w:eastAsia="zh-CN"/>
        </w:rPr>
        <w:t>开标方式为远程开标，供应商</w:t>
      </w:r>
      <w:r>
        <w:rPr>
          <w:rFonts w:hint="eastAsia" w:ascii="宋体" w:hAnsi="宋体"/>
          <w:color w:val="auto"/>
          <w:sz w:val="24"/>
          <w:lang w:val="en-US" w:eastAsia="zh-CN"/>
        </w:rPr>
        <w:t>无需</w:t>
      </w:r>
      <w:r>
        <w:rPr>
          <w:rFonts w:hint="eastAsia" w:ascii="宋体" w:hAnsi="宋体"/>
          <w:color w:val="auto"/>
          <w:sz w:val="24"/>
          <w:lang w:eastAsia="zh-CN"/>
        </w:rPr>
        <w:t>到现场，</w:t>
      </w:r>
      <w:r>
        <w:rPr>
          <w:rFonts w:hint="eastAsia" w:ascii="宋体" w:hAnsi="宋体"/>
          <w:color w:val="auto"/>
          <w:sz w:val="24"/>
        </w:rPr>
        <w:t>所有响应谈判</w:t>
      </w:r>
      <w:r>
        <w:rPr>
          <w:rFonts w:ascii="宋体" w:hAnsi="宋体"/>
          <w:color w:val="auto"/>
          <w:sz w:val="24"/>
        </w:rPr>
        <w:t>供应商</w:t>
      </w:r>
      <w:r>
        <w:rPr>
          <w:rFonts w:hint="eastAsia" w:ascii="宋体" w:hAnsi="宋体"/>
          <w:color w:val="auto"/>
          <w:sz w:val="24"/>
        </w:rPr>
        <w:t>均应当准时参加</w:t>
      </w:r>
      <w:r>
        <w:rPr>
          <w:rFonts w:hint="eastAsia" w:ascii="宋体" w:hAnsi="宋体"/>
          <w:color w:val="auto"/>
          <w:sz w:val="24"/>
          <w:lang w:eastAsia="zh-CN"/>
        </w:rPr>
        <w:t>。</w:t>
      </w:r>
    </w:p>
    <w:p w14:paraId="68EB6B1F">
      <w:pPr>
        <w:spacing w:line="360" w:lineRule="auto"/>
        <w:rPr>
          <w:b/>
          <w:color w:val="auto"/>
          <w:sz w:val="24"/>
        </w:rPr>
      </w:pPr>
      <w:r>
        <w:rPr>
          <w:b/>
          <w:color w:val="auto"/>
          <w:sz w:val="24"/>
        </w:rPr>
        <w:t>26.</w:t>
      </w:r>
      <w:r>
        <w:rPr>
          <w:rFonts w:hint="eastAsia"/>
          <w:b/>
          <w:color w:val="auto"/>
          <w:sz w:val="24"/>
        </w:rPr>
        <w:t>谈判程序</w:t>
      </w:r>
    </w:p>
    <w:p w14:paraId="4442BDF3">
      <w:pPr>
        <w:autoSpaceDE w:val="0"/>
        <w:autoSpaceDN w:val="0"/>
        <w:adjustRightInd w:val="0"/>
        <w:spacing w:before="60" w:after="60" w:line="360" w:lineRule="auto"/>
        <w:rPr>
          <w:rFonts w:hint="eastAsia" w:cs="宋体"/>
          <w:color w:val="auto"/>
          <w:sz w:val="24"/>
        </w:rPr>
      </w:pPr>
      <w:r>
        <w:rPr>
          <w:rFonts w:hint="eastAsia" w:cs="宋体"/>
          <w:color w:val="auto"/>
          <w:sz w:val="24"/>
        </w:rPr>
        <w:t>2</w:t>
      </w:r>
      <w:r>
        <w:rPr>
          <w:rFonts w:cs="宋体"/>
          <w:color w:val="auto"/>
          <w:sz w:val="24"/>
        </w:rPr>
        <w:t>6.1.</w:t>
      </w:r>
      <w:r>
        <w:rPr>
          <w:rFonts w:hint="eastAsia" w:cs="宋体"/>
          <w:color w:val="auto"/>
          <w:sz w:val="24"/>
        </w:rPr>
        <w:t>解密电子谈判响应文件。“政采云”平台在开标时间自动提取所有谈判响应文件。响应谈判供应商须使用数字</w:t>
      </w:r>
      <w:r>
        <w:rPr>
          <w:rFonts w:cs="宋体"/>
          <w:color w:val="auto"/>
          <w:sz w:val="24"/>
        </w:rPr>
        <w:t>证书</w:t>
      </w:r>
      <w:r>
        <w:rPr>
          <w:rFonts w:hint="eastAsia" w:cs="宋体"/>
          <w:color w:val="auto"/>
          <w:sz w:val="24"/>
        </w:rPr>
        <w:t>按照前附表</w:t>
      </w:r>
      <w:r>
        <w:rPr>
          <w:rFonts w:cs="宋体"/>
          <w:color w:val="auto"/>
          <w:sz w:val="24"/>
        </w:rPr>
        <w:t>规定的时间</w:t>
      </w:r>
      <w:r>
        <w:rPr>
          <w:rFonts w:hint="eastAsia" w:cs="宋体"/>
          <w:color w:val="auto"/>
          <w:sz w:val="24"/>
        </w:rPr>
        <w:t>在</w:t>
      </w:r>
      <w:r>
        <w:rPr>
          <w:rFonts w:cs="宋体"/>
          <w:color w:val="auto"/>
          <w:sz w:val="24"/>
        </w:rPr>
        <w:t>线上</w:t>
      </w:r>
      <w:r>
        <w:rPr>
          <w:rFonts w:hint="eastAsia" w:cs="宋体"/>
          <w:color w:val="auto"/>
          <w:sz w:val="24"/>
        </w:rPr>
        <w:t>对谈判响应文件解密并</w:t>
      </w:r>
      <w:r>
        <w:rPr>
          <w:rFonts w:cs="宋体"/>
          <w:color w:val="auto"/>
          <w:sz w:val="24"/>
        </w:rPr>
        <w:t>确认</w:t>
      </w:r>
      <w:r>
        <w:rPr>
          <w:rFonts w:hint="eastAsia" w:cs="宋体"/>
          <w:color w:val="auto"/>
          <w:sz w:val="24"/>
        </w:rPr>
        <w:t xml:space="preserve">。   </w:t>
      </w:r>
    </w:p>
    <w:p w14:paraId="2C705C8F">
      <w:pPr>
        <w:autoSpaceDE w:val="0"/>
        <w:autoSpaceDN w:val="0"/>
        <w:adjustRightInd w:val="0"/>
        <w:spacing w:before="60" w:after="60" w:line="360" w:lineRule="auto"/>
        <w:rPr>
          <w:rFonts w:cs="宋体"/>
          <w:color w:val="auto"/>
          <w:sz w:val="24"/>
        </w:rPr>
      </w:pPr>
      <w:r>
        <w:rPr>
          <w:rFonts w:cs="宋体"/>
          <w:color w:val="auto"/>
          <w:sz w:val="24"/>
        </w:rPr>
        <w:t>26.2.</w:t>
      </w:r>
      <w:r>
        <w:rPr>
          <w:rFonts w:hint="eastAsia" w:cs="宋体"/>
          <w:color w:val="auto"/>
          <w:sz w:val="24"/>
        </w:rPr>
        <w:t>响应谈判供应商对谈判过程有异议的，应当在线上提出。采购人、采购代理机构对响应谈判</w:t>
      </w:r>
      <w:r>
        <w:rPr>
          <w:rFonts w:cs="宋体"/>
          <w:color w:val="auto"/>
          <w:sz w:val="24"/>
        </w:rPr>
        <w:t>供应商</w:t>
      </w:r>
      <w:r>
        <w:rPr>
          <w:rFonts w:hint="eastAsia" w:cs="宋体"/>
          <w:color w:val="auto"/>
          <w:sz w:val="24"/>
        </w:rPr>
        <w:t>提出的异议应当及时处理。</w:t>
      </w:r>
    </w:p>
    <w:p w14:paraId="6CE10352">
      <w:pPr>
        <w:autoSpaceDE w:val="0"/>
        <w:autoSpaceDN w:val="0"/>
        <w:adjustRightInd w:val="0"/>
        <w:spacing w:before="60" w:after="60" w:line="360" w:lineRule="auto"/>
        <w:rPr>
          <w:rFonts w:cs="宋体"/>
          <w:color w:val="auto"/>
          <w:sz w:val="24"/>
        </w:rPr>
      </w:pPr>
      <w:r>
        <w:rPr>
          <w:rFonts w:cs="宋体"/>
          <w:color w:val="auto"/>
          <w:sz w:val="24"/>
        </w:rPr>
        <w:t>26.3.</w:t>
      </w:r>
      <w:r>
        <w:rPr>
          <w:rFonts w:hint="eastAsia" w:cs="宋体"/>
          <w:color w:val="auto"/>
          <w:sz w:val="24"/>
        </w:rPr>
        <w:t>响应谈判</w:t>
      </w:r>
      <w:r>
        <w:rPr>
          <w:rFonts w:cs="宋体"/>
          <w:color w:val="auto"/>
          <w:sz w:val="24"/>
        </w:rPr>
        <w:t>供应商</w:t>
      </w:r>
      <w:r>
        <w:rPr>
          <w:rFonts w:hint="eastAsia" w:cs="宋体"/>
          <w:color w:val="auto"/>
          <w:sz w:val="24"/>
        </w:rPr>
        <w:t>因自身</w:t>
      </w:r>
      <w:r>
        <w:rPr>
          <w:rFonts w:cs="宋体"/>
          <w:color w:val="auto"/>
          <w:sz w:val="24"/>
        </w:rPr>
        <w:t>原因</w:t>
      </w:r>
      <w:r>
        <w:rPr>
          <w:rFonts w:hint="eastAsia" w:cs="宋体"/>
          <w:color w:val="auto"/>
          <w:sz w:val="24"/>
        </w:rPr>
        <w:t>未按时解密的一切后果由响应谈判</w:t>
      </w:r>
      <w:r>
        <w:rPr>
          <w:rFonts w:cs="宋体"/>
          <w:color w:val="auto"/>
          <w:sz w:val="24"/>
        </w:rPr>
        <w:t>供应商自行</w:t>
      </w:r>
      <w:r>
        <w:rPr>
          <w:rFonts w:hint="eastAsia" w:cs="宋体"/>
          <w:color w:val="auto"/>
          <w:sz w:val="24"/>
        </w:rPr>
        <w:t>承担。如遇“政采云”平台电子化开标或评审程序调整的，按调整后执行</w:t>
      </w:r>
      <w:r>
        <w:rPr>
          <w:rFonts w:hint="eastAsia" w:ascii="宋体" w:hAnsi="宋体"/>
          <w:color w:val="auto"/>
          <w:sz w:val="24"/>
        </w:rPr>
        <w:t>。</w:t>
      </w:r>
    </w:p>
    <w:p w14:paraId="6DF96893">
      <w:pPr>
        <w:autoSpaceDE w:val="0"/>
        <w:autoSpaceDN w:val="0"/>
        <w:adjustRightInd w:val="0"/>
        <w:spacing w:before="60" w:after="60" w:line="360" w:lineRule="auto"/>
        <w:rPr>
          <w:rFonts w:cs="宋体"/>
          <w:color w:val="auto"/>
          <w:sz w:val="24"/>
        </w:rPr>
      </w:pPr>
      <w:r>
        <w:rPr>
          <w:rFonts w:cs="宋体"/>
          <w:color w:val="auto"/>
          <w:sz w:val="24"/>
        </w:rPr>
        <w:t>26.4</w:t>
      </w:r>
      <w:r>
        <w:rPr>
          <w:rFonts w:hint="eastAsia" w:cs="宋体"/>
          <w:color w:val="auto"/>
          <w:sz w:val="24"/>
        </w:rPr>
        <w:t>采购代理机构将按照谈判文件规定的开标时间和地点组织开标活动、开启谈判响应文件，所有响应谈判供应商均应当准时参加。</w:t>
      </w:r>
    </w:p>
    <w:p w14:paraId="226DA86C">
      <w:pPr>
        <w:autoSpaceDE w:val="0"/>
        <w:autoSpaceDN w:val="0"/>
        <w:adjustRightInd w:val="0"/>
        <w:spacing w:before="60" w:after="60" w:line="360" w:lineRule="auto"/>
        <w:rPr>
          <w:rFonts w:cs="宋体"/>
          <w:color w:val="4874CB" w:themeColor="accent1"/>
          <w:sz w:val="24"/>
          <w14:textFill>
            <w14:solidFill>
              <w14:schemeClr w14:val="accent1"/>
            </w14:solidFill>
          </w14:textFill>
        </w:rPr>
      </w:pPr>
      <w:r>
        <w:rPr>
          <w:rFonts w:hint="eastAsia" w:cs="宋体"/>
          <w:color w:val="auto"/>
          <w:sz w:val="24"/>
        </w:rPr>
        <w:t>26.5谈判</w:t>
      </w:r>
      <w:r>
        <w:rPr>
          <w:rFonts w:cs="宋体"/>
          <w:color w:val="auto"/>
          <w:sz w:val="24"/>
        </w:rPr>
        <w:t>小组将在</w:t>
      </w:r>
      <w:r>
        <w:rPr>
          <w:rFonts w:hint="eastAsia" w:cs="宋体"/>
          <w:color w:val="auto"/>
          <w:sz w:val="24"/>
        </w:rPr>
        <w:t>符合性评审后，</w:t>
      </w:r>
      <w:r>
        <w:rPr>
          <w:rFonts w:cs="宋体"/>
          <w:color w:val="auto"/>
          <w:sz w:val="24"/>
        </w:rPr>
        <w:t>通过“</w:t>
      </w:r>
      <w:r>
        <w:rPr>
          <w:rFonts w:hint="eastAsia" w:cs="宋体"/>
          <w:color w:val="auto"/>
          <w:sz w:val="24"/>
        </w:rPr>
        <w:t>政采云</w:t>
      </w:r>
      <w:r>
        <w:rPr>
          <w:rFonts w:cs="宋体"/>
          <w:color w:val="auto"/>
          <w:sz w:val="24"/>
        </w:rPr>
        <w:t>”对</w:t>
      </w:r>
      <w:r>
        <w:rPr>
          <w:rFonts w:hint="eastAsia" w:cs="宋体"/>
          <w:color w:val="auto"/>
          <w:sz w:val="24"/>
        </w:rPr>
        <w:t>合格</w:t>
      </w:r>
      <w:r>
        <w:rPr>
          <w:rFonts w:cs="宋体"/>
          <w:color w:val="auto"/>
          <w:sz w:val="24"/>
        </w:rPr>
        <w:t>的响应谈判供应商发起谈判邀请，响应谈判供应商</w:t>
      </w:r>
      <w:r>
        <w:rPr>
          <w:rFonts w:hint="eastAsia" w:cs="宋体"/>
          <w:color w:val="auto"/>
          <w:sz w:val="24"/>
        </w:rPr>
        <w:t>通过</w:t>
      </w:r>
      <w:r>
        <w:rPr>
          <w:rFonts w:cs="宋体"/>
          <w:color w:val="auto"/>
          <w:sz w:val="24"/>
        </w:rPr>
        <w:t>“</w:t>
      </w:r>
      <w:r>
        <w:rPr>
          <w:rFonts w:hint="eastAsia" w:cs="宋体"/>
          <w:color w:val="auto"/>
          <w:sz w:val="24"/>
        </w:rPr>
        <w:t>政采</w:t>
      </w:r>
      <w:r>
        <w:rPr>
          <w:rFonts w:cs="宋体"/>
          <w:color w:val="auto"/>
          <w:sz w:val="24"/>
        </w:rPr>
        <w:t>云”</w:t>
      </w:r>
      <w:r>
        <w:rPr>
          <w:rFonts w:hint="eastAsia" w:cs="宋体"/>
          <w:color w:val="auto"/>
          <w:sz w:val="24"/>
        </w:rPr>
        <w:t>在</w:t>
      </w:r>
      <w:r>
        <w:rPr>
          <w:rFonts w:cs="宋体"/>
          <w:color w:val="auto"/>
          <w:sz w:val="24"/>
        </w:rPr>
        <w:t>线与谈判小组进行谈判。</w:t>
      </w:r>
      <w:r>
        <w:rPr>
          <w:rFonts w:hint="eastAsia" w:ascii="宋体" w:hAnsi="宋体"/>
          <w:color w:val="auto"/>
          <w:sz w:val="24"/>
        </w:rPr>
        <w:t>所有参加谈判的供应商须在规定时间内完成“政采云平台”最终报价。</w:t>
      </w:r>
    </w:p>
    <w:p w14:paraId="63976BBE">
      <w:pPr>
        <w:autoSpaceDE w:val="0"/>
        <w:autoSpaceDN w:val="0"/>
        <w:adjustRightInd w:val="0"/>
        <w:spacing w:before="60" w:after="60" w:line="360" w:lineRule="auto"/>
        <w:rPr>
          <w:rFonts w:ascii="宋体" w:hAnsi="宋体"/>
          <w:color w:val="auto"/>
          <w:sz w:val="24"/>
        </w:rPr>
      </w:pPr>
      <w:r>
        <w:rPr>
          <w:rFonts w:ascii="宋体" w:hAnsi="宋体"/>
          <w:color w:val="auto"/>
          <w:sz w:val="24"/>
        </w:rPr>
        <w:t>26.6</w:t>
      </w:r>
      <w:r>
        <w:rPr>
          <w:rFonts w:hint="eastAsia" w:ascii="宋体" w:hAnsi="宋体"/>
          <w:color w:val="auto"/>
          <w:sz w:val="24"/>
        </w:rPr>
        <w:t>在线</w:t>
      </w:r>
      <w:r>
        <w:rPr>
          <w:rFonts w:hint="eastAsia" w:ascii="宋体" w:hAnsi="宋体"/>
          <w:color w:val="auto"/>
          <w:sz w:val="24"/>
          <w:lang w:val="en-US" w:eastAsia="zh-CN"/>
        </w:rPr>
        <w:t>响应</w:t>
      </w:r>
      <w:r>
        <w:rPr>
          <w:rFonts w:hint="eastAsia" w:ascii="宋体" w:hAnsi="宋体"/>
          <w:color w:val="auto"/>
          <w:sz w:val="24"/>
        </w:rPr>
        <w:t>时间和提交最终报价的时间见本须知前附表。</w:t>
      </w:r>
    </w:p>
    <w:p w14:paraId="7A8AB49A">
      <w:pPr>
        <w:autoSpaceDE w:val="0"/>
        <w:autoSpaceDN w:val="0"/>
        <w:adjustRightInd w:val="0"/>
        <w:spacing w:before="60" w:after="60" w:line="360" w:lineRule="auto"/>
        <w:rPr>
          <w:rFonts w:cs="宋体"/>
          <w:color w:val="auto"/>
          <w:sz w:val="24"/>
        </w:rPr>
      </w:pPr>
    </w:p>
    <w:p w14:paraId="4CA7DD0D">
      <w:pPr>
        <w:spacing w:line="360" w:lineRule="auto"/>
        <w:jc w:val="center"/>
        <w:outlineLvl w:val="1"/>
        <w:rPr>
          <w:b/>
          <w:color w:val="auto"/>
          <w:sz w:val="32"/>
          <w:szCs w:val="32"/>
        </w:rPr>
      </w:pPr>
      <w:bookmarkStart w:id="17" w:name="_Toc103723523"/>
      <w:bookmarkStart w:id="18" w:name="_Toc18570"/>
      <w:r>
        <w:rPr>
          <w:rFonts w:hint="eastAsia" w:ascii="宋体" w:hAnsi="宋体"/>
          <w:b/>
          <w:color w:val="auto"/>
          <w:sz w:val="32"/>
          <w:szCs w:val="32"/>
        </w:rPr>
        <w:t>七、评</w:t>
      </w:r>
      <w:bookmarkEnd w:id="17"/>
      <w:r>
        <w:rPr>
          <w:rFonts w:hint="eastAsia" w:ascii="宋体" w:hAnsi="宋体"/>
          <w:b/>
          <w:color w:val="auto"/>
          <w:sz w:val="32"/>
          <w:szCs w:val="32"/>
        </w:rPr>
        <w:t>审</w:t>
      </w:r>
      <w:bookmarkEnd w:id="18"/>
    </w:p>
    <w:p w14:paraId="5F889003">
      <w:pPr>
        <w:spacing w:line="360" w:lineRule="auto"/>
        <w:rPr>
          <w:rFonts w:ascii="宋体" w:hAnsi="宋体"/>
          <w:b/>
          <w:bCs/>
          <w:color w:val="auto"/>
          <w:sz w:val="24"/>
        </w:rPr>
      </w:pPr>
      <w:r>
        <w:rPr>
          <w:rFonts w:ascii="宋体" w:hAnsi="宋体"/>
          <w:b/>
          <w:bCs/>
          <w:color w:val="auto"/>
          <w:sz w:val="24"/>
        </w:rPr>
        <w:t>27.</w:t>
      </w:r>
      <w:r>
        <w:rPr>
          <w:rFonts w:hint="eastAsia" w:ascii="宋体" w:hAnsi="宋体"/>
          <w:b/>
          <w:color w:val="auto"/>
          <w:sz w:val="24"/>
        </w:rPr>
        <w:t>谈判</w:t>
      </w:r>
      <w:r>
        <w:rPr>
          <w:rFonts w:ascii="宋体" w:hAnsi="宋体"/>
          <w:b/>
          <w:color w:val="auto"/>
          <w:sz w:val="24"/>
        </w:rPr>
        <w:t>小组</w:t>
      </w:r>
    </w:p>
    <w:p w14:paraId="030E3BBE">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1</w:t>
      </w:r>
      <w:r>
        <w:rPr>
          <w:rFonts w:hint="eastAsia" w:hAnsi="宋体"/>
          <w:color w:val="auto"/>
          <w:sz w:val="24"/>
          <w:szCs w:val="24"/>
          <w:lang w:eastAsia="zh-CN"/>
        </w:rPr>
        <w:t>采购代理机构</w:t>
      </w:r>
      <w:r>
        <w:rPr>
          <w:rFonts w:hAnsi="宋体"/>
          <w:color w:val="auto"/>
          <w:sz w:val="24"/>
          <w:szCs w:val="24"/>
        </w:rPr>
        <w:t>将依法组建谈判小组。谈判小组成员由具有</w:t>
      </w:r>
      <w:r>
        <w:rPr>
          <w:rFonts w:hint="eastAsia" w:hAnsi="宋体"/>
          <w:color w:val="auto"/>
          <w:sz w:val="24"/>
          <w:szCs w:val="24"/>
          <w:lang w:val="en-US" w:eastAsia="zh-CN"/>
        </w:rPr>
        <w:t>相关</w:t>
      </w:r>
      <w:r>
        <w:rPr>
          <w:rFonts w:hAnsi="宋体"/>
          <w:color w:val="auto"/>
          <w:sz w:val="24"/>
          <w:szCs w:val="24"/>
        </w:rPr>
        <w:t>职称或具有同等专业水平的相关领域专家组成。与采购项目有直接利害关系或与响应谈判供应商有任何利害关系的专家，不得进入本项目的谈判小组。谈判小组成员名单在成交结果确定前应当保密。</w:t>
      </w:r>
    </w:p>
    <w:p w14:paraId="5553BC7D">
      <w:pPr>
        <w:pStyle w:val="8"/>
        <w:spacing w:line="360" w:lineRule="auto"/>
        <w:rPr>
          <w:rFonts w:hint="default" w:hAnsi="宋体"/>
          <w:color w:val="auto"/>
          <w:sz w:val="24"/>
          <w:szCs w:val="24"/>
        </w:rPr>
      </w:pPr>
      <w:r>
        <w:rPr>
          <w:rFonts w:hint="default" w:hAnsi="宋体"/>
          <w:color w:val="auto"/>
          <w:sz w:val="24"/>
          <w:szCs w:val="24"/>
        </w:rPr>
        <w:t>27.2</w:t>
      </w:r>
      <w:r>
        <w:rPr>
          <w:rFonts w:hAnsi="宋体"/>
          <w:color w:val="auto"/>
          <w:sz w:val="24"/>
          <w:szCs w:val="24"/>
        </w:rPr>
        <w:t>本项目谈判小组成员人数及确定方式见本须知前附表。</w:t>
      </w:r>
    </w:p>
    <w:p w14:paraId="2A7FB8E5">
      <w:pPr>
        <w:pStyle w:val="8"/>
        <w:spacing w:line="360" w:lineRule="auto"/>
        <w:rPr>
          <w:rFonts w:hint="default" w:hAnsi="宋体"/>
          <w:color w:val="auto"/>
          <w:sz w:val="24"/>
          <w:szCs w:val="24"/>
        </w:rPr>
      </w:pPr>
      <w:r>
        <w:rPr>
          <w:rFonts w:hint="default" w:hAnsi="宋体"/>
          <w:color w:val="auto"/>
          <w:sz w:val="24"/>
          <w:szCs w:val="24"/>
        </w:rPr>
        <w:t>27.3</w:t>
      </w:r>
      <w:r>
        <w:rPr>
          <w:rFonts w:hAnsi="宋体"/>
          <w:color w:val="auto"/>
          <w:sz w:val="24"/>
          <w:szCs w:val="24"/>
        </w:rPr>
        <w:t>谈判小组成员有下列情形之一的，应当回避：</w:t>
      </w:r>
    </w:p>
    <w:p w14:paraId="5383B706">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.3.1采购人或响应谈判供应商的主要负责人的近亲属；</w:t>
      </w:r>
    </w:p>
    <w:p w14:paraId="3B2FF10A">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.3.2项目主管部门或者行政监督部门的人员；</w:t>
      </w:r>
    </w:p>
    <w:p w14:paraId="361AF5B5">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.3.3与响应谈判供应商有经济利益关系，可能影响对谈判公正评审的；</w:t>
      </w:r>
    </w:p>
    <w:p w14:paraId="4EDD5B52">
      <w:pPr>
        <w:pStyle w:val="8"/>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.3.4曾因在招标、评审以及其他与招标投标有关活动中从事违法行为而受过行政处罚或刑事处罚的。</w:t>
      </w:r>
    </w:p>
    <w:p w14:paraId="32AE2FDD">
      <w:pPr>
        <w:pStyle w:val="8"/>
        <w:spacing w:line="360" w:lineRule="auto"/>
        <w:rPr>
          <w:rFonts w:hint="default" w:hAnsi="宋体"/>
          <w:b/>
          <w:color w:val="auto"/>
          <w:sz w:val="24"/>
          <w:szCs w:val="24"/>
        </w:rPr>
      </w:pPr>
      <w:r>
        <w:rPr>
          <w:rFonts w:hint="default" w:hAnsi="宋体"/>
          <w:b/>
          <w:color w:val="auto"/>
          <w:sz w:val="24"/>
          <w:szCs w:val="24"/>
        </w:rPr>
        <w:t>28</w:t>
      </w:r>
      <w:r>
        <w:rPr>
          <w:rFonts w:hAnsi="宋体"/>
          <w:b/>
          <w:color w:val="auto"/>
          <w:sz w:val="24"/>
          <w:szCs w:val="24"/>
        </w:rPr>
        <w:t>.谈判原则</w:t>
      </w:r>
    </w:p>
    <w:p w14:paraId="4EFF1B70">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28.1</w:t>
      </w:r>
      <w:r>
        <w:rPr>
          <w:rFonts w:hint="eastAsia" w:cs="宋体" w:asciiTheme="minorEastAsia" w:hAnsiTheme="minorEastAsia" w:eastAsiaTheme="minorEastAsia"/>
          <w:color w:val="auto"/>
          <w:sz w:val="24"/>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24C01A92">
      <w:pPr>
        <w:pStyle w:val="8"/>
        <w:spacing w:line="360" w:lineRule="auto"/>
        <w:rPr>
          <w:rFonts w:hint="default" w:hAnsi="宋体"/>
          <w:b/>
          <w:color w:val="auto"/>
          <w:sz w:val="24"/>
          <w:szCs w:val="24"/>
        </w:rPr>
      </w:pPr>
      <w:r>
        <w:rPr>
          <w:rFonts w:hint="default" w:hAnsi="宋体"/>
          <w:b/>
          <w:color w:val="auto"/>
          <w:sz w:val="24"/>
          <w:szCs w:val="24"/>
        </w:rPr>
        <w:t>29.</w:t>
      </w:r>
      <w:r>
        <w:rPr>
          <w:rFonts w:hAnsi="宋体"/>
          <w:b/>
          <w:color w:val="auto"/>
          <w:sz w:val="24"/>
          <w:szCs w:val="24"/>
        </w:rPr>
        <w:t>谈判</w:t>
      </w:r>
    </w:p>
    <w:p w14:paraId="26FB42C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29.1</w:t>
      </w:r>
      <w:r>
        <w:rPr>
          <w:rFonts w:hint="eastAsia" w:cs="宋体" w:asciiTheme="minorEastAsia" w:hAnsiTheme="minorEastAsia" w:eastAsiaTheme="minorEastAsia"/>
          <w:color w:val="auto"/>
          <w:sz w:val="24"/>
        </w:rPr>
        <w:t>在评审过程中出现法律法规和谈判文件均没有明确规定的情形时，由谈判</w:t>
      </w:r>
      <w:r>
        <w:rPr>
          <w:rFonts w:cs="宋体" w:asciiTheme="minorEastAsia" w:hAnsiTheme="minorEastAsia" w:eastAsiaTheme="minorEastAsia"/>
          <w:color w:val="auto"/>
          <w:sz w:val="24"/>
        </w:rPr>
        <w:t>小组</w:t>
      </w:r>
      <w:r>
        <w:rPr>
          <w:rFonts w:hint="eastAsia" w:cs="宋体" w:asciiTheme="minorEastAsia" w:hAnsiTheme="minorEastAsia" w:eastAsiaTheme="minorEastAsia"/>
          <w:color w:val="auto"/>
          <w:sz w:val="24"/>
        </w:rPr>
        <w:t>现场协商解决，协商不一致的，由全体评委投票表决，以得票率二分之一以上专家的意见为准并由采购代理机构作记录。</w:t>
      </w:r>
      <w:bookmarkStart w:id="19" w:name="_28.3评标方法。本项目将按须知前附表规定的评标办法进行评标，具体评标"/>
      <w:bookmarkEnd w:id="19"/>
    </w:p>
    <w:p w14:paraId="4152E1AE">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29.2</w:t>
      </w:r>
      <w:r>
        <w:rPr>
          <w:rFonts w:hint="eastAsia" w:cs="宋体" w:asciiTheme="minorEastAsia" w:hAnsiTheme="minorEastAsia" w:eastAsiaTheme="minorEastAsia"/>
          <w:color w:val="auto"/>
          <w:sz w:val="24"/>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05950A86">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29.3</w:t>
      </w:r>
      <w:r>
        <w:rPr>
          <w:rFonts w:hint="eastAsia" w:cs="宋体" w:asciiTheme="minorEastAsia" w:hAnsiTheme="minorEastAsia" w:eastAsiaTheme="minorEastAsia"/>
          <w:color w:val="auto"/>
          <w:sz w:val="24"/>
        </w:rPr>
        <w:t>本项目电子评审过程实行网上留痕、全程录音、录像监控，响应谈判供应商在评审过程中所进行的试图影响评审结果的不公正活动，其响应按无效处理。</w:t>
      </w:r>
    </w:p>
    <w:p w14:paraId="1C88896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29.4</w:t>
      </w:r>
      <w:r>
        <w:rPr>
          <w:rFonts w:hint="eastAsia" w:cs="宋体" w:asciiTheme="minorEastAsia" w:hAnsiTheme="minorEastAsia" w:eastAsiaTheme="minorEastAsia"/>
          <w:color w:val="auto"/>
          <w:sz w:val="24"/>
        </w:rPr>
        <w:t>采购过程中出现以下情形，导致电子交易平台无法正常运行，或者无法保证电子交易的公平、公正和安全时，</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可中止电子交易活动：</w:t>
      </w:r>
    </w:p>
    <w:p w14:paraId="01350F3B">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（1）电子交易平台发生故障而无法登录访问的； </w:t>
      </w:r>
    </w:p>
    <w:p w14:paraId="43A6A675">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（2）电子交易平台应用或数据库出现错误，不能进行正常操作的；</w:t>
      </w:r>
    </w:p>
    <w:p w14:paraId="72F7A40A">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（3）电子交易平台发现严重安全漏洞，有潜在泄密危险的；</w:t>
      </w:r>
    </w:p>
    <w:p w14:paraId="3CCD971F">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（4）病毒发作导致不能进行正常操作的； </w:t>
      </w:r>
    </w:p>
    <w:p w14:paraId="7AA12087">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）其他无法保证电子交易的公平、公正和安全的情况。</w:t>
      </w:r>
    </w:p>
    <w:p w14:paraId="1DD58C42">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29.5</w:t>
      </w:r>
      <w:r>
        <w:rPr>
          <w:rFonts w:hint="eastAsia" w:cs="宋体" w:asciiTheme="minorEastAsia" w:hAnsiTheme="minorEastAsia" w:eastAsiaTheme="minorEastAsia"/>
          <w:color w:val="auto"/>
          <w:sz w:val="24"/>
        </w:rPr>
        <w:t>出现以上情形，不影响采购公平、公正性的，采购组织机构可以待上述情形消除后</w:t>
      </w:r>
      <w:r>
        <w:rPr>
          <w:rFonts w:hint="eastAsia" w:cs="宋体" w:asciiTheme="minorEastAsia" w:hAnsiTheme="minorEastAsia" w:eastAsiaTheme="minorEastAsia"/>
          <w:color w:val="auto"/>
          <w:spacing w:val="3"/>
          <w:kern w:val="0"/>
          <w:sz w:val="24"/>
          <w:fitText w:val="9120" w:id="1067921589"/>
        </w:rPr>
        <w:t>继续组织电子交易活动；影响或可能影响采购公平、公正性的，经采购代理机构确</w:t>
      </w:r>
      <w:r>
        <w:rPr>
          <w:rFonts w:hint="eastAsia" w:cs="宋体" w:asciiTheme="minorEastAsia" w:hAnsiTheme="minorEastAsia" w:eastAsiaTheme="minorEastAsia"/>
          <w:color w:val="auto"/>
          <w:spacing w:val="12"/>
          <w:kern w:val="0"/>
          <w:sz w:val="24"/>
          <w:fitText w:val="9120" w:id="1067921589"/>
        </w:rPr>
        <w:t>认</w:t>
      </w:r>
      <w:r>
        <w:rPr>
          <w:rFonts w:hint="eastAsia" w:cs="宋体" w:asciiTheme="minorEastAsia" w:hAnsiTheme="minorEastAsia" w:eastAsiaTheme="minorEastAsia"/>
          <w:color w:val="auto"/>
          <w:sz w:val="24"/>
        </w:rPr>
        <w:t>后，应当重新采购。采购代理机构必须对原有的资料及信息作出妥善保密处理，并报财政部门备案。</w:t>
      </w:r>
    </w:p>
    <w:p w14:paraId="6EE6B2CB">
      <w:pPr>
        <w:pStyle w:val="8"/>
        <w:spacing w:line="360" w:lineRule="auto"/>
        <w:ind w:left="482" w:hanging="482"/>
        <w:rPr>
          <w:rFonts w:hint="default" w:hAnsi="宋体"/>
          <w:b/>
          <w:color w:val="auto"/>
          <w:sz w:val="24"/>
          <w:szCs w:val="24"/>
        </w:rPr>
      </w:pPr>
      <w:r>
        <w:rPr>
          <w:rFonts w:hAnsi="宋体"/>
          <w:b/>
          <w:color w:val="auto"/>
          <w:sz w:val="24"/>
          <w:szCs w:val="24"/>
        </w:rPr>
        <w:t>3</w:t>
      </w:r>
      <w:r>
        <w:rPr>
          <w:rFonts w:hint="default" w:hAnsi="宋体"/>
          <w:b/>
          <w:color w:val="auto"/>
          <w:sz w:val="24"/>
          <w:szCs w:val="24"/>
        </w:rPr>
        <w:t>0</w:t>
      </w:r>
      <w:r>
        <w:rPr>
          <w:rFonts w:hAnsi="宋体"/>
          <w:b/>
          <w:color w:val="auto"/>
          <w:sz w:val="24"/>
          <w:szCs w:val="24"/>
        </w:rPr>
        <w:t>.同一品牌产品的认定</w:t>
      </w:r>
    </w:p>
    <w:p w14:paraId="5B7F40B0">
      <w:pPr>
        <w:spacing w:line="340" w:lineRule="exact"/>
        <w:ind w:firstLine="482" w:firstLineChars="200"/>
        <w:rPr>
          <w:rFonts w:hint="eastAsia" w:ascii="宋体" w:hAnsi="宋体" w:eastAsia="宋体" w:cs="宋体"/>
          <w:sz w:val="24"/>
          <w:szCs w:val="24"/>
          <w:highlight w:val="none"/>
        </w:rPr>
      </w:pPr>
      <w:r>
        <w:rPr>
          <w:rFonts w:ascii="宋体" w:hAnsi="宋体" w:eastAsia="宋体" w:cs="Times New Roman"/>
          <w:b/>
          <w:color w:val="auto"/>
          <w:sz w:val="24"/>
          <w:szCs w:val="24"/>
          <w:highlight w:val="none"/>
        </w:rPr>
        <w:t>3</w:t>
      </w:r>
      <w:r>
        <w:rPr>
          <w:rFonts w:hint="default" w:ascii="宋体" w:hAnsi="宋体" w:eastAsia="宋体" w:cs="Times New Roman"/>
          <w:b/>
          <w:color w:val="auto"/>
          <w:sz w:val="24"/>
          <w:szCs w:val="24"/>
          <w:highlight w:val="none"/>
        </w:rPr>
        <w:t>0</w:t>
      </w:r>
      <w:r>
        <w:rPr>
          <w:rFonts w:ascii="宋体" w:hAnsi="宋体" w:eastAsia="宋体" w:cs="Times New Roman"/>
          <w:b/>
          <w:color w:val="auto"/>
          <w:sz w:val="24"/>
          <w:szCs w:val="24"/>
          <w:highlight w:val="none"/>
        </w:rPr>
        <w:t>.1</w:t>
      </w:r>
      <w:r>
        <w:rPr>
          <w:rFonts w:hint="eastAsia" w:ascii="宋体" w:hAnsi="宋体" w:eastAsia="宋体" w:cs="宋体"/>
          <w:b/>
          <w:bCs/>
          <w:sz w:val="24"/>
          <w:szCs w:val="24"/>
          <w:highlight w:val="none"/>
          <w:lang w:val="zh-CN"/>
        </w:rPr>
        <w:t>多家投标（报价）供应商提供的核心产品品牌相同的，以及未明确核心产品、不同供应商提供的相同品牌产品金额超过各自报价50%的，按照1家投标（报价）供应商计算。不同品牌产品达到3家以上的继续评审。应当对同品牌所有供应商进行评分，由得分最高的供应商参加后续排名。同品牌供应商得分或者报价相同的，由评审委员会按照采购文件明确的方式确定1家预中标供应商，采购文件未明确的，采取随机抽取方式确定。</w:t>
      </w:r>
    </w:p>
    <w:p w14:paraId="03C30000">
      <w:pPr>
        <w:spacing w:line="340" w:lineRule="exact"/>
        <w:ind w:firstLine="480" w:firstLineChars="200"/>
        <w:rPr>
          <w:rFonts w:hint="eastAsia" w:ascii="宋体" w:hAnsi="宋体" w:eastAsia="宋体" w:cs="宋体"/>
          <w:sz w:val="24"/>
          <w:szCs w:val="24"/>
          <w:highlight w:val="none"/>
        </w:rPr>
      </w:pPr>
    </w:p>
    <w:p w14:paraId="7F5D9624">
      <w:pPr>
        <w:autoSpaceDE w:val="0"/>
        <w:autoSpaceDN w:val="0"/>
        <w:adjustRightInd w:val="0"/>
        <w:spacing w:line="360" w:lineRule="auto"/>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31.</w:t>
      </w:r>
      <w:r>
        <w:rPr>
          <w:rFonts w:hint="eastAsia" w:ascii="宋体" w:hAnsi="宋体"/>
          <w:b/>
          <w:bCs/>
          <w:color w:val="auto"/>
          <w:sz w:val="24"/>
        </w:rPr>
        <w:t>谈判响应文件的澄清</w:t>
      </w:r>
    </w:p>
    <w:p w14:paraId="6012BB8C">
      <w:pPr>
        <w:spacing w:line="360" w:lineRule="auto"/>
        <w:ind w:firstLine="480" w:firstLineChars="200"/>
        <w:rPr>
          <w:rFonts w:ascii="宋体" w:hAnsi="宋体"/>
          <w:color w:val="auto"/>
          <w:sz w:val="24"/>
        </w:rPr>
      </w:pPr>
      <w:r>
        <w:rPr>
          <w:rFonts w:hint="eastAsia" w:ascii="宋体" w:hAnsi="宋体"/>
          <w:color w:val="auto"/>
          <w:sz w:val="24"/>
        </w:rPr>
        <w:t>为了有助于对谈判响应文件的审查、评价和比较，谈判小组可以根据需要响应谈判供应商澄清其谈判响应文件，但不应寻求提出或允许更改谈判响应文件的实质性内容。</w:t>
      </w:r>
    </w:p>
    <w:p w14:paraId="02B3D5F7">
      <w:pPr>
        <w:spacing w:line="360" w:lineRule="auto"/>
        <w:rPr>
          <w:rFonts w:ascii="宋体" w:hAnsi="宋体"/>
          <w:b/>
          <w:bCs/>
          <w:color w:val="auto"/>
          <w:sz w:val="24"/>
        </w:rPr>
      </w:pPr>
      <w:r>
        <w:rPr>
          <w:rFonts w:ascii="宋体" w:hAnsi="宋体"/>
          <w:b/>
          <w:bCs/>
          <w:color w:val="auto"/>
          <w:sz w:val="24"/>
        </w:rPr>
        <w:t>32.</w:t>
      </w:r>
      <w:r>
        <w:rPr>
          <w:rFonts w:hint="eastAsia" w:ascii="宋体" w:hAnsi="宋体"/>
          <w:b/>
          <w:bCs/>
          <w:color w:val="auto"/>
          <w:sz w:val="24"/>
        </w:rPr>
        <w:t>错误的修正</w:t>
      </w:r>
    </w:p>
    <w:p w14:paraId="1EC3B673">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2</w:t>
      </w:r>
      <w:r>
        <w:rPr>
          <w:rFonts w:hint="eastAsia" w:ascii="宋体" w:hAnsi="宋体"/>
          <w:color w:val="auto"/>
          <w:sz w:val="24"/>
        </w:rPr>
        <w:t>.</w:t>
      </w:r>
      <w:r>
        <w:rPr>
          <w:rFonts w:ascii="宋体" w:hAnsi="宋体"/>
          <w:color w:val="auto"/>
          <w:sz w:val="24"/>
        </w:rPr>
        <w:t>1</w:t>
      </w:r>
      <w:r>
        <w:rPr>
          <w:rFonts w:hint="eastAsia" w:ascii="宋体" w:hAnsi="宋体"/>
          <w:color w:val="auto"/>
          <w:sz w:val="24"/>
        </w:rPr>
        <w:t>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10C1D4C6">
      <w:pPr>
        <w:spacing w:line="360" w:lineRule="auto"/>
        <w:rPr>
          <w:rFonts w:ascii="宋体" w:hAnsi="宋体"/>
          <w:color w:val="auto"/>
          <w:sz w:val="24"/>
        </w:rPr>
      </w:pPr>
      <w:r>
        <w:rPr>
          <w:rFonts w:ascii="宋体" w:hAnsi="宋体"/>
          <w:color w:val="auto"/>
          <w:sz w:val="24"/>
        </w:rPr>
        <w:t>32</w:t>
      </w:r>
      <w:r>
        <w:rPr>
          <w:rFonts w:hint="eastAsia" w:ascii="宋体" w:hAnsi="宋体"/>
          <w:color w:val="auto"/>
          <w:sz w:val="24"/>
        </w:rPr>
        <w:t>.</w:t>
      </w:r>
      <w:r>
        <w:rPr>
          <w:rFonts w:ascii="宋体" w:hAnsi="宋体"/>
          <w:color w:val="auto"/>
          <w:sz w:val="24"/>
        </w:rPr>
        <w:t>2</w:t>
      </w:r>
      <w:r>
        <w:rPr>
          <w:rFonts w:hint="eastAsia" w:ascii="宋体" w:hAnsi="宋体"/>
          <w:color w:val="auto"/>
          <w:sz w:val="24"/>
        </w:rPr>
        <w:t>谈判</w:t>
      </w:r>
      <w:r>
        <w:rPr>
          <w:rFonts w:ascii="宋体" w:hAnsi="宋体"/>
          <w:color w:val="auto"/>
          <w:sz w:val="24"/>
        </w:rPr>
        <w:t>小组</w:t>
      </w:r>
      <w:r>
        <w:rPr>
          <w:rFonts w:hint="eastAsia" w:ascii="宋体" w:hAnsi="宋体"/>
          <w:color w:val="auto"/>
          <w:sz w:val="24"/>
        </w:rPr>
        <w:t>将按上述改正错误的原则调整谈判响应文件的报价。在响应谈判供应商同意后，调整后的报价对响应谈判供应商起约束作用，如果响应谈判供应商不接受改正后的报价，则其谈判响应文件将被拒绝。</w:t>
      </w:r>
    </w:p>
    <w:p w14:paraId="420119C4">
      <w:pPr>
        <w:spacing w:line="360" w:lineRule="auto"/>
        <w:rPr>
          <w:rFonts w:ascii="宋体" w:hAnsi="宋体"/>
          <w:b/>
          <w:color w:val="auto"/>
          <w:sz w:val="24"/>
        </w:rPr>
      </w:pPr>
      <w:r>
        <w:rPr>
          <w:rFonts w:ascii="宋体" w:hAnsi="宋体"/>
          <w:b/>
          <w:color w:val="auto"/>
          <w:sz w:val="24"/>
        </w:rPr>
        <w:t>33.中小微企业的</w:t>
      </w:r>
      <w:r>
        <w:rPr>
          <w:rFonts w:hint="eastAsia" w:ascii="宋体" w:hAnsi="宋体"/>
          <w:b/>
          <w:color w:val="auto"/>
          <w:sz w:val="24"/>
        </w:rPr>
        <w:t>划型</w:t>
      </w:r>
    </w:p>
    <w:p w14:paraId="04A06F66">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.1中</w:t>
      </w:r>
      <w:r>
        <w:rPr>
          <w:rFonts w:ascii="宋体" w:hAnsi="宋体"/>
          <w:color w:val="auto"/>
          <w:sz w:val="24"/>
        </w:rPr>
        <w:t>小微企业投标是</w:t>
      </w:r>
      <w:r>
        <w:rPr>
          <w:rFonts w:hint="eastAsia" w:ascii="宋体" w:hAnsi="宋体"/>
          <w:color w:val="auto"/>
          <w:sz w:val="24"/>
        </w:rPr>
        <w:t>符</w:t>
      </w:r>
      <w:r>
        <w:rPr>
          <w:rFonts w:ascii="宋体" w:hAnsi="宋体"/>
          <w:color w:val="auto"/>
          <w:sz w:val="24"/>
        </w:rPr>
        <w:t>合《</w:t>
      </w:r>
      <w:r>
        <w:rPr>
          <w:rFonts w:hint="eastAsia" w:ascii="宋体" w:hAnsi="宋体"/>
          <w:color w:val="auto"/>
          <w:sz w:val="24"/>
        </w:rPr>
        <w:t>中</w:t>
      </w:r>
      <w:r>
        <w:rPr>
          <w:rFonts w:ascii="宋体" w:hAnsi="宋体"/>
          <w:color w:val="auto"/>
          <w:sz w:val="24"/>
        </w:rPr>
        <w:t>小企业划型标</w:t>
      </w:r>
      <w:r>
        <w:rPr>
          <w:rFonts w:hint="eastAsia" w:ascii="宋体" w:hAnsi="宋体"/>
          <w:color w:val="auto"/>
          <w:sz w:val="24"/>
        </w:rPr>
        <w:t>准</w:t>
      </w:r>
      <w:r>
        <w:rPr>
          <w:rFonts w:ascii="宋体" w:hAnsi="宋体"/>
          <w:color w:val="auto"/>
          <w:sz w:val="24"/>
        </w:rPr>
        <w:t>规定》</w:t>
      </w:r>
      <w:r>
        <w:rPr>
          <w:rFonts w:hint="eastAsia" w:ascii="宋体" w:hAnsi="宋体"/>
          <w:color w:val="auto"/>
          <w:sz w:val="24"/>
        </w:rPr>
        <w:t>的</w:t>
      </w:r>
      <w:r>
        <w:rPr>
          <w:rFonts w:ascii="宋体" w:hAnsi="宋体"/>
          <w:color w:val="auto"/>
          <w:sz w:val="24"/>
        </w:rPr>
        <w:t>响应谈判供应商，通过投标提供本企业制造的货物、</w:t>
      </w:r>
      <w:r>
        <w:rPr>
          <w:rFonts w:hint="eastAsia" w:ascii="宋体" w:hAnsi="宋体"/>
          <w:color w:val="auto"/>
          <w:sz w:val="24"/>
        </w:rPr>
        <w:t>承担</w:t>
      </w:r>
      <w:r>
        <w:rPr>
          <w:rFonts w:ascii="宋体" w:hAnsi="宋体"/>
          <w:color w:val="auto"/>
          <w:sz w:val="24"/>
        </w:rPr>
        <w:t>的工程或者服务，或者提供其他中小微企业制造的货物。本</w:t>
      </w:r>
      <w:r>
        <w:rPr>
          <w:rFonts w:hint="eastAsia" w:ascii="宋体" w:hAnsi="宋体"/>
          <w:color w:val="auto"/>
          <w:sz w:val="24"/>
        </w:rPr>
        <w:t>项</w:t>
      </w:r>
      <w:r>
        <w:rPr>
          <w:rFonts w:ascii="宋体" w:hAnsi="宋体"/>
          <w:color w:val="auto"/>
          <w:sz w:val="24"/>
        </w:rPr>
        <w:t>所指货物不包括使用大型企业注册商标的货物。中</w:t>
      </w:r>
      <w:r>
        <w:rPr>
          <w:rFonts w:hint="eastAsia" w:ascii="宋体" w:hAnsi="宋体"/>
          <w:color w:val="auto"/>
          <w:sz w:val="24"/>
        </w:rPr>
        <w:t>小</w:t>
      </w:r>
      <w:r>
        <w:rPr>
          <w:rFonts w:ascii="宋体" w:hAnsi="宋体"/>
          <w:color w:val="auto"/>
          <w:sz w:val="24"/>
        </w:rPr>
        <w:t>微企业投标应提供</w:t>
      </w:r>
      <w:r>
        <w:rPr>
          <w:rFonts w:hint="eastAsia" w:ascii="宋体" w:hAnsi="宋体"/>
          <w:color w:val="auto"/>
          <w:sz w:val="24"/>
        </w:rPr>
        <w:t>《中</w:t>
      </w:r>
      <w:r>
        <w:rPr>
          <w:rFonts w:ascii="宋体" w:hAnsi="宋体"/>
          <w:color w:val="auto"/>
          <w:sz w:val="24"/>
        </w:rPr>
        <w:t>小</w:t>
      </w:r>
      <w:r>
        <w:rPr>
          <w:rFonts w:hint="eastAsia" w:ascii="宋体" w:hAnsi="宋体"/>
          <w:color w:val="auto"/>
          <w:sz w:val="24"/>
        </w:rPr>
        <w:t>微</w:t>
      </w:r>
      <w:r>
        <w:rPr>
          <w:rFonts w:ascii="宋体" w:hAnsi="宋体"/>
          <w:color w:val="auto"/>
          <w:sz w:val="24"/>
        </w:rPr>
        <w:t>企业声明函》</w:t>
      </w:r>
      <w:r>
        <w:rPr>
          <w:rFonts w:hint="eastAsia" w:ascii="宋体" w:hAnsi="宋体"/>
          <w:color w:val="auto"/>
          <w:sz w:val="24"/>
        </w:rPr>
        <w:t>；</w:t>
      </w:r>
      <w:r>
        <w:rPr>
          <w:rFonts w:ascii="宋体" w:hAnsi="宋体"/>
          <w:color w:val="auto"/>
          <w:sz w:val="24"/>
        </w:rPr>
        <w:t>中</w:t>
      </w:r>
      <w:r>
        <w:rPr>
          <w:rFonts w:hint="eastAsia" w:ascii="宋体" w:hAnsi="宋体"/>
          <w:color w:val="auto"/>
          <w:sz w:val="24"/>
        </w:rPr>
        <w:t>小</w:t>
      </w:r>
      <w:r>
        <w:rPr>
          <w:rFonts w:ascii="宋体" w:hAnsi="宋体"/>
          <w:color w:val="auto"/>
          <w:sz w:val="24"/>
        </w:rPr>
        <w:t>企业划分见《</w:t>
      </w:r>
      <w:r>
        <w:rPr>
          <w:rFonts w:hint="eastAsia" w:ascii="宋体" w:hAnsi="宋体"/>
          <w:color w:val="auto"/>
          <w:sz w:val="24"/>
        </w:rPr>
        <w:t>关于</w:t>
      </w:r>
      <w:r>
        <w:rPr>
          <w:rFonts w:ascii="宋体" w:hAnsi="宋体"/>
          <w:color w:val="auto"/>
          <w:sz w:val="24"/>
        </w:rPr>
        <w:t>印发</w:t>
      </w:r>
      <w:r>
        <w:rPr>
          <w:rFonts w:hint="eastAsia" w:ascii="宋体" w:hAnsi="宋体"/>
          <w:color w:val="auto"/>
          <w:sz w:val="24"/>
        </w:rPr>
        <w:t>中</w:t>
      </w:r>
      <w:r>
        <w:rPr>
          <w:rFonts w:ascii="宋体" w:hAnsi="宋体"/>
          <w:color w:val="auto"/>
          <w:sz w:val="24"/>
        </w:rPr>
        <w:t>小企业划型标准规定的通知》</w:t>
      </w:r>
      <w:r>
        <w:rPr>
          <w:rFonts w:hint="eastAsia" w:ascii="宋体" w:hAnsi="宋体"/>
          <w:color w:val="auto"/>
          <w:sz w:val="24"/>
        </w:rPr>
        <w:t>（工</w:t>
      </w:r>
      <w:r>
        <w:rPr>
          <w:rFonts w:ascii="宋体" w:hAnsi="宋体"/>
          <w:color w:val="auto"/>
          <w:sz w:val="24"/>
        </w:rPr>
        <w:t>信部联企业</w:t>
      </w:r>
      <w:r>
        <w:rPr>
          <w:rFonts w:hint="eastAsia" w:ascii="宋体" w:hAnsi="宋体"/>
          <w:color w:val="auto"/>
          <w:sz w:val="24"/>
        </w:rPr>
        <w:t>〔2011〕</w:t>
      </w:r>
      <w:r>
        <w:rPr>
          <w:rFonts w:ascii="宋体" w:hAnsi="宋体"/>
          <w:color w:val="auto"/>
          <w:sz w:val="24"/>
        </w:rPr>
        <w:t>300</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p>
    <w:p w14:paraId="6CDDC72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.2根据</w:t>
      </w:r>
      <w:r>
        <w:rPr>
          <w:rFonts w:ascii="宋体" w:hAnsi="宋体"/>
          <w:color w:val="auto"/>
          <w:sz w:val="24"/>
        </w:rPr>
        <w:t>《</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司法</w:t>
      </w:r>
      <w:r>
        <w:rPr>
          <w:rFonts w:ascii="宋体" w:hAnsi="宋体"/>
          <w:color w:val="auto"/>
          <w:sz w:val="24"/>
        </w:rPr>
        <w:t>部关于政府采购支持</w:t>
      </w:r>
      <w:r>
        <w:rPr>
          <w:rFonts w:hint="eastAsia" w:ascii="宋体" w:hAnsi="宋体"/>
          <w:color w:val="auto"/>
          <w:sz w:val="24"/>
        </w:rPr>
        <w:t>监狱</w:t>
      </w:r>
      <w:r>
        <w:rPr>
          <w:rFonts w:ascii="宋体" w:hAnsi="宋体"/>
          <w:color w:val="auto"/>
          <w:sz w:val="24"/>
        </w:rPr>
        <w:t>企业发展有关问题的</w:t>
      </w:r>
      <w:r>
        <w:rPr>
          <w:rFonts w:hint="eastAsia" w:ascii="宋体" w:hAnsi="宋体"/>
          <w:color w:val="auto"/>
          <w:sz w:val="24"/>
        </w:rPr>
        <w:t>通知</w:t>
      </w:r>
      <w:r>
        <w:rPr>
          <w:rFonts w:ascii="宋体" w:hAnsi="宋体"/>
          <w:color w:val="auto"/>
          <w:sz w:val="24"/>
        </w:rPr>
        <w:t>》</w:t>
      </w:r>
      <w:r>
        <w:rPr>
          <w:rFonts w:hint="eastAsia" w:ascii="宋体" w:hAnsi="宋体"/>
          <w:color w:val="auto"/>
          <w:sz w:val="24"/>
        </w:rPr>
        <w:t>（财</w:t>
      </w:r>
      <w:r>
        <w:rPr>
          <w:rFonts w:ascii="宋体" w:hAnsi="宋体"/>
          <w:color w:val="auto"/>
          <w:sz w:val="24"/>
        </w:rPr>
        <w:t>库</w:t>
      </w:r>
      <w:r>
        <w:rPr>
          <w:rFonts w:hint="eastAsia" w:ascii="宋体" w:hAnsi="宋体"/>
          <w:color w:val="auto"/>
          <w:sz w:val="24"/>
        </w:rPr>
        <w:t>〔2014〕68号</w:t>
      </w:r>
      <w:r>
        <w:rPr>
          <w:rFonts w:ascii="宋体" w:hAnsi="宋体"/>
          <w:color w:val="auto"/>
          <w:sz w:val="24"/>
        </w:rPr>
        <w:t>）</w:t>
      </w:r>
      <w:r>
        <w:rPr>
          <w:rFonts w:hint="eastAsia" w:ascii="宋体" w:hAnsi="宋体"/>
          <w:color w:val="auto"/>
          <w:sz w:val="24"/>
        </w:rPr>
        <w:t>，</w:t>
      </w:r>
      <w:r>
        <w:rPr>
          <w:rFonts w:ascii="宋体" w:hAnsi="宋体"/>
          <w:color w:val="auto"/>
          <w:sz w:val="24"/>
        </w:rPr>
        <w:t>监狱企业视同小微企业。监狱</w:t>
      </w:r>
      <w:r>
        <w:rPr>
          <w:rFonts w:hint="eastAsia" w:ascii="宋体" w:hAnsi="宋体"/>
          <w:color w:val="auto"/>
          <w:sz w:val="24"/>
        </w:rPr>
        <w:t>企业</w:t>
      </w:r>
      <w:r>
        <w:rPr>
          <w:rFonts w:ascii="宋体" w:hAnsi="宋体"/>
          <w:color w:val="auto"/>
          <w:sz w:val="24"/>
        </w:rPr>
        <w:t>是指</w:t>
      </w:r>
      <w:r>
        <w:rPr>
          <w:rFonts w:hint="eastAsia" w:ascii="宋体" w:hAnsi="宋体"/>
          <w:color w:val="auto"/>
          <w:sz w:val="24"/>
        </w:rPr>
        <w:t>由</w:t>
      </w:r>
      <w:r>
        <w:rPr>
          <w:rFonts w:ascii="宋体" w:hAnsi="宋体"/>
          <w:color w:val="auto"/>
          <w:sz w:val="24"/>
        </w:rPr>
        <w:t>司法部认定的为罪犯、戒毒人员提供生产项目和劳动对象，且全部产权属于司法部监狱管理局、戒毒管理局</w:t>
      </w:r>
      <w:r>
        <w:rPr>
          <w:rFonts w:hint="eastAsia" w:ascii="宋体" w:hAnsi="宋体"/>
          <w:color w:val="auto"/>
          <w:sz w:val="24"/>
        </w:rPr>
        <w:t>、</w:t>
      </w:r>
      <w:r>
        <w:rPr>
          <w:rFonts w:ascii="宋体" w:hAnsi="宋体"/>
          <w:color w:val="auto"/>
          <w:sz w:val="24"/>
        </w:rPr>
        <w:t>直属煤矿管理局，各省、自治区、直辖市</w:t>
      </w:r>
      <w:r>
        <w:rPr>
          <w:rFonts w:hint="eastAsia" w:ascii="宋体" w:hAnsi="宋体"/>
          <w:color w:val="auto"/>
          <w:sz w:val="24"/>
        </w:rPr>
        <w:t>监狱</w:t>
      </w:r>
      <w:r>
        <w:rPr>
          <w:rFonts w:ascii="宋体" w:hAnsi="宋体"/>
          <w:color w:val="auto"/>
          <w:sz w:val="24"/>
        </w:rPr>
        <w:t>管理局、戒毒管理局，各地（</w:t>
      </w:r>
      <w:r>
        <w:rPr>
          <w:rFonts w:hint="eastAsia" w:ascii="宋体" w:hAnsi="宋体"/>
          <w:color w:val="auto"/>
          <w:sz w:val="24"/>
        </w:rPr>
        <w:t>设</w:t>
      </w:r>
      <w:r>
        <w:rPr>
          <w:rFonts w:ascii="宋体" w:hAnsi="宋体"/>
          <w:color w:val="auto"/>
          <w:sz w:val="24"/>
        </w:rPr>
        <w:t>区的市）</w:t>
      </w:r>
      <w:r>
        <w:rPr>
          <w:rFonts w:hint="eastAsia" w:ascii="宋体" w:hAnsi="宋体"/>
          <w:color w:val="auto"/>
          <w:sz w:val="24"/>
        </w:rPr>
        <w:t>的</w:t>
      </w:r>
      <w:r>
        <w:rPr>
          <w:rFonts w:ascii="宋体" w:hAnsi="宋体"/>
          <w:color w:val="auto"/>
          <w:sz w:val="24"/>
        </w:rPr>
        <w:t>监狱、</w:t>
      </w:r>
      <w:r>
        <w:rPr>
          <w:rFonts w:hint="eastAsia" w:ascii="宋体" w:hAnsi="宋体"/>
          <w:color w:val="auto"/>
          <w:sz w:val="24"/>
        </w:rPr>
        <w:t>强制</w:t>
      </w:r>
      <w:r>
        <w:rPr>
          <w:rFonts w:ascii="宋体" w:hAnsi="宋体"/>
          <w:color w:val="auto"/>
          <w:sz w:val="24"/>
        </w:rPr>
        <w:t>隔离戒毒所、戒毒康复所，以及新疆生产建</w:t>
      </w:r>
      <w:r>
        <w:rPr>
          <w:rFonts w:hint="eastAsia" w:ascii="宋体" w:hAnsi="宋体"/>
          <w:color w:val="auto"/>
          <w:sz w:val="24"/>
        </w:rPr>
        <w:t>设</w:t>
      </w:r>
      <w:r>
        <w:rPr>
          <w:rFonts w:ascii="宋体" w:hAnsi="宋体"/>
          <w:color w:val="auto"/>
          <w:sz w:val="24"/>
        </w:rPr>
        <w:t>兵团监狱</w:t>
      </w:r>
      <w:r>
        <w:rPr>
          <w:rFonts w:hint="eastAsia" w:ascii="宋体" w:hAnsi="宋体"/>
          <w:color w:val="auto"/>
          <w:sz w:val="24"/>
        </w:rPr>
        <w:t>管理</w:t>
      </w:r>
      <w:r>
        <w:rPr>
          <w:rFonts w:ascii="宋体" w:hAnsi="宋体"/>
          <w:color w:val="auto"/>
          <w:sz w:val="24"/>
        </w:rPr>
        <w:t>局</w:t>
      </w:r>
      <w:r>
        <w:rPr>
          <w:rFonts w:hint="eastAsia" w:ascii="宋体" w:hAnsi="宋体"/>
          <w:color w:val="auto"/>
          <w:sz w:val="24"/>
        </w:rPr>
        <w:t>、戒毒管理</w:t>
      </w:r>
      <w:r>
        <w:rPr>
          <w:rFonts w:ascii="宋体" w:hAnsi="宋体"/>
          <w:color w:val="auto"/>
          <w:sz w:val="24"/>
        </w:rPr>
        <w:t>局的企业。监狱</w:t>
      </w:r>
      <w:r>
        <w:rPr>
          <w:rFonts w:hint="eastAsia" w:ascii="宋体" w:hAnsi="宋体"/>
          <w:color w:val="auto"/>
          <w:sz w:val="24"/>
        </w:rPr>
        <w:t>企业</w:t>
      </w:r>
      <w:r>
        <w:rPr>
          <w:rFonts w:ascii="宋体" w:hAnsi="宋体"/>
          <w:color w:val="auto"/>
          <w:sz w:val="24"/>
        </w:rPr>
        <w:t>投标时，提供由省级以上监狱管理局、戒毒管理局（</w:t>
      </w:r>
      <w:r>
        <w:rPr>
          <w:rFonts w:hint="eastAsia" w:ascii="宋体" w:hAnsi="宋体"/>
          <w:color w:val="auto"/>
          <w:sz w:val="24"/>
        </w:rPr>
        <w:t>含</w:t>
      </w:r>
      <w:r>
        <w:rPr>
          <w:rFonts w:ascii="宋体" w:hAnsi="宋体"/>
          <w:color w:val="auto"/>
          <w:sz w:val="24"/>
        </w:rPr>
        <w:t>新疆生产建设兵团）</w:t>
      </w:r>
      <w:r>
        <w:rPr>
          <w:rFonts w:hint="eastAsia" w:ascii="宋体" w:hAnsi="宋体"/>
          <w:color w:val="auto"/>
          <w:sz w:val="24"/>
        </w:rPr>
        <w:t>出</w:t>
      </w:r>
      <w:r>
        <w:rPr>
          <w:rFonts w:ascii="宋体" w:hAnsi="宋体"/>
          <w:color w:val="auto"/>
          <w:sz w:val="24"/>
        </w:rPr>
        <w:t>具的属于监狱企业的证明文件，不再</w:t>
      </w:r>
      <w:r>
        <w:rPr>
          <w:rFonts w:hint="eastAsia" w:ascii="宋体" w:hAnsi="宋体"/>
          <w:color w:val="auto"/>
          <w:sz w:val="24"/>
        </w:rPr>
        <w:t>提供</w:t>
      </w:r>
      <w:r>
        <w:rPr>
          <w:rFonts w:ascii="宋体" w:hAnsi="宋体"/>
          <w:color w:val="auto"/>
          <w:sz w:val="24"/>
        </w:rPr>
        <w:t>《</w:t>
      </w:r>
      <w:r>
        <w:rPr>
          <w:rFonts w:hint="eastAsia" w:ascii="宋体" w:hAnsi="宋体"/>
          <w:color w:val="auto"/>
          <w:sz w:val="24"/>
        </w:rPr>
        <w:t>中</w:t>
      </w:r>
      <w:r>
        <w:rPr>
          <w:rFonts w:ascii="宋体" w:hAnsi="宋体"/>
          <w:color w:val="auto"/>
          <w:sz w:val="24"/>
        </w:rPr>
        <w:t>小微企业声明函》</w:t>
      </w:r>
      <w:r>
        <w:rPr>
          <w:rFonts w:hint="eastAsia" w:ascii="宋体" w:hAnsi="宋体"/>
          <w:color w:val="auto"/>
          <w:sz w:val="24"/>
        </w:rPr>
        <w:t>。</w:t>
      </w:r>
    </w:p>
    <w:p w14:paraId="301BD69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.3根据《财政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（财库〔201</w:t>
      </w:r>
      <w:r>
        <w:rPr>
          <w:rFonts w:ascii="宋体" w:hAnsi="宋体"/>
          <w:color w:val="auto"/>
          <w:sz w:val="24"/>
        </w:rPr>
        <w:t>7</w:t>
      </w:r>
      <w:r>
        <w:rPr>
          <w:rFonts w:hint="eastAsia" w:ascii="宋体" w:hAnsi="宋体"/>
          <w:color w:val="auto"/>
          <w:sz w:val="24"/>
        </w:rPr>
        <w:t>〕</w:t>
      </w:r>
      <w:r>
        <w:rPr>
          <w:rFonts w:ascii="宋体" w:hAnsi="宋体"/>
          <w:color w:val="auto"/>
          <w:sz w:val="24"/>
        </w:rPr>
        <w:t>141</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r>
        <w:rPr>
          <w:rFonts w:ascii="宋体" w:hAnsi="宋体"/>
          <w:color w:val="auto"/>
          <w:sz w:val="24"/>
        </w:rPr>
        <w:t>在政府采购活动中，残疾人福利性单位视同小型、微型企业，享受政府采购支持政策的残疾人福利性单位应当同时满足《</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所</w:t>
      </w:r>
      <w:r>
        <w:rPr>
          <w:rFonts w:ascii="宋体" w:hAnsi="宋体"/>
          <w:color w:val="auto"/>
          <w:sz w:val="24"/>
        </w:rPr>
        <w:t>列条件。残疾</w:t>
      </w:r>
      <w:r>
        <w:rPr>
          <w:rFonts w:hint="eastAsia" w:ascii="宋体" w:hAnsi="宋体"/>
          <w:color w:val="auto"/>
          <w:sz w:val="24"/>
        </w:rPr>
        <w:t>人</w:t>
      </w:r>
      <w:r>
        <w:rPr>
          <w:rFonts w:ascii="宋体" w:hAnsi="宋体"/>
          <w:color w:val="auto"/>
          <w:sz w:val="24"/>
        </w:rPr>
        <w:t>福利</w:t>
      </w:r>
      <w:r>
        <w:rPr>
          <w:rFonts w:hint="eastAsia" w:ascii="宋体" w:hAnsi="宋体"/>
          <w:color w:val="auto"/>
          <w:sz w:val="24"/>
          <w:lang w:eastAsia="zh-CN"/>
        </w:rPr>
        <w:t>性</w:t>
      </w:r>
      <w:r>
        <w:rPr>
          <w:rFonts w:ascii="宋体" w:hAnsi="宋体"/>
          <w:color w:val="auto"/>
          <w:sz w:val="24"/>
        </w:rPr>
        <w:t>单位属于小型、微型企业的，不重复</w:t>
      </w:r>
      <w:r>
        <w:rPr>
          <w:rFonts w:hint="eastAsia" w:ascii="宋体" w:hAnsi="宋体"/>
          <w:color w:val="auto"/>
          <w:sz w:val="24"/>
        </w:rPr>
        <w:t>享受</w:t>
      </w:r>
      <w:r>
        <w:rPr>
          <w:rFonts w:ascii="宋体" w:hAnsi="宋体"/>
          <w:color w:val="auto"/>
          <w:sz w:val="24"/>
        </w:rPr>
        <w:t>政策。符合</w:t>
      </w:r>
      <w:r>
        <w:rPr>
          <w:rFonts w:hint="eastAsia" w:ascii="宋体" w:hAnsi="宋体"/>
          <w:color w:val="auto"/>
          <w:sz w:val="24"/>
        </w:rPr>
        <w:t>条件的</w:t>
      </w:r>
      <w:r>
        <w:rPr>
          <w:rFonts w:ascii="宋体" w:hAnsi="宋体"/>
          <w:color w:val="auto"/>
          <w:sz w:val="24"/>
        </w:rPr>
        <w:t>残疾人福利性单位在参加政府采购活动时，应当提供《</w:t>
      </w:r>
      <w:r>
        <w:rPr>
          <w:rFonts w:hint="eastAsia" w:ascii="宋体" w:hAnsi="宋体"/>
          <w:color w:val="auto"/>
          <w:sz w:val="24"/>
        </w:rPr>
        <w:t>残疾</w:t>
      </w:r>
      <w:r>
        <w:rPr>
          <w:rFonts w:ascii="宋体" w:hAnsi="宋体"/>
          <w:color w:val="auto"/>
          <w:sz w:val="24"/>
        </w:rPr>
        <w:t>人福利性单位声明</w:t>
      </w:r>
      <w:r>
        <w:rPr>
          <w:rFonts w:hint="eastAsia" w:ascii="宋体" w:hAnsi="宋体"/>
          <w:color w:val="auto"/>
          <w:sz w:val="24"/>
        </w:rPr>
        <w:t>函</w:t>
      </w:r>
      <w:r>
        <w:rPr>
          <w:rFonts w:ascii="宋体" w:hAnsi="宋体"/>
          <w:color w:val="auto"/>
          <w:sz w:val="24"/>
        </w:rPr>
        <w:t>》</w:t>
      </w:r>
      <w:r>
        <w:rPr>
          <w:rFonts w:hint="eastAsia" w:ascii="宋体" w:hAnsi="宋体"/>
          <w:color w:val="auto"/>
          <w:sz w:val="24"/>
        </w:rPr>
        <w:t>，并</w:t>
      </w:r>
      <w:r>
        <w:rPr>
          <w:rFonts w:ascii="宋体" w:hAnsi="宋体"/>
          <w:color w:val="auto"/>
          <w:sz w:val="24"/>
        </w:rPr>
        <w:t>对声明</w:t>
      </w:r>
      <w:r>
        <w:rPr>
          <w:rFonts w:hint="eastAsia" w:ascii="宋体" w:hAnsi="宋体"/>
          <w:color w:val="auto"/>
          <w:sz w:val="24"/>
        </w:rPr>
        <w:t>的</w:t>
      </w:r>
      <w:r>
        <w:rPr>
          <w:rFonts w:ascii="宋体" w:hAnsi="宋体"/>
          <w:color w:val="auto"/>
          <w:sz w:val="24"/>
        </w:rPr>
        <w:t>真实性负责</w:t>
      </w:r>
      <w:r>
        <w:rPr>
          <w:rFonts w:hint="eastAsia" w:ascii="宋体" w:hAnsi="宋体"/>
          <w:color w:val="auto"/>
          <w:sz w:val="24"/>
        </w:rPr>
        <w:t>。</w:t>
      </w:r>
    </w:p>
    <w:p w14:paraId="3B19DF71">
      <w:pPr>
        <w:spacing w:line="360" w:lineRule="auto"/>
        <w:jc w:val="center"/>
        <w:outlineLvl w:val="1"/>
        <w:rPr>
          <w:rFonts w:ascii="宋体" w:hAnsi="宋体"/>
          <w:color w:val="auto"/>
          <w:sz w:val="24"/>
        </w:rPr>
      </w:pPr>
      <w:bookmarkStart w:id="20" w:name="_Toc103723524"/>
      <w:bookmarkStart w:id="21" w:name="_Toc15555"/>
      <w:r>
        <w:rPr>
          <w:rFonts w:hint="eastAsia" w:ascii="宋体" w:hAnsi="宋体"/>
          <w:b/>
          <w:color w:val="auto"/>
          <w:sz w:val="28"/>
        </w:rPr>
        <w:t>八、授予合同</w:t>
      </w:r>
      <w:bookmarkEnd w:id="20"/>
      <w:bookmarkEnd w:id="21"/>
    </w:p>
    <w:p w14:paraId="4E0680C9">
      <w:pPr>
        <w:spacing w:line="360" w:lineRule="auto"/>
        <w:rPr>
          <w:rFonts w:ascii="宋体" w:hAnsi="宋体"/>
          <w:b/>
          <w:color w:val="auto"/>
          <w:sz w:val="24"/>
        </w:rPr>
      </w:pPr>
      <w:r>
        <w:rPr>
          <w:rFonts w:ascii="宋体" w:hAnsi="宋体"/>
          <w:b/>
          <w:color w:val="auto"/>
          <w:sz w:val="24"/>
        </w:rPr>
        <w:t>34</w:t>
      </w:r>
      <w:r>
        <w:rPr>
          <w:rFonts w:hint="eastAsia" w:ascii="宋体" w:hAnsi="宋体"/>
          <w:b/>
          <w:color w:val="auto"/>
          <w:sz w:val="24"/>
        </w:rPr>
        <w:t>.定标方式</w:t>
      </w:r>
    </w:p>
    <w:p w14:paraId="6FA914FC">
      <w:pPr>
        <w:spacing w:line="360" w:lineRule="auto"/>
        <w:ind w:firstLine="480" w:firstLineChars="200"/>
        <w:rPr>
          <w:rFonts w:ascii="宋体" w:hAnsi="宋体"/>
          <w:color w:val="auto"/>
          <w:sz w:val="24"/>
        </w:rPr>
      </w:pPr>
      <w:r>
        <w:rPr>
          <w:rFonts w:hint="eastAsia" w:ascii="宋体" w:hAnsi="宋体"/>
          <w:color w:val="auto"/>
          <w:sz w:val="24"/>
        </w:rPr>
        <w:t>采购人依据谈判小组评审的中标排序结果确定成交供应商。</w:t>
      </w:r>
    </w:p>
    <w:p w14:paraId="459058B6">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5.</w:t>
      </w:r>
      <w:r>
        <w:rPr>
          <w:rFonts w:hint="eastAsia" w:ascii="宋体" w:hAnsi="宋体"/>
          <w:b/>
          <w:color w:val="auto"/>
          <w:sz w:val="24"/>
        </w:rPr>
        <w:t>成交通知</w:t>
      </w:r>
    </w:p>
    <w:p w14:paraId="28DDC4D8">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.1</w:t>
      </w:r>
      <w:r>
        <w:rPr>
          <w:rFonts w:hint="eastAsia" w:ascii="宋体" w:hAnsi="宋体"/>
          <w:color w:val="auto"/>
          <w:sz w:val="24"/>
          <w:lang w:eastAsia="zh-CN"/>
        </w:rPr>
        <w:t>采购代理机构</w:t>
      </w:r>
      <w:r>
        <w:rPr>
          <w:rFonts w:ascii="宋体" w:hAnsi="宋体"/>
          <w:color w:val="auto"/>
          <w:sz w:val="24"/>
        </w:rPr>
        <w:t>将在采购人确定</w:t>
      </w:r>
      <w:r>
        <w:rPr>
          <w:rFonts w:hint="eastAsia" w:ascii="宋体" w:hAnsi="宋体"/>
          <w:color w:val="auto"/>
          <w:sz w:val="24"/>
        </w:rPr>
        <w:t>成交</w:t>
      </w:r>
      <w:r>
        <w:rPr>
          <w:rFonts w:ascii="宋体" w:hAnsi="宋体"/>
          <w:color w:val="auto"/>
          <w:sz w:val="24"/>
        </w:rPr>
        <w:t>供应商</w:t>
      </w:r>
      <w:r>
        <w:rPr>
          <w:rFonts w:hint="eastAsia" w:ascii="宋体" w:hAnsi="宋体"/>
          <w:color w:val="auto"/>
          <w:sz w:val="24"/>
        </w:rPr>
        <w:t>之日</w:t>
      </w:r>
      <w:r>
        <w:rPr>
          <w:rFonts w:ascii="宋体" w:hAnsi="宋体"/>
          <w:color w:val="auto"/>
          <w:sz w:val="24"/>
        </w:rPr>
        <w:t>起</w:t>
      </w:r>
      <w:r>
        <w:rPr>
          <w:rFonts w:hint="eastAsia" w:ascii="宋体" w:hAnsi="宋体"/>
          <w:color w:val="auto"/>
          <w:sz w:val="24"/>
        </w:rPr>
        <w:t>2个</w:t>
      </w:r>
      <w:r>
        <w:rPr>
          <w:rFonts w:ascii="宋体" w:hAnsi="宋体"/>
          <w:color w:val="auto"/>
          <w:sz w:val="24"/>
        </w:rPr>
        <w:t>工作日内，</w:t>
      </w:r>
      <w:r>
        <w:rPr>
          <w:rFonts w:hint="eastAsia" w:ascii="宋体" w:hAnsi="宋体"/>
          <w:color w:val="auto"/>
          <w:sz w:val="24"/>
        </w:rPr>
        <w:t>发布成交公告，</w:t>
      </w:r>
      <w:r>
        <w:rPr>
          <w:rFonts w:ascii="宋体" w:hAnsi="宋体"/>
          <w:color w:val="auto"/>
          <w:sz w:val="24"/>
        </w:rPr>
        <w:t>并发出成交通知书。</w:t>
      </w:r>
    </w:p>
    <w:p w14:paraId="4F197DFB">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.2在按照本须知第</w:t>
      </w:r>
      <w:r>
        <w:rPr>
          <w:rFonts w:ascii="宋体" w:hAnsi="宋体"/>
          <w:color w:val="auto"/>
          <w:sz w:val="24"/>
        </w:rPr>
        <w:t>36</w:t>
      </w:r>
      <w:r>
        <w:rPr>
          <w:rFonts w:hint="eastAsia" w:ascii="宋体" w:hAnsi="宋体"/>
          <w:color w:val="auto"/>
          <w:sz w:val="24"/>
        </w:rPr>
        <w:t>条签署了合同后，该成交通知书将成为合同的一部分。</w:t>
      </w:r>
    </w:p>
    <w:p w14:paraId="2BA8F1B9">
      <w:pPr>
        <w:autoSpaceDE w:val="0"/>
        <w:autoSpaceDN w:val="0"/>
        <w:adjustRightInd w:val="0"/>
        <w:spacing w:line="360" w:lineRule="auto"/>
        <w:ind w:left="-2"/>
        <w:rPr>
          <w:rFonts w:ascii="宋体" w:hAnsi="宋体"/>
          <w:color w:val="auto"/>
          <w:sz w:val="24"/>
        </w:rPr>
      </w:pPr>
      <w:r>
        <w:rPr>
          <w:rFonts w:ascii="宋体" w:hAnsi="宋体"/>
          <w:b/>
          <w:color w:val="auto"/>
          <w:sz w:val="24"/>
        </w:rPr>
        <w:t>3</w:t>
      </w:r>
      <w:r>
        <w:rPr>
          <w:rFonts w:hint="eastAsia" w:ascii="宋体" w:hAnsi="宋体"/>
          <w:b/>
          <w:color w:val="auto"/>
          <w:sz w:val="24"/>
        </w:rPr>
        <w:t>6.合同的签署</w:t>
      </w:r>
    </w:p>
    <w:p w14:paraId="4BF6909B">
      <w:pPr>
        <w:spacing w:line="360" w:lineRule="auto"/>
        <w:rPr>
          <w:rFonts w:ascii="宋体" w:hAnsi="宋体"/>
          <w:b/>
          <w:color w:val="auto"/>
          <w:sz w:val="24"/>
        </w:rPr>
      </w:pPr>
      <w:r>
        <w:rPr>
          <w:rFonts w:hint="eastAsia" w:ascii="宋体" w:hAnsi="宋体"/>
          <w:b/>
          <w:color w:val="auto"/>
          <w:sz w:val="24"/>
        </w:rPr>
        <w:t>36.1成交供应商需在领取成交通知书后</w:t>
      </w:r>
      <w:r>
        <w:rPr>
          <w:rFonts w:ascii="宋体" w:hAnsi="宋体"/>
          <w:b/>
          <w:color w:val="auto"/>
          <w:sz w:val="24"/>
          <w:u w:val="single"/>
        </w:rPr>
        <w:t>30</w:t>
      </w:r>
      <w:r>
        <w:rPr>
          <w:rFonts w:hint="eastAsia" w:ascii="宋体" w:hAnsi="宋体"/>
          <w:b/>
          <w:color w:val="auto"/>
          <w:sz w:val="24"/>
          <w:u w:val="single"/>
        </w:rPr>
        <w:t>日</w:t>
      </w:r>
      <w:r>
        <w:rPr>
          <w:rFonts w:hint="eastAsia" w:ascii="宋体" w:hAnsi="宋体"/>
          <w:b/>
          <w:color w:val="auto"/>
          <w:sz w:val="24"/>
        </w:rPr>
        <w:t>内，与采购人签订政府采购合同。政府采购合同内容的确定应以谈判文件和谈判响应文件为基础，不得违背其实质性内容。合同一式两份，具同等法律效力。采购人、成交供应商各执一份。</w:t>
      </w:r>
    </w:p>
    <w:p w14:paraId="5DB8A321">
      <w:pPr>
        <w:spacing w:line="360" w:lineRule="auto"/>
        <w:rPr>
          <w:rFonts w:ascii="宋体" w:hAnsi="宋体"/>
          <w:b/>
          <w:color w:val="auto"/>
          <w:sz w:val="24"/>
        </w:rPr>
      </w:pPr>
      <w:r>
        <w:rPr>
          <w:rFonts w:hint="eastAsia" w:ascii="宋体" w:hAnsi="宋体"/>
          <w:b/>
          <w:color w:val="auto"/>
          <w:sz w:val="24"/>
        </w:rPr>
        <w:t>36.2采购人应当自政府采购合同签订之日起</w:t>
      </w:r>
      <w:r>
        <w:rPr>
          <w:rFonts w:hint="eastAsia" w:ascii="宋体" w:hAnsi="宋体"/>
          <w:b/>
          <w:color w:val="auto"/>
          <w:sz w:val="24"/>
          <w:u w:val="single"/>
        </w:rPr>
        <w:t>2个工作日</w:t>
      </w:r>
      <w:r>
        <w:rPr>
          <w:rFonts w:hint="eastAsia" w:ascii="宋体" w:hAnsi="宋体"/>
          <w:b/>
          <w:color w:val="auto"/>
          <w:sz w:val="24"/>
        </w:rPr>
        <w:t>内，将政府采购合同在财政部门指定的媒体上公告，但政府采购合同中涉及国家秘密、商业秘密的内容除外。</w:t>
      </w:r>
    </w:p>
    <w:p w14:paraId="3D235CF5">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.3成交供应商无正当理由拒签合同的，采购人取消其中标资格，给采购人造成损失的，成交供应商还应当予以赔偿。</w:t>
      </w:r>
    </w:p>
    <w:p w14:paraId="382E90A7">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.4发出成交通知书后，采购人无正当理由拒签合同给成交供应商造成损失的，还应当赔偿损失。</w:t>
      </w:r>
    </w:p>
    <w:p w14:paraId="51603BBB">
      <w:pPr>
        <w:spacing w:line="360" w:lineRule="auto"/>
        <w:rPr>
          <w:rFonts w:ascii="宋体" w:hAnsi="宋体"/>
          <w:bCs/>
          <w:color w:val="auto"/>
          <w:sz w:val="24"/>
        </w:rPr>
      </w:pPr>
      <w:r>
        <w:rPr>
          <w:rFonts w:hint="eastAsia" w:ascii="宋体" w:hAnsi="宋体"/>
          <w:bCs/>
          <w:color w:val="auto"/>
          <w:sz w:val="24"/>
        </w:rPr>
        <w:t>3</w:t>
      </w:r>
      <w:r>
        <w:rPr>
          <w:rFonts w:ascii="宋体" w:hAnsi="宋体"/>
          <w:bCs/>
          <w:color w:val="auto"/>
          <w:sz w:val="24"/>
        </w:rPr>
        <w:t>7</w:t>
      </w:r>
      <w:r>
        <w:rPr>
          <w:rFonts w:hint="eastAsia" w:ascii="宋体" w:hAnsi="宋体"/>
          <w:bCs/>
          <w:color w:val="auto"/>
          <w:sz w:val="24"/>
        </w:rPr>
        <w:t>.5本项目严禁转包，一经发现立即清除，采购人将有充分理由废除授标，成交供应商应承担由此造成的一切经济损失。</w:t>
      </w:r>
    </w:p>
    <w:p w14:paraId="4958EE5E">
      <w:pPr>
        <w:pStyle w:val="33"/>
        <w:spacing w:line="360" w:lineRule="auto"/>
        <w:jc w:val="center"/>
        <w:outlineLvl w:val="1"/>
        <w:rPr>
          <w:rFonts w:ascii="宋体" w:hAnsi="宋体" w:eastAsia="宋体" w:cs="仿宋_GB2312"/>
          <w:b/>
          <w:color w:val="auto"/>
          <w:kern w:val="0"/>
          <w:sz w:val="30"/>
          <w:szCs w:val="30"/>
          <w:lang w:val="zh-CN"/>
        </w:rPr>
      </w:pPr>
      <w:bookmarkStart w:id="22" w:name="_Toc103723525"/>
      <w:bookmarkStart w:id="23" w:name="_Toc874"/>
      <w:r>
        <w:rPr>
          <w:rFonts w:hint="eastAsia" w:ascii="宋体" w:hAnsi="宋体" w:eastAsia="宋体" w:cs="仿宋_GB2312"/>
          <w:b/>
          <w:color w:val="auto"/>
          <w:kern w:val="0"/>
          <w:sz w:val="30"/>
          <w:szCs w:val="30"/>
          <w:lang w:val="zh-CN"/>
        </w:rPr>
        <w:t>九、重新</w:t>
      </w:r>
      <w:bookmarkEnd w:id="22"/>
      <w:r>
        <w:rPr>
          <w:rFonts w:hint="eastAsia" w:ascii="宋体" w:hAnsi="宋体" w:eastAsia="宋体" w:cs="仿宋_GB2312"/>
          <w:b/>
          <w:color w:val="auto"/>
          <w:kern w:val="0"/>
          <w:sz w:val="30"/>
          <w:szCs w:val="30"/>
          <w:lang w:val="zh-CN"/>
        </w:rPr>
        <w:t>采购</w:t>
      </w:r>
      <w:bookmarkEnd w:id="23"/>
    </w:p>
    <w:p w14:paraId="15254AA8">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8.</w:t>
      </w:r>
      <w:r>
        <w:rPr>
          <w:rFonts w:hint="eastAsia" w:ascii="宋体" w:hAnsi="宋体" w:eastAsia="宋体" w:cs="仿宋_GB2312"/>
          <w:b/>
          <w:color w:val="auto"/>
          <w:kern w:val="0"/>
          <w:sz w:val="24"/>
          <w:lang w:val="zh-CN"/>
        </w:rPr>
        <w:t>重新采购</w:t>
      </w:r>
    </w:p>
    <w:p w14:paraId="3D950D24">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.1在谈判采购中，出现下列情形之一的，招标失败：</w:t>
      </w:r>
    </w:p>
    <w:p w14:paraId="6AF62501">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.1.1符合条件的供应商或都对谈判文件作实质响应的供应商不足三家；</w:t>
      </w:r>
    </w:p>
    <w:p w14:paraId="46173820">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.1.2出现影响采购公正的违法、违规行为的；</w:t>
      </w:r>
    </w:p>
    <w:p w14:paraId="157DF9E6">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.1.3响应谈判供应商的报价均超过了采购预算，采购人不能支付的；</w:t>
      </w:r>
    </w:p>
    <w:p w14:paraId="71BA9043">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.1.4因重大变故，采购任务取消的。</w:t>
      </w:r>
    </w:p>
    <w:p w14:paraId="4DB6A3D8">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.2谈判失败后，除采购任务取消外，应当重新组织谈判；需要采取其他方式采购的，应由吉林省财政厅政府采购管理处重新下达任务单。</w:t>
      </w:r>
    </w:p>
    <w:p w14:paraId="10458592">
      <w:pPr>
        <w:pStyle w:val="33"/>
        <w:spacing w:line="360" w:lineRule="auto"/>
        <w:jc w:val="center"/>
        <w:outlineLvl w:val="1"/>
        <w:rPr>
          <w:rFonts w:ascii="宋体" w:hAnsi="宋体" w:eastAsia="宋体" w:cs="仿宋_GB2312"/>
          <w:b/>
          <w:color w:val="auto"/>
          <w:kern w:val="0"/>
          <w:sz w:val="30"/>
          <w:szCs w:val="30"/>
          <w:lang w:val="zh-CN"/>
        </w:rPr>
      </w:pPr>
      <w:bookmarkStart w:id="24" w:name="_Toc30836"/>
      <w:bookmarkStart w:id="25" w:name="_Toc103723526"/>
      <w:r>
        <w:rPr>
          <w:rFonts w:hint="eastAsia" w:ascii="宋体" w:hAnsi="宋体" w:eastAsia="宋体" w:cs="仿宋_GB2312"/>
          <w:b/>
          <w:color w:val="auto"/>
          <w:kern w:val="0"/>
          <w:sz w:val="30"/>
          <w:szCs w:val="30"/>
          <w:lang w:val="zh-CN"/>
        </w:rPr>
        <w:t>十、纪律和监督</w:t>
      </w:r>
      <w:bookmarkEnd w:id="24"/>
      <w:bookmarkEnd w:id="25"/>
    </w:p>
    <w:p w14:paraId="75F770FD">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9.</w:t>
      </w:r>
      <w:r>
        <w:rPr>
          <w:rFonts w:hint="eastAsia" w:ascii="宋体" w:hAnsi="宋体" w:eastAsia="宋体" w:cs="仿宋_GB2312"/>
          <w:b/>
          <w:color w:val="auto"/>
          <w:kern w:val="0"/>
          <w:sz w:val="24"/>
          <w:lang w:val="zh-CN"/>
        </w:rPr>
        <w:t>对采购人的纪律要求</w:t>
      </w:r>
    </w:p>
    <w:p w14:paraId="6AA0BB9C">
      <w:pPr>
        <w:pStyle w:val="33"/>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采购人不得泄漏招标投标活动中应当保密的情况和资料，不得与响应谈判供应商串通损害国家利益、社会公共利益或者他人合法权益。</w:t>
      </w:r>
    </w:p>
    <w:p w14:paraId="1C033E48">
      <w:pPr>
        <w:pStyle w:val="33"/>
        <w:spacing w:line="360" w:lineRule="auto"/>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w:t>
      </w:r>
      <w:r>
        <w:rPr>
          <w:rFonts w:hint="eastAsia" w:ascii="宋体" w:hAnsi="宋体" w:eastAsia="宋体" w:cs="仿宋_GB2312"/>
          <w:b/>
          <w:color w:val="auto"/>
          <w:kern w:val="0"/>
          <w:sz w:val="24"/>
          <w:lang w:val="zh-CN"/>
        </w:rPr>
        <w:t>对响应谈判供应商的纪律要求</w:t>
      </w:r>
    </w:p>
    <w:p w14:paraId="39665A74">
      <w:pPr>
        <w:pStyle w:val="33"/>
        <w:spacing w:line="360" w:lineRule="auto"/>
        <w:ind w:firstLine="480" w:firstLineChars="200"/>
        <w:rPr>
          <w:rFonts w:ascii="宋体" w:hAnsi="宋体" w:eastAsia="宋体" w:cs="仿宋_GB2312"/>
          <w:color w:val="auto"/>
          <w:kern w:val="0"/>
          <w:sz w:val="24"/>
          <w:lang w:val="zh-CN"/>
        </w:rPr>
      </w:pPr>
      <w:r>
        <w:rPr>
          <w:rFonts w:ascii="宋体" w:hAnsi="宋体" w:eastAsia="宋体" w:cs="仿宋_GB2312"/>
          <w:color w:val="auto"/>
          <w:kern w:val="0"/>
          <w:sz w:val="24"/>
          <w:lang w:val="zh-CN"/>
        </w:rPr>
        <w:t>40</w:t>
      </w:r>
      <w:r>
        <w:rPr>
          <w:rFonts w:hint="eastAsia" w:ascii="宋体" w:hAnsi="宋体" w:eastAsia="宋体" w:cs="仿宋_GB2312"/>
          <w:color w:val="auto"/>
          <w:kern w:val="0"/>
          <w:sz w:val="24"/>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44C768FC">
      <w:pPr>
        <w:pStyle w:val="33"/>
        <w:spacing w:line="360" w:lineRule="auto"/>
        <w:ind w:firstLine="482" w:firstLineChars="200"/>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40.2</w:t>
      </w:r>
      <w:r>
        <w:rPr>
          <w:rFonts w:hint="eastAsia" w:ascii="宋体" w:hAnsi="宋体" w:eastAsia="宋体" w:cs="仿宋_GB2312"/>
          <w:b/>
          <w:color w:val="auto"/>
          <w:kern w:val="0"/>
          <w:sz w:val="24"/>
          <w:lang w:val="zh-CN"/>
        </w:rPr>
        <w:t>响应谈判</w:t>
      </w:r>
      <w:r>
        <w:rPr>
          <w:rFonts w:ascii="宋体" w:hAnsi="宋体" w:eastAsia="宋体" w:cs="仿宋_GB2312"/>
          <w:b/>
          <w:color w:val="auto"/>
          <w:kern w:val="0"/>
          <w:sz w:val="24"/>
          <w:lang w:val="zh-CN"/>
        </w:rPr>
        <w:t>供应商应当遵循诚实信用原则，对资格条件承诺函有关内容的真实性、</w:t>
      </w:r>
      <w:r>
        <w:rPr>
          <w:rFonts w:hint="eastAsia" w:ascii="宋体" w:hAnsi="宋体" w:eastAsia="宋体" w:cs="仿宋_GB2312"/>
          <w:b/>
          <w:color w:val="auto"/>
          <w:kern w:val="0"/>
          <w:sz w:val="24"/>
          <w:lang w:val="zh-CN"/>
        </w:rPr>
        <w:t>有效性</w:t>
      </w:r>
      <w:r>
        <w:rPr>
          <w:rFonts w:ascii="宋体" w:hAnsi="宋体" w:eastAsia="宋体" w:cs="仿宋_GB2312"/>
          <w:b/>
          <w:color w:val="auto"/>
          <w:kern w:val="0"/>
          <w:sz w:val="24"/>
          <w:lang w:val="zh-CN"/>
        </w:rPr>
        <w:t>、合法性负责。如</w:t>
      </w:r>
      <w:r>
        <w:rPr>
          <w:rFonts w:hint="eastAsia" w:ascii="宋体" w:hAnsi="宋体" w:eastAsia="宋体" w:cs="仿宋_GB2312"/>
          <w:b/>
          <w:color w:val="auto"/>
          <w:kern w:val="0"/>
          <w:sz w:val="24"/>
          <w:lang w:val="zh-CN"/>
        </w:rPr>
        <w:t>发现</w:t>
      </w:r>
      <w:r>
        <w:rPr>
          <w:rFonts w:ascii="宋体" w:hAnsi="宋体" w:eastAsia="宋体" w:cs="仿宋_GB2312"/>
          <w:b/>
          <w:color w:val="auto"/>
          <w:kern w:val="0"/>
          <w:sz w:val="24"/>
          <w:lang w:val="zh-CN"/>
        </w:rPr>
        <w:t>承诺内容与事实情况不符，经调查核实为虚假承诺的，视同“</w:t>
      </w:r>
      <w:r>
        <w:rPr>
          <w:rFonts w:hint="eastAsia" w:ascii="宋体" w:hAnsi="宋体" w:eastAsia="宋体" w:cs="仿宋_GB2312"/>
          <w:b/>
          <w:color w:val="auto"/>
          <w:kern w:val="0"/>
          <w:sz w:val="24"/>
          <w:lang w:val="zh-CN"/>
        </w:rPr>
        <w:t>提供</w:t>
      </w:r>
      <w:r>
        <w:rPr>
          <w:rFonts w:ascii="宋体" w:hAnsi="宋体" w:eastAsia="宋体" w:cs="仿宋_GB2312"/>
          <w:b/>
          <w:color w:val="auto"/>
          <w:kern w:val="0"/>
          <w:sz w:val="24"/>
          <w:lang w:val="zh-CN"/>
        </w:rPr>
        <w:t>虚假材料谋取中标（</w:t>
      </w:r>
      <w:r>
        <w:rPr>
          <w:rFonts w:hint="eastAsia" w:ascii="宋体" w:hAnsi="宋体" w:eastAsia="宋体" w:cs="仿宋_GB2312"/>
          <w:b/>
          <w:color w:val="auto"/>
          <w:kern w:val="0"/>
          <w:sz w:val="24"/>
          <w:lang w:val="zh-CN"/>
        </w:rPr>
        <w:t>成交</w:t>
      </w:r>
      <w:r>
        <w:rPr>
          <w:rFonts w:ascii="宋体" w:hAnsi="宋体" w:eastAsia="宋体" w:cs="仿宋_GB2312"/>
          <w:b/>
          <w:color w:val="auto"/>
          <w:kern w:val="0"/>
          <w:sz w:val="24"/>
          <w:lang w:val="zh-CN"/>
        </w:rPr>
        <w:t>）”</w:t>
      </w:r>
      <w:r>
        <w:rPr>
          <w:rFonts w:hint="eastAsia" w:ascii="宋体" w:hAnsi="宋体" w:eastAsia="宋体" w:cs="仿宋_GB2312"/>
          <w:b/>
          <w:color w:val="auto"/>
          <w:kern w:val="0"/>
          <w:sz w:val="24"/>
          <w:lang w:val="zh-CN"/>
        </w:rPr>
        <w:t>，</w:t>
      </w:r>
      <w:r>
        <w:rPr>
          <w:rFonts w:ascii="宋体" w:hAnsi="宋体" w:eastAsia="宋体" w:cs="仿宋_GB2312"/>
          <w:b/>
          <w:color w:val="auto"/>
          <w:kern w:val="0"/>
          <w:sz w:val="24"/>
          <w:lang w:val="zh-CN"/>
        </w:rPr>
        <w:t>按照《</w:t>
      </w:r>
      <w:r>
        <w:rPr>
          <w:rFonts w:hint="eastAsia" w:ascii="宋体" w:hAnsi="宋体" w:eastAsia="宋体" w:cs="仿宋_GB2312"/>
          <w:b/>
          <w:color w:val="auto"/>
          <w:kern w:val="0"/>
          <w:sz w:val="24"/>
          <w:lang w:val="zh-CN"/>
        </w:rPr>
        <w:t>中华人民共和国</w:t>
      </w:r>
      <w:r>
        <w:rPr>
          <w:rFonts w:ascii="宋体" w:hAnsi="宋体" w:eastAsia="宋体" w:cs="仿宋_GB2312"/>
          <w:b/>
          <w:color w:val="auto"/>
          <w:kern w:val="0"/>
          <w:sz w:val="24"/>
          <w:lang w:val="zh-CN"/>
        </w:rPr>
        <w:t>政府采购法》</w:t>
      </w:r>
      <w:r>
        <w:rPr>
          <w:rFonts w:hint="eastAsia" w:ascii="宋体" w:hAnsi="宋体" w:eastAsia="宋体" w:cs="仿宋_GB2312"/>
          <w:b/>
          <w:color w:val="auto"/>
          <w:kern w:val="0"/>
          <w:sz w:val="24"/>
          <w:lang w:val="zh-CN"/>
        </w:rPr>
        <w:t>第</w:t>
      </w:r>
      <w:r>
        <w:rPr>
          <w:rFonts w:ascii="宋体" w:hAnsi="宋体" w:eastAsia="宋体" w:cs="仿宋_GB2312"/>
          <w:b/>
          <w:color w:val="auto"/>
          <w:kern w:val="0"/>
          <w:sz w:val="24"/>
          <w:lang w:val="zh-CN"/>
        </w:rPr>
        <w:t>七十七条的有关规定进行处理处罚。</w:t>
      </w:r>
    </w:p>
    <w:p w14:paraId="3C3567F6">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1.</w:t>
      </w:r>
      <w:r>
        <w:rPr>
          <w:rFonts w:hint="eastAsia" w:ascii="宋体" w:hAnsi="宋体" w:eastAsia="宋体" w:cs="仿宋_GB2312"/>
          <w:b/>
          <w:color w:val="auto"/>
          <w:kern w:val="0"/>
          <w:sz w:val="24"/>
          <w:lang w:val="zh-CN"/>
        </w:rPr>
        <w:t>对评审委会员的纪律要求</w:t>
      </w:r>
    </w:p>
    <w:p w14:paraId="097513BC">
      <w:pPr>
        <w:pStyle w:val="33"/>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2BFB3182">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2.</w:t>
      </w:r>
      <w:r>
        <w:rPr>
          <w:rFonts w:hint="eastAsia" w:ascii="宋体" w:hAnsi="宋体" w:eastAsia="宋体" w:cs="仿宋_GB2312"/>
          <w:b/>
          <w:color w:val="auto"/>
          <w:kern w:val="0"/>
          <w:sz w:val="24"/>
          <w:lang w:val="zh-CN"/>
        </w:rPr>
        <w:t>对与评审活动有关的工作人员的纪律要求</w:t>
      </w:r>
    </w:p>
    <w:p w14:paraId="3EC8C69E">
      <w:pPr>
        <w:pStyle w:val="33"/>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5E4D8FC">
      <w:pPr>
        <w:pStyle w:val="33"/>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3.</w:t>
      </w:r>
      <w:r>
        <w:rPr>
          <w:rFonts w:hint="eastAsia" w:ascii="宋体" w:hAnsi="宋体" w:eastAsia="宋体" w:cs="仿宋_GB2312"/>
          <w:b/>
          <w:color w:val="auto"/>
          <w:kern w:val="0"/>
          <w:sz w:val="24"/>
          <w:lang w:val="zh-CN"/>
        </w:rPr>
        <w:t>质疑与投诉</w:t>
      </w:r>
    </w:p>
    <w:p w14:paraId="25784BBB">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0B285DE9">
      <w:pPr>
        <w:pStyle w:val="33"/>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仿宋_GB2312"/>
          <w:color w:val="auto"/>
          <w:kern w:val="0"/>
          <w:sz w:val="24"/>
        </w:rPr>
        <w:t>采购办</w:t>
      </w:r>
      <w:r>
        <w:rPr>
          <w:rFonts w:hint="eastAsia" w:ascii="宋体" w:hAnsi="宋体" w:eastAsia="宋体" w:cs="仿宋_GB2312"/>
          <w:color w:val="auto"/>
          <w:kern w:val="0"/>
          <w:sz w:val="24"/>
          <w:lang w:val="zh-CN"/>
        </w:rPr>
        <w:t>投诉。</w:t>
      </w:r>
    </w:p>
    <w:p w14:paraId="5FCF3C22">
      <w:pPr>
        <w:pStyle w:val="33"/>
        <w:jc w:val="center"/>
        <w:rPr>
          <w:rFonts w:ascii="宋体" w:hAnsi="宋体" w:eastAsia="宋体" w:cs="仿宋_GB2312"/>
          <w:b/>
          <w:color w:val="auto"/>
          <w:kern w:val="0"/>
          <w:sz w:val="36"/>
          <w:szCs w:val="36"/>
          <w:lang w:val="zh-CN"/>
        </w:rPr>
      </w:pPr>
    </w:p>
    <w:p w14:paraId="286E9203">
      <w:pPr>
        <w:pStyle w:val="33"/>
        <w:jc w:val="center"/>
        <w:rPr>
          <w:rFonts w:ascii="宋体" w:hAnsi="宋体" w:eastAsia="宋体" w:cs="仿宋_GB2312"/>
          <w:b/>
          <w:color w:val="auto"/>
          <w:kern w:val="0"/>
          <w:sz w:val="36"/>
          <w:szCs w:val="36"/>
          <w:lang w:val="zh-CN"/>
        </w:rPr>
      </w:pPr>
    </w:p>
    <w:p w14:paraId="7B09BC42">
      <w:pPr>
        <w:pStyle w:val="33"/>
        <w:jc w:val="center"/>
        <w:rPr>
          <w:rFonts w:ascii="宋体" w:hAnsi="宋体" w:eastAsia="宋体" w:cs="仿宋_GB2312"/>
          <w:b/>
          <w:color w:val="auto"/>
          <w:kern w:val="0"/>
          <w:sz w:val="36"/>
          <w:szCs w:val="36"/>
          <w:lang w:val="zh-CN"/>
        </w:rPr>
      </w:pPr>
    </w:p>
    <w:p w14:paraId="698FC753">
      <w:pPr>
        <w:rPr>
          <w:rFonts w:hint="eastAsia" w:ascii="宋体" w:hAnsi="宋体" w:cs="宋体"/>
          <w:b/>
          <w:szCs w:val="21"/>
        </w:rPr>
      </w:pPr>
    </w:p>
    <w:p w14:paraId="04504C6B">
      <w:pPr>
        <w:sectPr>
          <w:headerReference r:id="rId8" w:type="default"/>
          <w:footerReference r:id="rId9" w:type="default"/>
          <w:pgSz w:w="12240" w:h="15840"/>
          <w:pgMar w:top="1400" w:right="1720" w:bottom="1120" w:left="1720" w:header="0" w:footer="921" w:gutter="0"/>
          <w:pgNumType w:fmt="decimal" w:start="1"/>
          <w:cols w:space="720" w:num="1"/>
        </w:sectPr>
      </w:pPr>
    </w:p>
    <w:p w14:paraId="3F77BFC2">
      <w:pPr>
        <w:pStyle w:val="3"/>
        <w:spacing w:before="0" w:after="0" w:line="240" w:lineRule="auto"/>
        <w:rPr>
          <w:rFonts w:ascii="宋体" w:hAnsi="宋体" w:eastAsia="宋体" w:cs="微软雅黑"/>
          <w:sz w:val="21"/>
          <w:szCs w:val="21"/>
        </w:rPr>
      </w:pPr>
      <w:bookmarkStart w:id="26" w:name="_Toc19574"/>
      <w:r>
        <w:rPr>
          <w:rFonts w:hint="eastAsia" w:ascii="宋体" w:hAnsi="宋体" w:eastAsia="宋体" w:cs="Arial"/>
          <w:b/>
          <w:bCs/>
          <w:color w:val="000000"/>
          <w:sz w:val="21"/>
          <w:szCs w:val="21"/>
          <w:lang w:val="zh-CN"/>
        </w:rPr>
        <w:t>政府采购相关政策要求</w:t>
      </w:r>
      <w:bookmarkEnd w:id="26"/>
    </w:p>
    <w:p w14:paraId="66D39A2A">
      <w:pPr>
        <w:autoSpaceDE w:val="0"/>
        <w:autoSpaceDN w:val="0"/>
        <w:adjustRightInd w:val="0"/>
        <w:spacing w:line="440" w:lineRule="exact"/>
        <w:ind w:firstLine="420" w:firstLineChars="200"/>
        <w:jc w:val="left"/>
        <w:rPr>
          <w:rFonts w:hint="eastAsia" w:ascii="宋体" w:hAnsi="宋体" w:cs="宋体"/>
          <w:b/>
          <w:szCs w:val="18"/>
        </w:rPr>
      </w:pPr>
      <w:r>
        <w:rPr>
          <w:rFonts w:hint="eastAsia" w:ascii="宋体" w:hAnsi="宋体" w:cs="宋体"/>
          <w:szCs w:val="18"/>
        </w:rPr>
        <w:t>1.根据《政府采购促进中小企业发展管理办法》（财库〔</w:t>
      </w:r>
      <w:r>
        <w:rPr>
          <w:rFonts w:hint="eastAsia" w:ascii="宋体" w:hAnsi="宋体" w:cs="宋体"/>
          <w:szCs w:val="18"/>
          <w:lang w:eastAsia="zh-CN"/>
        </w:rPr>
        <w:t>2021</w:t>
      </w:r>
      <w:r>
        <w:rPr>
          <w:rFonts w:hint="eastAsia" w:ascii="宋体" w:hAnsi="宋体" w:cs="宋体"/>
          <w:szCs w:val="18"/>
        </w:rPr>
        <w:t>〕46号文件）、</w:t>
      </w:r>
      <w:r>
        <w:rPr>
          <w:rFonts w:hint="eastAsia" w:ascii="宋体" w:hAnsi="宋体"/>
          <w:szCs w:val="21"/>
        </w:rPr>
        <w:t>《关于进一步加大政府采购支持中小企业力度的通知》（财库〔2022〕19号）</w:t>
      </w:r>
      <w:r>
        <w:rPr>
          <w:rFonts w:hint="eastAsia" w:ascii="宋体" w:hAnsi="宋体" w:cs="宋体"/>
          <w:szCs w:val="18"/>
        </w:rPr>
        <w:t>的规定</w:t>
      </w:r>
      <w:r>
        <w:rPr>
          <w:rFonts w:hint="eastAsia" w:ascii="宋体" w:hAnsi="宋体" w:cs="宋体"/>
          <w:b/>
          <w:szCs w:val="18"/>
        </w:rPr>
        <w:t>，执行价格评审优惠的扶持政策</w:t>
      </w:r>
      <w:r>
        <w:rPr>
          <w:rFonts w:hint="eastAsia" w:ascii="宋体" w:hAnsi="宋体"/>
          <w:szCs w:val="21"/>
        </w:rPr>
        <w:t>，对小型和微型企业供应商产品的价格给予10%的扣除，用扣除后的价格参与评审。</w:t>
      </w:r>
      <w:r>
        <w:rPr>
          <w:rFonts w:hint="eastAsia" w:ascii="宋体" w:hAnsi="宋体" w:cs="宋体"/>
          <w:b/>
          <w:szCs w:val="18"/>
        </w:rPr>
        <w:t>中小企业参加政府采购活动，应当出具本办法规定的《中小企业声明函》。</w:t>
      </w:r>
    </w:p>
    <w:p w14:paraId="20AEC400">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0A88B299">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如果一个采购项目或采购包含有多个采购标的的，则每个采购标的均应由中小企业制造,才享受中小微企业政策。</w:t>
      </w:r>
    </w:p>
    <w:p w14:paraId="7A1F871B">
      <w:pPr>
        <w:autoSpaceDE w:val="0"/>
        <w:autoSpaceDN w:val="0"/>
        <w:adjustRightInd w:val="0"/>
        <w:spacing w:line="400" w:lineRule="exact"/>
        <w:ind w:firstLine="420" w:firstLineChars="200"/>
        <w:rPr>
          <w:rFonts w:ascii="宋体" w:hAnsi="宋体" w:cs="宋体"/>
          <w:b/>
          <w:bCs/>
          <w:szCs w:val="18"/>
        </w:rPr>
      </w:pPr>
      <w:r>
        <w:rPr>
          <w:rFonts w:hint="eastAsia" w:ascii="宋体" w:hAnsi="宋体" w:cs="宋体"/>
          <w:szCs w:val="18"/>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b/>
          <w:bCs/>
          <w:szCs w:val="18"/>
        </w:rPr>
        <w:t xml:space="preserve">监狱企业参加政府采购活动时，应当提供由省级以上监狱管理局、戒毒管理局（含新疆生产建设兵团）出具的属于监狱企业的证明文件。 </w:t>
      </w:r>
    </w:p>
    <w:p w14:paraId="01D53C14">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cs="宋体"/>
          <w:b/>
          <w:bCs/>
          <w:szCs w:val="18"/>
        </w:rPr>
        <w:t>符合条件的残疾人福利性单位在参加政府采购活动时，应当提供财库〔2017〕141号文规定的《残疾人福利性单位声明函》，并对声明的真实性负责。</w:t>
      </w:r>
      <w:r>
        <w:rPr>
          <w:rFonts w:hint="eastAsia" w:ascii="宋体" w:hAnsi="宋体" w:cs="宋体"/>
          <w:szCs w:val="18"/>
        </w:rPr>
        <w:t>残疾人福利性单位属于小型、微型企业的，不重复享受政策。</w:t>
      </w:r>
    </w:p>
    <w:p w14:paraId="0BAB57D5">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lang w:eastAsia="zh-CN"/>
        </w:rPr>
        <w:t>2021</w:t>
      </w:r>
      <w:r>
        <w:rPr>
          <w:rFonts w:hint="eastAsia" w:ascii="宋体" w:hAnsi="宋体" w:cs="宋体"/>
          <w:szCs w:val="18"/>
        </w:rPr>
        <w:t xml:space="preserve"> 年第 16 号文件）》；</w:t>
      </w:r>
    </w:p>
    <w:p w14:paraId="574C5353">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lang w:eastAsia="zh-CN"/>
        </w:rPr>
        <w:t>2021</w:t>
      </w:r>
      <w:r>
        <w:rPr>
          <w:rFonts w:hint="eastAsia" w:ascii="宋体" w:hAnsi="宋体" w:cs="宋体"/>
          <w:szCs w:val="18"/>
        </w:rPr>
        <w:t xml:space="preserve"> 年第 16 号文件）》。” </w:t>
      </w:r>
    </w:p>
    <w:p w14:paraId="0A699553">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46125C7">
      <w:pPr>
        <w:autoSpaceDE w:val="0"/>
        <w:autoSpaceDN w:val="0"/>
        <w:adjustRightInd w:val="0"/>
        <w:spacing w:line="440" w:lineRule="exact"/>
        <w:ind w:firstLine="420" w:firstLineChars="200"/>
        <w:jc w:val="left"/>
        <w:rPr>
          <w:rFonts w:hint="eastAsia" w:ascii="宋体" w:hAnsi="宋体" w:cs="宋体"/>
          <w:szCs w:val="18"/>
        </w:rPr>
      </w:pPr>
      <w:r>
        <w:rPr>
          <w:rFonts w:hint="eastAsia" w:ascii="宋体" w:hAnsi="宋体" w:cs="宋体"/>
          <w:szCs w:val="18"/>
        </w:rPr>
        <w:t>5.投标产品同时列入上述多个清单的，将上述规定的价格扣除比例叠加后计算价格扣除。</w:t>
      </w:r>
    </w:p>
    <w:p w14:paraId="148A13CA">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6、采购项目中如含有计算机，必须预装正版操作系统软件产品，所采购的其他软件必须为正版软件，否则投标无效。</w:t>
      </w:r>
    </w:p>
    <w:p w14:paraId="73E50380">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4DD1A092">
      <w:pPr>
        <w:spacing w:line="440" w:lineRule="exact"/>
        <w:outlineLvl w:val="2"/>
        <w:rPr>
          <w:rFonts w:hint="eastAsia" w:ascii="宋体" w:hAnsi="宋体"/>
          <w:b/>
          <w:color w:val="000000"/>
          <w:sz w:val="28"/>
          <w:szCs w:val="28"/>
          <w:lang w:val="zh-CN"/>
        </w:rPr>
      </w:pPr>
    </w:p>
    <w:p w14:paraId="3A591D3E">
      <w:pPr>
        <w:spacing w:line="440" w:lineRule="exact"/>
        <w:outlineLvl w:val="2"/>
        <w:rPr>
          <w:rFonts w:hint="eastAsia" w:ascii="宋体" w:hAnsi="宋体"/>
          <w:b/>
          <w:color w:val="000000"/>
          <w:sz w:val="28"/>
          <w:szCs w:val="28"/>
          <w:lang w:val="zh-CN"/>
        </w:rPr>
      </w:pPr>
    </w:p>
    <w:p w14:paraId="4836674C">
      <w:pPr>
        <w:spacing w:line="440" w:lineRule="exact"/>
        <w:outlineLvl w:val="2"/>
        <w:rPr>
          <w:rFonts w:hint="eastAsia" w:ascii="宋体" w:hAnsi="宋体"/>
          <w:b/>
          <w:color w:val="000000"/>
          <w:sz w:val="28"/>
          <w:szCs w:val="28"/>
          <w:lang w:val="zh-CN"/>
        </w:rPr>
      </w:pPr>
    </w:p>
    <w:p w14:paraId="5A0BDC98">
      <w:pPr>
        <w:spacing w:line="440" w:lineRule="exact"/>
        <w:outlineLvl w:val="2"/>
        <w:rPr>
          <w:rFonts w:hint="eastAsia" w:ascii="宋体" w:hAnsi="宋体"/>
          <w:b/>
          <w:color w:val="000000"/>
          <w:sz w:val="28"/>
          <w:szCs w:val="28"/>
          <w:lang w:val="zh-CN"/>
        </w:rPr>
      </w:pPr>
    </w:p>
    <w:p w14:paraId="01F105CF">
      <w:pPr>
        <w:spacing w:line="440" w:lineRule="exact"/>
        <w:outlineLvl w:val="2"/>
        <w:rPr>
          <w:rFonts w:hint="eastAsia" w:ascii="宋体" w:hAnsi="宋体"/>
          <w:b/>
          <w:color w:val="000000"/>
          <w:sz w:val="28"/>
          <w:szCs w:val="28"/>
          <w:lang w:val="zh-CN"/>
        </w:rPr>
      </w:pPr>
    </w:p>
    <w:p w14:paraId="48E1E6AF">
      <w:pPr>
        <w:spacing w:line="440" w:lineRule="exact"/>
        <w:outlineLvl w:val="2"/>
        <w:rPr>
          <w:rFonts w:hint="eastAsia" w:ascii="宋体" w:hAnsi="宋体"/>
          <w:b/>
          <w:color w:val="000000"/>
          <w:sz w:val="28"/>
          <w:szCs w:val="28"/>
          <w:lang w:val="zh-CN"/>
        </w:rPr>
      </w:pPr>
    </w:p>
    <w:p w14:paraId="48235A9C">
      <w:pPr>
        <w:spacing w:line="440" w:lineRule="exact"/>
        <w:outlineLvl w:val="2"/>
        <w:rPr>
          <w:rFonts w:hint="eastAsia" w:ascii="宋体" w:hAnsi="宋体"/>
          <w:b/>
          <w:color w:val="000000"/>
          <w:sz w:val="28"/>
          <w:szCs w:val="28"/>
          <w:lang w:val="zh-CN"/>
        </w:rPr>
      </w:pPr>
    </w:p>
    <w:p w14:paraId="1C571ED6">
      <w:pPr>
        <w:spacing w:line="440" w:lineRule="exact"/>
        <w:outlineLvl w:val="2"/>
        <w:rPr>
          <w:rFonts w:hint="eastAsia" w:ascii="宋体" w:hAnsi="宋体"/>
          <w:b/>
          <w:color w:val="000000"/>
          <w:sz w:val="28"/>
          <w:szCs w:val="28"/>
          <w:lang w:val="zh-CN"/>
        </w:rPr>
      </w:pPr>
    </w:p>
    <w:p w14:paraId="30E2C621">
      <w:pPr>
        <w:spacing w:line="440" w:lineRule="exact"/>
        <w:outlineLvl w:val="2"/>
        <w:rPr>
          <w:rFonts w:hint="eastAsia" w:ascii="宋体" w:hAnsi="宋体"/>
          <w:b/>
          <w:color w:val="000000"/>
          <w:sz w:val="28"/>
          <w:szCs w:val="28"/>
          <w:lang w:val="zh-CN"/>
        </w:rPr>
      </w:pPr>
    </w:p>
    <w:p w14:paraId="1BB961EC">
      <w:pPr>
        <w:spacing w:line="440" w:lineRule="exact"/>
        <w:outlineLvl w:val="2"/>
        <w:rPr>
          <w:rFonts w:hint="eastAsia" w:ascii="宋体" w:hAnsi="宋体"/>
          <w:b/>
          <w:color w:val="000000"/>
          <w:sz w:val="28"/>
          <w:szCs w:val="28"/>
          <w:lang w:val="zh-CN"/>
        </w:rPr>
      </w:pPr>
    </w:p>
    <w:p w14:paraId="6D9845F4">
      <w:pPr>
        <w:spacing w:line="440" w:lineRule="exact"/>
        <w:outlineLvl w:val="2"/>
        <w:rPr>
          <w:rFonts w:hint="eastAsia" w:ascii="宋体" w:hAnsi="宋体"/>
          <w:b/>
          <w:color w:val="000000"/>
          <w:sz w:val="28"/>
          <w:szCs w:val="28"/>
          <w:lang w:val="zh-CN"/>
        </w:rPr>
      </w:pPr>
    </w:p>
    <w:p w14:paraId="3A38CC8E">
      <w:pPr>
        <w:spacing w:line="440" w:lineRule="exact"/>
        <w:outlineLvl w:val="2"/>
        <w:rPr>
          <w:rFonts w:hint="eastAsia" w:ascii="宋体" w:hAnsi="宋体"/>
          <w:b/>
          <w:color w:val="000000"/>
          <w:sz w:val="28"/>
          <w:szCs w:val="28"/>
          <w:lang w:val="zh-CN"/>
        </w:rPr>
      </w:pPr>
    </w:p>
    <w:p w14:paraId="7B808108">
      <w:pPr>
        <w:sectPr>
          <w:pgSz w:w="12240" w:h="15840"/>
          <w:pgMar w:top="1400" w:right="1720" w:bottom="1120" w:left="1720" w:header="0" w:footer="921" w:gutter="0"/>
          <w:pgNumType w:fmt="decimal"/>
          <w:cols w:space="720" w:num="1"/>
        </w:sectPr>
      </w:pPr>
    </w:p>
    <w:p w14:paraId="0890C516">
      <w:pPr>
        <w:pStyle w:val="2"/>
        <w:numPr>
          <w:ilvl w:val="0"/>
          <w:numId w:val="1"/>
        </w:numPr>
        <w:bidi w:val="0"/>
        <w:spacing w:line="240" w:lineRule="auto"/>
        <w:jc w:val="center"/>
        <w:rPr>
          <w:sz w:val="36"/>
          <w:szCs w:val="36"/>
          <w:lang w:val="zh-CN"/>
        </w:rPr>
      </w:pPr>
      <w:bookmarkStart w:id="27" w:name="_Toc693"/>
      <w:r>
        <w:rPr>
          <w:rFonts w:hint="eastAsia"/>
          <w:sz w:val="36"/>
          <w:szCs w:val="36"/>
        </w:rPr>
        <w:t>货物采购</w:t>
      </w:r>
      <w:r>
        <w:rPr>
          <w:rFonts w:hint="eastAsia"/>
          <w:sz w:val="36"/>
          <w:szCs w:val="36"/>
          <w:lang w:val="zh-CN"/>
        </w:rPr>
        <w:t>需求</w:t>
      </w:r>
      <w:bookmarkEnd w:id="27"/>
    </w:p>
    <w:tbl>
      <w:tblPr>
        <w:tblStyle w:val="18"/>
        <w:tblW w:w="9454" w:type="dxa"/>
        <w:tblInd w:w="334" w:type="dxa"/>
        <w:tblLayout w:type="fixed"/>
        <w:tblCellMar>
          <w:top w:w="0" w:type="dxa"/>
          <w:left w:w="10" w:type="dxa"/>
          <w:bottom w:w="0" w:type="dxa"/>
          <w:right w:w="10" w:type="dxa"/>
        </w:tblCellMar>
      </w:tblPr>
      <w:tblGrid>
        <w:gridCol w:w="500"/>
        <w:gridCol w:w="925"/>
        <w:gridCol w:w="6895"/>
        <w:gridCol w:w="567"/>
        <w:gridCol w:w="567"/>
      </w:tblGrid>
      <w:tr w14:paraId="73EA69A7">
        <w:tblPrEx>
          <w:tblCellMar>
            <w:top w:w="0" w:type="dxa"/>
            <w:left w:w="10" w:type="dxa"/>
            <w:bottom w:w="0" w:type="dxa"/>
            <w:right w:w="10" w:type="dxa"/>
          </w:tblCellMar>
        </w:tblPrEx>
        <w:trPr>
          <w:trHeight w:val="493" w:hRule="atLeast"/>
          <w:tblHeader/>
        </w:trPr>
        <w:tc>
          <w:tcPr>
            <w:tcW w:w="500" w:type="dxa"/>
            <w:tcBorders>
              <w:top w:val="single" w:color="auto" w:sz="6" w:space="0"/>
              <w:left w:val="single" w:color="auto" w:sz="6" w:space="0"/>
              <w:bottom w:val="single" w:color="auto" w:sz="6" w:space="0"/>
              <w:right w:val="single" w:color="auto" w:sz="6" w:space="0"/>
            </w:tcBorders>
            <w:shd w:val="clear" w:color="auto" w:fill="auto"/>
            <w:vAlign w:val="center"/>
          </w:tcPr>
          <w:p w14:paraId="12E60FB8">
            <w:pPr>
              <w:pStyle w:val="34"/>
              <w:spacing w:line="360" w:lineRule="auto"/>
              <w:rPr>
                <w:rFonts w:hint="eastAsia" w:ascii="宋体" w:hAnsi="宋体" w:eastAsia="宋体" w:cs="宋体"/>
                <w:b/>
                <w:bCs/>
                <w:sz w:val="24"/>
                <w:szCs w:val="24"/>
                <w:lang w:val="zh-CN"/>
              </w:rPr>
            </w:pPr>
            <w:bookmarkStart w:id="28" w:name="_Toc432277440"/>
            <w:bookmarkStart w:id="29" w:name="_Toc432264368"/>
            <w:bookmarkStart w:id="30" w:name="_Toc455565644"/>
            <w:bookmarkStart w:id="31" w:name="_Toc10263"/>
            <w:r>
              <w:rPr>
                <w:rFonts w:hint="eastAsia" w:ascii="宋体" w:hAnsi="宋体" w:eastAsia="宋体" w:cs="宋体"/>
                <w:b/>
                <w:bCs/>
                <w:sz w:val="24"/>
                <w:szCs w:val="24"/>
                <w:lang w:val="zh-CN"/>
              </w:rPr>
              <w:t>序号</w:t>
            </w:r>
          </w:p>
        </w:tc>
        <w:tc>
          <w:tcPr>
            <w:tcW w:w="925" w:type="dxa"/>
            <w:tcBorders>
              <w:top w:val="single" w:color="auto" w:sz="6" w:space="0"/>
              <w:left w:val="nil"/>
              <w:bottom w:val="single" w:color="auto" w:sz="6" w:space="0"/>
              <w:right w:val="single" w:color="auto" w:sz="6" w:space="0"/>
            </w:tcBorders>
            <w:shd w:val="clear" w:color="auto" w:fill="auto"/>
            <w:vAlign w:val="center"/>
          </w:tcPr>
          <w:p w14:paraId="33B213AD">
            <w:pPr>
              <w:pStyle w:val="34"/>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货物名称</w:t>
            </w:r>
          </w:p>
        </w:tc>
        <w:tc>
          <w:tcPr>
            <w:tcW w:w="6895" w:type="dxa"/>
            <w:tcBorders>
              <w:top w:val="single" w:color="auto" w:sz="6" w:space="0"/>
              <w:left w:val="nil"/>
              <w:bottom w:val="single" w:color="auto" w:sz="6" w:space="0"/>
              <w:right w:val="single" w:color="auto" w:sz="6" w:space="0"/>
            </w:tcBorders>
            <w:shd w:val="clear" w:color="auto" w:fill="auto"/>
            <w:vAlign w:val="center"/>
          </w:tcPr>
          <w:p w14:paraId="04758DC3">
            <w:pPr>
              <w:pStyle w:val="34"/>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主要功能配置及技术指标要求</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1CD95CD6">
            <w:pPr>
              <w:pStyle w:val="34"/>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数量</w:t>
            </w:r>
          </w:p>
        </w:tc>
        <w:tc>
          <w:tcPr>
            <w:tcW w:w="567" w:type="dxa"/>
            <w:tcBorders>
              <w:top w:val="single" w:color="auto" w:sz="6" w:space="0"/>
              <w:left w:val="nil"/>
              <w:bottom w:val="single" w:color="auto" w:sz="6" w:space="0"/>
              <w:right w:val="single" w:color="auto" w:sz="6" w:space="0"/>
            </w:tcBorders>
            <w:shd w:val="clear" w:color="auto" w:fill="auto"/>
            <w:vAlign w:val="center"/>
          </w:tcPr>
          <w:p w14:paraId="29D0ADC3">
            <w:pPr>
              <w:pStyle w:val="34"/>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数量单位</w:t>
            </w:r>
          </w:p>
        </w:tc>
      </w:tr>
      <w:tr w14:paraId="5677F22A">
        <w:tblPrEx>
          <w:tblCellMar>
            <w:top w:w="0" w:type="dxa"/>
            <w:left w:w="10" w:type="dxa"/>
            <w:bottom w:w="0" w:type="dxa"/>
            <w:right w:w="10" w:type="dxa"/>
          </w:tblCellMar>
        </w:tblPrEx>
        <w:trPr>
          <w:trHeight w:val="495" w:hRule="atLeast"/>
        </w:trPr>
        <w:tc>
          <w:tcPr>
            <w:tcW w:w="500" w:type="dxa"/>
            <w:tcBorders>
              <w:top w:val="single" w:color="auto" w:sz="6" w:space="0"/>
              <w:left w:val="single" w:color="auto" w:sz="6" w:space="0"/>
              <w:bottom w:val="single" w:color="auto" w:sz="6" w:space="0"/>
              <w:right w:val="single" w:color="auto" w:sz="6" w:space="0"/>
            </w:tcBorders>
            <w:vAlign w:val="center"/>
          </w:tcPr>
          <w:p w14:paraId="0B8B5617">
            <w:pPr>
              <w:pStyle w:val="34"/>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925" w:type="dxa"/>
            <w:tcBorders>
              <w:top w:val="single" w:color="auto" w:sz="6" w:space="0"/>
              <w:left w:val="nil"/>
              <w:bottom w:val="single" w:color="auto" w:sz="6" w:space="0"/>
              <w:right w:val="single" w:color="auto" w:sz="6" w:space="0"/>
            </w:tcBorders>
            <w:vAlign w:val="center"/>
          </w:tcPr>
          <w:p w14:paraId="2FB0263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教室智能主机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1A709408">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1.CPU不低于高性能SoC八核心处理器，最高主频可达2.4GHz；</w:t>
            </w:r>
          </w:p>
          <w:p w14:paraId="6BEBB3E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2.存储≥128GB EMMC；</w:t>
            </w:r>
          </w:p>
          <w:p w14:paraId="4C6152D9">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3.内存≥4GB LPDDR4；</w:t>
            </w:r>
          </w:p>
          <w:p w14:paraId="4CB43602">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4.支持对教室空间区域及教师活动轨迹进行划分识别，并且可以结合活动轨迹数据解析教师在课堂各区域的停留时间占比；</w:t>
            </w:r>
          </w:p>
          <w:p w14:paraId="3888C923">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5.支持识别课堂中学生听讲、读写、站立、举手等行为并实时记录统计呈现；</w:t>
            </w:r>
          </w:p>
          <w:p w14:paraId="7299187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6.支持对学生脸部表情进行采样识别学生情绪，分析并记录课堂进程中学生的情绪变化曲线；</w:t>
            </w:r>
          </w:p>
          <w:p w14:paraId="140C2538">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7.支持通过AI人脸识别算法对课堂中的学生进行定位识别，实现无感考勤签到；</w:t>
            </w:r>
          </w:p>
        </w:tc>
        <w:tc>
          <w:tcPr>
            <w:tcW w:w="567" w:type="dxa"/>
            <w:tcBorders>
              <w:top w:val="single" w:color="auto" w:sz="6" w:space="0"/>
              <w:left w:val="single" w:color="auto" w:sz="6" w:space="0"/>
              <w:bottom w:val="single" w:color="auto" w:sz="6" w:space="0"/>
              <w:right w:val="single" w:color="auto" w:sz="6" w:space="0"/>
            </w:tcBorders>
            <w:vAlign w:val="center"/>
          </w:tcPr>
          <w:p w14:paraId="66905F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10 </w:t>
            </w:r>
          </w:p>
        </w:tc>
        <w:tc>
          <w:tcPr>
            <w:tcW w:w="567" w:type="dxa"/>
            <w:tcBorders>
              <w:top w:val="single" w:color="auto" w:sz="6" w:space="0"/>
              <w:left w:val="nil"/>
              <w:bottom w:val="single" w:color="auto" w:sz="6" w:space="0"/>
              <w:right w:val="single" w:color="auto" w:sz="6" w:space="0"/>
            </w:tcBorders>
            <w:vAlign w:val="center"/>
          </w:tcPr>
          <w:p w14:paraId="73070BF1">
            <w:pPr>
              <w:pStyle w:val="34"/>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r>
      <w:tr w14:paraId="0A5B436C">
        <w:tblPrEx>
          <w:tblCellMar>
            <w:top w:w="0" w:type="dxa"/>
            <w:left w:w="10" w:type="dxa"/>
            <w:bottom w:w="0" w:type="dxa"/>
            <w:right w:w="10" w:type="dxa"/>
          </w:tblCellMar>
        </w:tblPrEx>
        <w:trPr>
          <w:trHeight w:val="476" w:hRule="atLeast"/>
        </w:trPr>
        <w:tc>
          <w:tcPr>
            <w:tcW w:w="500" w:type="dxa"/>
            <w:tcBorders>
              <w:top w:val="nil"/>
              <w:left w:val="single" w:color="auto" w:sz="6" w:space="0"/>
              <w:bottom w:val="single" w:color="auto" w:sz="6" w:space="0"/>
              <w:right w:val="single" w:color="auto" w:sz="6" w:space="0"/>
            </w:tcBorders>
            <w:vAlign w:val="center"/>
          </w:tcPr>
          <w:p w14:paraId="082D2935">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925" w:type="dxa"/>
            <w:tcBorders>
              <w:top w:val="nil"/>
              <w:left w:val="nil"/>
              <w:bottom w:val="single" w:color="auto" w:sz="6" w:space="0"/>
              <w:right w:val="single" w:color="auto" w:sz="6" w:space="0"/>
            </w:tcBorders>
            <w:vAlign w:val="center"/>
          </w:tcPr>
          <w:p w14:paraId="3CD54A8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拾音话筒</w:t>
            </w:r>
          </w:p>
        </w:tc>
        <w:tc>
          <w:tcPr>
            <w:tcW w:w="6895" w:type="dxa"/>
            <w:tcBorders>
              <w:top w:val="nil"/>
              <w:left w:val="nil"/>
              <w:bottom w:val="single" w:color="auto" w:sz="6" w:space="0"/>
              <w:right w:val="single" w:color="auto" w:sz="6" w:space="0"/>
            </w:tcBorders>
            <w:shd w:val="clear" w:color="auto" w:fill="auto"/>
            <w:vAlign w:val="center"/>
          </w:tcPr>
          <w:p w14:paraId="23892B8E">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1.指向性：超心型</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2.频率响应：40Hz—16kHz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3.灵敏度≥-7dB±1dB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4.最大声压级≥110dB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5.信噪比≥62dB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6.动态范围≥78.5dB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7.使用电源：麦克风一线通供电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8.输出接口：RJ45，数字音频接口</w:t>
            </w:r>
          </w:p>
        </w:tc>
        <w:tc>
          <w:tcPr>
            <w:tcW w:w="567" w:type="dxa"/>
            <w:tcBorders>
              <w:top w:val="single" w:color="auto" w:sz="6" w:space="0"/>
              <w:left w:val="single" w:color="auto" w:sz="6" w:space="0"/>
              <w:bottom w:val="single" w:color="auto" w:sz="6" w:space="0"/>
              <w:right w:val="single" w:color="auto" w:sz="6" w:space="0"/>
            </w:tcBorders>
            <w:vAlign w:val="center"/>
          </w:tcPr>
          <w:p w14:paraId="0E31560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30</w:t>
            </w:r>
          </w:p>
        </w:tc>
        <w:tc>
          <w:tcPr>
            <w:tcW w:w="567" w:type="dxa"/>
            <w:tcBorders>
              <w:top w:val="single" w:color="auto" w:sz="6" w:space="0"/>
              <w:left w:val="single" w:color="auto" w:sz="6" w:space="0"/>
              <w:bottom w:val="single" w:color="auto" w:sz="6" w:space="0"/>
              <w:right w:val="single" w:color="auto" w:sz="6" w:space="0"/>
            </w:tcBorders>
            <w:vAlign w:val="center"/>
          </w:tcPr>
          <w:p w14:paraId="30B6A64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支</w:t>
            </w:r>
          </w:p>
        </w:tc>
      </w:tr>
      <w:tr w14:paraId="0B2180E4">
        <w:tblPrEx>
          <w:tblCellMar>
            <w:top w:w="0" w:type="dxa"/>
            <w:left w:w="10" w:type="dxa"/>
            <w:bottom w:w="0" w:type="dxa"/>
            <w:right w:w="10" w:type="dxa"/>
          </w:tblCellMar>
        </w:tblPrEx>
        <w:trPr>
          <w:trHeight w:val="568" w:hRule="atLeast"/>
        </w:trPr>
        <w:tc>
          <w:tcPr>
            <w:tcW w:w="500" w:type="dxa"/>
            <w:tcBorders>
              <w:top w:val="single" w:color="auto" w:sz="6" w:space="0"/>
              <w:left w:val="single" w:color="auto" w:sz="6" w:space="0"/>
              <w:bottom w:val="single" w:color="auto" w:sz="6" w:space="0"/>
              <w:right w:val="single" w:color="auto" w:sz="6" w:space="0"/>
            </w:tcBorders>
            <w:vAlign w:val="center"/>
          </w:tcPr>
          <w:p w14:paraId="4B80ABB3">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925" w:type="dxa"/>
            <w:tcBorders>
              <w:top w:val="single" w:color="auto" w:sz="6" w:space="0"/>
              <w:left w:val="nil"/>
              <w:bottom w:val="single" w:color="auto" w:sz="6" w:space="0"/>
              <w:right w:val="single" w:color="auto" w:sz="6" w:space="0"/>
            </w:tcBorders>
            <w:vAlign w:val="center"/>
          </w:tcPr>
          <w:p w14:paraId="5DB85B1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常态录播主机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3F117C7C">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一、整体设计</w:t>
            </w:r>
          </w:p>
          <w:p w14:paraId="1CE17D83">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1整体功能:高度集成视频录制、自动跟踪导播、视音频互动、实时直播、音频处理功能。支持扩展基于计算机视觉CV技术的AI师生课堂行为分析；支持拓展基于课堂语音识别 能力的AI教学语音分析功能；支持扩展基于深度学习算法与图像处理能力的AI板书增强功能。</w:t>
            </w:r>
          </w:p>
          <w:p w14:paraId="1198C39D">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2.嵌入式架构的录播主机应具有环保特性，需采用不高于DC60V的电压供电，整机正常工作状态下功耗不超过50W；</w:t>
            </w:r>
          </w:p>
          <w:p w14:paraId="2C951A47">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3.主机支持≥4路D-Video输入、≥2路HDMI 输入；≥2路HDMI 输出，且输入输出分辨率均支持1080P@30fps；</w:t>
            </w:r>
          </w:p>
          <w:p w14:paraId="6F1DF121">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4.支持连接摄像机与主机之间通过一根双绞线进行供电、控制、视频信号同传，不接受使用转接器的方式；</w:t>
            </w:r>
          </w:p>
          <w:p w14:paraId="6AB868EF">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5.主机支持≥2路3.5mm线性音频模拟信号输入接口；≥2路3.5mm线性音频输出接口；≥6路数字音频Digital Mic输入接口；</w:t>
            </w:r>
          </w:p>
          <w:p w14:paraId="3F9E9308">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6.主机支持≥2路Console控制接口（RJ45），支持RS232串行通信协议进行外接控制；≥2路USB 接口，可用于连接U盘等外设；</w:t>
            </w:r>
          </w:p>
          <w:p w14:paraId="417B7D90">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7.主机支持音频“一线通”功能，数字音频输入Digtital mic仅通过一条双绞线即可通过RJ45接口同时实现数字音频信号的采集以及数字麦克风的供电，实现音频信号的高品质、抗干扰稳定传输；</w:t>
            </w:r>
          </w:p>
          <w:p w14:paraId="398CC71E">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8.主机兼容标准H.264视频编解码能力，要求支持1080P@30fps、720P@30fps，以及AAC音频编解码协议标准且内置音频处理功能；</w:t>
            </w:r>
          </w:p>
          <w:p w14:paraId="68BFA083">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9.主机具备标准RJ45网络接口，支持100/1000M网络自适应以及IPv4、IPv6双协议栈；</w:t>
            </w:r>
          </w:p>
          <w:p w14:paraId="7ECA822A">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10.存储容量：主机储存容量1TB，用于录制视频文件的本地存储；</w:t>
            </w:r>
          </w:p>
        </w:tc>
        <w:tc>
          <w:tcPr>
            <w:tcW w:w="567" w:type="dxa"/>
            <w:tcBorders>
              <w:top w:val="single" w:color="auto" w:sz="6" w:space="0"/>
              <w:left w:val="single" w:color="auto" w:sz="6" w:space="0"/>
              <w:bottom w:val="single" w:color="auto" w:sz="6" w:space="0"/>
              <w:right w:val="single" w:color="auto" w:sz="6" w:space="0"/>
            </w:tcBorders>
            <w:vAlign w:val="center"/>
          </w:tcPr>
          <w:p w14:paraId="2930AA1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6" w:space="0"/>
              <w:left w:val="single" w:color="auto" w:sz="6" w:space="0"/>
              <w:bottom w:val="single" w:color="auto" w:sz="6" w:space="0"/>
              <w:right w:val="single" w:color="auto" w:sz="6" w:space="0"/>
            </w:tcBorders>
            <w:vAlign w:val="center"/>
          </w:tcPr>
          <w:p w14:paraId="0374F4A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0DB9E8BF">
        <w:tblPrEx>
          <w:tblCellMar>
            <w:top w:w="0" w:type="dxa"/>
            <w:left w:w="10" w:type="dxa"/>
            <w:bottom w:w="0" w:type="dxa"/>
            <w:right w:w="10" w:type="dxa"/>
          </w:tblCellMar>
        </w:tblPrEx>
        <w:trPr>
          <w:trHeight w:val="548" w:hRule="atLeast"/>
        </w:trPr>
        <w:tc>
          <w:tcPr>
            <w:tcW w:w="500" w:type="dxa"/>
            <w:tcBorders>
              <w:top w:val="single" w:color="auto" w:sz="6" w:space="0"/>
              <w:left w:val="single" w:color="auto" w:sz="6" w:space="0"/>
              <w:bottom w:val="single" w:color="auto" w:sz="6" w:space="0"/>
              <w:right w:val="single" w:color="auto" w:sz="6" w:space="0"/>
            </w:tcBorders>
            <w:vAlign w:val="center"/>
          </w:tcPr>
          <w:p w14:paraId="7790B996">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925" w:type="dxa"/>
            <w:tcBorders>
              <w:top w:val="single" w:color="auto" w:sz="6" w:space="0"/>
              <w:left w:val="nil"/>
              <w:bottom w:val="single" w:color="auto" w:sz="6" w:space="0"/>
              <w:right w:val="single" w:color="auto" w:sz="6" w:space="0"/>
            </w:tcBorders>
            <w:vAlign w:val="center"/>
          </w:tcPr>
          <w:p w14:paraId="2A8DAF9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教师高清摄像机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15A62913">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1.传感器：要求采用CMOS类型图像传感器，尺寸≥1/2.5英寸；</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2.像素：有效像素≥800万；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3.变焦：要求支持自动和手动变焦，变焦倍数≥22倍；</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4.云台转动：要求具备机械云台可进行转动跟踪。水平转动速度范围不少于1.0°~ 94.2°/s，垂直转动速度范围不少于1.0°~ 74.8°/s；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5.拍摄视场角：要求水平视场角度范围不少于72.0° ~ 6.1°，垂直视场角度范围不少于43.2° ~ 3.5°；</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6.视频编码：要求支持H.265、H.264高清视频编码协议；</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7.视频输出：要求具备数字视频输出口（RJ45）≥1，HDMI视频输出口≥1；</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8通讯接口：要求具备RS232/RS422≥1；</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9.网络接入：RJ45网络接口≥1，并支持100M/1000M自适应以太网接入与RTSP协议网络视频输出；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10.音频接口：Line in输入口≥1；</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11.USB接口：要求具备USB Type-A≥1；</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12.控制协议：要求采用VISCA标准摄像机控制协议；</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13.一线通：要求与搭配的录播主机连接，可实现摄像机供电、控制以及视频信号传输；</w:t>
            </w:r>
          </w:p>
        </w:tc>
        <w:tc>
          <w:tcPr>
            <w:tcW w:w="567" w:type="dxa"/>
            <w:tcBorders>
              <w:top w:val="single" w:color="auto" w:sz="6" w:space="0"/>
              <w:left w:val="single" w:color="auto" w:sz="6" w:space="0"/>
              <w:bottom w:val="single" w:color="auto" w:sz="6" w:space="0"/>
              <w:right w:val="single" w:color="auto" w:sz="6" w:space="0"/>
            </w:tcBorders>
            <w:vAlign w:val="center"/>
          </w:tcPr>
          <w:p w14:paraId="1742FB3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6" w:space="0"/>
              <w:left w:val="single" w:color="auto" w:sz="6" w:space="0"/>
              <w:bottom w:val="single" w:color="auto" w:sz="6" w:space="0"/>
              <w:right w:val="single" w:color="auto" w:sz="6" w:space="0"/>
            </w:tcBorders>
            <w:vAlign w:val="center"/>
          </w:tcPr>
          <w:p w14:paraId="36C6EB2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03B0E829">
        <w:tblPrEx>
          <w:tblCellMar>
            <w:top w:w="0" w:type="dxa"/>
            <w:left w:w="10" w:type="dxa"/>
            <w:bottom w:w="0" w:type="dxa"/>
            <w:right w:w="10" w:type="dxa"/>
          </w:tblCellMar>
        </w:tblPrEx>
        <w:trPr>
          <w:trHeight w:val="683" w:hRule="atLeast"/>
        </w:trPr>
        <w:tc>
          <w:tcPr>
            <w:tcW w:w="500" w:type="dxa"/>
            <w:tcBorders>
              <w:top w:val="single" w:color="auto" w:sz="6" w:space="0"/>
              <w:left w:val="single" w:color="auto" w:sz="6" w:space="0"/>
              <w:bottom w:val="single" w:color="auto" w:sz="6" w:space="0"/>
              <w:right w:val="single" w:color="auto" w:sz="6" w:space="0"/>
            </w:tcBorders>
            <w:vAlign w:val="center"/>
          </w:tcPr>
          <w:p w14:paraId="711ED596">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925" w:type="dxa"/>
            <w:tcBorders>
              <w:top w:val="single" w:color="auto" w:sz="6" w:space="0"/>
              <w:left w:val="nil"/>
              <w:bottom w:val="single" w:color="auto" w:sz="6" w:space="0"/>
              <w:right w:val="single" w:color="auto" w:sz="6" w:space="0"/>
            </w:tcBorders>
            <w:vAlign w:val="center"/>
          </w:tcPr>
          <w:p w14:paraId="4EBB79D1">
            <w:pPr>
              <w:widowControl/>
              <w:spacing w:line="360" w:lineRule="auto"/>
              <w:jc w:val="center"/>
              <w:textAlignment w:val="center"/>
              <w:rPr>
                <w:rFonts w:hint="eastAsia" w:ascii="宋体" w:hAnsi="宋体" w:eastAsia="宋体" w:cs="宋体"/>
                <w:kern w:val="0"/>
                <w:sz w:val="24"/>
                <w:szCs w:val="24"/>
                <w14:textFill>
                  <w14:gradFill>
                    <w14:gsLst>
                      <w14:gs w14:pos="0">
                        <w14:srgbClr w14:val="FE4444"/>
                      </w14:gs>
                      <w14:gs w14:pos="100000">
                        <w14:srgbClr w14:val="832B2B"/>
                      </w14:gs>
                    </w14:gsLst>
                    <w14:lin w14:ang="0" w14:scaled="0"/>
                  </w14:gradFill>
                </w14:textFill>
              </w:rPr>
            </w:pPr>
            <w:r>
              <w:rPr>
                <w:rFonts w:hint="eastAsia" w:ascii="宋体" w:hAnsi="宋体" w:eastAsia="宋体" w:cs="宋体"/>
                <w:color w:val="000000"/>
                <w:kern w:val="0"/>
                <w:sz w:val="24"/>
                <w:szCs w:val="24"/>
                <w:lang w:bidi="ar"/>
              </w:rPr>
              <w:t>学生高清摄像机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5198BD87">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1.传感器类型：CMOS、1/2.5英寸</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2.采用逐行扫描模式，有效像素不低于800万。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3.采用了2D和基于运动估计的3D降噪算法</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4.最大水平视场角不小于80°，最大垂直视场角不小于50°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5.网络接口：RJ45接口≥1，10/100/1000M自适应</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6.视频接口：D-Video数字视频接口（RJ45）≥1</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7.编码技术：视频H.264/H.265</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8.支持DC12V电源适配器供电与RJ45双绞线供电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9.支持电子云镜技术，单镜头拍摄可输出“全景”、“特写”双信号画面至录播主机选择录制</w:t>
            </w:r>
          </w:p>
        </w:tc>
        <w:tc>
          <w:tcPr>
            <w:tcW w:w="567" w:type="dxa"/>
            <w:tcBorders>
              <w:top w:val="single" w:color="auto" w:sz="6" w:space="0"/>
              <w:left w:val="single" w:color="auto" w:sz="6" w:space="0"/>
              <w:bottom w:val="single" w:color="auto" w:sz="6" w:space="0"/>
              <w:right w:val="single" w:color="auto" w:sz="6" w:space="0"/>
            </w:tcBorders>
            <w:vAlign w:val="center"/>
          </w:tcPr>
          <w:p w14:paraId="403097B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6" w:space="0"/>
              <w:left w:val="single" w:color="auto" w:sz="6" w:space="0"/>
              <w:bottom w:val="single" w:color="auto" w:sz="6" w:space="0"/>
              <w:right w:val="single" w:color="auto" w:sz="6" w:space="0"/>
            </w:tcBorders>
            <w:vAlign w:val="center"/>
          </w:tcPr>
          <w:p w14:paraId="20E0609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765C56B7">
        <w:tblPrEx>
          <w:tblCellMar>
            <w:top w:w="0" w:type="dxa"/>
            <w:left w:w="10" w:type="dxa"/>
            <w:bottom w:w="0" w:type="dxa"/>
            <w:right w:w="10" w:type="dxa"/>
          </w:tblCellMar>
        </w:tblPrEx>
        <w:trPr>
          <w:trHeight w:val="707" w:hRule="atLeast"/>
        </w:trPr>
        <w:tc>
          <w:tcPr>
            <w:tcW w:w="500" w:type="dxa"/>
            <w:tcBorders>
              <w:top w:val="single" w:color="auto" w:sz="6" w:space="0"/>
              <w:left w:val="single" w:color="auto" w:sz="6" w:space="0"/>
              <w:bottom w:val="single" w:color="auto" w:sz="4" w:space="0"/>
              <w:right w:val="single" w:color="auto" w:sz="6" w:space="0"/>
            </w:tcBorders>
            <w:vAlign w:val="center"/>
          </w:tcPr>
          <w:p w14:paraId="5F2080DF">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925" w:type="dxa"/>
            <w:tcBorders>
              <w:top w:val="single" w:color="auto" w:sz="6" w:space="0"/>
              <w:left w:val="nil"/>
              <w:bottom w:val="single" w:color="auto" w:sz="4" w:space="0"/>
              <w:right w:val="single" w:color="auto" w:sz="6" w:space="0"/>
            </w:tcBorders>
            <w:vAlign w:val="center"/>
          </w:tcPr>
          <w:p w14:paraId="521D1F5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服务器</w:t>
            </w:r>
          </w:p>
        </w:tc>
        <w:tc>
          <w:tcPr>
            <w:tcW w:w="6895" w:type="dxa"/>
            <w:tcBorders>
              <w:top w:val="single" w:color="auto" w:sz="6" w:space="0"/>
              <w:left w:val="nil"/>
              <w:bottom w:val="single" w:color="auto" w:sz="4" w:space="0"/>
              <w:right w:val="single" w:color="auto" w:sz="6" w:space="0"/>
            </w:tcBorders>
            <w:vAlign w:val="center"/>
          </w:tcPr>
          <w:p w14:paraId="6924AA05">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1.机架式服务器；</w:t>
            </w:r>
          </w:p>
          <w:p w14:paraId="3E9B6CE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2.CPU：2颗Intel Xeon银牌4310(2.1GHz/12-Core/18MB/120W)Ice lake处理器；</w:t>
            </w:r>
          </w:p>
          <w:p w14:paraId="6BAD2FF5">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3.内存：2条32G/3200MT/s DDR4内存，16个内存插槽； 4.硬盘：1块480G SSD硬盘，3块4T SATA硬盘，12个硬盘位，支持多种不同的硬盘配置，硬盘支持热插拔;</w:t>
            </w:r>
          </w:p>
          <w:p w14:paraId="6E15AEA1">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5.RAID：Raid0/1/5/6/10/50/60-2G缓存，;</w:t>
            </w:r>
          </w:p>
          <w:p w14:paraId="50D95498">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6.网卡：2个千兆电口，2个万兆光口（含光模块）; </w:t>
            </w:r>
          </w:p>
          <w:p w14:paraId="3C8F19AB">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7.PCIe扩展：支持10个PCIe 4.0扩展插槽，支持多种应用；</w:t>
            </w:r>
          </w:p>
          <w:p w14:paraId="58D895C7">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8.风扇：支持N+1冗余；</w:t>
            </w:r>
          </w:p>
          <w:p w14:paraId="07F6D946">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9.电源：2个900W电源，支持1+1冗余；</w:t>
            </w:r>
          </w:p>
          <w:p w14:paraId="23FA0E13">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10.安装套件：含导轨；</w:t>
            </w:r>
          </w:p>
          <w:p w14:paraId="37706584">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11.服务：原厂3年上门更换硬件。</w:t>
            </w:r>
          </w:p>
        </w:tc>
        <w:tc>
          <w:tcPr>
            <w:tcW w:w="567" w:type="dxa"/>
            <w:tcBorders>
              <w:top w:val="single" w:color="auto" w:sz="6" w:space="0"/>
              <w:left w:val="single" w:color="auto" w:sz="6" w:space="0"/>
              <w:bottom w:val="single" w:color="auto" w:sz="4" w:space="0"/>
              <w:right w:val="single" w:color="auto" w:sz="6" w:space="0"/>
            </w:tcBorders>
            <w:vAlign w:val="center"/>
          </w:tcPr>
          <w:p w14:paraId="46C8414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567" w:type="dxa"/>
            <w:tcBorders>
              <w:top w:val="single" w:color="auto" w:sz="6" w:space="0"/>
              <w:left w:val="single" w:color="auto" w:sz="6" w:space="0"/>
              <w:bottom w:val="single" w:color="auto" w:sz="4" w:space="0"/>
              <w:right w:val="single" w:color="auto" w:sz="6" w:space="0"/>
            </w:tcBorders>
            <w:vAlign w:val="center"/>
          </w:tcPr>
          <w:p w14:paraId="180E668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43DCD548">
        <w:tblPrEx>
          <w:tblCellMar>
            <w:top w:w="0" w:type="dxa"/>
            <w:left w:w="10" w:type="dxa"/>
            <w:bottom w:w="0" w:type="dxa"/>
            <w:right w:w="10" w:type="dxa"/>
          </w:tblCellMar>
        </w:tblPrEx>
        <w:trPr>
          <w:trHeight w:val="552" w:hRule="atLeast"/>
        </w:trPr>
        <w:tc>
          <w:tcPr>
            <w:tcW w:w="500" w:type="dxa"/>
            <w:tcBorders>
              <w:top w:val="single" w:color="auto" w:sz="4" w:space="0"/>
              <w:left w:val="single" w:color="auto" w:sz="6" w:space="0"/>
              <w:bottom w:val="single" w:color="auto" w:sz="4" w:space="0"/>
              <w:right w:val="single" w:color="auto" w:sz="6" w:space="0"/>
            </w:tcBorders>
            <w:vAlign w:val="center"/>
          </w:tcPr>
          <w:p w14:paraId="172A15B0">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925" w:type="dxa"/>
            <w:tcBorders>
              <w:top w:val="single" w:color="auto" w:sz="4" w:space="0"/>
              <w:left w:val="nil"/>
              <w:bottom w:val="single" w:color="auto" w:sz="4" w:space="0"/>
              <w:right w:val="single" w:color="auto" w:sz="6" w:space="0"/>
            </w:tcBorders>
            <w:vAlign w:val="center"/>
          </w:tcPr>
          <w:p w14:paraId="0EED135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紧凑型红外教学音箱</w:t>
            </w:r>
          </w:p>
        </w:tc>
        <w:tc>
          <w:tcPr>
            <w:tcW w:w="6895" w:type="dxa"/>
            <w:tcBorders>
              <w:top w:val="single" w:color="auto" w:sz="4" w:space="0"/>
              <w:left w:val="nil"/>
              <w:bottom w:val="single" w:color="auto" w:sz="4" w:space="0"/>
              <w:right w:val="single" w:color="auto" w:sz="6" w:space="0"/>
            </w:tcBorders>
            <w:vAlign w:val="center"/>
          </w:tcPr>
          <w:p w14:paraId="03464EDE">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1.集成数字功放，红外无线接收模块，反馈抑制模块，DSP数字音频处理模块，扬声器于一体，支持多组红外通道同时使用。</w:t>
            </w:r>
          </w:p>
          <w:p w14:paraId="3B4C5685">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采用红外光线进行音频传输，可在室外阳光环境下工作，不串频，无干扰。</w:t>
            </w:r>
          </w:p>
          <w:p w14:paraId="7A9FF04F">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内嵌2个4"扬声器。</w:t>
            </w:r>
          </w:p>
          <w:p w14:paraId="64D2FCEF">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支持多种接口包括不限于线路输入接口1个，混音输出接口1个；话筒独立输出1个等</w:t>
            </w:r>
          </w:p>
          <w:p w14:paraId="0D3E4EF2">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前面板配置中文液晶屏，及时反馈设备状态。</w:t>
            </w:r>
          </w:p>
          <w:p w14:paraId="2A673F88">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 功放频率响应：50Hz~20KHz ±3dB</w:t>
            </w:r>
          </w:p>
          <w:p w14:paraId="55FCFEED">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 失真：≤0.05%</w:t>
            </w:r>
          </w:p>
          <w:p w14:paraId="65CC9E9D">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 信噪比≥78dB(MIC),  ≥80dB(LINE),  ≥98dB(IR MIC)（A计权）</w:t>
            </w:r>
          </w:p>
          <w:p w14:paraId="2F131218">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9. 标配挂墙支架</w:t>
            </w:r>
          </w:p>
        </w:tc>
        <w:tc>
          <w:tcPr>
            <w:tcW w:w="567" w:type="dxa"/>
            <w:tcBorders>
              <w:top w:val="single" w:color="auto" w:sz="4" w:space="0"/>
              <w:left w:val="single" w:color="auto" w:sz="6" w:space="0"/>
              <w:bottom w:val="single" w:color="auto" w:sz="4" w:space="0"/>
              <w:right w:val="single" w:color="auto" w:sz="6" w:space="0"/>
            </w:tcBorders>
            <w:vAlign w:val="center"/>
          </w:tcPr>
          <w:p w14:paraId="62024C9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1DD5884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34070355">
        <w:tblPrEx>
          <w:tblCellMar>
            <w:top w:w="0" w:type="dxa"/>
            <w:left w:w="10" w:type="dxa"/>
            <w:bottom w:w="0" w:type="dxa"/>
            <w:right w:w="10" w:type="dxa"/>
          </w:tblCellMar>
        </w:tblPrEx>
        <w:trPr>
          <w:trHeight w:val="563" w:hRule="atLeast"/>
        </w:trPr>
        <w:tc>
          <w:tcPr>
            <w:tcW w:w="500" w:type="dxa"/>
            <w:tcBorders>
              <w:top w:val="single" w:color="auto" w:sz="4" w:space="0"/>
              <w:left w:val="single" w:color="auto" w:sz="6" w:space="0"/>
              <w:bottom w:val="single" w:color="auto" w:sz="4" w:space="0"/>
              <w:right w:val="single" w:color="auto" w:sz="6" w:space="0"/>
            </w:tcBorders>
            <w:vAlign w:val="center"/>
          </w:tcPr>
          <w:p w14:paraId="2190ACDB">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8</w:t>
            </w:r>
          </w:p>
        </w:tc>
        <w:tc>
          <w:tcPr>
            <w:tcW w:w="925" w:type="dxa"/>
            <w:tcBorders>
              <w:top w:val="single" w:color="auto" w:sz="4" w:space="0"/>
              <w:left w:val="nil"/>
              <w:bottom w:val="single" w:color="auto" w:sz="4" w:space="0"/>
              <w:right w:val="single" w:color="auto" w:sz="6" w:space="0"/>
            </w:tcBorders>
            <w:vAlign w:val="center"/>
          </w:tcPr>
          <w:p w14:paraId="6833AE3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红外话筒</w:t>
            </w:r>
          </w:p>
        </w:tc>
        <w:tc>
          <w:tcPr>
            <w:tcW w:w="6895" w:type="dxa"/>
            <w:tcBorders>
              <w:top w:val="single" w:color="auto" w:sz="4" w:space="0"/>
              <w:left w:val="nil"/>
              <w:bottom w:val="single" w:color="auto" w:sz="4" w:space="0"/>
              <w:right w:val="single" w:color="auto" w:sz="6" w:space="0"/>
            </w:tcBorders>
            <w:vAlign w:val="center"/>
          </w:tcPr>
          <w:p w14:paraId="6A5CBBF8">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话筒采用红外无线传输制式。电容式驻极体音头ECM，双通道设计，可自由调节通道。</w:t>
            </w:r>
          </w:p>
          <w:p w14:paraId="02A40D50">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电池工作时间≥6小时。</w:t>
            </w:r>
          </w:p>
          <w:p w14:paraId="6A9F5EF9">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充电方式：支持直插式磁吸桌面充电器充电。即话筒尾部安装环形磁吸充电金属片，话筒旋转360°，任意角度都可充电。</w:t>
            </w:r>
          </w:p>
          <w:p w14:paraId="7F0B570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话筒具备防止电池短路设计，即：无法将电池反装入话筒内，且在任何电池短路的情况下都不会对设备造成损坏。</w:t>
            </w:r>
          </w:p>
          <w:p w14:paraId="711710A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采用手持式圆柱体形状设计，管体管身全部采用铝合金材质，并具备防滚跌落设计</w:t>
            </w:r>
          </w:p>
          <w:p w14:paraId="33B8F566">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6、承诺三年内话筒丢失免费补送服务。（需提供生产厂家承诺函）</w:t>
            </w:r>
          </w:p>
        </w:tc>
        <w:tc>
          <w:tcPr>
            <w:tcW w:w="567" w:type="dxa"/>
            <w:tcBorders>
              <w:top w:val="single" w:color="auto" w:sz="4" w:space="0"/>
              <w:left w:val="single" w:color="auto" w:sz="6" w:space="0"/>
              <w:bottom w:val="single" w:color="auto" w:sz="4" w:space="0"/>
              <w:right w:val="single" w:color="auto" w:sz="6" w:space="0"/>
            </w:tcBorders>
            <w:vAlign w:val="center"/>
          </w:tcPr>
          <w:p w14:paraId="5E3DDF6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20</w:t>
            </w:r>
          </w:p>
        </w:tc>
        <w:tc>
          <w:tcPr>
            <w:tcW w:w="567" w:type="dxa"/>
            <w:tcBorders>
              <w:top w:val="single" w:color="auto" w:sz="4" w:space="0"/>
              <w:left w:val="single" w:color="auto" w:sz="6" w:space="0"/>
              <w:bottom w:val="single" w:color="auto" w:sz="4" w:space="0"/>
              <w:right w:val="single" w:color="auto" w:sz="6" w:space="0"/>
            </w:tcBorders>
            <w:vAlign w:val="center"/>
          </w:tcPr>
          <w:p w14:paraId="5B42856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4B5D9C50">
        <w:tblPrEx>
          <w:tblCellMar>
            <w:top w:w="0" w:type="dxa"/>
            <w:left w:w="10" w:type="dxa"/>
            <w:bottom w:w="0" w:type="dxa"/>
            <w:right w:w="10" w:type="dxa"/>
          </w:tblCellMar>
        </w:tblPrEx>
        <w:trPr>
          <w:trHeight w:val="543" w:hRule="atLeast"/>
        </w:trPr>
        <w:tc>
          <w:tcPr>
            <w:tcW w:w="500" w:type="dxa"/>
            <w:tcBorders>
              <w:top w:val="single" w:color="auto" w:sz="4" w:space="0"/>
              <w:left w:val="single" w:color="auto" w:sz="6" w:space="0"/>
              <w:bottom w:val="single" w:color="auto" w:sz="4" w:space="0"/>
              <w:right w:val="single" w:color="auto" w:sz="6" w:space="0"/>
            </w:tcBorders>
            <w:vAlign w:val="center"/>
          </w:tcPr>
          <w:p w14:paraId="17C96068">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9</w:t>
            </w:r>
          </w:p>
        </w:tc>
        <w:tc>
          <w:tcPr>
            <w:tcW w:w="925" w:type="dxa"/>
            <w:tcBorders>
              <w:top w:val="single" w:color="auto" w:sz="4" w:space="0"/>
              <w:left w:val="nil"/>
              <w:bottom w:val="single" w:color="auto" w:sz="4" w:space="0"/>
              <w:right w:val="single" w:color="auto" w:sz="6" w:space="0"/>
            </w:tcBorders>
            <w:vAlign w:val="center"/>
          </w:tcPr>
          <w:p w14:paraId="127DE75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充电底座</w:t>
            </w:r>
          </w:p>
        </w:tc>
        <w:tc>
          <w:tcPr>
            <w:tcW w:w="6895" w:type="dxa"/>
            <w:tcBorders>
              <w:top w:val="single" w:color="auto" w:sz="4" w:space="0"/>
              <w:left w:val="nil"/>
              <w:bottom w:val="single" w:color="auto" w:sz="4" w:space="0"/>
              <w:right w:val="single" w:color="auto" w:sz="6" w:space="0"/>
            </w:tcBorders>
            <w:vAlign w:val="center"/>
          </w:tcPr>
          <w:p w14:paraId="3DB09C59">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标配两个充电位，可根据话筒型号自由组合充电孔位，同时支持桌面放置和嵌入式安装两种方式；</w:t>
            </w:r>
          </w:p>
          <w:p w14:paraId="3B6AE490">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充电保护：对不关话筒的情况下可以自动断开内部电路并进行充电。可根据充电指示灯判断充电情况。充电电压电流：DC 5V, 500mA</w:t>
            </w:r>
          </w:p>
          <w:p w14:paraId="0ECF472D">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电池识别保护：能自动识别是否是充电电池，检测到非充电电池会自动断电保护。</w:t>
            </w:r>
          </w:p>
          <w:p w14:paraId="2ACE0017">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4. 同时具备Type-C接口和4P凤凰插口。</w:t>
            </w:r>
          </w:p>
        </w:tc>
        <w:tc>
          <w:tcPr>
            <w:tcW w:w="567" w:type="dxa"/>
            <w:tcBorders>
              <w:top w:val="single" w:color="auto" w:sz="4" w:space="0"/>
              <w:left w:val="single" w:color="auto" w:sz="6" w:space="0"/>
              <w:bottom w:val="single" w:color="auto" w:sz="4" w:space="0"/>
              <w:right w:val="single" w:color="auto" w:sz="6" w:space="0"/>
            </w:tcBorders>
            <w:vAlign w:val="center"/>
          </w:tcPr>
          <w:p w14:paraId="7EF3568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6B20409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1B56E2E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11E0719">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10</w:t>
            </w:r>
          </w:p>
        </w:tc>
        <w:tc>
          <w:tcPr>
            <w:tcW w:w="925" w:type="dxa"/>
            <w:tcBorders>
              <w:top w:val="single" w:color="auto" w:sz="4" w:space="0"/>
              <w:left w:val="nil"/>
              <w:bottom w:val="single" w:color="auto" w:sz="4" w:space="0"/>
              <w:right w:val="single" w:color="auto" w:sz="6" w:space="0"/>
            </w:tcBorders>
            <w:vAlign w:val="center"/>
          </w:tcPr>
          <w:p w14:paraId="2CD3854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电源管理器</w:t>
            </w:r>
          </w:p>
        </w:tc>
        <w:tc>
          <w:tcPr>
            <w:tcW w:w="6895" w:type="dxa"/>
            <w:tcBorders>
              <w:top w:val="single" w:color="auto" w:sz="4" w:space="0"/>
              <w:left w:val="nil"/>
              <w:bottom w:val="single" w:color="auto" w:sz="4" w:space="0"/>
              <w:right w:val="single" w:color="auto" w:sz="6" w:space="0"/>
            </w:tcBorders>
            <w:vAlign w:val="center"/>
          </w:tcPr>
          <w:p w14:paraId="09DA8717">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1.支持≥8通道电源时序打开/关闭，每路动作延时时间：≤1秒，支持远程控制（上电+24V直流信号）8通道电源时序打开/关闭—当电源开关处于off位置时有效。支持配置CH1和CH2通道为受控或不受控状态。</w:t>
            </w:r>
          </w:p>
          <w:p w14:paraId="1F7D3CE6">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2.当远程控制有效时同时控制后板ALARM（报警）端口导通以起到级联控制ALARM（报警）功能。</w:t>
            </w:r>
          </w:p>
          <w:p w14:paraId="2295F83B">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3.单个通道最大负载功率≥2200W，所有通道负载总功率≥6000W。输出连接器：多用途电源插座。</w:t>
            </w:r>
          </w:p>
          <w:p w14:paraId="406DDA23">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4.具有一路及以上USB输出接口。</w:t>
            </w:r>
          </w:p>
        </w:tc>
        <w:tc>
          <w:tcPr>
            <w:tcW w:w="567" w:type="dxa"/>
            <w:tcBorders>
              <w:top w:val="single" w:color="auto" w:sz="4" w:space="0"/>
              <w:left w:val="single" w:color="auto" w:sz="6" w:space="0"/>
              <w:bottom w:val="single" w:color="auto" w:sz="4" w:space="0"/>
              <w:right w:val="single" w:color="auto" w:sz="6" w:space="0"/>
            </w:tcBorders>
            <w:vAlign w:val="center"/>
          </w:tcPr>
          <w:p w14:paraId="2EC7D29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20DE6EA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3AAC5A3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87DAA40">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11</w:t>
            </w:r>
          </w:p>
        </w:tc>
        <w:tc>
          <w:tcPr>
            <w:tcW w:w="925" w:type="dxa"/>
            <w:tcBorders>
              <w:top w:val="single" w:color="auto" w:sz="4" w:space="0"/>
              <w:left w:val="nil"/>
              <w:bottom w:val="single" w:color="auto" w:sz="4" w:space="0"/>
              <w:right w:val="single" w:color="auto" w:sz="6" w:space="0"/>
            </w:tcBorders>
            <w:vAlign w:val="center"/>
          </w:tcPr>
          <w:p w14:paraId="78FFC19D">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六类网线</w:t>
            </w:r>
          </w:p>
        </w:tc>
        <w:tc>
          <w:tcPr>
            <w:tcW w:w="6895" w:type="dxa"/>
            <w:tcBorders>
              <w:top w:val="single" w:color="auto" w:sz="4" w:space="0"/>
              <w:left w:val="nil"/>
              <w:bottom w:val="single" w:color="auto" w:sz="4" w:space="0"/>
              <w:right w:val="single" w:color="auto" w:sz="6" w:space="0"/>
            </w:tcBorders>
            <w:vAlign w:val="center"/>
          </w:tcPr>
          <w:p w14:paraId="2B6BAE77">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导体材质：无氧铜，含铜量≥99.95%</w:t>
            </w:r>
          </w:p>
          <w:p w14:paraId="5D10DCD3">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导体直径：0.55±0.004 mm，23AWG</w:t>
            </w:r>
          </w:p>
          <w:p w14:paraId="6AF4836F">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绝缘材质：高密度聚乙烯(HDPE)</w:t>
            </w:r>
          </w:p>
          <w:p w14:paraId="41633209">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护套材质：环保聚乙烯(PE)</w:t>
            </w:r>
          </w:p>
          <w:p w14:paraId="15834EB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护套颜色:黑色、灰色、蓝色可任选</w:t>
            </w:r>
          </w:p>
          <w:p w14:paraId="696FE5AC">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屏蔽类型: U/UTP</w:t>
            </w:r>
          </w:p>
          <w:p w14:paraId="5E5CBE57">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工作温度: -20~75℃</w:t>
            </w:r>
          </w:p>
        </w:tc>
        <w:tc>
          <w:tcPr>
            <w:tcW w:w="567" w:type="dxa"/>
            <w:tcBorders>
              <w:top w:val="single" w:color="auto" w:sz="4" w:space="0"/>
              <w:left w:val="single" w:color="auto" w:sz="6" w:space="0"/>
              <w:bottom w:val="single" w:color="auto" w:sz="4" w:space="0"/>
              <w:right w:val="single" w:color="auto" w:sz="6" w:space="0"/>
            </w:tcBorders>
            <w:vAlign w:val="center"/>
          </w:tcPr>
          <w:p w14:paraId="1149BDA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4A1105D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箱</w:t>
            </w:r>
          </w:p>
        </w:tc>
      </w:tr>
      <w:tr w14:paraId="38F9FAC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05629C5">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12</w:t>
            </w:r>
          </w:p>
        </w:tc>
        <w:tc>
          <w:tcPr>
            <w:tcW w:w="925" w:type="dxa"/>
            <w:tcBorders>
              <w:top w:val="single" w:color="auto" w:sz="4" w:space="0"/>
              <w:left w:val="nil"/>
              <w:bottom w:val="single" w:color="auto" w:sz="4" w:space="0"/>
              <w:right w:val="single" w:color="auto" w:sz="6" w:space="0"/>
            </w:tcBorders>
            <w:vAlign w:val="center"/>
          </w:tcPr>
          <w:p w14:paraId="66EFFE3C">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24口交换机</w:t>
            </w:r>
          </w:p>
        </w:tc>
        <w:tc>
          <w:tcPr>
            <w:tcW w:w="6895" w:type="dxa"/>
            <w:tcBorders>
              <w:top w:val="single" w:color="auto" w:sz="4" w:space="0"/>
              <w:left w:val="nil"/>
              <w:bottom w:val="single" w:color="auto" w:sz="4" w:space="0"/>
              <w:right w:val="single" w:color="auto" w:sz="6" w:space="0"/>
            </w:tcBorders>
            <w:vAlign w:val="center"/>
          </w:tcPr>
          <w:p w14:paraId="6F25F22E">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交换容量≥ 336Gbps</w:t>
            </w:r>
          </w:p>
          <w:p w14:paraId="1DC8C793">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转发性能 &gt;=96Mpps，24个GE端口+4个千兆光口支持IPv4静态路由、RIP V1/V2、OSPF</w:t>
            </w:r>
          </w:p>
          <w:p w14:paraId="1835F076">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支持IPv6静态路由、RIPng</w:t>
            </w:r>
          </w:p>
        </w:tc>
        <w:tc>
          <w:tcPr>
            <w:tcW w:w="567" w:type="dxa"/>
            <w:tcBorders>
              <w:top w:val="single" w:color="auto" w:sz="4" w:space="0"/>
              <w:left w:val="single" w:color="auto" w:sz="6" w:space="0"/>
              <w:bottom w:val="single" w:color="auto" w:sz="4" w:space="0"/>
              <w:right w:val="single" w:color="auto" w:sz="6" w:space="0"/>
            </w:tcBorders>
            <w:vAlign w:val="center"/>
          </w:tcPr>
          <w:p w14:paraId="0FAF10E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26B2C48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7A9F98B7">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1B4E79B">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13</w:t>
            </w:r>
          </w:p>
        </w:tc>
        <w:tc>
          <w:tcPr>
            <w:tcW w:w="925" w:type="dxa"/>
            <w:tcBorders>
              <w:top w:val="single" w:color="auto" w:sz="4" w:space="0"/>
              <w:left w:val="nil"/>
              <w:bottom w:val="single" w:color="auto" w:sz="4" w:space="0"/>
              <w:right w:val="single" w:color="auto" w:sz="6" w:space="0"/>
            </w:tcBorders>
            <w:vAlign w:val="center"/>
          </w:tcPr>
          <w:p w14:paraId="2A4CD53C">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智能交互书写终端</w:t>
            </w:r>
          </w:p>
        </w:tc>
        <w:tc>
          <w:tcPr>
            <w:tcW w:w="6895" w:type="dxa"/>
            <w:tcBorders>
              <w:top w:val="single" w:color="auto" w:sz="4" w:space="0"/>
              <w:left w:val="nil"/>
              <w:bottom w:val="single" w:color="auto" w:sz="4" w:space="0"/>
              <w:right w:val="single" w:color="auto" w:sz="6" w:space="0"/>
            </w:tcBorders>
            <w:vAlign w:val="center"/>
          </w:tcPr>
          <w:p w14:paraId="319F4C3E">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1、智能书写终端采用主屏、辅屏与读卡器一体化设计；</w:t>
            </w:r>
          </w:p>
          <w:p w14:paraId="473CC5FB">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2、主屏显示尺寸≥23.8英寸；分辨率≥1920x1080；显示比例16：9；对比度≥1000：1；</w:t>
            </w:r>
          </w:p>
          <w:p w14:paraId="018417C3">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3、辅屏显示尺寸≥10.1英寸，分辨率不低于1200x1920；屏幕比例10：16；对比度≥1000：1；采用电容触摸技术；内置Android操作系统，</w:t>
            </w:r>
            <w:r>
              <w:rPr>
                <w:rFonts w:hint="eastAsia" w:ascii="宋体" w:hAnsi="宋体" w:eastAsia="宋体" w:cs="宋体"/>
                <w:color w:val="000000"/>
                <w:kern w:val="0"/>
                <w:sz w:val="24"/>
                <w:szCs w:val="24"/>
                <w:highlight w:val="none"/>
                <w:lang w:bidi="ar"/>
              </w:rPr>
              <w:t>四核</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bidi="ar"/>
              </w:rPr>
              <w:t>1.8G主频处理器，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bidi="ar"/>
              </w:rPr>
              <w:t>16G存储，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bidi="ar"/>
              </w:rPr>
              <w:t>4G内存</w:t>
            </w:r>
            <w:r>
              <w:rPr>
                <w:rFonts w:hint="eastAsia" w:ascii="宋体" w:hAnsi="宋体" w:eastAsia="宋体" w:cs="宋体"/>
                <w:color w:val="000000"/>
                <w:kern w:val="0"/>
                <w:sz w:val="24"/>
                <w:szCs w:val="24"/>
                <w:lang w:bidi="ar"/>
              </w:rPr>
              <w:t>；</w:t>
            </w:r>
          </w:p>
          <w:p w14:paraId="439044B1">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4、整机具备信号显示、书写白板、主屏辅屏互动、物联管控、一键呼叫等功能，满足老师教学时显示画面同步、快捷操作、板书书写、批注及多媒体设备智能控制，老师讲课无需转身背对学生，提高授课效率;</w:t>
            </w:r>
          </w:p>
          <w:p w14:paraId="10A824A1">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5、1路HDMI、1路VGA输入接口；2路USB扩展接口，可接U盘及设备充电；</w:t>
            </w:r>
          </w:p>
          <w:p w14:paraId="1D91E9C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6、配置一支书写笔，采用电磁压感技术，响应快，笔触细腻，书写流畅；</w:t>
            </w:r>
          </w:p>
          <w:p w14:paraId="01C1BD4D">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7、书写主屏功能：</w:t>
            </w:r>
          </w:p>
          <w:p w14:paraId="0087F630">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书写屏与交互控制面板大小屏交互，在交互控制面板上，可以对电脑上打开的程序进行预览，预览内容包括不限于WPS、office、浏览器、文本框、视频播放器等各类应用软件；预览区域可以滑屏翻页；一键可以将预览的内容切换至书写屏上；</w:t>
            </w:r>
          </w:p>
          <w:p w14:paraId="7AFC404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(2)在交互控制面板上可以设置快捷按键，可以一键启动画板、一键启用聚光灯、一键返回桌面；一键截屏等功能；</w:t>
            </w:r>
          </w:p>
          <w:p w14:paraId="3A3B583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(3)可调用PPT批注功能，将当前教学的重点内容进行批注；具备板书功能，老师在画板上可以自由进行涂画和书写，支持颜色、笔迹粗细设置，支持擦除、清空、保存板书等操作；</w:t>
            </w:r>
          </w:p>
          <w:p w14:paraId="11B39D55">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(4)具备聚光灯功能，教师授课时候可将重点内容通过聚光灯功能进行特殊强调，聚光灯可自由调大小；</w:t>
            </w:r>
          </w:p>
          <w:p w14:paraId="32A78292">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(5)具备截屏、录屏功能，截屏、录屏自动保存到本地电脑指定文件目录，便于课后分享给学生；</w:t>
            </w:r>
          </w:p>
          <w:p w14:paraId="5F48F9D2">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8、物联管控功能：</w:t>
            </w:r>
          </w:p>
          <w:p w14:paraId="0DA4E4E1">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(1)控制面板显示背景、操作界面和控制按键可根据用户需求自定义编程配置；支持网络远程配置，支持配置文件云端备份，支持网络云端下发配置和本地下发配置；</w:t>
            </w:r>
          </w:p>
          <w:p w14:paraId="09ED3B52">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(2)支持IP语音对讲功能，具备拾音麦和喇叭；接入IP语音服务器后可实现各教室与控制室IP语音通话功能；</w:t>
            </w:r>
          </w:p>
          <w:p w14:paraId="6D097960">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(3)具备多功能刷卡器，支持 IC 卡、二维读取，可兼容学校一卡通IC卡，配合多媒体智能终端使用，实现刷卡或者刷码开启系统；</w:t>
            </w:r>
          </w:p>
          <w:p w14:paraId="1F8247BF">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9、物联主机功能：</w:t>
            </w:r>
          </w:p>
          <w:p w14:paraId="6407253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（1）、标准机架式设计，带挂耳，可拆卸，适合各类机柜安装；</w:t>
            </w:r>
          </w:p>
          <w:p w14:paraId="012B2C4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（2）、可跨校区、跨网段实现教室设备远程管理，包括：计算机重启、计算机远程桌面、音量调节、扩声音量调节、扩声静音、面板解锁/锁定等功能；支持 H5、APP、微信小程序控制 ；</w:t>
            </w:r>
          </w:p>
          <w:p w14:paraId="704EB1AD">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（3）、音视频接口需求：支持4K高清信号传输；≥1路3.5mm音频输入，≥2路3.5mm立体声音频输出（可输出给功放、录播主机）；接口必须为设备集成，不可外接模块扩展；</w:t>
            </w:r>
          </w:p>
          <w:p w14:paraId="16032CCB">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（4）、控制接口需求：≥1路RS485接口；≧1个Wiegand（韦根）协议读卡器通讯端口；</w:t>
            </w:r>
          </w:p>
          <w:p w14:paraId="12DA18D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（5）、电源接口需求：≥3路220V可控电源插座；≥2路220V幕布控制端口；电源输出≥10A；</w:t>
            </w:r>
          </w:p>
          <w:p w14:paraId="03FA1872">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（6）、具备校园卡卡数据本地存储，≧5万张卡和≧3万条刷卡记录存储，支持断网运行 ；具备课表数据本地存储，支持≧180天每天16节次，可对接教务课表，数据自动同步，支持断网运行；</w:t>
            </w:r>
          </w:p>
        </w:tc>
        <w:tc>
          <w:tcPr>
            <w:tcW w:w="567" w:type="dxa"/>
            <w:tcBorders>
              <w:top w:val="single" w:color="auto" w:sz="4" w:space="0"/>
              <w:left w:val="single" w:color="auto" w:sz="6" w:space="0"/>
              <w:bottom w:val="single" w:color="auto" w:sz="4" w:space="0"/>
              <w:right w:val="single" w:color="auto" w:sz="6" w:space="0"/>
            </w:tcBorders>
            <w:vAlign w:val="center"/>
          </w:tcPr>
          <w:p w14:paraId="009EB92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0FFE68E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06D6BAD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1BBC3A0">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14</w:t>
            </w:r>
          </w:p>
        </w:tc>
        <w:tc>
          <w:tcPr>
            <w:tcW w:w="925" w:type="dxa"/>
            <w:tcBorders>
              <w:top w:val="single" w:color="auto" w:sz="4" w:space="0"/>
              <w:left w:val="nil"/>
              <w:bottom w:val="single" w:color="auto" w:sz="4" w:space="0"/>
              <w:right w:val="single" w:color="auto" w:sz="6" w:space="0"/>
            </w:tcBorders>
            <w:vAlign w:val="center"/>
          </w:tcPr>
          <w:p w14:paraId="3FE48476">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无线投屏器</w:t>
            </w:r>
          </w:p>
        </w:tc>
        <w:tc>
          <w:tcPr>
            <w:tcW w:w="6895" w:type="dxa"/>
            <w:tcBorders>
              <w:top w:val="single" w:color="auto" w:sz="4" w:space="0"/>
              <w:left w:val="nil"/>
              <w:bottom w:val="single" w:color="auto" w:sz="4" w:space="0"/>
              <w:right w:val="single" w:color="auto" w:sz="6" w:space="0"/>
            </w:tcBorders>
            <w:vAlign w:val="center"/>
          </w:tcPr>
          <w:p w14:paraId="65BCDF5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采用主流架构设计，嵌入式Android系统；</w:t>
            </w:r>
          </w:p>
          <w:p w14:paraId="19D160A8">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CPU不低于双核心、双线程，主频≥1.8GHz，三级缓存不低2MB；</w:t>
            </w:r>
          </w:p>
          <w:p w14:paraId="1075C229">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设备内存容量8GB及以上，内置存储128GB及以上；</w:t>
            </w:r>
          </w:p>
          <w:p w14:paraId="10A64A0E">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设备端具有电源按键、录制按键；支持通电后自启动，支持通电以后延时启动，可自定义延迟启动时间，最大可达到300秒的启动延迟。</w:t>
            </w:r>
          </w:p>
          <w:p w14:paraId="5673C68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高清视频接口，其中HDMI IN≥1，HDMI OUT≥1，支持多种输出显示分辨率，最高支持3840*2160分辨率；</w:t>
            </w:r>
          </w:p>
          <w:p w14:paraId="3294729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标准音频接口Line in≥1，Line out≥1；</w:t>
            </w:r>
          </w:p>
          <w:p w14:paraId="03FD48F4">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I/O外设接口，USB 接口≥3；以太网RJ45接口≥3，支持100/1000Mbps自适应；</w:t>
            </w:r>
          </w:p>
          <w:p w14:paraId="26E4654D">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wifi功能，内置天线，支持2.4GHz和5GHz频段；支持 802.11 a/b/g/n/ac多种协议模式，最大工作速率： 1300Mbps；</w:t>
            </w:r>
          </w:p>
          <w:p w14:paraId="18EF5A03">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具备定时重启功能，支持设定每日定时重启，可自定义时间进行设备重启；</w:t>
            </w:r>
          </w:p>
        </w:tc>
        <w:tc>
          <w:tcPr>
            <w:tcW w:w="567" w:type="dxa"/>
            <w:tcBorders>
              <w:top w:val="single" w:color="auto" w:sz="4" w:space="0"/>
              <w:left w:val="single" w:color="auto" w:sz="6" w:space="0"/>
              <w:bottom w:val="single" w:color="auto" w:sz="4" w:space="0"/>
              <w:right w:val="single" w:color="auto" w:sz="6" w:space="0"/>
            </w:tcBorders>
            <w:vAlign w:val="center"/>
          </w:tcPr>
          <w:p w14:paraId="225BDFD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A89D8C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028F9369">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6FC40C4">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15</w:t>
            </w:r>
          </w:p>
        </w:tc>
        <w:tc>
          <w:tcPr>
            <w:tcW w:w="925" w:type="dxa"/>
            <w:tcBorders>
              <w:top w:val="single" w:color="auto" w:sz="4" w:space="0"/>
              <w:left w:val="nil"/>
              <w:bottom w:val="single" w:color="auto" w:sz="4" w:space="0"/>
              <w:right w:val="single" w:color="auto" w:sz="6" w:space="0"/>
            </w:tcBorders>
            <w:vAlign w:val="center"/>
          </w:tcPr>
          <w:p w14:paraId="2F718064">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线材辅料</w:t>
            </w:r>
          </w:p>
        </w:tc>
        <w:tc>
          <w:tcPr>
            <w:tcW w:w="6895" w:type="dxa"/>
            <w:tcBorders>
              <w:top w:val="single" w:color="auto" w:sz="4" w:space="0"/>
              <w:left w:val="nil"/>
              <w:bottom w:val="single" w:color="auto" w:sz="4" w:space="0"/>
              <w:right w:val="single" w:color="auto" w:sz="6" w:space="0"/>
            </w:tcBorders>
            <w:vAlign w:val="center"/>
          </w:tcPr>
          <w:p w14:paraId="1867D2B1">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根据项目实际需求，匹配使用的线材及辅料等。（包括并不限于六类网线跳线、PVC线槽及阻燃管、电源线、VGA线、HDMI线、免焊串口接头、免焊莲花头、免焊3.5mm接头、3.5mm音频滤波器、音频连接线、小型设备机柜、显示终端及音响等支架或挂架等。）</w:t>
            </w:r>
          </w:p>
        </w:tc>
        <w:tc>
          <w:tcPr>
            <w:tcW w:w="567" w:type="dxa"/>
            <w:tcBorders>
              <w:top w:val="single" w:color="auto" w:sz="4" w:space="0"/>
              <w:left w:val="single" w:color="auto" w:sz="6" w:space="0"/>
              <w:bottom w:val="single" w:color="auto" w:sz="4" w:space="0"/>
              <w:right w:val="single" w:color="auto" w:sz="6" w:space="0"/>
            </w:tcBorders>
            <w:vAlign w:val="center"/>
          </w:tcPr>
          <w:p w14:paraId="101E311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0F79A3F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项</w:t>
            </w:r>
          </w:p>
        </w:tc>
      </w:tr>
      <w:tr w14:paraId="11F11F6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A16EA5C">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16</w:t>
            </w:r>
          </w:p>
        </w:tc>
        <w:tc>
          <w:tcPr>
            <w:tcW w:w="925" w:type="dxa"/>
            <w:tcBorders>
              <w:top w:val="single" w:color="auto" w:sz="4" w:space="0"/>
              <w:left w:val="nil"/>
              <w:bottom w:val="single" w:color="auto" w:sz="4" w:space="0"/>
              <w:right w:val="single" w:color="auto" w:sz="6" w:space="0"/>
            </w:tcBorders>
            <w:vAlign w:val="center"/>
          </w:tcPr>
          <w:p w14:paraId="0F0FE315">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技术服务</w:t>
            </w:r>
          </w:p>
        </w:tc>
        <w:tc>
          <w:tcPr>
            <w:tcW w:w="6895" w:type="dxa"/>
            <w:tcBorders>
              <w:top w:val="single" w:color="auto" w:sz="4" w:space="0"/>
              <w:left w:val="nil"/>
              <w:bottom w:val="single" w:color="auto" w:sz="4" w:space="0"/>
              <w:right w:val="single" w:color="auto" w:sz="6" w:space="0"/>
            </w:tcBorders>
            <w:shd w:val="clear" w:color="auto" w:fill="auto"/>
            <w:vAlign w:val="center"/>
          </w:tcPr>
          <w:p w14:paraId="79892892">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1、项目首次实施服务：安排工程师在现场为客户提供端到端的产品规划、安装、调试、测试及验收实施等服务。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2、项目交付使用培训服务：项目交付完成后针对客户提供项目所涵盖软硬件设备及系统日常维护使用培训。</w:t>
            </w:r>
          </w:p>
        </w:tc>
        <w:tc>
          <w:tcPr>
            <w:tcW w:w="567" w:type="dxa"/>
            <w:tcBorders>
              <w:top w:val="single" w:color="auto" w:sz="4" w:space="0"/>
              <w:left w:val="single" w:color="auto" w:sz="6" w:space="0"/>
              <w:bottom w:val="single" w:color="auto" w:sz="4" w:space="0"/>
              <w:right w:val="single" w:color="auto" w:sz="6" w:space="0"/>
            </w:tcBorders>
            <w:vAlign w:val="center"/>
          </w:tcPr>
          <w:p w14:paraId="2876D55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2E63B16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项</w:t>
            </w:r>
          </w:p>
        </w:tc>
      </w:tr>
      <w:tr w14:paraId="681F9613">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28BE0E8">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17</w:t>
            </w:r>
          </w:p>
        </w:tc>
        <w:tc>
          <w:tcPr>
            <w:tcW w:w="925" w:type="dxa"/>
            <w:tcBorders>
              <w:top w:val="single" w:color="auto" w:sz="4" w:space="0"/>
              <w:left w:val="nil"/>
              <w:bottom w:val="single" w:color="auto" w:sz="4" w:space="0"/>
              <w:right w:val="single" w:color="auto" w:sz="6" w:space="0"/>
            </w:tcBorders>
            <w:vAlign w:val="center"/>
          </w:tcPr>
          <w:p w14:paraId="474F1E17">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运维服务</w:t>
            </w:r>
          </w:p>
        </w:tc>
        <w:tc>
          <w:tcPr>
            <w:tcW w:w="6895" w:type="dxa"/>
            <w:tcBorders>
              <w:top w:val="single" w:color="auto" w:sz="4" w:space="0"/>
              <w:left w:val="nil"/>
              <w:bottom w:val="single" w:color="auto" w:sz="4" w:space="0"/>
              <w:right w:val="single" w:color="auto" w:sz="6" w:space="0"/>
            </w:tcBorders>
            <w:vAlign w:val="center"/>
          </w:tcPr>
          <w:p w14:paraId="310B36D9">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派驻一名中级及以上计算机相关专业的工程师，对全校10间常态化智慧教室系统进行日常维护，驻场工程师能够根据学校老师上下班时间在校工作，随时培训教师使用系统和保障教学应用，驻场周期为壹年。</w:t>
            </w:r>
          </w:p>
        </w:tc>
        <w:tc>
          <w:tcPr>
            <w:tcW w:w="567" w:type="dxa"/>
            <w:tcBorders>
              <w:top w:val="single" w:color="auto" w:sz="4" w:space="0"/>
              <w:left w:val="single" w:color="auto" w:sz="6" w:space="0"/>
              <w:bottom w:val="single" w:color="auto" w:sz="4" w:space="0"/>
              <w:right w:val="single" w:color="auto" w:sz="6" w:space="0"/>
            </w:tcBorders>
            <w:vAlign w:val="center"/>
          </w:tcPr>
          <w:p w14:paraId="4547C45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7AECFD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项</w:t>
            </w:r>
          </w:p>
        </w:tc>
      </w:tr>
      <w:tr w14:paraId="7DA4623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3720F46">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18</w:t>
            </w:r>
          </w:p>
        </w:tc>
        <w:tc>
          <w:tcPr>
            <w:tcW w:w="925" w:type="dxa"/>
            <w:tcBorders>
              <w:top w:val="single" w:color="auto" w:sz="4" w:space="0"/>
              <w:left w:val="nil"/>
              <w:bottom w:val="single" w:color="auto" w:sz="4" w:space="0"/>
              <w:right w:val="single" w:color="auto" w:sz="6" w:space="0"/>
            </w:tcBorders>
            <w:vAlign w:val="center"/>
          </w:tcPr>
          <w:p w14:paraId="08A38FBB">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教室主机管理软件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3679AA9A">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1.支持把指定的视频流和外设音源合并为带声音的视频流输出；</w:t>
            </w:r>
          </w:p>
          <w:p w14:paraId="7492B088">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2.支持用户选择是否启动录制回顾视频；</w:t>
            </w:r>
          </w:p>
          <w:p w14:paraId="3A8B4266">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3.支持设置本地存储空间剩余警戒值，超过时新文件自动覆盖旧文件；</w:t>
            </w:r>
          </w:p>
          <w:p w14:paraId="0B7F199A">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4.支持录制桌面画面、教师全景、教师特写、学生全景、学生特写；</w:t>
            </w:r>
          </w:p>
          <w:p w14:paraId="2605D48E">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5.支持录制单路画面或多路拼合画面；</w:t>
            </w:r>
          </w:p>
          <w:p w14:paraId="48B81A7C">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6.支持手动开启、暂停、停止录制；</w:t>
            </w:r>
          </w:p>
          <w:p w14:paraId="59DCEB26">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7.支持预览录制内容；</w:t>
            </w:r>
          </w:p>
          <w:p w14:paraId="0B36046C">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8.支持查看录制的视频文件；</w:t>
            </w:r>
          </w:p>
          <w:p w14:paraId="32546120">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9.支持录播窗口最小化为工具条；</w:t>
            </w:r>
          </w:p>
          <w:p w14:paraId="3D6B33B6">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10.支持导出录制的视频文件；</w:t>
            </w:r>
          </w:p>
        </w:tc>
        <w:tc>
          <w:tcPr>
            <w:tcW w:w="567" w:type="dxa"/>
            <w:tcBorders>
              <w:top w:val="single" w:color="auto" w:sz="4" w:space="0"/>
              <w:left w:val="single" w:color="auto" w:sz="6" w:space="0"/>
              <w:bottom w:val="single" w:color="auto" w:sz="4" w:space="0"/>
              <w:right w:val="single" w:color="auto" w:sz="6" w:space="0"/>
            </w:tcBorders>
            <w:vAlign w:val="center"/>
          </w:tcPr>
          <w:p w14:paraId="3017805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127D0E9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38126E39">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A5B57EB">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19</w:t>
            </w:r>
          </w:p>
        </w:tc>
        <w:tc>
          <w:tcPr>
            <w:tcW w:w="925" w:type="dxa"/>
            <w:tcBorders>
              <w:top w:val="single" w:color="auto" w:sz="4" w:space="0"/>
              <w:left w:val="nil"/>
              <w:bottom w:val="single" w:color="auto" w:sz="4" w:space="0"/>
              <w:right w:val="single" w:color="auto" w:sz="6" w:space="0"/>
            </w:tcBorders>
            <w:vAlign w:val="center"/>
          </w:tcPr>
          <w:p w14:paraId="22513022">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互动系统软件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2811BFE7">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1.至少支持密码、短信验证码、微信扫码三种登录方式；</w:t>
            </w:r>
          </w:p>
          <w:p w14:paraId="38097C8F">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2.开始课堂后，用户无需选择课堂，系统可自动调用默认课堂，所有的课堂内容将会保存在默认课堂中；</w:t>
            </w:r>
          </w:p>
          <w:p w14:paraId="76364696">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3.支持在课堂过程中快速切换项目和课堂，调用不同课堂的多媒体资源；</w:t>
            </w:r>
          </w:p>
          <w:p w14:paraId="01CBA2B4">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4.登录用户账号后自动开始课堂并可记录课堂时长；</w:t>
            </w:r>
          </w:p>
          <w:p w14:paraId="4B91911F">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5.支持快速添加本地资源至课堂中，文件将同时上传至用户的云盘内；</w:t>
            </w:r>
          </w:p>
          <w:p w14:paraId="6C7C61A4">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6.支持资源按照名称、大小、上传时间进行正/逆序排列；</w:t>
            </w:r>
          </w:p>
          <w:p w14:paraId="698D5091">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9.支持发起抽答互动，被抽中的用户信息将显示在画布中，信息包含头像、姓名；</w:t>
            </w:r>
          </w:p>
          <w:p w14:paraId="17E05DE1">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10.支持发起抢答互动，抢到名额的用户信息将显示在画布中；</w:t>
            </w:r>
          </w:p>
          <w:p w14:paraId="4FF37B4A">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11.支持人员扫码签到，教师可实时查看已签到和未签到人员名单，支持引用网络空间预置的班级；</w:t>
            </w:r>
          </w:p>
          <w:p w14:paraId="45A5DFED">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12.支持实时展示学生发送的弹幕，字数不限制，多种颜色可选，匿名展示；</w:t>
            </w:r>
          </w:p>
          <w:p w14:paraId="274C8EEB">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13.支持在课堂中和课堂外通过扫描二维码方式反馈软件问题，支持文字录入和添加多张图片；</w:t>
            </w:r>
          </w:p>
          <w:p w14:paraId="12F581C8">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14.支持移动端浏览当前资源窗口，资源类型至少包含：PPT、Word、PDF、图片等；</w:t>
            </w:r>
          </w:p>
          <w:p w14:paraId="10C75FF7">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15.支持发起无题干投票，支持设置投票选项个数；</w:t>
            </w:r>
          </w:p>
          <w:p w14:paraId="6238D6CA">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16.支持在课上使用之前设置好的固定分组，支持临时调整固定分组成员；</w:t>
            </w:r>
          </w:p>
          <w:p w14:paraId="749B8BB2">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17.支持设置随机分组，根据设定的组数将已签到的学生随机分组；</w:t>
            </w:r>
          </w:p>
          <w:p w14:paraId="1967FECF">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18.支持手动分组，支持自由设置每个小组的成员；</w:t>
            </w:r>
          </w:p>
          <w:p w14:paraId="6681FD31">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19.支持屏幕任意位置截图并作为题干推送给学生或指定小组；</w:t>
            </w:r>
          </w:p>
          <w:p w14:paraId="2D054B02">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20.截图推题题型至少支持单选、多选、判断和简答题；</w:t>
            </w:r>
          </w:p>
          <w:p w14:paraId="5B8C8462">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21.截图推题支持在结束答题后设置客观题正确答案；</w:t>
            </w:r>
          </w:p>
          <w:p w14:paraId="7D0385FE">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22.支持推送题库内的题目给学生或指定小组；</w:t>
            </w:r>
          </w:p>
          <w:p w14:paraId="6FF61D80">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23.支持给每个小组设置组长，组长可代表小组提交答案；</w:t>
            </w:r>
          </w:p>
          <w:p w14:paraId="7324E459">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24.支持移动端一键最小化和还原大屏所有资源窗口，支持开始、暂停音视频，并可调节音视频音量；</w:t>
            </w:r>
          </w:p>
          <w:p w14:paraId="3A34CFC8">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25.支持教师移动端查看本次课堂班级出勤情况，有开启人脸识别的教室支持查看人脸识别情况；</w:t>
            </w:r>
          </w:p>
          <w:p w14:paraId="1F298DBE">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26.学生端快速查看当前展示的所有资源窗口，窗口内容能随着主讲人的操作自动切换，可放大缩小查看窗口内容；</w:t>
            </w:r>
          </w:p>
          <w:p w14:paraId="5918F74A">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27.支持学生课堂中向主讲人提问、发送弹幕操作，并查看提问记录，提问记录支持修改和撤回；</w:t>
            </w:r>
          </w:p>
          <w:p w14:paraId="68EF6A1B">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28.支持移动端选择在线题库推送给学生并显示正确答案，统计答题情况，查看学生提交的问题，查看弹幕历史及开关弹幕；</w:t>
            </w:r>
          </w:p>
          <w:p w14:paraId="32D99811">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29.教师移动端支持专注模式。专注模式开启时，学生仅可通过个人移动端同步观看大屏当前窗口内容。专注模式关闭后，学生可通过个人移动端自由查看大屏上打开的所有窗口内容；</w:t>
            </w:r>
          </w:p>
          <w:p w14:paraId="7938991C">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30.教师向指定小组推送题目时，该小组成员移动端可同步收到题目，组长可代表小组回答，小组成员可实时查看作答情况；</w:t>
            </w:r>
          </w:p>
          <w:p w14:paraId="51B01B60">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31.结束讲演后听众可对主讲人匿名评分并填写评语；</w:t>
            </w:r>
          </w:p>
          <w:p w14:paraId="0781FA23">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32.支持多种设备投屏，包括苹果手机、安卓手机、windows设备、mac设备；</w:t>
            </w:r>
          </w:p>
          <w:p w14:paraId="326A4C7E">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33.支持多种方式投屏，包括自动/手动搜索、输入投屏码、输入设备IP、扫描投屏二维码、苹果设备AirPlay协议投屏；</w:t>
            </w:r>
          </w:p>
          <w:p w14:paraId="595BCD82">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34.支持在投屏时选择投屏画面质量，最高支持4K分辨率；；</w:t>
            </w:r>
          </w:p>
          <w:p w14:paraId="18CE9E52">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35.支持多路投屏，可支持≥4台移动设备同时投屏；多路投屏时，支持单独设置每路投屏画面的全屏/正常显示效果；支持单独设置每路投屏声音的播放/静音效果；</w:t>
            </w:r>
          </w:p>
          <w:p w14:paraId="18B5A49A">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36.支持显示和修改接收端设备名称；</w:t>
            </w:r>
          </w:p>
          <w:p w14:paraId="613F993C">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37.支持查看即将开始的课程信息；</w:t>
            </w:r>
          </w:p>
          <w:p w14:paraId="0BE2FE3E">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38.支持查看课表信息，支持通过日历查询其他日期的排课信息；</w:t>
            </w:r>
          </w:p>
          <w:p w14:paraId="0EA0ED07">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39.支持在课表查看对应课程的开课记录；</w:t>
            </w:r>
          </w:p>
          <w:p w14:paraId="61A3DEC5">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40.支持画布打开其他应用程序：浏览器、系统计算器；</w:t>
            </w:r>
          </w:p>
          <w:p w14:paraId="11A9BB36">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41.支持将画布内打开的本地文件自动上传至用户个人云盘并关联课程；</w:t>
            </w:r>
          </w:p>
          <w:p w14:paraId="29A31E1C">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42.支持课堂签到码动态更新，防止学生签到作弊；</w:t>
            </w:r>
          </w:p>
          <w:p w14:paraId="088C63C0">
            <w:pPr>
              <w:widowControl/>
              <w:spacing w:line="360" w:lineRule="auto"/>
              <w:jc w:val="left"/>
              <w:textAlignment w:val="center"/>
              <w:rPr>
                <w:rStyle w:val="46"/>
                <w:rFonts w:hint="eastAsia" w:ascii="宋体" w:hAnsi="宋体" w:eastAsia="宋体" w:cs="宋体"/>
                <w:sz w:val="24"/>
                <w:szCs w:val="24"/>
                <w:lang w:bidi="ar"/>
              </w:rPr>
            </w:pPr>
            <w:r>
              <w:rPr>
                <w:rStyle w:val="46"/>
                <w:rFonts w:hint="eastAsia" w:ascii="宋体" w:hAnsi="宋体" w:eastAsia="宋体" w:cs="宋体"/>
                <w:sz w:val="24"/>
                <w:szCs w:val="24"/>
                <w:lang w:bidi="ar"/>
              </w:rPr>
              <w:t>43.主观题答题结束后支持自动生成答案关键词词云，可点击关键词查看关联的答案和答题的学生；</w:t>
            </w:r>
          </w:p>
          <w:p w14:paraId="34BC4633">
            <w:pPr>
              <w:widowControl/>
              <w:spacing w:line="360" w:lineRule="auto"/>
              <w:jc w:val="left"/>
              <w:textAlignment w:val="center"/>
              <w:rPr>
                <w:rFonts w:hint="eastAsia" w:ascii="宋体" w:hAnsi="宋体" w:eastAsia="宋体" w:cs="宋体"/>
                <w:color w:val="000000"/>
                <w:sz w:val="24"/>
                <w:szCs w:val="24"/>
              </w:rPr>
            </w:pPr>
            <w:r>
              <w:rPr>
                <w:rStyle w:val="46"/>
                <w:rFonts w:hint="eastAsia" w:ascii="宋体" w:hAnsi="宋体" w:eastAsia="宋体" w:cs="宋体"/>
                <w:sz w:val="24"/>
                <w:szCs w:val="24"/>
                <w:lang w:bidi="ar"/>
              </w:rPr>
              <w:t>44.支持开启智能识别图形模式，开启后可将手绘的方形、圆形、三角形和直线转换为标准图形；</w:t>
            </w:r>
          </w:p>
        </w:tc>
        <w:tc>
          <w:tcPr>
            <w:tcW w:w="567" w:type="dxa"/>
            <w:tcBorders>
              <w:top w:val="single" w:color="auto" w:sz="4" w:space="0"/>
              <w:left w:val="single" w:color="auto" w:sz="6" w:space="0"/>
              <w:bottom w:val="single" w:color="auto" w:sz="4" w:space="0"/>
              <w:right w:val="single" w:color="auto" w:sz="6" w:space="0"/>
            </w:tcBorders>
            <w:vAlign w:val="center"/>
          </w:tcPr>
          <w:p w14:paraId="0B69179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5E13260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42BFF3D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EDE1BD1">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w:t>
            </w:r>
          </w:p>
        </w:tc>
        <w:tc>
          <w:tcPr>
            <w:tcW w:w="925" w:type="dxa"/>
            <w:tcBorders>
              <w:top w:val="single" w:color="auto" w:sz="4" w:space="0"/>
              <w:left w:val="nil"/>
              <w:bottom w:val="single" w:color="auto" w:sz="4" w:space="0"/>
              <w:right w:val="single" w:color="auto" w:sz="6" w:space="0"/>
            </w:tcBorders>
            <w:vAlign w:val="center"/>
          </w:tcPr>
          <w:p w14:paraId="4EC60084">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教室应用管理软件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6D6132CA">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1.每1间教室需配置一套，与教学平台配套提供教学、管理相关业务。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2.支持课堂教学与网络学习的联动，实现课堂教学过程的数字化，便于记录和回顾；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3.支撑教室智能管控与维护，反馈教室设备状态及使用情况；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4.实时推送教室授课动态，展示课堂整体情况，便于远程督导评价；</w:t>
            </w:r>
          </w:p>
        </w:tc>
        <w:tc>
          <w:tcPr>
            <w:tcW w:w="567" w:type="dxa"/>
            <w:tcBorders>
              <w:top w:val="single" w:color="auto" w:sz="4" w:space="0"/>
              <w:left w:val="single" w:color="auto" w:sz="6" w:space="0"/>
              <w:bottom w:val="single" w:color="auto" w:sz="4" w:space="0"/>
              <w:right w:val="single" w:color="auto" w:sz="6" w:space="0"/>
            </w:tcBorders>
            <w:vAlign w:val="center"/>
          </w:tcPr>
          <w:p w14:paraId="4E6D762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49AFD5E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4DB873C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20F215D">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21</w:t>
            </w:r>
          </w:p>
        </w:tc>
        <w:tc>
          <w:tcPr>
            <w:tcW w:w="925" w:type="dxa"/>
            <w:tcBorders>
              <w:top w:val="single" w:color="auto" w:sz="4" w:space="0"/>
              <w:left w:val="nil"/>
              <w:bottom w:val="single" w:color="auto" w:sz="4" w:space="0"/>
              <w:right w:val="single" w:color="auto" w:sz="6" w:space="0"/>
            </w:tcBorders>
            <w:vAlign w:val="center"/>
          </w:tcPr>
          <w:p w14:paraId="6272D4F0">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智能摄录与流媒体处理软件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186B3300">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1.嵌入式录播主机出厂时内置流媒体处理软件以实现各个模块的功能应用；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2.录播主机在不接入互联网的情况下也可以进行视频录制，且支持1080P高清分辨率录制，用MP4视频格式封装自动归档至录播内置的硬盘当中存储；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3.多流录制：支持教师画面、学生全景画面、学生特写画面等不少于3路摄像机画面和电脑画面的独立录制封装；</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4.要求录播主机支持录制质量设置，提供1080P、720P等高清标清质量选择，并支持自定义录制分辨率、帧率、码率等参数；；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5.要求录播主机支持插入U盘后，主机正常进行录制可以同步另存一份视频文件到U盘中；</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6.要求录播主机支持录制、暂停、结束等基本功能操作，并支持外部设备通过基于HTTP协议的API接口以及RS232通信协议对设备进行相关控制；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录播主机支持B/S软件架构无需下载相关软件APP，以满足低配电脑也可通过浏览器访问录播主机导播界面，在导播界面实现对所有录制画面的实时预览，并支持在手动导播模式下点击预览画面窗口进行录制画面切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8.录播主机支持8个摄像机电子云台预置位设置，在导播预览界面可便捷调取摄像机预设位置的画面；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9.录播主机支持在导播预览界面添加Logo台标与字幕，可自主上传Logo图标、设置logo位置、编辑字幕内容、选择字幕字体颜色与是否滚动显示，且后台管理设置可最多预设5个字幕作为备选，方便灵活调整与切换；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10.录播主机支持通过导播界面进行音量控制，调整音量大小与一键静音功能；</w:t>
            </w:r>
          </w:p>
        </w:tc>
        <w:tc>
          <w:tcPr>
            <w:tcW w:w="567" w:type="dxa"/>
            <w:tcBorders>
              <w:top w:val="single" w:color="auto" w:sz="4" w:space="0"/>
              <w:left w:val="single" w:color="auto" w:sz="6" w:space="0"/>
              <w:bottom w:val="single" w:color="auto" w:sz="4" w:space="0"/>
              <w:right w:val="single" w:color="auto" w:sz="6" w:space="0"/>
            </w:tcBorders>
            <w:vAlign w:val="center"/>
          </w:tcPr>
          <w:p w14:paraId="510FEC5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05A1A01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59DA97D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70EE01D">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22</w:t>
            </w:r>
          </w:p>
        </w:tc>
        <w:tc>
          <w:tcPr>
            <w:tcW w:w="925" w:type="dxa"/>
            <w:tcBorders>
              <w:top w:val="single" w:color="auto" w:sz="4" w:space="0"/>
              <w:left w:val="nil"/>
              <w:bottom w:val="single" w:color="auto" w:sz="4" w:space="0"/>
              <w:right w:val="single" w:color="auto" w:sz="6" w:space="0"/>
            </w:tcBorders>
            <w:vAlign w:val="center"/>
          </w:tcPr>
          <w:p w14:paraId="64C17EEE">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智能语音分析软件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12310CE8">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1.教师提问情况分析：支持基于课堂语音识别能力进行教师课堂提问行为分析，从提问次数与高频时间段两个核心维度进行数据统计，实现课堂提问情况的清晰回顾。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2.教师语速分析：支持通过语音识别能力进行教师课堂授课语速分析，呈现数据需包括教师课堂说话词数以及平均语速。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4.课堂关键词分析：支持通过AI语音识别能力，抓取统计提前设置好的课堂知识点关键词，统计各关键词出现的次数频率，并标注出现的时间点和显示所在的语句内容。</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5.课堂高频词分析：支持通过AI语音识别能力，抓取授课过程中出现的高频词汇，并统计出现频次，判断课堂教学重点；</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6.课堂语气词分析：支持通过进行课堂语音识别，判断老师教学过程中出现的常规语气词出现频次，如“呐”，“嘛”，等语气词，辅助老师调整教学过程中的不良习惯；</w:t>
            </w:r>
          </w:p>
        </w:tc>
        <w:tc>
          <w:tcPr>
            <w:tcW w:w="567" w:type="dxa"/>
            <w:tcBorders>
              <w:top w:val="single" w:color="auto" w:sz="4" w:space="0"/>
              <w:left w:val="single" w:color="auto" w:sz="6" w:space="0"/>
              <w:bottom w:val="single" w:color="auto" w:sz="4" w:space="0"/>
              <w:right w:val="single" w:color="auto" w:sz="6" w:space="0"/>
            </w:tcBorders>
            <w:vAlign w:val="center"/>
          </w:tcPr>
          <w:p w14:paraId="2629E50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7DEBBF0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r w14:paraId="1C215A62">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EB89766">
            <w:pPr>
              <w:pStyle w:val="43"/>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23</w:t>
            </w:r>
          </w:p>
        </w:tc>
        <w:tc>
          <w:tcPr>
            <w:tcW w:w="925" w:type="dxa"/>
            <w:tcBorders>
              <w:top w:val="single" w:color="auto" w:sz="4" w:space="0"/>
              <w:left w:val="nil"/>
              <w:bottom w:val="single" w:color="auto" w:sz="4" w:space="0"/>
              <w:right w:val="single" w:color="auto" w:sz="6" w:space="0"/>
            </w:tcBorders>
            <w:vAlign w:val="center"/>
          </w:tcPr>
          <w:p w14:paraId="78E84EFA">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无线传输系统</w:t>
            </w:r>
          </w:p>
        </w:tc>
        <w:tc>
          <w:tcPr>
            <w:tcW w:w="6895" w:type="dxa"/>
            <w:tcBorders>
              <w:top w:val="single" w:color="auto" w:sz="4" w:space="0"/>
              <w:left w:val="nil"/>
              <w:bottom w:val="single" w:color="auto" w:sz="4" w:space="0"/>
              <w:right w:val="single" w:color="auto" w:sz="6" w:space="0"/>
            </w:tcBorders>
            <w:vAlign w:val="center"/>
          </w:tcPr>
          <w:p w14:paraId="3DE84D36">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1.中英文切换：系统支持简体中文和英文两种语言模式，可快速进行中英文的切换，满足双语教学的要求。</w:t>
            </w:r>
          </w:p>
          <w:p w14:paraId="13E6D5A1">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屏幕工具条：用户可直接在触控显示屏上点击系统工具条，或通过鼠标点击工具条进行操作，工具条具有截屏、录制、布局、切屏、批注、白板等功能按钮，并显示时间、设备名称、网络IP等信息。用户可自定义系统工具条功能按钮，支持隐藏截屏、录制、广播、布局、切屏、批注、白板等功能按钮，可通过快捷方式设置自定义按钮。</w:t>
            </w:r>
          </w:p>
          <w:p w14:paraId="7B550A37">
            <w:pPr>
              <w:spacing w:line="360"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3．</w:t>
            </w:r>
            <w:r>
              <w:rPr>
                <w:rFonts w:hint="eastAsia" w:ascii="宋体" w:hAnsi="宋体" w:eastAsia="宋体" w:cs="宋体"/>
                <w:color w:val="000000"/>
                <w:kern w:val="0"/>
                <w:sz w:val="24"/>
                <w:szCs w:val="24"/>
                <w:lang w:bidi="ar"/>
              </w:rPr>
              <w:t>软件遥控器：支持用户扫码下载遥控器APP即可将移动终端作为控制端，支持Windows、Android、iOS系统的设备安装控制端软件。支持局域网内扫码连接或智能搜索设备名称连接。支持在遥控器APP端或触控显示屏端对显示画面进行缩小、放大操作，达到对文字或重点画面逐步放大的效果，能够对单屏或多屏画面进行最大400%放大。</w:t>
            </w:r>
          </w:p>
          <w:p w14:paraId="58B155E6">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4.文件读取：系统支持查看U盘、内置硬盘和遥控器APP上传的5.本地文件和云空间下载文件，支持将外接U盘中的图片、视频、音频、文档等文件资料直接上屏展示；</w:t>
            </w:r>
          </w:p>
          <w:p w14:paraId="26392FFF">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6.设备和文件分类：系统自动对有线接入设备、无线投屏设备、U盘、手写板等设备画面进行分类；支持对已连接的设备进行置顶、重命名等操作。</w:t>
            </w:r>
          </w:p>
          <w:p w14:paraId="43F66923">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7.界面布局：支持全屏模式和显示工具条模式。全屏模式下，工具条自动隐藏，隐藏后可点击隐藏按钮再次显示，显示工具条模式下，支持工具条显示在左边或右边。</w:t>
            </w:r>
          </w:p>
          <w:p w14:paraId="5F2C395B">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微课录制：支持2种及以上微课录制快捷操作模式，通过硬件设备上的“录制”按键或软件工具栏中的“录制”按钮一键开始录课。课程录制支持多画面和外接麦克风声音同步录入，支持720P和1080P格式，录制的视频可保存在外接U盘或本地硬盘中，支持录制存储空间不足时文字的提醒功能；</w:t>
            </w:r>
          </w:p>
          <w:p w14:paraId="3EA14980">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批注白板：批注提供选择画笔、激光笔、颜色、图形、画笔粗细、板擦、撤销、清空、重做等工具；支持板擦手势擦除；支持选择某一区域进行聚焦讲解，聚焦内容可以以图片形式保存到本地硬盘，并可将当前显示区域截取到白板中进行重点批注讲解；关灯模式下可将当前显示区域以外的画面进行黑屏操作；支持白板界面下的随写板书写；教师可选择当前页面内容或选择课件中的多张内容，生成二维码；学生通过移动设备直接扫码，即可下载课件内容。</w:t>
            </w:r>
          </w:p>
          <w:p w14:paraId="4C8D8D7D">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10.App应用：支持第三方应用程序嵌入式安装在主机中，无需借助其他终端可直接开启第三方应用。</w:t>
            </w:r>
          </w:p>
          <w:p w14:paraId="52DDCA4E">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文件分享：可通过移动APP端对本地的文件、图片、视频上传至屏幕，并支持批注或新建白板进行板书。批注、板书的内容支持扫码分享，在接入互联网或断开互联网状态下，系统均可生成二维码，用户可使用移动终端扫码下载图库中的图片或视频，并支持通过微信、QQ等第三方应用程序分享。</w:t>
            </w:r>
          </w:p>
          <w:p w14:paraId="0F7F6FCC">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12.扩展显示：支持设备端与扩展屏APP绑定并连接，实现扩展显示教学画面；支持Windows、Android等系统的终端设备，扩展显示大屏画面,可同时连接≥5的扩展终端。</w:t>
            </w:r>
          </w:p>
        </w:tc>
        <w:tc>
          <w:tcPr>
            <w:tcW w:w="567" w:type="dxa"/>
            <w:tcBorders>
              <w:top w:val="single" w:color="auto" w:sz="4" w:space="0"/>
              <w:left w:val="single" w:color="auto" w:sz="6" w:space="0"/>
              <w:bottom w:val="single" w:color="auto" w:sz="4" w:space="0"/>
              <w:right w:val="single" w:color="auto" w:sz="6" w:space="0"/>
            </w:tcBorders>
            <w:vAlign w:val="center"/>
          </w:tcPr>
          <w:p w14:paraId="1E060A9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3DC33A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r>
    </w:tbl>
    <w:p w14:paraId="1083AA73">
      <w:pPr>
        <w:autoSpaceDE w:val="0"/>
        <w:autoSpaceDN w:val="0"/>
        <w:adjustRightInd w:val="0"/>
        <w:ind w:firstLine="480"/>
        <w:rPr>
          <w:rFonts w:hint="eastAsia"/>
          <w:b/>
          <w:sz w:val="24"/>
          <w:szCs w:val="24"/>
          <w:highlight w:val="none"/>
        </w:rPr>
      </w:pPr>
      <w:r>
        <w:rPr>
          <w:rFonts w:hint="eastAsia"/>
          <w:b/>
          <w:sz w:val="24"/>
          <w:szCs w:val="24"/>
          <w:highlight w:val="none"/>
        </w:rPr>
        <w:t xml:space="preserve">   </w:t>
      </w:r>
    </w:p>
    <w:p w14:paraId="1B4AFE5F">
      <w:pPr>
        <w:rPr>
          <w:rFonts w:hint="eastAsia"/>
          <w:b/>
          <w:sz w:val="24"/>
          <w:szCs w:val="24"/>
          <w:highlight w:val="yellow"/>
        </w:rPr>
      </w:pPr>
      <w:r>
        <w:rPr>
          <w:rFonts w:hint="eastAsia"/>
          <w:b/>
          <w:sz w:val="24"/>
          <w:szCs w:val="24"/>
          <w:highlight w:val="yellow"/>
        </w:rPr>
        <w:br w:type="page"/>
      </w:r>
    </w:p>
    <w:p w14:paraId="6222A96E">
      <w:pPr>
        <w:autoSpaceDE w:val="0"/>
        <w:autoSpaceDN w:val="0"/>
        <w:adjustRightInd w:val="0"/>
        <w:ind w:firstLine="480"/>
        <w:rPr>
          <w:rFonts w:hint="eastAsia"/>
          <w:b/>
          <w:sz w:val="24"/>
          <w:szCs w:val="24"/>
          <w:highlight w:val="yellow"/>
          <w:lang w:val="zh-CN"/>
        </w:rPr>
      </w:pPr>
    </w:p>
    <w:p w14:paraId="704952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 xml:space="preserve">核心产品(适用于非单一产品采购）为：第 1 项（教室智能主机）。 </w:t>
      </w:r>
    </w:p>
    <w:p w14:paraId="2B2536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质量保证期：1年</w:t>
      </w:r>
    </w:p>
    <w:p w14:paraId="2B0340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交货时间：合同订立后  30 天。</w:t>
      </w:r>
    </w:p>
    <w:p w14:paraId="6EE9BD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交货地点：吉林司法警官职业学院</w:t>
      </w:r>
    </w:p>
    <w:p w14:paraId="4D39FB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交货方式：中标人负责将货物安全完好运抵交货地点、安装调试并保证验收合格。</w:t>
      </w:r>
    </w:p>
    <w:p w14:paraId="42184A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 xml:space="preserve"> 请投标人注意：</w:t>
      </w:r>
    </w:p>
    <w:p w14:paraId="7A14D3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zh-CN"/>
        </w:rPr>
        <w:t>（1）投标文件对招标文件各种设备所要求的主要功能配置及其技术指标必须全部满足，不允许有缺项或者负偏离，如果不满足将导致废标。</w:t>
      </w:r>
    </w:p>
    <w:p w14:paraId="2EB18F79">
      <w:pPr>
        <w:rPr>
          <w:rFonts w:hint="eastAsia"/>
        </w:rPr>
      </w:pPr>
      <w:bookmarkStart w:id="32" w:name="_Toc19078"/>
      <w:r>
        <w:rPr>
          <w:rFonts w:hint="eastAsia"/>
        </w:rPr>
        <w:br w:type="page"/>
      </w:r>
    </w:p>
    <w:p w14:paraId="635E633E">
      <w:pPr>
        <w:keepNext w:val="0"/>
        <w:keepLines w:val="0"/>
        <w:pageBreakBefore w:val="0"/>
        <w:widowControl w:val="0"/>
        <w:kinsoku/>
        <w:wordWrap/>
        <w:overflowPunct/>
        <w:topLinePunct w:val="0"/>
        <w:autoSpaceDE/>
        <w:autoSpaceDN/>
        <w:bidi w:val="0"/>
        <w:adjustRightInd/>
        <w:snapToGrid/>
        <w:jc w:val="center"/>
        <w:textAlignment w:val="auto"/>
        <w:outlineLvl w:val="0"/>
        <w:rPr>
          <w:b/>
          <w:bCs/>
          <w:sz w:val="36"/>
          <w:szCs w:val="44"/>
        </w:rPr>
      </w:pPr>
      <w:bookmarkStart w:id="92" w:name="_GoBack"/>
      <w:bookmarkEnd w:id="92"/>
      <w:r>
        <w:rPr>
          <w:rFonts w:hint="eastAsia"/>
          <w:b/>
          <w:bCs/>
          <w:sz w:val="36"/>
          <w:szCs w:val="44"/>
        </w:rPr>
        <w:t>第四章  评审</w:t>
      </w:r>
      <w:r>
        <w:rPr>
          <w:rFonts w:hint="eastAsia"/>
          <w:b/>
          <w:bCs/>
          <w:sz w:val="36"/>
          <w:szCs w:val="44"/>
          <w:lang w:eastAsia="zh-CN"/>
        </w:rPr>
        <w:t>办</w:t>
      </w:r>
      <w:r>
        <w:rPr>
          <w:rFonts w:hint="eastAsia"/>
          <w:b/>
          <w:bCs/>
          <w:sz w:val="36"/>
          <w:szCs w:val="44"/>
        </w:rPr>
        <w:t>法</w:t>
      </w:r>
      <w:bookmarkEnd w:id="28"/>
      <w:bookmarkEnd w:id="29"/>
      <w:bookmarkEnd w:id="30"/>
      <w:bookmarkEnd w:id="32"/>
    </w:p>
    <w:p w14:paraId="2D0BD025">
      <w:pPr>
        <w:ind w:firstLine="241" w:firstLineChars="100"/>
        <w:outlineLvl w:val="1"/>
        <w:rPr>
          <w:rFonts w:ascii="宋体" w:hAnsi="宋体" w:cs="宋体"/>
          <w:b/>
          <w:bCs/>
          <w:kern w:val="44"/>
          <w:sz w:val="24"/>
        </w:rPr>
      </w:pPr>
      <w:bookmarkStart w:id="33" w:name="_Toc22331"/>
      <w:r>
        <w:rPr>
          <w:rFonts w:hint="eastAsia" w:ascii="宋体" w:hAnsi="宋体" w:cs="宋体"/>
          <w:b/>
          <w:sz w:val="24"/>
        </w:rPr>
        <w:t>（一）资格性评审前附表</w:t>
      </w:r>
      <w:bookmarkEnd w:id="31"/>
      <w:bookmarkEnd w:id="33"/>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4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6" w:type="dxa"/>
            <w:gridSpan w:val="2"/>
            <w:shd w:val="clear" w:color="auto" w:fill="D7D7D7"/>
            <w:vAlign w:val="center"/>
          </w:tcPr>
          <w:p w14:paraId="3E8EB2B3">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条款号</w:t>
            </w:r>
          </w:p>
        </w:tc>
        <w:tc>
          <w:tcPr>
            <w:tcW w:w="1550" w:type="dxa"/>
            <w:shd w:val="clear" w:color="auto" w:fill="D7D7D7"/>
            <w:vAlign w:val="center"/>
          </w:tcPr>
          <w:p w14:paraId="3D3A2E3F">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评审因素</w:t>
            </w:r>
          </w:p>
        </w:tc>
        <w:tc>
          <w:tcPr>
            <w:tcW w:w="6054" w:type="dxa"/>
            <w:shd w:val="clear" w:color="auto" w:fill="D7D7D7"/>
            <w:vAlign w:val="center"/>
          </w:tcPr>
          <w:p w14:paraId="09203AE7">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评审标准</w:t>
            </w:r>
          </w:p>
        </w:tc>
      </w:tr>
      <w:tr w14:paraId="297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5113F044">
            <w:pPr>
              <w:autoSpaceDE w:val="0"/>
              <w:autoSpaceDN w:val="0"/>
              <w:adjustRightInd w:val="0"/>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1.1</w:t>
            </w:r>
          </w:p>
        </w:tc>
        <w:tc>
          <w:tcPr>
            <w:tcW w:w="912" w:type="dxa"/>
            <w:vMerge w:val="restart"/>
            <w:vAlign w:val="center"/>
          </w:tcPr>
          <w:p w14:paraId="457BE70C">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资格评</w:t>
            </w:r>
          </w:p>
          <w:p w14:paraId="01DDCC9F">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审标准</w:t>
            </w:r>
          </w:p>
          <w:p w14:paraId="536C6DF9">
            <w:pPr>
              <w:autoSpaceDE w:val="0"/>
              <w:autoSpaceDN w:val="0"/>
              <w:adjustRightInd w:val="0"/>
              <w:spacing w:line="360" w:lineRule="auto"/>
              <w:jc w:val="center"/>
              <w:rPr>
                <w:rFonts w:ascii="宋体" w:hAnsi="宋体" w:cs="宋体"/>
                <w:bCs/>
                <w:szCs w:val="21"/>
                <w:lang w:val="zh-CN"/>
              </w:rPr>
            </w:pPr>
          </w:p>
        </w:tc>
        <w:tc>
          <w:tcPr>
            <w:tcW w:w="1550" w:type="dxa"/>
            <w:vAlign w:val="center"/>
          </w:tcPr>
          <w:p w14:paraId="576C4E3C">
            <w:pPr>
              <w:autoSpaceDE w:val="0"/>
              <w:autoSpaceDN w:val="0"/>
              <w:adjustRightInd w:val="0"/>
              <w:spacing w:line="360" w:lineRule="auto"/>
              <w:jc w:val="center"/>
              <w:rPr>
                <w:rFonts w:ascii="宋体" w:hAnsi="宋体" w:cs="宋体"/>
                <w:bCs/>
                <w:szCs w:val="21"/>
                <w:lang w:val="zh-CN"/>
              </w:rPr>
            </w:pPr>
            <w:r>
              <w:rPr>
                <w:rFonts w:hint="eastAsia" w:ascii="宋体" w:hAnsi="宋体" w:cs="宋体"/>
                <w:color w:val="auto"/>
                <w:sz w:val="24"/>
                <w:szCs w:val="24"/>
              </w:rPr>
              <w:t>营业执照等证明文件</w:t>
            </w:r>
          </w:p>
        </w:tc>
        <w:tc>
          <w:tcPr>
            <w:tcW w:w="6054" w:type="dxa"/>
            <w:vAlign w:val="center"/>
          </w:tcPr>
          <w:p w14:paraId="65817C3C">
            <w:pPr>
              <w:autoSpaceDE w:val="0"/>
              <w:autoSpaceDN w:val="0"/>
              <w:adjustRightInd w:val="0"/>
              <w:spacing w:line="360" w:lineRule="auto"/>
              <w:jc w:val="left"/>
              <w:rPr>
                <w:rFonts w:ascii="宋体" w:hAnsi="宋体" w:cs="宋体"/>
                <w:bCs/>
                <w:szCs w:val="21"/>
                <w:lang w:val="zh-CN"/>
              </w:rPr>
            </w:pP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为企业的，提供有效的营业执照；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为事业单位的，提供有效的事业单位法人证书；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为社会团体的，提供有效的社会团体法人登记证书；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为合伙企业、个体工商户的，提供有效的营业执照；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为非企业专业服务机构的，提供有效的执业许可证等证明材料；</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为自然人的，提供有效的自然人身份证件；其他</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应按照有关法律、法规和规章规定，提供有效的相应具体证照。</w:t>
            </w:r>
          </w:p>
        </w:tc>
      </w:tr>
      <w:tr w14:paraId="7E2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1C424E1">
            <w:pPr>
              <w:autoSpaceDE w:val="0"/>
              <w:autoSpaceDN w:val="0"/>
              <w:adjustRightInd w:val="0"/>
              <w:spacing w:line="360" w:lineRule="auto"/>
              <w:jc w:val="center"/>
              <w:rPr>
                <w:rFonts w:ascii="宋体" w:hAnsi="宋体" w:cs="宋体"/>
                <w:bCs/>
                <w:szCs w:val="21"/>
                <w:lang w:val="zh-CN"/>
              </w:rPr>
            </w:pPr>
          </w:p>
        </w:tc>
        <w:tc>
          <w:tcPr>
            <w:tcW w:w="912" w:type="dxa"/>
            <w:vMerge w:val="continue"/>
          </w:tcPr>
          <w:p w14:paraId="6A48B73F">
            <w:pPr>
              <w:autoSpaceDE w:val="0"/>
              <w:autoSpaceDN w:val="0"/>
              <w:adjustRightInd w:val="0"/>
              <w:spacing w:line="360" w:lineRule="auto"/>
              <w:jc w:val="left"/>
              <w:rPr>
                <w:rFonts w:ascii="宋体" w:hAnsi="宋体" w:cs="宋体"/>
                <w:bCs/>
                <w:szCs w:val="21"/>
                <w:lang w:val="zh-CN"/>
              </w:rPr>
            </w:pPr>
          </w:p>
        </w:tc>
        <w:tc>
          <w:tcPr>
            <w:tcW w:w="1550" w:type="dxa"/>
            <w:shd w:val="clear" w:color="auto" w:fill="auto"/>
            <w:vAlign w:val="center"/>
          </w:tcPr>
          <w:p w14:paraId="3EC2691D">
            <w:pPr>
              <w:wordWrap w:val="0"/>
              <w:spacing w:line="360" w:lineRule="auto"/>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财务状况</w:t>
            </w:r>
          </w:p>
        </w:tc>
        <w:tc>
          <w:tcPr>
            <w:tcW w:w="6054" w:type="dxa"/>
            <w:shd w:val="clear" w:color="auto" w:fill="auto"/>
            <w:vAlign w:val="center"/>
          </w:tcPr>
          <w:p w14:paraId="0F563135">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满足第二章“投标人须知”规定的要求。</w:t>
            </w:r>
          </w:p>
          <w:p w14:paraId="50A6F062">
            <w:pPr>
              <w:wordWrap w:val="0"/>
              <w:spacing w:line="360" w:lineRule="auto"/>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供应商</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lang w:val="en-US" w:eastAsia="zh-CN"/>
              </w:rPr>
              <w:t>提供由专业审计机构出具的近三年(2022-2024年)的财务审计报告(新成立不足三年的企业提供自成立之日起至2024年的财务审计报告,若供应商为2024年12月31日及以后注册成立的公司，提供财务状况良好承诺书)。</w:t>
            </w:r>
          </w:p>
        </w:tc>
      </w:tr>
      <w:tr w14:paraId="0B12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5A9F949">
            <w:pPr>
              <w:autoSpaceDE w:val="0"/>
              <w:autoSpaceDN w:val="0"/>
              <w:adjustRightInd w:val="0"/>
              <w:spacing w:line="360" w:lineRule="auto"/>
              <w:jc w:val="center"/>
              <w:rPr>
                <w:rFonts w:ascii="宋体" w:hAnsi="宋体" w:cs="宋体"/>
                <w:bCs/>
                <w:szCs w:val="21"/>
                <w:lang w:val="zh-CN"/>
              </w:rPr>
            </w:pPr>
          </w:p>
        </w:tc>
        <w:tc>
          <w:tcPr>
            <w:tcW w:w="912" w:type="dxa"/>
            <w:vMerge w:val="continue"/>
          </w:tcPr>
          <w:p w14:paraId="328B9DAA">
            <w:pPr>
              <w:autoSpaceDE w:val="0"/>
              <w:autoSpaceDN w:val="0"/>
              <w:adjustRightInd w:val="0"/>
              <w:spacing w:line="360" w:lineRule="auto"/>
              <w:jc w:val="left"/>
              <w:rPr>
                <w:rFonts w:ascii="宋体" w:hAnsi="宋体" w:cs="宋体"/>
                <w:bCs/>
                <w:szCs w:val="21"/>
                <w:lang w:val="zh-CN"/>
              </w:rPr>
            </w:pPr>
          </w:p>
        </w:tc>
        <w:tc>
          <w:tcPr>
            <w:tcW w:w="1550" w:type="dxa"/>
            <w:vAlign w:val="center"/>
          </w:tcPr>
          <w:p w14:paraId="7AC1101F">
            <w:pPr>
              <w:wordWrap w:val="0"/>
              <w:spacing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依法缴纳税收证明材料</w:t>
            </w:r>
          </w:p>
        </w:tc>
        <w:tc>
          <w:tcPr>
            <w:tcW w:w="6054" w:type="dxa"/>
            <w:vAlign w:val="top"/>
          </w:tcPr>
          <w:p w14:paraId="1890DA3A">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供应商提供的税收缴纳凭据应符合下列规定：a.投标截止时间前（不含投标截止时间的当月）已依法缴纳税收的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，提供投标截止时间前6个月（202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01</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月）中任一月份的税收缴纳凭据。b.投标截止时间的当月成立的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 c.若为依法免税范围的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，提供依法免税证明材料的，视同满足本项资格条件要求。</w:t>
            </w:r>
          </w:p>
        </w:tc>
      </w:tr>
      <w:tr w14:paraId="55B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6DE19B4">
            <w:pPr>
              <w:autoSpaceDE w:val="0"/>
              <w:autoSpaceDN w:val="0"/>
              <w:adjustRightInd w:val="0"/>
              <w:spacing w:line="360" w:lineRule="auto"/>
              <w:jc w:val="center"/>
              <w:rPr>
                <w:rFonts w:ascii="宋体" w:hAnsi="宋体" w:cs="宋体"/>
                <w:bCs/>
                <w:szCs w:val="21"/>
                <w:lang w:val="zh-CN"/>
              </w:rPr>
            </w:pPr>
          </w:p>
        </w:tc>
        <w:tc>
          <w:tcPr>
            <w:tcW w:w="912" w:type="dxa"/>
            <w:vMerge w:val="continue"/>
          </w:tcPr>
          <w:p w14:paraId="7B9A26D1">
            <w:pPr>
              <w:autoSpaceDE w:val="0"/>
              <w:autoSpaceDN w:val="0"/>
              <w:adjustRightInd w:val="0"/>
              <w:spacing w:line="360" w:lineRule="auto"/>
              <w:jc w:val="left"/>
              <w:rPr>
                <w:rFonts w:ascii="宋体" w:hAnsi="宋体" w:cs="宋体"/>
                <w:bCs/>
                <w:szCs w:val="21"/>
                <w:lang w:val="zh-CN"/>
              </w:rPr>
            </w:pPr>
          </w:p>
        </w:tc>
        <w:tc>
          <w:tcPr>
            <w:tcW w:w="1550" w:type="dxa"/>
            <w:vAlign w:val="center"/>
          </w:tcPr>
          <w:p w14:paraId="65F76BDE">
            <w:pPr>
              <w:wordWrap w:val="0"/>
              <w:spacing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依法缴纳社会保障资金证明材料</w:t>
            </w:r>
          </w:p>
        </w:tc>
        <w:tc>
          <w:tcPr>
            <w:tcW w:w="6054" w:type="dxa"/>
            <w:vAlign w:val="top"/>
          </w:tcPr>
          <w:p w14:paraId="7F27A5D4">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供应商提供的社会保障资金缴纳凭据应符合下列规定：a.投标截止时间前（不含投标截止时间的当月）已依法缴纳社会保障资金的投标人，提供近6个月（202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01</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月）任意一个月社保证明。b.投标截止时间的当月成立的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，视同满足本项资格条件要求。c.若为依法不需要缴纳或暂缓缴纳社会保障资金的供应商，提供依法不需要缴纳或暂缓缴纳社会保障资金证明材料的，视同满足本项资格条件要求。</w:t>
            </w:r>
          </w:p>
        </w:tc>
      </w:tr>
      <w:tr w14:paraId="6A7D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6E5EFC3">
            <w:pPr>
              <w:autoSpaceDE w:val="0"/>
              <w:autoSpaceDN w:val="0"/>
              <w:adjustRightInd w:val="0"/>
              <w:spacing w:line="360" w:lineRule="auto"/>
              <w:jc w:val="center"/>
              <w:rPr>
                <w:rFonts w:ascii="宋体" w:hAnsi="宋体" w:cs="宋体"/>
                <w:bCs/>
                <w:szCs w:val="21"/>
                <w:lang w:val="zh-CN"/>
              </w:rPr>
            </w:pPr>
          </w:p>
        </w:tc>
        <w:tc>
          <w:tcPr>
            <w:tcW w:w="912" w:type="dxa"/>
            <w:vMerge w:val="continue"/>
          </w:tcPr>
          <w:p w14:paraId="6E56FC92">
            <w:pPr>
              <w:autoSpaceDE w:val="0"/>
              <w:autoSpaceDN w:val="0"/>
              <w:adjustRightInd w:val="0"/>
              <w:spacing w:line="360" w:lineRule="auto"/>
              <w:jc w:val="left"/>
              <w:rPr>
                <w:rFonts w:ascii="宋体" w:hAnsi="宋体" w:cs="宋体"/>
                <w:bCs/>
                <w:szCs w:val="21"/>
                <w:lang w:val="zh-CN"/>
              </w:rPr>
            </w:pPr>
          </w:p>
        </w:tc>
        <w:tc>
          <w:tcPr>
            <w:tcW w:w="1550" w:type="dxa"/>
            <w:vAlign w:val="top"/>
          </w:tcPr>
          <w:p w14:paraId="04EA4036">
            <w:pPr>
              <w:pStyle w:val="35"/>
              <w:spacing w:line="360" w:lineRule="auto"/>
              <w:jc w:val="center"/>
              <w:rPr>
                <w:rFonts w:hint="eastAsia" w:ascii="宋体" w:hAnsi="宋体" w:cs="宋体"/>
                <w:bCs/>
                <w:szCs w:val="21"/>
                <w:lang w:val="zh-CN"/>
              </w:rPr>
            </w:pPr>
            <w:r>
              <w:rPr>
                <w:rFonts w:hint="eastAsia" w:ascii="宋体" w:hAnsi="宋体" w:eastAsia="宋体" w:cs="宋体"/>
                <w:color w:val="auto"/>
                <w:kern w:val="2"/>
                <w:sz w:val="24"/>
                <w:szCs w:val="24"/>
                <w:lang w:val="en-US" w:eastAsia="zh-CN" w:bidi="ar-SA"/>
              </w:rPr>
              <w:t>具备履行合同所必需设备和专业技术能力的声明函</w:t>
            </w:r>
          </w:p>
        </w:tc>
        <w:tc>
          <w:tcPr>
            <w:tcW w:w="6054" w:type="dxa"/>
            <w:vAlign w:val="center"/>
          </w:tcPr>
          <w:p w14:paraId="26582AC7">
            <w:pPr>
              <w:wordWrap w:val="0"/>
              <w:spacing w:line="360" w:lineRule="auto"/>
              <w:jc w:val="both"/>
              <w:rPr>
                <w:rFonts w:hint="eastAsia" w:ascii="宋体" w:hAnsi="宋体" w:cs="宋体"/>
                <w:bCs/>
                <w:szCs w:val="21"/>
              </w:rPr>
            </w:pPr>
            <w:r>
              <w:rPr>
                <w:rFonts w:hint="eastAsia" w:ascii="宋体" w:hAnsi="宋体" w:eastAsia="宋体" w:cs="宋体"/>
                <w:color w:val="auto"/>
                <w:kern w:val="2"/>
                <w:sz w:val="24"/>
                <w:szCs w:val="24"/>
                <w:lang w:val="en-US" w:eastAsia="zh-CN" w:bidi="ar-SA"/>
              </w:rPr>
              <w:t>提供具备履行合同所必需的设备和专业技术能力证明材料或具备履行合同所必需设备和专业技术能力的声明函。</w:t>
            </w:r>
          </w:p>
        </w:tc>
      </w:tr>
      <w:tr w14:paraId="082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6C61A7">
            <w:pPr>
              <w:autoSpaceDE w:val="0"/>
              <w:autoSpaceDN w:val="0"/>
              <w:adjustRightInd w:val="0"/>
              <w:spacing w:line="360" w:lineRule="auto"/>
              <w:jc w:val="center"/>
              <w:rPr>
                <w:rFonts w:ascii="宋体" w:hAnsi="宋体" w:cs="宋体"/>
                <w:bCs/>
                <w:szCs w:val="21"/>
                <w:lang w:val="zh-CN"/>
              </w:rPr>
            </w:pPr>
          </w:p>
        </w:tc>
        <w:tc>
          <w:tcPr>
            <w:tcW w:w="912" w:type="dxa"/>
            <w:vMerge w:val="continue"/>
          </w:tcPr>
          <w:p w14:paraId="3E2147D6">
            <w:pPr>
              <w:autoSpaceDE w:val="0"/>
              <w:autoSpaceDN w:val="0"/>
              <w:adjustRightInd w:val="0"/>
              <w:spacing w:line="360" w:lineRule="auto"/>
              <w:jc w:val="left"/>
              <w:rPr>
                <w:rFonts w:ascii="宋体" w:hAnsi="宋体" w:cs="宋体"/>
                <w:bCs/>
                <w:szCs w:val="21"/>
                <w:lang w:val="zh-CN"/>
              </w:rPr>
            </w:pPr>
          </w:p>
        </w:tc>
        <w:tc>
          <w:tcPr>
            <w:tcW w:w="1550" w:type="dxa"/>
            <w:vAlign w:val="center"/>
          </w:tcPr>
          <w:p w14:paraId="74695227">
            <w:pPr>
              <w:wordWrap w:val="0"/>
              <w:spacing w:line="360" w:lineRule="auto"/>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信誉要求</w:t>
            </w:r>
          </w:p>
        </w:tc>
        <w:tc>
          <w:tcPr>
            <w:tcW w:w="6054" w:type="dxa"/>
            <w:vAlign w:val="center"/>
          </w:tcPr>
          <w:p w14:paraId="2B421EFE">
            <w:pPr>
              <w:wordWrap w:val="0"/>
              <w:spacing w:line="360" w:lineRule="auto"/>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（1）不接受列入政府取消投标资格记录期间的企业或个人参加投标；参加政府采购活动前三年内，在经营活动中没有重大违法记录，附由法定代表人或其委托代理人签字并加盖投标单位公章的承诺书。</w:t>
            </w:r>
          </w:p>
          <w:p w14:paraId="2D694FB3">
            <w:pPr>
              <w:wordWrap w:val="0"/>
              <w:spacing w:line="360" w:lineRule="auto"/>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1F439F28">
            <w:pPr>
              <w:wordWrap w:val="0"/>
              <w:spacing w:line="360" w:lineRule="auto"/>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与采购人存在利害关系可能影响采购公正性的法人、其它组织或者个人，不得参加投标；单位负责人为同一人或者存在直接控股、管理关系的不同供应商，不得参加同一合同项下的政府采购活动。否则相关投标无效。附由法定代表人或其委托代理人签字并加盖投标单位公章的承诺书</w:t>
            </w:r>
          </w:p>
        </w:tc>
      </w:tr>
      <w:tr w14:paraId="4FD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9218CFE">
            <w:pPr>
              <w:autoSpaceDE w:val="0"/>
              <w:autoSpaceDN w:val="0"/>
              <w:adjustRightInd w:val="0"/>
              <w:spacing w:line="360" w:lineRule="auto"/>
              <w:jc w:val="center"/>
              <w:rPr>
                <w:rFonts w:ascii="宋体" w:hAnsi="宋体" w:cs="宋体"/>
                <w:bCs/>
                <w:szCs w:val="21"/>
                <w:lang w:val="zh-CN"/>
              </w:rPr>
            </w:pPr>
          </w:p>
        </w:tc>
        <w:tc>
          <w:tcPr>
            <w:tcW w:w="912" w:type="dxa"/>
            <w:vMerge w:val="continue"/>
          </w:tcPr>
          <w:p w14:paraId="6DC8B4CB">
            <w:pPr>
              <w:autoSpaceDE w:val="0"/>
              <w:autoSpaceDN w:val="0"/>
              <w:adjustRightInd w:val="0"/>
              <w:spacing w:line="360" w:lineRule="auto"/>
              <w:jc w:val="left"/>
              <w:rPr>
                <w:rFonts w:ascii="宋体" w:hAnsi="宋体" w:cs="宋体"/>
                <w:bCs/>
                <w:szCs w:val="21"/>
                <w:lang w:val="zh-CN"/>
              </w:rPr>
            </w:pPr>
          </w:p>
        </w:tc>
        <w:tc>
          <w:tcPr>
            <w:tcW w:w="1550" w:type="dxa"/>
            <w:vAlign w:val="center"/>
          </w:tcPr>
          <w:p w14:paraId="33FE939A">
            <w:pPr>
              <w:wordWrap w:val="0"/>
              <w:spacing w:line="360" w:lineRule="auto"/>
              <w:jc w:val="center"/>
              <w:rPr>
                <w:rFonts w:ascii="宋体" w:hAnsi="宋体" w:cs="宋体"/>
                <w:bCs/>
                <w:sz w:val="24"/>
                <w:szCs w:val="24"/>
                <w:lang w:val="zh-CN"/>
              </w:rPr>
            </w:pPr>
            <w:r>
              <w:rPr>
                <w:rFonts w:hint="eastAsia" w:ascii="宋体" w:hAnsi="宋体" w:cs="宋体"/>
                <w:color w:val="auto"/>
                <w:sz w:val="24"/>
                <w:szCs w:val="24"/>
              </w:rPr>
              <w:t>其它要求</w:t>
            </w:r>
          </w:p>
        </w:tc>
        <w:tc>
          <w:tcPr>
            <w:tcW w:w="6054" w:type="dxa"/>
            <w:vAlign w:val="center"/>
          </w:tcPr>
          <w:p w14:paraId="679B78CD">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1、对</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文件的全部条款做出实质性响应；</w:t>
            </w:r>
          </w:p>
          <w:p w14:paraId="7B979E30">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2、本项目不接受联合体投标、不允许分包；</w:t>
            </w:r>
          </w:p>
          <w:p w14:paraId="288D791F">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3、不存在</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文件要求的其他无效投标的情形；</w:t>
            </w:r>
          </w:p>
          <w:p w14:paraId="639AE39B">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4、不存在</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文件中规定的其他废标条款。</w:t>
            </w:r>
          </w:p>
          <w:p w14:paraId="0BA3CC4B">
            <w:pPr>
              <w:wordWrap w:val="0"/>
              <w:spacing w:line="360" w:lineRule="auto"/>
              <w:jc w:val="left"/>
              <w:rPr>
                <w:rFonts w:ascii="宋体" w:hAnsi="宋体" w:cs="宋体"/>
                <w:bCs/>
                <w:sz w:val="24"/>
                <w:szCs w:val="24"/>
                <w:lang w:val="zh-CN"/>
              </w:rPr>
            </w:pPr>
            <w:r>
              <w:rPr>
                <w:rFonts w:hint="eastAsia" w:ascii="宋体" w:hAnsi="宋体" w:eastAsia="宋体" w:cs="宋体"/>
                <w:bCs/>
                <w:sz w:val="24"/>
                <w:szCs w:val="24"/>
                <w:lang w:val="zh-CN"/>
              </w:rPr>
              <w:t>满足</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文件的要求为合格，否则为不合格。</w:t>
            </w:r>
          </w:p>
        </w:tc>
      </w:tr>
    </w:tbl>
    <w:p w14:paraId="11643105">
      <w:pPr>
        <w:rPr>
          <w:rFonts w:ascii="宋体" w:hAnsi="宋体" w:cs="宋体"/>
          <w:sz w:val="18"/>
          <w:szCs w:val="18"/>
        </w:rPr>
      </w:pPr>
    </w:p>
    <w:p w14:paraId="3E0588AD">
      <w:pPr>
        <w:ind w:firstLine="241" w:firstLineChars="100"/>
        <w:outlineLvl w:val="1"/>
        <w:rPr>
          <w:rFonts w:ascii="宋体" w:hAnsi="宋体" w:cs="宋体"/>
          <w:b/>
          <w:sz w:val="24"/>
        </w:rPr>
      </w:pPr>
    </w:p>
    <w:p w14:paraId="60207C8B">
      <w:pPr>
        <w:ind w:firstLine="241" w:firstLineChars="100"/>
        <w:outlineLvl w:val="1"/>
        <w:rPr>
          <w:rFonts w:ascii="宋体" w:hAnsi="宋体" w:cs="宋体"/>
          <w:b/>
          <w:sz w:val="24"/>
        </w:rPr>
      </w:pPr>
    </w:p>
    <w:p w14:paraId="3573150F">
      <w:pPr>
        <w:rPr>
          <w:rFonts w:hint="eastAsia" w:ascii="宋体" w:hAnsi="宋体" w:cs="宋体"/>
          <w:b/>
          <w:sz w:val="24"/>
        </w:rPr>
      </w:pPr>
      <w:r>
        <w:rPr>
          <w:rFonts w:hint="eastAsia" w:ascii="宋体" w:hAnsi="宋体" w:cs="宋体"/>
          <w:b/>
          <w:sz w:val="24"/>
        </w:rPr>
        <w:br w:type="page"/>
      </w:r>
    </w:p>
    <w:p w14:paraId="30F304A1">
      <w:pPr>
        <w:ind w:firstLine="241" w:firstLineChars="100"/>
        <w:outlineLvl w:val="1"/>
        <w:rPr>
          <w:rFonts w:ascii="宋体" w:hAnsi="宋体" w:cs="宋体"/>
          <w:b/>
          <w:bCs/>
          <w:kern w:val="44"/>
          <w:sz w:val="24"/>
        </w:rPr>
      </w:pPr>
      <w:bookmarkStart w:id="34" w:name="_Toc28388"/>
      <w:r>
        <w:rPr>
          <w:rFonts w:hint="eastAsia" w:ascii="宋体" w:hAnsi="宋体" w:cs="宋体"/>
          <w:b/>
          <w:sz w:val="24"/>
        </w:rPr>
        <w:t>（二）符合性评审前附表</w:t>
      </w:r>
      <w:bookmarkEnd w:id="34"/>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BBE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41B5E27E">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条款号</w:t>
            </w:r>
          </w:p>
        </w:tc>
        <w:tc>
          <w:tcPr>
            <w:tcW w:w="1550" w:type="dxa"/>
            <w:shd w:val="clear" w:color="auto" w:fill="D7D7D7"/>
            <w:vAlign w:val="center"/>
          </w:tcPr>
          <w:p w14:paraId="7729B5E2">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评审因素</w:t>
            </w:r>
          </w:p>
        </w:tc>
        <w:tc>
          <w:tcPr>
            <w:tcW w:w="6054" w:type="dxa"/>
            <w:shd w:val="clear" w:color="auto" w:fill="D7D7D7"/>
            <w:vAlign w:val="center"/>
          </w:tcPr>
          <w:p w14:paraId="08C8BA62">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评审标准</w:t>
            </w:r>
          </w:p>
        </w:tc>
      </w:tr>
      <w:tr w14:paraId="49C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4" w:type="dxa"/>
            <w:vMerge w:val="restart"/>
            <w:vAlign w:val="center"/>
          </w:tcPr>
          <w:p w14:paraId="6949572D">
            <w:pPr>
              <w:autoSpaceDE w:val="0"/>
              <w:autoSpaceDN w:val="0"/>
              <w:adjustRightIn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2.1</w:t>
            </w:r>
          </w:p>
        </w:tc>
        <w:tc>
          <w:tcPr>
            <w:tcW w:w="912" w:type="dxa"/>
            <w:vMerge w:val="restart"/>
            <w:vAlign w:val="center"/>
          </w:tcPr>
          <w:p w14:paraId="48052E4F">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rPr>
              <w:t>符合性</w:t>
            </w:r>
          </w:p>
          <w:p w14:paraId="463FA96B">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评审</w:t>
            </w:r>
          </w:p>
          <w:p w14:paraId="5C0D941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标准</w:t>
            </w:r>
          </w:p>
          <w:p w14:paraId="60910898">
            <w:pPr>
              <w:autoSpaceDE w:val="0"/>
              <w:autoSpaceDN w:val="0"/>
              <w:adjustRightInd w:val="0"/>
              <w:spacing w:line="400" w:lineRule="exact"/>
              <w:jc w:val="center"/>
              <w:rPr>
                <w:rFonts w:ascii="宋体" w:hAnsi="宋体" w:cs="宋体"/>
                <w:bCs/>
                <w:szCs w:val="21"/>
                <w:lang w:val="zh-CN"/>
              </w:rPr>
            </w:pPr>
          </w:p>
        </w:tc>
        <w:tc>
          <w:tcPr>
            <w:tcW w:w="1550" w:type="dxa"/>
            <w:vAlign w:val="center"/>
          </w:tcPr>
          <w:p w14:paraId="38725D60">
            <w:pPr>
              <w:wordWrap w:val="0"/>
              <w:jc w:val="center"/>
              <w:rPr>
                <w:rFonts w:hint="eastAsia" w:ascii="宋体" w:hAnsi="宋体" w:cs="宋体"/>
                <w:color w:val="auto"/>
                <w:sz w:val="24"/>
                <w:szCs w:val="24"/>
                <w:lang w:val="zh-CN"/>
              </w:rPr>
            </w:pPr>
            <w:r>
              <w:rPr>
                <w:rFonts w:hint="eastAsia" w:ascii="宋体" w:hAnsi="宋体" w:cs="宋体"/>
                <w:color w:val="auto"/>
                <w:sz w:val="24"/>
                <w:szCs w:val="24"/>
                <w:lang w:val="zh-CN"/>
              </w:rPr>
              <w:t>投标内容</w:t>
            </w:r>
          </w:p>
        </w:tc>
        <w:tc>
          <w:tcPr>
            <w:tcW w:w="6054" w:type="dxa"/>
            <w:vAlign w:val="center"/>
          </w:tcPr>
          <w:p w14:paraId="700E9726">
            <w:pPr>
              <w:wordWrap w:val="0"/>
              <w:jc w:val="left"/>
              <w:rPr>
                <w:rFonts w:hint="eastAsia" w:ascii="宋体" w:hAnsi="宋体" w:cs="宋体"/>
                <w:color w:val="auto"/>
                <w:sz w:val="24"/>
                <w:szCs w:val="24"/>
                <w:lang w:val="zh-CN"/>
              </w:rPr>
            </w:pPr>
            <w:r>
              <w:rPr>
                <w:rFonts w:hint="eastAsia" w:ascii="宋体" w:hAnsi="宋体" w:cs="宋体"/>
                <w:color w:val="auto"/>
                <w:sz w:val="24"/>
                <w:szCs w:val="24"/>
                <w:lang w:val="zh-CN"/>
              </w:rPr>
              <w:t>符合谈判文件规定。</w:t>
            </w:r>
          </w:p>
        </w:tc>
      </w:tr>
      <w:tr w14:paraId="03B5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4" w:type="dxa"/>
            <w:vMerge w:val="continue"/>
          </w:tcPr>
          <w:p w14:paraId="00706F78">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307A5BC3">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417376D">
            <w:pPr>
              <w:pStyle w:val="1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货</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期</w:t>
            </w:r>
          </w:p>
        </w:tc>
        <w:tc>
          <w:tcPr>
            <w:tcW w:w="6054" w:type="dxa"/>
            <w:vAlign w:val="center"/>
          </w:tcPr>
          <w:p w14:paraId="468B423A">
            <w:pPr>
              <w:autoSpaceDE w:val="0"/>
              <w:autoSpaceDN w:val="0"/>
              <w:adjustRightIn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zh-CN" w:eastAsia="zh-CN" w:bidi="ar-SA"/>
              </w:rPr>
              <w:t>天内完成。</w:t>
            </w:r>
          </w:p>
        </w:tc>
      </w:tr>
      <w:tr w14:paraId="412F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64873EE9">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51CDE365">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BB11061">
            <w:pPr>
              <w:pStyle w:val="1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供货地点</w:t>
            </w:r>
          </w:p>
        </w:tc>
        <w:tc>
          <w:tcPr>
            <w:tcW w:w="6054" w:type="dxa"/>
            <w:vAlign w:val="center"/>
          </w:tcPr>
          <w:p w14:paraId="39DCEC73">
            <w:pPr>
              <w:pStyle w:val="10"/>
              <w:tabs>
                <w:tab w:val="clear" w:pos="4153"/>
                <w:tab w:val="clear" w:pos="8306"/>
              </w:tabs>
              <w:autoSpaceDE w:val="0"/>
              <w:autoSpaceDN w:val="0"/>
              <w:adjustRightInd w:val="0"/>
              <w:snapToGrid/>
              <w:spacing w:line="4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吉林司法警官职业学院。</w:t>
            </w:r>
          </w:p>
        </w:tc>
      </w:tr>
      <w:tr w14:paraId="7311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4CC92F12">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7C1AF4AE">
            <w:pPr>
              <w:autoSpaceDE w:val="0"/>
              <w:autoSpaceDN w:val="0"/>
              <w:adjustRightInd w:val="0"/>
              <w:spacing w:line="400" w:lineRule="exact"/>
              <w:jc w:val="left"/>
              <w:rPr>
                <w:rFonts w:ascii="宋体" w:hAnsi="宋体" w:cs="宋体"/>
                <w:bCs/>
                <w:szCs w:val="21"/>
                <w:lang w:val="zh-CN"/>
              </w:rPr>
            </w:pPr>
          </w:p>
        </w:tc>
        <w:tc>
          <w:tcPr>
            <w:tcW w:w="1550" w:type="dxa"/>
            <w:vAlign w:val="center"/>
          </w:tcPr>
          <w:p w14:paraId="6987A02D">
            <w:pPr>
              <w:wordWrap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谈判有效期</w:t>
            </w:r>
          </w:p>
        </w:tc>
        <w:tc>
          <w:tcPr>
            <w:tcW w:w="6054" w:type="dxa"/>
            <w:vAlign w:val="center"/>
          </w:tcPr>
          <w:p w14:paraId="08436934">
            <w:pPr>
              <w:wordWrap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响应文件截止之日后90</w:t>
            </w:r>
            <w:r>
              <w:rPr>
                <w:rFonts w:hint="eastAsia" w:ascii="宋体" w:hAnsi="宋体" w:eastAsia="宋体" w:cs="宋体"/>
                <w:color w:val="auto"/>
                <w:kern w:val="2"/>
                <w:sz w:val="24"/>
                <w:szCs w:val="24"/>
                <w:lang w:val="zh-CN" w:eastAsia="zh-CN" w:bidi="ar-SA"/>
              </w:rPr>
              <w:t>天（日历天）</w:t>
            </w:r>
          </w:p>
        </w:tc>
      </w:tr>
      <w:tr w14:paraId="6BDA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64" w:type="dxa"/>
            <w:vMerge w:val="continue"/>
          </w:tcPr>
          <w:p w14:paraId="62917446">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39A62717">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AA594CC">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技术条款响应</w:t>
            </w:r>
          </w:p>
        </w:tc>
        <w:tc>
          <w:tcPr>
            <w:tcW w:w="6054" w:type="dxa"/>
            <w:vAlign w:val="center"/>
          </w:tcPr>
          <w:p w14:paraId="208145AE">
            <w:pPr>
              <w:pStyle w:val="6"/>
              <w:rPr>
                <w:rFonts w:hint="default"/>
                <w:highlight w:val="none"/>
                <w:lang w:val="en-US" w:eastAsia="zh-CN"/>
              </w:rPr>
            </w:pP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文件满足</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文件第二章项目需求中所有技术条款要求</w:t>
            </w:r>
          </w:p>
        </w:tc>
      </w:tr>
      <w:tr w14:paraId="2DDC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34EE7A89">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680DC046">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4FDC2CC">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电子签字和盖章要求</w:t>
            </w:r>
          </w:p>
        </w:tc>
        <w:tc>
          <w:tcPr>
            <w:tcW w:w="6054" w:type="dxa"/>
            <w:vAlign w:val="center"/>
          </w:tcPr>
          <w:p w14:paraId="17A10CE2">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按照</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文件规定的要求执行为合格，否则为不合格。</w:t>
            </w:r>
          </w:p>
        </w:tc>
      </w:tr>
      <w:tr w14:paraId="5E0E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549C7F26">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64B3EDF1">
            <w:pPr>
              <w:autoSpaceDE w:val="0"/>
              <w:autoSpaceDN w:val="0"/>
              <w:adjustRightInd w:val="0"/>
              <w:spacing w:line="400" w:lineRule="exact"/>
              <w:jc w:val="left"/>
              <w:rPr>
                <w:rFonts w:ascii="宋体" w:hAnsi="宋体" w:cs="宋体"/>
                <w:bCs/>
                <w:szCs w:val="21"/>
                <w:lang w:val="zh-CN"/>
              </w:rPr>
            </w:pPr>
          </w:p>
        </w:tc>
        <w:tc>
          <w:tcPr>
            <w:tcW w:w="1550" w:type="dxa"/>
            <w:vAlign w:val="center"/>
          </w:tcPr>
          <w:p w14:paraId="23004FD0">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投标价格</w:t>
            </w:r>
          </w:p>
        </w:tc>
        <w:tc>
          <w:tcPr>
            <w:tcW w:w="6054" w:type="dxa"/>
            <w:vAlign w:val="center"/>
          </w:tcPr>
          <w:p w14:paraId="2E8A6764">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投标总价不高于招标控制价，且不低于成本。</w:t>
            </w:r>
          </w:p>
        </w:tc>
      </w:tr>
    </w:tbl>
    <w:p w14:paraId="7A8CD731">
      <w:pPr>
        <w:rPr>
          <w:rFonts w:ascii="宋体" w:hAnsi="宋体" w:cs="宋体"/>
          <w:sz w:val="18"/>
          <w:szCs w:val="18"/>
        </w:rPr>
      </w:pPr>
    </w:p>
    <w:p w14:paraId="6359132D">
      <w:pPr>
        <w:rPr>
          <w:rFonts w:ascii="宋体" w:hAnsi="宋体" w:cs="宋体"/>
          <w:b/>
          <w:bCs/>
          <w:szCs w:val="21"/>
        </w:rPr>
      </w:pPr>
      <w:r>
        <w:rPr>
          <w:rFonts w:hint="eastAsia" w:ascii="宋体" w:hAnsi="宋体" w:cs="宋体"/>
          <w:b/>
          <w:bCs/>
          <w:szCs w:val="21"/>
        </w:rPr>
        <w:t>注：评标委员会将依据上表标准对投标文件进行初步评审。有一项不符合评审标准的，评标委员会应当否决其投标。</w:t>
      </w:r>
    </w:p>
    <w:p w14:paraId="66352B02">
      <w:pPr>
        <w:rPr>
          <w:rFonts w:hint="eastAsia" w:hAnsi="宋体" w:cs="宋体"/>
          <w:b/>
          <w:bCs/>
          <w:szCs w:val="21"/>
        </w:rPr>
      </w:pPr>
      <w:r>
        <w:rPr>
          <w:rFonts w:hint="eastAsia" w:hAnsi="宋体" w:cs="宋体"/>
          <w:b/>
          <w:bCs/>
          <w:szCs w:val="21"/>
        </w:rPr>
        <w:br w:type="page"/>
      </w:r>
    </w:p>
    <w:p w14:paraId="00B3DBD4">
      <w:pPr>
        <w:pStyle w:val="8"/>
        <w:spacing w:line="360" w:lineRule="auto"/>
        <w:rPr>
          <w:rFonts w:hAnsi="宋体" w:cs="宋体"/>
          <w:b/>
          <w:bCs/>
          <w:sz w:val="24"/>
          <w:szCs w:val="24"/>
        </w:rPr>
      </w:pPr>
      <w:r>
        <w:rPr>
          <w:rFonts w:hint="eastAsia" w:hAnsi="宋体" w:cs="宋体"/>
          <w:b/>
          <w:bCs/>
          <w:sz w:val="24"/>
          <w:szCs w:val="24"/>
        </w:rPr>
        <w:t>一、评审依据</w:t>
      </w:r>
    </w:p>
    <w:p w14:paraId="0C3625D6">
      <w:pPr>
        <w:pStyle w:val="8"/>
        <w:spacing w:line="360" w:lineRule="auto"/>
        <w:ind w:firstLine="480" w:firstLineChars="200"/>
        <w:rPr>
          <w:rFonts w:hAnsi="宋体" w:cs="宋体"/>
          <w:bCs/>
          <w:sz w:val="24"/>
          <w:szCs w:val="22"/>
        </w:rPr>
      </w:pPr>
      <w:r>
        <w:rPr>
          <w:rFonts w:hint="eastAsia" w:hAnsi="宋体" w:cs="宋体"/>
          <w:bCs/>
          <w:sz w:val="24"/>
          <w:szCs w:val="22"/>
        </w:rPr>
        <w:t>1. 评审依据：谈判小组以谈判文件和响应文件为评审依据。</w:t>
      </w:r>
    </w:p>
    <w:p w14:paraId="3EAC12B6">
      <w:pPr>
        <w:pStyle w:val="8"/>
        <w:spacing w:line="360" w:lineRule="auto"/>
        <w:ind w:firstLine="480" w:firstLineChars="200"/>
        <w:rPr>
          <w:rFonts w:hAnsi="宋体" w:cs="宋体"/>
          <w:bCs/>
          <w:sz w:val="24"/>
          <w:szCs w:val="22"/>
        </w:rPr>
      </w:pPr>
      <w:r>
        <w:rPr>
          <w:rFonts w:hint="eastAsia" w:hAnsi="宋体" w:cs="宋体"/>
          <w:bCs/>
          <w:sz w:val="24"/>
          <w:szCs w:val="22"/>
        </w:rPr>
        <w:t>2. 根据财库〔2012〕69号文规定，采购人和采购代理机构、竞争性谈判小组成员要严格遵守政府采购相关法律制度，依法履行各自职责，公正、客观、审慎地组织和参与评审工作。</w:t>
      </w:r>
    </w:p>
    <w:p w14:paraId="48C1BC92">
      <w:pPr>
        <w:pStyle w:val="8"/>
        <w:spacing w:line="360" w:lineRule="auto"/>
        <w:ind w:firstLine="482" w:firstLineChars="200"/>
        <w:rPr>
          <w:rFonts w:hAnsi="宋体" w:cs="宋体"/>
          <w:b/>
          <w:bCs/>
          <w:sz w:val="24"/>
          <w:szCs w:val="24"/>
        </w:rPr>
      </w:pPr>
      <w:r>
        <w:rPr>
          <w:rFonts w:hint="eastAsia" w:hAnsi="宋体" w:cs="宋体"/>
          <w:b/>
          <w:bCs/>
          <w:sz w:val="24"/>
          <w:szCs w:val="24"/>
        </w:rPr>
        <w:t>二、评审办法</w:t>
      </w:r>
    </w:p>
    <w:p w14:paraId="678654DC">
      <w:pPr>
        <w:pStyle w:val="8"/>
        <w:spacing w:line="360" w:lineRule="auto"/>
        <w:ind w:firstLine="420"/>
        <w:rPr>
          <w:rFonts w:hAnsi="宋体" w:cs="宋体"/>
          <w:kern w:val="0"/>
          <w:sz w:val="24"/>
          <w:szCs w:val="24"/>
        </w:rPr>
      </w:pPr>
      <w:r>
        <w:rPr>
          <w:rFonts w:hint="eastAsia" w:hAnsi="宋体" w:cs="宋体"/>
          <w:kern w:val="0"/>
          <w:sz w:val="24"/>
          <w:szCs w:val="24"/>
        </w:rPr>
        <w:t>1. 谈判小组应当从质量和服务均能满足竞争性谈判文件全部实质性响应要求的供应商中，按照评审第二次有效报价由低到高顺序提出3名以上（含3名）成交候选人。</w:t>
      </w:r>
    </w:p>
    <w:p w14:paraId="120E5841">
      <w:pPr>
        <w:pStyle w:val="8"/>
        <w:spacing w:line="360" w:lineRule="auto"/>
        <w:ind w:firstLine="480" w:firstLineChars="200"/>
        <w:rPr>
          <w:rFonts w:hAnsi="宋体" w:cs="宋体"/>
          <w:kern w:val="0"/>
          <w:sz w:val="24"/>
          <w:szCs w:val="24"/>
        </w:rPr>
      </w:pPr>
      <w:r>
        <w:rPr>
          <w:rFonts w:hint="eastAsia" w:hAnsi="宋体" w:cs="宋体"/>
          <w:kern w:val="0"/>
          <w:sz w:val="24"/>
          <w:szCs w:val="24"/>
        </w:rPr>
        <w:t>2. 按照《政府采购促进中小企业发展管理办法》（财库[2020]46号）、《关于进一步加大政府采购支持中小企业力度的通知》（财库[2022] 19号）、《关于政府采购支持监狱企业发展有关问题的通知》（财库[2014] 68号）、《关于促进残疾人就业政府采购政策的通知》（财库[2017] 141号）等国家文件最新规定：</w:t>
      </w:r>
    </w:p>
    <w:p w14:paraId="4FDEC52C">
      <w:pPr>
        <w:pStyle w:val="8"/>
        <w:spacing w:line="360" w:lineRule="auto"/>
        <w:ind w:firstLine="480" w:firstLineChars="200"/>
        <w:rPr>
          <w:rFonts w:hAnsi="宋体" w:cs="宋体"/>
          <w:sz w:val="24"/>
          <w:szCs w:val="22"/>
        </w:rPr>
      </w:pPr>
      <w:r>
        <w:rPr>
          <w:rFonts w:hint="eastAsia" w:hAnsi="宋体" w:cs="宋体"/>
          <w:sz w:val="24"/>
          <w:szCs w:val="22"/>
        </w:rPr>
        <w:t>（1）评审报价=最后报价（第二次有效报价）。</w:t>
      </w:r>
    </w:p>
    <w:p w14:paraId="2B6602EE">
      <w:pPr>
        <w:pStyle w:val="8"/>
        <w:spacing w:line="360" w:lineRule="auto"/>
        <w:ind w:firstLine="480" w:firstLineChars="200"/>
        <w:rPr>
          <w:rFonts w:hint="eastAsia" w:hAnsi="宋体" w:eastAsia="宋体" w:cs="宋体"/>
          <w:bCs/>
          <w:sz w:val="24"/>
          <w:szCs w:val="22"/>
          <w:lang w:val="en-US" w:eastAsia="zh-CN"/>
        </w:rPr>
      </w:pPr>
      <w:r>
        <w:rPr>
          <w:rFonts w:hint="eastAsia" w:hAnsi="宋体" w:cs="宋体"/>
          <w:bCs/>
          <w:color w:val="auto"/>
          <w:sz w:val="24"/>
          <w:szCs w:val="22"/>
        </w:rPr>
        <w:t>注：①供应商</w:t>
      </w:r>
      <w:r>
        <w:rPr>
          <w:rFonts w:hint="eastAsia" w:hAnsi="宋体" w:cs="宋体"/>
          <w:bCs/>
          <w:color w:val="auto"/>
          <w:sz w:val="24"/>
          <w:szCs w:val="22"/>
          <w:lang w:eastAsia="zh-CN"/>
        </w:rPr>
        <w:t>为</w:t>
      </w:r>
      <w:r>
        <w:rPr>
          <w:rFonts w:hint="eastAsia" w:hAnsi="宋体" w:cs="宋体"/>
          <w:bCs/>
          <w:color w:val="auto"/>
          <w:sz w:val="24"/>
          <w:szCs w:val="22"/>
        </w:rPr>
        <w:t>小型、微型企业的，视同为中型企业。②</w:t>
      </w:r>
      <w:r>
        <w:rPr>
          <w:rFonts w:hint="eastAsia" w:hAnsi="宋体" w:cs="宋体"/>
          <w:bCs/>
          <w:color w:val="auto"/>
          <w:kern w:val="0"/>
          <w:sz w:val="24"/>
          <w:szCs w:val="24"/>
        </w:rPr>
        <w:t>谈判小组应当按扣除后的报价由低到高进行排序，该扣除后报价仅作为评审报价排序，不作为合同签订报价，合同将按实际最后报价签订</w:t>
      </w:r>
      <w:r>
        <w:rPr>
          <w:rFonts w:hint="eastAsia" w:hAnsi="宋体" w:cs="宋体"/>
          <w:bCs/>
          <w:color w:val="auto"/>
          <w:kern w:val="0"/>
          <w:sz w:val="24"/>
          <w:szCs w:val="24"/>
          <w:lang w:eastAsia="zh-CN"/>
        </w:rPr>
        <w:t>。</w:t>
      </w:r>
    </w:p>
    <w:p w14:paraId="6118CF42">
      <w:pPr>
        <w:pStyle w:val="8"/>
        <w:spacing w:line="360" w:lineRule="auto"/>
        <w:ind w:firstLine="470" w:firstLineChars="196"/>
        <w:rPr>
          <w:rFonts w:hAnsi="宋体" w:cs="宋体"/>
          <w:bCs/>
          <w:sz w:val="24"/>
          <w:szCs w:val="22"/>
        </w:rPr>
      </w:pPr>
      <w:r>
        <w:rPr>
          <w:rFonts w:hint="eastAsia" w:hAnsi="宋体" w:cs="宋体"/>
          <w:bCs/>
          <w:sz w:val="24"/>
          <w:szCs w:val="24"/>
          <w:lang w:val="en-US" w:eastAsia="zh-CN"/>
        </w:rPr>
        <w:t>3</w:t>
      </w:r>
      <w:r>
        <w:rPr>
          <w:rFonts w:hint="eastAsia" w:hAnsi="宋体" w:cs="宋体"/>
          <w:bCs/>
          <w:sz w:val="24"/>
          <w:szCs w:val="24"/>
        </w:rPr>
        <w:t>. 评审时，</w:t>
      </w:r>
      <w:r>
        <w:rPr>
          <w:rFonts w:hint="eastAsia" w:hAnsi="宋体" w:cs="宋体"/>
          <w:bCs/>
          <w:sz w:val="24"/>
          <w:szCs w:val="22"/>
        </w:rPr>
        <w:t>应当将通过资格性审查和符合性审查各供应商的评审报价，按照</w:t>
      </w:r>
      <w:r>
        <w:rPr>
          <w:rFonts w:hint="eastAsia" w:hAnsi="宋体" w:cs="宋体"/>
          <w:bCs/>
          <w:kern w:val="0"/>
          <w:sz w:val="24"/>
          <w:szCs w:val="24"/>
        </w:rPr>
        <w:t>由低到高顺序排序，</w:t>
      </w:r>
      <w:r>
        <w:rPr>
          <w:rFonts w:hint="eastAsia" w:hAnsi="宋体" w:cs="宋体"/>
          <w:bCs/>
          <w:sz w:val="24"/>
          <w:szCs w:val="22"/>
        </w:rPr>
        <w:t>当评审报价相同时，以最后第二次报价低的优先排序；当最后报价相同时，采用抽签方式决定排序。</w:t>
      </w:r>
    </w:p>
    <w:p w14:paraId="17D1C970">
      <w:pPr>
        <w:pStyle w:val="8"/>
        <w:spacing w:line="360" w:lineRule="auto"/>
        <w:ind w:firstLine="470" w:firstLineChars="196"/>
        <w:rPr>
          <w:rFonts w:hAnsi="宋体" w:cs="宋体"/>
          <w:bCs/>
          <w:sz w:val="24"/>
          <w:szCs w:val="22"/>
        </w:rPr>
      </w:pPr>
      <w:r>
        <w:rPr>
          <w:rFonts w:hint="eastAsia" w:hAnsi="宋体" w:cs="宋体"/>
          <w:bCs/>
          <w:sz w:val="24"/>
          <w:szCs w:val="22"/>
          <w:lang w:val="en-US" w:eastAsia="zh-CN"/>
        </w:rPr>
        <w:t>4</w:t>
      </w:r>
      <w:r>
        <w:rPr>
          <w:rFonts w:hint="eastAsia" w:hAnsi="宋体" w:cs="宋体"/>
          <w:bCs/>
          <w:sz w:val="24"/>
          <w:szCs w:val="22"/>
        </w:rPr>
        <w:t>、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w:t>
      </w:r>
      <w:r>
        <w:rPr>
          <w:rFonts w:hint="eastAsia" w:hAnsi="宋体" w:cs="宋体"/>
          <w:bCs/>
          <w:sz w:val="24"/>
          <w:szCs w:val="22"/>
          <w:lang w:eastAsia="zh-CN"/>
        </w:rPr>
        <w:t>谈判</w:t>
      </w:r>
      <w:r>
        <w:rPr>
          <w:rFonts w:hint="eastAsia" w:hAnsi="宋体" w:cs="宋体"/>
          <w:bCs/>
          <w:sz w:val="24"/>
          <w:szCs w:val="22"/>
        </w:rPr>
        <w:t>文件规定的方式确定一个参加评标的供应商，</w:t>
      </w:r>
      <w:r>
        <w:rPr>
          <w:rFonts w:hint="eastAsia" w:hAnsi="宋体" w:cs="宋体"/>
          <w:bCs/>
          <w:sz w:val="24"/>
          <w:szCs w:val="22"/>
          <w:lang w:eastAsia="zh-CN"/>
        </w:rPr>
        <w:t>谈判</w:t>
      </w:r>
      <w:r>
        <w:rPr>
          <w:rFonts w:hint="eastAsia" w:hAnsi="宋体" w:cs="宋体"/>
          <w:bCs/>
          <w:sz w:val="24"/>
          <w:szCs w:val="22"/>
        </w:rPr>
        <w:t>文件未规定的采取随机抽取方式确定，其他投标无效。</w:t>
      </w:r>
    </w:p>
    <w:p w14:paraId="7FE185A8">
      <w:pPr>
        <w:pStyle w:val="8"/>
        <w:spacing w:line="360" w:lineRule="auto"/>
        <w:ind w:firstLine="480" w:firstLineChars="200"/>
        <w:rPr>
          <w:rFonts w:hAnsi="宋体" w:cs="宋体"/>
          <w:bCs/>
          <w:sz w:val="24"/>
          <w:szCs w:val="24"/>
        </w:rPr>
      </w:pPr>
      <w:r>
        <w:rPr>
          <w:rFonts w:hint="eastAsia" w:hAnsi="宋体" w:cs="宋体"/>
          <w:bCs/>
          <w:sz w:val="24"/>
          <w:szCs w:val="24"/>
        </w:rPr>
        <w:t>三、成交候选人推荐原则</w:t>
      </w:r>
    </w:p>
    <w:p w14:paraId="47074561">
      <w:pPr>
        <w:pStyle w:val="8"/>
        <w:tabs>
          <w:tab w:val="left" w:pos="4214"/>
        </w:tabs>
        <w:spacing w:line="360" w:lineRule="auto"/>
        <w:ind w:firstLine="480" w:firstLineChars="200"/>
        <w:rPr>
          <w:rFonts w:hAnsi="宋体" w:cs="宋体"/>
          <w:sz w:val="24"/>
          <w:szCs w:val="24"/>
        </w:rPr>
      </w:pPr>
      <w:r>
        <w:rPr>
          <w:rFonts w:hint="eastAsia" w:hAnsi="宋体" w:cs="宋体"/>
          <w:sz w:val="24"/>
          <w:szCs w:val="24"/>
        </w:rPr>
        <w:t>（1）采购单位应当确定谈判小组推荐排名第一的成交候选人为成交供应商。</w:t>
      </w:r>
    </w:p>
    <w:p w14:paraId="3D79DF1A">
      <w:pPr>
        <w:pStyle w:val="8"/>
        <w:spacing w:line="360" w:lineRule="auto"/>
        <w:ind w:firstLine="511" w:firstLineChars="213"/>
        <w:rPr>
          <w:rFonts w:hAnsi="宋体" w:cs="宋体"/>
          <w:sz w:val="24"/>
          <w:szCs w:val="24"/>
        </w:rPr>
      </w:pPr>
      <w:r>
        <w:rPr>
          <w:rFonts w:hint="eastAsia" w:hAnsi="宋体" w:cs="宋体"/>
          <w:sz w:val="24"/>
          <w:szCs w:val="24"/>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7151ACE">
      <w:pPr>
        <w:pStyle w:val="8"/>
        <w:spacing w:line="360" w:lineRule="auto"/>
        <w:ind w:firstLine="480" w:firstLineChars="200"/>
        <w:rPr>
          <w:rFonts w:hAnsi="宋体" w:cs="宋体"/>
          <w:sz w:val="24"/>
          <w:szCs w:val="24"/>
        </w:rPr>
      </w:pPr>
      <w:r>
        <w:rPr>
          <w:rFonts w:hint="eastAsia" w:hAnsi="宋体" w:cs="宋体"/>
          <w:sz w:val="24"/>
          <w:szCs w:val="24"/>
        </w:rPr>
        <w:t>（3）排名第二的成交候选人因前款规定的同样原因不能签订合同的，采购单位可以确定排名第三的成交候选人为成交供应商。</w:t>
      </w:r>
    </w:p>
    <w:p w14:paraId="488EABD0">
      <w:pPr>
        <w:pStyle w:val="5"/>
        <w:spacing w:line="360" w:lineRule="auto"/>
        <w:ind w:left="0" w:leftChars="0"/>
        <w:rPr>
          <w:rFonts w:ascii="宋体" w:hAnsi="宋体" w:cs="宋体"/>
          <w:sz w:val="24"/>
          <w:szCs w:val="24"/>
        </w:rPr>
      </w:pPr>
      <w:r>
        <w:rPr>
          <w:rFonts w:hint="eastAsia" w:ascii="宋体" w:hAnsi="宋体" w:cs="宋体"/>
          <w:sz w:val="24"/>
          <w:szCs w:val="24"/>
        </w:rPr>
        <w:t xml:space="preserve">     （4）采购人也可重新招标。</w:t>
      </w:r>
    </w:p>
    <w:p w14:paraId="050CBC41">
      <w:pPr>
        <w:pStyle w:val="8"/>
        <w:spacing w:line="360" w:lineRule="auto"/>
        <w:ind w:firstLine="482" w:firstLineChars="200"/>
        <w:rPr>
          <w:rFonts w:hAnsi="宋体" w:cs="宋体"/>
          <w:b/>
          <w:bCs/>
          <w:sz w:val="24"/>
          <w:szCs w:val="24"/>
        </w:rPr>
      </w:pPr>
      <w:r>
        <w:rPr>
          <w:rFonts w:hint="eastAsia" w:hAnsi="宋体" w:cs="宋体"/>
          <w:b/>
          <w:bCs/>
          <w:sz w:val="24"/>
          <w:szCs w:val="24"/>
        </w:rPr>
        <w:t>三、否绝投标</w:t>
      </w:r>
      <w:bookmarkStart w:id="35" w:name="_Toc252705915"/>
      <w:bookmarkStart w:id="36" w:name="_Toc231873587"/>
      <w:r>
        <w:rPr>
          <w:rFonts w:hint="eastAsia" w:hAnsi="宋体" w:cs="宋体"/>
          <w:b/>
          <w:bCs/>
          <w:sz w:val="24"/>
          <w:szCs w:val="24"/>
        </w:rPr>
        <w:t>情形</w:t>
      </w:r>
    </w:p>
    <w:bookmarkEnd w:id="35"/>
    <w:bookmarkEnd w:id="36"/>
    <w:p w14:paraId="59A6F5DE">
      <w:pPr>
        <w:spacing w:line="360" w:lineRule="auto"/>
        <w:ind w:firstLine="480" w:firstLineChars="200"/>
        <w:rPr>
          <w:rFonts w:ascii="宋体" w:hAnsi="宋体" w:cs="宋体"/>
          <w:sz w:val="24"/>
          <w:szCs w:val="36"/>
        </w:rPr>
      </w:pPr>
      <w:r>
        <w:rPr>
          <w:rFonts w:hint="eastAsia" w:ascii="宋体" w:hAnsi="宋体" w:cs="宋体"/>
          <w:sz w:val="24"/>
          <w:szCs w:val="36"/>
        </w:rPr>
        <w:t>3.1除谈判文件另有规定，供应商存在下列情况之一的，投标无效：</w:t>
      </w:r>
    </w:p>
    <w:p w14:paraId="1498EAA9">
      <w:pPr>
        <w:numPr>
          <w:ilvl w:val="0"/>
          <w:numId w:val="2"/>
        </w:numPr>
        <w:spacing w:line="360" w:lineRule="auto"/>
        <w:ind w:firstLine="480" w:firstLineChars="200"/>
        <w:rPr>
          <w:rFonts w:ascii="宋体" w:hAnsi="宋体" w:cs="宋体"/>
          <w:sz w:val="24"/>
          <w:szCs w:val="36"/>
        </w:rPr>
      </w:pPr>
      <w:r>
        <w:rPr>
          <w:rFonts w:hint="eastAsia" w:ascii="宋体" w:hAnsi="宋体" w:cs="宋体"/>
          <w:sz w:val="24"/>
          <w:szCs w:val="36"/>
        </w:rPr>
        <w:t>未按谈判文件编制要求进行编制响应文件和签字、盖章的；</w:t>
      </w:r>
    </w:p>
    <w:p w14:paraId="4A98B601">
      <w:pPr>
        <w:spacing w:line="360" w:lineRule="auto"/>
        <w:ind w:firstLine="480" w:firstLineChars="200"/>
        <w:rPr>
          <w:rFonts w:ascii="宋体" w:hAnsi="宋体" w:cs="宋体"/>
          <w:sz w:val="24"/>
          <w:szCs w:val="36"/>
        </w:rPr>
      </w:pPr>
      <w:r>
        <w:rPr>
          <w:rFonts w:hint="eastAsia" w:ascii="宋体" w:hAnsi="宋体" w:cs="宋体"/>
          <w:sz w:val="24"/>
          <w:szCs w:val="36"/>
        </w:rPr>
        <w:t>（2）响应文件未按谈判文件要求编制填写、签字盖章，或内容不全、字迹模糊、难以辨认的；</w:t>
      </w:r>
    </w:p>
    <w:p w14:paraId="7E3B17A7">
      <w:pPr>
        <w:spacing w:line="360" w:lineRule="auto"/>
        <w:ind w:firstLine="480" w:firstLineChars="200"/>
        <w:rPr>
          <w:rFonts w:ascii="宋体" w:hAnsi="宋体" w:cs="宋体"/>
          <w:sz w:val="24"/>
          <w:szCs w:val="36"/>
        </w:rPr>
      </w:pPr>
      <w:r>
        <w:rPr>
          <w:rFonts w:hint="eastAsia" w:ascii="宋体" w:hAnsi="宋体" w:cs="宋体"/>
          <w:sz w:val="24"/>
          <w:szCs w:val="36"/>
        </w:rPr>
        <w:t>（3）供应商不符合资格条件或未按谈判文件规定提供资格证明文件的；</w:t>
      </w:r>
    </w:p>
    <w:p w14:paraId="2C10BE15">
      <w:pPr>
        <w:spacing w:line="360" w:lineRule="auto"/>
        <w:ind w:firstLine="480" w:firstLineChars="200"/>
        <w:rPr>
          <w:rFonts w:ascii="宋体" w:hAnsi="宋体" w:cs="宋体"/>
          <w:sz w:val="24"/>
          <w:szCs w:val="36"/>
        </w:rPr>
      </w:pPr>
      <w:r>
        <w:rPr>
          <w:rFonts w:hint="eastAsia" w:ascii="宋体" w:hAnsi="宋体" w:cs="宋体"/>
          <w:sz w:val="24"/>
          <w:szCs w:val="36"/>
        </w:rPr>
        <w:t>（4）未能实质性响应谈判文件商务和技术要求的；</w:t>
      </w:r>
    </w:p>
    <w:p w14:paraId="3F3798D8">
      <w:pPr>
        <w:spacing w:line="360" w:lineRule="auto"/>
        <w:ind w:firstLine="480" w:firstLineChars="200"/>
        <w:rPr>
          <w:rFonts w:ascii="宋体" w:hAnsi="宋体" w:cs="宋体"/>
          <w:sz w:val="24"/>
          <w:szCs w:val="36"/>
        </w:rPr>
      </w:pPr>
      <w:r>
        <w:rPr>
          <w:rFonts w:hint="eastAsia" w:ascii="宋体" w:hAnsi="宋体" w:cs="宋体"/>
          <w:sz w:val="24"/>
          <w:szCs w:val="36"/>
        </w:rPr>
        <w:t>（5）投标有效期不足的或未响应的；</w:t>
      </w:r>
    </w:p>
    <w:p w14:paraId="7EBA9A6A">
      <w:pPr>
        <w:spacing w:line="360" w:lineRule="auto"/>
        <w:ind w:firstLine="480" w:firstLineChars="200"/>
        <w:rPr>
          <w:rFonts w:ascii="宋体" w:hAnsi="宋体" w:cs="宋体"/>
          <w:sz w:val="24"/>
          <w:szCs w:val="36"/>
        </w:rPr>
      </w:pPr>
      <w:r>
        <w:rPr>
          <w:rFonts w:hint="eastAsia" w:ascii="宋体" w:hAnsi="宋体" w:cs="宋体"/>
          <w:sz w:val="24"/>
          <w:szCs w:val="36"/>
        </w:rPr>
        <w:t>（6）报价货币不是人民币的;</w:t>
      </w:r>
    </w:p>
    <w:p w14:paraId="51392D9B">
      <w:pPr>
        <w:spacing w:line="360" w:lineRule="auto"/>
        <w:ind w:firstLine="480" w:firstLineChars="200"/>
        <w:rPr>
          <w:rFonts w:ascii="宋体" w:hAnsi="宋体" w:cs="宋体"/>
          <w:sz w:val="24"/>
          <w:szCs w:val="36"/>
        </w:rPr>
      </w:pPr>
      <w:r>
        <w:rPr>
          <w:rFonts w:hint="eastAsia" w:ascii="宋体" w:hAnsi="宋体" w:cs="宋体"/>
          <w:sz w:val="24"/>
          <w:szCs w:val="36"/>
        </w:rPr>
        <w:t>（7）报价超过谈判文件中规定的预算金额或者最高限价的；低于供应商成本价格；在规定时间内未作出说明和递交证明材料的；</w:t>
      </w:r>
    </w:p>
    <w:p w14:paraId="20761E5A">
      <w:pPr>
        <w:spacing w:line="360" w:lineRule="auto"/>
        <w:ind w:firstLine="480" w:firstLineChars="200"/>
        <w:rPr>
          <w:rFonts w:ascii="宋体" w:hAnsi="宋体" w:cs="宋体"/>
          <w:sz w:val="24"/>
          <w:szCs w:val="36"/>
        </w:rPr>
      </w:pPr>
      <w:r>
        <w:rPr>
          <w:rFonts w:hint="eastAsia" w:ascii="宋体" w:hAnsi="宋体" w:cs="宋体"/>
          <w:sz w:val="24"/>
          <w:szCs w:val="36"/>
        </w:rPr>
        <w:t>（8）串通投标或弄虚作假或有其他违法行为的；</w:t>
      </w:r>
    </w:p>
    <w:p w14:paraId="06387C26">
      <w:pPr>
        <w:spacing w:line="360" w:lineRule="auto"/>
        <w:ind w:firstLine="480" w:firstLineChars="200"/>
        <w:rPr>
          <w:rFonts w:ascii="宋体" w:hAnsi="宋体" w:cs="宋体"/>
          <w:sz w:val="24"/>
          <w:szCs w:val="36"/>
        </w:rPr>
      </w:pPr>
      <w:r>
        <w:rPr>
          <w:rFonts w:hint="eastAsia" w:ascii="宋体" w:hAnsi="宋体" w:cs="宋体"/>
          <w:sz w:val="24"/>
          <w:szCs w:val="36"/>
        </w:rPr>
        <w:t>（9）未按</w:t>
      </w:r>
      <w:r>
        <w:rPr>
          <w:rFonts w:hint="eastAsia" w:ascii="宋体" w:hAnsi="宋体" w:cs="宋体"/>
          <w:sz w:val="24"/>
          <w:szCs w:val="36"/>
          <w:lang w:eastAsia="zh-CN"/>
        </w:rPr>
        <w:t>谈判</w:t>
      </w:r>
      <w:r>
        <w:rPr>
          <w:rFonts w:hint="eastAsia" w:ascii="宋体" w:hAnsi="宋体" w:cs="宋体"/>
          <w:sz w:val="24"/>
          <w:szCs w:val="36"/>
        </w:rPr>
        <w:t>小组要求澄清、说明或补正的；</w:t>
      </w:r>
    </w:p>
    <w:p w14:paraId="1343F0A5">
      <w:pPr>
        <w:spacing w:line="360" w:lineRule="auto"/>
        <w:ind w:firstLine="480" w:firstLineChars="200"/>
        <w:rPr>
          <w:rFonts w:ascii="宋体" w:hAnsi="宋体" w:cs="宋体"/>
          <w:sz w:val="24"/>
          <w:szCs w:val="36"/>
        </w:rPr>
      </w:pPr>
      <w:r>
        <w:rPr>
          <w:rFonts w:hint="eastAsia" w:ascii="宋体" w:hAnsi="宋体" w:cs="宋体"/>
          <w:sz w:val="24"/>
          <w:szCs w:val="36"/>
        </w:rPr>
        <w:t>（10）未按谈判小组的要求在评审现场合理的时间内提供书面说明（必要时提交相关证明材料），或不能证明其报价合理性的；</w:t>
      </w:r>
    </w:p>
    <w:p w14:paraId="51544999">
      <w:pPr>
        <w:spacing w:line="360" w:lineRule="auto"/>
        <w:ind w:firstLine="480" w:firstLineChars="200"/>
        <w:rPr>
          <w:rFonts w:ascii="宋体" w:hAnsi="宋体" w:cs="宋体"/>
          <w:sz w:val="24"/>
          <w:szCs w:val="36"/>
        </w:rPr>
      </w:pPr>
      <w:r>
        <w:rPr>
          <w:rFonts w:hint="eastAsia" w:ascii="宋体" w:hAnsi="宋体" w:cs="宋体"/>
          <w:sz w:val="24"/>
          <w:szCs w:val="36"/>
        </w:rPr>
        <w:t>（11）未按谈判小组的要求确认修正后的报价的；</w:t>
      </w:r>
    </w:p>
    <w:p w14:paraId="56732C7B">
      <w:pPr>
        <w:spacing w:line="360" w:lineRule="auto"/>
        <w:ind w:firstLine="480" w:firstLineChars="200"/>
        <w:rPr>
          <w:rFonts w:ascii="宋体" w:hAnsi="宋体" w:cs="宋体"/>
          <w:sz w:val="24"/>
          <w:szCs w:val="36"/>
        </w:rPr>
      </w:pPr>
      <w:r>
        <w:rPr>
          <w:rFonts w:hint="eastAsia" w:ascii="宋体" w:hAnsi="宋体" w:cs="宋体"/>
          <w:sz w:val="24"/>
          <w:szCs w:val="36"/>
        </w:rPr>
        <w:t>（12）供应商符合第二章《供应商须知》第8.5.3条任何一种情形的；</w:t>
      </w:r>
    </w:p>
    <w:p w14:paraId="77C018BD">
      <w:pPr>
        <w:spacing w:line="360" w:lineRule="auto"/>
        <w:ind w:firstLine="480" w:firstLineChars="200"/>
        <w:rPr>
          <w:rFonts w:ascii="宋体" w:hAnsi="宋体" w:cs="宋体"/>
          <w:sz w:val="24"/>
          <w:szCs w:val="36"/>
        </w:rPr>
      </w:pPr>
      <w:r>
        <w:rPr>
          <w:rFonts w:hint="eastAsia" w:ascii="宋体" w:hAnsi="宋体" w:cs="宋体"/>
          <w:sz w:val="24"/>
          <w:szCs w:val="36"/>
        </w:rPr>
        <w:t>（13）响应文件含有采购人不能接受的附加条件的；</w:t>
      </w:r>
    </w:p>
    <w:p w14:paraId="01D4B959">
      <w:pPr>
        <w:spacing w:line="360" w:lineRule="auto"/>
        <w:ind w:firstLine="480" w:firstLineChars="200"/>
        <w:rPr>
          <w:rFonts w:ascii="宋体" w:hAnsi="宋体" w:cs="宋体"/>
          <w:sz w:val="24"/>
          <w:szCs w:val="36"/>
        </w:rPr>
      </w:pPr>
      <w:r>
        <w:rPr>
          <w:rFonts w:hint="eastAsia" w:ascii="宋体" w:hAnsi="宋体" w:cs="宋体"/>
          <w:sz w:val="24"/>
          <w:szCs w:val="36"/>
        </w:rPr>
        <w:t>（14）违反国家法律、法规和谈判文件规定的其他无效情形。</w:t>
      </w:r>
    </w:p>
    <w:p w14:paraId="3D497DF4">
      <w:pPr>
        <w:pStyle w:val="36"/>
        <w:spacing w:line="360" w:lineRule="auto"/>
        <w:rPr>
          <w:rFonts w:ascii="宋体" w:hAnsi="宋体" w:cs="宋体"/>
          <w:sz w:val="24"/>
          <w:szCs w:val="32"/>
        </w:rPr>
      </w:pPr>
      <w:r>
        <w:rPr>
          <w:rFonts w:hint="eastAsia" w:ascii="宋体" w:hAnsi="宋体" w:cs="宋体"/>
          <w:sz w:val="24"/>
          <w:szCs w:val="36"/>
        </w:rPr>
        <w:t>（15）谈判文件给出的“响应文件格式”中要求签字或盖章未响应的或随意更改响应文件格式的（包含签字处不允许盖章或盖章处不允许签字的情形）。</w:t>
      </w:r>
    </w:p>
    <w:p w14:paraId="7C711D69">
      <w:pPr>
        <w:spacing w:line="360" w:lineRule="auto"/>
        <w:ind w:firstLine="480" w:firstLineChars="200"/>
        <w:rPr>
          <w:rFonts w:ascii="宋体" w:hAnsi="宋体" w:cs="宋体"/>
          <w:sz w:val="24"/>
          <w:szCs w:val="36"/>
        </w:rPr>
      </w:pPr>
      <w:r>
        <w:rPr>
          <w:rFonts w:hint="eastAsia" w:ascii="宋体" w:hAnsi="宋体" w:cs="宋体"/>
          <w:sz w:val="24"/>
          <w:szCs w:val="36"/>
        </w:rPr>
        <w:t>3.2有下列情形之一的，视为供应商串通投标，其投标无效：</w:t>
      </w:r>
    </w:p>
    <w:p w14:paraId="5623A069">
      <w:pPr>
        <w:spacing w:line="360" w:lineRule="auto"/>
        <w:ind w:firstLine="480" w:firstLineChars="200"/>
        <w:rPr>
          <w:rFonts w:ascii="宋体" w:hAnsi="宋体" w:cs="宋体"/>
          <w:sz w:val="24"/>
          <w:szCs w:val="36"/>
        </w:rPr>
      </w:pPr>
      <w:r>
        <w:rPr>
          <w:rFonts w:hint="eastAsia" w:ascii="宋体" w:hAnsi="宋体" w:cs="宋体"/>
          <w:sz w:val="24"/>
          <w:szCs w:val="36"/>
        </w:rPr>
        <w:t>（1）不同供应商的响应文件由同一单位或者个人编制；</w:t>
      </w:r>
    </w:p>
    <w:p w14:paraId="57C37D09">
      <w:pPr>
        <w:spacing w:line="360" w:lineRule="auto"/>
        <w:ind w:firstLine="480" w:firstLineChars="200"/>
        <w:rPr>
          <w:rFonts w:ascii="宋体" w:hAnsi="宋体" w:cs="宋体"/>
          <w:sz w:val="24"/>
          <w:szCs w:val="36"/>
        </w:rPr>
      </w:pPr>
      <w:r>
        <w:rPr>
          <w:rFonts w:hint="eastAsia" w:ascii="宋体" w:hAnsi="宋体" w:cs="宋体"/>
          <w:sz w:val="24"/>
          <w:szCs w:val="36"/>
        </w:rPr>
        <w:t>（2）不同供应商委托同一单位或者个人办理投标事宜；</w:t>
      </w:r>
    </w:p>
    <w:p w14:paraId="0336F995">
      <w:pPr>
        <w:spacing w:line="360" w:lineRule="auto"/>
        <w:ind w:firstLine="480" w:firstLineChars="200"/>
        <w:rPr>
          <w:rFonts w:ascii="宋体" w:hAnsi="宋体" w:cs="宋体"/>
          <w:sz w:val="24"/>
          <w:szCs w:val="36"/>
        </w:rPr>
      </w:pPr>
      <w:r>
        <w:rPr>
          <w:rFonts w:hint="eastAsia" w:ascii="宋体" w:hAnsi="宋体" w:cs="宋体"/>
          <w:sz w:val="24"/>
          <w:szCs w:val="36"/>
        </w:rPr>
        <w:t>（3）不同供应商的响应文件载明的项目管理成员或者联系人员为同一人；</w:t>
      </w:r>
    </w:p>
    <w:p w14:paraId="064DC8D4">
      <w:pPr>
        <w:spacing w:line="360" w:lineRule="auto"/>
        <w:ind w:firstLine="480" w:firstLineChars="200"/>
        <w:rPr>
          <w:rFonts w:ascii="宋体" w:hAnsi="宋体" w:cs="宋体"/>
          <w:sz w:val="24"/>
          <w:szCs w:val="36"/>
        </w:rPr>
      </w:pPr>
      <w:r>
        <w:rPr>
          <w:rFonts w:hint="eastAsia" w:ascii="宋体" w:hAnsi="宋体" w:cs="宋体"/>
          <w:sz w:val="24"/>
          <w:szCs w:val="36"/>
        </w:rPr>
        <w:t>（4）不同供应商的响应文件异常一致或出现相同打印IP地址或报价呈规律性差异；</w:t>
      </w:r>
    </w:p>
    <w:p w14:paraId="5508674C">
      <w:pPr>
        <w:spacing w:line="360" w:lineRule="auto"/>
        <w:ind w:firstLine="480" w:firstLineChars="200"/>
        <w:rPr>
          <w:rFonts w:ascii="宋体" w:hAnsi="宋体" w:cs="宋体"/>
          <w:sz w:val="24"/>
          <w:szCs w:val="36"/>
        </w:rPr>
      </w:pPr>
      <w:r>
        <w:rPr>
          <w:rFonts w:hint="eastAsia" w:ascii="宋体" w:hAnsi="宋体" w:cs="宋体"/>
          <w:sz w:val="24"/>
          <w:szCs w:val="36"/>
        </w:rPr>
        <w:t>（5）不同供应商的响应文件相互混装；</w:t>
      </w:r>
    </w:p>
    <w:p w14:paraId="075815B2">
      <w:pPr>
        <w:spacing w:line="360" w:lineRule="auto"/>
        <w:ind w:firstLine="480" w:firstLineChars="200"/>
        <w:rPr>
          <w:rFonts w:ascii="宋体" w:hAnsi="宋体" w:cs="宋体"/>
          <w:sz w:val="24"/>
          <w:szCs w:val="36"/>
        </w:rPr>
      </w:pPr>
      <w:r>
        <w:rPr>
          <w:rFonts w:hint="eastAsia" w:ascii="宋体" w:hAnsi="宋体" w:cs="宋体"/>
          <w:sz w:val="24"/>
          <w:szCs w:val="36"/>
        </w:rPr>
        <w:t>（6）不同供应商的谈判保证金从同一单位或者个人的账户转出。</w:t>
      </w:r>
    </w:p>
    <w:p w14:paraId="1B33A9BD">
      <w:pPr>
        <w:spacing w:line="360" w:lineRule="auto"/>
        <w:rPr>
          <w:rFonts w:ascii="宋体" w:hAnsi="宋体" w:cs="宋体"/>
          <w:sz w:val="24"/>
          <w:szCs w:val="32"/>
        </w:rPr>
      </w:pPr>
    </w:p>
    <w:p w14:paraId="5CE208BB">
      <w:pPr>
        <w:pStyle w:val="8"/>
        <w:spacing w:line="360" w:lineRule="auto"/>
        <w:ind w:firstLine="480" w:firstLineChars="200"/>
        <w:rPr>
          <w:rFonts w:hAnsi="宋体" w:cs="宋体"/>
          <w:sz w:val="24"/>
          <w:szCs w:val="24"/>
        </w:rPr>
      </w:pPr>
    </w:p>
    <w:p w14:paraId="3C8BFE06">
      <w:pPr>
        <w:pStyle w:val="8"/>
        <w:spacing w:line="400" w:lineRule="exact"/>
        <w:ind w:left="309" w:leftChars="147"/>
        <w:rPr>
          <w:rFonts w:hAnsi="宋体" w:cs="宋体"/>
        </w:rPr>
      </w:pPr>
    </w:p>
    <w:p w14:paraId="3585DAF4">
      <w:pPr>
        <w:pStyle w:val="2"/>
        <w:numPr>
          <w:ilvl w:val="0"/>
          <w:numId w:val="1"/>
        </w:numPr>
        <w:spacing w:line="0" w:lineRule="atLeast"/>
        <w:ind w:left="0" w:leftChars="0" w:firstLine="0" w:firstLineChars="0"/>
        <w:jc w:val="center"/>
        <w:rPr>
          <w:rFonts w:hint="eastAsia" w:ascii="宋体" w:hAnsi="宋体" w:cs="宋体"/>
          <w:sz w:val="28"/>
          <w:szCs w:val="28"/>
        </w:rPr>
      </w:pPr>
      <w:bookmarkStart w:id="37" w:name="_Toc432277441"/>
      <w:bookmarkStart w:id="38" w:name="_Toc432264369"/>
      <w:r>
        <w:rPr>
          <w:rFonts w:hint="eastAsia" w:ascii="宋体" w:hAnsi="宋体" w:cs="宋体"/>
          <w:sz w:val="28"/>
          <w:szCs w:val="28"/>
        </w:rPr>
        <w:br w:type="page"/>
      </w:r>
      <w:bookmarkStart w:id="39" w:name="_Toc455565645"/>
      <w:bookmarkStart w:id="40" w:name="_Toc20340"/>
      <w:r>
        <w:rPr>
          <w:rFonts w:hint="eastAsia" w:ascii="宋体" w:hAnsi="宋体" w:cs="宋体"/>
          <w:sz w:val="28"/>
          <w:szCs w:val="28"/>
        </w:rPr>
        <w:t xml:space="preserve"> 合同主要条款及格式</w:t>
      </w:r>
      <w:bookmarkEnd w:id="37"/>
      <w:bookmarkEnd w:id="38"/>
      <w:bookmarkEnd w:id="39"/>
      <w:bookmarkEnd w:id="40"/>
    </w:p>
    <w:p w14:paraId="340E607D">
      <w:pPr>
        <w:numPr>
          <w:ilvl w:val="0"/>
          <w:numId w:val="0"/>
        </w:numPr>
        <w:ind w:leftChars="0"/>
        <w:rPr>
          <w:rFonts w:hint="default" w:eastAsia="宋体"/>
          <w:lang w:val="en-US" w:eastAsia="zh-CN"/>
        </w:rPr>
      </w:pPr>
      <w:r>
        <w:rPr>
          <w:rFonts w:hint="eastAsia"/>
          <w:lang w:val="en-US" w:eastAsia="zh-CN"/>
        </w:rPr>
        <w:t>以实际签订合同为准。</w:t>
      </w:r>
    </w:p>
    <w:p w14:paraId="611CF4AF">
      <w:pPr>
        <w:pStyle w:val="6"/>
        <w:spacing w:after="0"/>
        <w:jc w:val="center"/>
        <w:rPr>
          <w:rFonts w:ascii="宋体" w:hAnsi="宋体" w:cs="宋体"/>
          <w:b/>
          <w:bCs/>
          <w:spacing w:val="-20"/>
          <w:kern w:val="44"/>
          <w:sz w:val="48"/>
          <w:szCs w:val="48"/>
        </w:rPr>
      </w:pPr>
      <w:bookmarkStart w:id="41" w:name="_Toc3995"/>
    </w:p>
    <w:p w14:paraId="7C62071D">
      <w:pPr>
        <w:pStyle w:val="6"/>
        <w:spacing w:after="0"/>
        <w:jc w:val="center"/>
        <w:rPr>
          <w:rFonts w:ascii="宋体" w:hAnsi="宋体" w:cs="宋体"/>
          <w:b/>
          <w:bCs/>
          <w:spacing w:val="-20"/>
          <w:kern w:val="44"/>
          <w:sz w:val="48"/>
          <w:szCs w:val="48"/>
        </w:rPr>
      </w:pPr>
    </w:p>
    <w:bookmarkEnd w:id="41"/>
    <w:p w14:paraId="520AA604">
      <w:pPr>
        <w:spacing w:before="1" w:line="180" w:lineRule="exact"/>
        <w:ind w:left="935"/>
        <w:jc w:val="left"/>
        <w:rPr>
          <w:rFonts w:ascii="宋体" w:hAnsi="宋体" w:cs="宋体"/>
        </w:rPr>
      </w:pPr>
      <w:r>
        <w:rPr>
          <w:rStyle w:val="38"/>
          <w:rFonts w:hint="eastAsia" w:ascii="宋体" w:hAnsi="宋体" w:cs="宋体"/>
          <w:bCs/>
          <w:sz w:val="48"/>
          <w:szCs w:val="48"/>
        </w:rPr>
        <w:br w:type="page"/>
      </w:r>
      <w:bookmarkStart w:id="42" w:name="_Toc432264370"/>
      <w:bookmarkStart w:id="43" w:name="_Toc455565646"/>
      <w:bookmarkStart w:id="44" w:name="_Toc432277442"/>
    </w:p>
    <w:p w14:paraId="10348DC7">
      <w:pPr>
        <w:pStyle w:val="2"/>
        <w:spacing w:before="0" w:after="0" w:line="360" w:lineRule="auto"/>
        <w:jc w:val="center"/>
        <w:rPr>
          <w:rFonts w:ascii="宋体" w:hAnsi="宋体" w:cs="宋体"/>
          <w:b w:val="0"/>
          <w:sz w:val="32"/>
          <w:szCs w:val="32"/>
        </w:rPr>
      </w:pPr>
      <w:bookmarkStart w:id="45" w:name="_Toc13817"/>
      <w:r>
        <w:rPr>
          <w:rFonts w:hint="eastAsia" w:ascii="宋体" w:hAnsi="宋体" w:cs="宋体"/>
          <w:sz w:val="32"/>
          <w:szCs w:val="32"/>
        </w:rPr>
        <w:t>第六章  响应文件格式</w:t>
      </w:r>
      <w:bookmarkEnd w:id="42"/>
      <w:bookmarkEnd w:id="43"/>
      <w:bookmarkEnd w:id="44"/>
      <w:bookmarkEnd w:id="45"/>
    </w:p>
    <w:p w14:paraId="52D104C2">
      <w:pPr>
        <w:jc w:val="right"/>
        <w:rPr>
          <w:rFonts w:hint="eastAsia" w:ascii="宋体" w:hAnsi="宋体" w:eastAsia="宋体" w:cs="宋体"/>
          <w:sz w:val="36"/>
          <w:szCs w:val="36"/>
          <w:highlight w:val="none"/>
        </w:rPr>
      </w:pPr>
      <w:r>
        <w:rPr>
          <w:rFonts w:hint="eastAsia" w:hAnsi="宋体" w:cs="宋体"/>
          <w:b/>
          <w:sz w:val="30"/>
          <w:szCs w:val="30"/>
        </w:rPr>
        <w:br w:type="page"/>
      </w:r>
    </w:p>
    <w:p w14:paraId="2C89A5C0">
      <w:pPr>
        <w:jc w:val="right"/>
        <w:rPr>
          <w:rFonts w:hint="eastAsia" w:ascii="宋体" w:hAnsi="宋体" w:eastAsia="宋体" w:cs="宋体"/>
          <w:sz w:val="36"/>
          <w:szCs w:val="36"/>
          <w:highlight w:val="none"/>
        </w:rPr>
      </w:pPr>
      <w:r>
        <w:rPr>
          <w:rFonts w:hint="eastAsia" w:ascii="宋体" w:hAnsi="宋体" w:eastAsia="宋体" w:cs="宋体"/>
          <w:sz w:val="36"/>
          <w:szCs w:val="36"/>
          <w:highlight w:val="none"/>
        </w:rPr>
        <w:t>正本或副本</w:t>
      </w:r>
    </w:p>
    <w:p w14:paraId="0F34A121">
      <w:pPr>
        <w:rPr>
          <w:rFonts w:hint="eastAsia" w:ascii="宋体" w:hAnsi="宋体" w:eastAsia="宋体" w:cs="宋体"/>
          <w:sz w:val="32"/>
          <w:szCs w:val="32"/>
          <w:highlight w:val="none"/>
        </w:rPr>
      </w:pPr>
    </w:p>
    <w:p w14:paraId="0EC53AE7">
      <w:pPr>
        <w:jc w:val="center"/>
        <w:rPr>
          <w:rFonts w:hint="eastAsia" w:ascii="宋体" w:hAnsi="宋体" w:eastAsia="宋体" w:cs="宋体"/>
          <w:sz w:val="40"/>
          <w:szCs w:val="40"/>
          <w:highlight w:val="none"/>
        </w:rPr>
      </w:pPr>
    </w:p>
    <w:p w14:paraId="773D7750">
      <w:pPr>
        <w:jc w:val="center"/>
        <w:rPr>
          <w:rFonts w:hint="eastAsia" w:ascii="宋体" w:hAnsi="宋体" w:eastAsia="宋体" w:cs="宋体"/>
          <w:sz w:val="36"/>
          <w:szCs w:val="36"/>
          <w:highlight w:val="none"/>
          <w:u w:val="single"/>
        </w:rPr>
      </w:pPr>
    </w:p>
    <w:p w14:paraId="1EB563AD">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 xml:space="preserve">                 （项目名称）</w:t>
      </w:r>
    </w:p>
    <w:p w14:paraId="1AC2A8A9">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项目编号：</w:t>
      </w:r>
    </w:p>
    <w:p w14:paraId="2D2D0D0A">
      <w:pPr>
        <w:jc w:val="center"/>
        <w:rPr>
          <w:rFonts w:hint="eastAsia" w:ascii="宋体" w:hAnsi="宋体" w:eastAsia="宋体" w:cs="宋体"/>
          <w:sz w:val="40"/>
          <w:szCs w:val="40"/>
          <w:highlight w:val="none"/>
        </w:rPr>
      </w:pPr>
    </w:p>
    <w:p w14:paraId="3A5517F7">
      <w:pPr>
        <w:jc w:val="center"/>
        <w:rPr>
          <w:rFonts w:hint="eastAsia" w:ascii="宋体" w:hAnsi="宋体" w:eastAsia="宋体" w:cs="宋体"/>
          <w:sz w:val="40"/>
          <w:szCs w:val="40"/>
          <w:highlight w:val="none"/>
        </w:rPr>
      </w:pPr>
    </w:p>
    <w:p w14:paraId="59045E5C">
      <w:pPr>
        <w:jc w:val="center"/>
        <w:rPr>
          <w:rFonts w:hint="eastAsia" w:ascii="宋体" w:hAnsi="宋体" w:eastAsia="宋体" w:cs="宋体"/>
          <w:sz w:val="40"/>
          <w:szCs w:val="40"/>
          <w:highlight w:val="none"/>
        </w:rPr>
      </w:pPr>
    </w:p>
    <w:p w14:paraId="3FEACB6D">
      <w:pPr>
        <w:jc w:val="center"/>
        <w:rPr>
          <w:rFonts w:hint="eastAsia" w:ascii="宋体" w:hAnsi="宋体" w:eastAsia="宋体" w:cs="宋体"/>
          <w:sz w:val="40"/>
          <w:szCs w:val="40"/>
          <w:highlight w:val="none"/>
        </w:rPr>
      </w:pPr>
    </w:p>
    <w:p w14:paraId="767A8F77">
      <w:pPr>
        <w:jc w:val="center"/>
        <w:rPr>
          <w:rFonts w:hint="eastAsia" w:ascii="宋体" w:hAnsi="宋体" w:eastAsia="宋体" w:cs="宋体"/>
          <w:sz w:val="40"/>
          <w:szCs w:val="40"/>
          <w:highlight w:val="none"/>
        </w:rPr>
      </w:pPr>
    </w:p>
    <w:p w14:paraId="7ED7FEDD">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响应文件</w:t>
      </w:r>
    </w:p>
    <w:p w14:paraId="7E5C2724">
      <w:pPr>
        <w:pStyle w:val="39"/>
        <w:rPr>
          <w:rFonts w:hint="eastAsia" w:ascii="宋体" w:hAnsi="宋体" w:eastAsia="宋体" w:cs="宋体"/>
          <w:highlight w:val="none"/>
        </w:rPr>
      </w:pPr>
    </w:p>
    <w:p w14:paraId="063C50A7">
      <w:pPr>
        <w:pStyle w:val="39"/>
        <w:rPr>
          <w:rFonts w:hint="eastAsia" w:ascii="宋体" w:hAnsi="宋体" w:eastAsia="宋体" w:cs="宋体"/>
          <w:highlight w:val="none"/>
        </w:rPr>
      </w:pPr>
    </w:p>
    <w:p w14:paraId="7555DEC1">
      <w:pPr>
        <w:pStyle w:val="39"/>
        <w:rPr>
          <w:rFonts w:hint="eastAsia" w:ascii="宋体" w:hAnsi="宋体" w:eastAsia="宋体" w:cs="宋体"/>
          <w:highlight w:val="none"/>
        </w:rPr>
      </w:pPr>
    </w:p>
    <w:p w14:paraId="30CC5C08">
      <w:pPr>
        <w:jc w:val="center"/>
        <w:rPr>
          <w:rFonts w:hint="eastAsia" w:ascii="宋体" w:hAnsi="宋体" w:eastAsia="宋体" w:cs="宋体"/>
          <w:sz w:val="32"/>
          <w:szCs w:val="32"/>
          <w:highlight w:val="none"/>
        </w:rPr>
      </w:pPr>
    </w:p>
    <w:p w14:paraId="149864E0">
      <w:pPr>
        <w:jc w:val="center"/>
        <w:rPr>
          <w:rFonts w:hint="eastAsia" w:ascii="宋体" w:hAnsi="宋体" w:eastAsia="宋体" w:cs="宋体"/>
          <w:sz w:val="32"/>
          <w:szCs w:val="32"/>
          <w:highlight w:val="none"/>
        </w:rPr>
      </w:pPr>
    </w:p>
    <w:p w14:paraId="13AD9689">
      <w:pPr>
        <w:rPr>
          <w:rFonts w:hint="eastAsia" w:ascii="宋体" w:hAnsi="宋体" w:eastAsia="宋体" w:cs="宋体"/>
          <w:sz w:val="32"/>
          <w:szCs w:val="32"/>
          <w:highlight w:val="none"/>
        </w:rPr>
      </w:pPr>
    </w:p>
    <w:p w14:paraId="43BDAD76">
      <w:pPr>
        <w:jc w:val="center"/>
        <w:rPr>
          <w:rFonts w:hint="eastAsia" w:ascii="宋体" w:hAnsi="宋体" w:eastAsia="宋体" w:cs="宋体"/>
          <w:sz w:val="32"/>
          <w:szCs w:val="32"/>
          <w:highlight w:val="none"/>
        </w:rPr>
      </w:pPr>
    </w:p>
    <w:p w14:paraId="4B5EAA05">
      <w:pPr>
        <w:pStyle w:val="39"/>
        <w:rPr>
          <w:rFonts w:hint="eastAsia" w:ascii="宋体" w:hAnsi="宋体" w:eastAsia="宋体" w:cs="宋体"/>
          <w:highlight w:val="none"/>
        </w:rPr>
      </w:pPr>
    </w:p>
    <w:p w14:paraId="38C45C53">
      <w:pPr>
        <w:rPr>
          <w:rFonts w:hint="eastAsia" w:ascii="宋体" w:hAnsi="宋体" w:eastAsia="宋体" w:cs="宋体"/>
          <w:sz w:val="32"/>
          <w:szCs w:val="32"/>
          <w:highlight w:val="none"/>
        </w:rPr>
      </w:pPr>
    </w:p>
    <w:p w14:paraId="61F51518">
      <w:pPr>
        <w:spacing w:line="360" w:lineRule="auto"/>
        <w:ind w:firstLine="1120" w:firstLineChars="400"/>
        <w:jc w:val="both"/>
        <w:rPr>
          <w:rFonts w:hint="eastAsia" w:ascii="宋体" w:hAnsi="宋体" w:eastAsia="宋体" w:cs="宋体"/>
          <w:sz w:val="28"/>
          <w:szCs w:val="28"/>
          <w:highlight w:val="none"/>
          <w:lang w:eastAsia="zh-CN"/>
        </w:rPr>
      </w:pPr>
    </w:p>
    <w:p w14:paraId="2B16C0CB">
      <w:pPr>
        <w:spacing w:line="360" w:lineRule="auto"/>
        <w:ind w:firstLine="1120" w:firstLineChars="400"/>
        <w:jc w:val="both"/>
        <w:rPr>
          <w:rFonts w:hint="eastAsia" w:ascii="宋体" w:hAnsi="宋体" w:eastAsia="宋体" w:cs="宋体"/>
          <w:sz w:val="28"/>
          <w:szCs w:val="28"/>
          <w:highlight w:val="none"/>
          <w:lang w:eastAsia="zh-CN"/>
        </w:rPr>
      </w:pPr>
    </w:p>
    <w:p w14:paraId="1BA1A800">
      <w:pPr>
        <w:spacing w:line="360" w:lineRule="auto"/>
        <w:ind w:firstLine="1120" w:firstLineChars="4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盖单位公章</w:t>
      </w:r>
      <w:r>
        <w:rPr>
          <w:rFonts w:hint="eastAsia" w:ascii="宋体" w:hAnsi="宋体" w:eastAsia="宋体" w:cs="宋体"/>
          <w:sz w:val="28"/>
          <w:szCs w:val="28"/>
          <w:highlight w:val="none"/>
        </w:rPr>
        <w:t>）</w:t>
      </w:r>
    </w:p>
    <w:p w14:paraId="3CB9FBA1">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（签字或签章）</w:t>
      </w:r>
    </w:p>
    <w:p w14:paraId="0AE8A5C0">
      <w:pPr>
        <w:jc w:val="center"/>
        <w:rPr>
          <w:rFonts w:hint="eastAsia" w:ascii="宋体" w:hAnsi="宋体" w:eastAsia="宋体" w:cs="宋体"/>
          <w:sz w:val="28"/>
          <w:szCs w:val="28"/>
          <w:highlight w:val="none"/>
        </w:rPr>
      </w:pPr>
    </w:p>
    <w:p w14:paraId="413D5CCB">
      <w:pPr>
        <w:jc w:val="center"/>
        <w:rPr>
          <w:rFonts w:hint="eastAsia" w:ascii="宋体" w:hAnsi="宋体" w:eastAsia="宋体" w:cs="宋体"/>
          <w:sz w:val="28"/>
          <w:szCs w:val="28"/>
          <w:highlight w:val="none"/>
        </w:rPr>
      </w:pPr>
    </w:p>
    <w:p w14:paraId="551C8F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502C87A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目录</w:t>
      </w:r>
    </w:p>
    <w:p w14:paraId="031671A8">
      <w:pPr>
        <w:pStyle w:val="6"/>
        <w:rPr>
          <w:rFonts w:hint="eastAsia" w:ascii="宋体" w:hAnsi="宋体" w:eastAsia="宋体" w:cs="宋体"/>
          <w:sz w:val="28"/>
          <w:szCs w:val="28"/>
          <w:highlight w:val="none"/>
        </w:rPr>
      </w:pPr>
    </w:p>
    <w:p w14:paraId="5DEF2264">
      <w:pPr>
        <w:pStyle w:val="9"/>
        <w:rPr>
          <w:rFonts w:hint="eastAsia" w:ascii="宋体" w:hAnsi="宋体" w:eastAsia="宋体" w:cs="宋体"/>
          <w:highlight w:val="none"/>
        </w:rPr>
      </w:pPr>
    </w:p>
    <w:p w14:paraId="6259B1FB">
      <w:pPr>
        <w:pStyle w:val="6"/>
        <w:jc w:val="center"/>
        <w:rPr>
          <w:rFonts w:hint="eastAsia" w:ascii="宋体" w:hAnsi="宋体" w:eastAsia="宋体" w:cs="宋体"/>
          <w:highlight w:val="none"/>
        </w:rPr>
      </w:pPr>
      <w:r>
        <w:rPr>
          <w:rFonts w:hint="eastAsia" w:ascii="宋体" w:hAnsi="宋体" w:eastAsia="宋体" w:cs="宋体"/>
          <w:sz w:val="28"/>
          <w:szCs w:val="28"/>
          <w:highlight w:val="none"/>
        </w:rPr>
        <w:t>（格式自拟）</w:t>
      </w:r>
    </w:p>
    <w:p w14:paraId="3C92A345">
      <w:pPr>
        <w:rPr>
          <w:rFonts w:hint="eastAsia" w:ascii="宋体" w:hAnsi="宋体" w:eastAsia="宋体" w:cs="宋体"/>
          <w:highlight w:val="none"/>
        </w:rPr>
      </w:pPr>
    </w:p>
    <w:p w14:paraId="60C3CAC9">
      <w:pPr>
        <w:jc w:val="center"/>
        <w:rPr>
          <w:rFonts w:hint="eastAsia" w:ascii="宋体" w:hAnsi="宋体" w:eastAsia="宋体" w:cs="宋体"/>
          <w:b/>
          <w:bCs/>
          <w:sz w:val="30"/>
          <w:szCs w:val="30"/>
          <w:highlight w:val="none"/>
        </w:rPr>
      </w:pPr>
    </w:p>
    <w:p w14:paraId="7335EA20">
      <w:pPr>
        <w:jc w:val="center"/>
        <w:rPr>
          <w:rFonts w:hint="eastAsia" w:ascii="宋体" w:hAnsi="宋体" w:eastAsia="宋体" w:cs="宋体"/>
          <w:b/>
          <w:bCs/>
          <w:sz w:val="30"/>
          <w:szCs w:val="30"/>
          <w:highlight w:val="none"/>
        </w:rPr>
      </w:pPr>
    </w:p>
    <w:p w14:paraId="7ACE1B05">
      <w:pPr>
        <w:jc w:val="center"/>
        <w:rPr>
          <w:rFonts w:hint="eastAsia" w:ascii="宋体" w:hAnsi="宋体" w:eastAsia="宋体" w:cs="宋体"/>
          <w:b/>
          <w:bCs/>
          <w:sz w:val="30"/>
          <w:szCs w:val="30"/>
          <w:highlight w:val="none"/>
        </w:rPr>
      </w:pPr>
    </w:p>
    <w:p w14:paraId="6B88053D">
      <w:pPr>
        <w:jc w:val="center"/>
        <w:rPr>
          <w:rFonts w:hint="eastAsia" w:ascii="宋体" w:hAnsi="宋体" w:eastAsia="宋体" w:cs="宋体"/>
          <w:b/>
          <w:bCs/>
          <w:sz w:val="30"/>
          <w:szCs w:val="30"/>
          <w:highlight w:val="none"/>
        </w:rPr>
      </w:pPr>
    </w:p>
    <w:p w14:paraId="33B89C75">
      <w:pPr>
        <w:jc w:val="center"/>
        <w:rPr>
          <w:rFonts w:hint="eastAsia" w:ascii="宋体" w:hAnsi="宋体" w:eastAsia="宋体" w:cs="宋体"/>
          <w:b/>
          <w:bCs/>
          <w:sz w:val="30"/>
          <w:szCs w:val="30"/>
          <w:highlight w:val="none"/>
        </w:rPr>
      </w:pPr>
    </w:p>
    <w:p w14:paraId="4E2C73A4">
      <w:pPr>
        <w:spacing w:before="240" w:beforeLines="100" w:after="240" w:afterLines="100" w:line="480" w:lineRule="auto"/>
        <w:jc w:val="center"/>
        <w:rPr>
          <w:rFonts w:hint="eastAsia" w:ascii="宋体" w:hAnsi="宋体" w:eastAsia="宋体" w:cs="宋体"/>
          <w:b/>
          <w:bCs/>
          <w:sz w:val="44"/>
          <w:szCs w:val="44"/>
          <w:highlight w:val="none"/>
        </w:rPr>
      </w:pPr>
    </w:p>
    <w:p w14:paraId="534E34B7">
      <w:pPr>
        <w:rPr>
          <w:rFonts w:hint="eastAsia" w:ascii="宋体" w:hAnsi="宋体" w:eastAsia="宋体" w:cs="宋体"/>
          <w:highlight w:val="none"/>
        </w:rPr>
      </w:pPr>
    </w:p>
    <w:p w14:paraId="48A035FE">
      <w:pPr>
        <w:rPr>
          <w:rFonts w:hint="eastAsia" w:ascii="宋体" w:hAnsi="宋体" w:eastAsia="宋体" w:cs="宋体"/>
          <w:b/>
          <w:bCs/>
          <w:sz w:val="30"/>
          <w:szCs w:val="30"/>
          <w:highlight w:val="none"/>
        </w:rPr>
      </w:pPr>
    </w:p>
    <w:p w14:paraId="25DDC83E">
      <w:pPr>
        <w:rPr>
          <w:rFonts w:hint="eastAsia" w:ascii="宋体" w:hAnsi="宋体" w:eastAsia="宋体" w:cs="宋体"/>
          <w:highlight w:val="none"/>
        </w:rPr>
      </w:pPr>
    </w:p>
    <w:p w14:paraId="29622D0A">
      <w:pPr>
        <w:rPr>
          <w:rFonts w:hint="eastAsia" w:hAnsi="宋体" w:cs="宋体"/>
          <w:b/>
          <w:sz w:val="30"/>
          <w:szCs w:val="30"/>
        </w:rPr>
      </w:pPr>
      <w:r>
        <w:rPr>
          <w:rFonts w:hint="eastAsia" w:ascii="宋体" w:hAnsi="宋体" w:eastAsia="宋体" w:cs="宋体"/>
          <w:b/>
          <w:sz w:val="24"/>
          <w:szCs w:val="24"/>
          <w:highlight w:val="none"/>
        </w:rPr>
        <w:br w:type="page"/>
      </w:r>
    </w:p>
    <w:p w14:paraId="62004DB6">
      <w:pPr>
        <w:pStyle w:val="3"/>
        <w:numPr>
          <w:ilvl w:val="0"/>
          <w:numId w:val="3"/>
        </w:numPr>
        <w:bidi w:val="0"/>
        <w:jc w:val="center"/>
        <w:rPr>
          <w:rFonts w:hint="eastAsia"/>
          <w:lang w:eastAsia="zh-CN"/>
        </w:rPr>
      </w:pPr>
      <w:bookmarkStart w:id="46" w:name="_Toc29910"/>
      <w:r>
        <w:rPr>
          <w:rFonts w:hint="eastAsia"/>
        </w:rPr>
        <w:t>响应函</w:t>
      </w:r>
      <w:r>
        <w:rPr>
          <w:rFonts w:hint="eastAsia"/>
          <w:lang w:eastAsia="zh-CN"/>
        </w:rPr>
        <w:t>及响应函附表</w:t>
      </w:r>
      <w:bookmarkEnd w:id="46"/>
    </w:p>
    <w:p w14:paraId="048DF3ED">
      <w:pPr>
        <w:numPr>
          <w:ilvl w:val="0"/>
          <w:numId w:val="4"/>
        </w:numPr>
        <w:jc w:val="center"/>
        <w:rPr>
          <w:rFonts w:hint="eastAsia" w:ascii="宋体" w:hAnsi="宋体"/>
          <w:b/>
          <w:color w:val="auto"/>
          <w:sz w:val="32"/>
          <w:szCs w:val="32"/>
        </w:rPr>
      </w:pPr>
      <w:r>
        <w:rPr>
          <w:rFonts w:hint="eastAsia" w:ascii="宋体" w:hAnsi="宋体"/>
          <w:b/>
          <w:color w:val="auto"/>
          <w:sz w:val="32"/>
          <w:szCs w:val="32"/>
          <w:lang w:eastAsia="zh-CN"/>
        </w:rPr>
        <w:t>响应</w:t>
      </w:r>
      <w:r>
        <w:rPr>
          <w:rFonts w:hint="eastAsia" w:ascii="宋体" w:hAnsi="宋体"/>
          <w:b/>
          <w:color w:val="auto"/>
          <w:sz w:val="32"/>
          <w:szCs w:val="32"/>
        </w:rPr>
        <w:t>函</w:t>
      </w:r>
    </w:p>
    <w:p w14:paraId="7A1ECFFF">
      <w:pPr>
        <w:pStyle w:val="6"/>
        <w:numPr>
          <w:ilvl w:val="0"/>
          <w:numId w:val="0"/>
        </w:numPr>
        <w:rPr>
          <w:rFonts w:hint="eastAsia"/>
          <w:lang w:eastAsia="zh-CN"/>
        </w:rPr>
      </w:pPr>
    </w:p>
    <w:p w14:paraId="18F453B4">
      <w:pPr>
        <w:pStyle w:val="8"/>
        <w:snapToGrid w:val="0"/>
        <w:spacing w:line="360" w:lineRule="auto"/>
        <w:rPr>
          <w:rFonts w:hAnsi="宋体" w:cs="宋体"/>
        </w:rPr>
      </w:pPr>
      <w:r>
        <w:rPr>
          <w:rFonts w:hint="eastAsia" w:hAnsi="宋体" w:cs="宋体"/>
          <w:u w:val="single"/>
        </w:rPr>
        <w:t xml:space="preserve">               </w:t>
      </w:r>
      <w:r>
        <w:rPr>
          <w:rFonts w:hint="eastAsia" w:hAnsi="宋体" w:cs="宋体"/>
        </w:rPr>
        <w:t>（采购人名称）：</w:t>
      </w:r>
    </w:p>
    <w:p w14:paraId="46DA84CF">
      <w:pPr>
        <w:pStyle w:val="8"/>
        <w:snapToGrid w:val="0"/>
        <w:spacing w:line="360" w:lineRule="auto"/>
        <w:ind w:firstLine="420"/>
        <w:rPr>
          <w:rFonts w:hAnsi="宋体" w:cs="宋体"/>
        </w:rPr>
      </w:pPr>
      <w:r>
        <w:rPr>
          <w:rFonts w:hint="eastAsia" w:hAnsi="宋体" w:cs="宋体"/>
        </w:rPr>
        <w:t>1.我方已仔研究了</w:t>
      </w:r>
      <w:r>
        <w:rPr>
          <w:rFonts w:hint="eastAsia" w:hAnsi="宋体" w:cs="宋体"/>
          <w:u w:val="single"/>
        </w:rPr>
        <w:t xml:space="preserve">                             </w:t>
      </w:r>
      <w:r>
        <w:rPr>
          <w:rFonts w:hint="eastAsia" w:hAnsi="宋体" w:cs="宋体"/>
        </w:rPr>
        <w:t>（项目名称）谈判文件的全部内容，愿以人民币（大写）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）的投标总报价，并按合同约定履行义务。</w:t>
      </w:r>
    </w:p>
    <w:p w14:paraId="03219BCC">
      <w:pPr>
        <w:numPr>
          <w:ilvl w:val="0"/>
          <w:numId w:val="5"/>
        </w:num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我方的投标文件包括下列内容：</w:t>
      </w:r>
    </w:p>
    <w:p w14:paraId="01F16655">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响应</w:t>
      </w:r>
      <w:r>
        <w:rPr>
          <w:rFonts w:hint="eastAsia" w:ascii="宋体" w:hAnsi="宋体" w:cs="宋体"/>
          <w:color w:val="000000"/>
          <w:szCs w:val="21"/>
        </w:rPr>
        <w:t>函；</w:t>
      </w:r>
    </w:p>
    <w:p w14:paraId="616D4900">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（2）法定代表人身份证明或授权委托书；</w:t>
      </w:r>
    </w:p>
    <w:p w14:paraId="6309749C">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（3）联合体协议书（如有）；</w:t>
      </w:r>
    </w:p>
    <w:p w14:paraId="4E6DF707">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（4）………</w:t>
      </w:r>
    </w:p>
    <w:p w14:paraId="111A8CB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响应文件的上述组成部分如存在内容不一致的，以</w:t>
      </w:r>
      <w:r>
        <w:rPr>
          <w:rFonts w:hint="eastAsia" w:ascii="宋体" w:hAnsi="宋体" w:cs="宋体"/>
          <w:color w:val="000000"/>
          <w:szCs w:val="21"/>
          <w:lang w:eastAsia="zh-CN"/>
        </w:rPr>
        <w:t>响应函</w:t>
      </w:r>
      <w:r>
        <w:rPr>
          <w:rFonts w:hint="eastAsia" w:ascii="宋体" w:hAnsi="宋体" w:cs="宋体"/>
          <w:color w:val="000000"/>
          <w:szCs w:val="21"/>
        </w:rPr>
        <w:t>为准。</w:t>
      </w:r>
    </w:p>
    <w:p w14:paraId="26FEB8A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3．我方承诺除商务和技术偏差表列出的偏差外，我方响应谈判文件的全部要求。</w:t>
      </w:r>
    </w:p>
    <w:p w14:paraId="60FC411F">
      <w:pPr>
        <w:pStyle w:val="8"/>
        <w:numPr>
          <w:ilvl w:val="0"/>
          <w:numId w:val="6"/>
        </w:numPr>
        <w:snapToGrid w:val="0"/>
        <w:spacing w:line="360" w:lineRule="auto"/>
        <w:ind w:firstLine="420"/>
        <w:rPr>
          <w:rFonts w:hAnsi="宋体" w:cs="宋体"/>
          <w:color w:val="000000"/>
        </w:rPr>
      </w:pPr>
      <w:r>
        <w:rPr>
          <w:rFonts w:hint="eastAsia" w:hAnsi="宋体" w:cs="宋体"/>
          <w:color w:val="000000"/>
        </w:rPr>
        <w:t>我方承诺在谈判文件规定的</w:t>
      </w:r>
      <w:r>
        <w:rPr>
          <w:rFonts w:hint="eastAsia" w:hAnsi="宋体" w:cs="宋体"/>
          <w:color w:val="000000"/>
          <w:lang w:eastAsia="zh-CN"/>
        </w:rPr>
        <w:t>谈判</w:t>
      </w:r>
      <w:r>
        <w:rPr>
          <w:rFonts w:hint="eastAsia" w:hAnsi="宋体" w:cs="宋体"/>
          <w:color w:val="000000"/>
        </w:rPr>
        <w:t>有效期内不撤销响应文件。</w:t>
      </w:r>
    </w:p>
    <w:p w14:paraId="72380036">
      <w:pPr>
        <w:numPr>
          <w:ilvl w:val="0"/>
          <w:numId w:val="6"/>
        </w:num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如我方中标，我方承诺：</w:t>
      </w:r>
    </w:p>
    <w:p w14:paraId="5517D4A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（1）在收到</w:t>
      </w:r>
      <w:r>
        <w:rPr>
          <w:rFonts w:hint="eastAsia" w:ascii="宋体" w:hAnsi="宋体" w:cs="宋体"/>
          <w:color w:val="000000"/>
          <w:szCs w:val="21"/>
          <w:lang w:eastAsia="zh-CN"/>
        </w:rPr>
        <w:t>成交</w:t>
      </w:r>
      <w:r>
        <w:rPr>
          <w:rFonts w:hint="eastAsia" w:ascii="宋体" w:hAnsi="宋体" w:cs="宋体"/>
          <w:color w:val="000000"/>
          <w:szCs w:val="21"/>
        </w:rPr>
        <w:t>通知书后，在</w:t>
      </w:r>
      <w:r>
        <w:rPr>
          <w:rFonts w:hint="eastAsia" w:ascii="宋体" w:hAnsi="宋体" w:cs="宋体"/>
          <w:color w:val="000000"/>
          <w:szCs w:val="21"/>
          <w:lang w:eastAsia="zh-CN"/>
        </w:rPr>
        <w:t>成交通知书</w:t>
      </w:r>
      <w:r>
        <w:rPr>
          <w:rFonts w:hint="eastAsia" w:ascii="宋体" w:hAnsi="宋体" w:cs="宋体"/>
          <w:color w:val="000000"/>
          <w:szCs w:val="21"/>
        </w:rPr>
        <w:t>规定的期限内与你方签订合同；</w:t>
      </w:r>
    </w:p>
    <w:p w14:paraId="5249263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（2）在签订合同时不向你方提出附加条件；</w:t>
      </w:r>
    </w:p>
    <w:p w14:paraId="735FEB44">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（3）按照</w:t>
      </w:r>
      <w:r>
        <w:rPr>
          <w:rFonts w:hint="eastAsia" w:ascii="宋体" w:hAnsi="宋体" w:cs="宋体"/>
          <w:color w:val="000000"/>
          <w:szCs w:val="21"/>
          <w:lang w:eastAsia="zh-CN"/>
        </w:rPr>
        <w:t>谈判</w:t>
      </w:r>
      <w:r>
        <w:rPr>
          <w:rFonts w:hint="eastAsia" w:ascii="宋体" w:hAnsi="宋体" w:cs="宋体"/>
          <w:color w:val="000000"/>
          <w:szCs w:val="21"/>
        </w:rPr>
        <w:t>文件要求提交履约保证金；</w:t>
      </w:r>
    </w:p>
    <w:p w14:paraId="1AFB09C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（4）在合同约定的期限内完成合同规定的全部义务。</w:t>
      </w:r>
    </w:p>
    <w:p w14:paraId="211736C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6．我方在此声明，所递交的响应文件及有关资料内容完整、真实和准确，且不存在第二章“供应商须知”第</w:t>
      </w:r>
      <w:r>
        <w:rPr>
          <w:rFonts w:hint="eastAsia" w:ascii="宋体" w:hAnsi="宋体" w:cs="宋体"/>
          <w:color w:val="000000"/>
          <w:szCs w:val="21"/>
          <w:lang w:val="en-US" w:eastAsia="zh-CN"/>
        </w:rPr>
        <w:t>20</w:t>
      </w:r>
      <w:r>
        <w:rPr>
          <w:rFonts w:hint="eastAsia" w:ascii="宋体" w:hAnsi="宋体" w:cs="宋体"/>
          <w:color w:val="000000"/>
          <w:szCs w:val="21"/>
        </w:rPr>
        <w:t xml:space="preserve"> 项规定的任何一种情形。</w:t>
      </w:r>
    </w:p>
    <w:p w14:paraId="4C911D70">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u w:val="single"/>
        </w:rPr>
        <w:t xml:space="preserve">                            （其他补充说明）</w:t>
      </w:r>
      <w:r>
        <w:rPr>
          <w:rFonts w:hint="eastAsia" w:ascii="宋体" w:hAnsi="宋体" w:cs="宋体"/>
          <w:color w:val="000000"/>
          <w:szCs w:val="21"/>
        </w:rPr>
        <w:t>。</w:t>
      </w:r>
    </w:p>
    <w:p w14:paraId="343FE8B1">
      <w:pPr>
        <w:pStyle w:val="8"/>
        <w:snapToGrid w:val="0"/>
        <w:spacing w:line="360" w:lineRule="auto"/>
        <w:ind w:firstLine="420"/>
        <w:rPr>
          <w:rFonts w:hAnsi="宋体" w:cs="宋体"/>
        </w:rPr>
      </w:pPr>
    </w:p>
    <w:p w14:paraId="74FB7F0E">
      <w:pPr>
        <w:pStyle w:val="8"/>
        <w:wordWrap w:val="0"/>
        <w:snapToGrid w:val="0"/>
        <w:spacing w:line="360" w:lineRule="auto"/>
        <w:ind w:firstLine="3578" w:firstLineChars="1704"/>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盖单位公章</w:t>
      </w:r>
      <w:r>
        <w:rPr>
          <w:rFonts w:hint="eastAsia" w:ascii="宋体" w:hAnsi="宋体" w:eastAsia="宋体" w:cs="宋体"/>
        </w:rPr>
        <w:t>）</w:t>
      </w:r>
    </w:p>
    <w:p w14:paraId="05B864ED">
      <w:pPr>
        <w:pStyle w:val="8"/>
        <w:wordWrap w:val="0"/>
        <w:snapToGrid w:val="0"/>
        <w:spacing w:line="360" w:lineRule="auto"/>
        <w:ind w:firstLine="3578" w:firstLineChars="1704"/>
        <w:rPr>
          <w:rFonts w:hAnsi="宋体" w:cs="宋体"/>
          <w:u w:val="single"/>
        </w:rPr>
      </w:pPr>
      <w:r>
        <w:rPr>
          <w:rFonts w:hint="eastAsia" w:hAnsi="宋体" w:cs="宋体"/>
        </w:rPr>
        <w:t>法定代表人或其授权代理人：</w:t>
      </w:r>
      <w:r>
        <w:rPr>
          <w:rFonts w:hint="eastAsia" w:hAnsi="宋体" w:cs="宋体"/>
          <w:u w:val="single"/>
        </w:rPr>
        <w:t xml:space="preserve">        </w:t>
      </w:r>
      <w:r>
        <w:rPr>
          <w:rFonts w:hint="eastAsia" w:hAnsi="宋体" w:cs="宋体"/>
        </w:rPr>
        <w:t>（</w:t>
      </w:r>
      <w:r>
        <w:rPr>
          <w:rFonts w:hint="eastAsia" w:ascii="宋体" w:hAnsi="宋体" w:eastAsia="宋体" w:cs="宋体"/>
        </w:rPr>
        <w:t>签字或签章</w:t>
      </w:r>
      <w:r>
        <w:rPr>
          <w:rFonts w:hint="eastAsia" w:hAnsi="宋体" w:cs="宋体"/>
        </w:rPr>
        <w:t>）</w:t>
      </w:r>
    </w:p>
    <w:p w14:paraId="031D413D">
      <w:pPr>
        <w:pStyle w:val="8"/>
        <w:wordWrap w:val="0"/>
        <w:snapToGrid w:val="0"/>
        <w:spacing w:line="360" w:lineRule="auto"/>
        <w:ind w:firstLine="3578" w:firstLineChars="1704"/>
        <w:rPr>
          <w:rFonts w:hAnsi="宋体" w:cs="宋体"/>
          <w:u w:val="single"/>
        </w:rPr>
      </w:pPr>
      <w:r>
        <w:rPr>
          <w:rFonts w:hint="eastAsia" w:hAnsi="宋体" w:cs="宋体"/>
        </w:rPr>
        <w:t xml:space="preserve">地  址： </w:t>
      </w:r>
      <w:r>
        <w:rPr>
          <w:rFonts w:hint="eastAsia" w:hAnsi="宋体" w:cs="宋体"/>
          <w:u w:val="single"/>
        </w:rPr>
        <w:t xml:space="preserve">                          </w:t>
      </w:r>
    </w:p>
    <w:p w14:paraId="0DC793E4">
      <w:pPr>
        <w:pStyle w:val="8"/>
        <w:wordWrap w:val="0"/>
        <w:snapToGrid w:val="0"/>
        <w:spacing w:line="360" w:lineRule="auto"/>
        <w:ind w:firstLine="3578" w:firstLineChars="1704"/>
        <w:rPr>
          <w:rFonts w:hAnsi="宋体" w:cs="宋体"/>
          <w:u w:val="single"/>
        </w:rPr>
      </w:pPr>
      <w:r>
        <w:rPr>
          <w:rFonts w:hint="eastAsia" w:hAnsi="宋体" w:cs="宋体"/>
        </w:rPr>
        <w:t xml:space="preserve">网  址： </w:t>
      </w:r>
      <w:r>
        <w:rPr>
          <w:rFonts w:hint="eastAsia" w:hAnsi="宋体" w:cs="宋体"/>
          <w:u w:val="single"/>
        </w:rPr>
        <w:t xml:space="preserve">                          </w:t>
      </w:r>
    </w:p>
    <w:p w14:paraId="752F56D5">
      <w:pPr>
        <w:pStyle w:val="8"/>
        <w:wordWrap w:val="0"/>
        <w:snapToGrid w:val="0"/>
        <w:spacing w:line="360" w:lineRule="auto"/>
        <w:ind w:firstLine="3578" w:firstLineChars="1704"/>
        <w:rPr>
          <w:rFonts w:hAnsi="宋体" w:cs="宋体"/>
          <w:u w:val="single"/>
        </w:rPr>
      </w:pPr>
      <w:r>
        <w:rPr>
          <w:rFonts w:hint="eastAsia" w:hAnsi="宋体" w:cs="宋体"/>
        </w:rPr>
        <w:t>电  话：</w:t>
      </w:r>
      <w:r>
        <w:rPr>
          <w:rFonts w:hint="eastAsia" w:hAnsi="宋体" w:cs="宋体"/>
          <w:u w:val="single"/>
        </w:rPr>
        <w:t xml:space="preserve">                           </w:t>
      </w:r>
    </w:p>
    <w:p w14:paraId="0D1924EA">
      <w:pPr>
        <w:pStyle w:val="8"/>
        <w:wordWrap w:val="0"/>
        <w:snapToGrid w:val="0"/>
        <w:spacing w:line="360" w:lineRule="auto"/>
        <w:ind w:firstLine="3578" w:firstLineChars="1704"/>
        <w:rPr>
          <w:rFonts w:hAnsi="宋体" w:cs="宋体"/>
          <w:u w:val="single"/>
        </w:rPr>
      </w:pPr>
      <w:r>
        <w:rPr>
          <w:rFonts w:hint="eastAsia" w:hAnsi="宋体" w:cs="宋体"/>
        </w:rPr>
        <w:t>传  真：</w:t>
      </w:r>
      <w:r>
        <w:rPr>
          <w:rFonts w:hint="eastAsia" w:hAnsi="宋体" w:cs="宋体"/>
          <w:u w:val="single"/>
        </w:rPr>
        <w:t xml:space="preserve">                           </w:t>
      </w:r>
    </w:p>
    <w:p w14:paraId="5CA1E455">
      <w:pPr>
        <w:pStyle w:val="8"/>
        <w:wordWrap w:val="0"/>
        <w:snapToGrid w:val="0"/>
        <w:spacing w:line="360" w:lineRule="auto"/>
        <w:ind w:firstLine="3578" w:firstLineChars="1704"/>
        <w:rPr>
          <w:rFonts w:hAnsi="宋体" w:cs="宋体"/>
          <w:u w:val="single"/>
        </w:rPr>
      </w:pPr>
      <w:r>
        <w:rPr>
          <w:rFonts w:hint="eastAsia" w:hAnsi="宋体" w:cs="宋体"/>
        </w:rPr>
        <w:t>邮  编：</w:t>
      </w:r>
      <w:r>
        <w:rPr>
          <w:rFonts w:hint="eastAsia" w:hAnsi="宋体" w:cs="宋体"/>
          <w:u w:val="single"/>
        </w:rPr>
        <w:t xml:space="preserve">                           </w:t>
      </w:r>
    </w:p>
    <w:p w14:paraId="2FFFF34D">
      <w:pPr>
        <w:pStyle w:val="8"/>
        <w:wordWrap w:val="0"/>
        <w:snapToGrid w:val="0"/>
        <w:spacing w:line="360" w:lineRule="auto"/>
        <w:ind w:firstLine="4200" w:firstLineChars="2000"/>
        <w:jc w:val="left"/>
        <w:rPr>
          <w:rFonts w:hAnsi="宋体" w:cs="宋体"/>
        </w:rPr>
      </w:pPr>
      <w:r>
        <w:rPr>
          <w:rFonts w:hint="eastAsia" w:hAnsi="宋体" w:cs="宋体"/>
          <w:u w:val="single"/>
        </w:rPr>
        <w:t xml:space="preserve">       </w:t>
      </w:r>
      <w:r>
        <w:rPr>
          <w:rFonts w:hint="eastAsia" w:hAnsi="宋体" w:cs="宋体"/>
        </w:rPr>
        <w:t xml:space="preserve"> 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059C6D7">
      <w:pPr>
        <w:spacing w:line="360" w:lineRule="auto"/>
        <w:rPr>
          <w:rFonts w:ascii="宋体" w:hAnsi="宋体" w:cs="宋体"/>
          <w:szCs w:val="21"/>
        </w:rPr>
      </w:pPr>
      <w:bookmarkStart w:id="47" w:name="_Toc152045791"/>
      <w:bookmarkStart w:id="48" w:name="_Toc285981645"/>
      <w:bookmarkStart w:id="49" w:name="_Toc144974860"/>
      <w:bookmarkStart w:id="50" w:name="_Toc238797663"/>
      <w:bookmarkStart w:id="51" w:name="_Toc238552301"/>
      <w:bookmarkStart w:id="52" w:name="_Toc262740154"/>
      <w:bookmarkStart w:id="53" w:name="_Toc152042580"/>
    </w:p>
    <w:p w14:paraId="5D244FE6">
      <w:pPr>
        <w:jc w:val="center"/>
        <w:rPr>
          <w:rFonts w:ascii="宋体" w:hAnsi="宋体"/>
          <w:b/>
          <w:color w:val="auto"/>
          <w:sz w:val="32"/>
          <w:szCs w:val="32"/>
        </w:rPr>
      </w:pPr>
      <w:bookmarkStart w:id="54" w:name="_Toc435802466"/>
      <w:bookmarkStart w:id="55" w:name="_Toc28397"/>
      <w:bookmarkStart w:id="56" w:name="_Toc26075"/>
      <w:r>
        <w:rPr>
          <w:rFonts w:hint="eastAsia" w:ascii="宋体" w:hAnsi="宋体"/>
          <w:b/>
          <w:color w:val="auto"/>
          <w:sz w:val="32"/>
          <w:szCs w:val="32"/>
        </w:rPr>
        <w:t>（2）</w:t>
      </w:r>
      <w:r>
        <w:rPr>
          <w:rFonts w:hint="eastAsia" w:ascii="宋体" w:hAnsi="宋体"/>
          <w:b/>
          <w:color w:val="auto"/>
          <w:sz w:val="32"/>
          <w:szCs w:val="32"/>
          <w:lang w:eastAsia="zh-CN"/>
        </w:rPr>
        <w:t>响应</w:t>
      </w:r>
      <w:r>
        <w:rPr>
          <w:rFonts w:hint="eastAsia" w:ascii="宋体" w:hAnsi="宋体"/>
          <w:b/>
          <w:color w:val="auto"/>
          <w:sz w:val="32"/>
          <w:szCs w:val="32"/>
        </w:rPr>
        <w:t>函附录</w:t>
      </w:r>
    </w:p>
    <w:p w14:paraId="023CB668">
      <w:pPr>
        <w:wordWrap w:val="0"/>
        <w:spacing w:line="360" w:lineRule="auto"/>
        <w:ind w:firstLine="480" w:firstLineChars="200"/>
        <w:rPr>
          <w:rFonts w:ascii="宋体" w:hAnsi="宋体"/>
          <w:color w:val="auto"/>
          <w:sz w:val="24"/>
        </w:rPr>
      </w:pPr>
      <w:r>
        <w:rPr>
          <w:rFonts w:hint="eastAsia" w:ascii="宋体" w:hAnsi="宋体"/>
          <w:color w:val="auto"/>
          <w:sz w:val="24"/>
        </w:rPr>
        <w:t>项目名称：</w:t>
      </w:r>
      <w:r>
        <w:rPr>
          <w:rFonts w:hint="eastAsia" w:ascii="宋体" w:hAnsi="宋体"/>
          <w:color w:val="auto"/>
          <w:sz w:val="24"/>
          <w:szCs w:val="21"/>
          <w:u w:val="single"/>
        </w:rPr>
        <w:t xml:space="preserve">              </w:t>
      </w:r>
    </w:p>
    <w:p w14:paraId="47F6EB92">
      <w:pPr>
        <w:wordWrap w:val="0"/>
        <w:spacing w:line="360" w:lineRule="auto"/>
        <w:ind w:firstLine="480" w:firstLineChars="200"/>
        <w:rPr>
          <w:rFonts w:ascii="宋体" w:hAnsi="宋体"/>
          <w:color w:val="auto"/>
          <w:sz w:val="24"/>
        </w:rPr>
      </w:pPr>
      <w:r>
        <w:rPr>
          <w:rFonts w:hint="eastAsia" w:ascii="宋体" w:hAnsi="宋体"/>
          <w:color w:val="auto"/>
          <w:sz w:val="24"/>
        </w:rPr>
        <w:t>项目编号：</w:t>
      </w:r>
      <w:r>
        <w:rPr>
          <w:rFonts w:hint="eastAsia" w:ascii="宋体" w:hAnsi="宋体"/>
          <w:color w:val="auto"/>
          <w:sz w:val="24"/>
          <w:szCs w:val="21"/>
          <w:u w:val="single"/>
        </w:rPr>
        <w:t xml:space="preserve">              </w:t>
      </w:r>
    </w:p>
    <w:tbl>
      <w:tblPr>
        <w:tblStyle w:val="18"/>
        <w:tblW w:w="6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047"/>
        <w:gridCol w:w="2256"/>
        <w:gridCol w:w="1554"/>
      </w:tblGrid>
      <w:tr w14:paraId="133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1AF8CA0F">
            <w:pPr>
              <w:spacing w:line="440" w:lineRule="exact"/>
              <w:jc w:val="center"/>
              <w:rPr>
                <w:rFonts w:ascii="宋体" w:hAnsi="宋体"/>
                <w:b/>
                <w:color w:val="auto"/>
                <w:sz w:val="22"/>
                <w:szCs w:val="18"/>
              </w:rPr>
            </w:pPr>
            <w:r>
              <w:rPr>
                <w:rFonts w:hint="eastAsia" w:ascii="宋体" w:hAnsi="宋体" w:cs="宋体"/>
                <w:b/>
                <w:color w:val="auto"/>
                <w:sz w:val="24"/>
              </w:rPr>
              <w:t>序号</w:t>
            </w:r>
          </w:p>
        </w:tc>
        <w:tc>
          <w:tcPr>
            <w:tcW w:w="2047" w:type="dxa"/>
            <w:noWrap w:val="0"/>
            <w:vAlign w:val="center"/>
          </w:tcPr>
          <w:p w14:paraId="52C4A467">
            <w:pPr>
              <w:spacing w:line="440" w:lineRule="exact"/>
              <w:jc w:val="center"/>
              <w:rPr>
                <w:rFonts w:ascii="宋体" w:hAnsi="宋体"/>
                <w:b/>
                <w:color w:val="auto"/>
                <w:sz w:val="22"/>
                <w:szCs w:val="18"/>
              </w:rPr>
            </w:pPr>
            <w:r>
              <w:rPr>
                <w:rFonts w:hint="eastAsia" w:ascii="宋体" w:hAnsi="宋体" w:cs="宋体"/>
                <w:b/>
                <w:color w:val="auto"/>
                <w:sz w:val="24"/>
              </w:rPr>
              <w:t>名称</w:t>
            </w:r>
          </w:p>
        </w:tc>
        <w:tc>
          <w:tcPr>
            <w:tcW w:w="2256" w:type="dxa"/>
            <w:noWrap w:val="0"/>
            <w:vAlign w:val="center"/>
          </w:tcPr>
          <w:p w14:paraId="57FB112A">
            <w:pPr>
              <w:spacing w:line="440" w:lineRule="exact"/>
              <w:jc w:val="center"/>
              <w:rPr>
                <w:rFonts w:ascii="宋体" w:hAnsi="宋体"/>
                <w:b/>
                <w:color w:val="auto"/>
                <w:sz w:val="22"/>
                <w:szCs w:val="18"/>
              </w:rPr>
            </w:pPr>
            <w:r>
              <w:rPr>
                <w:rFonts w:hint="eastAsia" w:ascii="宋体" w:hAnsi="宋体" w:cs="宋体"/>
                <w:b/>
                <w:color w:val="auto"/>
                <w:sz w:val="24"/>
              </w:rPr>
              <w:t>内容</w:t>
            </w:r>
          </w:p>
        </w:tc>
        <w:tc>
          <w:tcPr>
            <w:tcW w:w="1554" w:type="dxa"/>
            <w:noWrap w:val="0"/>
            <w:vAlign w:val="center"/>
          </w:tcPr>
          <w:p w14:paraId="3BAF39DE">
            <w:pPr>
              <w:spacing w:line="440" w:lineRule="exact"/>
              <w:jc w:val="center"/>
              <w:rPr>
                <w:rFonts w:ascii="宋体" w:hAnsi="宋体"/>
                <w:b/>
                <w:color w:val="auto"/>
                <w:sz w:val="22"/>
                <w:szCs w:val="18"/>
              </w:rPr>
            </w:pPr>
            <w:r>
              <w:rPr>
                <w:rFonts w:hint="eastAsia" w:ascii="宋体" w:hAnsi="宋体" w:cs="宋体"/>
                <w:b/>
                <w:color w:val="auto"/>
                <w:sz w:val="24"/>
              </w:rPr>
              <w:t>备注</w:t>
            </w:r>
          </w:p>
        </w:tc>
      </w:tr>
      <w:tr w14:paraId="320C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12431C1">
            <w:pPr>
              <w:wordWrap w:val="0"/>
              <w:jc w:val="center"/>
              <w:rPr>
                <w:rFonts w:hint="eastAsia" w:ascii="宋体" w:hAnsi="宋体"/>
                <w:color w:val="auto"/>
                <w:sz w:val="22"/>
                <w:szCs w:val="18"/>
              </w:rPr>
            </w:pPr>
            <w:r>
              <w:rPr>
                <w:rFonts w:hint="eastAsia" w:ascii="宋体" w:hAnsi="宋体"/>
                <w:color w:val="auto"/>
                <w:sz w:val="22"/>
                <w:szCs w:val="18"/>
              </w:rPr>
              <w:t>1</w:t>
            </w:r>
          </w:p>
        </w:tc>
        <w:tc>
          <w:tcPr>
            <w:tcW w:w="2047" w:type="dxa"/>
            <w:noWrap w:val="0"/>
            <w:vAlign w:val="center"/>
          </w:tcPr>
          <w:p w14:paraId="08D2D8C8">
            <w:pPr>
              <w:wordWrap w:val="0"/>
              <w:jc w:val="center"/>
              <w:rPr>
                <w:rFonts w:ascii="宋体" w:hAnsi="宋体"/>
                <w:color w:val="auto"/>
                <w:sz w:val="22"/>
                <w:szCs w:val="18"/>
              </w:rPr>
            </w:pPr>
            <w:r>
              <w:rPr>
                <w:rFonts w:hint="eastAsia" w:ascii="宋体" w:hAnsi="宋体"/>
                <w:color w:val="auto"/>
                <w:sz w:val="22"/>
                <w:szCs w:val="18"/>
              </w:rPr>
              <w:t>项目负责人</w:t>
            </w:r>
          </w:p>
        </w:tc>
        <w:tc>
          <w:tcPr>
            <w:tcW w:w="2256" w:type="dxa"/>
            <w:noWrap w:val="0"/>
            <w:vAlign w:val="center"/>
          </w:tcPr>
          <w:p w14:paraId="5BF24AF9">
            <w:pPr>
              <w:wordWrap w:val="0"/>
              <w:jc w:val="left"/>
              <w:rPr>
                <w:rFonts w:ascii="宋体" w:hAnsi="宋体"/>
                <w:color w:val="auto"/>
                <w:sz w:val="22"/>
                <w:szCs w:val="18"/>
              </w:rPr>
            </w:pPr>
            <w:r>
              <w:rPr>
                <w:rFonts w:hint="eastAsia" w:ascii="宋体" w:hAnsi="宋体"/>
                <w:color w:val="auto"/>
                <w:sz w:val="22"/>
                <w:szCs w:val="18"/>
              </w:rPr>
              <w:t>姓名：</w:t>
            </w:r>
          </w:p>
        </w:tc>
        <w:tc>
          <w:tcPr>
            <w:tcW w:w="1554" w:type="dxa"/>
            <w:noWrap w:val="0"/>
            <w:vAlign w:val="center"/>
          </w:tcPr>
          <w:p w14:paraId="7120EC7A">
            <w:pPr>
              <w:wordWrap w:val="0"/>
              <w:jc w:val="center"/>
              <w:rPr>
                <w:rFonts w:ascii="宋体" w:hAnsi="宋体"/>
                <w:color w:val="auto"/>
                <w:sz w:val="22"/>
                <w:szCs w:val="18"/>
              </w:rPr>
            </w:pPr>
          </w:p>
        </w:tc>
      </w:tr>
      <w:tr w14:paraId="6871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737DC27D">
            <w:pPr>
              <w:wordWrap w:val="0"/>
              <w:jc w:val="center"/>
              <w:rPr>
                <w:rFonts w:hint="eastAsia" w:ascii="宋体" w:hAnsi="宋体"/>
                <w:color w:val="auto"/>
                <w:sz w:val="22"/>
                <w:szCs w:val="18"/>
              </w:rPr>
            </w:pPr>
            <w:r>
              <w:rPr>
                <w:rFonts w:hint="eastAsia" w:ascii="宋体" w:hAnsi="宋体"/>
                <w:color w:val="auto"/>
                <w:sz w:val="22"/>
                <w:szCs w:val="18"/>
              </w:rPr>
              <w:t>2</w:t>
            </w:r>
          </w:p>
        </w:tc>
        <w:tc>
          <w:tcPr>
            <w:tcW w:w="2047" w:type="dxa"/>
            <w:noWrap w:val="0"/>
            <w:vAlign w:val="center"/>
          </w:tcPr>
          <w:p w14:paraId="0C8F92C3">
            <w:pPr>
              <w:wordWrap w:val="0"/>
              <w:jc w:val="center"/>
              <w:rPr>
                <w:rFonts w:hint="eastAsia" w:ascii="宋体" w:hAnsi="宋体" w:eastAsia="宋体"/>
                <w:color w:val="auto"/>
                <w:sz w:val="22"/>
                <w:szCs w:val="18"/>
                <w:lang w:eastAsia="zh-CN"/>
              </w:rPr>
            </w:pPr>
            <w:r>
              <w:rPr>
                <w:rFonts w:hint="eastAsia" w:ascii="宋体" w:hAnsi="宋体"/>
                <w:color w:val="auto"/>
                <w:sz w:val="22"/>
                <w:szCs w:val="18"/>
                <w:lang w:val="en-US" w:eastAsia="zh-CN"/>
              </w:rPr>
              <w:t>供货期</w:t>
            </w:r>
          </w:p>
        </w:tc>
        <w:tc>
          <w:tcPr>
            <w:tcW w:w="2256" w:type="dxa"/>
            <w:noWrap w:val="0"/>
            <w:vAlign w:val="center"/>
          </w:tcPr>
          <w:p w14:paraId="0921B8AE">
            <w:pPr>
              <w:wordWrap w:val="0"/>
              <w:ind w:firstLine="440" w:firstLineChars="200"/>
              <w:jc w:val="left"/>
              <w:rPr>
                <w:rFonts w:hint="eastAsia" w:ascii="宋体" w:hAnsi="宋体"/>
                <w:color w:val="auto"/>
                <w:sz w:val="22"/>
                <w:szCs w:val="18"/>
              </w:rPr>
            </w:pPr>
          </w:p>
        </w:tc>
        <w:tc>
          <w:tcPr>
            <w:tcW w:w="1554" w:type="dxa"/>
            <w:noWrap w:val="0"/>
            <w:vAlign w:val="center"/>
          </w:tcPr>
          <w:p w14:paraId="654CC345">
            <w:pPr>
              <w:wordWrap w:val="0"/>
              <w:jc w:val="center"/>
              <w:rPr>
                <w:rFonts w:ascii="宋体" w:hAnsi="宋体"/>
                <w:color w:val="auto"/>
                <w:sz w:val="22"/>
                <w:szCs w:val="18"/>
              </w:rPr>
            </w:pPr>
          </w:p>
        </w:tc>
      </w:tr>
      <w:tr w14:paraId="231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52D27E95">
            <w:pPr>
              <w:wordWrap w:val="0"/>
              <w:jc w:val="center"/>
              <w:rPr>
                <w:rFonts w:ascii="宋体" w:hAnsi="宋体"/>
                <w:color w:val="auto"/>
                <w:sz w:val="22"/>
                <w:szCs w:val="18"/>
              </w:rPr>
            </w:pPr>
            <w:r>
              <w:rPr>
                <w:rFonts w:hint="eastAsia" w:ascii="宋体" w:hAnsi="宋体"/>
                <w:color w:val="auto"/>
                <w:sz w:val="22"/>
                <w:szCs w:val="18"/>
              </w:rPr>
              <w:t>3</w:t>
            </w:r>
          </w:p>
        </w:tc>
        <w:tc>
          <w:tcPr>
            <w:tcW w:w="2047" w:type="dxa"/>
            <w:noWrap w:val="0"/>
            <w:vAlign w:val="center"/>
          </w:tcPr>
          <w:p w14:paraId="483D2D19">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质量要求</w:t>
            </w:r>
          </w:p>
        </w:tc>
        <w:tc>
          <w:tcPr>
            <w:tcW w:w="2256" w:type="dxa"/>
            <w:noWrap w:val="0"/>
            <w:vAlign w:val="center"/>
          </w:tcPr>
          <w:p w14:paraId="24379BA4">
            <w:pPr>
              <w:wordWrap w:val="0"/>
              <w:jc w:val="left"/>
              <w:rPr>
                <w:rFonts w:ascii="宋体" w:hAnsi="宋体"/>
                <w:color w:val="auto"/>
                <w:sz w:val="22"/>
                <w:szCs w:val="18"/>
              </w:rPr>
            </w:pPr>
          </w:p>
        </w:tc>
        <w:tc>
          <w:tcPr>
            <w:tcW w:w="1554" w:type="dxa"/>
            <w:noWrap w:val="0"/>
            <w:vAlign w:val="center"/>
          </w:tcPr>
          <w:p w14:paraId="5545BE07">
            <w:pPr>
              <w:wordWrap w:val="0"/>
              <w:jc w:val="center"/>
              <w:rPr>
                <w:rFonts w:ascii="宋体" w:hAnsi="宋体"/>
                <w:color w:val="auto"/>
                <w:sz w:val="22"/>
                <w:szCs w:val="18"/>
              </w:rPr>
            </w:pPr>
          </w:p>
        </w:tc>
      </w:tr>
      <w:tr w14:paraId="0EA2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91AA9AB">
            <w:pPr>
              <w:wordWrap w:val="0"/>
              <w:jc w:val="center"/>
              <w:rPr>
                <w:rFonts w:hint="eastAsia" w:ascii="宋体" w:hAnsi="宋体"/>
                <w:color w:val="auto"/>
                <w:sz w:val="22"/>
                <w:szCs w:val="18"/>
              </w:rPr>
            </w:pPr>
          </w:p>
        </w:tc>
        <w:tc>
          <w:tcPr>
            <w:tcW w:w="2047" w:type="dxa"/>
            <w:noWrap w:val="0"/>
            <w:vAlign w:val="center"/>
          </w:tcPr>
          <w:p w14:paraId="53C2AE52">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供货地点</w:t>
            </w:r>
          </w:p>
        </w:tc>
        <w:tc>
          <w:tcPr>
            <w:tcW w:w="2256" w:type="dxa"/>
            <w:noWrap w:val="0"/>
            <w:vAlign w:val="center"/>
          </w:tcPr>
          <w:p w14:paraId="1BA01F70">
            <w:pPr>
              <w:wordWrap w:val="0"/>
              <w:jc w:val="left"/>
              <w:rPr>
                <w:rFonts w:hint="eastAsia" w:ascii="宋体" w:hAnsi="宋体"/>
                <w:color w:val="auto"/>
                <w:sz w:val="22"/>
                <w:szCs w:val="18"/>
              </w:rPr>
            </w:pPr>
          </w:p>
        </w:tc>
        <w:tc>
          <w:tcPr>
            <w:tcW w:w="1554" w:type="dxa"/>
            <w:noWrap w:val="0"/>
            <w:vAlign w:val="center"/>
          </w:tcPr>
          <w:p w14:paraId="6E399FE7">
            <w:pPr>
              <w:wordWrap w:val="0"/>
              <w:jc w:val="center"/>
              <w:rPr>
                <w:rFonts w:ascii="宋体" w:hAnsi="宋体"/>
                <w:color w:val="auto"/>
                <w:sz w:val="22"/>
                <w:szCs w:val="18"/>
              </w:rPr>
            </w:pPr>
          </w:p>
        </w:tc>
      </w:tr>
      <w:tr w14:paraId="071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22CC0199">
            <w:pPr>
              <w:wordWrap w:val="0"/>
              <w:jc w:val="center"/>
              <w:rPr>
                <w:rFonts w:ascii="宋体" w:hAnsi="宋体"/>
                <w:color w:val="auto"/>
                <w:sz w:val="22"/>
                <w:szCs w:val="18"/>
              </w:rPr>
            </w:pPr>
            <w:r>
              <w:rPr>
                <w:rFonts w:hint="eastAsia" w:ascii="宋体" w:hAnsi="宋体"/>
                <w:color w:val="auto"/>
                <w:sz w:val="22"/>
                <w:szCs w:val="18"/>
              </w:rPr>
              <w:t>4</w:t>
            </w:r>
          </w:p>
        </w:tc>
        <w:tc>
          <w:tcPr>
            <w:tcW w:w="2047" w:type="dxa"/>
            <w:noWrap w:val="0"/>
            <w:vAlign w:val="center"/>
          </w:tcPr>
          <w:p w14:paraId="4244F113">
            <w:pPr>
              <w:wordWrap w:val="0"/>
              <w:jc w:val="center"/>
              <w:rPr>
                <w:rFonts w:ascii="宋体" w:hAnsi="宋体"/>
                <w:color w:val="auto"/>
                <w:sz w:val="22"/>
                <w:szCs w:val="18"/>
              </w:rPr>
            </w:pPr>
            <w:r>
              <w:rPr>
                <w:rFonts w:hint="eastAsia" w:ascii="宋体" w:hAnsi="宋体"/>
                <w:color w:val="auto"/>
                <w:sz w:val="22"/>
                <w:szCs w:val="18"/>
              </w:rPr>
              <w:t>联合体投标</w:t>
            </w:r>
          </w:p>
        </w:tc>
        <w:tc>
          <w:tcPr>
            <w:tcW w:w="2256" w:type="dxa"/>
            <w:noWrap w:val="0"/>
            <w:vAlign w:val="center"/>
          </w:tcPr>
          <w:p w14:paraId="55C3D7D8">
            <w:pPr>
              <w:wordWrap w:val="0"/>
              <w:jc w:val="left"/>
              <w:rPr>
                <w:rFonts w:ascii="宋体" w:hAnsi="宋体"/>
                <w:color w:val="auto"/>
                <w:sz w:val="22"/>
                <w:szCs w:val="18"/>
              </w:rPr>
            </w:pPr>
            <w:r>
              <w:rPr>
                <w:rFonts w:hint="eastAsia" w:ascii="宋体" w:hAnsi="宋体"/>
                <w:color w:val="auto"/>
                <w:sz w:val="22"/>
                <w:szCs w:val="18"/>
              </w:rPr>
              <w:t>不接受</w:t>
            </w:r>
          </w:p>
        </w:tc>
        <w:tc>
          <w:tcPr>
            <w:tcW w:w="1554" w:type="dxa"/>
            <w:noWrap w:val="0"/>
            <w:vAlign w:val="center"/>
          </w:tcPr>
          <w:p w14:paraId="5A84DE57">
            <w:pPr>
              <w:wordWrap w:val="0"/>
              <w:jc w:val="center"/>
              <w:rPr>
                <w:rFonts w:ascii="宋体" w:hAnsi="宋体"/>
                <w:color w:val="auto"/>
                <w:sz w:val="22"/>
                <w:szCs w:val="18"/>
              </w:rPr>
            </w:pPr>
          </w:p>
        </w:tc>
      </w:tr>
      <w:tr w14:paraId="7DE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4E64DC1F">
            <w:pPr>
              <w:wordWrap w:val="0"/>
              <w:jc w:val="center"/>
              <w:rPr>
                <w:rFonts w:ascii="宋体" w:hAnsi="宋体"/>
                <w:color w:val="auto"/>
                <w:sz w:val="22"/>
                <w:szCs w:val="18"/>
              </w:rPr>
            </w:pPr>
            <w:r>
              <w:rPr>
                <w:rFonts w:hint="eastAsia" w:ascii="宋体" w:hAnsi="宋体"/>
                <w:color w:val="auto"/>
                <w:sz w:val="22"/>
                <w:szCs w:val="18"/>
              </w:rPr>
              <w:t>5</w:t>
            </w:r>
          </w:p>
        </w:tc>
        <w:tc>
          <w:tcPr>
            <w:tcW w:w="2047" w:type="dxa"/>
            <w:noWrap w:val="0"/>
            <w:vAlign w:val="center"/>
          </w:tcPr>
          <w:p w14:paraId="1D328957">
            <w:pPr>
              <w:wordWrap w:val="0"/>
              <w:jc w:val="center"/>
              <w:rPr>
                <w:rFonts w:ascii="宋体" w:hAnsi="宋体"/>
                <w:color w:val="auto"/>
                <w:sz w:val="22"/>
                <w:szCs w:val="18"/>
              </w:rPr>
            </w:pPr>
            <w:r>
              <w:rPr>
                <w:rFonts w:hint="eastAsia" w:ascii="宋体" w:hAnsi="宋体"/>
                <w:color w:val="auto"/>
                <w:sz w:val="22"/>
                <w:szCs w:val="18"/>
              </w:rPr>
              <w:t>分包</w:t>
            </w:r>
          </w:p>
        </w:tc>
        <w:tc>
          <w:tcPr>
            <w:tcW w:w="2256" w:type="dxa"/>
            <w:noWrap w:val="0"/>
            <w:vAlign w:val="center"/>
          </w:tcPr>
          <w:p w14:paraId="2455DF29">
            <w:pPr>
              <w:wordWrap w:val="0"/>
              <w:jc w:val="left"/>
              <w:rPr>
                <w:rFonts w:ascii="宋体" w:hAnsi="宋体"/>
                <w:color w:val="auto"/>
                <w:sz w:val="22"/>
                <w:szCs w:val="18"/>
              </w:rPr>
            </w:pPr>
            <w:r>
              <w:rPr>
                <w:rFonts w:hint="eastAsia" w:ascii="宋体" w:hAnsi="宋体"/>
                <w:color w:val="auto"/>
                <w:sz w:val="22"/>
                <w:szCs w:val="18"/>
              </w:rPr>
              <w:t>不允许</w:t>
            </w:r>
          </w:p>
        </w:tc>
        <w:tc>
          <w:tcPr>
            <w:tcW w:w="1554" w:type="dxa"/>
            <w:noWrap w:val="0"/>
            <w:vAlign w:val="center"/>
          </w:tcPr>
          <w:p w14:paraId="43BC538D">
            <w:pPr>
              <w:wordWrap w:val="0"/>
              <w:jc w:val="center"/>
              <w:rPr>
                <w:rFonts w:ascii="宋体" w:hAnsi="宋体"/>
                <w:color w:val="auto"/>
                <w:sz w:val="22"/>
                <w:szCs w:val="18"/>
              </w:rPr>
            </w:pPr>
          </w:p>
        </w:tc>
      </w:tr>
      <w:tr w14:paraId="37A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0DC1778F">
            <w:pPr>
              <w:wordWrap w:val="0"/>
              <w:jc w:val="center"/>
              <w:rPr>
                <w:rFonts w:ascii="宋体" w:hAnsi="宋体"/>
                <w:color w:val="auto"/>
                <w:sz w:val="22"/>
                <w:szCs w:val="18"/>
              </w:rPr>
            </w:pPr>
            <w:r>
              <w:rPr>
                <w:rFonts w:hint="eastAsia" w:ascii="宋体" w:hAnsi="宋体"/>
                <w:color w:val="auto"/>
                <w:sz w:val="22"/>
                <w:szCs w:val="18"/>
              </w:rPr>
              <w:t>6</w:t>
            </w:r>
          </w:p>
        </w:tc>
        <w:tc>
          <w:tcPr>
            <w:tcW w:w="2047" w:type="dxa"/>
            <w:noWrap w:val="0"/>
            <w:vAlign w:val="center"/>
          </w:tcPr>
          <w:p w14:paraId="09E032AB">
            <w:pPr>
              <w:wordWrap w:val="0"/>
              <w:jc w:val="center"/>
              <w:rPr>
                <w:rFonts w:ascii="宋体" w:hAnsi="宋体"/>
                <w:color w:val="auto"/>
                <w:sz w:val="22"/>
                <w:szCs w:val="18"/>
              </w:rPr>
            </w:pPr>
            <w:r>
              <w:rPr>
                <w:rFonts w:hint="eastAsia" w:ascii="宋体" w:hAnsi="宋体"/>
                <w:color w:val="auto"/>
                <w:sz w:val="22"/>
                <w:szCs w:val="18"/>
                <w:lang w:eastAsia="zh-CN"/>
              </w:rPr>
              <w:t>谈判</w:t>
            </w:r>
            <w:r>
              <w:rPr>
                <w:rFonts w:hint="eastAsia" w:ascii="宋体" w:hAnsi="宋体"/>
                <w:color w:val="auto"/>
                <w:sz w:val="22"/>
                <w:szCs w:val="18"/>
              </w:rPr>
              <w:t>有效期</w:t>
            </w:r>
          </w:p>
        </w:tc>
        <w:tc>
          <w:tcPr>
            <w:tcW w:w="2256" w:type="dxa"/>
            <w:noWrap w:val="0"/>
            <w:vAlign w:val="center"/>
          </w:tcPr>
          <w:p w14:paraId="033981C1">
            <w:pPr>
              <w:wordWrap w:val="0"/>
              <w:jc w:val="left"/>
              <w:rPr>
                <w:rFonts w:ascii="宋体" w:hAnsi="宋体"/>
                <w:color w:val="auto"/>
                <w:sz w:val="22"/>
                <w:szCs w:val="18"/>
              </w:rPr>
            </w:pPr>
            <w:r>
              <w:rPr>
                <w:rFonts w:hint="eastAsia" w:ascii="宋体" w:hAnsi="宋体"/>
                <w:color w:val="auto"/>
                <w:sz w:val="22"/>
                <w:szCs w:val="18"/>
              </w:rPr>
              <w:t>响应文件截止之日后90天（日历天）</w:t>
            </w:r>
          </w:p>
        </w:tc>
        <w:tc>
          <w:tcPr>
            <w:tcW w:w="1554" w:type="dxa"/>
            <w:noWrap w:val="0"/>
            <w:vAlign w:val="center"/>
          </w:tcPr>
          <w:p w14:paraId="5F30CE61">
            <w:pPr>
              <w:wordWrap w:val="0"/>
              <w:jc w:val="center"/>
              <w:rPr>
                <w:rFonts w:ascii="宋体" w:hAnsi="宋体"/>
                <w:color w:val="auto"/>
                <w:sz w:val="22"/>
                <w:szCs w:val="18"/>
              </w:rPr>
            </w:pPr>
          </w:p>
        </w:tc>
      </w:tr>
      <w:tr w14:paraId="2F3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DF0AE78">
            <w:pPr>
              <w:wordWrap w:val="0"/>
              <w:jc w:val="center"/>
              <w:rPr>
                <w:rFonts w:hint="default" w:ascii="宋体" w:hAnsi="宋体" w:eastAsia="宋体"/>
                <w:color w:val="auto"/>
                <w:sz w:val="22"/>
                <w:szCs w:val="18"/>
                <w:lang w:val="en-US" w:eastAsia="zh-CN"/>
              </w:rPr>
            </w:pPr>
            <w:r>
              <w:rPr>
                <w:rFonts w:hint="eastAsia" w:ascii="宋体" w:hAnsi="宋体"/>
                <w:color w:val="auto"/>
                <w:sz w:val="22"/>
                <w:szCs w:val="18"/>
                <w:lang w:val="en-US" w:eastAsia="zh-CN"/>
              </w:rPr>
              <w:t>7</w:t>
            </w:r>
          </w:p>
        </w:tc>
        <w:tc>
          <w:tcPr>
            <w:tcW w:w="2047" w:type="dxa"/>
            <w:noWrap w:val="0"/>
            <w:vAlign w:val="center"/>
          </w:tcPr>
          <w:p w14:paraId="64750052">
            <w:pPr>
              <w:wordWrap w:val="0"/>
              <w:jc w:val="center"/>
              <w:rPr>
                <w:rFonts w:hint="eastAsia" w:ascii="宋体" w:hAnsi="宋体"/>
                <w:color w:val="auto"/>
                <w:sz w:val="22"/>
                <w:szCs w:val="18"/>
              </w:rPr>
            </w:pPr>
            <w:r>
              <w:rPr>
                <w:rFonts w:hint="eastAsia" w:ascii="宋体" w:hAnsi="宋体"/>
                <w:color w:val="auto"/>
                <w:sz w:val="22"/>
                <w:szCs w:val="18"/>
              </w:rPr>
              <w:t>权利义务</w:t>
            </w:r>
          </w:p>
        </w:tc>
        <w:tc>
          <w:tcPr>
            <w:tcW w:w="2256" w:type="dxa"/>
            <w:noWrap w:val="0"/>
            <w:vAlign w:val="center"/>
          </w:tcPr>
          <w:p w14:paraId="1E2B4293">
            <w:pPr>
              <w:wordWrap w:val="0"/>
              <w:jc w:val="left"/>
              <w:rPr>
                <w:rFonts w:hint="eastAsia" w:ascii="宋体" w:hAnsi="宋体"/>
                <w:color w:val="auto"/>
                <w:sz w:val="22"/>
                <w:szCs w:val="18"/>
              </w:rPr>
            </w:pPr>
            <w:r>
              <w:rPr>
                <w:rFonts w:hint="eastAsia" w:ascii="宋体" w:hAnsi="宋体"/>
                <w:color w:val="auto"/>
                <w:sz w:val="22"/>
                <w:szCs w:val="18"/>
              </w:rPr>
              <w:t>符合第</w:t>
            </w:r>
            <w:r>
              <w:rPr>
                <w:rFonts w:hint="eastAsia" w:ascii="宋体" w:hAnsi="宋体"/>
                <w:color w:val="auto"/>
                <w:sz w:val="22"/>
                <w:szCs w:val="18"/>
                <w:lang w:eastAsia="zh-CN"/>
              </w:rPr>
              <w:t>五</w:t>
            </w:r>
            <w:r>
              <w:rPr>
                <w:rFonts w:hint="eastAsia" w:ascii="宋体" w:hAnsi="宋体"/>
                <w:color w:val="auto"/>
                <w:sz w:val="22"/>
                <w:szCs w:val="18"/>
              </w:rPr>
              <w:t>章“合同</w:t>
            </w:r>
            <w:r>
              <w:rPr>
                <w:rFonts w:hint="eastAsia" w:ascii="宋体" w:hAnsi="宋体"/>
                <w:color w:val="auto"/>
                <w:sz w:val="22"/>
                <w:szCs w:val="18"/>
                <w:lang w:eastAsia="zh-CN"/>
              </w:rPr>
              <w:t>主要</w:t>
            </w:r>
            <w:r>
              <w:rPr>
                <w:rFonts w:hint="eastAsia" w:ascii="宋体" w:hAnsi="宋体"/>
                <w:color w:val="auto"/>
                <w:sz w:val="22"/>
                <w:szCs w:val="18"/>
              </w:rPr>
              <w:t>条款及格式”规定</w:t>
            </w:r>
          </w:p>
        </w:tc>
        <w:tc>
          <w:tcPr>
            <w:tcW w:w="1554" w:type="dxa"/>
            <w:noWrap w:val="0"/>
            <w:vAlign w:val="center"/>
          </w:tcPr>
          <w:p w14:paraId="36F62951">
            <w:pPr>
              <w:wordWrap w:val="0"/>
              <w:jc w:val="center"/>
              <w:rPr>
                <w:rFonts w:ascii="宋体" w:hAnsi="宋体"/>
                <w:color w:val="auto"/>
                <w:sz w:val="22"/>
                <w:szCs w:val="18"/>
              </w:rPr>
            </w:pPr>
          </w:p>
        </w:tc>
      </w:tr>
      <w:tr w14:paraId="28B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4BAFBF7">
            <w:pPr>
              <w:wordWrap w:val="0"/>
              <w:jc w:val="center"/>
              <w:rPr>
                <w:rFonts w:ascii="宋体" w:hAnsi="宋体"/>
                <w:color w:val="auto"/>
                <w:sz w:val="22"/>
                <w:szCs w:val="18"/>
              </w:rPr>
            </w:pPr>
            <w:r>
              <w:rPr>
                <w:rFonts w:hint="eastAsia" w:ascii="宋体" w:hAnsi="宋体"/>
                <w:color w:val="auto"/>
                <w:sz w:val="22"/>
                <w:szCs w:val="18"/>
              </w:rPr>
              <w:t>……</w:t>
            </w:r>
          </w:p>
        </w:tc>
        <w:tc>
          <w:tcPr>
            <w:tcW w:w="2047" w:type="dxa"/>
            <w:noWrap w:val="0"/>
            <w:vAlign w:val="center"/>
          </w:tcPr>
          <w:p w14:paraId="57BC2CAE">
            <w:pPr>
              <w:wordWrap w:val="0"/>
              <w:jc w:val="center"/>
              <w:rPr>
                <w:rFonts w:ascii="宋体" w:hAnsi="宋体"/>
                <w:color w:val="auto"/>
                <w:sz w:val="22"/>
                <w:szCs w:val="18"/>
              </w:rPr>
            </w:pPr>
            <w:r>
              <w:rPr>
                <w:rFonts w:hint="eastAsia" w:ascii="宋体" w:hAnsi="宋体"/>
                <w:color w:val="auto"/>
                <w:sz w:val="22"/>
                <w:szCs w:val="18"/>
              </w:rPr>
              <w:t>……</w:t>
            </w:r>
          </w:p>
        </w:tc>
        <w:tc>
          <w:tcPr>
            <w:tcW w:w="2256" w:type="dxa"/>
            <w:noWrap w:val="0"/>
            <w:vAlign w:val="center"/>
          </w:tcPr>
          <w:p w14:paraId="4A89405C">
            <w:pPr>
              <w:wordWrap w:val="0"/>
              <w:jc w:val="center"/>
              <w:rPr>
                <w:rFonts w:ascii="宋体" w:hAnsi="宋体"/>
                <w:color w:val="auto"/>
                <w:sz w:val="22"/>
                <w:szCs w:val="18"/>
              </w:rPr>
            </w:pPr>
          </w:p>
        </w:tc>
        <w:tc>
          <w:tcPr>
            <w:tcW w:w="1554" w:type="dxa"/>
            <w:noWrap w:val="0"/>
            <w:vAlign w:val="center"/>
          </w:tcPr>
          <w:p w14:paraId="034C85D5">
            <w:pPr>
              <w:wordWrap w:val="0"/>
              <w:jc w:val="center"/>
              <w:rPr>
                <w:rFonts w:ascii="宋体" w:hAnsi="宋体"/>
                <w:color w:val="auto"/>
                <w:sz w:val="22"/>
                <w:szCs w:val="18"/>
              </w:rPr>
            </w:pPr>
          </w:p>
        </w:tc>
      </w:tr>
    </w:tbl>
    <w:p w14:paraId="67A3E2D2">
      <w:pPr>
        <w:wordWrap w:val="0"/>
        <w:spacing w:line="480" w:lineRule="auto"/>
        <w:ind w:firstLine="480" w:firstLineChars="200"/>
        <w:rPr>
          <w:rFonts w:hint="eastAsia" w:ascii="宋体" w:hAnsi="宋体"/>
          <w:color w:val="auto"/>
          <w:sz w:val="24"/>
        </w:rPr>
      </w:pPr>
    </w:p>
    <w:p w14:paraId="473CABF4">
      <w:pPr>
        <w:wordWrap w:val="0"/>
        <w:spacing w:line="480" w:lineRule="auto"/>
        <w:ind w:firstLine="480" w:firstLineChars="200"/>
        <w:rPr>
          <w:rFonts w:hint="eastAsia" w:ascii="宋体" w:hAnsi="宋体"/>
          <w:color w:val="auto"/>
          <w:sz w:val="24"/>
        </w:rPr>
      </w:pPr>
    </w:p>
    <w:p w14:paraId="03E3C4FA">
      <w:pPr>
        <w:wordWrap w:val="0"/>
        <w:spacing w:line="480" w:lineRule="auto"/>
        <w:ind w:firstLine="480" w:firstLineChars="200"/>
        <w:rPr>
          <w:rFonts w:hint="eastAsia" w:ascii="宋体" w:hAnsi="宋体"/>
          <w:color w:val="auto"/>
          <w:sz w:val="24"/>
        </w:rPr>
      </w:pPr>
    </w:p>
    <w:p w14:paraId="347C7CEA">
      <w:pPr>
        <w:wordWrap w:val="0"/>
        <w:spacing w:line="480" w:lineRule="auto"/>
        <w:ind w:firstLine="480" w:firstLineChars="200"/>
        <w:rPr>
          <w:rFonts w:hint="eastAsia" w:ascii="宋体" w:hAnsi="宋体"/>
          <w:color w:val="auto"/>
          <w:sz w:val="24"/>
        </w:rPr>
      </w:pPr>
    </w:p>
    <w:p w14:paraId="523AD68E">
      <w:pPr>
        <w:wordWrap w:val="0"/>
        <w:spacing w:line="480" w:lineRule="auto"/>
        <w:ind w:firstLine="480" w:firstLineChars="200"/>
        <w:rPr>
          <w:rFonts w:hint="eastAsia" w:ascii="宋体" w:hAnsi="宋体"/>
          <w:color w:val="auto"/>
          <w:sz w:val="24"/>
        </w:rPr>
      </w:pPr>
    </w:p>
    <w:p w14:paraId="39B05DFB">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71A9F314">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3E760484">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A00F059">
      <w:pPr>
        <w:rPr>
          <w:rFonts w:hint="eastAsia" w:ascii="宋体" w:hAnsi="宋体" w:cs="宋体"/>
        </w:rPr>
      </w:pPr>
    </w:p>
    <w:p w14:paraId="286D887D">
      <w:pPr>
        <w:rPr>
          <w:rFonts w:hint="eastAsia" w:ascii="宋体" w:hAnsi="宋体" w:cs="宋体"/>
        </w:rPr>
      </w:pPr>
      <w:r>
        <w:rPr>
          <w:rFonts w:hint="eastAsia" w:ascii="宋体" w:hAnsi="宋体" w:cs="宋体"/>
        </w:rPr>
        <w:br w:type="page"/>
      </w:r>
    </w:p>
    <w:p w14:paraId="77CF33F8">
      <w:pPr>
        <w:pStyle w:val="3"/>
        <w:jc w:val="center"/>
        <w:rPr>
          <w:rFonts w:ascii="宋体" w:hAnsi="宋体" w:cs="宋体"/>
        </w:rPr>
      </w:pPr>
      <w:bookmarkStart w:id="57" w:name="_Toc14284"/>
      <w:r>
        <w:rPr>
          <w:rFonts w:hint="eastAsia" w:ascii="宋体" w:hAnsi="宋体" w:cs="宋体"/>
        </w:rPr>
        <w:t>二、法定代表人身份证明</w:t>
      </w:r>
      <w:bookmarkEnd w:id="47"/>
      <w:bookmarkEnd w:id="48"/>
      <w:bookmarkEnd w:id="49"/>
      <w:bookmarkEnd w:id="50"/>
      <w:bookmarkEnd w:id="51"/>
      <w:bookmarkEnd w:id="52"/>
      <w:bookmarkEnd w:id="53"/>
      <w:bookmarkEnd w:id="54"/>
      <w:bookmarkEnd w:id="55"/>
      <w:bookmarkEnd w:id="56"/>
      <w:bookmarkEnd w:id="57"/>
    </w:p>
    <w:p w14:paraId="1A6FFE71">
      <w:pPr>
        <w:spacing w:line="480" w:lineRule="auto"/>
        <w:ind w:firstLine="480" w:firstLineChars="200"/>
        <w:rPr>
          <w:rFonts w:ascii="宋体" w:hAnsi="宋体" w:cs="宋体"/>
          <w:szCs w:val="21"/>
          <w:u w:val="single"/>
        </w:rPr>
      </w:pPr>
      <w:r>
        <w:rPr>
          <w:rFonts w:hint="eastAsia" w:ascii="宋体" w:hAnsi="宋体"/>
          <w:color w:val="auto"/>
          <w:sz w:val="24"/>
          <w:szCs w:val="21"/>
        </w:rPr>
        <w:t>供应商名称</w:t>
      </w:r>
      <w:r>
        <w:rPr>
          <w:rFonts w:hint="eastAsia" w:ascii="宋体" w:hAnsi="宋体" w:cs="宋体"/>
          <w:szCs w:val="21"/>
        </w:rPr>
        <w:t>：</w:t>
      </w:r>
      <w:r>
        <w:rPr>
          <w:rFonts w:hint="eastAsia" w:ascii="宋体" w:hAnsi="宋体" w:cs="宋体"/>
          <w:szCs w:val="21"/>
          <w:u w:val="single"/>
        </w:rPr>
        <w:t xml:space="preserve">                             </w:t>
      </w:r>
    </w:p>
    <w:p w14:paraId="62360B09">
      <w:pPr>
        <w:tabs>
          <w:tab w:val="left" w:pos="1710"/>
        </w:tabs>
        <w:wordWrap w:val="0"/>
        <w:spacing w:line="480" w:lineRule="auto"/>
        <w:ind w:firstLine="480" w:firstLineChars="200"/>
        <w:rPr>
          <w:rFonts w:ascii="宋体" w:hAnsi="宋体"/>
          <w:color w:val="auto"/>
          <w:sz w:val="24"/>
          <w:szCs w:val="21"/>
        </w:rPr>
      </w:pPr>
      <w:bookmarkStart w:id="58" w:name="_Toc238552302"/>
      <w:bookmarkStart w:id="59" w:name="_Toc144974861"/>
      <w:bookmarkStart w:id="60" w:name="_Toc152045792"/>
      <w:bookmarkStart w:id="61" w:name="_Toc262740155"/>
      <w:bookmarkStart w:id="62" w:name="_Toc238797664"/>
      <w:bookmarkStart w:id="63" w:name="_Toc152042581"/>
      <w:r>
        <w:rPr>
          <w:rFonts w:hint="eastAsia" w:ascii="宋体" w:hAnsi="宋体"/>
          <w:color w:val="auto"/>
          <w:sz w:val="24"/>
          <w:szCs w:val="21"/>
        </w:rPr>
        <w:t>单位性质:</w:t>
      </w:r>
      <w:r>
        <w:rPr>
          <w:rFonts w:hint="eastAsia" w:ascii="宋体" w:hAnsi="宋体"/>
          <w:color w:val="auto"/>
          <w:sz w:val="24"/>
          <w:szCs w:val="21"/>
          <w:u w:val="single"/>
        </w:rPr>
        <w:t xml:space="preserve">                                            </w:t>
      </w:r>
    </w:p>
    <w:p w14:paraId="09B88FB0">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地    址：</w:t>
      </w:r>
      <w:r>
        <w:rPr>
          <w:rFonts w:hint="eastAsia" w:ascii="宋体" w:hAnsi="宋体"/>
          <w:color w:val="auto"/>
          <w:sz w:val="24"/>
          <w:szCs w:val="21"/>
          <w:u w:val="single"/>
        </w:rPr>
        <w:t xml:space="preserve">                                           </w:t>
      </w:r>
    </w:p>
    <w:p w14:paraId="13CA95D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成立时间：</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37D86F0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经营期限：</w:t>
      </w:r>
      <w:r>
        <w:rPr>
          <w:rFonts w:hint="eastAsia" w:ascii="宋体" w:hAnsi="宋体"/>
          <w:color w:val="auto"/>
          <w:sz w:val="24"/>
          <w:szCs w:val="21"/>
          <w:u w:val="single"/>
        </w:rPr>
        <w:t xml:space="preserve">                                           </w:t>
      </w:r>
    </w:p>
    <w:p w14:paraId="2CF35CA5">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姓    名：</w:t>
      </w:r>
      <w:r>
        <w:rPr>
          <w:rFonts w:hint="eastAsia" w:ascii="宋体" w:hAnsi="宋体"/>
          <w:color w:val="auto"/>
          <w:sz w:val="24"/>
          <w:szCs w:val="21"/>
          <w:u w:val="single"/>
        </w:rPr>
        <w:t xml:space="preserve">                 </w:t>
      </w:r>
      <w:r>
        <w:rPr>
          <w:rFonts w:hint="eastAsia" w:ascii="宋体" w:hAnsi="宋体"/>
          <w:color w:val="auto"/>
          <w:sz w:val="24"/>
          <w:szCs w:val="21"/>
        </w:rPr>
        <w:t>性     别：</w:t>
      </w:r>
      <w:r>
        <w:rPr>
          <w:rFonts w:hint="eastAsia" w:ascii="宋体" w:hAnsi="宋体"/>
          <w:color w:val="auto"/>
          <w:sz w:val="24"/>
          <w:szCs w:val="21"/>
          <w:u w:val="single"/>
        </w:rPr>
        <w:t xml:space="preserve">                </w:t>
      </w:r>
    </w:p>
    <w:p w14:paraId="3820229C">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年    龄：</w:t>
      </w:r>
      <w:r>
        <w:rPr>
          <w:rFonts w:hint="eastAsia" w:ascii="宋体" w:hAnsi="宋体"/>
          <w:color w:val="auto"/>
          <w:sz w:val="24"/>
          <w:szCs w:val="21"/>
          <w:u w:val="single"/>
        </w:rPr>
        <w:t xml:space="preserve">                 </w:t>
      </w:r>
      <w:r>
        <w:rPr>
          <w:rFonts w:hint="eastAsia" w:ascii="宋体" w:hAnsi="宋体"/>
          <w:color w:val="auto"/>
          <w:sz w:val="24"/>
          <w:szCs w:val="21"/>
        </w:rPr>
        <w:t>职     务：</w:t>
      </w:r>
      <w:r>
        <w:rPr>
          <w:rFonts w:hint="eastAsia" w:ascii="宋体" w:hAnsi="宋体"/>
          <w:color w:val="auto"/>
          <w:sz w:val="24"/>
          <w:szCs w:val="21"/>
          <w:u w:val="single"/>
        </w:rPr>
        <w:t xml:space="preserve">                </w:t>
      </w:r>
    </w:p>
    <w:p w14:paraId="1BC173D2">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系</w:t>
      </w:r>
      <w:r>
        <w:rPr>
          <w:rFonts w:hint="eastAsia" w:ascii="宋体" w:hAnsi="宋体"/>
          <w:color w:val="auto"/>
          <w:sz w:val="24"/>
          <w:szCs w:val="21"/>
          <w:u w:val="single"/>
        </w:rPr>
        <w:t xml:space="preserve">                                    </w:t>
      </w:r>
      <w:r>
        <w:rPr>
          <w:rFonts w:hint="eastAsia" w:ascii="宋体" w:hAnsi="宋体"/>
          <w:color w:val="auto"/>
          <w:sz w:val="24"/>
          <w:szCs w:val="21"/>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color w:val="auto"/>
          <w:sz w:val="24"/>
          <w:szCs w:val="21"/>
        </w:rPr>
        <w:t>）的法定代表人。</w:t>
      </w:r>
    </w:p>
    <w:p w14:paraId="65093C13">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特此证明。</w:t>
      </w:r>
    </w:p>
    <w:tbl>
      <w:tblPr>
        <w:tblStyle w:val="1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7A54A2D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noWrap w:val="0"/>
            <w:vAlign w:val="center"/>
          </w:tcPr>
          <w:p w14:paraId="28365EA7">
            <w:pPr>
              <w:spacing w:line="360" w:lineRule="auto"/>
              <w:jc w:val="center"/>
              <w:rPr>
                <w:rFonts w:ascii="宋体" w:hAnsi="宋体"/>
                <w:b/>
                <w:color w:val="auto"/>
                <w:sz w:val="24"/>
              </w:rPr>
            </w:pPr>
            <w:r>
              <w:rPr>
                <w:rFonts w:ascii="宋体" w:hAnsi="宋体"/>
                <w:b/>
                <w:color w:val="auto"/>
                <w:sz w:val="24"/>
              </w:rPr>
              <w:t>法定代表人居民身份证复印件（正、反面）</w:t>
            </w:r>
          </w:p>
        </w:tc>
      </w:tr>
    </w:tbl>
    <w:p w14:paraId="1BD09C8B">
      <w:pPr>
        <w:wordWrap w:val="0"/>
        <w:spacing w:line="480" w:lineRule="auto"/>
        <w:ind w:firstLine="480" w:firstLineChars="200"/>
        <w:rPr>
          <w:rFonts w:hint="eastAsia" w:ascii="宋体" w:hAnsi="宋体"/>
          <w:color w:val="auto"/>
          <w:sz w:val="24"/>
        </w:rPr>
      </w:pPr>
    </w:p>
    <w:p w14:paraId="7470EAA9">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10905A99">
      <w:pPr>
        <w:wordWrap w:val="0"/>
        <w:spacing w:line="480" w:lineRule="auto"/>
        <w:ind w:firstLine="480" w:firstLineChars="200"/>
        <w:rPr>
          <w:rFonts w:ascii="宋体" w:hAnsi="宋体"/>
          <w:color w:val="auto"/>
          <w:sz w:val="24"/>
        </w:rPr>
      </w:pPr>
      <w:r>
        <w:rPr>
          <w:rFonts w:hint="eastAsia" w:ascii="宋体" w:hAnsi="宋体"/>
          <w:color w:val="auto"/>
          <w:sz w:val="24"/>
        </w:rPr>
        <w:t>法定代表人：</w:t>
      </w:r>
      <w:r>
        <w:rPr>
          <w:rFonts w:hint="eastAsia" w:ascii="宋体" w:hAnsi="宋体"/>
          <w:color w:val="auto"/>
          <w:sz w:val="24"/>
          <w:szCs w:val="21"/>
          <w:u w:val="single"/>
        </w:rPr>
        <w:t xml:space="preserve">                                </w:t>
      </w:r>
      <w:r>
        <w:rPr>
          <w:rFonts w:hint="eastAsia" w:ascii="宋体" w:hAnsi="宋体"/>
          <w:color w:val="auto"/>
          <w:sz w:val="24"/>
        </w:rPr>
        <w:t>（签字或签章）</w:t>
      </w:r>
    </w:p>
    <w:p w14:paraId="139D15F8">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8888EF6">
      <w:pPr>
        <w:jc w:val="center"/>
        <w:rPr>
          <w:rFonts w:ascii="宋体" w:hAnsi="宋体" w:cs="宋体"/>
        </w:rPr>
      </w:pPr>
      <w:r>
        <w:rPr>
          <w:rFonts w:hint="eastAsia" w:ascii="宋体" w:hAnsi="宋体" w:cs="宋体"/>
        </w:rPr>
        <w:br w:type="page"/>
      </w:r>
      <w:bookmarkStart w:id="64" w:name="_Toc285981646"/>
    </w:p>
    <w:p w14:paraId="3E03A3ED">
      <w:pPr>
        <w:pStyle w:val="3"/>
        <w:jc w:val="center"/>
        <w:rPr>
          <w:rFonts w:hint="eastAsia" w:ascii="宋体" w:hAnsi="宋体" w:eastAsia="宋体" w:cs="宋体"/>
          <w:lang w:eastAsia="zh-CN"/>
        </w:rPr>
      </w:pPr>
      <w:bookmarkStart w:id="65" w:name="_Toc1643"/>
      <w:bookmarkStart w:id="66" w:name="_Toc6778"/>
      <w:bookmarkStart w:id="67" w:name="_Toc435802467"/>
      <w:bookmarkStart w:id="68" w:name="_Toc25608"/>
      <w:r>
        <w:rPr>
          <w:rFonts w:hint="eastAsia" w:ascii="宋体" w:hAnsi="宋体" w:cs="宋体"/>
        </w:rPr>
        <w:t>三、授权委托书</w:t>
      </w:r>
      <w:bookmarkEnd w:id="58"/>
      <w:bookmarkEnd w:id="59"/>
      <w:bookmarkEnd w:id="60"/>
      <w:bookmarkEnd w:id="61"/>
      <w:bookmarkEnd w:id="62"/>
      <w:bookmarkEnd w:id="63"/>
      <w:bookmarkEnd w:id="64"/>
      <w:bookmarkEnd w:id="65"/>
      <w:bookmarkEnd w:id="66"/>
      <w:bookmarkEnd w:id="67"/>
      <w:bookmarkEnd w:id="68"/>
      <w:r>
        <w:rPr>
          <w:rFonts w:hint="eastAsia" w:ascii="宋体" w:hAnsi="宋体" w:cs="宋体"/>
          <w:lang w:eastAsia="zh-CN"/>
        </w:rPr>
        <w:t>（</w:t>
      </w:r>
      <w:r>
        <w:rPr>
          <w:rFonts w:hint="eastAsia" w:ascii="宋体" w:hAnsi="宋体" w:cs="宋体"/>
          <w:lang w:val="en-US" w:eastAsia="zh-CN"/>
        </w:rPr>
        <w:t>无授权人可不填写</w:t>
      </w:r>
      <w:r>
        <w:rPr>
          <w:rFonts w:hint="eastAsia" w:ascii="宋体" w:hAnsi="宋体" w:cs="宋体"/>
          <w:lang w:eastAsia="zh-CN"/>
        </w:rPr>
        <w:t>）</w:t>
      </w:r>
    </w:p>
    <w:p w14:paraId="65E7E7D7">
      <w:pPr>
        <w:pStyle w:val="8"/>
        <w:snapToGrid w:val="0"/>
        <w:spacing w:line="480" w:lineRule="auto"/>
        <w:ind w:firstLine="840" w:firstLineChars="400"/>
        <w:rPr>
          <w:rFonts w:hAnsi="宋体" w:cs="宋体"/>
        </w:rPr>
      </w:pPr>
      <w:r>
        <w:rPr>
          <w:rFonts w:hint="eastAsia" w:hAnsi="宋体" w:cs="宋体"/>
        </w:rPr>
        <w:t xml:space="preserve">本人 </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w:t>
      </w:r>
      <w:r>
        <w:rPr>
          <w:rFonts w:hint="eastAsia" w:hAnsi="宋体" w:cs="宋体"/>
          <w:szCs w:val="21"/>
        </w:rPr>
        <w:t>供应商</w:t>
      </w:r>
      <w:r>
        <w:rPr>
          <w:rFonts w:hint="eastAsia" w:hAnsi="宋体" w:cs="宋体"/>
        </w:rPr>
        <w:t>名称）的法定代表人，现委托</w:t>
      </w:r>
      <w:r>
        <w:rPr>
          <w:rFonts w:hint="eastAsia" w:hAnsi="宋体" w:cs="宋体"/>
          <w:u w:val="single"/>
        </w:rPr>
        <w:t xml:space="preserve">           </w:t>
      </w:r>
      <w:r>
        <w:rPr>
          <w:rFonts w:hint="eastAsia" w:hAnsi="宋体" w:cs="宋体"/>
        </w:rPr>
        <w:t>（姓名）为我方代理人。代理人根据授权，以我方名义签署、澄清确认、递交、撤回、修改</w:t>
      </w:r>
      <w:r>
        <w:rPr>
          <w:rFonts w:hint="eastAsia" w:hAnsi="宋体" w:cs="宋体"/>
          <w:u w:val="single"/>
        </w:rPr>
        <w:t>（</w:t>
      </w:r>
      <w:r>
        <w:rPr>
          <w:rFonts w:hint="eastAsia" w:hAnsi="宋体" w:cs="宋体"/>
          <w:u w:val="single"/>
          <w:lang w:eastAsia="zh-CN"/>
        </w:rPr>
        <w:t>谈判</w:t>
      </w:r>
      <w:r>
        <w:rPr>
          <w:rFonts w:hint="eastAsia" w:hAnsi="宋体" w:cs="宋体"/>
          <w:u w:val="single"/>
        </w:rPr>
        <w:t>项目名称）</w:t>
      </w:r>
      <w:r>
        <w:rPr>
          <w:rFonts w:hint="eastAsia" w:hAnsi="宋体" w:cs="宋体"/>
        </w:rPr>
        <w:t>招标项目响应文件、签订合同和处理有关事宜，其法律后果由我方承担。</w:t>
      </w:r>
    </w:p>
    <w:p w14:paraId="017906D0">
      <w:pPr>
        <w:pStyle w:val="8"/>
        <w:snapToGrid w:val="0"/>
        <w:spacing w:line="480" w:lineRule="auto"/>
        <w:ind w:firstLine="420"/>
        <w:rPr>
          <w:rFonts w:hAnsi="宋体" w:cs="宋体"/>
        </w:rPr>
      </w:pPr>
      <w:r>
        <w:rPr>
          <w:rFonts w:hint="eastAsia" w:hAnsi="宋体" w:cs="宋体"/>
        </w:rPr>
        <w:t>委托期限：</w:t>
      </w:r>
      <w:r>
        <w:rPr>
          <w:rFonts w:hint="eastAsia" w:hAnsi="宋体" w:cs="宋体"/>
          <w:u w:val="single"/>
        </w:rPr>
        <w:t xml:space="preserve">                     </w:t>
      </w:r>
      <w:r>
        <w:rPr>
          <w:rFonts w:hint="eastAsia" w:hAnsi="宋体" w:cs="宋体"/>
        </w:rPr>
        <w:t xml:space="preserve"> </w:t>
      </w:r>
    </w:p>
    <w:p w14:paraId="03DC6D9D">
      <w:pPr>
        <w:pStyle w:val="8"/>
        <w:snapToGrid w:val="0"/>
        <w:spacing w:line="480" w:lineRule="auto"/>
        <w:ind w:firstLine="420"/>
        <w:rPr>
          <w:rFonts w:hAnsi="宋体" w:cs="宋体"/>
        </w:rPr>
      </w:pPr>
      <w:r>
        <w:rPr>
          <w:rFonts w:hint="eastAsia" w:hAnsi="宋体" w:cs="宋体"/>
        </w:rPr>
        <w:t>代理人无转委托权。</w:t>
      </w:r>
    </w:p>
    <w:p w14:paraId="30FB110F">
      <w:pPr>
        <w:pStyle w:val="8"/>
        <w:snapToGrid w:val="0"/>
        <w:spacing w:line="480" w:lineRule="auto"/>
        <w:ind w:firstLine="420"/>
        <w:rPr>
          <w:rFonts w:hAnsi="宋体" w:cs="宋体"/>
        </w:rPr>
      </w:pPr>
      <w:r>
        <w:rPr>
          <w:rFonts w:hint="eastAsia" w:hAnsi="宋体" w:cs="宋体"/>
        </w:rPr>
        <w:t>附：法定代表人身份证复印件及委托代理人身份证复印件</w:t>
      </w:r>
    </w:p>
    <w:p w14:paraId="0E5B6B49">
      <w:pPr>
        <w:pStyle w:val="8"/>
        <w:snapToGrid w:val="0"/>
        <w:spacing w:line="480" w:lineRule="auto"/>
        <w:ind w:firstLine="420"/>
        <w:rPr>
          <w:rFonts w:hAnsi="宋体" w:cs="宋体"/>
        </w:rPr>
      </w:pPr>
      <w:r>
        <w:rPr>
          <w:rFonts w:hint="eastAsia" w:hAnsi="宋体" w:cs="宋体"/>
        </w:rPr>
        <w:t>注：本授权委托书需由供应商加盖单位公章并由其法定代表人和委托代理人签字</w:t>
      </w:r>
    </w:p>
    <w:p w14:paraId="023D72FF">
      <w:pPr>
        <w:pStyle w:val="8"/>
        <w:snapToGrid w:val="0"/>
        <w:spacing w:line="360" w:lineRule="auto"/>
        <w:ind w:firstLine="400"/>
        <w:rPr>
          <w:rFonts w:hAnsi="宋体" w:cs="宋体"/>
        </w:rPr>
      </w:pPr>
    </w:p>
    <w:p w14:paraId="226D95DD">
      <w:pPr>
        <w:pStyle w:val="8"/>
        <w:snapToGrid w:val="0"/>
        <w:spacing w:line="360" w:lineRule="auto"/>
        <w:ind w:firstLine="400"/>
        <w:rPr>
          <w:rFonts w:hAnsi="宋体" w:cs="宋体"/>
        </w:rPr>
      </w:pPr>
    </w:p>
    <w:p w14:paraId="1AFDABF0">
      <w:pPr>
        <w:pStyle w:val="8"/>
        <w:snapToGrid w:val="0"/>
        <w:spacing w:line="720" w:lineRule="auto"/>
        <w:ind w:firstLine="3120" w:firstLineChars="1300"/>
        <w:rPr>
          <w:rFonts w:hAnsi="宋体" w:cs="宋体"/>
        </w:rPr>
      </w:pPr>
      <w:r>
        <w:rPr>
          <w:rFonts w:hint="eastAsia" w:ascii="宋体" w:hAnsi="宋体"/>
          <w:color w:val="auto"/>
          <w:sz w:val="24"/>
        </w:rPr>
        <w:t>供应商名称</w:t>
      </w:r>
      <w:r>
        <w:rPr>
          <w:rFonts w:hint="eastAsia" w:hAnsi="宋体" w:cs="宋体"/>
        </w:rPr>
        <w:t>：</w:t>
      </w:r>
      <w:r>
        <w:rPr>
          <w:rFonts w:hint="eastAsia" w:hAnsi="宋体" w:cs="宋体"/>
          <w:u w:val="single"/>
        </w:rPr>
        <w:t xml:space="preserve">                      </w:t>
      </w:r>
      <w:r>
        <w:rPr>
          <w:rFonts w:hint="eastAsia" w:hAnsi="宋体" w:cs="宋体"/>
        </w:rPr>
        <w:t>（盖单位</w:t>
      </w:r>
      <w:r>
        <w:rPr>
          <w:rFonts w:hint="eastAsia" w:hAnsi="宋体" w:cs="宋体"/>
          <w:lang w:eastAsia="zh-CN"/>
        </w:rPr>
        <w:t>公</w:t>
      </w:r>
      <w:r>
        <w:rPr>
          <w:rFonts w:hint="eastAsia" w:hAnsi="宋体" w:cs="宋体"/>
        </w:rPr>
        <w:t>章）</w:t>
      </w:r>
    </w:p>
    <w:p w14:paraId="40761749">
      <w:pPr>
        <w:pStyle w:val="8"/>
        <w:snapToGrid w:val="0"/>
        <w:spacing w:line="720" w:lineRule="auto"/>
        <w:ind w:firstLine="3158" w:firstLineChars="1504"/>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w:t>
      </w:r>
      <w:r>
        <w:rPr>
          <w:rFonts w:hint="eastAsia" w:ascii="宋体" w:hAnsi="宋体"/>
          <w:color w:val="auto"/>
          <w:sz w:val="24"/>
        </w:rPr>
        <w:t>签字或签章</w:t>
      </w:r>
      <w:r>
        <w:rPr>
          <w:rFonts w:hint="eastAsia" w:hAnsi="宋体" w:cs="宋体"/>
        </w:rPr>
        <w:t>）</w:t>
      </w:r>
    </w:p>
    <w:p w14:paraId="1BB0DD86">
      <w:pPr>
        <w:pStyle w:val="8"/>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6E2A5191">
      <w:pPr>
        <w:pStyle w:val="8"/>
        <w:snapToGrid w:val="0"/>
        <w:spacing w:line="720" w:lineRule="auto"/>
        <w:ind w:firstLine="3158" w:firstLineChars="1504"/>
        <w:rPr>
          <w:rFonts w:hAnsi="宋体" w:cs="宋体"/>
        </w:rPr>
      </w:pPr>
      <w:r>
        <w:rPr>
          <w:rFonts w:hint="eastAsia" w:hAnsi="宋体" w:cs="宋体"/>
        </w:rPr>
        <w:t>授权代理人：</w:t>
      </w:r>
      <w:r>
        <w:rPr>
          <w:rFonts w:hint="eastAsia" w:hAnsi="宋体" w:cs="宋体"/>
          <w:u w:val="single"/>
        </w:rPr>
        <w:t xml:space="preserve">                      </w:t>
      </w:r>
      <w:r>
        <w:rPr>
          <w:rFonts w:hint="eastAsia" w:hAnsi="宋体" w:cs="宋体"/>
        </w:rPr>
        <w:t>（签字）</w:t>
      </w:r>
    </w:p>
    <w:p w14:paraId="35D3F5B8">
      <w:pPr>
        <w:pStyle w:val="8"/>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703C90F3">
      <w:pPr>
        <w:spacing w:line="360" w:lineRule="auto"/>
        <w:ind w:firstLine="3998" w:firstLineChars="1904"/>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BE6473">
      <w:pPr>
        <w:spacing w:line="319" w:lineRule="exact"/>
        <w:rPr>
          <w:rFonts w:ascii="宋体" w:hAnsi="宋体" w:cs="宋体"/>
          <w:color w:val="000000"/>
          <w:sz w:val="30"/>
        </w:rPr>
      </w:pPr>
    </w:p>
    <w:p w14:paraId="0D3DC8C6">
      <w:pPr>
        <w:spacing w:line="319" w:lineRule="exact"/>
        <w:rPr>
          <w:rFonts w:ascii="宋体" w:hAnsi="宋体" w:cs="宋体"/>
          <w:color w:val="000000"/>
          <w:sz w:val="30"/>
        </w:rPr>
      </w:pPr>
    </w:p>
    <w:p w14:paraId="644F5083">
      <w:pPr>
        <w:spacing w:line="319" w:lineRule="exact"/>
        <w:rPr>
          <w:rFonts w:ascii="宋体" w:hAnsi="宋体" w:cs="宋体"/>
          <w:color w:val="000000"/>
          <w:sz w:val="30"/>
        </w:rPr>
      </w:pPr>
    </w:p>
    <w:p w14:paraId="1548BF5F">
      <w:pPr>
        <w:spacing w:line="319" w:lineRule="exact"/>
        <w:rPr>
          <w:rFonts w:ascii="宋体" w:hAnsi="宋体" w:cs="宋体"/>
          <w:color w:val="000000"/>
          <w:sz w:val="30"/>
        </w:rPr>
      </w:pPr>
      <w:r>
        <w:rPr>
          <w:rFonts w:ascii="宋体" w:hAnsi="宋体" w:eastAsia="宋体"/>
          <w:color w:val="auto"/>
          <w:sz w:val="21"/>
          <w:szCs w:val="21"/>
        </w:rPr>
        <w:br w:type="page"/>
      </w:r>
    </w:p>
    <w:p w14:paraId="1ECB2A20">
      <w:pPr>
        <w:pStyle w:val="3"/>
        <w:bidi w:val="0"/>
        <w:jc w:val="center"/>
        <w:rPr>
          <w:rFonts w:hint="eastAsia"/>
          <w:lang w:val="en-US" w:eastAsia="zh-CN"/>
        </w:rPr>
      </w:pPr>
      <w:bookmarkStart w:id="69" w:name="_Toc14200"/>
      <w:r>
        <w:rPr>
          <w:rFonts w:hint="eastAsia"/>
          <w:lang w:val="en-US" w:eastAsia="zh-CN"/>
        </w:rPr>
        <w:t>四、首次报价一览表</w:t>
      </w:r>
      <w:bookmarkEnd w:id="69"/>
    </w:p>
    <w:p w14:paraId="4BFF37C0">
      <w:pPr>
        <w:widowControl/>
        <w:wordWrap w:val="0"/>
        <w:autoSpaceDE w:val="0"/>
        <w:autoSpaceDN w:val="0"/>
        <w:spacing w:line="360" w:lineRule="auto"/>
        <w:ind w:right="890"/>
        <w:textAlignment w:val="bottom"/>
        <w:rPr>
          <w:rFonts w:asciiTheme="minorEastAsia" w:hAnsiTheme="minorEastAsia" w:eastAsiaTheme="minorEastAsia" w:cstheme="minorEastAsia"/>
          <w:color w:val="auto"/>
          <w:highlight w:val="none"/>
          <w:lang w:eastAsia="zh-CN"/>
        </w:rPr>
      </w:pPr>
    </w:p>
    <w:p w14:paraId="73A24942">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08335E71">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493"/>
        <w:gridCol w:w="1915"/>
        <w:gridCol w:w="1017"/>
        <w:gridCol w:w="1297"/>
        <w:gridCol w:w="1298"/>
      </w:tblGrid>
      <w:tr w14:paraId="26F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320839A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828" w:type="pct"/>
            <w:vAlign w:val="center"/>
          </w:tcPr>
          <w:p w14:paraId="3FFCC6A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w:t>
            </w:r>
          </w:p>
          <w:p w14:paraId="6D9ED7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eastAsia="zh-CN"/>
              </w:rPr>
              <w:t>元</w:t>
            </w:r>
            <w:r>
              <w:rPr>
                <w:rFonts w:hint="eastAsia" w:asciiTheme="minorEastAsia" w:hAnsiTheme="minorEastAsia" w:eastAsiaTheme="minorEastAsia" w:cstheme="minorEastAsia"/>
                <w:bCs/>
                <w:color w:val="auto"/>
                <w:sz w:val="24"/>
                <w:szCs w:val="24"/>
                <w:highlight w:val="none"/>
                <w:lang w:val="zh-CN"/>
              </w:rPr>
              <w:t>）</w:t>
            </w:r>
          </w:p>
        </w:tc>
        <w:tc>
          <w:tcPr>
            <w:tcW w:w="1062" w:type="pct"/>
            <w:vAlign w:val="center"/>
          </w:tcPr>
          <w:p w14:paraId="08CA2CD3">
            <w:pPr>
              <w:pStyle w:val="17"/>
              <w:spacing w:after="0"/>
              <w:ind w:left="0" w:leftChars="0" w:firstLine="0" w:firstLineChars="0"/>
              <w:jc w:val="center"/>
              <w:rPr>
                <w:color w:val="auto"/>
                <w:sz w:val="24"/>
                <w:highlight w:val="none"/>
                <w:lang w:val="zh-CN" w:eastAsia="zh-CN"/>
              </w:rPr>
            </w:pPr>
            <w:r>
              <w:rPr>
                <w:rFonts w:hint="eastAsia" w:asciiTheme="minorEastAsia" w:hAnsiTheme="minorEastAsia" w:eastAsiaTheme="minorEastAsia" w:cstheme="minorEastAsia"/>
                <w:bCs/>
                <w:color w:val="auto"/>
                <w:sz w:val="24"/>
                <w:highlight w:val="none"/>
                <w:lang w:val="zh-CN" w:eastAsia="zh-CN"/>
              </w:rPr>
              <w:t>供货期</w:t>
            </w:r>
          </w:p>
        </w:tc>
        <w:tc>
          <w:tcPr>
            <w:tcW w:w="564" w:type="pct"/>
            <w:vAlign w:val="center"/>
          </w:tcPr>
          <w:p w14:paraId="0471FC08">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质量</w:t>
            </w:r>
          </w:p>
          <w:p w14:paraId="0A431BD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标准</w:t>
            </w:r>
          </w:p>
        </w:tc>
        <w:tc>
          <w:tcPr>
            <w:tcW w:w="719" w:type="pct"/>
            <w:vAlign w:val="center"/>
          </w:tcPr>
          <w:p w14:paraId="32EADA3E">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投标保证金</w:t>
            </w:r>
          </w:p>
        </w:tc>
        <w:tc>
          <w:tcPr>
            <w:tcW w:w="720" w:type="pct"/>
            <w:vAlign w:val="center"/>
          </w:tcPr>
          <w:p w14:paraId="13C4BBE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备注</w:t>
            </w:r>
          </w:p>
        </w:tc>
      </w:tr>
      <w:tr w14:paraId="1ABA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68411FD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828" w:type="pct"/>
            <w:vAlign w:val="center"/>
          </w:tcPr>
          <w:p w14:paraId="7F962AEB">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1062" w:type="pct"/>
            <w:vAlign w:val="center"/>
          </w:tcPr>
          <w:p w14:paraId="37FDEC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564" w:type="pct"/>
            <w:vAlign w:val="center"/>
          </w:tcPr>
          <w:p w14:paraId="1E6C14E5">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719" w:type="pct"/>
            <w:vAlign w:val="center"/>
          </w:tcPr>
          <w:p w14:paraId="571A128D">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color w:val="auto"/>
                <w:sz w:val="24"/>
                <w:szCs w:val="24"/>
                <w:highlight w:val="none"/>
              </w:rPr>
              <w:t>（有/无）</w:t>
            </w:r>
          </w:p>
        </w:tc>
        <w:tc>
          <w:tcPr>
            <w:tcW w:w="720" w:type="pct"/>
            <w:vAlign w:val="center"/>
          </w:tcPr>
          <w:p w14:paraId="59C1EBF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r>
    </w:tbl>
    <w:p w14:paraId="1CFAB751">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u w:val="single"/>
          <w:lang w:eastAsia="zh-CN"/>
        </w:rPr>
      </w:pPr>
    </w:p>
    <w:p w14:paraId="467BAAD5">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86C7D7F">
      <w:pPr>
        <w:widowControl/>
        <w:numPr>
          <w:ilvl w:val="3"/>
          <w:numId w:val="7"/>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具体格式以政采云系统为准；</w:t>
      </w:r>
    </w:p>
    <w:p w14:paraId="6943F7C9">
      <w:pPr>
        <w:widowControl/>
        <w:numPr>
          <w:ilvl w:val="3"/>
          <w:numId w:val="7"/>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货币</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eastAsiaTheme="minorEastAsia" w:cstheme="minorEastAsia"/>
          <w:color w:val="auto"/>
          <w:sz w:val="24"/>
          <w:szCs w:val="24"/>
          <w:highlight w:val="none"/>
          <w:lang w:eastAsia="zh-CN"/>
        </w:rPr>
        <w:t>，报价保留小数点后两位</w:t>
      </w:r>
      <w:r>
        <w:rPr>
          <w:rFonts w:hint="eastAsia" w:asciiTheme="minorEastAsia" w:hAnsiTheme="minorEastAsia" w:eastAsiaTheme="minorEastAsia" w:cstheme="minorEastAsia"/>
          <w:color w:val="auto"/>
          <w:sz w:val="24"/>
          <w:szCs w:val="24"/>
          <w:highlight w:val="none"/>
        </w:rPr>
        <w:t>；</w:t>
      </w:r>
    </w:p>
    <w:p w14:paraId="12972D49">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lang w:eastAsia="zh-CN"/>
        </w:rPr>
      </w:pPr>
    </w:p>
    <w:p w14:paraId="1B7C05DD">
      <w:pPr>
        <w:pStyle w:val="6"/>
        <w:tabs>
          <w:tab w:val="left" w:pos="7321"/>
        </w:tabs>
        <w:wordWrap w:val="0"/>
        <w:spacing w:before="36"/>
        <w:ind w:left="2701"/>
        <w:rPr>
          <w:rFonts w:asciiTheme="minorEastAsia" w:hAnsiTheme="minorEastAsia" w:eastAsiaTheme="minorEastAsia" w:cstheme="minorEastAsia"/>
          <w:color w:val="auto"/>
          <w:sz w:val="24"/>
          <w:szCs w:val="24"/>
          <w:highlight w:val="none"/>
          <w:lang w:eastAsia="zh-CN"/>
        </w:rPr>
      </w:pPr>
      <w:r>
        <w:rPr>
          <w:rFonts w:hint="eastAsia" w:ascii="宋体" w:hAnsi="宋体"/>
          <w:color w:val="auto"/>
          <w:sz w:val="24"/>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（盖单位公章）</w:t>
      </w:r>
    </w:p>
    <w:p w14:paraId="479A5272">
      <w:pPr>
        <w:pStyle w:val="6"/>
        <w:wordWrap w:val="0"/>
        <w:spacing w:before="12"/>
        <w:rPr>
          <w:rFonts w:asciiTheme="minorEastAsia" w:hAnsiTheme="minorEastAsia" w:eastAsiaTheme="minorEastAsia" w:cstheme="minorEastAsia"/>
          <w:color w:val="auto"/>
          <w:sz w:val="24"/>
          <w:szCs w:val="24"/>
          <w:highlight w:val="none"/>
          <w:lang w:eastAsia="zh-CN"/>
        </w:rPr>
      </w:pPr>
    </w:p>
    <w:p w14:paraId="3996087A">
      <w:pPr>
        <w:pStyle w:val="6"/>
        <w:tabs>
          <w:tab w:val="left" w:pos="6481"/>
        </w:tabs>
        <w:wordWrap w:val="0"/>
        <w:spacing w:before="37"/>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法定代表人或其委托代理人：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rPr>
        <w:t>签字或签章</w:t>
      </w:r>
      <w:r>
        <w:rPr>
          <w:rFonts w:hint="eastAsia" w:asciiTheme="minorEastAsia" w:hAnsiTheme="minorEastAsia" w:eastAsiaTheme="minorEastAsia" w:cstheme="minorEastAsia"/>
          <w:color w:val="auto"/>
          <w:sz w:val="24"/>
          <w:szCs w:val="24"/>
          <w:highlight w:val="none"/>
          <w:lang w:eastAsia="zh-CN"/>
        </w:rPr>
        <w:t>）</w:t>
      </w:r>
    </w:p>
    <w:p w14:paraId="51CD1D02">
      <w:pPr>
        <w:pStyle w:val="6"/>
        <w:wordWrap w:val="0"/>
        <w:spacing w:before="10"/>
        <w:rPr>
          <w:rFonts w:asciiTheme="minorEastAsia" w:hAnsiTheme="minorEastAsia" w:eastAsiaTheme="minorEastAsia" w:cstheme="minorEastAsia"/>
          <w:color w:val="auto"/>
          <w:sz w:val="24"/>
          <w:szCs w:val="24"/>
          <w:highlight w:val="none"/>
          <w:lang w:eastAsia="zh-CN"/>
        </w:rPr>
      </w:pPr>
    </w:p>
    <w:p w14:paraId="2B73F86C">
      <w:pPr>
        <w:wordWrap w:val="0"/>
        <w:jc w:val="right"/>
        <w:rPr>
          <w:rFonts w:asciiTheme="minorEastAsia" w:hAnsiTheme="minorEastAsia" w:eastAsiaTheme="minorEastAsia" w:cstheme="minorEastAsia"/>
          <w:color w:val="auto"/>
          <w:sz w:val="24"/>
          <w:szCs w:val="24"/>
          <w:highlight w:val="none"/>
          <w:u w:val="single"/>
          <w:lang w:eastAsia="zh-CN"/>
        </w:rPr>
      </w:pPr>
    </w:p>
    <w:p w14:paraId="1748A595">
      <w:pPr>
        <w:wordWrap w:val="0"/>
        <w:jc w:val="righ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3806A3F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FA1D006">
      <w:pPr>
        <w:spacing w:line="360" w:lineRule="auto"/>
        <w:jc w:val="center"/>
        <w:rPr>
          <w:rFonts w:ascii="宋体" w:hAnsi="宋体" w:cs="宋体"/>
          <w:b/>
          <w:kern w:val="0"/>
          <w:sz w:val="32"/>
          <w:szCs w:val="32"/>
          <w:lang w:eastAsia="en-US"/>
        </w:rPr>
      </w:pPr>
      <w:r>
        <w:rPr>
          <w:rFonts w:hint="eastAsia" w:ascii="宋体" w:hAnsi="宋体" w:cs="宋体"/>
          <w:b/>
          <w:kern w:val="0"/>
          <w:sz w:val="32"/>
          <w:szCs w:val="32"/>
        </w:rPr>
        <w:t>报价明细表</w:t>
      </w:r>
    </w:p>
    <w:tbl>
      <w:tblPr>
        <w:tblStyle w:val="18"/>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728"/>
        <w:gridCol w:w="788"/>
        <w:gridCol w:w="739"/>
        <w:gridCol w:w="1623"/>
        <w:gridCol w:w="2249"/>
      </w:tblGrid>
      <w:tr w14:paraId="6972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noWrap w:val="0"/>
            <w:vAlign w:val="center"/>
          </w:tcPr>
          <w:p w14:paraId="23F03F19">
            <w:pPr>
              <w:spacing w:line="288" w:lineRule="auto"/>
              <w:jc w:val="left"/>
              <w:rPr>
                <w:rFonts w:ascii="宋体" w:hAnsi="宋体" w:cs="宋体"/>
                <w:b/>
                <w:kern w:val="0"/>
                <w:sz w:val="24"/>
              </w:rPr>
            </w:pPr>
            <w:r>
              <w:rPr>
                <w:rFonts w:hint="eastAsia" w:ascii="宋体" w:hAnsi="宋体" w:cs="宋体"/>
                <w:b/>
                <w:bCs/>
                <w:kern w:val="0"/>
                <w:sz w:val="24"/>
              </w:rPr>
              <w:t xml:space="preserve">项目名称：                                         </w:t>
            </w:r>
            <w:r>
              <w:rPr>
                <w:rFonts w:hint="eastAsia" w:ascii="宋体" w:hAnsi="宋体" w:cs="宋体"/>
                <w:b/>
                <w:kern w:val="0"/>
                <w:sz w:val="24"/>
              </w:rPr>
              <w:t>项目编号：</w:t>
            </w:r>
          </w:p>
        </w:tc>
      </w:tr>
      <w:tr w14:paraId="34B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noWrap w:val="0"/>
            <w:vAlign w:val="center"/>
          </w:tcPr>
          <w:p w14:paraId="56E38AFC">
            <w:pPr>
              <w:spacing w:line="288" w:lineRule="auto"/>
              <w:jc w:val="left"/>
              <w:rPr>
                <w:rFonts w:ascii="宋体" w:hAnsi="宋体" w:cs="宋体"/>
                <w:kern w:val="0"/>
                <w:sz w:val="24"/>
              </w:rPr>
            </w:pPr>
            <w:r>
              <w:rPr>
                <w:rFonts w:hint="eastAsia" w:ascii="宋体" w:hAnsi="宋体" w:cs="宋体"/>
                <w:kern w:val="0"/>
                <w:sz w:val="24"/>
              </w:rPr>
              <w:t>货物明细表：（单位：元）</w:t>
            </w:r>
          </w:p>
        </w:tc>
      </w:tr>
      <w:tr w14:paraId="401B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26F62AD1">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352F204B">
            <w:pPr>
              <w:spacing w:line="288" w:lineRule="auto"/>
              <w:jc w:val="center"/>
              <w:rPr>
                <w:rFonts w:ascii="宋体" w:hAnsi="宋体" w:cs="宋体"/>
                <w:kern w:val="0"/>
                <w:sz w:val="24"/>
                <w:lang w:eastAsia="en-US"/>
              </w:rPr>
            </w:pPr>
            <w:r>
              <w:rPr>
                <w:rFonts w:hint="eastAsia" w:ascii="宋体" w:hAnsi="宋体" w:cs="宋体"/>
                <w:kern w:val="0"/>
                <w:sz w:val="24"/>
                <w:lang w:eastAsia="en-US"/>
              </w:rPr>
              <w:t>货物名称</w:t>
            </w:r>
          </w:p>
        </w:tc>
        <w:tc>
          <w:tcPr>
            <w:tcW w:w="728" w:type="dxa"/>
            <w:noWrap w:val="0"/>
            <w:vAlign w:val="center"/>
          </w:tcPr>
          <w:p w14:paraId="1A7C88F0">
            <w:pPr>
              <w:spacing w:line="288" w:lineRule="auto"/>
              <w:jc w:val="center"/>
              <w:rPr>
                <w:rFonts w:ascii="宋体" w:hAnsi="宋体" w:cs="宋体"/>
                <w:kern w:val="0"/>
                <w:sz w:val="24"/>
                <w:lang w:eastAsia="en-US"/>
              </w:rPr>
            </w:pPr>
            <w:r>
              <w:rPr>
                <w:rFonts w:hint="eastAsia" w:ascii="宋体" w:hAnsi="宋体" w:cs="宋体"/>
                <w:kern w:val="0"/>
                <w:sz w:val="24"/>
                <w:lang w:eastAsia="en-US"/>
              </w:rPr>
              <w:t>制造厂商</w:t>
            </w:r>
          </w:p>
        </w:tc>
        <w:tc>
          <w:tcPr>
            <w:tcW w:w="788" w:type="dxa"/>
            <w:noWrap w:val="0"/>
            <w:vAlign w:val="center"/>
          </w:tcPr>
          <w:p w14:paraId="69E58B06">
            <w:pPr>
              <w:spacing w:line="288" w:lineRule="auto"/>
              <w:jc w:val="center"/>
              <w:rPr>
                <w:rFonts w:ascii="宋体" w:hAnsi="宋体" w:cs="宋体"/>
                <w:kern w:val="0"/>
                <w:sz w:val="24"/>
                <w:lang w:eastAsia="en-US"/>
              </w:rPr>
            </w:pPr>
            <w:r>
              <w:rPr>
                <w:rFonts w:hint="eastAsia" w:ascii="宋体" w:hAnsi="宋体" w:cs="宋体"/>
                <w:kern w:val="0"/>
                <w:sz w:val="24"/>
                <w:lang w:eastAsia="en-US"/>
              </w:rPr>
              <w:t>品牌型号</w:t>
            </w:r>
          </w:p>
        </w:tc>
        <w:tc>
          <w:tcPr>
            <w:tcW w:w="739" w:type="dxa"/>
            <w:noWrap w:val="0"/>
            <w:vAlign w:val="center"/>
          </w:tcPr>
          <w:p w14:paraId="1FB742A0">
            <w:pPr>
              <w:spacing w:line="288" w:lineRule="auto"/>
              <w:jc w:val="center"/>
              <w:rPr>
                <w:rFonts w:ascii="宋体" w:hAnsi="宋体" w:cs="宋体"/>
                <w:kern w:val="0"/>
                <w:sz w:val="24"/>
                <w:lang w:eastAsia="en-US"/>
              </w:rPr>
            </w:pPr>
            <w:r>
              <w:rPr>
                <w:rFonts w:hint="eastAsia" w:ascii="宋体" w:hAnsi="宋体" w:cs="宋体"/>
                <w:kern w:val="0"/>
                <w:sz w:val="24"/>
                <w:lang w:eastAsia="en-US"/>
              </w:rPr>
              <w:t>数量</w:t>
            </w:r>
          </w:p>
        </w:tc>
        <w:tc>
          <w:tcPr>
            <w:tcW w:w="1623" w:type="dxa"/>
            <w:noWrap w:val="0"/>
            <w:vAlign w:val="center"/>
          </w:tcPr>
          <w:p w14:paraId="4DAF4BA9">
            <w:pPr>
              <w:spacing w:line="288" w:lineRule="auto"/>
              <w:jc w:val="center"/>
              <w:rPr>
                <w:rFonts w:ascii="宋体" w:hAnsi="宋体" w:cs="宋体"/>
                <w:kern w:val="0"/>
                <w:sz w:val="24"/>
                <w:lang w:eastAsia="en-US"/>
              </w:rPr>
            </w:pPr>
            <w:r>
              <w:rPr>
                <w:rFonts w:hint="eastAsia" w:ascii="宋体" w:hAnsi="宋体" w:cs="宋体"/>
                <w:kern w:val="0"/>
                <w:sz w:val="24"/>
                <w:lang w:eastAsia="en-US"/>
              </w:rPr>
              <w:t>单价</w:t>
            </w:r>
          </w:p>
        </w:tc>
        <w:tc>
          <w:tcPr>
            <w:tcW w:w="2249" w:type="dxa"/>
            <w:noWrap w:val="0"/>
            <w:vAlign w:val="center"/>
          </w:tcPr>
          <w:p w14:paraId="277924B4">
            <w:pPr>
              <w:spacing w:line="288" w:lineRule="auto"/>
              <w:jc w:val="center"/>
              <w:rPr>
                <w:rFonts w:ascii="宋体" w:hAnsi="宋体" w:cs="宋体"/>
                <w:kern w:val="0"/>
                <w:sz w:val="24"/>
                <w:lang w:eastAsia="en-US"/>
              </w:rPr>
            </w:pPr>
            <w:r>
              <w:rPr>
                <w:rFonts w:hint="eastAsia" w:ascii="宋体" w:hAnsi="宋体" w:cs="宋体"/>
                <w:kern w:val="0"/>
                <w:sz w:val="24"/>
                <w:lang w:eastAsia="en-US"/>
              </w:rPr>
              <w:t>分项总价</w:t>
            </w:r>
          </w:p>
        </w:tc>
      </w:tr>
      <w:tr w14:paraId="071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69F95E69">
            <w:pPr>
              <w:spacing w:line="288" w:lineRule="auto"/>
              <w:jc w:val="center"/>
              <w:rPr>
                <w:rFonts w:ascii="宋体" w:hAnsi="宋体" w:cs="宋体"/>
                <w:kern w:val="0"/>
                <w:sz w:val="24"/>
                <w:lang w:eastAsia="en-US"/>
              </w:rPr>
            </w:pPr>
          </w:p>
        </w:tc>
        <w:tc>
          <w:tcPr>
            <w:tcW w:w="2281" w:type="dxa"/>
            <w:noWrap w:val="0"/>
            <w:vAlign w:val="center"/>
          </w:tcPr>
          <w:p w14:paraId="0116C425">
            <w:pPr>
              <w:spacing w:line="288" w:lineRule="auto"/>
              <w:jc w:val="center"/>
              <w:rPr>
                <w:rFonts w:ascii="宋体" w:hAnsi="宋体" w:cs="宋体"/>
                <w:kern w:val="0"/>
                <w:sz w:val="24"/>
                <w:lang w:eastAsia="en-US"/>
              </w:rPr>
            </w:pPr>
          </w:p>
        </w:tc>
        <w:tc>
          <w:tcPr>
            <w:tcW w:w="728" w:type="dxa"/>
            <w:noWrap w:val="0"/>
            <w:vAlign w:val="center"/>
          </w:tcPr>
          <w:p w14:paraId="657A50DB">
            <w:pPr>
              <w:spacing w:line="288" w:lineRule="auto"/>
              <w:jc w:val="center"/>
              <w:rPr>
                <w:rFonts w:ascii="宋体" w:hAnsi="宋体" w:cs="宋体"/>
                <w:kern w:val="0"/>
                <w:sz w:val="24"/>
                <w:lang w:eastAsia="en-US"/>
              </w:rPr>
            </w:pPr>
          </w:p>
        </w:tc>
        <w:tc>
          <w:tcPr>
            <w:tcW w:w="788" w:type="dxa"/>
            <w:noWrap w:val="0"/>
            <w:vAlign w:val="center"/>
          </w:tcPr>
          <w:p w14:paraId="32CF48ED">
            <w:pPr>
              <w:spacing w:line="288" w:lineRule="auto"/>
              <w:jc w:val="center"/>
              <w:rPr>
                <w:rFonts w:ascii="宋体" w:hAnsi="宋体" w:cs="宋体"/>
                <w:kern w:val="0"/>
                <w:sz w:val="24"/>
                <w:lang w:eastAsia="en-US"/>
              </w:rPr>
            </w:pPr>
          </w:p>
        </w:tc>
        <w:tc>
          <w:tcPr>
            <w:tcW w:w="739" w:type="dxa"/>
            <w:noWrap w:val="0"/>
            <w:vAlign w:val="center"/>
          </w:tcPr>
          <w:p w14:paraId="5E5EB4ED">
            <w:pPr>
              <w:spacing w:line="288" w:lineRule="auto"/>
              <w:jc w:val="center"/>
              <w:rPr>
                <w:rFonts w:ascii="宋体" w:hAnsi="宋体" w:cs="宋体"/>
                <w:kern w:val="0"/>
                <w:sz w:val="24"/>
                <w:lang w:eastAsia="en-US"/>
              </w:rPr>
            </w:pPr>
          </w:p>
        </w:tc>
        <w:tc>
          <w:tcPr>
            <w:tcW w:w="1623" w:type="dxa"/>
            <w:noWrap w:val="0"/>
            <w:vAlign w:val="center"/>
          </w:tcPr>
          <w:p w14:paraId="3B1DB476">
            <w:pPr>
              <w:spacing w:line="288" w:lineRule="auto"/>
              <w:jc w:val="center"/>
              <w:rPr>
                <w:rFonts w:ascii="宋体" w:hAnsi="宋体" w:cs="宋体"/>
                <w:kern w:val="0"/>
                <w:sz w:val="24"/>
                <w:lang w:eastAsia="en-US"/>
              </w:rPr>
            </w:pPr>
          </w:p>
        </w:tc>
        <w:tc>
          <w:tcPr>
            <w:tcW w:w="2249" w:type="dxa"/>
            <w:noWrap w:val="0"/>
            <w:vAlign w:val="center"/>
          </w:tcPr>
          <w:p w14:paraId="09C59682">
            <w:pPr>
              <w:spacing w:line="288" w:lineRule="auto"/>
              <w:jc w:val="center"/>
              <w:rPr>
                <w:rFonts w:ascii="宋体" w:hAnsi="宋体" w:cs="宋体"/>
                <w:kern w:val="0"/>
                <w:sz w:val="24"/>
                <w:lang w:eastAsia="en-US"/>
              </w:rPr>
            </w:pPr>
          </w:p>
        </w:tc>
      </w:tr>
      <w:tr w14:paraId="6C35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367174B5">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3F941476">
            <w:pPr>
              <w:spacing w:line="288" w:lineRule="auto"/>
              <w:jc w:val="center"/>
              <w:rPr>
                <w:rFonts w:ascii="宋体" w:hAnsi="宋体" w:cs="宋体"/>
                <w:kern w:val="0"/>
                <w:sz w:val="24"/>
                <w:lang w:eastAsia="en-US"/>
              </w:rPr>
            </w:pPr>
          </w:p>
        </w:tc>
        <w:tc>
          <w:tcPr>
            <w:tcW w:w="728" w:type="dxa"/>
            <w:noWrap w:val="0"/>
            <w:vAlign w:val="center"/>
          </w:tcPr>
          <w:p w14:paraId="1D752A0B">
            <w:pPr>
              <w:spacing w:line="288" w:lineRule="auto"/>
              <w:jc w:val="center"/>
              <w:rPr>
                <w:rFonts w:ascii="宋体" w:hAnsi="宋体" w:cs="宋体"/>
                <w:kern w:val="0"/>
                <w:sz w:val="24"/>
                <w:lang w:eastAsia="en-US"/>
              </w:rPr>
            </w:pPr>
          </w:p>
        </w:tc>
        <w:tc>
          <w:tcPr>
            <w:tcW w:w="788" w:type="dxa"/>
            <w:noWrap w:val="0"/>
            <w:vAlign w:val="center"/>
          </w:tcPr>
          <w:p w14:paraId="55E90CBF">
            <w:pPr>
              <w:spacing w:line="288" w:lineRule="auto"/>
              <w:jc w:val="center"/>
              <w:rPr>
                <w:rFonts w:ascii="宋体" w:hAnsi="宋体" w:cs="宋体"/>
                <w:kern w:val="0"/>
                <w:sz w:val="24"/>
                <w:lang w:eastAsia="en-US"/>
              </w:rPr>
            </w:pPr>
          </w:p>
        </w:tc>
        <w:tc>
          <w:tcPr>
            <w:tcW w:w="739" w:type="dxa"/>
            <w:noWrap w:val="0"/>
            <w:vAlign w:val="center"/>
          </w:tcPr>
          <w:p w14:paraId="29E85EAA">
            <w:pPr>
              <w:spacing w:line="288" w:lineRule="auto"/>
              <w:jc w:val="center"/>
              <w:rPr>
                <w:rFonts w:ascii="宋体" w:hAnsi="宋体" w:cs="宋体"/>
                <w:kern w:val="0"/>
                <w:sz w:val="24"/>
                <w:lang w:eastAsia="en-US"/>
              </w:rPr>
            </w:pPr>
          </w:p>
        </w:tc>
        <w:tc>
          <w:tcPr>
            <w:tcW w:w="1623" w:type="dxa"/>
            <w:noWrap w:val="0"/>
            <w:vAlign w:val="center"/>
          </w:tcPr>
          <w:p w14:paraId="6B078C17">
            <w:pPr>
              <w:spacing w:line="288" w:lineRule="auto"/>
              <w:jc w:val="center"/>
              <w:rPr>
                <w:rFonts w:ascii="宋体" w:hAnsi="宋体" w:cs="宋体"/>
                <w:kern w:val="0"/>
                <w:sz w:val="24"/>
                <w:lang w:eastAsia="en-US"/>
              </w:rPr>
            </w:pPr>
          </w:p>
        </w:tc>
        <w:tc>
          <w:tcPr>
            <w:tcW w:w="2249" w:type="dxa"/>
            <w:noWrap w:val="0"/>
            <w:vAlign w:val="center"/>
          </w:tcPr>
          <w:p w14:paraId="535AC6D9">
            <w:pPr>
              <w:spacing w:line="288" w:lineRule="auto"/>
              <w:jc w:val="center"/>
              <w:rPr>
                <w:rFonts w:ascii="宋体" w:hAnsi="宋体" w:cs="宋体"/>
                <w:kern w:val="0"/>
                <w:sz w:val="24"/>
                <w:lang w:eastAsia="en-US"/>
              </w:rPr>
            </w:pPr>
          </w:p>
        </w:tc>
      </w:tr>
      <w:tr w14:paraId="132A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1ECAA3C5">
            <w:pPr>
              <w:spacing w:line="288" w:lineRule="auto"/>
              <w:jc w:val="center"/>
              <w:rPr>
                <w:rFonts w:ascii="宋体" w:hAnsi="宋体" w:cs="宋体"/>
                <w:kern w:val="0"/>
                <w:sz w:val="24"/>
                <w:lang w:eastAsia="en-US"/>
              </w:rPr>
            </w:pPr>
          </w:p>
        </w:tc>
        <w:tc>
          <w:tcPr>
            <w:tcW w:w="2281" w:type="dxa"/>
            <w:noWrap w:val="0"/>
            <w:vAlign w:val="center"/>
          </w:tcPr>
          <w:p w14:paraId="5F86845F">
            <w:pPr>
              <w:spacing w:line="288" w:lineRule="auto"/>
              <w:jc w:val="center"/>
              <w:rPr>
                <w:rFonts w:ascii="宋体" w:hAnsi="宋体" w:cs="宋体"/>
                <w:kern w:val="0"/>
                <w:sz w:val="24"/>
                <w:lang w:eastAsia="en-US"/>
              </w:rPr>
            </w:pPr>
            <w:r>
              <w:rPr>
                <w:rFonts w:hint="eastAsia" w:ascii="宋体" w:hAnsi="宋体" w:cs="宋体"/>
                <w:kern w:val="0"/>
                <w:sz w:val="24"/>
                <w:lang w:eastAsia="en-US"/>
              </w:rPr>
              <w:t>合计</w:t>
            </w:r>
          </w:p>
        </w:tc>
        <w:tc>
          <w:tcPr>
            <w:tcW w:w="728" w:type="dxa"/>
            <w:noWrap w:val="0"/>
            <w:vAlign w:val="center"/>
          </w:tcPr>
          <w:p w14:paraId="231ED07F">
            <w:pPr>
              <w:spacing w:line="288" w:lineRule="auto"/>
              <w:jc w:val="center"/>
              <w:rPr>
                <w:rFonts w:ascii="宋体" w:hAnsi="宋体" w:cs="宋体"/>
                <w:kern w:val="0"/>
                <w:sz w:val="24"/>
                <w:lang w:eastAsia="en-US"/>
              </w:rPr>
            </w:pPr>
          </w:p>
        </w:tc>
        <w:tc>
          <w:tcPr>
            <w:tcW w:w="788" w:type="dxa"/>
            <w:noWrap w:val="0"/>
            <w:vAlign w:val="center"/>
          </w:tcPr>
          <w:p w14:paraId="52970559">
            <w:pPr>
              <w:spacing w:line="288" w:lineRule="auto"/>
              <w:jc w:val="center"/>
              <w:rPr>
                <w:rFonts w:ascii="宋体" w:hAnsi="宋体" w:cs="宋体"/>
                <w:kern w:val="0"/>
                <w:sz w:val="24"/>
                <w:lang w:eastAsia="en-US"/>
              </w:rPr>
            </w:pPr>
          </w:p>
        </w:tc>
        <w:tc>
          <w:tcPr>
            <w:tcW w:w="739" w:type="dxa"/>
            <w:noWrap w:val="0"/>
            <w:vAlign w:val="center"/>
          </w:tcPr>
          <w:p w14:paraId="55688171">
            <w:pPr>
              <w:spacing w:line="288" w:lineRule="auto"/>
              <w:jc w:val="center"/>
              <w:rPr>
                <w:rFonts w:ascii="宋体" w:hAnsi="宋体" w:cs="宋体"/>
                <w:kern w:val="0"/>
                <w:sz w:val="24"/>
                <w:lang w:eastAsia="en-US"/>
              </w:rPr>
            </w:pPr>
          </w:p>
        </w:tc>
        <w:tc>
          <w:tcPr>
            <w:tcW w:w="1623" w:type="dxa"/>
            <w:noWrap w:val="0"/>
            <w:vAlign w:val="center"/>
          </w:tcPr>
          <w:p w14:paraId="58327038">
            <w:pPr>
              <w:spacing w:line="288" w:lineRule="auto"/>
              <w:jc w:val="center"/>
              <w:rPr>
                <w:rFonts w:ascii="宋体" w:hAnsi="宋体" w:cs="宋体"/>
                <w:kern w:val="0"/>
                <w:sz w:val="24"/>
                <w:lang w:eastAsia="en-US"/>
              </w:rPr>
            </w:pPr>
          </w:p>
        </w:tc>
        <w:tc>
          <w:tcPr>
            <w:tcW w:w="2249" w:type="dxa"/>
            <w:noWrap w:val="0"/>
            <w:vAlign w:val="center"/>
          </w:tcPr>
          <w:p w14:paraId="6156D40D">
            <w:pPr>
              <w:spacing w:line="288" w:lineRule="auto"/>
              <w:jc w:val="center"/>
              <w:rPr>
                <w:rFonts w:ascii="宋体" w:hAnsi="宋体" w:cs="宋体"/>
                <w:kern w:val="0"/>
                <w:sz w:val="24"/>
                <w:lang w:eastAsia="en-US"/>
              </w:rPr>
            </w:pPr>
          </w:p>
        </w:tc>
      </w:tr>
      <w:tr w14:paraId="5CE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noWrap w:val="0"/>
            <w:vAlign w:val="center"/>
          </w:tcPr>
          <w:p w14:paraId="68ADEA3D">
            <w:pPr>
              <w:spacing w:line="288" w:lineRule="auto"/>
              <w:jc w:val="left"/>
              <w:rPr>
                <w:rFonts w:ascii="宋体" w:hAnsi="宋体" w:cs="宋体"/>
                <w:kern w:val="0"/>
                <w:sz w:val="24"/>
                <w:lang w:eastAsia="en-US"/>
              </w:rPr>
            </w:pPr>
            <w:r>
              <w:rPr>
                <w:rFonts w:hint="eastAsia" w:ascii="宋体" w:hAnsi="宋体" w:cs="宋体"/>
                <w:kern w:val="0"/>
                <w:sz w:val="24"/>
                <w:lang w:eastAsia="en-US"/>
              </w:rPr>
              <w:t>其他费用明细表：</w:t>
            </w:r>
          </w:p>
        </w:tc>
      </w:tr>
      <w:tr w14:paraId="751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noWrap w:val="0"/>
            <w:vAlign w:val="center"/>
          </w:tcPr>
          <w:p w14:paraId="67DD4A22">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0F229B72">
            <w:pPr>
              <w:spacing w:line="288" w:lineRule="auto"/>
              <w:jc w:val="center"/>
              <w:rPr>
                <w:rFonts w:ascii="宋体" w:hAnsi="宋体" w:cs="宋体"/>
                <w:kern w:val="0"/>
                <w:sz w:val="24"/>
                <w:lang w:eastAsia="en-US"/>
              </w:rPr>
            </w:pPr>
            <w:r>
              <w:rPr>
                <w:rFonts w:hint="eastAsia" w:ascii="宋体" w:hAnsi="宋体" w:cs="宋体"/>
                <w:kern w:val="0"/>
                <w:sz w:val="24"/>
                <w:lang w:eastAsia="en-US"/>
              </w:rPr>
              <w:t>项目</w:t>
            </w:r>
          </w:p>
        </w:tc>
        <w:tc>
          <w:tcPr>
            <w:tcW w:w="2255" w:type="dxa"/>
            <w:gridSpan w:val="3"/>
            <w:noWrap w:val="0"/>
            <w:vAlign w:val="center"/>
          </w:tcPr>
          <w:p w14:paraId="6ADF2E2D">
            <w:pPr>
              <w:spacing w:line="288" w:lineRule="auto"/>
              <w:jc w:val="center"/>
              <w:rPr>
                <w:rFonts w:ascii="宋体" w:hAnsi="宋体" w:cs="宋体"/>
                <w:kern w:val="0"/>
                <w:sz w:val="24"/>
                <w:lang w:eastAsia="en-US"/>
              </w:rPr>
            </w:pPr>
            <w:r>
              <w:rPr>
                <w:rFonts w:hint="eastAsia" w:ascii="宋体" w:hAnsi="宋体" w:cs="宋体"/>
                <w:kern w:val="0"/>
                <w:sz w:val="24"/>
                <w:lang w:eastAsia="en-US"/>
              </w:rPr>
              <w:t>内容和标准</w:t>
            </w:r>
          </w:p>
        </w:tc>
        <w:tc>
          <w:tcPr>
            <w:tcW w:w="1623" w:type="dxa"/>
            <w:noWrap w:val="0"/>
            <w:vAlign w:val="center"/>
          </w:tcPr>
          <w:p w14:paraId="54A85D29">
            <w:pPr>
              <w:spacing w:line="288" w:lineRule="auto"/>
              <w:jc w:val="center"/>
              <w:rPr>
                <w:rFonts w:ascii="宋体" w:hAnsi="宋体" w:cs="宋体"/>
                <w:kern w:val="0"/>
                <w:sz w:val="24"/>
                <w:lang w:eastAsia="en-US"/>
              </w:rPr>
            </w:pPr>
            <w:r>
              <w:rPr>
                <w:rFonts w:hint="eastAsia" w:ascii="宋体" w:hAnsi="宋体" w:cs="宋体"/>
                <w:kern w:val="0"/>
                <w:sz w:val="24"/>
                <w:lang w:eastAsia="en-US"/>
              </w:rPr>
              <w:t>报价</w:t>
            </w:r>
          </w:p>
        </w:tc>
        <w:tc>
          <w:tcPr>
            <w:tcW w:w="2249" w:type="dxa"/>
            <w:noWrap w:val="0"/>
            <w:vAlign w:val="center"/>
          </w:tcPr>
          <w:p w14:paraId="7627EAD3">
            <w:pPr>
              <w:spacing w:line="288" w:lineRule="auto"/>
              <w:jc w:val="center"/>
              <w:rPr>
                <w:rFonts w:ascii="宋体" w:hAnsi="宋体" w:cs="宋体"/>
                <w:kern w:val="0"/>
                <w:sz w:val="24"/>
                <w:lang w:eastAsia="en-US"/>
              </w:rPr>
            </w:pPr>
            <w:r>
              <w:rPr>
                <w:rFonts w:hint="eastAsia" w:ascii="宋体" w:hAnsi="宋体" w:cs="宋体"/>
                <w:kern w:val="0"/>
                <w:sz w:val="24"/>
                <w:lang w:eastAsia="en-US"/>
              </w:rPr>
              <w:t>备注</w:t>
            </w:r>
          </w:p>
        </w:tc>
      </w:tr>
      <w:tr w14:paraId="7A0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noWrap w:val="0"/>
            <w:vAlign w:val="center"/>
          </w:tcPr>
          <w:p w14:paraId="69F3A789">
            <w:pPr>
              <w:spacing w:line="288" w:lineRule="auto"/>
              <w:jc w:val="center"/>
              <w:rPr>
                <w:rFonts w:ascii="宋体" w:hAnsi="宋体" w:cs="宋体"/>
                <w:kern w:val="0"/>
                <w:sz w:val="24"/>
                <w:lang w:eastAsia="en-US"/>
              </w:rPr>
            </w:pPr>
          </w:p>
        </w:tc>
        <w:tc>
          <w:tcPr>
            <w:tcW w:w="2281" w:type="dxa"/>
            <w:noWrap w:val="0"/>
            <w:vAlign w:val="center"/>
          </w:tcPr>
          <w:p w14:paraId="4D71279A">
            <w:pPr>
              <w:spacing w:line="288" w:lineRule="auto"/>
              <w:jc w:val="center"/>
              <w:rPr>
                <w:rFonts w:ascii="宋体" w:hAnsi="宋体" w:cs="宋体"/>
                <w:kern w:val="0"/>
                <w:sz w:val="24"/>
                <w:lang w:eastAsia="en-US"/>
              </w:rPr>
            </w:pPr>
          </w:p>
        </w:tc>
        <w:tc>
          <w:tcPr>
            <w:tcW w:w="2255" w:type="dxa"/>
            <w:gridSpan w:val="3"/>
            <w:noWrap w:val="0"/>
            <w:vAlign w:val="center"/>
          </w:tcPr>
          <w:p w14:paraId="13964487">
            <w:pPr>
              <w:spacing w:line="288" w:lineRule="auto"/>
              <w:jc w:val="center"/>
              <w:rPr>
                <w:rFonts w:ascii="宋体" w:hAnsi="宋体" w:cs="宋体"/>
                <w:kern w:val="0"/>
                <w:sz w:val="24"/>
                <w:lang w:eastAsia="en-US"/>
              </w:rPr>
            </w:pPr>
          </w:p>
        </w:tc>
        <w:tc>
          <w:tcPr>
            <w:tcW w:w="1623" w:type="dxa"/>
            <w:noWrap w:val="0"/>
            <w:vAlign w:val="center"/>
          </w:tcPr>
          <w:p w14:paraId="585F1B68">
            <w:pPr>
              <w:spacing w:line="288" w:lineRule="auto"/>
              <w:jc w:val="center"/>
              <w:rPr>
                <w:rFonts w:ascii="宋体" w:hAnsi="宋体" w:cs="宋体"/>
                <w:kern w:val="0"/>
                <w:sz w:val="24"/>
                <w:lang w:eastAsia="en-US"/>
              </w:rPr>
            </w:pPr>
          </w:p>
        </w:tc>
        <w:tc>
          <w:tcPr>
            <w:tcW w:w="2249" w:type="dxa"/>
            <w:noWrap w:val="0"/>
            <w:vAlign w:val="center"/>
          </w:tcPr>
          <w:p w14:paraId="0C5DB9F0">
            <w:pPr>
              <w:spacing w:line="288" w:lineRule="auto"/>
              <w:jc w:val="center"/>
              <w:rPr>
                <w:rFonts w:ascii="宋体" w:hAnsi="宋体" w:cs="宋体"/>
                <w:kern w:val="0"/>
                <w:sz w:val="24"/>
                <w:lang w:eastAsia="en-US"/>
              </w:rPr>
            </w:pPr>
          </w:p>
        </w:tc>
      </w:tr>
      <w:tr w14:paraId="70A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4AC5564B">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4B54B61F">
            <w:pPr>
              <w:spacing w:line="288" w:lineRule="auto"/>
              <w:jc w:val="center"/>
              <w:rPr>
                <w:rFonts w:ascii="宋体" w:hAnsi="宋体" w:cs="宋体"/>
                <w:kern w:val="0"/>
                <w:sz w:val="24"/>
                <w:lang w:eastAsia="en-US"/>
              </w:rPr>
            </w:pPr>
          </w:p>
        </w:tc>
        <w:tc>
          <w:tcPr>
            <w:tcW w:w="2255" w:type="dxa"/>
            <w:gridSpan w:val="3"/>
            <w:noWrap w:val="0"/>
            <w:vAlign w:val="center"/>
          </w:tcPr>
          <w:p w14:paraId="40A76F09">
            <w:pPr>
              <w:spacing w:line="288" w:lineRule="auto"/>
              <w:jc w:val="center"/>
              <w:rPr>
                <w:rFonts w:ascii="宋体" w:hAnsi="宋体" w:cs="宋体"/>
                <w:kern w:val="0"/>
                <w:sz w:val="24"/>
                <w:lang w:eastAsia="en-US"/>
              </w:rPr>
            </w:pPr>
          </w:p>
        </w:tc>
        <w:tc>
          <w:tcPr>
            <w:tcW w:w="1623" w:type="dxa"/>
            <w:noWrap w:val="0"/>
            <w:vAlign w:val="center"/>
          </w:tcPr>
          <w:p w14:paraId="0BBE5AA6">
            <w:pPr>
              <w:spacing w:line="288" w:lineRule="auto"/>
              <w:jc w:val="center"/>
              <w:rPr>
                <w:rFonts w:ascii="宋体" w:hAnsi="宋体" w:cs="宋体"/>
                <w:kern w:val="0"/>
                <w:sz w:val="24"/>
                <w:lang w:eastAsia="en-US"/>
              </w:rPr>
            </w:pPr>
          </w:p>
        </w:tc>
        <w:tc>
          <w:tcPr>
            <w:tcW w:w="2249" w:type="dxa"/>
            <w:noWrap w:val="0"/>
            <w:vAlign w:val="center"/>
          </w:tcPr>
          <w:p w14:paraId="0338F746">
            <w:pPr>
              <w:spacing w:line="288" w:lineRule="auto"/>
              <w:jc w:val="center"/>
              <w:rPr>
                <w:rFonts w:ascii="宋体" w:hAnsi="宋体" w:cs="宋体"/>
                <w:kern w:val="0"/>
                <w:sz w:val="24"/>
                <w:lang w:eastAsia="en-US"/>
              </w:rPr>
            </w:pPr>
          </w:p>
        </w:tc>
      </w:tr>
      <w:tr w14:paraId="0DB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noWrap w:val="0"/>
            <w:vAlign w:val="center"/>
          </w:tcPr>
          <w:p w14:paraId="74CD0712">
            <w:pPr>
              <w:spacing w:line="288" w:lineRule="auto"/>
              <w:jc w:val="left"/>
              <w:rPr>
                <w:rFonts w:ascii="宋体" w:hAnsi="宋体" w:cs="宋体"/>
                <w:kern w:val="0"/>
                <w:sz w:val="24"/>
                <w:lang w:eastAsia="en-US"/>
              </w:rPr>
            </w:pPr>
            <w:r>
              <w:rPr>
                <w:rFonts w:hint="eastAsia" w:ascii="宋体" w:hAnsi="宋体" w:cs="宋体"/>
                <w:kern w:val="0"/>
                <w:sz w:val="24"/>
                <w:lang w:eastAsia="en-US"/>
              </w:rPr>
              <w:t>明细报价汇总表：</w:t>
            </w:r>
          </w:p>
        </w:tc>
      </w:tr>
      <w:tr w14:paraId="2C8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5"/>
            <w:noWrap w:val="0"/>
            <w:vAlign w:val="center"/>
          </w:tcPr>
          <w:p w14:paraId="4F73C7CC">
            <w:pPr>
              <w:spacing w:line="288" w:lineRule="auto"/>
              <w:jc w:val="center"/>
              <w:rPr>
                <w:rFonts w:ascii="宋体" w:hAnsi="宋体" w:cs="宋体"/>
                <w:kern w:val="0"/>
                <w:sz w:val="24"/>
              </w:rPr>
            </w:pPr>
            <w:r>
              <w:rPr>
                <w:rFonts w:hint="eastAsia" w:ascii="宋体" w:hAnsi="宋体" w:cs="宋体"/>
                <w:kern w:val="0"/>
                <w:sz w:val="24"/>
              </w:rPr>
              <w:t>报价总计（货物报价合计+其他费用合计）</w:t>
            </w:r>
          </w:p>
        </w:tc>
        <w:tc>
          <w:tcPr>
            <w:tcW w:w="3872" w:type="dxa"/>
            <w:gridSpan w:val="2"/>
            <w:noWrap w:val="0"/>
            <w:vAlign w:val="center"/>
          </w:tcPr>
          <w:p w14:paraId="354ED6D7">
            <w:pPr>
              <w:spacing w:line="288" w:lineRule="auto"/>
              <w:jc w:val="left"/>
              <w:rPr>
                <w:rFonts w:ascii="宋体" w:hAnsi="宋体" w:cs="宋体"/>
                <w:kern w:val="0"/>
                <w:sz w:val="24"/>
              </w:rPr>
            </w:pPr>
            <w:r>
              <w:rPr>
                <w:rFonts w:hint="eastAsia" w:ascii="宋体" w:hAnsi="宋体" w:cs="宋体"/>
                <w:kern w:val="0"/>
                <w:sz w:val="24"/>
              </w:rPr>
              <w:t>大写：人民币</w:t>
            </w:r>
            <w:r>
              <w:rPr>
                <w:rFonts w:hint="eastAsia" w:ascii="宋体" w:hAnsi="宋体" w:cs="宋体"/>
                <w:kern w:val="0"/>
                <w:sz w:val="24"/>
                <w:u w:val="single"/>
              </w:rPr>
              <w:t xml:space="preserve">          元</w:t>
            </w:r>
          </w:p>
          <w:p w14:paraId="017D20D9">
            <w:pPr>
              <w:spacing w:line="288" w:lineRule="auto"/>
              <w:jc w:val="left"/>
              <w:rPr>
                <w:rFonts w:ascii="宋体" w:hAnsi="宋体" w:cs="宋体"/>
                <w:kern w:val="0"/>
                <w:sz w:val="24"/>
                <w:u w:val="single"/>
              </w:rPr>
            </w:pPr>
            <w:r>
              <w:rPr>
                <w:rFonts w:hint="eastAsia" w:ascii="宋体" w:hAnsi="宋体" w:cs="宋体"/>
                <w:kern w:val="0"/>
                <w:sz w:val="24"/>
              </w:rPr>
              <w:t xml:space="preserve">小写：￥ </w:t>
            </w:r>
            <w:r>
              <w:rPr>
                <w:rFonts w:hint="eastAsia" w:ascii="宋体" w:hAnsi="宋体" w:cs="宋体"/>
                <w:kern w:val="0"/>
                <w:sz w:val="24"/>
                <w:u w:val="single"/>
              </w:rPr>
              <w:t xml:space="preserve">             元</w:t>
            </w:r>
          </w:p>
        </w:tc>
      </w:tr>
    </w:tbl>
    <w:p w14:paraId="16DC3DD0">
      <w:pPr>
        <w:spacing w:before="240" w:beforeLines="100" w:line="288" w:lineRule="auto"/>
        <w:jc w:val="left"/>
        <w:rPr>
          <w:rFonts w:ascii="宋体" w:hAnsi="宋体" w:cs="宋体"/>
          <w:kern w:val="0"/>
          <w:sz w:val="24"/>
          <w:lang w:eastAsia="en-US"/>
        </w:rPr>
      </w:pPr>
      <w:r>
        <w:rPr>
          <w:rFonts w:hint="eastAsia" w:ascii="宋体" w:hAnsi="宋体" w:cs="宋体"/>
          <w:kern w:val="0"/>
          <w:sz w:val="24"/>
          <w:lang w:eastAsia="en-US"/>
        </w:rPr>
        <w:t>注明：</w:t>
      </w:r>
    </w:p>
    <w:p w14:paraId="36826DC1">
      <w:pPr>
        <w:numPr>
          <w:ilvl w:val="0"/>
          <w:numId w:val="8"/>
        </w:numPr>
        <w:spacing w:line="288" w:lineRule="auto"/>
        <w:rPr>
          <w:rFonts w:ascii="宋体" w:hAnsi="宋体" w:cs="宋体"/>
          <w:sz w:val="24"/>
        </w:rPr>
      </w:pPr>
      <w:r>
        <w:rPr>
          <w:rFonts w:hint="eastAsia" w:ascii="宋体" w:hAnsi="宋体" w:cs="宋体"/>
          <w:sz w:val="24"/>
        </w:rPr>
        <w:t>此表为报价总表的明细表。</w:t>
      </w:r>
    </w:p>
    <w:p w14:paraId="61AE228D">
      <w:pPr>
        <w:numPr>
          <w:ilvl w:val="0"/>
          <w:numId w:val="8"/>
        </w:numPr>
        <w:spacing w:line="288" w:lineRule="auto"/>
        <w:rPr>
          <w:rFonts w:ascii="宋体" w:hAnsi="宋体" w:cs="宋体"/>
          <w:sz w:val="24"/>
        </w:rPr>
      </w:pPr>
      <w:r>
        <w:rPr>
          <w:rFonts w:hint="eastAsia" w:ascii="宋体" w:hAnsi="宋体" w:cs="宋体"/>
          <w:sz w:val="24"/>
        </w:rPr>
        <w:t>如果单价和总价不符时，以单价为准，修正总价。</w:t>
      </w:r>
    </w:p>
    <w:p w14:paraId="1E11CD07">
      <w:pPr>
        <w:numPr>
          <w:ilvl w:val="0"/>
          <w:numId w:val="8"/>
        </w:numPr>
        <w:spacing w:line="288" w:lineRule="auto"/>
        <w:rPr>
          <w:rFonts w:ascii="宋体" w:hAnsi="宋体" w:cs="宋体"/>
          <w:sz w:val="24"/>
        </w:rPr>
      </w:pPr>
      <w:r>
        <w:rPr>
          <w:rFonts w:hint="eastAsia" w:ascii="宋体" w:hAnsi="宋体" w:cs="宋体"/>
          <w:sz w:val="24"/>
        </w:rPr>
        <w:t>供应商应列明按“采购需求”所要求提供的所有报价项的价格明细。</w:t>
      </w:r>
    </w:p>
    <w:p w14:paraId="51F5A181">
      <w:pPr>
        <w:numPr>
          <w:ilvl w:val="0"/>
          <w:numId w:val="8"/>
        </w:numPr>
        <w:spacing w:line="288" w:lineRule="auto"/>
        <w:rPr>
          <w:rFonts w:ascii="宋体" w:hAnsi="宋体" w:cs="宋体"/>
          <w:sz w:val="24"/>
        </w:rPr>
      </w:pPr>
      <w:r>
        <w:rPr>
          <w:rFonts w:hint="eastAsia" w:ascii="宋体" w:hAnsi="宋体" w:cs="宋体"/>
          <w:sz w:val="24"/>
        </w:rPr>
        <w:t>货物名称与产品注册证登记名称保持一致。</w:t>
      </w:r>
    </w:p>
    <w:p w14:paraId="26DD2A30">
      <w:pPr>
        <w:spacing w:line="288" w:lineRule="auto"/>
        <w:jc w:val="left"/>
        <w:rPr>
          <w:rFonts w:ascii="宋体" w:hAnsi="宋体" w:cs="宋体"/>
          <w:kern w:val="0"/>
          <w:sz w:val="24"/>
        </w:rPr>
      </w:pPr>
    </w:p>
    <w:tbl>
      <w:tblPr>
        <w:tblStyle w:val="18"/>
        <w:tblW w:w="9345" w:type="dxa"/>
        <w:tblInd w:w="0" w:type="dxa"/>
        <w:tblLayout w:type="fixed"/>
        <w:tblCellMar>
          <w:top w:w="0" w:type="dxa"/>
          <w:left w:w="108" w:type="dxa"/>
          <w:bottom w:w="0" w:type="dxa"/>
          <w:right w:w="108" w:type="dxa"/>
        </w:tblCellMar>
      </w:tblPr>
      <w:tblGrid>
        <w:gridCol w:w="5353"/>
        <w:gridCol w:w="3992"/>
      </w:tblGrid>
      <w:tr w14:paraId="5F8470F1">
        <w:tblPrEx>
          <w:tblCellMar>
            <w:top w:w="0" w:type="dxa"/>
            <w:left w:w="108" w:type="dxa"/>
            <w:bottom w:w="0" w:type="dxa"/>
            <w:right w:w="108" w:type="dxa"/>
          </w:tblCellMar>
        </w:tblPrEx>
        <w:tc>
          <w:tcPr>
            <w:tcW w:w="5353" w:type="dxa"/>
            <w:noWrap w:val="0"/>
            <w:vAlign w:val="top"/>
          </w:tcPr>
          <w:p w14:paraId="0118848F">
            <w:pPr>
              <w:overflowPunct w:val="0"/>
              <w:adjustRightInd w:val="0"/>
              <w:spacing w:line="288" w:lineRule="auto"/>
              <w:jc w:val="left"/>
              <w:rPr>
                <w:rFonts w:ascii="宋体" w:hAnsi="宋体" w:cs="宋体"/>
                <w:kern w:val="0"/>
                <w:sz w:val="24"/>
              </w:rPr>
            </w:pPr>
            <w:r>
              <w:rPr>
                <w:rFonts w:hint="eastAsia" w:ascii="宋体" w:hAnsi="宋体" w:cs="宋体"/>
                <w:kern w:val="0"/>
                <w:sz w:val="24"/>
              </w:rPr>
              <w:t>供应商名称（加盖公章）：</w:t>
            </w:r>
          </w:p>
        </w:tc>
        <w:tc>
          <w:tcPr>
            <w:tcW w:w="3992" w:type="dxa"/>
            <w:noWrap w:val="0"/>
            <w:vAlign w:val="top"/>
          </w:tcPr>
          <w:p w14:paraId="35E06385">
            <w:pPr>
              <w:spacing w:line="288" w:lineRule="auto"/>
              <w:jc w:val="left"/>
              <w:rPr>
                <w:rFonts w:ascii="宋体" w:hAnsi="宋体" w:cs="宋体"/>
                <w:kern w:val="0"/>
                <w:sz w:val="24"/>
              </w:rPr>
            </w:pPr>
          </w:p>
        </w:tc>
      </w:tr>
      <w:tr w14:paraId="7D9302A3">
        <w:tblPrEx>
          <w:tblCellMar>
            <w:top w:w="0" w:type="dxa"/>
            <w:left w:w="108" w:type="dxa"/>
            <w:bottom w:w="0" w:type="dxa"/>
            <w:right w:w="108" w:type="dxa"/>
          </w:tblCellMar>
        </w:tblPrEx>
        <w:tc>
          <w:tcPr>
            <w:tcW w:w="5353" w:type="dxa"/>
            <w:noWrap w:val="0"/>
            <w:vAlign w:val="top"/>
          </w:tcPr>
          <w:p w14:paraId="50598272">
            <w:pPr>
              <w:spacing w:line="288" w:lineRule="auto"/>
              <w:jc w:val="left"/>
              <w:rPr>
                <w:rFonts w:ascii="宋体" w:hAnsi="宋体" w:cs="宋体"/>
                <w:kern w:val="0"/>
                <w:sz w:val="24"/>
              </w:rPr>
            </w:pPr>
          </w:p>
          <w:p w14:paraId="313D17D1">
            <w:pPr>
              <w:spacing w:line="288" w:lineRule="auto"/>
              <w:jc w:val="left"/>
              <w:rPr>
                <w:rFonts w:ascii="宋体" w:hAnsi="宋体" w:cs="宋体"/>
                <w:kern w:val="0"/>
                <w:sz w:val="24"/>
                <w:lang w:eastAsia="en-US"/>
              </w:rPr>
            </w:pPr>
            <w:r>
              <w:rPr>
                <w:rFonts w:hint="eastAsia" w:ascii="宋体" w:hAnsi="宋体" w:cs="宋体"/>
                <w:kern w:val="0"/>
                <w:sz w:val="24"/>
                <w:lang w:eastAsia="en-US"/>
              </w:rPr>
              <w:t>日期：         年         月          日</w:t>
            </w:r>
          </w:p>
        </w:tc>
        <w:tc>
          <w:tcPr>
            <w:tcW w:w="3992" w:type="dxa"/>
            <w:noWrap w:val="0"/>
            <w:vAlign w:val="top"/>
          </w:tcPr>
          <w:p w14:paraId="35EB2672">
            <w:pPr>
              <w:spacing w:line="288" w:lineRule="auto"/>
              <w:jc w:val="left"/>
              <w:rPr>
                <w:rFonts w:ascii="宋体" w:hAnsi="宋体" w:cs="宋体"/>
                <w:kern w:val="0"/>
                <w:sz w:val="24"/>
                <w:lang w:eastAsia="en-US"/>
              </w:rPr>
            </w:pPr>
          </w:p>
        </w:tc>
      </w:tr>
    </w:tbl>
    <w:p w14:paraId="7721D54C">
      <w:pPr>
        <w:autoSpaceDE w:val="0"/>
        <w:autoSpaceDN w:val="0"/>
        <w:adjustRightInd w:val="0"/>
        <w:spacing w:before="120" w:beforeLines="50" w:after="120" w:afterLines="50" w:line="288" w:lineRule="auto"/>
        <w:jc w:val="center"/>
        <w:rPr>
          <w:rFonts w:ascii="宋体" w:hAnsi="宋体" w:cs="宋体"/>
          <w:b/>
          <w:kern w:val="0"/>
          <w:sz w:val="24"/>
          <w:lang w:eastAsia="en-US"/>
        </w:rPr>
      </w:pPr>
    </w:p>
    <w:p w14:paraId="649F4325">
      <w:pPr>
        <w:wordWrap w:val="0"/>
        <w:jc w:val="right"/>
        <w:rPr>
          <w:rFonts w:hint="eastAsia" w:asciiTheme="minorEastAsia" w:hAnsiTheme="minorEastAsia" w:eastAsiaTheme="minorEastAsia" w:cstheme="minorEastAsia"/>
          <w:color w:val="auto"/>
          <w:sz w:val="24"/>
          <w:szCs w:val="24"/>
          <w:highlight w:val="none"/>
          <w:lang w:eastAsia="zh-CN"/>
        </w:rPr>
      </w:pPr>
    </w:p>
    <w:p w14:paraId="719A773F">
      <w:pPr>
        <w:spacing w:line="319" w:lineRule="exact"/>
        <w:rPr>
          <w:rFonts w:ascii="宋体" w:hAnsi="宋体" w:cs="宋体"/>
          <w:color w:val="000000"/>
          <w:sz w:val="30"/>
        </w:rPr>
      </w:pPr>
    </w:p>
    <w:p w14:paraId="7A414129">
      <w:pPr>
        <w:rPr>
          <w:rFonts w:hint="eastAsia" w:ascii="宋体" w:hAnsi="宋体" w:eastAsia="宋体"/>
          <w:b/>
          <w:bCs/>
          <w:color w:val="auto"/>
          <w:sz w:val="32"/>
          <w:szCs w:val="32"/>
          <w:lang w:eastAsia="zh-CN"/>
        </w:rPr>
      </w:pPr>
      <w:r>
        <w:rPr>
          <w:rFonts w:hint="eastAsia" w:ascii="宋体" w:hAnsi="宋体" w:eastAsia="宋体"/>
          <w:b/>
          <w:bCs/>
          <w:color w:val="auto"/>
          <w:sz w:val="32"/>
          <w:szCs w:val="32"/>
          <w:lang w:eastAsia="zh-CN"/>
        </w:rPr>
        <w:br w:type="page"/>
      </w:r>
    </w:p>
    <w:p w14:paraId="5E77B5EC">
      <w:pPr>
        <w:jc w:val="center"/>
        <w:rPr>
          <w:rFonts w:ascii="宋体" w:hAnsi="宋体"/>
          <w:b/>
          <w:color w:val="auto"/>
          <w:sz w:val="32"/>
          <w:szCs w:val="32"/>
        </w:rPr>
      </w:pPr>
      <w:r>
        <w:rPr>
          <w:rFonts w:hint="eastAsia" w:ascii="宋体" w:hAnsi="宋体"/>
          <w:b/>
          <w:bCs/>
          <w:color w:val="auto"/>
          <w:sz w:val="32"/>
          <w:szCs w:val="32"/>
          <w:lang w:eastAsia="zh-CN"/>
        </w:rPr>
        <w:t>五</w:t>
      </w:r>
      <w:r>
        <w:rPr>
          <w:rFonts w:hint="eastAsia" w:ascii="宋体" w:hAnsi="宋体" w:eastAsia="宋体"/>
          <w:b/>
          <w:bCs/>
          <w:color w:val="auto"/>
          <w:sz w:val="32"/>
          <w:szCs w:val="32"/>
          <w:lang w:eastAsia="zh-CN"/>
        </w:rPr>
        <w:t>、</w:t>
      </w:r>
      <w:r>
        <w:rPr>
          <w:rFonts w:hint="eastAsia" w:ascii="宋体" w:hAnsi="宋体"/>
          <w:b/>
          <w:bCs/>
          <w:color w:val="auto"/>
          <w:sz w:val="32"/>
          <w:szCs w:val="32"/>
        </w:rPr>
        <w:t>投标保证金</w:t>
      </w:r>
    </w:p>
    <w:p w14:paraId="4685E85D">
      <w:pPr>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采购</w:t>
      </w:r>
      <w:r>
        <w:rPr>
          <w:rFonts w:hint="eastAsia" w:ascii="宋体" w:hAnsi="宋体" w:cs="宋体"/>
          <w:color w:val="auto"/>
          <w:sz w:val="24"/>
          <w:u w:val="single"/>
        </w:rPr>
        <w:t>人名称}</w:t>
      </w:r>
      <w:r>
        <w:rPr>
          <w:rFonts w:hint="eastAsia" w:ascii="宋体" w:hAnsi="宋体" w:cs="宋体"/>
          <w:color w:val="auto"/>
          <w:sz w:val="24"/>
          <w:u w:val="single"/>
        </w:rPr>
        <w:tab/>
      </w:r>
      <w:r>
        <w:rPr>
          <w:rFonts w:hint="eastAsia" w:ascii="宋体" w:hAnsi="宋体" w:cs="宋体"/>
          <w:color w:val="auto"/>
          <w:sz w:val="24"/>
          <w:u w:val="single"/>
        </w:rPr>
        <w:tab/>
      </w:r>
    </w:p>
    <w:p w14:paraId="0384A567">
      <w:pPr>
        <w:rPr>
          <w:rFonts w:hint="eastAsia" w:ascii="宋体" w:hAnsi="宋体" w:cs="宋体"/>
          <w:color w:val="auto"/>
          <w:sz w:val="24"/>
        </w:rPr>
      </w:pPr>
    </w:p>
    <w:p w14:paraId="2F355859">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eastAsia="zh-CN"/>
        </w:rPr>
        <w:t>供应商</w:t>
      </w:r>
      <w:r>
        <w:rPr>
          <w:rFonts w:hint="eastAsia" w:ascii="宋体" w:hAnsi="宋体" w:cs="宋体"/>
          <w:color w:val="auto"/>
          <w:sz w:val="24"/>
          <w:u w:val="single"/>
        </w:rPr>
        <w:t>名称）</w:t>
      </w:r>
      <w:r>
        <w:rPr>
          <w:rFonts w:hint="eastAsia" w:ascii="宋体" w:hAnsi="宋体" w:cs="宋体"/>
          <w:color w:val="auto"/>
          <w:sz w:val="24"/>
        </w:rPr>
        <w:t>（以下称“</w:t>
      </w:r>
      <w:r>
        <w:rPr>
          <w:rFonts w:hint="eastAsia" w:ascii="宋体" w:hAnsi="宋体" w:cs="宋体"/>
          <w:color w:val="auto"/>
          <w:sz w:val="24"/>
          <w:lang w:eastAsia="zh-CN"/>
        </w:rPr>
        <w:t>供应商</w:t>
      </w:r>
      <w:r>
        <w:rPr>
          <w:rFonts w:hint="eastAsia" w:ascii="宋体" w:hAnsi="宋体" w:cs="宋体"/>
          <w:color w:val="auto"/>
          <w:sz w:val="24"/>
        </w:rPr>
        <w:t>”）于年月日递交了</w:t>
      </w:r>
      <w:r>
        <w:rPr>
          <w:rFonts w:hint="eastAsia" w:ascii="宋体" w:hAnsi="宋体" w:cs="宋体"/>
          <w:color w:val="auto"/>
          <w:sz w:val="24"/>
          <w:u w:val="single"/>
        </w:rPr>
        <w:t xml:space="preserve">    {</w:t>
      </w:r>
      <w:r>
        <w:rPr>
          <w:rFonts w:hint="eastAsia" w:ascii="宋体" w:hAnsi="宋体" w:cs="宋体"/>
          <w:color w:val="auto"/>
          <w:sz w:val="24"/>
          <w:u w:val="single"/>
          <w:lang w:eastAsia="zh-CN"/>
        </w:rPr>
        <w:t>谈判</w:t>
      </w:r>
      <w:r>
        <w:rPr>
          <w:rFonts w:hint="eastAsia" w:ascii="宋体" w:hAnsi="宋体" w:cs="宋体"/>
          <w:color w:val="auto"/>
          <w:sz w:val="24"/>
          <w:u w:val="single"/>
        </w:rPr>
        <w:t xml:space="preserve">项目名称、项目编号}    </w:t>
      </w:r>
      <w:r>
        <w:rPr>
          <w:rFonts w:hint="eastAsia" w:ascii="宋体" w:hAnsi="宋体" w:cs="宋体"/>
          <w:color w:val="auto"/>
          <w:sz w:val="24"/>
        </w:rPr>
        <w:t>的投标保证金人民币</w:t>
      </w:r>
      <w:r>
        <w:rPr>
          <w:rFonts w:hint="eastAsia" w:ascii="宋体" w:hAnsi="宋体" w:cs="宋体"/>
          <w:color w:val="auto"/>
          <w:sz w:val="24"/>
          <w:lang w:eastAsia="zh-CN"/>
        </w:rPr>
        <w:t>（</w:t>
      </w:r>
      <w:r>
        <w:rPr>
          <w:rFonts w:hint="eastAsia" w:ascii="宋体" w:hAnsi="宋体" w:cs="宋体"/>
          <w:color w:val="auto"/>
          <w:sz w:val="24"/>
          <w:lang w:val="en-US" w:eastAsia="zh-CN"/>
        </w:rPr>
        <w:t>小写</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元；</w:t>
      </w:r>
    </w:p>
    <w:p w14:paraId="1B377EFE">
      <w:pPr>
        <w:spacing w:line="360" w:lineRule="auto"/>
        <w:jc w:val="center"/>
        <w:rPr>
          <w:rFonts w:hint="eastAsia" w:ascii="宋体" w:hAnsi="宋体" w:cs="宋体"/>
          <w:color w:val="auto"/>
          <w:sz w:val="24"/>
        </w:rPr>
      </w:pPr>
    </w:p>
    <w:p w14:paraId="17D701DF">
      <w:pPr>
        <w:spacing w:line="360" w:lineRule="auto"/>
        <w:ind w:firstLine="240" w:firstLineChars="100"/>
        <w:rPr>
          <w:rFonts w:hint="eastAsia" w:ascii="宋体" w:hAnsi="宋体" w:cs="宋体"/>
          <w:color w:val="auto"/>
          <w:sz w:val="24"/>
        </w:rPr>
      </w:pPr>
      <w:r>
        <w:rPr>
          <w:rFonts w:hint="eastAsia" w:ascii="宋体" w:hAnsi="宋体" w:cs="宋体"/>
          <w:color w:val="auto"/>
          <w:sz w:val="24"/>
        </w:rPr>
        <w:t>如果我方在投标有效期内收到你方的</w:t>
      </w:r>
      <w:r>
        <w:rPr>
          <w:rFonts w:hint="eastAsia" w:ascii="宋体" w:hAnsi="宋体" w:cs="宋体"/>
          <w:color w:val="auto"/>
          <w:sz w:val="24"/>
          <w:lang w:eastAsia="zh-CN"/>
        </w:rPr>
        <w:t>成交通知书</w:t>
      </w:r>
      <w:r>
        <w:rPr>
          <w:rFonts w:hint="eastAsia" w:ascii="宋体" w:hAnsi="宋体" w:cs="宋体"/>
          <w:color w:val="auto"/>
          <w:sz w:val="24"/>
        </w:rPr>
        <w:t>后</w:t>
      </w:r>
    </w:p>
    <w:p w14:paraId="02FAD27F">
      <w:pPr>
        <w:spacing w:line="360" w:lineRule="auto"/>
        <w:ind w:firstLine="240" w:firstLineChars="100"/>
        <w:rPr>
          <w:rFonts w:hint="eastAsia" w:ascii="宋体" w:hAnsi="宋体" w:cs="宋体"/>
          <w:color w:val="auto"/>
          <w:sz w:val="24"/>
        </w:rPr>
      </w:pPr>
      <w:r>
        <w:rPr>
          <w:rFonts w:hint="eastAsia" w:ascii="宋体" w:hAnsi="宋体" w:cs="宋体"/>
          <w:color w:val="auto"/>
          <w:sz w:val="24"/>
        </w:rPr>
        <w:t>1、不能或拒绝按投标须知的要求签署合同协议书；</w:t>
      </w:r>
    </w:p>
    <w:p w14:paraId="327E7852">
      <w:pPr>
        <w:spacing w:line="360" w:lineRule="auto"/>
        <w:ind w:firstLine="240" w:firstLineChars="100"/>
        <w:rPr>
          <w:rFonts w:hint="eastAsia" w:ascii="宋体" w:hAnsi="宋体" w:cs="宋体"/>
          <w:color w:val="auto"/>
          <w:sz w:val="24"/>
        </w:rPr>
      </w:pPr>
      <w:r>
        <w:rPr>
          <w:rFonts w:hint="eastAsia" w:ascii="宋体" w:hAnsi="宋体" w:cs="宋体"/>
          <w:color w:val="auto"/>
          <w:sz w:val="24"/>
        </w:rPr>
        <w:t>2、不能在</w:t>
      </w:r>
      <w:r>
        <w:rPr>
          <w:rFonts w:hint="eastAsia" w:ascii="宋体" w:hAnsi="宋体" w:cs="宋体"/>
          <w:color w:val="auto"/>
          <w:sz w:val="24"/>
          <w:lang w:eastAsia="zh-CN"/>
        </w:rPr>
        <w:t>谈判</w:t>
      </w:r>
      <w:r>
        <w:rPr>
          <w:rFonts w:hint="eastAsia" w:ascii="宋体" w:hAnsi="宋体" w:cs="宋体"/>
          <w:color w:val="auto"/>
          <w:sz w:val="24"/>
        </w:rPr>
        <w:t>有效期内撤回</w:t>
      </w:r>
      <w:r>
        <w:rPr>
          <w:rFonts w:hint="eastAsia" w:ascii="宋体" w:hAnsi="宋体" w:cs="宋体"/>
          <w:color w:val="auto"/>
          <w:sz w:val="24"/>
          <w:lang w:eastAsia="zh-CN"/>
        </w:rPr>
        <w:t>响应</w:t>
      </w:r>
      <w:r>
        <w:rPr>
          <w:rFonts w:hint="eastAsia" w:ascii="宋体" w:hAnsi="宋体" w:cs="宋体"/>
          <w:color w:val="auto"/>
          <w:sz w:val="24"/>
        </w:rPr>
        <w:t>文件。</w:t>
      </w:r>
    </w:p>
    <w:p w14:paraId="53E95333">
      <w:pPr>
        <w:spacing w:line="360" w:lineRule="auto"/>
        <w:ind w:firstLine="240" w:firstLineChars="100"/>
        <w:rPr>
          <w:rFonts w:hint="eastAsia" w:ascii="宋体" w:hAnsi="宋体" w:cs="宋体"/>
          <w:color w:val="auto"/>
          <w:sz w:val="24"/>
        </w:rPr>
      </w:pPr>
      <w:r>
        <w:rPr>
          <w:rFonts w:hint="eastAsia" w:ascii="宋体" w:hAnsi="宋体" w:cs="宋体"/>
          <w:color w:val="auto"/>
          <w:sz w:val="24"/>
        </w:rPr>
        <w:t>否则你方有权没收我方的投标保证金。</w:t>
      </w:r>
    </w:p>
    <w:p w14:paraId="123B4E12">
      <w:pPr>
        <w:spacing w:line="360" w:lineRule="auto"/>
        <w:ind w:firstLine="240" w:firstLineChars="100"/>
        <w:rPr>
          <w:rFonts w:hint="eastAsia" w:ascii="宋体" w:hAnsi="宋体" w:cs="宋体"/>
          <w:color w:val="auto"/>
          <w:sz w:val="24"/>
        </w:rPr>
      </w:pPr>
      <w:r>
        <w:rPr>
          <w:rFonts w:hint="eastAsia" w:ascii="宋体" w:hAnsi="宋体" w:cs="宋体"/>
          <w:color w:val="auto"/>
          <w:sz w:val="24"/>
        </w:rPr>
        <w:t>我方同意</w:t>
      </w:r>
      <w:r>
        <w:rPr>
          <w:rFonts w:hint="eastAsia" w:ascii="宋体" w:hAnsi="宋体" w:cs="宋体"/>
          <w:color w:val="auto"/>
          <w:sz w:val="24"/>
          <w:lang w:eastAsia="zh-CN"/>
        </w:rPr>
        <w:t>谈判</w:t>
      </w:r>
      <w:r>
        <w:rPr>
          <w:rFonts w:hint="eastAsia" w:ascii="宋体" w:hAnsi="宋体" w:cs="宋体"/>
          <w:color w:val="auto"/>
          <w:sz w:val="24"/>
        </w:rPr>
        <w:t>文件有关投标保证金规定，并对我方有约束力。</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14:paraId="3FD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916" w:type="dxa"/>
            <w:noWrap/>
            <w:vAlign w:val="top"/>
          </w:tcPr>
          <w:p w14:paraId="4E6A9581">
            <w:pPr>
              <w:rPr>
                <w:rFonts w:hint="eastAsia" w:ascii="宋体" w:hAnsi="宋体" w:cs="宋体"/>
                <w:b/>
                <w:color w:val="auto"/>
              </w:rPr>
            </w:pPr>
          </w:p>
          <w:p w14:paraId="0DC2112A">
            <w:pPr>
              <w:rPr>
                <w:rFonts w:hint="eastAsia" w:ascii="宋体" w:hAnsi="宋体" w:cs="宋体"/>
                <w:color w:val="auto"/>
              </w:rPr>
            </w:pPr>
            <w:r>
              <w:rPr>
                <w:rFonts w:hint="eastAsia" w:ascii="宋体" w:hAnsi="宋体" w:cs="宋体"/>
                <w:b/>
                <w:color w:val="auto"/>
              </w:rPr>
              <w:t>附:投标保证金到账证明</w:t>
            </w:r>
          </w:p>
          <w:p w14:paraId="4E50140C">
            <w:pPr>
              <w:rPr>
                <w:rFonts w:hint="eastAsia" w:ascii="宋体" w:hAnsi="宋体" w:cs="宋体"/>
                <w:color w:val="auto"/>
              </w:rPr>
            </w:pPr>
          </w:p>
          <w:p w14:paraId="7EB0F492">
            <w:pPr>
              <w:rPr>
                <w:rFonts w:hint="eastAsia" w:ascii="宋体" w:hAnsi="宋体" w:cs="宋体"/>
                <w:color w:val="auto"/>
              </w:rPr>
            </w:pPr>
          </w:p>
          <w:p w14:paraId="276C4924">
            <w:pPr>
              <w:rPr>
                <w:rFonts w:hint="eastAsia" w:ascii="宋体" w:hAnsi="宋体" w:cs="宋体"/>
                <w:b/>
                <w:color w:val="auto"/>
              </w:rPr>
            </w:pPr>
            <w:r>
              <w:rPr>
                <w:rFonts w:hint="eastAsia" w:ascii="宋体" w:hAnsi="宋体" w:cs="宋体"/>
                <w:b/>
                <w:color w:val="auto"/>
              </w:rPr>
              <w:t>附：基本账户开户许可证复印件（加盖公章）</w:t>
            </w:r>
          </w:p>
          <w:p w14:paraId="399C94E1">
            <w:pPr>
              <w:rPr>
                <w:rFonts w:hint="eastAsia" w:ascii="宋体" w:hAnsi="宋体" w:cs="宋体"/>
                <w:color w:val="auto"/>
              </w:rPr>
            </w:pPr>
          </w:p>
          <w:p w14:paraId="51210496">
            <w:pPr>
              <w:rPr>
                <w:rFonts w:hint="eastAsia" w:ascii="宋体" w:hAnsi="宋体" w:cs="宋体"/>
                <w:color w:val="auto"/>
              </w:rPr>
            </w:pPr>
          </w:p>
          <w:p w14:paraId="38B59D16">
            <w:pPr>
              <w:rPr>
                <w:rFonts w:hint="eastAsia" w:ascii="宋体" w:hAnsi="宋体" w:cs="宋体"/>
                <w:color w:val="auto"/>
              </w:rPr>
            </w:pPr>
          </w:p>
        </w:tc>
      </w:tr>
    </w:tbl>
    <w:p w14:paraId="4829995E">
      <w:pPr>
        <w:rPr>
          <w:rFonts w:hint="eastAsia" w:ascii="宋体" w:hAnsi="宋体" w:cs="宋体"/>
          <w:color w:val="auto"/>
        </w:rPr>
      </w:pPr>
    </w:p>
    <w:p w14:paraId="5ECD303D">
      <w:pPr>
        <w:rPr>
          <w:rFonts w:hint="eastAsia" w:ascii="宋体" w:hAnsi="宋体" w:cs="宋体"/>
          <w:color w:val="auto"/>
          <w:sz w:val="24"/>
        </w:rPr>
      </w:pPr>
    </w:p>
    <w:p w14:paraId="72BE821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97A7E81">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270010F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30EE9A1">
      <w:pPr>
        <w:pStyle w:val="5"/>
        <w:ind w:left="2940"/>
        <w:rPr>
          <w:rFonts w:ascii="宋体" w:hAnsi="宋体" w:cs="宋体"/>
        </w:rPr>
      </w:pPr>
    </w:p>
    <w:p w14:paraId="0E3AFBFF">
      <w:pPr>
        <w:rPr>
          <w:rFonts w:ascii="宋体" w:hAnsi="宋体" w:cs="宋体"/>
        </w:rPr>
      </w:pPr>
    </w:p>
    <w:p w14:paraId="774053E0">
      <w:pPr>
        <w:rPr>
          <w:rFonts w:ascii="宋体" w:hAnsi="宋体" w:cs="宋体"/>
        </w:rPr>
      </w:pPr>
      <w:r>
        <w:rPr>
          <w:rFonts w:ascii="宋体" w:hAnsi="宋体" w:cs="宋体"/>
        </w:rPr>
        <w:br w:type="page"/>
      </w:r>
    </w:p>
    <w:p w14:paraId="73C98526">
      <w:pPr>
        <w:pStyle w:val="3"/>
        <w:bidi w:val="0"/>
        <w:jc w:val="center"/>
        <w:rPr>
          <w:rFonts w:hint="eastAsia"/>
          <w:lang w:val="zh-CN"/>
        </w:rPr>
      </w:pPr>
      <w:bookmarkStart w:id="70" w:name="_Toc25412"/>
      <w:r>
        <w:rPr>
          <w:rFonts w:hint="eastAsia" w:ascii="宋体" w:hAnsi="宋体" w:eastAsia="宋体" w:cs="Times New Roman"/>
          <w:b/>
          <w:bCs/>
          <w:color w:val="auto"/>
          <w:kern w:val="2"/>
          <w:sz w:val="32"/>
          <w:szCs w:val="32"/>
          <w:lang w:val="zh-CN" w:eastAsia="zh-CN" w:bidi="ar-SA"/>
        </w:rPr>
        <w:t>六、商务条款偏离表</w:t>
      </w:r>
      <w:bookmarkEnd w:id="70"/>
    </w:p>
    <w:p w14:paraId="00FD501C">
      <w:pPr>
        <w:snapToGrid w:val="0"/>
        <w:spacing w:line="30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p>
    <w:p w14:paraId="42F9FB7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tbl>
      <w:tblPr>
        <w:tblStyle w:val="18"/>
        <w:tblW w:w="99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2"/>
        <w:gridCol w:w="3050"/>
        <w:gridCol w:w="3060"/>
        <w:gridCol w:w="1390"/>
        <w:gridCol w:w="1391"/>
      </w:tblGrid>
      <w:tr w14:paraId="0FF8C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07" w:hRule="atLeast"/>
          <w:jc w:val="center"/>
        </w:trPr>
        <w:tc>
          <w:tcPr>
            <w:tcW w:w="1062" w:type="dxa"/>
            <w:noWrap w:val="0"/>
            <w:tcMar>
              <w:top w:w="15" w:type="dxa"/>
              <w:left w:w="15" w:type="dxa"/>
              <w:bottom w:w="0" w:type="dxa"/>
              <w:right w:w="15" w:type="dxa"/>
            </w:tcMar>
            <w:vAlign w:val="center"/>
          </w:tcPr>
          <w:p w14:paraId="5C35726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50" w:type="dxa"/>
            <w:noWrap w:val="0"/>
            <w:tcMar>
              <w:top w:w="15" w:type="dxa"/>
              <w:left w:w="15" w:type="dxa"/>
              <w:bottom w:w="0" w:type="dxa"/>
              <w:right w:w="15" w:type="dxa"/>
            </w:tcMar>
            <w:vAlign w:val="center"/>
          </w:tcPr>
          <w:p w14:paraId="2BCD4F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商务条款内容</w:t>
            </w:r>
          </w:p>
        </w:tc>
        <w:tc>
          <w:tcPr>
            <w:tcW w:w="3060" w:type="dxa"/>
            <w:noWrap w:val="0"/>
            <w:tcMar>
              <w:top w:w="15" w:type="dxa"/>
              <w:left w:w="15" w:type="dxa"/>
              <w:bottom w:w="0" w:type="dxa"/>
              <w:right w:w="15" w:type="dxa"/>
            </w:tcMar>
            <w:vAlign w:val="center"/>
          </w:tcPr>
          <w:p w14:paraId="6F82ACCE">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w:t>
            </w:r>
          </w:p>
        </w:tc>
        <w:tc>
          <w:tcPr>
            <w:tcW w:w="1390" w:type="dxa"/>
            <w:noWrap w:val="0"/>
            <w:tcMar>
              <w:top w:w="15" w:type="dxa"/>
              <w:left w:w="15" w:type="dxa"/>
              <w:bottom w:w="0" w:type="dxa"/>
              <w:right w:w="15" w:type="dxa"/>
            </w:tcMar>
            <w:vAlign w:val="center"/>
          </w:tcPr>
          <w:p w14:paraId="4DAF2C2D">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391" w:type="dxa"/>
            <w:noWrap w:val="0"/>
            <w:vAlign w:val="center"/>
          </w:tcPr>
          <w:p w14:paraId="409786F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19E9A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31" w:hRule="atLeast"/>
          <w:jc w:val="center"/>
        </w:trPr>
        <w:tc>
          <w:tcPr>
            <w:tcW w:w="1062" w:type="dxa"/>
            <w:noWrap w:val="0"/>
            <w:tcMar>
              <w:top w:w="15" w:type="dxa"/>
              <w:left w:w="15" w:type="dxa"/>
              <w:bottom w:w="0" w:type="dxa"/>
              <w:right w:w="15" w:type="dxa"/>
            </w:tcMar>
            <w:vAlign w:val="center"/>
          </w:tcPr>
          <w:p w14:paraId="555AC68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50" w:type="dxa"/>
            <w:noWrap w:val="0"/>
            <w:tcMar>
              <w:top w:w="15" w:type="dxa"/>
              <w:left w:w="15" w:type="dxa"/>
              <w:bottom w:w="0" w:type="dxa"/>
              <w:right w:w="15" w:type="dxa"/>
            </w:tcMar>
            <w:vAlign w:val="center"/>
          </w:tcPr>
          <w:p w14:paraId="6EDAAA64">
            <w:pPr>
              <w:snapToGrid w:val="0"/>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供货期</w:t>
            </w:r>
          </w:p>
        </w:tc>
        <w:tc>
          <w:tcPr>
            <w:tcW w:w="3060" w:type="dxa"/>
            <w:noWrap w:val="0"/>
            <w:tcMar>
              <w:top w:w="15" w:type="dxa"/>
              <w:left w:w="15" w:type="dxa"/>
              <w:bottom w:w="0" w:type="dxa"/>
              <w:right w:w="15" w:type="dxa"/>
            </w:tcMar>
            <w:vAlign w:val="center"/>
          </w:tcPr>
          <w:p w14:paraId="26AA1E8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50A62039">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4D2B36BE">
            <w:pPr>
              <w:snapToGrid w:val="0"/>
              <w:spacing w:line="300" w:lineRule="auto"/>
              <w:jc w:val="center"/>
              <w:rPr>
                <w:rFonts w:hint="eastAsia" w:ascii="宋体" w:hAnsi="宋体" w:eastAsia="宋体" w:cs="宋体"/>
                <w:sz w:val="24"/>
                <w:szCs w:val="24"/>
                <w:highlight w:val="none"/>
              </w:rPr>
            </w:pPr>
          </w:p>
        </w:tc>
      </w:tr>
      <w:tr w14:paraId="0CC5A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73218475">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50" w:type="dxa"/>
            <w:noWrap w:val="0"/>
            <w:tcMar>
              <w:top w:w="15" w:type="dxa"/>
              <w:left w:w="15" w:type="dxa"/>
              <w:bottom w:w="0" w:type="dxa"/>
              <w:right w:w="15" w:type="dxa"/>
            </w:tcMar>
            <w:vAlign w:val="center"/>
          </w:tcPr>
          <w:p w14:paraId="6833F9A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060" w:type="dxa"/>
            <w:noWrap w:val="0"/>
            <w:tcMar>
              <w:top w:w="15" w:type="dxa"/>
              <w:left w:w="15" w:type="dxa"/>
              <w:bottom w:w="0" w:type="dxa"/>
              <w:right w:w="15" w:type="dxa"/>
            </w:tcMar>
            <w:vAlign w:val="center"/>
          </w:tcPr>
          <w:p w14:paraId="207822F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0728E3D8">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0F0FD474">
            <w:pPr>
              <w:snapToGrid w:val="0"/>
              <w:spacing w:line="300" w:lineRule="auto"/>
              <w:jc w:val="center"/>
              <w:rPr>
                <w:rFonts w:hint="eastAsia" w:ascii="宋体" w:hAnsi="宋体" w:eastAsia="宋体" w:cs="宋体"/>
                <w:sz w:val="24"/>
                <w:szCs w:val="24"/>
                <w:highlight w:val="none"/>
              </w:rPr>
            </w:pPr>
          </w:p>
        </w:tc>
      </w:tr>
      <w:tr w14:paraId="16BD8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DBA6806">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50" w:type="dxa"/>
            <w:noWrap w:val="0"/>
            <w:tcMar>
              <w:top w:w="15" w:type="dxa"/>
              <w:left w:w="15" w:type="dxa"/>
              <w:bottom w:w="0" w:type="dxa"/>
              <w:right w:w="15" w:type="dxa"/>
            </w:tcMar>
            <w:vAlign w:val="center"/>
          </w:tcPr>
          <w:p w14:paraId="08365C95">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29D5082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0739C15">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6D6C1217">
            <w:pPr>
              <w:snapToGrid w:val="0"/>
              <w:spacing w:line="300" w:lineRule="auto"/>
              <w:jc w:val="center"/>
              <w:rPr>
                <w:rFonts w:hint="eastAsia" w:ascii="宋体" w:hAnsi="宋体" w:eastAsia="宋体" w:cs="宋体"/>
                <w:sz w:val="24"/>
                <w:szCs w:val="24"/>
                <w:highlight w:val="none"/>
              </w:rPr>
            </w:pPr>
          </w:p>
        </w:tc>
      </w:tr>
      <w:tr w14:paraId="51475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5D91B2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50" w:type="dxa"/>
            <w:noWrap w:val="0"/>
            <w:tcMar>
              <w:top w:w="15" w:type="dxa"/>
              <w:left w:w="15" w:type="dxa"/>
              <w:bottom w:w="0" w:type="dxa"/>
              <w:right w:w="15" w:type="dxa"/>
            </w:tcMar>
            <w:vAlign w:val="center"/>
          </w:tcPr>
          <w:p w14:paraId="5332E623">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06876700">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B0A5257">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437B4C16">
            <w:pPr>
              <w:snapToGrid w:val="0"/>
              <w:spacing w:line="300" w:lineRule="auto"/>
              <w:jc w:val="center"/>
              <w:rPr>
                <w:rFonts w:hint="eastAsia" w:ascii="宋体" w:hAnsi="宋体" w:eastAsia="宋体" w:cs="宋体"/>
                <w:sz w:val="24"/>
                <w:szCs w:val="24"/>
                <w:highlight w:val="none"/>
              </w:rPr>
            </w:pPr>
          </w:p>
        </w:tc>
      </w:tr>
      <w:tr w14:paraId="1BDE1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20D0E7D3">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50" w:type="dxa"/>
            <w:noWrap w:val="0"/>
            <w:tcMar>
              <w:top w:w="15" w:type="dxa"/>
              <w:left w:w="15" w:type="dxa"/>
              <w:bottom w:w="0" w:type="dxa"/>
              <w:right w:w="15" w:type="dxa"/>
            </w:tcMar>
            <w:vAlign w:val="center"/>
          </w:tcPr>
          <w:p w14:paraId="151455B5">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4D750DB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65C2CFF2">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77F945AB">
            <w:pPr>
              <w:snapToGrid w:val="0"/>
              <w:spacing w:line="300" w:lineRule="auto"/>
              <w:jc w:val="center"/>
              <w:rPr>
                <w:rFonts w:hint="eastAsia" w:ascii="宋体" w:hAnsi="宋体" w:eastAsia="宋体" w:cs="宋体"/>
                <w:sz w:val="24"/>
                <w:szCs w:val="24"/>
                <w:highlight w:val="none"/>
              </w:rPr>
            </w:pPr>
          </w:p>
        </w:tc>
      </w:tr>
      <w:tr w14:paraId="74014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2116BD2">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0B3A45B1">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AB1268F">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AC5AA2E">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241BD799">
            <w:pPr>
              <w:snapToGrid w:val="0"/>
              <w:spacing w:line="300" w:lineRule="auto"/>
              <w:jc w:val="center"/>
              <w:rPr>
                <w:rFonts w:hint="eastAsia" w:ascii="宋体" w:hAnsi="宋体" w:eastAsia="宋体" w:cs="宋体"/>
                <w:sz w:val="24"/>
                <w:szCs w:val="24"/>
                <w:highlight w:val="none"/>
              </w:rPr>
            </w:pPr>
          </w:p>
        </w:tc>
      </w:tr>
      <w:tr w14:paraId="67392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417FF25A">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392B0FD7">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88B48D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50B0C989">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7FD96A1">
            <w:pPr>
              <w:snapToGrid w:val="0"/>
              <w:spacing w:line="300" w:lineRule="auto"/>
              <w:jc w:val="center"/>
              <w:rPr>
                <w:rFonts w:hint="eastAsia" w:ascii="宋体" w:hAnsi="宋体" w:eastAsia="宋体" w:cs="宋体"/>
                <w:sz w:val="24"/>
                <w:szCs w:val="24"/>
                <w:highlight w:val="none"/>
              </w:rPr>
            </w:pPr>
          </w:p>
        </w:tc>
      </w:tr>
      <w:tr w14:paraId="771BF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51" w:hRule="atLeast"/>
          <w:jc w:val="center"/>
        </w:trPr>
        <w:tc>
          <w:tcPr>
            <w:tcW w:w="1062" w:type="dxa"/>
            <w:noWrap w:val="0"/>
            <w:tcMar>
              <w:top w:w="15" w:type="dxa"/>
              <w:left w:w="15" w:type="dxa"/>
              <w:bottom w:w="0" w:type="dxa"/>
              <w:right w:w="15" w:type="dxa"/>
            </w:tcMar>
            <w:vAlign w:val="center"/>
          </w:tcPr>
          <w:p w14:paraId="4B04AEDC">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6A92D216">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3AA3C81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295673FA">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37CBDEB">
            <w:pPr>
              <w:snapToGrid w:val="0"/>
              <w:spacing w:line="300" w:lineRule="auto"/>
              <w:jc w:val="center"/>
              <w:rPr>
                <w:rFonts w:hint="eastAsia" w:ascii="宋体" w:hAnsi="宋体" w:eastAsia="宋体" w:cs="宋体"/>
                <w:sz w:val="24"/>
                <w:szCs w:val="24"/>
                <w:highlight w:val="none"/>
              </w:rPr>
            </w:pPr>
          </w:p>
        </w:tc>
      </w:tr>
    </w:tbl>
    <w:p w14:paraId="0A64D2B7">
      <w:pPr>
        <w:pStyle w:val="40"/>
        <w:spacing w:line="360" w:lineRule="auto"/>
        <w:ind w:left="-181" w:firstLine="181"/>
        <w:rPr>
          <w:rFonts w:hint="eastAsia" w:ascii="宋体" w:hAnsi="宋体" w:eastAsia="宋体" w:cs="宋体"/>
          <w:b/>
          <w:bCs/>
          <w:snapToGrid w:val="0"/>
          <w:kern w:val="0"/>
          <w:sz w:val="24"/>
          <w:szCs w:val="24"/>
          <w:highlight w:val="none"/>
        </w:rPr>
      </w:pPr>
    </w:p>
    <w:p w14:paraId="4627E56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528B760E">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323F5A54">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3.“偏离情况”一栏中必须如实并按照商务要求的内容逐项填写“正偏离”、“负偏离”或“无偏离”；</w:t>
      </w:r>
    </w:p>
    <w:p w14:paraId="0B069800">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认为本表格需要提供的其他内容自行填写。</w:t>
      </w:r>
    </w:p>
    <w:p w14:paraId="0224E00B">
      <w:pPr>
        <w:pStyle w:val="17"/>
        <w:rPr>
          <w:rFonts w:hint="eastAsia" w:ascii="宋体" w:hAnsi="宋体" w:eastAsia="宋体" w:cs="宋体"/>
          <w:sz w:val="24"/>
          <w:szCs w:val="24"/>
          <w:highlight w:val="none"/>
        </w:rPr>
      </w:pPr>
    </w:p>
    <w:p w14:paraId="4E9B89C9">
      <w:pPr>
        <w:rPr>
          <w:rFonts w:hint="eastAsia" w:ascii="宋体" w:hAnsi="宋体" w:eastAsia="宋体" w:cs="宋体"/>
          <w:snapToGrid w:val="0"/>
          <w:sz w:val="24"/>
          <w:szCs w:val="24"/>
          <w:highlight w:val="none"/>
        </w:rPr>
      </w:pPr>
    </w:p>
    <w:p w14:paraId="2392682D">
      <w:pPr>
        <w:rPr>
          <w:rFonts w:hint="eastAsia" w:ascii="宋体" w:hAnsi="宋体" w:eastAsia="宋体" w:cs="宋体"/>
          <w:snapToGrid w:val="0"/>
          <w:sz w:val="24"/>
          <w:szCs w:val="24"/>
          <w:highlight w:val="none"/>
        </w:rPr>
      </w:pPr>
    </w:p>
    <w:p w14:paraId="637FF298">
      <w:pPr>
        <w:spacing w:line="360" w:lineRule="auto"/>
        <w:jc w:val="righ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3730FAD2">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color w:val="auto"/>
          <w:sz w:val="24"/>
        </w:rPr>
        <w:t>签字或签章</w:t>
      </w:r>
      <w:r>
        <w:rPr>
          <w:rFonts w:hint="eastAsia" w:ascii="宋体" w:hAnsi="宋体" w:eastAsia="宋体" w:cs="宋体"/>
          <w:sz w:val="24"/>
          <w:szCs w:val="24"/>
          <w:highlight w:val="none"/>
          <w:lang w:val="zh-CN"/>
        </w:rPr>
        <w:t>)</w:t>
      </w:r>
    </w:p>
    <w:p w14:paraId="61E3967E">
      <w:pPr>
        <w:jc w:val="right"/>
        <w:rPr>
          <w:rFonts w:hint="eastAsia" w:ascii="宋体" w:hAnsi="宋体" w:eastAsia="宋体" w:cs="宋体"/>
          <w:sz w:val="24"/>
          <w:szCs w:val="24"/>
          <w:highlight w:val="none"/>
        </w:rPr>
      </w:pPr>
    </w:p>
    <w:p w14:paraId="2EA8595D">
      <w:pPr>
        <w:spacing w:line="480" w:lineRule="exact"/>
        <w:ind w:firstLine="480" w:firstLineChars="200"/>
        <w:jc w:val="right"/>
        <w:rPr>
          <w:rFonts w:hint="eastAsia" w:ascii="宋体" w:hAnsi="宋体" w:eastAsia="宋体" w:cs="宋体"/>
          <w:b/>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F0C7B5">
      <w:pPr>
        <w:pStyle w:val="3"/>
        <w:bidi w:val="0"/>
        <w:jc w:val="center"/>
        <w:rPr>
          <w:rFonts w:hint="eastAsia" w:ascii="宋体" w:hAnsi="宋体" w:eastAsia="宋体" w:cs="宋体"/>
          <w:b/>
          <w:szCs w:val="32"/>
          <w:highlight w:val="none"/>
          <w:lang w:val="zh-CN"/>
        </w:rPr>
      </w:pPr>
      <w:r>
        <w:rPr>
          <w:rFonts w:hint="eastAsia" w:ascii="宋体" w:hAnsi="宋体" w:eastAsia="宋体" w:cs="宋体"/>
          <w:b/>
          <w:bCs/>
          <w:highlight w:val="none"/>
        </w:rPr>
        <w:br w:type="page"/>
      </w:r>
      <w:bookmarkStart w:id="71" w:name="_Toc8694"/>
      <w:r>
        <w:rPr>
          <w:rFonts w:hint="eastAsia"/>
          <w:lang w:val="zh-CN"/>
        </w:rPr>
        <w:t>七、技术规格偏离表</w:t>
      </w:r>
      <w:bookmarkEnd w:id="71"/>
    </w:p>
    <w:p w14:paraId="3D323ADE">
      <w:pPr>
        <w:rPr>
          <w:rFonts w:hint="eastAsia" w:ascii="宋体" w:hAnsi="宋体" w:eastAsia="宋体" w:cs="宋体"/>
          <w:highlight w:val="none"/>
        </w:rPr>
      </w:pPr>
    </w:p>
    <w:p w14:paraId="6819A70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p>
    <w:p w14:paraId="5DD1AA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i/>
          <w:iCs/>
          <w:sz w:val="24"/>
          <w:szCs w:val="24"/>
          <w:highlight w:val="none"/>
        </w:rPr>
        <w:t xml:space="preserve"> </w:t>
      </w:r>
      <w:r>
        <w:rPr>
          <w:rFonts w:hint="eastAsia" w:ascii="宋体" w:hAnsi="宋体" w:eastAsia="宋体" w:cs="宋体"/>
          <w:sz w:val="24"/>
          <w:szCs w:val="24"/>
          <w:highlight w:val="none"/>
          <w:u w:val="single"/>
        </w:rPr>
        <w:t xml:space="preserve">                       </w:t>
      </w:r>
    </w:p>
    <w:tbl>
      <w:tblPr>
        <w:tblStyle w:val="18"/>
        <w:tblW w:w="10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8"/>
        <w:gridCol w:w="2449"/>
        <w:gridCol w:w="1980"/>
        <w:gridCol w:w="2223"/>
        <w:gridCol w:w="1253"/>
        <w:gridCol w:w="1253"/>
      </w:tblGrid>
      <w:tr w14:paraId="092F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1028" w:type="dxa"/>
            <w:tcBorders>
              <w:top w:val="single" w:color="auto" w:sz="12" w:space="0"/>
            </w:tcBorders>
            <w:noWrap w:val="0"/>
            <w:tcMar>
              <w:top w:w="15" w:type="dxa"/>
              <w:left w:w="15" w:type="dxa"/>
              <w:bottom w:w="0" w:type="dxa"/>
              <w:right w:w="15" w:type="dxa"/>
            </w:tcMar>
            <w:vAlign w:val="center"/>
          </w:tcPr>
          <w:p w14:paraId="073C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49" w:type="dxa"/>
            <w:tcBorders>
              <w:top w:val="single" w:color="auto" w:sz="12" w:space="0"/>
            </w:tcBorders>
            <w:noWrap w:val="0"/>
            <w:tcMar>
              <w:top w:w="15" w:type="dxa"/>
              <w:left w:w="15" w:type="dxa"/>
              <w:bottom w:w="0" w:type="dxa"/>
              <w:right w:w="15" w:type="dxa"/>
            </w:tcMar>
            <w:vAlign w:val="center"/>
          </w:tcPr>
          <w:p w14:paraId="7E276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980" w:type="dxa"/>
            <w:tcBorders>
              <w:top w:val="single" w:color="auto" w:sz="12" w:space="0"/>
            </w:tcBorders>
            <w:noWrap w:val="0"/>
            <w:tcMar>
              <w:top w:w="15" w:type="dxa"/>
              <w:left w:w="15" w:type="dxa"/>
              <w:bottom w:w="0" w:type="dxa"/>
              <w:right w:w="15" w:type="dxa"/>
            </w:tcMar>
            <w:vAlign w:val="center"/>
          </w:tcPr>
          <w:p w14:paraId="63964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技术参数</w:t>
            </w:r>
          </w:p>
          <w:p w14:paraId="4F237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2223" w:type="dxa"/>
            <w:tcBorders>
              <w:top w:val="single" w:color="auto" w:sz="12" w:space="0"/>
              <w:right w:val="single" w:color="auto" w:sz="4" w:space="0"/>
            </w:tcBorders>
            <w:noWrap w:val="0"/>
            <w:tcMar>
              <w:top w:w="15" w:type="dxa"/>
              <w:left w:w="15" w:type="dxa"/>
              <w:bottom w:w="0" w:type="dxa"/>
              <w:right w:w="15" w:type="dxa"/>
            </w:tcMar>
            <w:vAlign w:val="center"/>
          </w:tcPr>
          <w:p w14:paraId="4D554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w:t>
            </w:r>
          </w:p>
        </w:tc>
        <w:tc>
          <w:tcPr>
            <w:tcW w:w="1253" w:type="dxa"/>
            <w:tcBorders>
              <w:top w:val="single" w:color="auto" w:sz="12" w:space="0"/>
            </w:tcBorders>
            <w:noWrap w:val="0"/>
            <w:tcMar>
              <w:top w:w="15" w:type="dxa"/>
              <w:left w:w="15" w:type="dxa"/>
              <w:bottom w:w="0" w:type="dxa"/>
              <w:right w:w="15" w:type="dxa"/>
            </w:tcMar>
            <w:vAlign w:val="center"/>
          </w:tcPr>
          <w:p w14:paraId="262DF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253" w:type="dxa"/>
            <w:tcBorders>
              <w:top w:val="single" w:color="auto" w:sz="12" w:space="0"/>
            </w:tcBorders>
            <w:noWrap w:val="0"/>
            <w:tcMar>
              <w:top w:w="15" w:type="dxa"/>
              <w:left w:w="15" w:type="dxa"/>
              <w:bottom w:w="0" w:type="dxa"/>
              <w:right w:w="15" w:type="dxa"/>
            </w:tcMar>
            <w:vAlign w:val="center"/>
          </w:tcPr>
          <w:p w14:paraId="1DD02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68BD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76F9C4FF">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49" w:type="dxa"/>
            <w:noWrap w:val="0"/>
            <w:tcMar>
              <w:top w:w="15" w:type="dxa"/>
              <w:left w:w="15" w:type="dxa"/>
              <w:bottom w:w="0" w:type="dxa"/>
              <w:right w:w="15" w:type="dxa"/>
            </w:tcMar>
            <w:vAlign w:val="center"/>
          </w:tcPr>
          <w:p w14:paraId="2A4B4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6F270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78B29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1769AD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E411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156A9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6" w:hRule="atLeast"/>
          <w:jc w:val="center"/>
        </w:trPr>
        <w:tc>
          <w:tcPr>
            <w:tcW w:w="1028" w:type="dxa"/>
            <w:noWrap w:val="0"/>
            <w:tcMar>
              <w:top w:w="15" w:type="dxa"/>
              <w:left w:w="15" w:type="dxa"/>
              <w:bottom w:w="0" w:type="dxa"/>
              <w:right w:w="15" w:type="dxa"/>
            </w:tcMar>
            <w:vAlign w:val="center"/>
          </w:tcPr>
          <w:p w14:paraId="4A9E8317">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49" w:type="dxa"/>
            <w:noWrap w:val="0"/>
            <w:tcMar>
              <w:top w:w="15" w:type="dxa"/>
              <w:left w:w="15" w:type="dxa"/>
              <w:bottom w:w="0" w:type="dxa"/>
              <w:right w:w="15" w:type="dxa"/>
            </w:tcMar>
            <w:vAlign w:val="center"/>
          </w:tcPr>
          <w:p w14:paraId="56988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1ABF80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55732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016E5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6133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6582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22F4AA3">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49" w:type="dxa"/>
            <w:noWrap w:val="0"/>
            <w:tcMar>
              <w:top w:w="15" w:type="dxa"/>
              <w:left w:w="15" w:type="dxa"/>
              <w:bottom w:w="0" w:type="dxa"/>
              <w:right w:w="15" w:type="dxa"/>
            </w:tcMar>
            <w:vAlign w:val="center"/>
          </w:tcPr>
          <w:p w14:paraId="232379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highlight w:val="none"/>
              </w:rPr>
            </w:pPr>
          </w:p>
        </w:tc>
        <w:tc>
          <w:tcPr>
            <w:tcW w:w="1980" w:type="dxa"/>
            <w:noWrap w:val="0"/>
            <w:tcMar>
              <w:top w:w="15" w:type="dxa"/>
              <w:left w:w="15" w:type="dxa"/>
              <w:bottom w:w="0" w:type="dxa"/>
              <w:right w:w="15" w:type="dxa"/>
            </w:tcMar>
            <w:vAlign w:val="center"/>
          </w:tcPr>
          <w:p w14:paraId="07C87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A27E2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61BA34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6ED80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485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66F4B6B">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49" w:type="dxa"/>
            <w:noWrap w:val="0"/>
            <w:tcMar>
              <w:top w:w="15" w:type="dxa"/>
              <w:left w:w="15" w:type="dxa"/>
              <w:bottom w:w="0" w:type="dxa"/>
              <w:right w:w="15" w:type="dxa"/>
            </w:tcMar>
            <w:vAlign w:val="center"/>
          </w:tcPr>
          <w:p w14:paraId="0AC2A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80" w:type="dxa"/>
            <w:noWrap w:val="0"/>
            <w:tcMar>
              <w:top w:w="15" w:type="dxa"/>
              <w:left w:w="15" w:type="dxa"/>
              <w:bottom w:w="0" w:type="dxa"/>
              <w:right w:w="15" w:type="dxa"/>
            </w:tcMar>
            <w:vAlign w:val="center"/>
          </w:tcPr>
          <w:p w14:paraId="45E91A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69ACF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56DDF0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07D6D2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619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6376EBFB">
            <w:pPr>
              <w:spacing w:line="360" w:lineRule="auto"/>
              <w:ind w:firstLine="38" w:firstLineChars="16"/>
              <w:jc w:val="center"/>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60C67547">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701BC199">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F6F6A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465FCB57">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9433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59EC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B1C33EC">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5E039D75">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29DC4E24">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4FE0168">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78A5F631">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16667DCC">
            <w:pPr>
              <w:spacing w:line="360" w:lineRule="auto"/>
              <w:rPr>
                <w:rFonts w:hint="eastAsia" w:ascii="宋体" w:hAnsi="宋体" w:eastAsia="宋体" w:cs="宋体"/>
                <w:sz w:val="24"/>
                <w:szCs w:val="24"/>
                <w:highlight w:val="none"/>
              </w:rPr>
            </w:pPr>
          </w:p>
        </w:tc>
      </w:tr>
      <w:tr w14:paraId="0BC7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A6CC48D">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126403DB">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47CEB1E5">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5D1657F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88EE0B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253D955B">
            <w:pPr>
              <w:spacing w:line="360" w:lineRule="auto"/>
              <w:rPr>
                <w:rFonts w:hint="eastAsia" w:ascii="宋体" w:hAnsi="宋体" w:eastAsia="宋体" w:cs="宋体"/>
                <w:sz w:val="24"/>
                <w:szCs w:val="24"/>
                <w:highlight w:val="none"/>
              </w:rPr>
            </w:pPr>
          </w:p>
        </w:tc>
      </w:tr>
      <w:tr w14:paraId="37DC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1028" w:type="dxa"/>
            <w:tcBorders>
              <w:bottom w:val="single" w:color="auto" w:sz="12" w:space="0"/>
            </w:tcBorders>
            <w:noWrap w:val="0"/>
            <w:tcMar>
              <w:top w:w="15" w:type="dxa"/>
              <w:left w:w="15" w:type="dxa"/>
              <w:bottom w:w="0" w:type="dxa"/>
              <w:right w:w="15" w:type="dxa"/>
            </w:tcMar>
            <w:vAlign w:val="center"/>
          </w:tcPr>
          <w:p w14:paraId="0770EC5C">
            <w:pPr>
              <w:spacing w:line="360" w:lineRule="auto"/>
              <w:ind w:firstLine="38" w:firstLineChars="16"/>
              <w:rPr>
                <w:rFonts w:hint="eastAsia" w:ascii="宋体" w:hAnsi="宋体" w:eastAsia="宋体" w:cs="宋体"/>
                <w:sz w:val="24"/>
                <w:szCs w:val="24"/>
                <w:highlight w:val="none"/>
              </w:rPr>
            </w:pPr>
          </w:p>
        </w:tc>
        <w:tc>
          <w:tcPr>
            <w:tcW w:w="2449" w:type="dxa"/>
            <w:tcBorders>
              <w:bottom w:val="single" w:color="auto" w:sz="12" w:space="0"/>
            </w:tcBorders>
            <w:noWrap w:val="0"/>
            <w:tcMar>
              <w:top w:w="15" w:type="dxa"/>
              <w:left w:w="15" w:type="dxa"/>
              <w:bottom w:w="0" w:type="dxa"/>
              <w:right w:w="15" w:type="dxa"/>
            </w:tcMar>
            <w:vAlign w:val="center"/>
          </w:tcPr>
          <w:p w14:paraId="13E18B4A">
            <w:pPr>
              <w:spacing w:line="360" w:lineRule="auto"/>
              <w:rPr>
                <w:rFonts w:hint="eastAsia" w:ascii="宋体" w:hAnsi="宋体" w:eastAsia="宋体" w:cs="宋体"/>
                <w:sz w:val="24"/>
                <w:szCs w:val="24"/>
                <w:highlight w:val="none"/>
              </w:rPr>
            </w:pPr>
          </w:p>
        </w:tc>
        <w:tc>
          <w:tcPr>
            <w:tcW w:w="1980" w:type="dxa"/>
            <w:tcBorders>
              <w:bottom w:val="single" w:color="auto" w:sz="12" w:space="0"/>
            </w:tcBorders>
            <w:noWrap w:val="0"/>
            <w:tcMar>
              <w:top w:w="15" w:type="dxa"/>
              <w:left w:w="15" w:type="dxa"/>
              <w:bottom w:w="0" w:type="dxa"/>
              <w:right w:w="15" w:type="dxa"/>
            </w:tcMar>
            <w:vAlign w:val="center"/>
          </w:tcPr>
          <w:p w14:paraId="412D523C">
            <w:pPr>
              <w:spacing w:line="360" w:lineRule="auto"/>
              <w:rPr>
                <w:rFonts w:hint="eastAsia" w:ascii="宋体" w:hAnsi="宋体" w:eastAsia="宋体" w:cs="宋体"/>
                <w:sz w:val="24"/>
                <w:szCs w:val="24"/>
                <w:highlight w:val="none"/>
              </w:rPr>
            </w:pPr>
          </w:p>
        </w:tc>
        <w:tc>
          <w:tcPr>
            <w:tcW w:w="2223" w:type="dxa"/>
            <w:tcBorders>
              <w:bottom w:val="single" w:color="auto" w:sz="12" w:space="0"/>
              <w:right w:val="single" w:color="auto" w:sz="4" w:space="0"/>
            </w:tcBorders>
            <w:noWrap w:val="0"/>
            <w:tcMar>
              <w:top w:w="15" w:type="dxa"/>
              <w:left w:w="15" w:type="dxa"/>
              <w:bottom w:w="0" w:type="dxa"/>
              <w:right w:w="15" w:type="dxa"/>
            </w:tcMar>
            <w:vAlign w:val="center"/>
          </w:tcPr>
          <w:p w14:paraId="0BF4DD95">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3CF2087E">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434EE75D">
            <w:pPr>
              <w:spacing w:line="360" w:lineRule="auto"/>
              <w:rPr>
                <w:rFonts w:hint="eastAsia" w:ascii="宋体" w:hAnsi="宋体" w:eastAsia="宋体" w:cs="宋体"/>
                <w:sz w:val="24"/>
                <w:szCs w:val="24"/>
                <w:highlight w:val="none"/>
              </w:rPr>
            </w:pPr>
          </w:p>
        </w:tc>
      </w:tr>
    </w:tbl>
    <w:p w14:paraId="0E9F6520">
      <w:pPr>
        <w:pStyle w:val="40"/>
        <w:spacing w:line="360" w:lineRule="auto"/>
        <w:rPr>
          <w:rFonts w:hint="eastAsia" w:ascii="宋体" w:hAnsi="宋体" w:eastAsia="宋体" w:cs="宋体"/>
          <w:b/>
          <w:bCs/>
          <w:snapToGrid w:val="0"/>
          <w:kern w:val="0"/>
          <w:sz w:val="24"/>
          <w:szCs w:val="24"/>
          <w:highlight w:val="none"/>
        </w:rPr>
      </w:pPr>
    </w:p>
    <w:p w14:paraId="43DD27D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6831ADA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7D974B4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3.“偏离情况”一栏中必须如实逐项填写“正偏离”、“负偏离”或“无偏离”；</w:t>
      </w:r>
    </w:p>
    <w:p w14:paraId="09367C5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认为本表格需要提供的其他内容,此表可自行扩展。</w:t>
      </w:r>
    </w:p>
    <w:p w14:paraId="3ACB00A9">
      <w:pPr>
        <w:rPr>
          <w:rFonts w:hint="eastAsia" w:ascii="宋体" w:hAnsi="宋体" w:eastAsia="宋体" w:cs="宋体"/>
          <w:snapToGrid w:val="0"/>
          <w:sz w:val="24"/>
          <w:szCs w:val="24"/>
          <w:highlight w:val="none"/>
        </w:rPr>
      </w:pPr>
    </w:p>
    <w:p w14:paraId="0EFEC468">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2F2FE2FF">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(签字或盖章)</w:t>
      </w:r>
    </w:p>
    <w:p w14:paraId="21A9BE54">
      <w:pPr>
        <w:jc w:val="right"/>
        <w:rPr>
          <w:rFonts w:hint="eastAsia" w:ascii="宋体" w:hAnsi="宋体" w:eastAsia="宋体" w:cs="宋体"/>
          <w:sz w:val="24"/>
          <w:szCs w:val="24"/>
          <w:highlight w:val="none"/>
        </w:rPr>
      </w:pPr>
    </w:p>
    <w:p w14:paraId="2A194AFC">
      <w:pPr>
        <w:pStyle w:val="6"/>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C972303">
      <w:pPr>
        <w:rPr>
          <w:rFonts w:hint="eastAsia"/>
        </w:rPr>
      </w:pPr>
      <w:bookmarkStart w:id="72" w:name="_Toc3586"/>
      <w:bookmarkStart w:id="73" w:name="_Toc435802476"/>
      <w:bookmarkStart w:id="74" w:name="_Toc24063"/>
      <w:r>
        <w:rPr>
          <w:rFonts w:hint="eastAsia"/>
        </w:rPr>
        <w:br w:type="page"/>
      </w:r>
    </w:p>
    <w:p w14:paraId="3979D472">
      <w:pPr>
        <w:pStyle w:val="3"/>
        <w:bidi w:val="0"/>
        <w:jc w:val="center"/>
      </w:pPr>
      <w:bookmarkStart w:id="75" w:name="_Toc25293"/>
      <w:r>
        <w:rPr>
          <w:rFonts w:hint="eastAsia"/>
          <w:lang w:val="en-US" w:eastAsia="zh-CN"/>
        </w:rPr>
        <w:t>八</w:t>
      </w:r>
      <w:r>
        <w:rPr>
          <w:rFonts w:hint="eastAsia"/>
        </w:rPr>
        <w:t>、投标人资格声明</w:t>
      </w:r>
      <w:bookmarkEnd w:id="75"/>
    </w:p>
    <w:p w14:paraId="6233D1EC">
      <w:pPr>
        <w:wordWrap w:val="0"/>
        <w:autoSpaceDE w:val="0"/>
        <w:autoSpaceDN w:val="0"/>
        <w:adjustRightInd w:val="0"/>
        <w:spacing w:line="500" w:lineRule="exact"/>
        <w:rPr>
          <w:rFonts w:ascii="宋体" w:hAnsi="宋体"/>
          <w:color w:val="auto"/>
          <w:sz w:val="24"/>
        </w:rPr>
      </w:pPr>
      <w:r>
        <w:rPr>
          <w:rFonts w:hint="eastAsia" w:ascii="宋体" w:hAnsi="宋体"/>
          <w:color w:val="auto"/>
          <w:sz w:val="24"/>
          <w:lang w:val="zh-CN"/>
        </w:rPr>
        <w:t>致：</w:t>
      </w:r>
      <w:r>
        <w:rPr>
          <w:rFonts w:hint="eastAsia" w:ascii="宋体" w:hAnsi="宋体"/>
          <w:color w:val="auto"/>
          <w:sz w:val="24"/>
          <w:u w:val="single"/>
          <w:lang w:val="zh-CN"/>
        </w:rPr>
        <w:t xml:space="preserve">                  （采购人、采购代理机构）</w:t>
      </w:r>
    </w:p>
    <w:p w14:paraId="1D4982FB">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一、</w:t>
      </w:r>
      <w:r>
        <w:rPr>
          <w:rFonts w:hint="eastAsia" w:ascii="宋体" w:hAnsi="宋体"/>
          <w:color w:val="auto"/>
          <w:sz w:val="24"/>
          <w:lang w:val="zh-CN"/>
        </w:rPr>
        <w:t>按照《中华人民共和国政府采购法》第</w:t>
      </w:r>
      <w:r>
        <w:rPr>
          <w:rFonts w:ascii="宋体" w:hAnsi="宋体"/>
          <w:color w:val="auto"/>
          <w:sz w:val="24"/>
        </w:rPr>
        <w:t>22</w:t>
      </w:r>
      <w:r>
        <w:rPr>
          <w:rFonts w:hint="eastAsia" w:ascii="宋体" w:hAnsi="宋体"/>
          <w:color w:val="auto"/>
          <w:sz w:val="24"/>
          <w:lang w:val="zh-CN"/>
        </w:rPr>
        <w:t>条和你公司发布的</w:t>
      </w:r>
      <w:r>
        <w:rPr>
          <w:rFonts w:hint="eastAsia" w:ascii="宋体" w:hAnsi="宋体"/>
          <w:color w:val="auto"/>
          <w:sz w:val="24"/>
          <w:u w:val="single"/>
          <w:lang w:val="zh-CN"/>
        </w:rPr>
        <w:t xml:space="preserve"> （项目名称、项目编号）</w:t>
      </w:r>
      <w:r>
        <w:rPr>
          <w:rFonts w:hint="eastAsia" w:ascii="宋体" w:hAnsi="宋体"/>
          <w:color w:val="auto"/>
          <w:sz w:val="24"/>
          <w:lang w:val="zh-CN"/>
        </w:rPr>
        <w:t>谈判文件的规定，我</w:t>
      </w:r>
      <w:r>
        <w:rPr>
          <w:rFonts w:hint="eastAsia" w:ascii="宋体" w:hAnsi="宋体"/>
          <w:color w:val="auto"/>
          <w:sz w:val="24"/>
          <w:lang w:val="en-US" w:eastAsia="zh-CN"/>
        </w:rPr>
        <w:t>方</w:t>
      </w:r>
      <w:r>
        <w:rPr>
          <w:rFonts w:hint="eastAsia" w:ascii="宋体" w:hAnsi="宋体"/>
          <w:color w:val="auto"/>
          <w:sz w:val="24"/>
          <w:lang w:val="zh-CN"/>
        </w:rPr>
        <w:t>郑重声明如下：</w:t>
      </w:r>
    </w:p>
    <w:p w14:paraId="75AF95B5">
      <w:pPr>
        <w:wordWrap w:val="0"/>
        <w:autoSpaceDE w:val="0"/>
        <w:autoSpaceDN w:val="0"/>
        <w:adjustRightInd w:val="0"/>
        <w:spacing w:line="500" w:lineRule="exact"/>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具有独立承担民事责任的能力。</w:t>
      </w:r>
    </w:p>
    <w:p w14:paraId="7580C31D">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具有良好的商业信誉和健全的财务会计制度。</w:t>
      </w:r>
    </w:p>
    <w:p w14:paraId="201EF4E9">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具有履行本项目采购合同所必需的设备和专业技术能力。</w:t>
      </w:r>
    </w:p>
    <w:p w14:paraId="7E416770">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具有依法缴纳税收和社会保障资金的良好记录。</w:t>
      </w:r>
    </w:p>
    <w:p w14:paraId="5560591B">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在参与本次政府采购活动之前三年内，在经营活动中无重大违法记录。</w:t>
      </w:r>
    </w:p>
    <w:p w14:paraId="399CD4F6">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在参与本次政府采购活动时未受到任何地方政府采购部门作出的暂停参加政府采购活动的处罚。</w:t>
      </w:r>
    </w:p>
    <w:p w14:paraId="6FDE8659">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lang w:val="zh-CN"/>
        </w:rPr>
        <w:t>二、我</w:t>
      </w:r>
      <w:r>
        <w:rPr>
          <w:rFonts w:hint="eastAsia" w:ascii="宋体" w:hAnsi="宋体"/>
          <w:color w:val="auto"/>
          <w:sz w:val="24"/>
          <w:lang w:val="en-US" w:eastAsia="zh-CN"/>
        </w:rPr>
        <w:t>方</w:t>
      </w:r>
      <w:r>
        <w:rPr>
          <w:rFonts w:hint="eastAsia" w:ascii="宋体" w:hAnsi="宋体"/>
          <w:color w:val="auto"/>
          <w:sz w:val="24"/>
          <w:lang w:val="zh-CN"/>
        </w:rPr>
        <w:t>保证上述声明的事项都是真实的，如有虚假，我</w:t>
      </w:r>
      <w:r>
        <w:rPr>
          <w:rFonts w:hint="eastAsia" w:ascii="宋体" w:hAnsi="宋体"/>
          <w:color w:val="auto"/>
          <w:sz w:val="24"/>
          <w:lang w:val="en-US" w:eastAsia="zh-CN"/>
        </w:rPr>
        <w:t>单位</w:t>
      </w:r>
      <w:r>
        <w:rPr>
          <w:rFonts w:hint="eastAsia" w:ascii="宋体" w:hAnsi="宋体"/>
          <w:color w:val="auto"/>
          <w:sz w:val="24"/>
          <w:lang w:val="zh-CN"/>
        </w:rPr>
        <w:t>承担相应的法律责任，并承担因此给本项目采购人所造成的损失。</w:t>
      </w:r>
    </w:p>
    <w:p w14:paraId="1E8FE473">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三、</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已经按照你公司谈判文件的要求提交了所要求提交的能够证明上述声明事项真实性的全部文件材料，并保证随时按照你公司的要求提供能够证明上述声明事项真实性的任何有效文件。</w:t>
      </w:r>
    </w:p>
    <w:p w14:paraId="50E51E05">
      <w:pPr>
        <w:wordWrap w:val="0"/>
        <w:spacing w:line="480" w:lineRule="auto"/>
        <w:ind w:firstLine="480" w:firstLineChars="200"/>
        <w:rPr>
          <w:rFonts w:hint="eastAsia" w:ascii="宋体" w:hAnsi="宋体"/>
          <w:color w:val="auto"/>
          <w:sz w:val="24"/>
          <w:lang w:eastAsia="zh-CN"/>
        </w:rPr>
      </w:pPr>
    </w:p>
    <w:p w14:paraId="32B3A760">
      <w:pPr>
        <w:wordWrap w:val="0"/>
        <w:spacing w:line="480" w:lineRule="auto"/>
        <w:ind w:firstLine="480" w:firstLineChars="200"/>
        <w:rPr>
          <w:rFonts w:hint="eastAsia" w:ascii="宋体" w:hAnsi="宋体"/>
          <w:color w:val="auto"/>
          <w:sz w:val="24"/>
          <w:lang w:eastAsia="zh-CN"/>
        </w:rPr>
      </w:pPr>
    </w:p>
    <w:p w14:paraId="0973399E">
      <w:pPr>
        <w:wordWrap w:val="0"/>
        <w:spacing w:line="48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02C601A2">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w:t>
      </w:r>
      <w:r>
        <w:rPr>
          <w:rFonts w:hint="eastAsia" w:ascii="宋体" w:hAnsi="宋体"/>
          <w:color w:val="auto"/>
          <w:sz w:val="24"/>
        </w:rPr>
        <w:t>投标人代表：</w:t>
      </w:r>
      <w:r>
        <w:rPr>
          <w:rFonts w:hint="eastAsia" w:ascii="宋体" w:hAnsi="宋体"/>
          <w:color w:val="auto"/>
          <w:sz w:val="24"/>
          <w:u w:val="single"/>
        </w:rPr>
        <w:t xml:space="preserve">                     </w:t>
      </w:r>
      <w:r>
        <w:rPr>
          <w:rFonts w:hint="eastAsia" w:ascii="宋体" w:hAnsi="宋体"/>
          <w:color w:val="auto"/>
          <w:sz w:val="24"/>
        </w:rPr>
        <w:t>（签字或签章）</w:t>
      </w:r>
    </w:p>
    <w:p w14:paraId="267B8780">
      <w:pPr>
        <w:tabs>
          <w:tab w:val="left" w:pos="0"/>
        </w:tabs>
        <w:wordWrap w:val="0"/>
        <w:spacing w:line="360" w:lineRule="auto"/>
        <w:ind w:firstLine="480" w:firstLineChars="200"/>
        <w:jc w:val="left"/>
        <w:rPr>
          <w:rFonts w:ascii="宋体" w:hAnsi="宋体"/>
          <w:color w:val="auto"/>
          <w:sz w:val="24"/>
          <w:lang w:val="zh-CN"/>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0601412">
      <w:pPr>
        <w:rPr>
          <w:rFonts w:hint="eastAsia"/>
        </w:rPr>
      </w:pPr>
    </w:p>
    <w:p w14:paraId="7D548A15">
      <w:pPr>
        <w:rPr>
          <w:rFonts w:hint="eastAsia"/>
        </w:rPr>
      </w:pPr>
      <w:r>
        <w:rPr>
          <w:rFonts w:hint="eastAsia"/>
        </w:rPr>
        <w:br w:type="page"/>
      </w:r>
    </w:p>
    <w:p w14:paraId="6345FAC2">
      <w:pPr>
        <w:tabs>
          <w:tab w:val="left" w:pos="0"/>
        </w:tabs>
        <w:wordWrap w:val="0"/>
        <w:spacing w:line="360" w:lineRule="auto"/>
        <w:jc w:val="center"/>
        <w:rPr>
          <w:rFonts w:ascii="宋体" w:hAnsi="宋体"/>
          <w:b/>
          <w:color w:val="auto"/>
          <w:sz w:val="32"/>
          <w:szCs w:val="32"/>
        </w:rPr>
      </w:pPr>
      <w:r>
        <w:rPr>
          <w:rFonts w:hint="eastAsia" w:ascii="宋体" w:hAnsi="宋体"/>
          <w:b/>
          <w:color w:val="auto"/>
          <w:sz w:val="32"/>
          <w:szCs w:val="32"/>
          <w:lang w:eastAsia="zh-CN"/>
        </w:rPr>
        <w:t>九、</w:t>
      </w:r>
      <w:r>
        <w:rPr>
          <w:rFonts w:hint="eastAsia" w:ascii="宋体" w:hAnsi="宋体"/>
          <w:b/>
          <w:color w:val="auto"/>
          <w:sz w:val="32"/>
          <w:szCs w:val="32"/>
        </w:rPr>
        <w:t>投标人基本情况</w:t>
      </w:r>
    </w:p>
    <w:tbl>
      <w:tblPr>
        <w:tblStyle w:val="18"/>
        <w:tblW w:w="0" w:type="auto"/>
        <w:jc w:val="center"/>
        <w:tblLayout w:type="fixed"/>
        <w:tblCellMar>
          <w:top w:w="0" w:type="dxa"/>
          <w:left w:w="108" w:type="dxa"/>
          <w:bottom w:w="0" w:type="dxa"/>
          <w:right w:w="108" w:type="dxa"/>
        </w:tblCellMar>
      </w:tblPr>
      <w:tblGrid>
        <w:gridCol w:w="4056"/>
        <w:gridCol w:w="5754"/>
      </w:tblGrid>
      <w:tr w14:paraId="467D4D26">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noWrap w:val="0"/>
            <w:vAlign w:val="bottom"/>
          </w:tcPr>
          <w:p w14:paraId="677B9F65">
            <w:pPr>
              <w:widowControl/>
              <w:wordWrap w:val="0"/>
              <w:spacing w:after="240" w:afterLines="100" w:line="360" w:lineRule="auto"/>
              <w:jc w:val="left"/>
              <w:rPr>
                <w:rFonts w:ascii="宋体" w:hAnsi="宋体" w:cs="宋体"/>
                <w:b/>
                <w:bCs/>
                <w:color w:val="auto"/>
                <w:kern w:val="0"/>
                <w:sz w:val="24"/>
              </w:rPr>
            </w:pPr>
            <w:r>
              <w:rPr>
                <w:rFonts w:hint="eastAsia" w:ascii="宋体" w:hAnsi="宋体" w:cs="宋体"/>
                <w:b/>
                <w:bCs/>
                <w:color w:val="auto"/>
                <w:kern w:val="0"/>
                <w:sz w:val="24"/>
              </w:rPr>
              <w:t>单位名称：</w:t>
            </w:r>
            <w:r>
              <w:rPr>
                <w:rFonts w:hint="eastAsia" w:ascii="宋体" w:hAnsi="宋体"/>
                <w:b/>
                <w:color w:val="auto"/>
                <w:sz w:val="24"/>
                <w:u w:val="single"/>
              </w:rPr>
              <w:t xml:space="preserve">                                 </w:t>
            </w:r>
            <w:r>
              <w:rPr>
                <w:rFonts w:hint="eastAsia" w:ascii="宋体" w:hAnsi="宋体"/>
                <w:b/>
                <w:color w:val="auto"/>
                <w:sz w:val="24"/>
              </w:rPr>
              <w:t>（盖单位公章）</w:t>
            </w:r>
          </w:p>
        </w:tc>
      </w:tr>
      <w:tr w14:paraId="1F66CCDE">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050CFD17">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注册资金</w:t>
            </w:r>
          </w:p>
        </w:tc>
        <w:tc>
          <w:tcPr>
            <w:tcW w:w="5754" w:type="dxa"/>
            <w:tcBorders>
              <w:top w:val="single" w:color="auto" w:sz="12" w:space="0"/>
              <w:left w:val="nil"/>
              <w:bottom w:val="single" w:color="auto" w:sz="4" w:space="0"/>
              <w:right w:val="single" w:color="auto" w:sz="12" w:space="0"/>
            </w:tcBorders>
            <w:noWrap w:val="0"/>
            <w:vAlign w:val="center"/>
          </w:tcPr>
          <w:p w14:paraId="737F8FCD">
            <w:pPr>
              <w:widowControl/>
              <w:wordWrap w:val="0"/>
              <w:spacing w:line="360" w:lineRule="auto"/>
              <w:jc w:val="right"/>
              <w:rPr>
                <w:rFonts w:ascii="宋体" w:hAnsi="宋体" w:cs="宋体"/>
                <w:b/>
                <w:color w:val="auto"/>
                <w:kern w:val="0"/>
                <w:sz w:val="24"/>
              </w:rPr>
            </w:pPr>
            <w:r>
              <w:rPr>
                <w:rFonts w:hint="eastAsia" w:ascii="宋体" w:hAnsi="宋体" w:cs="宋体"/>
                <w:b/>
                <w:color w:val="auto"/>
                <w:kern w:val="0"/>
                <w:sz w:val="24"/>
              </w:rPr>
              <w:t>（万元）</w:t>
            </w:r>
          </w:p>
        </w:tc>
      </w:tr>
      <w:tr w14:paraId="7DD715F1">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4F8D2D99">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行业类别</w:t>
            </w:r>
          </w:p>
          <w:p w14:paraId="4DA8CD4B">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（对应“□”画“√”）</w:t>
            </w:r>
          </w:p>
        </w:tc>
        <w:tc>
          <w:tcPr>
            <w:tcW w:w="5754" w:type="dxa"/>
            <w:tcBorders>
              <w:top w:val="single" w:color="auto" w:sz="12" w:space="0"/>
              <w:left w:val="nil"/>
              <w:bottom w:val="single" w:color="auto" w:sz="4" w:space="0"/>
              <w:right w:val="single" w:color="auto" w:sz="12" w:space="0"/>
            </w:tcBorders>
            <w:noWrap w:val="0"/>
            <w:vAlign w:val="bottom"/>
          </w:tcPr>
          <w:p w14:paraId="6FEEC25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□（一）农、林、牧、渔业 </w:t>
            </w:r>
          </w:p>
          <w:p w14:paraId="6ED9ACD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□（二）工业 </w:t>
            </w:r>
          </w:p>
          <w:p w14:paraId="16C4876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□（三）建筑业 </w:t>
            </w:r>
          </w:p>
          <w:p w14:paraId="476F0127">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□（四）批发业 </w:t>
            </w:r>
          </w:p>
          <w:p w14:paraId="2A666F9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□（五）零售业 </w:t>
            </w:r>
          </w:p>
          <w:p w14:paraId="51C3E2A8">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□（六）交通运输业 </w:t>
            </w:r>
          </w:p>
          <w:p w14:paraId="733990B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□（七）仓储业 </w:t>
            </w:r>
          </w:p>
          <w:p w14:paraId="7857FC9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□（八）邮政业 </w:t>
            </w:r>
          </w:p>
          <w:p w14:paraId="1FEAF285">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□（九）住宿业 </w:t>
            </w:r>
          </w:p>
          <w:p w14:paraId="7EE65F2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□（十）餐饮业 </w:t>
            </w:r>
          </w:p>
          <w:p w14:paraId="7E5300B2">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□（十一）信息传输业 </w:t>
            </w:r>
          </w:p>
          <w:p w14:paraId="09D69907">
            <w:pPr>
              <w:widowControl/>
              <w:ind w:firstLine="480" w:firstLineChars="200"/>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rPr>
              <w:t xml:space="preserve">（十二）软件和信息信息技术服务业 </w:t>
            </w:r>
          </w:p>
          <w:p w14:paraId="722501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□（十三）房地产开发经营 </w:t>
            </w:r>
          </w:p>
          <w:p w14:paraId="0EBB45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□（十四）物业管理 </w:t>
            </w:r>
          </w:p>
          <w:p w14:paraId="2AD8896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□（十五）租赁和商务服务业 </w:t>
            </w:r>
          </w:p>
          <w:p w14:paraId="7D4C6D8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□（十六）其他未列明行业</w:t>
            </w:r>
          </w:p>
        </w:tc>
      </w:tr>
      <w:tr w14:paraId="78DC38AE">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093F488D">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职工人数</w:t>
            </w:r>
          </w:p>
        </w:tc>
        <w:tc>
          <w:tcPr>
            <w:tcW w:w="5754" w:type="dxa"/>
            <w:tcBorders>
              <w:top w:val="nil"/>
              <w:left w:val="nil"/>
              <w:bottom w:val="single" w:color="auto" w:sz="4" w:space="0"/>
              <w:right w:val="single" w:color="auto" w:sz="12" w:space="0"/>
            </w:tcBorders>
            <w:noWrap w:val="0"/>
            <w:vAlign w:val="center"/>
          </w:tcPr>
          <w:p w14:paraId="30F051A9">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6FC5C1C9">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2CE938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专业技术人员人数</w:t>
            </w:r>
          </w:p>
        </w:tc>
        <w:tc>
          <w:tcPr>
            <w:tcW w:w="5754" w:type="dxa"/>
            <w:tcBorders>
              <w:top w:val="nil"/>
              <w:left w:val="nil"/>
              <w:bottom w:val="single" w:color="auto" w:sz="4" w:space="0"/>
              <w:right w:val="single" w:color="auto" w:sz="12" w:space="0"/>
            </w:tcBorders>
            <w:noWrap w:val="0"/>
            <w:vAlign w:val="center"/>
          </w:tcPr>
          <w:p w14:paraId="3FFF16B4">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01C1A480">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9260B67">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上年度营业收入</w:t>
            </w:r>
          </w:p>
        </w:tc>
        <w:tc>
          <w:tcPr>
            <w:tcW w:w="5754" w:type="dxa"/>
            <w:tcBorders>
              <w:top w:val="nil"/>
              <w:left w:val="nil"/>
              <w:bottom w:val="single" w:color="auto" w:sz="4" w:space="0"/>
              <w:right w:val="single" w:color="auto" w:sz="12" w:space="0"/>
            </w:tcBorders>
            <w:noWrap w:val="0"/>
            <w:vAlign w:val="center"/>
          </w:tcPr>
          <w:p w14:paraId="514D29AC">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r w14:paraId="4C8CD81B">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noWrap w:val="0"/>
            <w:vAlign w:val="center"/>
          </w:tcPr>
          <w:p w14:paraId="28F0F1B5">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社会保障资金情况</w:t>
            </w:r>
          </w:p>
        </w:tc>
        <w:tc>
          <w:tcPr>
            <w:tcW w:w="5754" w:type="dxa"/>
            <w:tcBorders>
              <w:top w:val="nil"/>
              <w:left w:val="nil"/>
              <w:bottom w:val="nil"/>
              <w:right w:val="single" w:color="auto" w:sz="12" w:space="0"/>
            </w:tcBorders>
            <w:noWrap w:val="0"/>
            <w:vAlign w:val="center"/>
          </w:tcPr>
          <w:p w14:paraId="6878CE4E">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附缴费证明复印件</w:t>
            </w:r>
          </w:p>
        </w:tc>
      </w:tr>
      <w:tr w14:paraId="32179D5F">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noWrap w:val="0"/>
            <w:vAlign w:val="center"/>
          </w:tcPr>
          <w:p w14:paraId="63FA2E8E">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缴税情况</w:t>
            </w:r>
          </w:p>
        </w:tc>
        <w:tc>
          <w:tcPr>
            <w:tcW w:w="5754" w:type="dxa"/>
            <w:tcBorders>
              <w:top w:val="single" w:color="auto" w:sz="4" w:space="0"/>
              <w:left w:val="nil"/>
              <w:bottom w:val="nil"/>
              <w:right w:val="single" w:color="auto" w:sz="12" w:space="0"/>
            </w:tcBorders>
            <w:noWrap w:val="0"/>
            <w:vAlign w:val="center"/>
          </w:tcPr>
          <w:p w14:paraId="6FD25C7B">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有/无（有，附近期的缴费证明复印件）</w:t>
            </w:r>
          </w:p>
        </w:tc>
      </w:tr>
      <w:tr w14:paraId="57976396">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noWrap w:val="0"/>
            <w:vAlign w:val="center"/>
          </w:tcPr>
          <w:p w14:paraId="1371AB0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上年利润</w:t>
            </w:r>
          </w:p>
        </w:tc>
        <w:tc>
          <w:tcPr>
            <w:tcW w:w="5754" w:type="dxa"/>
            <w:tcBorders>
              <w:top w:val="single" w:color="auto" w:sz="4" w:space="0"/>
              <w:left w:val="nil"/>
              <w:bottom w:val="single" w:color="auto" w:sz="12" w:space="0"/>
              <w:right w:val="single" w:color="auto" w:sz="12" w:space="0"/>
            </w:tcBorders>
            <w:noWrap w:val="0"/>
            <w:vAlign w:val="center"/>
          </w:tcPr>
          <w:p w14:paraId="32718D4D">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bl>
    <w:p w14:paraId="12713EB5">
      <w:pPr>
        <w:tabs>
          <w:tab w:val="left" w:pos="1365"/>
        </w:tabs>
        <w:wordWrap w:val="0"/>
        <w:spacing w:line="360" w:lineRule="auto"/>
        <w:ind w:left="525" w:leftChars="250" w:firstLine="480" w:firstLineChars="200"/>
        <w:rPr>
          <w:rFonts w:ascii="宋体" w:hAnsi="宋体" w:cs="宋体"/>
          <w:color w:val="auto"/>
          <w:kern w:val="0"/>
          <w:sz w:val="24"/>
        </w:rPr>
      </w:pPr>
      <w:r>
        <w:rPr>
          <w:rFonts w:hint="eastAsia" w:ascii="宋体" w:hAnsi="宋体"/>
          <w:color w:val="auto"/>
          <w:sz w:val="24"/>
        </w:rPr>
        <w:t>后附：营业执照副本等相关证件。</w:t>
      </w:r>
    </w:p>
    <w:p w14:paraId="304E0A71">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B946AA8">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71C7B50C">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C506860">
      <w:pPr>
        <w:pStyle w:val="3"/>
        <w:pageBreakBefore w:val="0"/>
        <w:widowControl w:val="0"/>
        <w:kinsoku/>
        <w:overflowPunct/>
        <w:topLinePunct w:val="0"/>
        <w:autoSpaceDE/>
        <w:autoSpaceDN/>
        <w:bidi w:val="0"/>
        <w:adjustRightInd/>
        <w:snapToGrid/>
        <w:spacing w:line="440" w:lineRule="exact"/>
        <w:jc w:val="center"/>
        <w:textAlignment w:val="auto"/>
        <w:rPr>
          <w:rFonts w:hint="eastAsia"/>
          <w:lang w:val="en-US" w:eastAsia="zh-CN"/>
        </w:rPr>
      </w:pPr>
      <w:bookmarkStart w:id="76" w:name="_Toc8182"/>
      <w:r>
        <w:rPr>
          <w:rFonts w:hint="eastAsia"/>
          <w:lang w:eastAsia="zh-CN"/>
        </w:rPr>
        <w:t>十、</w:t>
      </w:r>
      <w:r>
        <w:rPr>
          <w:rFonts w:hint="eastAsia"/>
        </w:rPr>
        <w:t>财务状况</w:t>
      </w:r>
      <w:bookmarkEnd w:id="76"/>
    </w:p>
    <w:p w14:paraId="4C3D317A">
      <w:pPr>
        <w:rPr>
          <w:rFonts w:hint="eastAsia"/>
        </w:rPr>
      </w:pPr>
      <w:r>
        <w:rPr>
          <w:rFonts w:hint="eastAsia"/>
        </w:rPr>
        <w:br w:type="page"/>
      </w:r>
    </w:p>
    <w:p w14:paraId="60BF74C5">
      <w:pPr>
        <w:pStyle w:val="6"/>
        <w:rPr>
          <w:rFonts w:hint="eastAsia"/>
        </w:rPr>
      </w:pPr>
    </w:p>
    <w:p w14:paraId="281E189D">
      <w:pPr>
        <w:pStyle w:val="3"/>
        <w:bidi w:val="0"/>
        <w:jc w:val="center"/>
        <w:rPr>
          <w:rFonts w:hint="eastAsia" w:ascii="宋体" w:hAnsi="宋体" w:eastAsia="宋体" w:cs="宋体"/>
          <w:color w:val="auto"/>
          <w:szCs w:val="32"/>
        </w:rPr>
      </w:pPr>
      <w:bookmarkStart w:id="77" w:name="_Toc17949"/>
      <w:r>
        <w:rPr>
          <w:rFonts w:hint="eastAsia"/>
          <w:lang w:eastAsia="zh-CN"/>
        </w:rPr>
        <w:t>十一、</w:t>
      </w:r>
      <w:r>
        <w:rPr>
          <w:rFonts w:hint="eastAsia"/>
        </w:rPr>
        <w:t>依法缴纳税收证明材料</w:t>
      </w:r>
      <w:bookmarkEnd w:id="77"/>
    </w:p>
    <w:p w14:paraId="06734352">
      <w:pPr>
        <w:pStyle w:val="35"/>
        <w:ind w:firstLine="480"/>
        <w:jc w:val="both"/>
        <w:rPr>
          <w:rFonts w:hint="eastAsia" w:ascii="宋体" w:hAnsi="宋体" w:eastAsia="宋体" w:cs="宋体"/>
          <w:color w:val="auto"/>
          <w:sz w:val="24"/>
          <w:szCs w:val="24"/>
        </w:rPr>
      </w:pPr>
    </w:p>
    <w:p w14:paraId="45EE207A">
      <w:pPr>
        <w:pStyle w:val="3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color w:val="auto"/>
        </w:rPr>
      </w:pPr>
      <w:r>
        <w:rPr>
          <w:color w:val="auto"/>
        </w:rPr>
        <w:t xml:space="preserve"> </w:t>
      </w:r>
    </w:p>
    <w:p w14:paraId="30B8A2AB">
      <w:pPr>
        <w:rPr>
          <w:rFonts w:hint="eastAsia"/>
          <w:lang w:eastAsia="zh-CN"/>
        </w:rPr>
      </w:pPr>
      <w:r>
        <w:rPr>
          <w:rFonts w:hint="eastAsia"/>
          <w:lang w:eastAsia="zh-CN"/>
        </w:rPr>
        <w:br w:type="page"/>
      </w:r>
    </w:p>
    <w:p w14:paraId="2BBAA5A0">
      <w:pPr>
        <w:pStyle w:val="3"/>
        <w:bidi w:val="0"/>
        <w:jc w:val="center"/>
        <w:rPr>
          <w:rFonts w:hint="eastAsia" w:ascii="宋体" w:hAnsi="宋体" w:eastAsia="宋体" w:cs="宋体"/>
          <w:b/>
          <w:color w:val="auto"/>
          <w:szCs w:val="32"/>
        </w:rPr>
      </w:pPr>
      <w:bookmarkStart w:id="78" w:name="_Toc25780"/>
      <w:r>
        <w:rPr>
          <w:rFonts w:hint="eastAsia"/>
          <w:lang w:eastAsia="zh-CN"/>
        </w:rPr>
        <w:t>十二、</w:t>
      </w:r>
      <w:r>
        <w:rPr>
          <w:rFonts w:hint="eastAsia"/>
        </w:rPr>
        <w:t>依法缴纳社会保障资金证明材料</w:t>
      </w:r>
      <w:bookmarkEnd w:id="78"/>
    </w:p>
    <w:p w14:paraId="0F20D069">
      <w:pPr>
        <w:rPr>
          <w:color w:val="auto"/>
        </w:rPr>
      </w:pPr>
      <w:r>
        <w:rPr>
          <w:color w:val="auto"/>
        </w:rPr>
        <w:br w:type="page"/>
      </w:r>
    </w:p>
    <w:p w14:paraId="6B637573">
      <w:pPr>
        <w:pStyle w:val="3"/>
        <w:bidi w:val="0"/>
        <w:jc w:val="center"/>
        <w:rPr>
          <w:rFonts w:hint="eastAsia" w:ascii="宋体" w:hAnsi="宋体" w:eastAsia="宋体" w:cs="宋体"/>
          <w:b/>
          <w:color w:val="auto"/>
          <w:szCs w:val="32"/>
        </w:rPr>
      </w:pPr>
      <w:bookmarkStart w:id="79" w:name="_Toc6140"/>
      <w:r>
        <w:rPr>
          <w:rFonts w:hint="eastAsia"/>
          <w:lang w:val="en-US" w:eastAsia="zh-CN"/>
        </w:rPr>
        <w:t>十三、具</w:t>
      </w:r>
      <w:r>
        <w:rPr>
          <w:rFonts w:hint="eastAsia"/>
        </w:rPr>
        <w:t>备履行合同所必需设备和专业技术能力的声明函（若有）</w:t>
      </w:r>
      <w:bookmarkEnd w:id="79"/>
    </w:p>
    <w:p w14:paraId="762CE6C3">
      <w:pPr>
        <w:pStyle w:val="35"/>
        <w:ind w:firstLine="480"/>
        <w:jc w:val="both"/>
        <w:rPr>
          <w:color w:val="auto"/>
        </w:rPr>
      </w:pPr>
    </w:p>
    <w:p w14:paraId="54785995">
      <w:pPr>
        <w:pStyle w:val="35"/>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3DFFC5E">
      <w:pPr>
        <w:pStyle w:val="35"/>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2E6C6F21">
      <w:pPr>
        <w:pStyle w:val="35"/>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44B3832">
      <w:pPr>
        <w:pStyle w:val="35"/>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B5879AB">
      <w:pPr>
        <w:pStyle w:val="35"/>
        <w:ind w:firstLine="48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1EC7D071">
      <w:pPr>
        <w:pStyle w:val="35"/>
        <w:ind w:firstLine="480"/>
        <w:jc w:val="right"/>
        <w:rPr>
          <w:rFonts w:hint="eastAsia" w:ascii="宋体" w:hAnsi="宋体" w:eastAsia="宋体" w:cs="宋体"/>
          <w:color w:val="auto"/>
          <w:sz w:val="24"/>
          <w:szCs w:val="24"/>
        </w:rPr>
      </w:pPr>
      <w:r>
        <w:rPr>
          <w:rFonts w:hint="eastAsia" w:ascii="宋体" w:hAnsi="宋体"/>
          <w:color w:val="auto"/>
          <w:sz w:val="24"/>
          <w:lang w:eastAsia="zh-CN"/>
        </w:rPr>
        <w:t>供应商名称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14:paraId="67D0EC28">
      <w:pPr>
        <w:pStyle w:val="35"/>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A3FEFB7">
      <w:pPr>
        <w:pStyle w:val="35"/>
        <w:ind w:firstLine="480"/>
        <w:jc w:val="center"/>
        <w:rPr>
          <w:rFonts w:hint="eastAsia" w:ascii="宋体" w:hAnsi="宋体" w:eastAsia="宋体" w:cs="宋体"/>
          <w:b/>
          <w:color w:val="auto"/>
          <w:sz w:val="32"/>
          <w:szCs w:val="32"/>
          <w:lang w:val="en-US" w:eastAsia="zh-CN"/>
        </w:rPr>
      </w:pPr>
    </w:p>
    <w:p w14:paraId="421C4497">
      <w:pPr>
        <w:pStyle w:val="35"/>
        <w:ind w:firstLine="480"/>
        <w:jc w:val="center"/>
        <w:rPr>
          <w:rFonts w:hint="eastAsia" w:ascii="宋体" w:hAnsi="宋体" w:eastAsia="宋体" w:cs="宋体"/>
          <w:b/>
          <w:color w:val="auto"/>
          <w:sz w:val="32"/>
          <w:szCs w:val="32"/>
          <w:lang w:val="en-US" w:eastAsia="zh-CN"/>
        </w:rPr>
      </w:pPr>
    </w:p>
    <w:p w14:paraId="49823871">
      <w:pPr>
        <w:pStyle w:val="35"/>
        <w:ind w:firstLine="480"/>
        <w:jc w:val="center"/>
        <w:rPr>
          <w:rFonts w:hint="eastAsia" w:ascii="宋体" w:hAnsi="宋体" w:eastAsia="宋体" w:cs="宋体"/>
          <w:b/>
          <w:color w:val="auto"/>
          <w:sz w:val="32"/>
          <w:szCs w:val="32"/>
          <w:lang w:val="en-US" w:eastAsia="zh-CN"/>
        </w:rPr>
      </w:pPr>
    </w:p>
    <w:p w14:paraId="34DA3F1C">
      <w:pPr>
        <w:pStyle w:val="35"/>
        <w:ind w:firstLine="480"/>
        <w:jc w:val="center"/>
        <w:rPr>
          <w:rFonts w:hint="eastAsia" w:ascii="宋体" w:hAnsi="宋体" w:eastAsia="宋体" w:cs="宋体"/>
          <w:b/>
          <w:color w:val="auto"/>
          <w:sz w:val="32"/>
          <w:szCs w:val="32"/>
          <w:lang w:val="en-US" w:eastAsia="zh-CN"/>
        </w:rPr>
      </w:pPr>
    </w:p>
    <w:p w14:paraId="12D9AC75">
      <w:pPr>
        <w:pStyle w:val="35"/>
        <w:ind w:firstLine="480"/>
        <w:jc w:val="center"/>
        <w:rPr>
          <w:rFonts w:hint="eastAsia" w:ascii="宋体" w:hAnsi="宋体" w:eastAsia="宋体" w:cs="宋体"/>
          <w:b/>
          <w:color w:val="auto"/>
          <w:sz w:val="32"/>
          <w:szCs w:val="32"/>
          <w:lang w:val="en-US" w:eastAsia="zh-CN"/>
        </w:rPr>
      </w:pPr>
    </w:p>
    <w:p w14:paraId="533FE5D9">
      <w:pPr>
        <w:pStyle w:val="35"/>
        <w:ind w:firstLine="480"/>
        <w:jc w:val="center"/>
        <w:rPr>
          <w:rFonts w:hint="eastAsia" w:ascii="宋体" w:hAnsi="宋体" w:eastAsia="宋体" w:cs="宋体"/>
          <w:b/>
          <w:color w:val="auto"/>
          <w:sz w:val="32"/>
          <w:szCs w:val="32"/>
          <w:lang w:val="en-US" w:eastAsia="zh-CN"/>
        </w:rPr>
      </w:pPr>
    </w:p>
    <w:p w14:paraId="1A165767">
      <w:pPr>
        <w:pStyle w:val="35"/>
        <w:ind w:firstLine="480"/>
        <w:jc w:val="center"/>
        <w:rPr>
          <w:rFonts w:hint="eastAsia" w:ascii="宋体" w:hAnsi="宋体" w:eastAsia="宋体" w:cs="宋体"/>
          <w:b/>
          <w:color w:val="auto"/>
          <w:sz w:val="32"/>
          <w:szCs w:val="32"/>
          <w:lang w:val="en-US" w:eastAsia="zh-CN"/>
        </w:rPr>
      </w:pPr>
    </w:p>
    <w:p w14:paraId="2BF8702E">
      <w:pPr>
        <w:pStyle w:val="35"/>
        <w:ind w:firstLine="480"/>
        <w:jc w:val="center"/>
        <w:rPr>
          <w:rFonts w:hint="eastAsia" w:ascii="宋体" w:hAnsi="宋体" w:eastAsia="宋体" w:cs="宋体"/>
          <w:b/>
          <w:color w:val="auto"/>
          <w:sz w:val="32"/>
          <w:szCs w:val="32"/>
          <w:lang w:val="en-US" w:eastAsia="zh-CN"/>
        </w:rPr>
      </w:pPr>
    </w:p>
    <w:p w14:paraId="335DEE25">
      <w:pPr>
        <w:pStyle w:val="35"/>
        <w:ind w:firstLine="480"/>
        <w:jc w:val="center"/>
        <w:rPr>
          <w:rFonts w:hint="eastAsia" w:ascii="宋体" w:hAnsi="宋体" w:eastAsia="宋体" w:cs="宋体"/>
          <w:b/>
          <w:color w:val="auto"/>
          <w:sz w:val="32"/>
          <w:szCs w:val="32"/>
          <w:lang w:val="en-US" w:eastAsia="zh-CN"/>
        </w:rPr>
      </w:pPr>
    </w:p>
    <w:p w14:paraId="2D052120">
      <w:pPr>
        <w:pStyle w:val="35"/>
        <w:ind w:firstLine="480"/>
        <w:jc w:val="center"/>
        <w:rPr>
          <w:rFonts w:hint="eastAsia" w:ascii="宋体" w:hAnsi="宋体" w:eastAsia="宋体" w:cs="宋体"/>
          <w:b/>
          <w:color w:val="auto"/>
          <w:sz w:val="32"/>
          <w:szCs w:val="32"/>
          <w:lang w:val="en-US" w:eastAsia="zh-CN"/>
        </w:rPr>
      </w:pPr>
    </w:p>
    <w:p w14:paraId="57834270">
      <w:pPr>
        <w:pStyle w:val="35"/>
        <w:ind w:firstLine="480"/>
        <w:jc w:val="center"/>
        <w:rPr>
          <w:rFonts w:hint="eastAsia" w:ascii="宋体" w:hAnsi="宋体" w:eastAsia="宋体" w:cs="宋体"/>
          <w:b/>
          <w:color w:val="auto"/>
          <w:sz w:val="32"/>
          <w:szCs w:val="32"/>
          <w:lang w:val="en-US" w:eastAsia="zh-CN"/>
        </w:rPr>
      </w:pPr>
    </w:p>
    <w:p w14:paraId="18327B10">
      <w:pPr>
        <w:pStyle w:val="35"/>
        <w:ind w:firstLine="480"/>
        <w:jc w:val="center"/>
        <w:rPr>
          <w:rFonts w:hint="eastAsia" w:ascii="宋体" w:hAnsi="宋体" w:eastAsia="宋体" w:cs="宋体"/>
          <w:b/>
          <w:color w:val="auto"/>
          <w:sz w:val="32"/>
          <w:szCs w:val="32"/>
          <w:lang w:val="en-US" w:eastAsia="zh-CN"/>
        </w:rPr>
      </w:pPr>
    </w:p>
    <w:p w14:paraId="2C8DD7BF">
      <w:pPr>
        <w:pStyle w:val="35"/>
        <w:ind w:firstLine="480"/>
        <w:jc w:val="center"/>
        <w:rPr>
          <w:rFonts w:hint="eastAsia" w:ascii="宋体" w:hAnsi="宋体" w:eastAsia="宋体" w:cs="宋体"/>
          <w:b/>
          <w:color w:val="auto"/>
          <w:sz w:val="32"/>
          <w:szCs w:val="32"/>
          <w:lang w:val="en-US" w:eastAsia="zh-CN"/>
        </w:rPr>
      </w:pPr>
    </w:p>
    <w:p w14:paraId="303F0AD5">
      <w:pPr>
        <w:pStyle w:val="35"/>
        <w:ind w:firstLine="480"/>
        <w:jc w:val="center"/>
        <w:rPr>
          <w:rFonts w:hint="eastAsia" w:ascii="宋体" w:hAnsi="宋体" w:eastAsia="宋体" w:cs="宋体"/>
          <w:b/>
          <w:color w:val="auto"/>
          <w:sz w:val="32"/>
          <w:szCs w:val="32"/>
          <w:lang w:val="en-US" w:eastAsia="zh-CN"/>
        </w:rPr>
      </w:pPr>
    </w:p>
    <w:p w14:paraId="6202EDEC">
      <w:pPr>
        <w:pStyle w:val="35"/>
        <w:ind w:firstLine="480"/>
        <w:jc w:val="center"/>
        <w:rPr>
          <w:rFonts w:hint="eastAsia" w:ascii="宋体" w:hAnsi="宋体" w:eastAsia="宋体" w:cs="宋体"/>
          <w:b/>
          <w:color w:val="auto"/>
          <w:sz w:val="32"/>
          <w:szCs w:val="32"/>
          <w:lang w:val="en-US" w:eastAsia="zh-CN"/>
        </w:rPr>
      </w:pPr>
    </w:p>
    <w:p w14:paraId="38608E3F">
      <w:pPr>
        <w:pStyle w:val="35"/>
        <w:ind w:firstLine="480"/>
        <w:jc w:val="center"/>
        <w:rPr>
          <w:rFonts w:hint="eastAsia" w:ascii="宋体" w:hAnsi="宋体" w:eastAsia="宋体" w:cs="宋体"/>
          <w:b/>
          <w:color w:val="auto"/>
          <w:sz w:val="32"/>
          <w:szCs w:val="32"/>
          <w:lang w:val="en-US" w:eastAsia="zh-CN"/>
        </w:rPr>
      </w:pPr>
    </w:p>
    <w:p w14:paraId="7B7AF1A3">
      <w:pPr>
        <w:pStyle w:val="35"/>
        <w:ind w:firstLine="480"/>
        <w:jc w:val="center"/>
        <w:rPr>
          <w:rFonts w:hint="eastAsia" w:ascii="宋体" w:hAnsi="宋体" w:eastAsia="宋体" w:cs="宋体"/>
          <w:b/>
          <w:color w:val="auto"/>
          <w:sz w:val="32"/>
          <w:szCs w:val="32"/>
          <w:lang w:val="en-US" w:eastAsia="zh-CN"/>
        </w:rPr>
      </w:pPr>
    </w:p>
    <w:p w14:paraId="0616649E">
      <w:pPr>
        <w:pStyle w:val="35"/>
        <w:ind w:firstLine="480"/>
        <w:jc w:val="center"/>
        <w:rPr>
          <w:rFonts w:hint="eastAsia" w:ascii="宋体" w:hAnsi="宋体" w:eastAsia="宋体" w:cs="宋体"/>
          <w:b/>
          <w:color w:val="auto"/>
          <w:sz w:val="32"/>
          <w:szCs w:val="32"/>
          <w:lang w:val="en-US" w:eastAsia="zh-CN"/>
        </w:rPr>
      </w:pPr>
    </w:p>
    <w:p w14:paraId="0C4B8A68">
      <w:pPr>
        <w:pStyle w:val="35"/>
        <w:ind w:firstLine="480"/>
        <w:jc w:val="center"/>
        <w:rPr>
          <w:rFonts w:hint="eastAsia" w:ascii="宋体" w:hAnsi="宋体" w:eastAsia="宋体" w:cs="宋体"/>
          <w:b/>
          <w:color w:val="auto"/>
          <w:sz w:val="32"/>
          <w:szCs w:val="32"/>
          <w:lang w:val="en-US" w:eastAsia="zh-CN"/>
        </w:rPr>
      </w:pPr>
    </w:p>
    <w:p w14:paraId="183AC105">
      <w:pPr>
        <w:pStyle w:val="35"/>
        <w:ind w:firstLine="480"/>
        <w:jc w:val="center"/>
        <w:rPr>
          <w:rFonts w:hint="eastAsia" w:ascii="宋体" w:hAnsi="宋体" w:eastAsia="宋体" w:cs="宋体"/>
          <w:b/>
          <w:color w:val="auto"/>
          <w:sz w:val="32"/>
          <w:szCs w:val="32"/>
          <w:lang w:val="en-US" w:eastAsia="zh-CN"/>
        </w:rPr>
      </w:pPr>
    </w:p>
    <w:p w14:paraId="5AE0F947">
      <w:pPr>
        <w:pStyle w:val="35"/>
        <w:ind w:firstLine="480"/>
        <w:jc w:val="center"/>
        <w:rPr>
          <w:rFonts w:hint="eastAsia" w:ascii="宋体" w:hAnsi="宋体" w:eastAsia="宋体" w:cs="宋体"/>
          <w:b/>
          <w:color w:val="auto"/>
          <w:sz w:val="32"/>
          <w:szCs w:val="32"/>
          <w:lang w:val="en-US" w:eastAsia="zh-CN"/>
        </w:rPr>
      </w:pPr>
    </w:p>
    <w:p w14:paraId="6D905609">
      <w:pPr>
        <w:pStyle w:val="35"/>
        <w:ind w:firstLine="480"/>
        <w:jc w:val="center"/>
        <w:rPr>
          <w:rFonts w:hint="eastAsia" w:ascii="宋体" w:hAnsi="宋体" w:eastAsia="宋体" w:cs="宋体"/>
          <w:b/>
          <w:color w:val="auto"/>
          <w:sz w:val="32"/>
          <w:szCs w:val="32"/>
          <w:lang w:val="en-US" w:eastAsia="zh-CN"/>
        </w:rPr>
      </w:pPr>
    </w:p>
    <w:p w14:paraId="73D6FC25">
      <w:pPr>
        <w:pStyle w:val="3"/>
        <w:bidi w:val="0"/>
        <w:jc w:val="center"/>
        <w:rPr>
          <w:rFonts w:hint="eastAsia"/>
        </w:rPr>
      </w:pPr>
      <w:bookmarkStart w:id="80" w:name="_Toc19046"/>
      <w:r>
        <w:rPr>
          <w:rFonts w:hint="eastAsia"/>
          <w:lang w:val="en-US" w:eastAsia="zh-CN"/>
        </w:rPr>
        <w:t>十四、</w:t>
      </w:r>
      <w:r>
        <w:rPr>
          <w:rFonts w:hint="eastAsia"/>
        </w:rPr>
        <w:t>参加采购活动前三年内在经营活动中没有重大违法记录书面声明</w:t>
      </w:r>
      <w:bookmarkEnd w:id="80"/>
    </w:p>
    <w:p w14:paraId="0CA55F21">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F1F0CBD">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年内，我方在经营活动中没有重大违法记录，即没有因违法经营受到刑事处罚或责令停产停业、吊销许可证或执照、较大数额罚款等行政处罚。否则产生不利后果由我方承担责任。</w:t>
      </w:r>
    </w:p>
    <w:p w14:paraId="34236F35">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2639298">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AB56F2D">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8FD5D2">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38BDE2D0">
      <w:pPr>
        <w:pStyle w:val="35"/>
        <w:ind w:firstLine="960"/>
        <w:jc w:val="center"/>
        <w:outlineLvl w:val="3"/>
        <w:rPr>
          <w:rFonts w:hint="eastAsia" w:ascii="宋体" w:hAnsi="宋体" w:eastAsia="宋体" w:cs="宋体"/>
          <w:b/>
          <w:color w:val="auto"/>
          <w:sz w:val="32"/>
          <w:szCs w:val="32"/>
          <w:lang w:val="en-US" w:eastAsia="zh-CN"/>
        </w:rPr>
      </w:pPr>
    </w:p>
    <w:p w14:paraId="5E544D98">
      <w:pPr>
        <w:pStyle w:val="35"/>
        <w:ind w:firstLine="960"/>
        <w:jc w:val="center"/>
        <w:outlineLvl w:val="3"/>
        <w:rPr>
          <w:rFonts w:hint="eastAsia" w:ascii="宋体" w:hAnsi="宋体" w:eastAsia="宋体" w:cs="宋体"/>
          <w:b/>
          <w:color w:val="auto"/>
          <w:sz w:val="32"/>
          <w:szCs w:val="32"/>
          <w:lang w:val="en-US" w:eastAsia="zh-CN"/>
        </w:rPr>
      </w:pPr>
    </w:p>
    <w:p w14:paraId="1BDCDF0E">
      <w:pPr>
        <w:pStyle w:val="35"/>
        <w:ind w:firstLine="960"/>
        <w:jc w:val="center"/>
        <w:outlineLvl w:val="3"/>
        <w:rPr>
          <w:rFonts w:hint="eastAsia" w:ascii="宋体" w:hAnsi="宋体" w:eastAsia="宋体" w:cs="宋体"/>
          <w:b/>
          <w:color w:val="auto"/>
          <w:sz w:val="32"/>
          <w:szCs w:val="32"/>
          <w:lang w:val="en-US" w:eastAsia="zh-CN"/>
        </w:rPr>
      </w:pPr>
    </w:p>
    <w:p w14:paraId="082D46B9">
      <w:pPr>
        <w:pStyle w:val="35"/>
        <w:ind w:firstLine="960"/>
        <w:jc w:val="center"/>
        <w:outlineLvl w:val="3"/>
        <w:rPr>
          <w:rFonts w:hint="eastAsia" w:ascii="宋体" w:hAnsi="宋体" w:eastAsia="宋体" w:cs="宋体"/>
          <w:b/>
          <w:color w:val="auto"/>
          <w:sz w:val="32"/>
          <w:szCs w:val="32"/>
          <w:lang w:val="en-US" w:eastAsia="zh-CN"/>
        </w:rPr>
      </w:pPr>
    </w:p>
    <w:p w14:paraId="5F1675DE">
      <w:pPr>
        <w:pStyle w:val="35"/>
        <w:ind w:firstLine="960"/>
        <w:jc w:val="center"/>
        <w:outlineLvl w:val="3"/>
        <w:rPr>
          <w:rFonts w:hint="eastAsia" w:ascii="宋体" w:hAnsi="宋体" w:eastAsia="宋体" w:cs="宋体"/>
          <w:b/>
          <w:color w:val="auto"/>
          <w:sz w:val="32"/>
          <w:szCs w:val="32"/>
          <w:lang w:val="en-US" w:eastAsia="zh-CN"/>
        </w:rPr>
      </w:pPr>
    </w:p>
    <w:p w14:paraId="5D0D4C26">
      <w:pPr>
        <w:pStyle w:val="35"/>
        <w:ind w:firstLine="960"/>
        <w:jc w:val="center"/>
        <w:outlineLvl w:val="3"/>
        <w:rPr>
          <w:rFonts w:hint="eastAsia" w:ascii="宋体" w:hAnsi="宋体" w:eastAsia="宋体" w:cs="宋体"/>
          <w:b/>
          <w:color w:val="auto"/>
          <w:sz w:val="32"/>
          <w:szCs w:val="32"/>
          <w:lang w:val="en-US" w:eastAsia="zh-CN"/>
        </w:rPr>
      </w:pPr>
    </w:p>
    <w:p w14:paraId="7859348B">
      <w:pPr>
        <w:pStyle w:val="35"/>
        <w:ind w:firstLine="960"/>
        <w:jc w:val="center"/>
        <w:outlineLvl w:val="3"/>
        <w:rPr>
          <w:rFonts w:hint="eastAsia" w:ascii="宋体" w:hAnsi="宋体" w:eastAsia="宋体" w:cs="宋体"/>
          <w:b/>
          <w:color w:val="auto"/>
          <w:sz w:val="32"/>
          <w:szCs w:val="32"/>
          <w:lang w:val="en-US" w:eastAsia="zh-CN"/>
        </w:rPr>
      </w:pPr>
    </w:p>
    <w:p w14:paraId="3F1DBCB7">
      <w:pPr>
        <w:pStyle w:val="35"/>
        <w:ind w:firstLine="960"/>
        <w:jc w:val="center"/>
        <w:outlineLvl w:val="3"/>
        <w:rPr>
          <w:rFonts w:hint="eastAsia" w:ascii="宋体" w:hAnsi="宋体" w:eastAsia="宋体" w:cs="宋体"/>
          <w:b/>
          <w:color w:val="auto"/>
          <w:sz w:val="32"/>
          <w:szCs w:val="32"/>
          <w:lang w:val="en-US" w:eastAsia="zh-CN"/>
        </w:rPr>
      </w:pPr>
    </w:p>
    <w:p w14:paraId="1541268E">
      <w:pPr>
        <w:pStyle w:val="35"/>
        <w:ind w:firstLine="960"/>
        <w:jc w:val="center"/>
        <w:outlineLvl w:val="3"/>
        <w:rPr>
          <w:rFonts w:hint="eastAsia" w:ascii="宋体" w:hAnsi="宋体" w:eastAsia="宋体" w:cs="宋体"/>
          <w:b/>
          <w:color w:val="auto"/>
          <w:sz w:val="32"/>
          <w:szCs w:val="32"/>
          <w:lang w:val="en-US" w:eastAsia="zh-CN"/>
        </w:rPr>
      </w:pPr>
    </w:p>
    <w:p w14:paraId="47EF2701">
      <w:pPr>
        <w:pStyle w:val="35"/>
        <w:ind w:firstLine="960"/>
        <w:jc w:val="center"/>
        <w:outlineLvl w:val="3"/>
        <w:rPr>
          <w:rFonts w:hint="eastAsia" w:ascii="宋体" w:hAnsi="宋体" w:eastAsia="宋体" w:cs="宋体"/>
          <w:b/>
          <w:color w:val="auto"/>
          <w:sz w:val="32"/>
          <w:szCs w:val="32"/>
          <w:lang w:val="en-US" w:eastAsia="zh-CN"/>
        </w:rPr>
      </w:pPr>
    </w:p>
    <w:p w14:paraId="343F9E66">
      <w:pPr>
        <w:pStyle w:val="35"/>
        <w:ind w:firstLine="960"/>
        <w:jc w:val="center"/>
        <w:outlineLvl w:val="3"/>
        <w:rPr>
          <w:rFonts w:hint="eastAsia" w:ascii="宋体" w:hAnsi="宋体" w:eastAsia="宋体" w:cs="宋体"/>
          <w:b/>
          <w:color w:val="auto"/>
          <w:sz w:val="32"/>
          <w:szCs w:val="32"/>
          <w:lang w:val="en-US" w:eastAsia="zh-CN"/>
        </w:rPr>
      </w:pPr>
    </w:p>
    <w:p w14:paraId="7B41F6B9">
      <w:pPr>
        <w:pStyle w:val="35"/>
        <w:ind w:firstLine="960"/>
        <w:jc w:val="center"/>
        <w:outlineLvl w:val="3"/>
        <w:rPr>
          <w:rFonts w:hint="eastAsia" w:ascii="宋体" w:hAnsi="宋体" w:eastAsia="宋体" w:cs="宋体"/>
          <w:b/>
          <w:color w:val="auto"/>
          <w:sz w:val="32"/>
          <w:szCs w:val="32"/>
          <w:lang w:val="en-US" w:eastAsia="zh-CN"/>
        </w:rPr>
      </w:pPr>
    </w:p>
    <w:p w14:paraId="2592CA8E">
      <w:pPr>
        <w:pStyle w:val="35"/>
        <w:ind w:firstLine="960"/>
        <w:jc w:val="center"/>
        <w:outlineLvl w:val="3"/>
        <w:rPr>
          <w:rFonts w:hint="eastAsia" w:ascii="宋体" w:hAnsi="宋体" w:eastAsia="宋体" w:cs="宋体"/>
          <w:b/>
          <w:color w:val="auto"/>
          <w:sz w:val="32"/>
          <w:szCs w:val="32"/>
          <w:lang w:val="en-US" w:eastAsia="zh-CN"/>
        </w:rPr>
      </w:pPr>
    </w:p>
    <w:p w14:paraId="402793A5">
      <w:pPr>
        <w:pStyle w:val="35"/>
        <w:ind w:firstLine="960"/>
        <w:jc w:val="center"/>
        <w:outlineLvl w:val="3"/>
        <w:rPr>
          <w:rFonts w:hint="eastAsia" w:ascii="宋体" w:hAnsi="宋体" w:eastAsia="宋体" w:cs="宋体"/>
          <w:b/>
          <w:color w:val="auto"/>
          <w:sz w:val="32"/>
          <w:szCs w:val="32"/>
          <w:lang w:val="en-US" w:eastAsia="zh-CN"/>
        </w:rPr>
      </w:pPr>
    </w:p>
    <w:p w14:paraId="51E35BD3">
      <w:pPr>
        <w:pStyle w:val="3"/>
        <w:bidi w:val="0"/>
        <w:jc w:val="center"/>
        <w:rPr>
          <w:rFonts w:hint="eastAsia" w:eastAsia="宋体"/>
          <w:color w:val="auto"/>
          <w:lang w:val="en-US" w:eastAsia="zh-CN"/>
        </w:rPr>
      </w:pPr>
      <w:bookmarkStart w:id="81" w:name="_Toc8726"/>
      <w:r>
        <w:rPr>
          <w:rFonts w:hint="eastAsia"/>
          <w:lang w:val="en-US" w:eastAsia="zh-CN"/>
        </w:rPr>
        <w:t>十五、</w:t>
      </w:r>
      <w:r>
        <w:rPr>
          <w:rFonts w:hint="eastAsia"/>
        </w:rPr>
        <w:t>信用记录查询</w:t>
      </w:r>
      <w:r>
        <w:rPr>
          <w:rFonts w:hint="eastAsia"/>
          <w:lang w:val="en-US" w:eastAsia="zh-CN"/>
        </w:rPr>
        <w:t>截图</w:t>
      </w:r>
      <w:bookmarkEnd w:id="81"/>
    </w:p>
    <w:p w14:paraId="5F233F2D">
      <w:pPr>
        <w:wordWrap/>
        <w:spacing w:line="360" w:lineRule="auto"/>
        <w:ind w:firstLine="643" w:firstLineChars="200"/>
        <w:jc w:val="center"/>
        <w:outlineLvl w:val="2"/>
        <w:rPr>
          <w:rFonts w:hint="eastAsia" w:ascii="宋体" w:hAnsi="宋体"/>
          <w:b/>
          <w:color w:val="auto"/>
          <w:sz w:val="32"/>
          <w:szCs w:val="32"/>
        </w:rPr>
      </w:pPr>
    </w:p>
    <w:p w14:paraId="0683CA32">
      <w:pPr>
        <w:wordWrap/>
        <w:spacing w:line="360" w:lineRule="auto"/>
        <w:ind w:firstLine="643" w:firstLineChars="200"/>
        <w:jc w:val="center"/>
        <w:outlineLvl w:val="2"/>
        <w:rPr>
          <w:rFonts w:hint="eastAsia" w:ascii="宋体" w:hAnsi="宋体"/>
          <w:b/>
          <w:color w:val="auto"/>
          <w:sz w:val="32"/>
          <w:szCs w:val="32"/>
        </w:rPr>
      </w:pPr>
    </w:p>
    <w:p w14:paraId="02ADF2EC">
      <w:pPr>
        <w:wordWrap/>
        <w:spacing w:line="360" w:lineRule="auto"/>
        <w:ind w:firstLine="643" w:firstLineChars="200"/>
        <w:jc w:val="center"/>
        <w:outlineLvl w:val="2"/>
        <w:rPr>
          <w:rFonts w:hint="eastAsia" w:ascii="宋体" w:hAnsi="宋体"/>
          <w:b/>
          <w:color w:val="auto"/>
          <w:sz w:val="32"/>
          <w:szCs w:val="32"/>
        </w:rPr>
      </w:pPr>
    </w:p>
    <w:p w14:paraId="6579C300">
      <w:pPr>
        <w:wordWrap/>
        <w:spacing w:line="360" w:lineRule="auto"/>
        <w:ind w:firstLine="643" w:firstLineChars="200"/>
        <w:jc w:val="center"/>
        <w:outlineLvl w:val="2"/>
        <w:rPr>
          <w:rFonts w:hint="eastAsia" w:ascii="宋体" w:hAnsi="宋体"/>
          <w:b/>
          <w:color w:val="auto"/>
          <w:sz w:val="32"/>
          <w:szCs w:val="32"/>
        </w:rPr>
      </w:pPr>
    </w:p>
    <w:p w14:paraId="6481412B">
      <w:pPr>
        <w:wordWrap/>
        <w:spacing w:line="360" w:lineRule="auto"/>
        <w:ind w:firstLine="643" w:firstLineChars="200"/>
        <w:jc w:val="center"/>
        <w:outlineLvl w:val="2"/>
        <w:rPr>
          <w:rFonts w:hint="eastAsia" w:ascii="宋体" w:hAnsi="宋体"/>
          <w:b/>
          <w:color w:val="auto"/>
          <w:sz w:val="32"/>
          <w:szCs w:val="32"/>
        </w:rPr>
      </w:pPr>
    </w:p>
    <w:p w14:paraId="45597122">
      <w:pPr>
        <w:wordWrap/>
        <w:spacing w:line="360" w:lineRule="auto"/>
        <w:ind w:firstLine="643" w:firstLineChars="200"/>
        <w:jc w:val="center"/>
        <w:outlineLvl w:val="2"/>
        <w:rPr>
          <w:rFonts w:hint="eastAsia" w:ascii="宋体" w:hAnsi="宋体"/>
          <w:b/>
          <w:color w:val="auto"/>
          <w:sz w:val="32"/>
          <w:szCs w:val="32"/>
        </w:rPr>
      </w:pPr>
    </w:p>
    <w:p w14:paraId="6A59511D">
      <w:pPr>
        <w:wordWrap/>
        <w:spacing w:line="360" w:lineRule="auto"/>
        <w:ind w:firstLine="643" w:firstLineChars="200"/>
        <w:jc w:val="center"/>
        <w:outlineLvl w:val="2"/>
        <w:rPr>
          <w:rFonts w:hint="eastAsia" w:ascii="宋体" w:hAnsi="宋体"/>
          <w:b/>
          <w:color w:val="auto"/>
          <w:sz w:val="32"/>
          <w:szCs w:val="32"/>
        </w:rPr>
      </w:pPr>
    </w:p>
    <w:p w14:paraId="0FB26576">
      <w:pPr>
        <w:wordWrap/>
        <w:spacing w:line="360" w:lineRule="auto"/>
        <w:ind w:firstLine="643" w:firstLineChars="200"/>
        <w:jc w:val="center"/>
        <w:outlineLvl w:val="2"/>
        <w:rPr>
          <w:rFonts w:hint="eastAsia" w:ascii="宋体" w:hAnsi="宋体"/>
          <w:b/>
          <w:color w:val="auto"/>
          <w:sz w:val="32"/>
          <w:szCs w:val="32"/>
        </w:rPr>
      </w:pPr>
    </w:p>
    <w:p w14:paraId="178750AB">
      <w:pPr>
        <w:wordWrap/>
        <w:spacing w:line="360" w:lineRule="auto"/>
        <w:ind w:firstLine="643" w:firstLineChars="200"/>
        <w:jc w:val="center"/>
        <w:outlineLvl w:val="2"/>
        <w:rPr>
          <w:rFonts w:hint="eastAsia" w:ascii="宋体" w:hAnsi="宋体"/>
          <w:b/>
          <w:color w:val="auto"/>
          <w:sz w:val="32"/>
          <w:szCs w:val="32"/>
        </w:rPr>
      </w:pPr>
    </w:p>
    <w:p w14:paraId="5DF2F326">
      <w:pPr>
        <w:wordWrap/>
        <w:spacing w:line="360" w:lineRule="auto"/>
        <w:ind w:firstLine="643" w:firstLineChars="200"/>
        <w:jc w:val="center"/>
        <w:outlineLvl w:val="2"/>
        <w:rPr>
          <w:rFonts w:hint="eastAsia" w:ascii="宋体" w:hAnsi="宋体"/>
          <w:b/>
          <w:color w:val="auto"/>
          <w:sz w:val="32"/>
          <w:szCs w:val="32"/>
        </w:rPr>
      </w:pPr>
    </w:p>
    <w:p w14:paraId="14ED562C">
      <w:pPr>
        <w:wordWrap/>
        <w:spacing w:line="360" w:lineRule="auto"/>
        <w:ind w:firstLine="643" w:firstLineChars="200"/>
        <w:jc w:val="center"/>
        <w:outlineLvl w:val="2"/>
        <w:rPr>
          <w:rFonts w:hint="eastAsia" w:ascii="宋体" w:hAnsi="宋体"/>
          <w:b/>
          <w:color w:val="auto"/>
          <w:sz w:val="32"/>
          <w:szCs w:val="32"/>
        </w:rPr>
      </w:pPr>
    </w:p>
    <w:p w14:paraId="2F975832">
      <w:pPr>
        <w:wordWrap/>
        <w:spacing w:line="360" w:lineRule="auto"/>
        <w:ind w:firstLine="643" w:firstLineChars="200"/>
        <w:jc w:val="center"/>
        <w:outlineLvl w:val="2"/>
        <w:rPr>
          <w:rFonts w:hint="eastAsia" w:ascii="宋体" w:hAnsi="宋体"/>
          <w:b/>
          <w:color w:val="auto"/>
          <w:sz w:val="32"/>
          <w:szCs w:val="32"/>
        </w:rPr>
      </w:pPr>
    </w:p>
    <w:p w14:paraId="03B56725">
      <w:pPr>
        <w:wordWrap/>
        <w:spacing w:line="360" w:lineRule="auto"/>
        <w:ind w:firstLine="643" w:firstLineChars="200"/>
        <w:jc w:val="center"/>
        <w:outlineLvl w:val="2"/>
        <w:rPr>
          <w:rFonts w:hint="eastAsia" w:ascii="宋体" w:hAnsi="宋体"/>
          <w:b/>
          <w:color w:val="auto"/>
          <w:sz w:val="32"/>
          <w:szCs w:val="32"/>
        </w:rPr>
      </w:pPr>
    </w:p>
    <w:p w14:paraId="44AC61EF">
      <w:pPr>
        <w:wordWrap/>
        <w:spacing w:line="360" w:lineRule="auto"/>
        <w:ind w:firstLine="643" w:firstLineChars="200"/>
        <w:jc w:val="center"/>
        <w:outlineLvl w:val="2"/>
        <w:rPr>
          <w:rFonts w:hint="eastAsia" w:ascii="宋体" w:hAnsi="宋体"/>
          <w:b/>
          <w:color w:val="auto"/>
          <w:sz w:val="32"/>
          <w:szCs w:val="32"/>
        </w:rPr>
      </w:pPr>
    </w:p>
    <w:p w14:paraId="59C6FC4E">
      <w:pPr>
        <w:rPr>
          <w:rFonts w:hint="eastAsia"/>
          <w:lang w:eastAsia="zh-CN"/>
        </w:rPr>
      </w:pPr>
      <w:bookmarkStart w:id="82" w:name="_Toc4912"/>
      <w:r>
        <w:rPr>
          <w:rFonts w:hint="eastAsia"/>
          <w:lang w:eastAsia="zh-CN"/>
        </w:rPr>
        <w:br w:type="page"/>
      </w:r>
    </w:p>
    <w:p w14:paraId="6B9283B5">
      <w:pPr>
        <w:pStyle w:val="3"/>
        <w:bidi w:val="0"/>
        <w:jc w:val="center"/>
      </w:pPr>
      <w:r>
        <w:rPr>
          <w:rFonts w:hint="eastAsia"/>
          <w:lang w:eastAsia="zh-CN"/>
        </w:rPr>
        <w:t>十六、</w:t>
      </w:r>
      <w:r>
        <w:rPr>
          <w:rFonts w:hint="eastAsia"/>
        </w:rPr>
        <w:t>类似项目经验（如有）</w:t>
      </w:r>
      <w:bookmarkEnd w:id="8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65"/>
        <w:gridCol w:w="1620"/>
        <w:gridCol w:w="1620"/>
        <w:gridCol w:w="1430"/>
        <w:gridCol w:w="1345"/>
        <w:gridCol w:w="1260"/>
      </w:tblGrid>
      <w:tr w14:paraId="259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8" w:type="dxa"/>
            <w:noWrap w:val="0"/>
            <w:vAlign w:val="center"/>
          </w:tcPr>
          <w:p w14:paraId="7FC8F213">
            <w:pPr>
              <w:wordWrap w:val="0"/>
              <w:spacing w:line="360" w:lineRule="auto"/>
              <w:jc w:val="center"/>
              <w:rPr>
                <w:rFonts w:ascii="宋体" w:hAnsi="宋体"/>
                <w:b/>
                <w:color w:val="auto"/>
                <w:sz w:val="24"/>
              </w:rPr>
            </w:pPr>
            <w:r>
              <w:rPr>
                <w:rFonts w:ascii="宋体" w:hAnsi="宋体"/>
                <w:b/>
                <w:color w:val="auto"/>
                <w:sz w:val="24"/>
              </w:rPr>
              <w:t>序号</w:t>
            </w:r>
          </w:p>
        </w:tc>
        <w:tc>
          <w:tcPr>
            <w:tcW w:w="1365" w:type="dxa"/>
            <w:noWrap w:val="0"/>
            <w:vAlign w:val="center"/>
          </w:tcPr>
          <w:p w14:paraId="38D4F73B">
            <w:pPr>
              <w:wordWrap w:val="0"/>
              <w:spacing w:line="360" w:lineRule="auto"/>
              <w:jc w:val="center"/>
              <w:rPr>
                <w:rFonts w:ascii="宋体" w:hAnsi="宋体"/>
                <w:b/>
                <w:color w:val="auto"/>
                <w:sz w:val="24"/>
              </w:rPr>
            </w:pPr>
            <w:r>
              <w:rPr>
                <w:rFonts w:hint="eastAsia" w:ascii="宋体" w:hAnsi="宋体"/>
                <w:b/>
                <w:color w:val="auto"/>
                <w:sz w:val="24"/>
              </w:rPr>
              <w:t>采购人</w:t>
            </w:r>
          </w:p>
        </w:tc>
        <w:tc>
          <w:tcPr>
            <w:tcW w:w="1620" w:type="dxa"/>
            <w:noWrap w:val="0"/>
            <w:vAlign w:val="center"/>
          </w:tcPr>
          <w:p w14:paraId="502216EE">
            <w:pPr>
              <w:wordWrap w:val="0"/>
              <w:spacing w:line="360" w:lineRule="auto"/>
              <w:jc w:val="center"/>
              <w:rPr>
                <w:rFonts w:ascii="宋体" w:hAnsi="宋体"/>
                <w:b/>
                <w:color w:val="auto"/>
                <w:sz w:val="24"/>
              </w:rPr>
            </w:pPr>
            <w:r>
              <w:rPr>
                <w:rFonts w:ascii="宋体" w:hAnsi="宋体"/>
                <w:b/>
                <w:color w:val="auto"/>
                <w:sz w:val="24"/>
              </w:rPr>
              <w:t>项目名称</w:t>
            </w:r>
          </w:p>
        </w:tc>
        <w:tc>
          <w:tcPr>
            <w:tcW w:w="1620" w:type="dxa"/>
            <w:noWrap w:val="0"/>
            <w:vAlign w:val="center"/>
          </w:tcPr>
          <w:p w14:paraId="22D1E474">
            <w:pPr>
              <w:wordWrap w:val="0"/>
              <w:spacing w:line="360" w:lineRule="auto"/>
              <w:jc w:val="center"/>
              <w:rPr>
                <w:rFonts w:ascii="宋体" w:hAnsi="宋体"/>
                <w:b/>
                <w:color w:val="auto"/>
                <w:sz w:val="24"/>
              </w:rPr>
            </w:pPr>
            <w:r>
              <w:rPr>
                <w:rFonts w:hint="eastAsia" w:ascii="宋体" w:hAnsi="宋体"/>
                <w:b/>
                <w:color w:val="auto"/>
                <w:sz w:val="24"/>
              </w:rPr>
              <w:t>采购内容</w:t>
            </w:r>
          </w:p>
        </w:tc>
        <w:tc>
          <w:tcPr>
            <w:tcW w:w="1430" w:type="dxa"/>
            <w:noWrap w:val="0"/>
            <w:vAlign w:val="center"/>
          </w:tcPr>
          <w:p w14:paraId="2834FA24">
            <w:pPr>
              <w:wordWrap w:val="0"/>
              <w:spacing w:line="360" w:lineRule="auto"/>
              <w:jc w:val="center"/>
              <w:rPr>
                <w:rFonts w:ascii="宋体" w:hAnsi="宋体"/>
                <w:b/>
                <w:color w:val="auto"/>
                <w:sz w:val="24"/>
              </w:rPr>
            </w:pPr>
            <w:r>
              <w:rPr>
                <w:rFonts w:hint="eastAsia" w:ascii="宋体" w:hAnsi="宋体"/>
                <w:b/>
                <w:color w:val="auto"/>
                <w:sz w:val="24"/>
              </w:rPr>
              <w:t>中标金额</w:t>
            </w:r>
          </w:p>
        </w:tc>
        <w:tc>
          <w:tcPr>
            <w:tcW w:w="1345" w:type="dxa"/>
            <w:noWrap w:val="0"/>
            <w:vAlign w:val="center"/>
          </w:tcPr>
          <w:p w14:paraId="05DF771F">
            <w:pPr>
              <w:wordWrap w:val="0"/>
              <w:spacing w:line="360" w:lineRule="auto"/>
              <w:jc w:val="center"/>
              <w:rPr>
                <w:rFonts w:hint="eastAsia" w:ascii="宋体" w:hAnsi="宋体" w:eastAsia="宋体"/>
                <w:b/>
                <w:color w:val="auto"/>
                <w:sz w:val="24"/>
                <w:lang w:eastAsia="zh-CN"/>
              </w:rPr>
            </w:pPr>
            <w:r>
              <w:rPr>
                <w:rFonts w:hint="eastAsia" w:ascii="宋体" w:hAnsi="宋体"/>
                <w:b/>
                <w:color w:val="auto"/>
                <w:sz w:val="24"/>
                <w:lang w:eastAsia="zh-CN"/>
              </w:rPr>
              <w:t>服务期</w:t>
            </w:r>
          </w:p>
        </w:tc>
        <w:tc>
          <w:tcPr>
            <w:tcW w:w="1260" w:type="dxa"/>
            <w:noWrap w:val="0"/>
            <w:vAlign w:val="center"/>
          </w:tcPr>
          <w:p w14:paraId="3EE2DE15">
            <w:pPr>
              <w:wordWrap w:val="0"/>
              <w:spacing w:line="360" w:lineRule="auto"/>
              <w:jc w:val="center"/>
              <w:rPr>
                <w:rFonts w:ascii="宋体" w:hAnsi="宋体"/>
                <w:b/>
                <w:color w:val="auto"/>
                <w:sz w:val="24"/>
              </w:rPr>
            </w:pPr>
            <w:r>
              <w:rPr>
                <w:rFonts w:hint="eastAsia" w:ascii="宋体" w:hAnsi="宋体"/>
                <w:b/>
                <w:color w:val="auto"/>
                <w:sz w:val="24"/>
              </w:rPr>
              <w:t>采购人</w:t>
            </w:r>
            <w:r>
              <w:rPr>
                <w:rFonts w:ascii="宋体" w:hAnsi="宋体"/>
                <w:b/>
                <w:color w:val="auto"/>
                <w:sz w:val="24"/>
              </w:rPr>
              <w:t>联系电话</w:t>
            </w:r>
          </w:p>
        </w:tc>
      </w:tr>
      <w:tr w14:paraId="785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62DB499">
            <w:pPr>
              <w:wordWrap w:val="0"/>
              <w:spacing w:line="360" w:lineRule="auto"/>
              <w:jc w:val="center"/>
              <w:rPr>
                <w:rFonts w:ascii="宋体" w:hAnsi="宋体"/>
                <w:color w:val="auto"/>
                <w:sz w:val="24"/>
              </w:rPr>
            </w:pPr>
          </w:p>
        </w:tc>
        <w:tc>
          <w:tcPr>
            <w:tcW w:w="1365" w:type="dxa"/>
            <w:noWrap w:val="0"/>
            <w:vAlign w:val="center"/>
          </w:tcPr>
          <w:p w14:paraId="7D13E10A">
            <w:pPr>
              <w:pStyle w:val="9"/>
              <w:wordWrap w:val="0"/>
              <w:spacing w:line="360" w:lineRule="auto"/>
              <w:ind w:left="8000"/>
              <w:rPr>
                <w:rFonts w:ascii="宋体" w:hAnsi="宋体"/>
                <w:color w:val="auto"/>
                <w:szCs w:val="24"/>
              </w:rPr>
            </w:pPr>
          </w:p>
        </w:tc>
        <w:tc>
          <w:tcPr>
            <w:tcW w:w="1620" w:type="dxa"/>
            <w:noWrap w:val="0"/>
            <w:vAlign w:val="center"/>
          </w:tcPr>
          <w:p w14:paraId="7BBC45C0">
            <w:pPr>
              <w:wordWrap w:val="0"/>
              <w:spacing w:line="360" w:lineRule="auto"/>
              <w:rPr>
                <w:rFonts w:ascii="宋体" w:hAnsi="宋体"/>
                <w:color w:val="auto"/>
                <w:sz w:val="24"/>
              </w:rPr>
            </w:pPr>
          </w:p>
        </w:tc>
        <w:tc>
          <w:tcPr>
            <w:tcW w:w="1620" w:type="dxa"/>
            <w:noWrap w:val="0"/>
            <w:vAlign w:val="center"/>
          </w:tcPr>
          <w:p w14:paraId="0F97FDFE">
            <w:pPr>
              <w:wordWrap w:val="0"/>
              <w:spacing w:line="360" w:lineRule="auto"/>
              <w:rPr>
                <w:rFonts w:ascii="宋体" w:hAnsi="宋体"/>
                <w:color w:val="auto"/>
                <w:sz w:val="24"/>
              </w:rPr>
            </w:pPr>
          </w:p>
        </w:tc>
        <w:tc>
          <w:tcPr>
            <w:tcW w:w="1430" w:type="dxa"/>
            <w:noWrap w:val="0"/>
            <w:vAlign w:val="center"/>
          </w:tcPr>
          <w:p w14:paraId="46BDA22E">
            <w:pPr>
              <w:wordWrap w:val="0"/>
              <w:spacing w:line="360" w:lineRule="auto"/>
              <w:rPr>
                <w:rFonts w:ascii="宋体" w:hAnsi="宋体"/>
                <w:color w:val="auto"/>
                <w:sz w:val="24"/>
              </w:rPr>
            </w:pPr>
          </w:p>
        </w:tc>
        <w:tc>
          <w:tcPr>
            <w:tcW w:w="1345" w:type="dxa"/>
            <w:noWrap w:val="0"/>
            <w:vAlign w:val="center"/>
          </w:tcPr>
          <w:p w14:paraId="6F3B300E">
            <w:pPr>
              <w:wordWrap w:val="0"/>
              <w:spacing w:line="360" w:lineRule="auto"/>
              <w:rPr>
                <w:rFonts w:ascii="宋体" w:hAnsi="宋体"/>
                <w:color w:val="auto"/>
                <w:sz w:val="24"/>
              </w:rPr>
            </w:pPr>
          </w:p>
        </w:tc>
        <w:tc>
          <w:tcPr>
            <w:tcW w:w="1260" w:type="dxa"/>
            <w:noWrap w:val="0"/>
            <w:vAlign w:val="center"/>
          </w:tcPr>
          <w:p w14:paraId="05C30BCA">
            <w:pPr>
              <w:wordWrap w:val="0"/>
              <w:spacing w:line="360" w:lineRule="auto"/>
              <w:rPr>
                <w:rFonts w:ascii="宋体" w:hAnsi="宋体"/>
                <w:color w:val="auto"/>
                <w:sz w:val="24"/>
              </w:rPr>
            </w:pPr>
          </w:p>
        </w:tc>
      </w:tr>
      <w:tr w14:paraId="50A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6CEBA8FE">
            <w:pPr>
              <w:wordWrap w:val="0"/>
              <w:spacing w:line="360" w:lineRule="auto"/>
              <w:jc w:val="center"/>
              <w:rPr>
                <w:rFonts w:ascii="宋体" w:hAnsi="宋体"/>
                <w:color w:val="auto"/>
                <w:sz w:val="24"/>
              </w:rPr>
            </w:pPr>
          </w:p>
        </w:tc>
        <w:tc>
          <w:tcPr>
            <w:tcW w:w="1365" w:type="dxa"/>
            <w:noWrap w:val="0"/>
            <w:vAlign w:val="center"/>
          </w:tcPr>
          <w:p w14:paraId="272B3E5A">
            <w:pPr>
              <w:wordWrap w:val="0"/>
              <w:spacing w:line="360" w:lineRule="auto"/>
              <w:rPr>
                <w:rFonts w:ascii="宋体" w:hAnsi="宋体"/>
                <w:color w:val="auto"/>
                <w:sz w:val="24"/>
              </w:rPr>
            </w:pPr>
          </w:p>
        </w:tc>
        <w:tc>
          <w:tcPr>
            <w:tcW w:w="1620" w:type="dxa"/>
            <w:noWrap w:val="0"/>
            <w:vAlign w:val="center"/>
          </w:tcPr>
          <w:p w14:paraId="191A47F0">
            <w:pPr>
              <w:wordWrap w:val="0"/>
              <w:spacing w:line="360" w:lineRule="auto"/>
              <w:rPr>
                <w:rFonts w:ascii="宋体" w:hAnsi="宋体"/>
                <w:color w:val="auto"/>
                <w:sz w:val="24"/>
              </w:rPr>
            </w:pPr>
          </w:p>
        </w:tc>
        <w:tc>
          <w:tcPr>
            <w:tcW w:w="1620" w:type="dxa"/>
            <w:noWrap w:val="0"/>
            <w:vAlign w:val="center"/>
          </w:tcPr>
          <w:p w14:paraId="4C6FCE18">
            <w:pPr>
              <w:wordWrap w:val="0"/>
              <w:spacing w:line="360" w:lineRule="auto"/>
              <w:rPr>
                <w:rFonts w:ascii="宋体" w:hAnsi="宋体"/>
                <w:color w:val="auto"/>
                <w:sz w:val="24"/>
              </w:rPr>
            </w:pPr>
          </w:p>
        </w:tc>
        <w:tc>
          <w:tcPr>
            <w:tcW w:w="1430" w:type="dxa"/>
            <w:noWrap w:val="0"/>
            <w:vAlign w:val="center"/>
          </w:tcPr>
          <w:p w14:paraId="6E763513">
            <w:pPr>
              <w:wordWrap w:val="0"/>
              <w:spacing w:line="360" w:lineRule="auto"/>
              <w:rPr>
                <w:rFonts w:ascii="宋体" w:hAnsi="宋体"/>
                <w:color w:val="auto"/>
                <w:sz w:val="24"/>
              </w:rPr>
            </w:pPr>
          </w:p>
        </w:tc>
        <w:tc>
          <w:tcPr>
            <w:tcW w:w="1345" w:type="dxa"/>
            <w:noWrap w:val="0"/>
            <w:vAlign w:val="center"/>
          </w:tcPr>
          <w:p w14:paraId="383B4224">
            <w:pPr>
              <w:wordWrap w:val="0"/>
              <w:spacing w:line="360" w:lineRule="auto"/>
              <w:rPr>
                <w:rFonts w:ascii="宋体" w:hAnsi="宋体"/>
                <w:color w:val="auto"/>
                <w:sz w:val="24"/>
              </w:rPr>
            </w:pPr>
          </w:p>
        </w:tc>
        <w:tc>
          <w:tcPr>
            <w:tcW w:w="1260" w:type="dxa"/>
            <w:noWrap w:val="0"/>
            <w:vAlign w:val="center"/>
          </w:tcPr>
          <w:p w14:paraId="047E1CD4">
            <w:pPr>
              <w:wordWrap w:val="0"/>
              <w:spacing w:line="360" w:lineRule="auto"/>
              <w:rPr>
                <w:rFonts w:ascii="宋体" w:hAnsi="宋体"/>
                <w:color w:val="auto"/>
                <w:sz w:val="24"/>
              </w:rPr>
            </w:pPr>
          </w:p>
        </w:tc>
      </w:tr>
      <w:tr w14:paraId="2EC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5E45EE0">
            <w:pPr>
              <w:wordWrap w:val="0"/>
              <w:spacing w:line="360" w:lineRule="auto"/>
              <w:jc w:val="center"/>
              <w:rPr>
                <w:rFonts w:ascii="宋体" w:hAnsi="宋体"/>
                <w:color w:val="auto"/>
                <w:sz w:val="24"/>
              </w:rPr>
            </w:pPr>
          </w:p>
        </w:tc>
        <w:tc>
          <w:tcPr>
            <w:tcW w:w="1365" w:type="dxa"/>
            <w:noWrap w:val="0"/>
            <w:vAlign w:val="center"/>
          </w:tcPr>
          <w:p w14:paraId="1BFBA1AD">
            <w:pPr>
              <w:wordWrap w:val="0"/>
              <w:spacing w:line="360" w:lineRule="auto"/>
              <w:rPr>
                <w:rFonts w:ascii="宋体" w:hAnsi="宋体"/>
                <w:color w:val="auto"/>
                <w:sz w:val="24"/>
              </w:rPr>
            </w:pPr>
          </w:p>
        </w:tc>
        <w:tc>
          <w:tcPr>
            <w:tcW w:w="1620" w:type="dxa"/>
            <w:noWrap w:val="0"/>
            <w:vAlign w:val="center"/>
          </w:tcPr>
          <w:p w14:paraId="444CA4A1">
            <w:pPr>
              <w:wordWrap w:val="0"/>
              <w:spacing w:line="360" w:lineRule="auto"/>
              <w:rPr>
                <w:rFonts w:ascii="宋体" w:hAnsi="宋体"/>
                <w:color w:val="auto"/>
                <w:sz w:val="24"/>
              </w:rPr>
            </w:pPr>
          </w:p>
        </w:tc>
        <w:tc>
          <w:tcPr>
            <w:tcW w:w="1620" w:type="dxa"/>
            <w:noWrap w:val="0"/>
            <w:vAlign w:val="center"/>
          </w:tcPr>
          <w:p w14:paraId="3E1AAC4B">
            <w:pPr>
              <w:wordWrap w:val="0"/>
              <w:spacing w:line="360" w:lineRule="auto"/>
              <w:rPr>
                <w:rFonts w:ascii="宋体" w:hAnsi="宋体"/>
                <w:color w:val="auto"/>
                <w:sz w:val="24"/>
              </w:rPr>
            </w:pPr>
          </w:p>
        </w:tc>
        <w:tc>
          <w:tcPr>
            <w:tcW w:w="1430" w:type="dxa"/>
            <w:noWrap w:val="0"/>
            <w:vAlign w:val="center"/>
          </w:tcPr>
          <w:p w14:paraId="4A1F0436">
            <w:pPr>
              <w:wordWrap w:val="0"/>
              <w:spacing w:line="360" w:lineRule="auto"/>
              <w:rPr>
                <w:rFonts w:ascii="宋体" w:hAnsi="宋体"/>
                <w:color w:val="auto"/>
                <w:sz w:val="24"/>
              </w:rPr>
            </w:pPr>
          </w:p>
        </w:tc>
        <w:tc>
          <w:tcPr>
            <w:tcW w:w="1345" w:type="dxa"/>
            <w:noWrap w:val="0"/>
            <w:vAlign w:val="center"/>
          </w:tcPr>
          <w:p w14:paraId="451E56D9">
            <w:pPr>
              <w:wordWrap w:val="0"/>
              <w:spacing w:line="360" w:lineRule="auto"/>
              <w:rPr>
                <w:rFonts w:ascii="宋体" w:hAnsi="宋体"/>
                <w:color w:val="auto"/>
                <w:sz w:val="24"/>
              </w:rPr>
            </w:pPr>
          </w:p>
        </w:tc>
        <w:tc>
          <w:tcPr>
            <w:tcW w:w="1260" w:type="dxa"/>
            <w:noWrap w:val="0"/>
            <w:vAlign w:val="center"/>
          </w:tcPr>
          <w:p w14:paraId="01C70781">
            <w:pPr>
              <w:wordWrap w:val="0"/>
              <w:spacing w:line="360" w:lineRule="auto"/>
              <w:rPr>
                <w:rFonts w:ascii="宋体" w:hAnsi="宋体"/>
                <w:color w:val="auto"/>
                <w:sz w:val="24"/>
              </w:rPr>
            </w:pPr>
          </w:p>
        </w:tc>
      </w:tr>
      <w:tr w14:paraId="398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926494E">
            <w:pPr>
              <w:wordWrap w:val="0"/>
              <w:spacing w:line="360" w:lineRule="auto"/>
              <w:jc w:val="center"/>
              <w:rPr>
                <w:rFonts w:ascii="宋体" w:hAnsi="宋体"/>
                <w:color w:val="auto"/>
                <w:sz w:val="24"/>
              </w:rPr>
            </w:pPr>
          </w:p>
        </w:tc>
        <w:tc>
          <w:tcPr>
            <w:tcW w:w="1365" w:type="dxa"/>
            <w:noWrap w:val="0"/>
            <w:vAlign w:val="center"/>
          </w:tcPr>
          <w:p w14:paraId="4CC35275">
            <w:pPr>
              <w:wordWrap w:val="0"/>
              <w:spacing w:line="360" w:lineRule="auto"/>
              <w:rPr>
                <w:rFonts w:ascii="宋体" w:hAnsi="宋体"/>
                <w:color w:val="auto"/>
                <w:sz w:val="24"/>
              </w:rPr>
            </w:pPr>
          </w:p>
        </w:tc>
        <w:tc>
          <w:tcPr>
            <w:tcW w:w="1620" w:type="dxa"/>
            <w:noWrap w:val="0"/>
            <w:vAlign w:val="center"/>
          </w:tcPr>
          <w:p w14:paraId="64033AFA">
            <w:pPr>
              <w:wordWrap w:val="0"/>
              <w:spacing w:line="360" w:lineRule="auto"/>
              <w:rPr>
                <w:rFonts w:ascii="宋体" w:hAnsi="宋体"/>
                <w:color w:val="auto"/>
                <w:sz w:val="24"/>
              </w:rPr>
            </w:pPr>
          </w:p>
        </w:tc>
        <w:tc>
          <w:tcPr>
            <w:tcW w:w="1620" w:type="dxa"/>
            <w:noWrap w:val="0"/>
            <w:vAlign w:val="center"/>
          </w:tcPr>
          <w:p w14:paraId="72EEFB60">
            <w:pPr>
              <w:wordWrap w:val="0"/>
              <w:spacing w:line="360" w:lineRule="auto"/>
              <w:rPr>
                <w:rFonts w:ascii="宋体" w:hAnsi="宋体"/>
                <w:color w:val="auto"/>
                <w:sz w:val="24"/>
              </w:rPr>
            </w:pPr>
          </w:p>
        </w:tc>
        <w:tc>
          <w:tcPr>
            <w:tcW w:w="1430" w:type="dxa"/>
            <w:noWrap w:val="0"/>
            <w:vAlign w:val="center"/>
          </w:tcPr>
          <w:p w14:paraId="77A319DA">
            <w:pPr>
              <w:wordWrap w:val="0"/>
              <w:spacing w:line="360" w:lineRule="auto"/>
              <w:rPr>
                <w:rFonts w:ascii="宋体" w:hAnsi="宋体"/>
                <w:color w:val="auto"/>
                <w:sz w:val="24"/>
              </w:rPr>
            </w:pPr>
          </w:p>
        </w:tc>
        <w:tc>
          <w:tcPr>
            <w:tcW w:w="1345" w:type="dxa"/>
            <w:noWrap w:val="0"/>
            <w:vAlign w:val="center"/>
          </w:tcPr>
          <w:p w14:paraId="499A036B">
            <w:pPr>
              <w:wordWrap w:val="0"/>
              <w:spacing w:line="360" w:lineRule="auto"/>
              <w:rPr>
                <w:rFonts w:ascii="宋体" w:hAnsi="宋体"/>
                <w:color w:val="auto"/>
                <w:sz w:val="24"/>
              </w:rPr>
            </w:pPr>
          </w:p>
        </w:tc>
        <w:tc>
          <w:tcPr>
            <w:tcW w:w="1260" w:type="dxa"/>
            <w:noWrap w:val="0"/>
            <w:vAlign w:val="center"/>
          </w:tcPr>
          <w:p w14:paraId="7FF6A41F">
            <w:pPr>
              <w:wordWrap w:val="0"/>
              <w:spacing w:line="360" w:lineRule="auto"/>
              <w:rPr>
                <w:rFonts w:ascii="宋体" w:hAnsi="宋体"/>
                <w:color w:val="auto"/>
                <w:sz w:val="24"/>
              </w:rPr>
            </w:pP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77F95B">
            <w:pPr>
              <w:wordWrap w:val="0"/>
              <w:spacing w:line="360" w:lineRule="auto"/>
              <w:jc w:val="center"/>
              <w:rPr>
                <w:rFonts w:ascii="宋体" w:hAnsi="宋体"/>
                <w:color w:val="auto"/>
                <w:sz w:val="24"/>
              </w:rPr>
            </w:pPr>
          </w:p>
        </w:tc>
        <w:tc>
          <w:tcPr>
            <w:tcW w:w="1365" w:type="dxa"/>
            <w:noWrap w:val="0"/>
            <w:vAlign w:val="center"/>
          </w:tcPr>
          <w:p w14:paraId="04FE76A8">
            <w:pPr>
              <w:wordWrap w:val="0"/>
              <w:spacing w:line="360" w:lineRule="auto"/>
              <w:rPr>
                <w:rFonts w:ascii="宋体" w:hAnsi="宋体"/>
                <w:color w:val="auto"/>
                <w:sz w:val="24"/>
              </w:rPr>
            </w:pPr>
          </w:p>
        </w:tc>
        <w:tc>
          <w:tcPr>
            <w:tcW w:w="1620" w:type="dxa"/>
            <w:noWrap w:val="0"/>
            <w:vAlign w:val="center"/>
          </w:tcPr>
          <w:p w14:paraId="179DF324">
            <w:pPr>
              <w:wordWrap w:val="0"/>
              <w:spacing w:line="360" w:lineRule="auto"/>
              <w:rPr>
                <w:rFonts w:ascii="宋体" w:hAnsi="宋体"/>
                <w:color w:val="auto"/>
                <w:sz w:val="24"/>
              </w:rPr>
            </w:pPr>
          </w:p>
        </w:tc>
        <w:tc>
          <w:tcPr>
            <w:tcW w:w="1620" w:type="dxa"/>
            <w:noWrap w:val="0"/>
            <w:vAlign w:val="center"/>
          </w:tcPr>
          <w:p w14:paraId="614CFB0C">
            <w:pPr>
              <w:wordWrap w:val="0"/>
              <w:spacing w:line="360" w:lineRule="auto"/>
              <w:rPr>
                <w:rFonts w:ascii="宋体" w:hAnsi="宋体"/>
                <w:color w:val="auto"/>
                <w:sz w:val="24"/>
              </w:rPr>
            </w:pPr>
          </w:p>
        </w:tc>
        <w:tc>
          <w:tcPr>
            <w:tcW w:w="1430" w:type="dxa"/>
            <w:noWrap w:val="0"/>
            <w:vAlign w:val="center"/>
          </w:tcPr>
          <w:p w14:paraId="5CE9F0D9">
            <w:pPr>
              <w:wordWrap w:val="0"/>
              <w:spacing w:line="360" w:lineRule="auto"/>
              <w:rPr>
                <w:rFonts w:ascii="宋体" w:hAnsi="宋体"/>
                <w:color w:val="auto"/>
                <w:sz w:val="24"/>
              </w:rPr>
            </w:pPr>
          </w:p>
        </w:tc>
        <w:tc>
          <w:tcPr>
            <w:tcW w:w="1345" w:type="dxa"/>
            <w:noWrap w:val="0"/>
            <w:vAlign w:val="center"/>
          </w:tcPr>
          <w:p w14:paraId="2EC1BB8C">
            <w:pPr>
              <w:wordWrap w:val="0"/>
              <w:spacing w:line="360" w:lineRule="auto"/>
              <w:rPr>
                <w:rFonts w:ascii="宋体" w:hAnsi="宋体"/>
                <w:color w:val="auto"/>
                <w:sz w:val="24"/>
              </w:rPr>
            </w:pPr>
          </w:p>
        </w:tc>
        <w:tc>
          <w:tcPr>
            <w:tcW w:w="1260" w:type="dxa"/>
            <w:noWrap w:val="0"/>
            <w:vAlign w:val="center"/>
          </w:tcPr>
          <w:p w14:paraId="1F9C2EC3">
            <w:pPr>
              <w:wordWrap w:val="0"/>
              <w:spacing w:line="360" w:lineRule="auto"/>
              <w:rPr>
                <w:rFonts w:ascii="宋体" w:hAnsi="宋体"/>
                <w:color w:val="auto"/>
                <w:sz w:val="24"/>
              </w:rPr>
            </w:pPr>
          </w:p>
        </w:tc>
      </w:tr>
      <w:tr w14:paraId="6EC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2E3E91">
            <w:pPr>
              <w:wordWrap w:val="0"/>
              <w:spacing w:line="360" w:lineRule="auto"/>
              <w:jc w:val="center"/>
              <w:rPr>
                <w:rFonts w:ascii="宋体" w:hAnsi="宋体"/>
                <w:color w:val="auto"/>
                <w:sz w:val="24"/>
              </w:rPr>
            </w:pPr>
          </w:p>
        </w:tc>
        <w:tc>
          <w:tcPr>
            <w:tcW w:w="1365" w:type="dxa"/>
            <w:noWrap w:val="0"/>
            <w:vAlign w:val="center"/>
          </w:tcPr>
          <w:p w14:paraId="08AFCF94">
            <w:pPr>
              <w:wordWrap w:val="0"/>
              <w:spacing w:line="360" w:lineRule="auto"/>
              <w:rPr>
                <w:rFonts w:ascii="宋体" w:hAnsi="宋体"/>
                <w:color w:val="auto"/>
                <w:sz w:val="24"/>
              </w:rPr>
            </w:pPr>
          </w:p>
        </w:tc>
        <w:tc>
          <w:tcPr>
            <w:tcW w:w="1620" w:type="dxa"/>
            <w:noWrap w:val="0"/>
            <w:vAlign w:val="center"/>
          </w:tcPr>
          <w:p w14:paraId="6249E50D">
            <w:pPr>
              <w:wordWrap w:val="0"/>
              <w:spacing w:line="360" w:lineRule="auto"/>
              <w:rPr>
                <w:rFonts w:ascii="宋体" w:hAnsi="宋体"/>
                <w:color w:val="auto"/>
                <w:sz w:val="24"/>
              </w:rPr>
            </w:pPr>
          </w:p>
        </w:tc>
        <w:tc>
          <w:tcPr>
            <w:tcW w:w="1620" w:type="dxa"/>
            <w:noWrap w:val="0"/>
            <w:vAlign w:val="center"/>
          </w:tcPr>
          <w:p w14:paraId="6246D63B">
            <w:pPr>
              <w:wordWrap w:val="0"/>
              <w:spacing w:line="360" w:lineRule="auto"/>
              <w:rPr>
                <w:rFonts w:ascii="宋体" w:hAnsi="宋体"/>
                <w:color w:val="auto"/>
                <w:sz w:val="24"/>
              </w:rPr>
            </w:pPr>
          </w:p>
        </w:tc>
        <w:tc>
          <w:tcPr>
            <w:tcW w:w="1430" w:type="dxa"/>
            <w:noWrap w:val="0"/>
            <w:vAlign w:val="center"/>
          </w:tcPr>
          <w:p w14:paraId="2EA57ADA">
            <w:pPr>
              <w:wordWrap w:val="0"/>
              <w:spacing w:line="360" w:lineRule="auto"/>
              <w:rPr>
                <w:rFonts w:ascii="宋体" w:hAnsi="宋体"/>
                <w:color w:val="auto"/>
                <w:sz w:val="24"/>
              </w:rPr>
            </w:pPr>
          </w:p>
        </w:tc>
        <w:tc>
          <w:tcPr>
            <w:tcW w:w="1345" w:type="dxa"/>
            <w:noWrap w:val="0"/>
            <w:vAlign w:val="center"/>
          </w:tcPr>
          <w:p w14:paraId="6D5AB866">
            <w:pPr>
              <w:wordWrap w:val="0"/>
              <w:spacing w:line="360" w:lineRule="auto"/>
              <w:rPr>
                <w:rFonts w:ascii="宋体" w:hAnsi="宋体"/>
                <w:color w:val="auto"/>
                <w:sz w:val="24"/>
              </w:rPr>
            </w:pPr>
          </w:p>
        </w:tc>
        <w:tc>
          <w:tcPr>
            <w:tcW w:w="1260" w:type="dxa"/>
            <w:noWrap w:val="0"/>
            <w:vAlign w:val="center"/>
          </w:tcPr>
          <w:p w14:paraId="3D08CA23">
            <w:pPr>
              <w:wordWrap w:val="0"/>
              <w:spacing w:line="360" w:lineRule="auto"/>
              <w:rPr>
                <w:rFonts w:ascii="宋体" w:hAnsi="宋体"/>
                <w:color w:val="auto"/>
                <w:sz w:val="24"/>
              </w:rPr>
            </w:pPr>
          </w:p>
        </w:tc>
      </w:tr>
      <w:tr w14:paraId="724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705D8FB4">
            <w:pPr>
              <w:wordWrap w:val="0"/>
              <w:spacing w:line="360" w:lineRule="auto"/>
              <w:jc w:val="center"/>
              <w:rPr>
                <w:rFonts w:ascii="宋体" w:hAnsi="宋体"/>
                <w:color w:val="auto"/>
                <w:sz w:val="24"/>
              </w:rPr>
            </w:pPr>
          </w:p>
        </w:tc>
        <w:tc>
          <w:tcPr>
            <w:tcW w:w="1365" w:type="dxa"/>
            <w:noWrap w:val="0"/>
            <w:vAlign w:val="center"/>
          </w:tcPr>
          <w:p w14:paraId="50EEC673">
            <w:pPr>
              <w:wordWrap w:val="0"/>
              <w:spacing w:line="360" w:lineRule="auto"/>
              <w:rPr>
                <w:rFonts w:ascii="宋体" w:hAnsi="宋体"/>
                <w:color w:val="auto"/>
                <w:sz w:val="24"/>
              </w:rPr>
            </w:pPr>
          </w:p>
        </w:tc>
        <w:tc>
          <w:tcPr>
            <w:tcW w:w="1620" w:type="dxa"/>
            <w:noWrap w:val="0"/>
            <w:vAlign w:val="center"/>
          </w:tcPr>
          <w:p w14:paraId="76A7EC00">
            <w:pPr>
              <w:wordWrap w:val="0"/>
              <w:spacing w:line="360" w:lineRule="auto"/>
              <w:rPr>
                <w:rFonts w:ascii="宋体" w:hAnsi="宋体"/>
                <w:color w:val="auto"/>
                <w:sz w:val="24"/>
              </w:rPr>
            </w:pPr>
          </w:p>
        </w:tc>
        <w:tc>
          <w:tcPr>
            <w:tcW w:w="1620" w:type="dxa"/>
            <w:noWrap w:val="0"/>
            <w:vAlign w:val="center"/>
          </w:tcPr>
          <w:p w14:paraId="20BF2C62">
            <w:pPr>
              <w:wordWrap w:val="0"/>
              <w:spacing w:line="360" w:lineRule="auto"/>
              <w:rPr>
                <w:rFonts w:ascii="宋体" w:hAnsi="宋体"/>
                <w:color w:val="auto"/>
                <w:sz w:val="24"/>
              </w:rPr>
            </w:pPr>
          </w:p>
        </w:tc>
        <w:tc>
          <w:tcPr>
            <w:tcW w:w="1430" w:type="dxa"/>
            <w:noWrap w:val="0"/>
            <w:vAlign w:val="center"/>
          </w:tcPr>
          <w:p w14:paraId="23FF9B92">
            <w:pPr>
              <w:wordWrap w:val="0"/>
              <w:spacing w:line="360" w:lineRule="auto"/>
              <w:rPr>
                <w:rFonts w:ascii="宋体" w:hAnsi="宋体"/>
                <w:color w:val="auto"/>
                <w:sz w:val="24"/>
              </w:rPr>
            </w:pPr>
          </w:p>
        </w:tc>
        <w:tc>
          <w:tcPr>
            <w:tcW w:w="1345" w:type="dxa"/>
            <w:noWrap w:val="0"/>
            <w:vAlign w:val="center"/>
          </w:tcPr>
          <w:p w14:paraId="70FB6390">
            <w:pPr>
              <w:wordWrap w:val="0"/>
              <w:spacing w:line="360" w:lineRule="auto"/>
              <w:rPr>
                <w:rFonts w:ascii="宋体" w:hAnsi="宋体"/>
                <w:color w:val="auto"/>
                <w:sz w:val="24"/>
              </w:rPr>
            </w:pPr>
          </w:p>
        </w:tc>
        <w:tc>
          <w:tcPr>
            <w:tcW w:w="1260" w:type="dxa"/>
            <w:noWrap w:val="0"/>
            <w:vAlign w:val="center"/>
          </w:tcPr>
          <w:p w14:paraId="4ECFE1AC">
            <w:pPr>
              <w:wordWrap w:val="0"/>
              <w:spacing w:line="360" w:lineRule="auto"/>
              <w:rPr>
                <w:rFonts w:ascii="宋体" w:hAnsi="宋体"/>
                <w:color w:val="auto"/>
                <w:sz w:val="24"/>
              </w:rPr>
            </w:pPr>
          </w:p>
        </w:tc>
      </w:tr>
    </w:tbl>
    <w:p w14:paraId="15DDA4AD">
      <w:pPr>
        <w:wordWrap w:val="0"/>
        <w:spacing w:line="360" w:lineRule="auto"/>
        <w:ind w:firstLine="482" w:firstLineChars="200"/>
        <w:rPr>
          <w:rFonts w:ascii="宋体" w:hAnsi="宋体"/>
          <w:color w:val="auto"/>
          <w:sz w:val="24"/>
        </w:rPr>
      </w:pPr>
      <w:r>
        <w:rPr>
          <w:rFonts w:hint="eastAsia" w:ascii="宋体" w:hAnsi="宋体"/>
          <w:b/>
          <w:bCs/>
          <w:color w:val="auto"/>
          <w:sz w:val="24"/>
        </w:rPr>
        <w:t>后附</w:t>
      </w:r>
      <w:r>
        <w:rPr>
          <w:rFonts w:ascii="宋体" w:hAnsi="宋体"/>
          <w:b/>
          <w:bCs/>
          <w:color w:val="auto"/>
          <w:sz w:val="24"/>
        </w:rPr>
        <w:t>：上述项目的</w:t>
      </w:r>
      <w:r>
        <w:rPr>
          <w:rFonts w:hint="eastAsia" w:ascii="宋体" w:hAnsi="宋体"/>
          <w:b/>
          <w:bCs/>
          <w:color w:val="auto"/>
          <w:sz w:val="24"/>
        </w:rPr>
        <w:t>中标通知书或合同</w:t>
      </w:r>
      <w:r>
        <w:rPr>
          <w:rFonts w:ascii="宋体" w:hAnsi="宋体"/>
          <w:b/>
          <w:bCs/>
          <w:color w:val="auto"/>
          <w:sz w:val="24"/>
        </w:rPr>
        <w:t>（包括</w:t>
      </w:r>
      <w:r>
        <w:rPr>
          <w:rFonts w:hint="eastAsia" w:ascii="宋体" w:hAnsi="宋体"/>
          <w:b/>
          <w:bCs/>
          <w:color w:val="auto"/>
          <w:sz w:val="24"/>
        </w:rPr>
        <w:t>：项目名称、</w:t>
      </w:r>
      <w:r>
        <w:rPr>
          <w:rFonts w:ascii="宋体" w:hAnsi="宋体"/>
          <w:b/>
          <w:bCs/>
          <w:color w:val="auto"/>
          <w:sz w:val="24"/>
        </w:rPr>
        <w:t>签约时间、</w:t>
      </w:r>
      <w:r>
        <w:rPr>
          <w:rFonts w:hint="eastAsia" w:ascii="宋体" w:hAnsi="宋体"/>
          <w:b/>
          <w:bCs/>
          <w:color w:val="auto"/>
          <w:sz w:val="24"/>
        </w:rPr>
        <w:t>中标</w:t>
      </w:r>
      <w:r>
        <w:rPr>
          <w:rFonts w:ascii="宋体" w:hAnsi="宋体"/>
          <w:b/>
          <w:bCs/>
          <w:color w:val="auto"/>
          <w:sz w:val="24"/>
        </w:rPr>
        <w:t>金额和双方</w:t>
      </w:r>
      <w:r>
        <w:rPr>
          <w:rFonts w:hint="eastAsia" w:ascii="宋体" w:hAnsi="宋体"/>
          <w:b/>
          <w:bCs/>
          <w:color w:val="auto"/>
          <w:sz w:val="24"/>
        </w:rPr>
        <w:t>签字并</w:t>
      </w:r>
      <w:r>
        <w:rPr>
          <w:rFonts w:ascii="宋体" w:hAnsi="宋体"/>
          <w:b/>
          <w:bCs/>
          <w:color w:val="auto"/>
          <w:sz w:val="24"/>
        </w:rPr>
        <w:t>盖章）复印件</w:t>
      </w:r>
      <w:r>
        <w:rPr>
          <w:rFonts w:ascii="宋体" w:hAnsi="宋体"/>
          <w:b/>
          <w:color w:val="auto"/>
          <w:sz w:val="24"/>
        </w:rPr>
        <w:t>，否则该项业绩视为无效。</w:t>
      </w:r>
    </w:p>
    <w:p w14:paraId="4B753EB3">
      <w:pPr>
        <w:tabs>
          <w:tab w:val="left" w:pos="1365"/>
        </w:tabs>
        <w:wordWrap w:val="0"/>
        <w:spacing w:line="360" w:lineRule="auto"/>
        <w:ind w:firstLine="480" w:firstLineChars="200"/>
        <w:rPr>
          <w:rFonts w:ascii="宋体" w:hAnsi="宋体"/>
          <w:color w:val="auto"/>
          <w:sz w:val="24"/>
        </w:rPr>
      </w:pPr>
      <w:bookmarkStart w:id="83" w:name="_Toc424468844"/>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4AD62C6B">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5281B368">
      <w:pPr>
        <w:wordWrap w:val="0"/>
        <w:spacing w:before="120" w:beforeLines="50" w:after="120" w:afterLines="50" w:line="360" w:lineRule="auto"/>
        <w:ind w:left="-710" w:leftChars="-338" w:firstLine="1200" w:firstLineChars="500"/>
        <w:jc w:val="left"/>
        <w:rPr>
          <w:rFonts w:hint="eastAsia" w:ascii="宋体" w:hAnsi="宋体"/>
          <w:b/>
          <w:color w:val="auto"/>
          <w:sz w:val="32"/>
          <w:szCs w:val="32"/>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09C93D7">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7AE2213B">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7C306CD">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EE0AFC9">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B701FF8">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1225BF32">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9E84555">
      <w:pPr>
        <w:pStyle w:val="3"/>
        <w:bidi w:val="0"/>
        <w:jc w:val="center"/>
      </w:pPr>
      <w:bookmarkStart w:id="84" w:name="_Toc18578"/>
      <w:r>
        <w:rPr>
          <w:rFonts w:hint="eastAsia"/>
          <w:lang w:eastAsia="zh-CN"/>
        </w:rPr>
        <w:t>十七</w:t>
      </w:r>
      <w:r>
        <w:rPr>
          <w:rFonts w:hint="eastAsia"/>
        </w:rPr>
        <w:t>、服务承诺</w:t>
      </w:r>
      <w:bookmarkEnd w:id="83"/>
      <w:bookmarkEnd w:id="84"/>
    </w:p>
    <w:p w14:paraId="378ABCF5">
      <w:pPr>
        <w:wordWrap w:val="0"/>
        <w:spacing w:line="360" w:lineRule="auto"/>
        <w:ind w:firstLine="643" w:firstLineChars="200"/>
        <w:jc w:val="center"/>
        <w:rPr>
          <w:rFonts w:hint="eastAsia" w:ascii="宋体" w:hAnsi="宋体" w:eastAsia="宋体"/>
          <w:b/>
          <w:color w:val="auto"/>
          <w:sz w:val="32"/>
          <w:szCs w:val="32"/>
          <w:lang w:eastAsia="zh-CN"/>
        </w:rPr>
      </w:pPr>
      <w:r>
        <w:rPr>
          <w:rFonts w:hint="eastAsia" w:ascii="宋体" w:hAnsi="宋体"/>
          <w:b/>
          <w:color w:val="auto"/>
          <w:sz w:val="32"/>
          <w:szCs w:val="32"/>
          <w:lang w:eastAsia="zh-CN"/>
        </w:rPr>
        <w:t>格式自拟</w:t>
      </w:r>
    </w:p>
    <w:p w14:paraId="5AE8B0B1">
      <w:pPr>
        <w:wordWrap w:val="0"/>
        <w:spacing w:line="360" w:lineRule="auto"/>
        <w:ind w:firstLine="643" w:firstLineChars="200"/>
        <w:jc w:val="center"/>
        <w:rPr>
          <w:rFonts w:hint="eastAsia" w:ascii="宋体" w:hAnsi="宋体"/>
          <w:b/>
          <w:color w:val="auto"/>
          <w:sz w:val="32"/>
          <w:szCs w:val="32"/>
        </w:rPr>
      </w:pPr>
    </w:p>
    <w:p w14:paraId="28912A51">
      <w:pPr>
        <w:wordWrap w:val="0"/>
        <w:spacing w:line="360" w:lineRule="auto"/>
        <w:ind w:firstLine="643" w:firstLineChars="200"/>
        <w:jc w:val="center"/>
        <w:rPr>
          <w:rFonts w:hint="eastAsia" w:ascii="宋体" w:hAnsi="宋体"/>
          <w:b/>
          <w:color w:val="auto"/>
          <w:sz w:val="32"/>
          <w:szCs w:val="32"/>
        </w:rPr>
      </w:pPr>
    </w:p>
    <w:p w14:paraId="629B598C">
      <w:pPr>
        <w:tabs>
          <w:tab w:val="left" w:pos="1365"/>
        </w:tabs>
        <w:wordWrap w:val="0"/>
        <w:spacing w:line="360" w:lineRule="auto"/>
        <w:rPr>
          <w:rFonts w:hint="eastAsia" w:ascii="宋体" w:hAnsi="宋体"/>
          <w:b/>
          <w:color w:val="auto"/>
          <w:sz w:val="32"/>
          <w:szCs w:val="32"/>
        </w:rPr>
      </w:pPr>
      <w:bookmarkStart w:id="85" w:name="_Toc424468861"/>
    </w:p>
    <w:p w14:paraId="16646DE5">
      <w:pPr>
        <w:tabs>
          <w:tab w:val="left" w:pos="1365"/>
        </w:tabs>
        <w:wordWrap w:val="0"/>
        <w:spacing w:line="360" w:lineRule="auto"/>
        <w:ind w:firstLine="643" w:firstLineChars="200"/>
        <w:jc w:val="center"/>
        <w:rPr>
          <w:rFonts w:hint="eastAsia" w:ascii="宋体" w:hAnsi="宋体"/>
          <w:b/>
          <w:color w:val="auto"/>
          <w:sz w:val="32"/>
          <w:szCs w:val="32"/>
        </w:rPr>
      </w:pPr>
    </w:p>
    <w:p w14:paraId="71793775">
      <w:pPr>
        <w:tabs>
          <w:tab w:val="left" w:pos="1365"/>
        </w:tabs>
        <w:wordWrap w:val="0"/>
        <w:spacing w:line="360" w:lineRule="auto"/>
        <w:ind w:firstLine="643" w:firstLineChars="200"/>
        <w:jc w:val="center"/>
        <w:rPr>
          <w:rFonts w:hint="eastAsia" w:ascii="宋体" w:hAnsi="宋体"/>
          <w:b/>
          <w:color w:val="auto"/>
          <w:sz w:val="32"/>
          <w:szCs w:val="32"/>
        </w:rPr>
      </w:pPr>
    </w:p>
    <w:p w14:paraId="3D5D4997">
      <w:pPr>
        <w:tabs>
          <w:tab w:val="left" w:pos="1365"/>
        </w:tabs>
        <w:wordWrap w:val="0"/>
        <w:spacing w:line="360" w:lineRule="auto"/>
        <w:ind w:firstLine="643" w:firstLineChars="200"/>
        <w:jc w:val="center"/>
        <w:rPr>
          <w:rFonts w:hint="eastAsia" w:ascii="宋体" w:hAnsi="宋体"/>
          <w:b/>
          <w:color w:val="auto"/>
          <w:sz w:val="32"/>
          <w:szCs w:val="32"/>
        </w:rPr>
      </w:pPr>
    </w:p>
    <w:p w14:paraId="6AB12BB2">
      <w:pPr>
        <w:tabs>
          <w:tab w:val="left" w:pos="1365"/>
        </w:tabs>
        <w:wordWrap w:val="0"/>
        <w:spacing w:line="360" w:lineRule="auto"/>
        <w:ind w:firstLine="643" w:firstLineChars="200"/>
        <w:jc w:val="center"/>
        <w:rPr>
          <w:rFonts w:hint="eastAsia" w:ascii="宋体" w:hAnsi="宋体"/>
          <w:b/>
          <w:color w:val="auto"/>
          <w:sz w:val="32"/>
          <w:szCs w:val="32"/>
        </w:rPr>
      </w:pPr>
    </w:p>
    <w:p w14:paraId="352D0758">
      <w:pPr>
        <w:tabs>
          <w:tab w:val="left" w:pos="1365"/>
        </w:tabs>
        <w:wordWrap w:val="0"/>
        <w:spacing w:line="360" w:lineRule="auto"/>
        <w:ind w:firstLine="643" w:firstLineChars="200"/>
        <w:jc w:val="center"/>
        <w:rPr>
          <w:rFonts w:hint="eastAsia" w:ascii="宋体" w:hAnsi="宋体"/>
          <w:b/>
          <w:color w:val="auto"/>
          <w:sz w:val="32"/>
          <w:szCs w:val="32"/>
        </w:rPr>
      </w:pPr>
    </w:p>
    <w:p w14:paraId="0B2F999F">
      <w:pPr>
        <w:tabs>
          <w:tab w:val="left" w:pos="1365"/>
        </w:tabs>
        <w:wordWrap w:val="0"/>
        <w:spacing w:line="360" w:lineRule="auto"/>
        <w:ind w:firstLine="643" w:firstLineChars="200"/>
        <w:jc w:val="center"/>
        <w:rPr>
          <w:rFonts w:hint="eastAsia" w:ascii="宋体" w:hAnsi="宋体"/>
          <w:b/>
          <w:color w:val="auto"/>
          <w:sz w:val="32"/>
          <w:szCs w:val="32"/>
        </w:rPr>
      </w:pPr>
    </w:p>
    <w:p w14:paraId="193F2B31">
      <w:pPr>
        <w:tabs>
          <w:tab w:val="left" w:pos="1365"/>
        </w:tabs>
        <w:wordWrap w:val="0"/>
        <w:spacing w:line="360" w:lineRule="auto"/>
        <w:ind w:firstLine="643" w:firstLineChars="200"/>
        <w:jc w:val="center"/>
        <w:rPr>
          <w:rFonts w:hint="eastAsia" w:ascii="宋体" w:hAnsi="宋体"/>
          <w:b/>
          <w:color w:val="auto"/>
          <w:sz w:val="32"/>
          <w:szCs w:val="32"/>
        </w:rPr>
      </w:pPr>
    </w:p>
    <w:p w14:paraId="2A93D7EF">
      <w:pPr>
        <w:tabs>
          <w:tab w:val="left" w:pos="1365"/>
        </w:tabs>
        <w:wordWrap w:val="0"/>
        <w:spacing w:line="360" w:lineRule="auto"/>
        <w:ind w:firstLine="643" w:firstLineChars="200"/>
        <w:jc w:val="center"/>
        <w:rPr>
          <w:rFonts w:hint="eastAsia" w:ascii="宋体" w:hAnsi="宋体"/>
          <w:b/>
          <w:color w:val="auto"/>
          <w:sz w:val="32"/>
          <w:szCs w:val="32"/>
        </w:rPr>
      </w:pPr>
    </w:p>
    <w:p w14:paraId="67D2CD1E">
      <w:pPr>
        <w:tabs>
          <w:tab w:val="left" w:pos="1365"/>
        </w:tabs>
        <w:wordWrap w:val="0"/>
        <w:spacing w:line="360" w:lineRule="auto"/>
        <w:ind w:firstLine="643" w:firstLineChars="200"/>
        <w:jc w:val="center"/>
        <w:rPr>
          <w:rFonts w:hint="eastAsia" w:ascii="宋体" w:hAnsi="宋体"/>
          <w:b/>
          <w:color w:val="auto"/>
          <w:sz w:val="32"/>
          <w:szCs w:val="32"/>
        </w:rPr>
      </w:pPr>
    </w:p>
    <w:bookmarkEnd w:id="72"/>
    <w:bookmarkEnd w:id="73"/>
    <w:bookmarkEnd w:id="74"/>
    <w:bookmarkEnd w:id="85"/>
    <w:p w14:paraId="7E282412">
      <w:pPr>
        <w:rPr>
          <w:rFonts w:hint="eastAsia"/>
          <w:lang w:val="en-US" w:eastAsia="zh-CN"/>
        </w:rPr>
      </w:pPr>
      <w:r>
        <w:rPr>
          <w:rFonts w:hint="eastAsia"/>
          <w:lang w:val="en-US" w:eastAsia="zh-CN"/>
        </w:rPr>
        <w:br w:type="page"/>
      </w:r>
    </w:p>
    <w:p w14:paraId="5119AB5D">
      <w:pPr>
        <w:pStyle w:val="3"/>
        <w:bidi w:val="0"/>
        <w:jc w:val="center"/>
        <w:rPr>
          <w:lang w:eastAsia="en-US"/>
        </w:rPr>
      </w:pPr>
      <w:bookmarkStart w:id="86" w:name="_Toc31436"/>
      <w:r>
        <w:rPr>
          <w:rFonts w:hint="eastAsia"/>
          <w:lang w:val="en-US" w:eastAsia="zh-CN"/>
        </w:rPr>
        <w:t>十八、</w:t>
      </w:r>
      <w:r>
        <w:rPr>
          <w:rFonts w:hint="eastAsia"/>
          <w:lang w:eastAsia="en-US"/>
        </w:rPr>
        <w:t>实施方案</w:t>
      </w:r>
      <w:bookmarkEnd w:id="86"/>
    </w:p>
    <w:p w14:paraId="05EF1CB7">
      <w:pPr>
        <w:wordWrap w:val="0"/>
        <w:spacing w:before="275" w:line="357" w:lineRule="auto"/>
        <w:ind w:left="555" w:right="3855"/>
        <w:rPr>
          <w:rFonts w:ascii="宋体" w:hAnsi="宋体" w:cs="宋体"/>
          <w:szCs w:val="21"/>
        </w:rPr>
      </w:pPr>
    </w:p>
    <w:p w14:paraId="67C0B3D3">
      <w:pPr>
        <w:wordWrap w:val="0"/>
        <w:spacing w:line="360" w:lineRule="auto"/>
        <w:ind w:firstLine="643" w:firstLineChars="200"/>
        <w:jc w:val="center"/>
        <w:rPr>
          <w:rFonts w:hint="eastAsia" w:ascii="宋体" w:hAnsi="宋体" w:eastAsia="宋体" w:cs="Times New Roman"/>
          <w:b/>
          <w:color w:val="auto"/>
          <w:sz w:val="32"/>
          <w:szCs w:val="32"/>
          <w:lang w:eastAsia="zh-CN"/>
        </w:rPr>
        <w:sectPr>
          <w:pgSz w:w="12240" w:h="15840"/>
          <w:pgMar w:top="1400" w:right="1720" w:bottom="1120" w:left="1720" w:header="0" w:footer="921" w:gutter="0"/>
          <w:pgNumType w:fmt="decimal"/>
          <w:cols w:space="720" w:num="1"/>
        </w:sectPr>
      </w:pPr>
      <w:r>
        <w:rPr>
          <w:rFonts w:hint="eastAsia" w:ascii="宋体" w:hAnsi="宋体" w:eastAsia="宋体" w:cs="Times New Roman"/>
          <w:b/>
          <w:color w:val="auto"/>
          <w:sz w:val="32"/>
          <w:szCs w:val="32"/>
          <w:lang w:eastAsia="zh-CN"/>
        </w:rPr>
        <w:t>格式自拟</w:t>
      </w:r>
    </w:p>
    <w:p w14:paraId="03AEE92D">
      <w:pPr>
        <w:rPr>
          <w:rFonts w:hint="eastAsia" w:ascii="Cambria" w:hAnsi="Cambria" w:eastAsia="宋体" w:cs="Times New Roman"/>
          <w:b/>
          <w:bCs/>
          <w:kern w:val="2"/>
          <w:sz w:val="32"/>
          <w:szCs w:val="32"/>
          <w:lang w:val="en-US" w:eastAsia="zh-CN" w:bidi="ar-SA"/>
        </w:rPr>
      </w:pPr>
    </w:p>
    <w:p w14:paraId="609E6036">
      <w:pPr>
        <w:wordWrap w:val="0"/>
        <w:spacing w:line="360" w:lineRule="auto"/>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十九、供应商可结合本项目自身情况自行提交其它相关证明材料</w:t>
      </w:r>
    </w:p>
    <w:p w14:paraId="5FC4ADE2">
      <w:pPr>
        <w:shd w:val="clear" w:color="auto" w:fill="FFFFFF"/>
        <w:spacing w:after="240" w:line="360" w:lineRule="atLeast"/>
        <w:ind w:firstLine="480"/>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格式自拟</w:t>
      </w:r>
    </w:p>
    <w:p w14:paraId="7084B482">
      <w:pPr>
        <w:rPr>
          <w:rFonts w:hint="eastAsia" w:ascii="Cambria" w:hAnsi="Cambria" w:eastAsia="宋体" w:cs="Times New Roman"/>
          <w:b/>
          <w:bCs/>
          <w:kern w:val="2"/>
          <w:sz w:val="32"/>
          <w:szCs w:val="32"/>
          <w:lang w:val="en-US" w:eastAsia="zh-CN" w:bidi="ar-SA"/>
        </w:rPr>
      </w:pPr>
    </w:p>
    <w:p w14:paraId="64AAC638">
      <w:pPr>
        <w:pStyle w:val="37"/>
        <w:ind w:firstLine="640"/>
        <w:rPr>
          <w:rFonts w:ascii="宋体" w:hAnsi="宋体" w:eastAsia="宋体" w:cs="宋体"/>
          <w:sz w:val="32"/>
          <w:szCs w:val="32"/>
        </w:rPr>
      </w:pPr>
    </w:p>
    <w:p w14:paraId="681F5DF3">
      <w:pPr>
        <w:pStyle w:val="37"/>
        <w:ind w:firstLine="640"/>
        <w:rPr>
          <w:rFonts w:ascii="宋体" w:hAnsi="宋体" w:eastAsia="宋体" w:cs="宋体"/>
          <w:sz w:val="32"/>
          <w:szCs w:val="32"/>
        </w:rPr>
      </w:pPr>
    </w:p>
    <w:p w14:paraId="1FC4A03B">
      <w:pPr>
        <w:pStyle w:val="37"/>
        <w:ind w:firstLine="640"/>
        <w:rPr>
          <w:rFonts w:ascii="宋体" w:hAnsi="宋体" w:eastAsia="宋体" w:cs="宋体"/>
          <w:sz w:val="32"/>
          <w:szCs w:val="32"/>
        </w:rPr>
      </w:pPr>
    </w:p>
    <w:p w14:paraId="3147BA67">
      <w:pPr>
        <w:pStyle w:val="37"/>
        <w:ind w:firstLine="640"/>
        <w:rPr>
          <w:rFonts w:ascii="宋体" w:hAnsi="宋体" w:eastAsia="宋体" w:cs="宋体"/>
          <w:sz w:val="32"/>
          <w:szCs w:val="32"/>
        </w:rPr>
      </w:pPr>
    </w:p>
    <w:p w14:paraId="3440362D">
      <w:pPr>
        <w:pStyle w:val="37"/>
        <w:ind w:firstLine="640"/>
        <w:rPr>
          <w:rFonts w:ascii="宋体" w:hAnsi="宋体" w:eastAsia="宋体" w:cs="宋体"/>
          <w:sz w:val="32"/>
          <w:szCs w:val="32"/>
        </w:rPr>
      </w:pPr>
    </w:p>
    <w:p w14:paraId="7CB84332">
      <w:pPr>
        <w:pStyle w:val="37"/>
        <w:ind w:firstLine="640"/>
        <w:rPr>
          <w:rFonts w:ascii="宋体" w:hAnsi="宋体" w:eastAsia="宋体" w:cs="宋体"/>
          <w:sz w:val="32"/>
          <w:szCs w:val="32"/>
        </w:rPr>
      </w:pPr>
    </w:p>
    <w:p w14:paraId="2FFC4507">
      <w:pPr>
        <w:pStyle w:val="37"/>
        <w:ind w:firstLine="640"/>
        <w:rPr>
          <w:rFonts w:ascii="宋体" w:hAnsi="宋体" w:eastAsia="宋体" w:cs="宋体"/>
          <w:sz w:val="32"/>
          <w:szCs w:val="32"/>
        </w:rPr>
      </w:pPr>
    </w:p>
    <w:p w14:paraId="1592EA3D">
      <w:pPr>
        <w:pStyle w:val="37"/>
        <w:ind w:firstLine="640"/>
        <w:rPr>
          <w:rFonts w:ascii="宋体" w:hAnsi="宋体" w:eastAsia="宋体" w:cs="宋体"/>
          <w:sz w:val="32"/>
          <w:szCs w:val="32"/>
        </w:rPr>
      </w:pPr>
    </w:p>
    <w:p w14:paraId="77C2CDDA">
      <w:pPr>
        <w:pStyle w:val="37"/>
        <w:ind w:firstLine="640"/>
        <w:rPr>
          <w:rFonts w:ascii="宋体" w:hAnsi="宋体" w:eastAsia="宋体" w:cs="宋体"/>
          <w:sz w:val="32"/>
          <w:szCs w:val="32"/>
        </w:rPr>
      </w:pPr>
    </w:p>
    <w:p w14:paraId="67F54C2A">
      <w:pPr>
        <w:pStyle w:val="37"/>
        <w:ind w:firstLine="640"/>
        <w:rPr>
          <w:rFonts w:ascii="宋体" w:hAnsi="宋体" w:eastAsia="宋体" w:cs="宋体"/>
          <w:sz w:val="32"/>
          <w:szCs w:val="32"/>
        </w:rPr>
      </w:pPr>
    </w:p>
    <w:p w14:paraId="43D25E84">
      <w:pPr>
        <w:pStyle w:val="37"/>
        <w:ind w:firstLine="640"/>
        <w:rPr>
          <w:rFonts w:ascii="宋体" w:hAnsi="宋体" w:eastAsia="宋体" w:cs="宋体"/>
          <w:sz w:val="32"/>
          <w:szCs w:val="32"/>
        </w:rPr>
      </w:pPr>
    </w:p>
    <w:p w14:paraId="765A063A">
      <w:pPr>
        <w:pStyle w:val="37"/>
        <w:ind w:firstLine="640"/>
        <w:rPr>
          <w:rFonts w:ascii="宋体" w:hAnsi="宋体" w:eastAsia="宋体" w:cs="宋体"/>
          <w:sz w:val="32"/>
          <w:szCs w:val="32"/>
        </w:rPr>
      </w:pPr>
    </w:p>
    <w:p w14:paraId="2CB9D08D">
      <w:pPr>
        <w:pStyle w:val="37"/>
        <w:ind w:firstLine="640"/>
        <w:rPr>
          <w:rFonts w:ascii="宋体" w:hAnsi="宋体" w:eastAsia="宋体" w:cs="宋体"/>
          <w:sz w:val="32"/>
          <w:szCs w:val="32"/>
        </w:rPr>
      </w:pPr>
    </w:p>
    <w:p w14:paraId="6D3BCF51">
      <w:pPr>
        <w:pStyle w:val="37"/>
        <w:ind w:firstLine="640"/>
        <w:rPr>
          <w:rFonts w:ascii="宋体" w:hAnsi="宋体" w:eastAsia="宋体" w:cs="宋体"/>
          <w:sz w:val="32"/>
          <w:szCs w:val="32"/>
        </w:rPr>
      </w:pPr>
    </w:p>
    <w:p w14:paraId="147C6882">
      <w:pPr>
        <w:pStyle w:val="37"/>
        <w:ind w:firstLine="640"/>
        <w:rPr>
          <w:rFonts w:ascii="宋体" w:hAnsi="宋体" w:eastAsia="宋体" w:cs="宋体"/>
          <w:sz w:val="32"/>
          <w:szCs w:val="32"/>
        </w:rPr>
      </w:pPr>
    </w:p>
    <w:p w14:paraId="70C18923">
      <w:pPr>
        <w:pStyle w:val="37"/>
        <w:ind w:firstLine="640"/>
        <w:rPr>
          <w:rFonts w:ascii="宋体" w:hAnsi="宋体" w:eastAsia="宋体" w:cs="宋体"/>
          <w:sz w:val="32"/>
          <w:szCs w:val="32"/>
        </w:rPr>
      </w:pPr>
    </w:p>
    <w:p w14:paraId="1C34F85F">
      <w:pPr>
        <w:pStyle w:val="37"/>
        <w:ind w:firstLine="640"/>
        <w:rPr>
          <w:rFonts w:ascii="宋体" w:hAnsi="宋体" w:eastAsia="宋体" w:cs="宋体"/>
          <w:sz w:val="32"/>
          <w:szCs w:val="32"/>
        </w:rPr>
      </w:pPr>
    </w:p>
    <w:p w14:paraId="01E8915D">
      <w:pPr>
        <w:pStyle w:val="37"/>
        <w:ind w:firstLine="640"/>
        <w:rPr>
          <w:rFonts w:ascii="宋体" w:hAnsi="宋体" w:eastAsia="宋体" w:cs="宋体"/>
          <w:sz w:val="32"/>
          <w:szCs w:val="32"/>
        </w:rPr>
      </w:pPr>
    </w:p>
    <w:p w14:paraId="218AA9DB">
      <w:pPr>
        <w:pStyle w:val="37"/>
        <w:ind w:firstLine="640"/>
        <w:rPr>
          <w:rFonts w:ascii="宋体" w:hAnsi="宋体" w:eastAsia="宋体" w:cs="宋体"/>
          <w:sz w:val="32"/>
          <w:szCs w:val="32"/>
        </w:rPr>
      </w:pPr>
    </w:p>
    <w:p w14:paraId="368E98C1">
      <w:pPr>
        <w:pStyle w:val="37"/>
        <w:ind w:firstLine="640"/>
        <w:rPr>
          <w:rFonts w:ascii="宋体" w:hAnsi="宋体" w:eastAsia="宋体" w:cs="宋体"/>
          <w:sz w:val="32"/>
          <w:szCs w:val="32"/>
        </w:rPr>
      </w:pPr>
    </w:p>
    <w:p w14:paraId="54ACD1B3">
      <w:pPr>
        <w:pStyle w:val="37"/>
        <w:ind w:firstLine="640"/>
        <w:rPr>
          <w:rFonts w:ascii="宋体" w:hAnsi="宋体" w:eastAsia="宋体" w:cs="宋体"/>
          <w:sz w:val="32"/>
          <w:szCs w:val="32"/>
        </w:rPr>
      </w:pPr>
    </w:p>
    <w:p w14:paraId="52499CD9">
      <w:pPr>
        <w:pStyle w:val="37"/>
        <w:ind w:firstLine="640"/>
        <w:rPr>
          <w:rFonts w:ascii="宋体" w:hAnsi="宋体" w:eastAsia="宋体" w:cs="宋体"/>
          <w:sz w:val="32"/>
          <w:szCs w:val="32"/>
        </w:rPr>
      </w:pPr>
    </w:p>
    <w:p w14:paraId="16022C69">
      <w:pPr>
        <w:pStyle w:val="37"/>
        <w:ind w:firstLine="640"/>
        <w:rPr>
          <w:rFonts w:ascii="宋体" w:hAnsi="宋体" w:eastAsia="宋体" w:cs="宋体"/>
          <w:sz w:val="32"/>
          <w:szCs w:val="32"/>
        </w:rPr>
      </w:pPr>
    </w:p>
    <w:p w14:paraId="16C63E45">
      <w:pPr>
        <w:pStyle w:val="37"/>
        <w:ind w:firstLine="640"/>
        <w:rPr>
          <w:rFonts w:ascii="宋体" w:hAnsi="宋体" w:eastAsia="宋体" w:cs="宋体"/>
          <w:sz w:val="32"/>
          <w:szCs w:val="32"/>
        </w:rPr>
      </w:pPr>
    </w:p>
    <w:p w14:paraId="58A65834">
      <w:pPr>
        <w:pStyle w:val="37"/>
        <w:ind w:firstLine="640"/>
        <w:rPr>
          <w:rFonts w:ascii="宋体" w:hAnsi="宋体" w:eastAsia="宋体" w:cs="宋体"/>
          <w:sz w:val="32"/>
          <w:szCs w:val="32"/>
        </w:rPr>
      </w:pPr>
    </w:p>
    <w:p w14:paraId="48F15D3A">
      <w:pPr>
        <w:pStyle w:val="37"/>
        <w:ind w:firstLine="640"/>
        <w:rPr>
          <w:rFonts w:ascii="宋体" w:hAnsi="宋体" w:eastAsia="宋体" w:cs="宋体"/>
          <w:sz w:val="32"/>
          <w:szCs w:val="32"/>
        </w:rPr>
      </w:pPr>
    </w:p>
    <w:p w14:paraId="3E1CE5B3">
      <w:pPr>
        <w:pStyle w:val="37"/>
        <w:ind w:firstLine="640"/>
        <w:rPr>
          <w:rFonts w:ascii="宋体" w:hAnsi="宋体" w:eastAsia="宋体" w:cs="宋体"/>
          <w:sz w:val="32"/>
          <w:szCs w:val="32"/>
        </w:rPr>
      </w:pPr>
    </w:p>
    <w:p w14:paraId="2EA34F85">
      <w:pPr>
        <w:pStyle w:val="37"/>
        <w:ind w:firstLine="640"/>
        <w:rPr>
          <w:rFonts w:ascii="宋体" w:hAnsi="宋体" w:eastAsia="宋体" w:cs="宋体"/>
          <w:sz w:val="32"/>
          <w:szCs w:val="32"/>
        </w:rPr>
      </w:pPr>
    </w:p>
    <w:p w14:paraId="1AF58BAB">
      <w:pPr>
        <w:rPr>
          <w:rFonts w:ascii="宋体" w:hAnsi="宋体" w:eastAsia="宋体" w:cs="宋体"/>
          <w:sz w:val="32"/>
          <w:szCs w:val="32"/>
        </w:rPr>
      </w:pPr>
      <w:r>
        <w:rPr>
          <w:rFonts w:ascii="宋体" w:hAnsi="宋体" w:eastAsia="宋体" w:cs="宋体"/>
          <w:sz w:val="32"/>
          <w:szCs w:val="32"/>
        </w:rPr>
        <w:br w:type="page"/>
      </w:r>
    </w:p>
    <w:p w14:paraId="05596070">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二十、最后报价表</w:t>
      </w:r>
    </w:p>
    <w:p w14:paraId="3A7A1596">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项目名称：                       </w:t>
      </w:r>
    </w:p>
    <w:p w14:paraId="53321B7D">
      <w:pPr>
        <w:wordWrap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 xml:space="preserve">编号： </w:t>
      </w:r>
      <w:r>
        <w:rPr>
          <w:rFonts w:hint="eastAsia" w:asciiTheme="minorEastAsia" w:hAnsiTheme="minorEastAsia" w:eastAsiaTheme="minorEastAsia" w:cstheme="minorEastAsia"/>
          <w:bCs/>
          <w:color w:val="auto"/>
          <w:szCs w:val="21"/>
          <w:highlight w:val="none"/>
        </w:rPr>
        <w:t xml:space="preserve">                                        </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6485"/>
      </w:tblGrid>
      <w:tr w14:paraId="31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7E746736">
            <w:pPr>
              <w:wordWrap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供应商名称</w:t>
            </w:r>
          </w:p>
        </w:tc>
        <w:tc>
          <w:tcPr>
            <w:tcW w:w="3244" w:type="pct"/>
            <w:tcBorders>
              <w:right w:val="single" w:color="auto" w:sz="4" w:space="0"/>
            </w:tcBorders>
            <w:vAlign w:val="center"/>
          </w:tcPr>
          <w:p w14:paraId="43578835">
            <w:pPr>
              <w:wordWrap w:val="0"/>
              <w:spacing w:line="360" w:lineRule="auto"/>
              <w:jc w:val="center"/>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4"/>
                <w:szCs w:val="24"/>
                <w:highlight w:val="none"/>
              </w:rPr>
              <w:t>最后报价</w:t>
            </w:r>
            <w:r>
              <w:rPr>
                <w:rFonts w:hint="eastAsia" w:asciiTheme="minorEastAsia" w:hAnsiTheme="minorEastAsia" w:eastAsiaTheme="minorEastAsia" w:cstheme="minorEastAsia"/>
                <w:color w:val="auto"/>
                <w:sz w:val="24"/>
                <w:szCs w:val="24"/>
                <w:highlight w:val="none"/>
                <w:lang w:eastAsia="zh-CN"/>
              </w:rPr>
              <w:t>（元）</w:t>
            </w:r>
          </w:p>
        </w:tc>
      </w:tr>
      <w:tr w14:paraId="749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5E585F86">
            <w:pPr>
              <w:wordWrap w:val="0"/>
              <w:spacing w:line="360" w:lineRule="auto"/>
              <w:rPr>
                <w:rFonts w:asciiTheme="minorEastAsia" w:hAnsiTheme="minorEastAsia" w:eastAsiaTheme="minorEastAsia" w:cstheme="minorEastAsia"/>
                <w:color w:val="auto"/>
                <w:szCs w:val="21"/>
                <w:highlight w:val="none"/>
              </w:rPr>
            </w:pPr>
          </w:p>
        </w:tc>
        <w:tc>
          <w:tcPr>
            <w:tcW w:w="3244" w:type="pct"/>
            <w:tcBorders>
              <w:right w:val="single" w:color="auto" w:sz="4" w:space="0"/>
            </w:tcBorders>
            <w:vAlign w:val="center"/>
          </w:tcPr>
          <w:p w14:paraId="1CAB8318">
            <w:pPr>
              <w:wordWrap w:val="0"/>
              <w:spacing w:line="360" w:lineRule="auto"/>
              <w:jc w:val="center"/>
              <w:rPr>
                <w:rFonts w:asciiTheme="minorEastAsia" w:hAnsiTheme="minorEastAsia" w:eastAsiaTheme="minorEastAsia" w:cstheme="minorEastAsia"/>
                <w:color w:val="auto"/>
                <w:szCs w:val="21"/>
                <w:highlight w:val="none"/>
              </w:rPr>
            </w:pPr>
          </w:p>
        </w:tc>
      </w:tr>
    </w:tbl>
    <w:p w14:paraId="3B9ADB08">
      <w:pPr>
        <w:wordWrap w:val="0"/>
        <w:spacing w:line="360" w:lineRule="auto"/>
        <w:rPr>
          <w:rFonts w:asciiTheme="minorEastAsia" w:hAnsiTheme="minorEastAsia" w:eastAsiaTheme="minorEastAsia" w:cstheme="minorEastAsia"/>
          <w:color w:val="auto"/>
          <w:szCs w:val="21"/>
          <w:highlight w:val="none"/>
          <w:lang w:eastAsia="zh-CN"/>
        </w:rPr>
      </w:pPr>
    </w:p>
    <w:p w14:paraId="7B250E9D">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注：1、此表不需填写，不需放入响应文件格式内。</w:t>
      </w:r>
    </w:p>
    <w:p w14:paraId="7C201187">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2、此表为通过初步审查合格的供应商按照谈判要求及系统格式填写。</w:t>
      </w:r>
    </w:p>
    <w:p w14:paraId="3AA7E3B5">
      <w:pPr>
        <w:wordWrap w:val="0"/>
        <w:spacing w:line="315" w:lineRule="auto"/>
        <w:ind w:firstLine="480" w:firstLineChars="200"/>
        <w:rPr>
          <w:rFonts w:asciiTheme="minorEastAsia" w:hAnsiTheme="minorEastAsia" w:eastAsiaTheme="minorEastAsia" w:cstheme="minorEastAsia"/>
          <w:color w:val="auto"/>
          <w:sz w:val="24"/>
          <w:szCs w:val="24"/>
          <w:highlight w:val="none"/>
          <w:lang w:eastAsia="zh-CN"/>
        </w:rPr>
      </w:pPr>
    </w:p>
    <w:p w14:paraId="3D546CA7">
      <w:pPr>
        <w:wordWrap w:val="0"/>
        <w:rPr>
          <w:rFonts w:asciiTheme="minorEastAsia" w:hAnsiTheme="minorEastAsia" w:eastAsiaTheme="minorEastAsia" w:cstheme="minorEastAsia"/>
          <w:color w:val="auto"/>
          <w:sz w:val="24"/>
          <w:szCs w:val="24"/>
          <w:highlight w:val="none"/>
          <w:lang w:eastAsia="zh-CN"/>
        </w:rPr>
      </w:pPr>
    </w:p>
    <w:p w14:paraId="433AB8D3">
      <w:pPr>
        <w:wordWrap w:val="0"/>
        <w:rPr>
          <w:rFonts w:asciiTheme="minorEastAsia" w:hAnsiTheme="minorEastAsia" w:eastAsiaTheme="minorEastAsia" w:cstheme="minorEastAsia"/>
          <w:color w:val="auto"/>
          <w:sz w:val="24"/>
          <w:szCs w:val="24"/>
          <w:highlight w:val="none"/>
          <w:lang w:eastAsia="zh-CN"/>
        </w:rPr>
      </w:pPr>
    </w:p>
    <w:p w14:paraId="693868CF">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7503B8D0">
      <w:pPr>
        <w:wordWrap w:val="0"/>
        <w:rPr>
          <w:rFonts w:asciiTheme="minorEastAsia" w:hAnsiTheme="minorEastAsia" w:eastAsiaTheme="minorEastAsia" w:cstheme="minorEastAsia"/>
          <w:color w:val="auto"/>
          <w:sz w:val="24"/>
          <w:szCs w:val="24"/>
          <w:highlight w:val="none"/>
          <w:lang w:eastAsia="zh-CN"/>
        </w:rPr>
      </w:pPr>
    </w:p>
    <w:p w14:paraId="008C9DA0">
      <w:pPr>
        <w:wordWrap w:val="0"/>
        <w:rPr>
          <w:rFonts w:asciiTheme="minorEastAsia" w:hAnsiTheme="minorEastAsia" w:eastAsiaTheme="minorEastAsia" w:cstheme="minorEastAsia"/>
          <w:color w:val="auto"/>
          <w:sz w:val="24"/>
          <w:szCs w:val="24"/>
          <w:highlight w:val="none"/>
          <w:lang w:eastAsia="zh-CN"/>
        </w:rPr>
      </w:pPr>
    </w:p>
    <w:p w14:paraId="1DBB7FBC">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p>
    <w:p w14:paraId="07A6DF9B">
      <w:pPr>
        <w:widowControl/>
        <w:rPr>
          <w:rFonts w:asciiTheme="minorEastAsia" w:hAnsiTheme="minorEastAsia" w:eastAsiaTheme="minorEastAsia" w:cstheme="minorEastAsia"/>
          <w:color w:val="auto"/>
          <w:sz w:val="24"/>
          <w:szCs w:val="24"/>
          <w:highlight w:val="none"/>
          <w:u w:val="single"/>
          <w:lang w:eastAsia="zh-CN"/>
        </w:rPr>
      </w:pPr>
    </w:p>
    <w:p w14:paraId="6D1F06C6">
      <w:pPr>
        <w:widowControl/>
        <w:rPr>
          <w:rFonts w:hint="eastAsia" w:ascii="宋体" w:hAnsi="宋体" w:cs="宋体"/>
          <w:b/>
          <w:bCs/>
          <w:color w:val="auto"/>
          <w:sz w:val="44"/>
          <w:szCs w:val="44"/>
        </w:rPr>
      </w:pPr>
      <w:r>
        <w:rPr>
          <w:rFonts w:asciiTheme="minorEastAsia" w:hAnsiTheme="minorEastAsia" w:eastAsiaTheme="minorEastAsia" w:cstheme="minorEastAsia"/>
          <w:color w:val="auto"/>
          <w:sz w:val="24"/>
          <w:szCs w:val="24"/>
          <w:highlight w:val="none"/>
          <w:lang w:eastAsia="zh-CN"/>
        </w:rPr>
        <w:br w:type="page"/>
      </w:r>
    </w:p>
    <w:p w14:paraId="318C7247">
      <w:pPr>
        <w:pStyle w:val="2"/>
        <w:numPr>
          <w:ilvl w:val="0"/>
          <w:numId w:val="9"/>
        </w:numPr>
        <w:bidi w:val="0"/>
        <w:spacing w:line="240" w:lineRule="auto"/>
        <w:jc w:val="center"/>
        <w:rPr>
          <w:rFonts w:hint="eastAsia"/>
        </w:rPr>
      </w:pPr>
      <w:bookmarkStart w:id="87" w:name="_Toc17192"/>
      <w:r>
        <w:rPr>
          <w:rFonts w:hint="eastAsia"/>
        </w:rPr>
        <w:t>附件</w:t>
      </w:r>
      <w:bookmarkEnd w:id="87"/>
    </w:p>
    <w:p w14:paraId="0BF7330F">
      <w:pPr>
        <w:pStyle w:val="2"/>
        <w:numPr>
          <w:ilvl w:val="0"/>
          <w:numId w:val="0"/>
        </w:numPr>
        <w:bidi w:val="0"/>
        <w:spacing w:line="240" w:lineRule="auto"/>
        <w:jc w:val="both"/>
        <w:rPr>
          <w:rFonts w:hint="eastAsia" w:ascii="宋体" w:hAnsi="宋体" w:cs="宋体"/>
          <w:b/>
          <w:bCs/>
          <w:color w:val="auto"/>
          <w:sz w:val="28"/>
          <w:szCs w:val="28"/>
        </w:rPr>
      </w:pPr>
      <w:bookmarkStart w:id="88" w:name="_Toc14160"/>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w:t>
      </w:r>
      <w:bookmarkEnd w:id="88"/>
    </w:p>
    <w:p w14:paraId="77468AB9">
      <w:pPr>
        <w:widowControl/>
        <w:autoSpaceDE w:val="0"/>
        <w:spacing w:line="240" w:lineRule="auto"/>
        <w:jc w:val="center"/>
        <w:rPr>
          <w:rFonts w:hint="eastAsia" w:ascii="宋体" w:hAnsi="宋体"/>
          <w:b/>
          <w:bCs/>
          <w:color w:val="000000"/>
          <w:sz w:val="36"/>
          <w:szCs w:val="36"/>
          <w:highlight w:val="white"/>
        </w:rPr>
      </w:pPr>
    </w:p>
    <w:p w14:paraId="0FC9E92C">
      <w:pPr>
        <w:widowControl/>
        <w:autoSpaceDE w:val="0"/>
        <w:spacing w:line="240" w:lineRule="auto"/>
        <w:jc w:val="center"/>
        <w:rPr>
          <w:rFonts w:hint="eastAsia" w:ascii="宋体" w:hAnsi="宋体"/>
          <w:b/>
          <w:bCs/>
          <w:color w:val="000000"/>
          <w:sz w:val="36"/>
          <w:szCs w:val="36"/>
          <w:highlight w:val="white"/>
        </w:rPr>
      </w:pPr>
      <w:r>
        <w:rPr>
          <w:rFonts w:hint="eastAsia" w:ascii="宋体" w:hAnsi="宋体"/>
          <w:b/>
          <w:bCs/>
          <w:color w:val="000000"/>
          <w:sz w:val="36"/>
          <w:szCs w:val="36"/>
          <w:highlight w:val="white"/>
        </w:rPr>
        <w:t>中小企业声明函（货物）</w:t>
      </w:r>
    </w:p>
    <w:p w14:paraId="3E9B866C">
      <w:pPr>
        <w:pStyle w:val="41"/>
      </w:pPr>
    </w:p>
    <w:p w14:paraId="69AFB40B">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本公司（联合体）郑重声明，根据《政府采购促进中小企业发展管理办法》（财库﹝2020﹞46 号）的规定，本公司（联合体）参加</w:t>
      </w:r>
      <w:r>
        <w:rPr>
          <w:rFonts w:hint="eastAsia" w:hAnsi="宋体"/>
          <w:i/>
          <w:iCs/>
          <w:color w:val="000000"/>
          <w:sz w:val="24"/>
          <w:szCs w:val="24"/>
          <w:highlight w:val="white"/>
          <w:u w:val="single"/>
        </w:rPr>
        <w:t>（单位名称）</w:t>
      </w:r>
      <w:r>
        <w:rPr>
          <w:rFonts w:hint="eastAsia" w:hAnsi="宋体"/>
          <w:color w:val="000000"/>
          <w:sz w:val="24"/>
          <w:szCs w:val="24"/>
          <w:highlight w:val="white"/>
        </w:rPr>
        <w:t>的</w:t>
      </w:r>
      <w:r>
        <w:rPr>
          <w:rFonts w:hint="eastAsia" w:hAnsi="宋体"/>
          <w:i/>
          <w:iCs/>
          <w:color w:val="000000"/>
          <w:sz w:val="24"/>
          <w:szCs w:val="24"/>
          <w:highlight w:val="white"/>
          <w:u w:val="single"/>
        </w:rPr>
        <w:t>（项目名称）</w:t>
      </w:r>
      <w:r>
        <w:rPr>
          <w:rFonts w:hint="eastAsia" w:hAnsi="宋体"/>
          <w:color w:val="000000"/>
          <w:sz w:val="24"/>
          <w:szCs w:val="24"/>
          <w:highlight w:val="white"/>
        </w:rPr>
        <w:t>采购活动，提供的货物全部由符合政策要求的中小企业制造。相关企业（含联合体中的中小企业、签订分包意向协议的中小企业）的具体情况如下：</w:t>
      </w:r>
    </w:p>
    <w:p w14:paraId="05FA8D14">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 xml:space="preserve">1. </w:t>
      </w:r>
      <w:r>
        <w:rPr>
          <w:rFonts w:hint="eastAsia" w:hAnsi="宋体"/>
          <w:i/>
          <w:iCs/>
          <w:color w:val="000000"/>
          <w:sz w:val="24"/>
          <w:szCs w:val="24"/>
          <w:highlight w:val="white"/>
          <w:u w:val="single"/>
        </w:rPr>
        <w:t xml:space="preserve">（标的名称） </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7838A365">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 xml:space="preserve">2. </w:t>
      </w:r>
      <w:r>
        <w:rPr>
          <w:rFonts w:hint="eastAsia" w:hAnsi="宋体"/>
          <w:i/>
          <w:iCs/>
          <w:color w:val="000000"/>
          <w:sz w:val="24"/>
          <w:szCs w:val="24"/>
          <w:highlight w:val="white"/>
          <w:u w:val="single"/>
        </w:rPr>
        <w:t>（标的名称）</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5E52DD8E">
      <w:pPr>
        <w:pStyle w:val="8"/>
        <w:snapToGrid w:val="0"/>
        <w:spacing w:line="360" w:lineRule="auto"/>
        <w:ind w:firstLine="480" w:firstLineChars="200"/>
        <w:rPr>
          <w:rFonts w:hAnsi="宋体"/>
          <w:sz w:val="24"/>
          <w:szCs w:val="24"/>
        </w:rPr>
      </w:pPr>
      <w:r>
        <w:rPr>
          <w:rFonts w:hint="eastAsia" w:hAnsi="宋体"/>
          <w:color w:val="000000"/>
          <w:sz w:val="24"/>
          <w:szCs w:val="24"/>
          <w:highlight w:val="white"/>
        </w:rPr>
        <w:t>……</w:t>
      </w:r>
    </w:p>
    <w:p w14:paraId="5543D5DF">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以上企业，不属于大企业的分支机构，不存在控股股东为大企业的情形，也不存在与大企业的负责人为同一人的情形。</w:t>
      </w:r>
    </w:p>
    <w:p w14:paraId="09502C5A">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 xml:space="preserve">本企业对上述声明内容的真实性负责。如有虚假，将依法承担相应责任。 </w:t>
      </w:r>
    </w:p>
    <w:p w14:paraId="51BBE36B">
      <w:pPr>
        <w:widowControl/>
        <w:autoSpaceDE w:val="0"/>
        <w:spacing w:after="0" w:line="360" w:lineRule="auto"/>
        <w:ind w:firstLine="1920" w:firstLineChars="800"/>
        <w:jc w:val="left"/>
        <w:rPr>
          <w:rFonts w:ascii="宋体" w:hAnsi="宋体"/>
          <w:kern w:val="0"/>
        </w:rPr>
      </w:pPr>
      <w:r>
        <w:rPr>
          <w:rFonts w:hint="eastAsia" w:ascii="宋体" w:hAnsi="宋体"/>
          <w:color w:val="000000"/>
          <w:kern w:val="0"/>
          <w:sz w:val="24"/>
          <w:highlight w:val="white"/>
        </w:rPr>
        <w:t xml:space="preserve"> </w:t>
      </w:r>
    </w:p>
    <w:p w14:paraId="712DEE3F">
      <w:pPr>
        <w:widowControl/>
        <w:autoSpaceDE w:val="0"/>
        <w:spacing w:after="0" w:line="360" w:lineRule="auto"/>
        <w:ind w:firstLine="4560" w:firstLineChars="1900"/>
        <w:jc w:val="left"/>
        <w:rPr>
          <w:rFonts w:hint="eastAsia" w:ascii="宋体" w:hAnsi="宋体"/>
          <w:color w:val="000000"/>
          <w:kern w:val="0"/>
          <w:sz w:val="24"/>
          <w:highlight w:val="white"/>
        </w:rPr>
      </w:pPr>
    </w:p>
    <w:p w14:paraId="7EAD8A68">
      <w:pPr>
        <w:widowControl/>
        <w:autoSpaceDE w:val="0"/>
        <w:spacing w:after="0" w:line="360" w:lineRule="auto"/>
        <w:ind w:firstLine="4560" w:firstLineChars="1900"/>
        <w:jc w:val="left"/>
        <w:rPr>
          <w:rFonts w:ascii="宋体" w:hAnsi="宋体"/>
        </w:rPr>
      </w:pPr>
      <w:r>
        <w:rPr>
          <w:rFonts w:hint="eastAsia" w:ascii="宋体" w:hAnsi="宋体"/>
          <w:color w:val="000000"/>
          <w:kern w:val="0"/>
          <w:sz w:val="24"/>
          <w:highlight w:val="white"/>
        </w:rPr>
        <w:t xml:space="preserve">企业名称（电子签章）： </w:t>
      </w:r>
    </w:p>
    <w:p w14:paraId="30F0E0A8">
      <w:pPr>
        <w:widowControl/>
        <w:autoSpaceDE w:val="0"/>
        <w:spacing w:after="0" w:line="360" w:lineRule="auto"/>
        <w:ind w:firstLine="4560" w:firstLineChars="1900"/>
        <w:jc w:val="left"/>
        <w:rPr>
          <w:rFonts w:ascii="宋体" w:hAnsi="宋体"/>
          <w:kern w:val="0"/>
        </w:rPr>
      </w:pPr>
      <w:r>
        <w:rPr>
          <w:rFonts w:hint="eastAsia" w:ascii="宋体" w:hAnsi="宋体"/>
          <w:color w:val="000000"/>
          <w:kern w:val="0"/>
          <w:sz w:val="24"/>
          <w:highlight w:val="white"/>
        </w:rPr>
        <w:t>日 期：</w:t>
      </w:r>
    </w:p>
    <w:p w14:paraId="5A3536D5">
      <w:pPr>
        <w:widowControl/>
        <w:autoSpaceDE w:val="0"/>
        <w:ind w:firstLine="3120" w:firstLineChars="1300"/>
        <w:rPr>
          <w:rFonts w:ascii="宋体" w:hAnsi="宋体"/>
        </w:rPr>
      </w:pPr>
      <w:r>
        <w:rPr>
          <w:rFonts w:hint="eastAsia" w:ascii="宋体" w:hAnsi="宋体"/>
          <w:color w:val="000000"/>
          <w:kern w:val="0"/>
          <w:sz w:val="24"/>
          <w:highlight w:val="white"/>
        </w:rPr>
        <w:t xml:space="preserve"> </w:t>
      </w:r>
    </w:p>
    <w:p w14:paraId="75DE30AB">
      <w:pPr>
        <w:widowControl/>
        <w:autoSpaceDE w:val="0"/>
        <w:rPr>
          <w:szCs w:val="21"/>
        </w:rPr>
      </w:pPr>
      <w:r>
        <w:rPr>
          <w:rFonts w:hint="eastAsia" w:ascii="仿宋" w:hAnsi="仿宋" w:eastAsia="仿宋"/>
          <w:color w:val="000000"/>
          <w:kern w:val="0"/>
          <w:sz w:val="31"/>
          <w:szCs w:val="31"/>
          <w:highlight w:val="white"/>
          <w:u w:val="single"/>
        </w:rPr>
        <w:t xml:space="preserve">                    </w:t>
      </w:r>
      <w:r>
        <w:rPr>
          <w:rFonts w:hint="eastAsia" w:ascii="仿宋" w:hAnsi="仿宋" w:eastAsia="仿宋"/>
          <w:color w:val="000000"/>
          <w:kern w:val="0"/>
          <w:sz w:val="31"/>
          <w:szCs w:val="31"/>
          <w:highlight w:val="white"/>
        </w:rPr>
        <w:t xml:space="preserve"> </w:t>
      </w:r>
    </w:p>
    <w:p w14:paraId="0327206A">
      <w:pPr>
        <w:widowControl/>
        <w:autoSpaceDE w:val="0"/>
        <w:jc w:val="left"/>
      </w:pPr>
      <w:r>
        <w:rPr>
          <w:color w:val="000000"/>
          <w:kern w:val="0"/>
          <w:sz w:val="11"/>
          <w:szCs w:val="11"/>
          <w:highlight w:val="white"/>
        </w:rPr>
        <w:t xml:space="preserve">1 </w:t>
      </w:r>
      <w:r>
        <w:rPr>
          <w:rFonts w:hint="eastAsia" w:ascii="宋体" w:hAnsi="宋体"/>
          <w:color w:val="000000"/>
          <w:kern w:val="0"/>
          <w:sz w:val="18"/>
          <w:szCs w:val="18"/>
          <w:highlight w:val="white"/>
        </w:rPr>
        <w:t>从业人员、营业收入、资产总额填报上一年度数据，无上一年度数据的新成立企业可不填报。</w:t>
      </w:r>
    </w:p>
    <w:p w14:paraId="4BBDF393">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679952D9">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4E735F00">
      <w:pPr>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br w:type="page"/>
      </w:r>
    </w:p>
    <w:p w14:paraId="010D6ADF">
      <w:pPr>
        <w:pStyle w:val="42"/>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二</w:t>
      </w:r>
      <w:r>
        <w:rPr>
          <w:rFonts w:hint="eastAsia" w:ascii="宋体" w:hAnsi="宋体" w:cs="宋体"/>
          <w:b/>
          <w:color w:val="auto"/>
          <w:kern w:val="2"/>
          <w:sz w:val="28"/>
          <w:szCs w:val="28"/>
          <w:lang w:val="zh-CN"/>
        </w:rPr>
        <w:t>：</w:t>
      </w:r>
    </w:p>
    <w:p w14:paraId="5C357283">
      <w:pPr>
        <w:pStyle w:val="2"/>
        <w:jc w:val="center"/>
        <w:rPr>
          <w:rFonts w:hint="eastAsia" w:ascii="宋体" w:hAnsi="宋体" w:cs="宋体"/>
          <w:b w:val="0"/>
          <w:color w:val="auto"/>
          <w:sz w:val="28"/>
          <w:szCs w:val="28"/>
        </w:rPr>
      </w:pPr>
      <w:bookmarkStart w:id="89" w:name="_Toc11759"/>
      <w:bookmarkStart w:id="90" w:name="_Toc26887382"/>
      <w:bookmarkStart w:id="91" w:name="_Toc55569576"/>
      <w:r>
        <w:rPr>
          <w:rFonts w:hint="eastAsia" w:ascii="宋体" w:hAnsi="宋体" w:cs="宋体"/>
          <w:color w:val="auto"/>
          <w:sz w:val="28"/>
          <w:szCs w:val="28"/>
        </w:rPr>
        <w:t>残疾人福利性单位声明函（格式）</w:t>
      </w:r>
      <w:bookmarkEnd w:id="89"/>
      <w:bookmarkEnd w:id="90"/>
      <w:bookmarkEnd w:id="91"/>
    </w:p>
    <w:p w14:paraId="3F61485F">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4D09AE">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68DF6F64">
      <w:pPr>
        <w:spacing w:line="588" w:lineRule="exact"/>
        <w:ind w:firstLine="504" w:firstLineChars="200"/>
        <w:rPr>
          <w:rFonts w:hint="eastAsia" w:ascii="宋体" w:hAnsi="宋体" w:cs="宋体"/>
          <w:color w:val="auto"/>
          <w:spacing w:val="6"/>
          <w:sz w:val="24"/>
        </w:rPr>
      </w:pPr>
    </w:p>
    <w:p w14:paraId="1EBB72E5">
      <w:pPr>
        <w:spacing w:line="588" w:lineRule="exact"/>
        <w:ind w:firstLine="504" w:firstLineChars="200"/>
        <w:rPr>
          <w:rFonts w:hint="eastAsia" w:ascii="宋体" w:hAnsi="宋体" w:cs="宋体"/>
          <w:color w:val="auto"/>
          <w:spacing w:val="6"/>
          <w:sz w:val="24"/>
        </w:rPr>
      </w:pPr>
    </w:p>
    <w:p w14:paraId="3D2B8F19">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14:paraId="2F181D93">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日  期：</w:t>
      </w:r>
    </w:p>
    <w:p w14:paraId="405F00A3">
      <w:pPr>
        <w:pStyle w:val="42"/>
        <w:rPr>
          <w:rFonts w:hint="eastAsia" w:ascii="宋体" w:hAnsi="宋体" w:cs="宋体"/>
          <w:b/>
          <w:bCs/>
          <w:color w:val="auto"/>
          <w:sz w:val="24"/>
          <w:szCs w:val="24"/>
          <w:lang w:val="zh-CN"/>
        </w:rPr>
      </w:pPr>
    </w:p>
    <w:p w14:paraId="1CB48E1D">
      <w:pPr>
        <w:pStyle w:val="42"/>
        <w:rPr>
          <w:rFonts w:hint="eastAsia" w:ascii="宋体" w:hAnsi="宋体" w:cs="宋体"/>
          <w:b/>
          <w:bCs/>
          <w:color w:val="auto"/>
          <w:sz w:val="24"/>
          <w:szCs w:val="24"/>
          <w:lang w:val="zh-CN"/>
        </w:rPr>
      </w:pPr>
    </w:p>
    <w:p w14:paraId="33503D14">
      <w:pPr>
        <w:spacing w:before="240" w:beforeLines="100" w:line="510" w:lineRule="exact"/>
        <w:rPr>
          <w:rFonts w:ascii="宋体" w:hAnsi="宋体" w:cs="宋体"/>
          <w:bCs/>
          <w:sz w:val="24"/>
          <w:szCs w:val="24"/>
        </w:rPr>
      </w:pPr>
    </w:p>
    <w:p w14:paraId="63701F67">
      <w:pPr>
        <w:rPr>
          <w:rFonts w:ascii="宋体" w:hAnsi="宋体" w:cs="宋体"/>
        </w:rPr>
      </w:pPr>
    </w:p>
    <w:p w14:paraId="7169C1A8">
      <w:pPr>
        <w:rPr>
          <w:rFonts w:ascii="宋体" w:hAnsi="宋体" w:cs="宋体"/>
        </w:rPr>
      </w:pPr>
    </w:p>
    <w:p w14:paraId="7E2CA7C2">
      <w:pPr>
        <w:rPr>
          <w:rFonts w:ascii="宋体" w:hAnsi="宋体" w:cs="宋体"/>
        </w:rPr>
      </w:pPr>
    </w:p>
    <w:p w14:paraId="2F6DC87C">
      <w:pPr>
        <w:rPr>
          <w:rFonts w:ascii="宋体" w:hAnsi="宋体" w:cs="宋体"/>
        </w:rPr>
      </w:pPr>
    </w:p>
    <w:p w14:paraId="05895400">
      <w:pPr>
        <w:rPr>
          <w:rFonts w:ascii="宋体" w:hAnsi="宋体" w:cs="宋体"/>
        </w:rPr>
      </w:pPr>
    </w:p>
    <w:p w14:paraId="252F9BD3">
      <w:pPr>
        <w:rPr>
          <w:rFonts w:ascii="宋体" w:hAnsi="宋体" w:cs="宋体"/>
        </w:rPr>
      </w:pPr>
    </w:p>
    <w:p w14:paraId="5E6CC480">
      <w:pPr>
        <w:rPr>
          <w:rFonts w:ascii="宋体" w:hAnsi="宋体" w:cs="宋体"/>
        </w:rPr>
      </w:pPr>
    </w:p>
    <w:p w14:paraId="54832DC5">
      <w:pPr>
        <w:rPr>
          <w:rFonts w:ascii="宋体" w:hAnsi="宋体" w:cs="宋体"/>
        </w:rPr>
      </w:pPr>
      <w:r>
        <w:rPr>
          <w:rFonts w:ascii="宋体" w:hAnsi="宋体" w:cs="宋体"/>
        </w:rPr>
        <w:br w:type="page"/>
      </w:r>
    </w:p>
    <w:p w14:paraId="0230AC86">
      <w:pPr>
        <w:autoSpaceDE w:val="0"/>
        <w:autoSpaceDN w:val="0"/>
        <w:adjustRightInd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w:t>
      </w:r>
    </w:p>
    <w:p w14:paraId="0DAA2DBD">
      <w:pPr>
        <w:jc w:val="cente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t>监狱企业证明文件</w:t>
      </w:r>
    </w:p>
    <w:p w14:paraId="003FD4C7">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（注：符合条件的监狱企业请提供本函，不符合的不提供本函）</w:t>
      </w:r>
    </w:p>
    <w:p w14:paraId="4992E78C">
      <w:pPr>
        <w:jc w:val="center"/>
        <w:rPr>
          <w:rFonts w:hint="eastAsia" w:ascii="新宋体" w:hAnsi="新宋体" w:eastAsia="新宋体"/>
          <w:color w:val="000000"/>
          <w:sz w:val="32"/>
          <w:szCs w:val="32"/>
          <w:highlight w:val="none"/>
        </w:rPr>
      </w:pPr>
    </w:p>
    <w:p w14:paraId="38B2690E">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提供由省级以上监狱管理局、戒毒管理局（含新疆生产建设兵团）出具的属于监狱企业的证明文件。</w:t>
      </w:r>
    </w:p>
    <w:p w14:paraId="2021C496">
      <w:pPr>
        <w:rPr>
          <w:rFonts w:hint="eastAsia" w:ascii="新宋体" w:hAnsi="新宋体" w:eastAsia="新宋体"/>
          <w:b/>
          <w:color w:val="000000"/>
          <w:sz w:val="32"/>
          <w:szCs w:val="32"/>
          <w:highlight w:val="none"/>
        </w:rPr>
      </w:pPr>
    </w:p>
    <w:p w14:paraId="4B2C41CB">
      <w:pPr>
        <w:rPr>
          <w:rFonts w:ascii="宋体" w:hAnsi="宋体" w:cs="宋体"/>
        </w:rPr>
      </w:pPr>
    </w:p>
    <w:p w14:paraId="2E12997F">
      <w:pPr>
        <w:widowControl/>
        <w:shd w:val="clear" w:color="auto" w:fill="FFFFFF"/>
        <w:spacing w:after="150"/>
        <w:rPr>
          <w:rFonts w:ascii="宋体" w:hAnsi="宋体" w:cs="宋体"/>
          <w:b/>
          <w:bCs/>
          <w:szCs w:val="21"/>
        </w:rPr>
      </w:pPr>
    </w:p>
    <w:p w14:paraId="3C77C639">
      <w:pPr>
        <w:rPr>
          <w:rFonts w:hint="eastAsia" w:ascii="宋体" w:hAnsi="宋体" w:cs="宋体"/>
          <w:b/>
          <w:bCs/>
          <w:szCs w:val="21"/>
        </w:rPr>
      </w:pPr>
      <w:r>
        <w:rPr>
          <w:rFonts w:hint="eastAsia" w:ascii="宋体" w:hAnsi="宋体" w:cs="宋体"/>
          <w:b/>
          <w:bCs/>
          <w:szCs w:val="21"/>
        </w:rPr>
        <w:br w:type="page"/>
      </w:r>
    </w:p>
    <w:p w14:paraId="16391F8D">
      <w:pPr>
        <w:pStyle w:val="42"/>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四</w:t>
      </w:r>
      <w:r>
        <w:rPr>
          <w:rFonts w:hint="eastAsia" w:ascii="宋体" w:hAnsi="宋体" w:cs="宋体"/>
          <w:b/>
          <w:color w:val="auto"/>
          <w:kern w:val="2"/>
          <w:sz w:val="28"/>
          <w:szCs w:val="28"/>
          <w:lang w:val="zh-CN"/>
        </w:rPr>
        <w:t>：</w:t>
      </w:r>
    </w:p>
    <w:p w14:paraId="520179F3">
      <w:pPr>
        <w:pStyle w:val="15"/>
        <w:keepNext w:val="0"/>
        <w:keepLines w:val="0"/>
        <w:widowControl/>
        <w:suppressLineNumbers w:val="0"/>
        <w:spacing w:line="432" w:lineRule="auto"/>
        <w:jc w:val="center"/>
        <w:rPr>
          <w:rStyle w:val="20"/>
          <w:rFonts w:hint="eastAsia" w:ascii="宋体" w:hAnsi="宋体" w:eastAsia="宋体" w:cs="宋体"/>
          <w:color w:val="auto"/>
          <w:sz w:val="36"/>
          <w:szCs w:val="36"/>
          <w:u w:val="none"/>
          <w:lang w:eastAsia="zh-CN"/>
        </w:rPr>
      </w:pPr>
      <w:r>
        <w:rPr>
          <w:rStyle w:val="20"/>
          <w:rFonts w:hint="eastAsia" w:ascii="宋体" w:hAnsi="宋体" w:eastAsia="宋体" w:cs="宋体"/>
          <w:color w:val="auto"/>
          <w:sz w:val="36"/>
          <w:szCs w:val="36"/>
          <w:u w:val="none"/>
        </w:rPr>
        <w:t>关于印发中小企业划型标准规定的通知</w:t>
      </w:r>
    </w:p>
    <w:p w14:paraId="108087EB">
      <w:pPr>
        <w:pStyle w:val="15"/>
        <w:keepNext w:val="0"/>
        <w:keepLines w:val="0"/>
        <w:widowControl/>
        <w:suppressLineNumbers w:val="0"/>
        <w:spacing w:line="432" w:lineRule="auto"/>
        <w:jc w:val="center"/>
        <w:rPr>
          <w:color w:val="auto"/>
        </w:rPr>
      </w:pPr>
      <w:r>
        <w:rPr>
          <w:rFonts w:ascii="楷体_GB2312" w:hAnsi="宋体" w:eastAsia="楷体_GB2312" w:cs="楷体_GB2312"/>
          <w:color w:val="auto"/>
          <w:sz w:val="24"/>
          <w:szCs w:val="24"/>
          <w:u w:val="none"/>
        </w:rPr>
        <w:t>工信部联企业〔2011〕300号</w:t>
      </w:r>
    </w:p>
    <w:p w14:paraId="5FCA431B">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各省、自治区、直辖市人民政府，国务院各部委、各直属机构及有关单位：</w:t>
      </w:r>
    </w:p>
    <w:p w14:paraId="2B4CBD1D">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63F1E3D">
      <w:pPr>
        <w:pStyle w:val="15"/>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36708CE8">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52020993">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301EBB42">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0C12CC30">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527A707F">
      <w:pPr>
        <w:pStyle w:val="15"/>
        <w:keepNext w:val="0"/>
        <w:keepLines w:val="0"/>
        <w:widowControl/>
        <w:suppressLineNumbers w:val="0"/>
        <w:spacing w:line="432" w:lineRule="auto"/>
        <w:rPr>
          <w:rFonts w:hint="eastAsia" w:ascii="宋体" w:hAnsi="宋体" w:eastAsia="宋体" w:cs="宋体"/>
          <w:color w:val="auto"/>
          <w:sz w:val="24"/>
          <w:szCs w:val="24"/>
          <w:u w:val="none"/>
        </w:rPr>
      </w:pPr>
    </w:p>
    <w:p w14:paraId="7ABCCAA7">
      <w:pPr>
        <w:pStyle w:val="15"/>
        <w:keepNext w:val="0"/>
        <w:keepLines w:val="0"/>
        <w:widowControl/>
        <w:suppressLineNumbers w:val="0"/>
        <w:spacing w:line="432" w:lineRule="auto"/>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xml:space="preserve"> 工业和信息化部　国家统计局</w:t>
      </w:r>
    </w:p>
    <w:p w14:paraId="1F1F4F0D">
      <w:pPr>
        <w:pStyle w:val="15"/>
        <w:keepNext w:val="0"/>
        <w:keepLines w:val="0"/>
        <w:widowControl/>
        <w:suppressLineNumbers w:val="0"/>
        <w:spacing w:line="432" w:lineRule="auto"/>
        <w:ind w:firstLine="5280" w:firstLineChars="2200"/>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国家发展和改革委员会　财政部</w:t>
      </w:r>
    </w:p>
    <w:p w14:paraId="1B5B56E6">
      <w:pPr>
        <w:pStyle w:val="15"/>
        <w:keepNext w:val="0"/>
        <w:keepLines w:val="0"/>
        <w:widowControl/>
        <w:suppressLineNumbers w:val="0"/>
        <w:spacing w:line="432" w:lineRule="auto"/>
        <w:ind w:firstLine="5280" w:firstLineChars="2200"/>
        <w:jc w:val="right"/>
        <w:rPr>
          <w:color w:val="auto"/>
        </w:rPr>
      </w:pPr>
      <w:r>
        <w:rPr>
          <w:rFonts w:hint="eastAsia" w:ascii="宋体" w:hAnsi="宋体" w:eastAsia="宋体" w:cs="宋体"/>
          <w:color w:val="auto"/>
          <w:sz w:val="24"/>
          <w:szCs w:val="24"/>
          <w:u w:val="none"/>
        </w:rPr>
        <w:t>　　　　　　　　　　　　　　　　　　　　　　　　二○一一年六月十八日</w:t>
      </w:r>
    </w:p>
    <w:p w14:paraId="2917319A">
      <w:pPr>
        <w:pStyle w:val="15"/>
        <w:keepNext w:val="0"/>
        <w:keepLines w:val="0"/>
        <w:widowControl/>
        <w:suppressLineNumbers w:val="0"/>
        <w:spacing w:line="432" w:lineRule="auto"/>
        <w:rPr>
          <w:color w:val="auto"/>
        </w:rPr>
      </w:pPr>
      <w:r>
        <w:rPr>
          <w:rFonts w:hint="eastAsia" w:ascii="宋体" w:hAnsi="宋体" w:eastAsia="宋体" w:cs="宋体"/>
          <w:color w:val="auto"/>
          <w:sz w:val="24"/>
          <w:szCs w:val="24"/>
          <w:u w:val="none"/>
        </w:rPr>
        <w:t> </w:t>
      </w:r>
    </w:p>
    <w:p w14:paraId="16C11276">
      <w:pPr>
        <w:widowControl/>
        <w:spacing w:line="330" w:lineRule="atLeast"/>
        <w:jc w:val="center"/>
        <w:rPr>
          <w:rFonts w:ascii="方正小标宋简体" w:hAnsi="宋体" w:eastAsia="方正小标宋简体" w:cs="宋体"/>
          <w:color w:val="auto"/>
          <w:kern w:val="0"/>
          <w:sz w:val="36"/>
          <w:szCs w:val="32"/>
        </w:rPr>
      </w:pPr>
      <w:r>
        <w:rPr>
          <w:rFonts w:hint="eastAsia" w:ascii="方正小标宋简体" w:hAnsi="宋体" w:eastAsia="方正小标宋简体" w:cs="宋体"/>
          <w:color w:val="auto"/>
          <w:kern w:val="0"/>
          <w:sz w:val="36"/>
          <w:szCs w:val="32"/>
        </w:rPr>
        <w:t>大中小微型企业划分标准</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1E75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2" w:hRule="exact"/>
          <w:jc w:val="center"/>
        </w:trPr>
        <w:tc>
          <w:tcPr>
            <w:tcW w:w="2113" w:type="dxa"/>
            <w:tcBorders>
              <w:bottom w:val="single" w:color="auto" w:sz="4" w:space="0"/>
              <w:right w:val="single" w:color="auto" w:sz="4" w:space="0"/>
            </w:tcBorders>
            <w:noWrap w:val="0"/>
            <w:vAlign w:val="center"/>
          </w:tcPr>
          <w:p w14:paraId="424B726A">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left w:val="nil"/>
              <w:bottom w:val="single" w:color="auto" w:sz="4" w:space="0"/>
              <w:right w:val="single" w:color="auto" w:sz="4" w:space="0"/>
            </w:tcBorders>
            <w:noWrap w:val="0"/>
            <w:vAlign w:val="center"/>
          </w:tcPr>
          <w:p w14:paraId="0D020C3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left w:val="nil"/>
              <w:bottom w:val="single" w:color="auto" w:sz="4" w:space="0"/>
              <w:right w:val="single" w:color="auto" w:sz="4" w:space="0"/>
            </w:tcBorders>
            <w:noWrap w:val="0"/>
            <w:vAlign w:val="center"/>
          </w:tcPr>
          <w:p w14:paraId="6B81E6A5">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71FCE1D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left w:val="nil"/>
              <w:bottom w:val="single" w:color="auto" w:sz="4" w:space="0"/>
              <w:right w:val="single" w:color="auto" w:sz="4" w:space="0"/>
            </w:tcBorders>
            <w:noWrap w:val="0"/>
            <w:vAlign w:val="center"/>
          </w:tcPr>
          <w:p w14:paraId="652ADE6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left w:val="nil"/>
              <w:bottom w:val="single" w:color="auto" w:sz="4" w:space="0"/>
              <w:right w:val="single" w:color="auto" w:sz="4" w:space="0"/>
            </w:tcBorders>
            <w:noWrap w:val="0"/>
            <w:vAlign w:val="center"/>
          </w:tcPr>
          <w:p w14:paraId="643A34D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left w:val="nil"/>
              <w:bottom w:val="single" w:color="auto" w:sz="4" w:space="0"/>
              <w:right w:val="single" w:color="auto" w:sz="4" w:space="0"/>
            </w:tcBorders>
            <w:noWrap w:val="0"/>
            <w:vAlign w:val="center"/>
          </w:tcPr>
          <w:p w14:paraId="68D0639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left w:val="nil"/>
              <w:bottom w:val="single" w:color="auto" w:sz="4" w:space="0"/>
            </w:tcBorders>
            <w:noWrap w:val="0"/>
            <w:vAlign w:val="center"/>
          </w:tcPr>
          <w:p w14:paraId="549F245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5AAF74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bottom w:val="single" w:color="auto" w:sz="4" w:space="0"/>
              <w:right w:val="single" w:color="auto" w:sz="4" w:space="0"/>
            </w:tcBorders>
            <w:noWrap w:val="0"/>
            <w:vAlign w:val="center"/>
          </w:tcPr>
          <w:p w14:paraId="1FECF03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647BE2E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EDDD65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93303F6">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0259C8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5B904BA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tcBorders>
            <w:noWrap w:val="0"/>
            <w:vAlign w:val="center"/>
          </w:tcPr>
          <w:p w14:paraId="17CDB6C7">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99D4A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708A80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noWrap w:val="0"/>
            <w:vAlign w:val="center"/>
          </w:tcPr>
          <w:p w14:paraId="42F84FB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222754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73359">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2CA33B6B">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6AA69BE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154A240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D6C24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9FC50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E822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04732D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18173D6">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75251730">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1593EEB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tcBorders>
            <w:noWrap w:val="0"/>
            <w:vAlign w:val="center"/>
          </w:tcPr>
          <w:p w14:paraId="7B830A84">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829BE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7AFFE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noWrap w:val="0"/>
            <w:vAlign w:val="center"/>
          </w:tcPr>
          <w:p w14:paraId="66006D1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27FA3D2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4D8E5B56">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noWrap w:val="0"/>
            <w:vAlign w:val="center"/>
          </w:tcPr>
          <w:p w14:paraId="11FE8892">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14:paraId="4434490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tcBorders>
            <w:noWrap w:val="0"/>
            <w:vAlign w:val="center"/>
          </w:tcPr>
          <w:p w14:paraId="40136D87">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2A28F4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63D551D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2B58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08F13A8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D7400C">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14:paraId="4624433C">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637931F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tcBorders>
            <w:noWrap w:val="0"/>
            <w:vAlign w:val="center"/>
          </w:tcPr>
          <w:p w14:paraId="38DB691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79A5B2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55D226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noWrap w:val="0"/>
            <w:vAlign w:val="center"/>
          </w:tcPr>
          <w:p w14:paraId="525A0E4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6F8A1D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7F67CE5">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087F1E43">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noWrap w:val="0"/>
            <w:vAlign w:val="center"/>
          </w:tcPr>
          <w:p w14:paraId="04131C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tcBorders>
            <w:noWrap w:val="0"/>
            <w:vAlign w:val="center"/>
          </w:tcPr>
          <w:p w14:paraId="67B3030F">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78CB6F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2294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4B3E10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20D008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4193597">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0A495356">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63BFBC49">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tcBorders>
            <w:noWrap w:val="0"/>
            <w:vAlign w:val="center"/>
          </w:tcPr>
          <w:p w14:paraId="476A9FD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9599C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F3A337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noWrap w:val="0"/>
            <w:vAlign w:val="center"/>
          </w:tcPr>
          <w:p w14:paraId="63CDFC4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FADF9B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57D466E">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26875705">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noWrap w:val="0"/>
            <w:vAlign w:val="center"/>
          </w:tcPr>
          <w:p w14:paraId="1C52F2D3">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tcBorders>
            <w:noWrap w:val="0"/>
            <w:vAlign w:val="center"/>
          </w:tcPr>
          <w:p w14:paraId="4E4CB42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5511B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317FF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40685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BB27A8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478F3F">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3D2EE7A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430462A5">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tcBorders>
            <w:noWrap w:val="0"/>
            <w:vAlign w:val="center"/>
          </w:tcPr>
          <w:p w14:paraId="4E97757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320F0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E86E74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14:paraId="19C4D1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4C58C6D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AF07B5B">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3E584412">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42DC1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4C07319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7F55F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43375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1A826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61409E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262F3B1">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0382E53F">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01747D6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tcBorders>
            <w:noWrap w:val="0"/>
            <w:vAlign w:val="center"/>
          </w:tcPr>
          <w:p w14:paraId="35471579">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522846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0898DC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noWrap w:val="0"/>
            <w:vAlign w:val="center"/>
          </w:tcPr>
          <w:p w14:paraId="7021215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09ADDF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93972BF">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677D122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noWrap w:val="0"/>
            <w:vAlign w:val="center"/>
          </w:tcPr>
          <w:p w14:paraId="001616E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tcBorders>
            <w:noWrap w:val="0"/>
            <w:vAlign w:val="center"/>
          </w:tcPr>
          <w:p w14:paraId="1A7CA2AE">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F50D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05178D62">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3D4D8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B28E74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7D863B6">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52AA560">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784BEAF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196E8C93">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54E8E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223E90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noWrap w:val="0"/>
            <w:vAlign w:val="center"/>
          </w:tcPr>
          <w:p w14:paraId="48D03D4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D2DF8D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16DE6">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4C6D88F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2FEA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042B28CD">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E1BD2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E6166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5008C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883363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061AC1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332C12FD">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7F3748D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19B4FF02">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C911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4BE50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noWrap w:val="0"/>
            <w:vAlign w:val="center"/>
          </w:tcPr>
          <w:p w14:paraId="3830043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02DCAA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2654CD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ECF526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87CD17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29F515D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A79DA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0C8156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394D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11AEFA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C199BA5">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5EA8F499">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1E977DB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2B774F94">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BBF02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9A8BA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noWrap w:val="0"/>
            <w:vAlign w:val="center"/>
          </w:tcPr>
          <w:p w14:paraId="7F9F15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0C4257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66C218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1F81BD1">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4871FD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62D7507F">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7CEB9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5EA85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016F32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161B3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9548D4">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35D42C7">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2F44621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41ECD2EE">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848C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F6A83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14:paraId="4413BE7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DA1405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3CC9E5F">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noWrap w:val="0"/>
            <w:vAlign w:val="center"/>
          </w:tcPr>
          <w:p w14:paraId="7831FBE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noWrap w:val="0"/>
            <w:vAlign w:val="center"/>
          </w:tcPr>
          <w:p w14:paraId="6597E2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7EABB4D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8EA9D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A246A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5F46C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CDC09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85DD0F4">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60F7287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2AD390C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10B8E7D0">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6FDF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bottom w:val="single" w:color="auto" w:sz="4" w:space="0"/>
              <w:right w:val="single" w:color="auto" w:sz="4" w:space="0"/>
            </w:tcBorders>
            <w:noWrap w:val="0"/>
            <w:vAlign w:val="center"/>
          </w:tcPr>
          <w:p w14:paraId="4606F291">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noWrap w:val="0"/>
            <w:vAlign w:val="center"/>
          </w:tcPr>
          <w:p w14:paraId="463FDED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BE5AC7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22E350B">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0311D87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BD414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5EE42B6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F5A54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bottom w:val="single" w:color="auto" w:sz="4" w:space="0"/>
              <w:right w:val="single" w:color="auto" w:sz="4" w:space="0"/>
            </w:tcBorders>
            <w:noWrap w:val="0"/>
            <w:vAlign w:val="center"/>
          </w:tcPr>
          <w:p w14:paraId="3542407E">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195566F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39F5D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B642820">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698DEA37">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22D49BF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tcBorders>
            <w:noWrap w:val="0"/>
            <w:vAlign w:val="center"/>
          </w:tcPr>
          <w:p w14:paraId="286A20C9">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23718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508F75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14:paraId="453AB4E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64818AF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1CF00FB2">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noWrap w:val="0"/>
            <w:vAlign w:val="center"/>
          </w:tcPr>
          <w:p w14:paraId="7442CD5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14:paraId="1838AD6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tcBorders>
            <w:noWrap w:val="0"/>
            <w:vAlign w:val="center"/>
          </w:tcPr>
          <w:p w14:paraId="64AD489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8B393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1C2C42F">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021CE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12B5BBB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8F00FA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14:paraId="6B606E9E">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67A0A3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tcBorders>
            <w:noWrap w:val="0"/>
            <w:vAlign w:val="center"/>
          </w:tcPr>
          <w:p w14:paraId="3A2B0626">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06F735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E1D0B4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14:paraId="71591B5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348B2E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67621D0">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53DB7FFD">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0825CA5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tcBorders>
            <w:noWrap w:val="0"/>
            <w:vAlign w:val="center"/>
          </w:tcPr>
          <w:p w14:paraId="59B5764F">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319BAE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29FDEC8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762D8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A24C5C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CEAD098">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14:paraId="427B385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69A3E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tcBorders>
            <w:noWrap w:val="0"/>
            <w:vAlign w:val="center"/>
          </w:tcPr>
          <w:p w14:paraId="59BF81C4">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6FDE1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6EB9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14:paraId="159AEB2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794F34D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ABA7950">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342CE04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06C5225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7B410AE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54D7A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456E5BE">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1E6A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49EE308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BE8C18B">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4A04385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6A938D8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tcBorders>
            <w:noWrap w:val="0"/>
            <w:vAlign w:val="center"/>
          </w:tcPr>
          <w:p w14:paraId="21E245D2">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20FC45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right w:val="single" w:color="auto" w:sz="4" w:space="0"/>
            </w:tcBorders>
            <w:noWrap w:val="0"/>
            <w:vAlign w:val="center"/>
          </w:tcPr>
          <w:p w14:paraId="4748F91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right w:val="single" w:color="auto" w:sz="4" w:space="0"/>
            </w:tcBorders>
            <w:noWrap w:val="0"/>
            <w:vAlign w:val="center"/>
          </w:tcPr>
          <w:p w14:paraId="5790E15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right w:val="single" w:color="auto" w:sz="4" w:space="0"/>
            </w:tcBorders>
            <w:noWrap w:val="0"/>
            <w:vAlign w:val="center"/>
          </w:tcPr>
          <w:p w14:paraId="21CA352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right w:val="single" w:color="auto" w:sz="4" w:space="0"/>
            </w:tcBorders>
            <w:noWrap w:val="0"/>
            <w:vAlign w:val="center"/>
          </w:tcPr>
          <w:p w14:paraId="2D8108B8">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right w:val="single" w:color="auto" w:sz="4" w:space="0"/>
            </w:tcBorders>
            <w:noWrap w:val="0"/>
            <w:vAlign w:val="center"/>
          </w:tcPr>
          <w:p w14:paraId="73E09D0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right w:val="single" w:color="auto" w:sz="4" w:space="0"/>
            </w:tcBorders>
            <w:noWrap w:val="0"/>
            <w:vAlign w:val="center"/>
          </w:tcPr>
          <w:p w14:paraId="2F9802B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tcBorders>
            <w:noWrap w:val="0"/>
            <w:vAlign w:val="center"/>
          </w:tcPr>
          <w:p w14:paraId="5F4B0B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33506FC2">
      <w:pPr>
        <w:pStyle w:val="15"/>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5B32A2BB">
      <w:pPr>
        <w:pStyle w:val="15"/>
        <w:keepNext w:val="0"/>
        <w:keepLines w:val="0"/>
        <w:widowControl/>
        <w:suppressLineNumbers w:val="0"/>
        <w:spacing w:line="432" w:lineRule="auto"/>
        <w:jc w:val="center"/>
        <w:rPr>
          <w:rStyle w:val="20"/>
          <w:rFonts w:hint="eastAsia" w:ascii="宋体" w:hAnsi="宋体" w:eastAsia="宋体" w:cs="宋体"/>
          <w:color w:val="auto"/>
          <w:sz w:val="36"/>
          <w:szCs w:val="36"/>
          <w:u w:val="none"/>
        </w:rPr>
      </w:pPr>
    </w:p>
    <w:p w14:paraId="13A0F835">
      <w:pPr>
        <w:pStyle w:val="15"/>
        <w:keepNext w:val="0"/>
        <w:keepLines w:val="0"/>
        <w:widowControl/>
        <w:suppressLineNumbers w:val="0"/>
        <w:spacing w:line="432" w:lineRule="auto"/>
        <w:jc w:val="center"/>
        <w:rPr>
          <w:rStyle w:val="20"/>
          <w:rFonts w:hint="eastAsia" w:ascii="宋体" w:hAnsi="宋体" w:eastAsia="宋体" w:cs="宋体"/>
          <w:color w:val="auto"/>
          <w:sz w:val="36"/>
          <w:szCs w:val="36"/>
          <w:u w:val="none"/>
        </w:rPr>
      </w:pPr>
      <w:r>
        <w:rPr>
          <w:rStyle w:val="20"/>
          <w:rFonts w:hint="eastAsia" w:ascii="宋体" w:hAnsi="宋体" w:eastAsia="宋体" w:cs="宋体"/>
          <w:color w:val="auto"/>
          <w:sz w:val="36"/>
          <w:szCs w:val="36"/>
          <w:u w:val="none"/>
        </w:rPr>
        <w:t>中小企业划型标准规定</w:t>
      </w:r>
    </w:p>
    <w:p w14:paraId="146B04F8">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一、根据《中华人民共和国中小企业促进法》和《国务院关于进一步促进中小企业发展的若干意见》(国发〔2009〕36号)，制定本规定。</w:t>
      </w:r>
    </w:p>
    <w:p w14:paraId="05C067D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二、中小企业划分为中型、小型、微型三种类型，具体标准根据企业从业人员、营业收入、资产总额等指标，结合行业特点制定。</w:t>
      </w:r>
    </w:p>
    <w:p w14:paraId="7125246B">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33FC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四、各行业划型标准为：</w:t>
      </w:r>
    </w:p>
    <w:p w14:paraId="40A3F0D0">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（一）农、林、牧、渔业。营业收入20000万元以下的为中小微型企业。其中，营业收入500万元及以上的为中型企业，营业收入50万元及以上的为小型企业，营业收入50万元以下的为微型企业。</w:t>
      </w:r>
    </w:p>
    <w:p w14:paraId="4628084D">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E98B24">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908FE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F6CC5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5C3B52">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C246FD">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230E6">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C89BB5">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1802E">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CA365">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C572F4">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8A935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8BCBDF">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8080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EDBBCA">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（十六）其他未列明行业。从业人员300人以下的为中小微型企业。其中，从业人员100人及以上的为中型企业；从业人员10人及以上的为小型企业；从业人员10人以下的为微型企业。</w:t>
      </w:r>
    </w:p>
    <w:p w14:paraId="491E8A3E">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五、企业类型的划分以统计部门的统计数据为依据。</w:t>
      </w:r>
    </w:p>
    <w:p w14:paraId="227E584C">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六、本规定适用于在中华人民共和国境内依法设立的各类所有制和各种组织形式的企业。个体工商户和本规定以外的行业，参照本规定进行划型。</w:t>
      </w:r>
    </w:p>
    <w:p w14:paraId="4771D7C1">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122E139">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八、本规定由工业和信息化部、国家统计局会同有关部门根据《国民经济行业分类》修订情况和企业发展变化情况适时修订。</w:t>
      </w:r>
    </w:p>
    <w:p w14:paraId="12248CE1">
      <w:pPr>
        <w:pStyle w:val="15"/>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九、本规定由工业和信息化部、国家统计局会同有关部门负责解释。</w:t>
      </w:r>
    </w:p>
    <w:p w14:paraId="5995F44F">
      <w:pPr>
        <w:pStyle w:val="15"/>
        <w:keepNext w:val="0"/>
        <w:keepLines w:val="0"/>
        <w:widowControl/>
        <w:suppressLineNumbers w:val="0"/>
        <w:spacing w:line="432" w:lineRule="auto"/>
      </w:pPr>
      <w:r>
        <w:rPr>
          <w:rFonts w:hint="eastAsia" w:ascii="宋体" w:hAnsi="宋体" w:eastAsia="宋体" w:cs="宋体"/>
          <w:color w:val="auto"/>
          <w:sz w:val="24"/>
          <w:szCs w:val="24"/>
          <w:u w:val="none"/>
        </w:rPr>
        <w:t>　　十、本规定自发布之日起执行，原国家经贸委、原国家计委、财政部和国家统计局2003年颁布的《中小企业标准暂行规定》同时废止。</w:t>
      </w:r>
    </w:p>
    <w:sectPr>
      <w:footerReference r:id="rId10" w:type="default"/>
      <w:pgSz w:w="11906" w:h="16838"/>
      <w:pgMar w:top="1134" w:right="992"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 正文 )">
    <w:altName w:val="等线"/>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C7E2">
    <w:pPr>
      <w:pStyle w:val="10"/>
      <w:framePr w:wrap="around" w:vAnchor="text" w:hAnchor="margin" w:xAlign="center" w:y="1"/>
      <w:rPr>
        <w:rStyle w:val="21"/>
        <w:b w:val="0"/>
      </w:rPr>
    </w:pPr>
    <w:r>
      <w:fldChar w:fldCharType="begin"/>
    </w:r>
    <w:r>
      <w:rPr>
        <w:rStyle w:val="21"/>
        <w:b w:val="0"/>
      </w:rPr>
      <w:instrText xml:space="preserve">PAGE  </w:instrText>
    </w:r>
    <w:r>
      <w:fldChar w:fldCharType="separate"/>
    </w:r>
    <w:r>
      <w:fldChar w:fldCharType="end"/>
    </w:r>
  </w:p>
  <w:p w14:paraId="4426A06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8A8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95C4">
    <w:pPr>
      <w:pStyle w:val="1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21D">
    <w:pPr>
      <w:spacing w:line="14" w:lineRule="auto"/>
      <w:rPr>
        <w:rFonts w:ascii="宋体" w:hAnsi="宋体" w:cs="宋体"/>
        <w:sz w:val="20"/>
        <w:szCs w:val="21"/>
        <w:lang w:eastAsia="en-US"/>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4675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44675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32CA">
    <w:pPr>
      <w:tabs>
        <w:tab w:val="left" w:pos="318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9DF7A">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E9DF7A">
                    <w:pPr>
                      <w:pStyle w:val="10"/>
                    </w:pPr>
                    <w:r>
                      <w:fldChar w:fldCharType="begin"/>
                    </w:r>
                    <w:r>
                      <w:instrText xml:space="preserve"> PAGE  \* MERGEFORMAT </w:instrText>
                    </w:r>
                    <w:r>
                      <w:fldChar w:fldCharType="separate"/>
                    </w:r>
                    <w:r>
                      <w:t>74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4D49280">
                          <w:pPr>
                            <w:spacing w:before="5"/>
                            <w:ind w:left="20"/>
                            <w:jc w:val="left"/>
                            <w:rPr>
                              <w:rFonts w:ascii="宋体"/>
                              <w:sz w:val="18"/>
                            </w:rPr>
                          </w:pPr>
                        </w:p>
                        <w:p w14:paraId="1B206044">
                          <w:pPr>
                            <w:spacing w:before="8"/>
                            <w:ind w:left="866"/>
                            <w:jc w:val="center"/>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4D49280">
                    <w:pPr>
                      <w:spacing w:before="5"/>
                      <w:ind w:left="20"/>
                      <w:jc w:val="left"/>
                      <w:rPr>
                        <w:rFonts w:ascii="宋体"/>
                        <w:sz w:val="18"/>
                      </w:rPr>
                    </w:pPr>
                  </w:p>
                  <w:p w14:paraId="1B206044">
                    <w:pPr>
                      <w:spacing w:before="8"/>
                      <w:ind w:left="866"/>
                      <w:jc w:val="center"/>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047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AB8">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B1ED">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E133C"/>
    <w:multiLevelType w:val="singleLevel"/>
    <w:tmpl w:val="A28E133C"/>
    <w:lvl w:ilvl="0" w:tentative="0">
      <w:start w:val="7"/>
      <w:numFmt w:val="chineseCounting"/>
      <w:suff w:val="space"/>
      <w:lvlText w:val="第%1章"/>
      <w:lvlJc w:val="left"/>
      <w:rPr>
        <w:rFonts w:hint="eastAsia"/>
      </w:rPr>
    </w:lvl>
  </w:abstractNum>
  <w:abstractNum w:abstractNumId="1">
    <w:nsid w:val="B080FBCC"/>
    <w:multiLevelType w:val="singleLevel"/>
    <w:tmpl w:val="B080FBCC"/>
    <w:lvl w:ilvl="0" w:tentative="0">
      <w:start w:val="1"/>
      <w:numFmt w:val="decimal"/>
      <w:suff w:val="nothing"/>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AD450A8"/>
    <w:multiLevelType w:val="singleLevel"/>
    <w:tmpl w:val="5AD450A8"/>
    <w:lvl w:ilvl="0" w:tentative="0">
      <w:start w:val="2"/>
      <w:numFmt w:val="decimal"/>
      <w:suff w:val="space"/>
      <w:lvlText w:val="%1."/>
      <w:lvlJc w:val="left"/>
    </w:lvl>
  </w:abstractNum>
  <w:abstractNum w:abstractNumId="7">
    <w:nsid w:val="5AD45148"/>
    <w:multiLevelType w:val="singleLevel"/>
    <w:tmpl w:val="5AD45148"/>
    <w:lvl w:ilvl="0" w:tentative="0">
      <w:start w:val="4"/>
      <w:numFmt w:val="decimal"/>
      <w:suff w:val="nothing"/>
      <w:lvlText w:val="%1．"/>
      <w:lvlJc w:val="left"/>
    </w:lvl>
  </w:abstractNum>
  <w:abstractNum w:abstractNumId="8">
    <w:nsid w:val="7429E059"/>
    <w:multiLevelType w:val="singleLevel"/>
    <w:tmpl w:val="7429E059"/>
    <w:lvl w:ilvl="0" w:tentative="0">
      <w:start w:val="1"/>
      <w:numFmt w:val="chineseCounting"/>
      <w:suff w:val="nothing"/>
      <w:lvlText w:val="%1、"/>
      <w:lvlJc w:val="left"/>
      <w:rPr>
        <w:rFonts w:hint="eastAsia"/>
      </w:rPr>
    </w:lvl>
  </w:abstractNum>
  <w:num w:numId="1">
    <w:abstractNumId w:val="2"/>
  </w:num>
  <w:num w:numId="2">
    <w:abstractNumId w:val="3"/>
  </w:num>
  <w:num w:numId="3">
    <w:abstractNumId w:val="8"/>
  </w:num>
  <w:num w:numId="4">
    <w:abstractNumId w:val="1"/>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F0A1E"/>
    <w:rsid w:val="11903D87"/>
    <w:rsid w:val="1595629C"/>
    <w:rsid w:val="15E32F93"/>
    <w:rsid w:val="20230E0A"/>
    <w:rsid w:val="30F444DE"/>
    <w:rsid w:val="39B21C87"/>
    <w:rsid w:val="4A310215"/>
    <w:rsid w:val="5D9C49CF"/>
    <w:rsid w:val="6C38098B"/>
    <w:rsid w:val="745F0A1E"/>
    <w:rsid w:val="777D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line="416" w:lineRule="atLeast"/>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cs="Calibri"/>
      <w:b/>
      <w:bCs/>
      <w:caps/>
      <w:sz w:val="20"/>
      <w:szCs w:val="20"/>
    </w:rPr>
  </w:style>
  <w:style w:type="paragraph" w:styleId="13">
    <w:name w:val="toc 4"/>
    <w:basedOn w:val="1"/>
    <w:next w:val="1"/>
    <w:qFormat/>
    <w:uiPriority w:val="0"/>
    <w:pPr>
      <w:ind w:left="630"/>
      <w:jc w:val="left"/>
    </w:pPr>
    <w:rPr>
      <w:rFonts w:ascii="Calibri" w:hAnsi="Calibri" w:cs="Calibri"/>
      <w:sz w:val="18"/>
      <w:szCs w:val="18"/>
    </w:rPr>
  </w:style>
  <w:style w:type="paragraph" w:styleId="14">
    <w:name w:val="toc 9"/>
    <w:basedOn w:val="1"/>
    <w:next w:val="1"/>
    <w:qFormat/>
    <w:uiPriority w:val="0"/>
    <w:pPr>
      <w:ind w:left="3360" w:leftChars="1600"/>
    </w:pPr>
    <w:rPr>
      <w:rFonts w:ascii="Calibri" w:hAnsi="Calibri"/>
      <w:szCs w:val="2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qFormat/>
    <w:uiPriority w:val="0"/>
    <w:pPr>
      <w:ind w:firstLine="420"/>
    </w:pPr>
    <w:rPr>
      <w:rFonts w:ascii="仿宋_GB2312" w:hAnsi="宋体"/>
      <w:snapToGrid w:val="0"/>
      <w:sz w:val="30"/>
    </w:rPr>
  </w:style>
  <w:style w:type="paragraph" w:styleId="17">
    <w:name w:val="Body Text First Indent 2"/>
    <w:basedOn w:val="7"/>
    <w:qFormat/>
    <w:uiPriority w:val="0"/>
    <w:pPr>
      <w:ind w:firstLine="420" w:firstLineChars="200"/>
    </w:p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394351"/>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0"/>
    <w:rPr>
      <w:rFonts w:hint="eastAsia" w:ascii="微软雅黑" w:hAnsi="微软雅黑" w:eastAsia="微软雅黑" w:cs="微软雅黑"/>
      <w:color w:val="394351"/>
      <w:u w:val="none"/>
    </w:rPr>
  </w:style>
  <w:style w:type="character" w:styleId="27">
    <w:name w:val="HTML Code"/>
    <w:basedOn w:val="19"/>
    <w:qFormat/>
    <w:uiPriority w:val="0"/>
    <w:rPr>
      <w:rFonts w:ascii="Courier New" w:hAnsi="Courier New"/>
      <w:sz w:val="20"/>
    </w:rPr>
  </w:style>
  <w:style w:type="character" w:styleId="28">
    <w:name w:val="HTML Cite"/>
    <w:basedOn w:val="19"/>
    <w:qFormat/>
    <w:uiPriority w:val="0"/>
  </w:style>
  <w:style w:type="character" w:styleId="29">
    <w:name w:val="HTML Keyboard"/>
    <w:basedOn w:val="19"/>
    <w:qFormat/>
    <w:uiPriority w:val="0"/>
    <w:rPr>
      <w:rFonts w:ascii="Courier New" w:hAnsi="Courier New"/>
      <w:sz w:val="20"/>
    </w:rPr>
  </w:style>
  <w:style w:type="character" w:styleId="30">
    <w:name w:val="HTML Sample"/>
    <w:basedOn w:val="19"/>
    <w:qFormat/>
    <w:uiPriority w:val="0"/>
    <w:rPr>
      <w:rFonts w:ascii="Courier New" w:hAnsi="Courier New"/>
    </w:rPr>
  </w:style>
  <w:style w:type="paragraph" w:customStyle="1" w:styleId="31">
    <w:name w:val="列出段落1"/>
    <w:basedOn w:val="1"/>
    <w:qFormat/>
    <w:uiPriority w:val="0"/>
    <w:pPr>
      <w:ind w:firstLine="420" w:firstLineChars="200"/>
    </w:pPr>
    <w:rPr>
      <w:rFonts w:ascii="Calibri" w:hAnsi="Calibri"/>
      <w:szCs w:val="22"/>
    </w:rPr>
  </w:style>
  <w:style w:type="paragraph" w:customStyle="1" w:styleId="32">
    <w:name w:val="_Style 5"/>
    <w:qFormat/>
    <w:uiPriority w:val="1"/>
    <w:rPr>
      <w:rFonts w:ascii="Times New Roman" w:hAnsi="Times New Roman" w:eastAsia="宋体" w:cs="Times New Roman"/>
      <w:sz w:val="22"/>
      <w:szCs w:val="22"/>
      <w:lang w:val="en-US" w:eastAsia="zh-CN" w:bidi="ar-SA"/>
    </w:rPr>
  </w:style>
  <w:style w:type="paragraph" w:customStyle="1" w:styleId="33">
    <w:name w:val="样式2"/>
    <w:basedOn w:val="1"/>
    <w:qFormat/>
    <w:uiPriority w:val="0"/>
    <w:rPr>
      <w:rFonts w:ascii="仿宋_GB2312" w:eastAsia="仿宋_GB2312"/>
      <w:sz w:val="32"/>
      <w:szCs w:val="20"/>
    </w:rPr>
  </w:style>
  <w:style w:type="paragraph" w:styleId="3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null3"/>
    <w:qFormat/>
    <w:uiPriority w:val="0"/>
    <w:rPr>
      <w:rFonts w:hint="eastAsia" w:ascii="Calibri" w:hAnsi="Calibri" w:eastAsia="宋体" w:cs="Times New Roman"/>
      <w:lang w:val="en-US" w:eastAsia="zh-Hans"/>
    </w:rPr>
  </w:style>
  <w:style w:type="paragraph" w:customStyle="1" w:styleId="36">
    <w:name w:val="List Paragraph1"/>
    <w:basedOn w:val="1"/>
    <w:qFormat/>
    <w:uiPriority w:val="0"/>
    <w:pPr>
      <w:ind w:firstLine="420"/>
    </w:p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8">
    <w:name w:val="NormalCharacter"/>
    <w:semiHidden/>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Char2 Char Char Char"/>
    <w:basedOn w:val="1"/>
    <w:qFormat/>
    <w:uiPriority w:val="0"/>
    <w:pPr>
      <w:spacing w:after="160" w:line="240" w:lineRule="exact"/>
      <w:jc w:val="left"/>
    </w:pPr>
    <w:rPr>
      <w:kern w:val="2"/>
      <w:sz w:val="21"/>
      <w:szCs w:val="24"/>
    </w:rPr>
  </w:style>
  <w:style w:type="paragraph" w:customStyle="1" w:styleId="41">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4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3">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4">
    <w:name w:val="font11"/>
    <w:basedOn w:val="19"/>
    <w:qFormat/>
    <w:uiPriority w:val="0"/>
    <w:rPr>
      <w:rFonts w:hint="eastAsia" w:ascii="等线" w:hAnsi="等线" w:eastAsia="等线" w:cs="等线"/>
      <w:color w:val="000000"/>
      <w:sz w:val="24"/>
      <w:szCs w:val="24"/>
      <w:u w:val="none"/>
    </w:rPr>
  </w:style>
  <w:style w:type="character" w:customStyle="1" w:styleId="45">
    <w:name w:val="font21"/>
    <w:basedOn w:val="19"/>
    <w:qFormat/>
    <w:uiPriority w:val="0"/>
    <w:rPr>
      <w:rFonts w:ascii="等线 ( 正文 )" w:hAnsi="等线 ( 正文 )" w:eastAsia="等线 ( 正文 )" w:cs="等线 ( 正文 )"/>
      <w:color w:val="000000"/>
      <w:sz w:val="24"/>
      <w:szCs w:val="24"/>
      <w:u w:val="none"/>
    </w:rPr>
  </w:style>
  <w:style w:type="character" w:customStyle="1" w:styleId="46">
    <w:name w:val="font01"/>
    <w:basedOn w:val="19"/>
    <w:qFormat/>
    <w:uiPriority w:val="0"/>
    <w:rPr>
      <w:rFonts w:hint="eastAsia"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13803</Words>
  <Characters>15005</Characters>
  <Lines>0</Lines>
  <Paragraphs>0</Paragraphs>
  <TotalTime>36</TotalTime>
  <ScaleCrop>false</ScaleCrop>
  <LinksUpToDate>false</LinksUpToDate>
  <CharactersWithSpaces>15227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2025-06-12T10:45:00Z</dcterms:created>
  <dc:creator>Feng</dc:creator>
  <cp:lastModifiedBy>Feng</cp:lastModifiedBy>
  <dcterms:modified xsi:type="dcterms:W3CDTF">2025-06-19T12:00:50Z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A6F458009FE84B129648350A8CB6A57B_11</vt:lpwstr>
  </property>
  <property fmtid="{D5CDD505-2E9C-101B-9397-08002B2CF9AE}" pid="4" name="KSOTemplateDocerSaveRecord">
    <vt:lpwstr>eyJoZGlkIjoiYzFkMTRhNmQwZjQyMzA4MWViYjA0OTBlZWI1YjE2ODEiLCJ1c2VySWQiOiIyNjkxMzk3MjUifQ==</vt:lpwstr>
  </property>
</Properties>
</file>