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CBC43E">
      <w:pPr>
        <w:jc w:val="center"/>
        <w:rPr>
          <w:rFonts w:hint="eastAsia" w:ascii="宋体" w:hAnsi="宋体" w:eastAsia="宋体" w:cs="宋体"/>
          <w:b/>
          <w:bCs/>
          <w:color w:val="auto"/>
          <w:sz w:val="56"/>
          <w:szCs w:val="72"/>
          <w:highlight w:val="none"/>
          <w:lang w:eastAsia="zh-CN"/>
        </w:rPr>
      </w:pPr>
    </w:p>
    <w:p w14:paraId="6C7D60CD">
      <w:pPr>
        <w:jc w:val="center"/>
        <w:rPr>
          <w:rFonts w:hint="eastAsia" w:ascii="宋体" w:hAnsi="宋体" w:eastAsia="宋体" w:cs="宋体"/>
          <w:b/>
          <w:bCs/>
          <w:color w:val="auto"/>
          <w:sz w:val="60"/>
          <w:szCs w:val="96"/>
          <w:highlight w:val="none"/>
          <w:lang w:eastAsia="zh-CN"/>
        </w:rPr>
      </w:pPr>
      <w:r>
        <w:rPr>
          <w:rFonts w:hint="eastAsia" w:ascii="宋体" w:hAnsi="宋体" w:eastAsia="宋体" w:cs="宋体"/>
          <w:b/>
          <w:bCs/>
          <w:color w:val="auto"/>
          <w:sz w:val="60"/>
          <w:szCs w:val="96"/>
          <w:highlight w:val="none"/>
          <w:lang w:eastAsia="zh-CN"/>
        </w:rPr>
        <w:t>吉林司法警官职业学院发布型智慧教室建设项目</w:t>
      </w:r>
    </w:p>
    <w:p w14:paraId="3CBBC9BE">
      <w:pPr>
        <w:jc w:val="center"/>
        <w:rPr>
          <w:rFonts w:hint="eastAsia" w:ascii="宋体" w:hAnsi="宋体" w:eastAsia="宋体" w:cs="宋体"/>
          <w:b/>
          <w:bCs/>
          <w:color w:val="auto"/>
          <w:sz w:val="84"/>
          <w:szCs w:val="72"/>
          <w:highlight w:val="none"/>
        </w:rPr>
      </w:pPr>
    </w:p>
    <w:p w14:paraId="3E6D149A">
      <w:pPr>
        <w:jc w:val="center"/>
        <w:rPr>
          <w:rFonts w:hint="eastAsia" w:ascii="宋体" w:hAnsi="宋体" w:eastAsia="宋体" w:cs="宋体"/>
          <w:b/>
          <w:bCs/>
          <w:color w:val="auto"/>
          <w:sz w:val="84"/>
          <w:szCs w:val="72"/>
          <w:highlight w:val="none"/>
        </w:rPr>
      </w:pPr>
    </w:p>
    <w:p w14:paraId="45107A01">
      <w:pPr>
        <w:jc w:val="center"/>
        <w:rPr>
          <w:rFonts w:ascii="宋体" w:hAnsi="宋体" w:cs="宋体"/>
          <w:b/>
          <w:sz w:val="32"/>
          <w:szCs w:val="32"/>
        </w:rPr>
      </w:pPr>
      <w:r>
        <w:rPr>
          <w:rFonts w:hint="eastAsia" w:ascii="宋体" w:hAnsi="宋体" w:eastAsia="宋体" w:cs="宋体"/>
          <w:b/>
          <w:bCs/>
          <w:color w:val="auto"/>
          <w:sz w:val="84"/>
          <w:szCs w:val="72"/>
          <w:highlight w:val="none"/>
        </w:rPr>
        <w:t>竞争性谈判文件</w:t>
      </w:r>
    </w:p>
    <w:p w14:paraId="391449BC">
      <w:pPr>
        <w:jc w:val="center"/>
        <w:rPr>
          <w:rFonts w:ascii="宋体" w:hAnsi="宋体" w:cs="宋体"/>
          <w:b/>
          <w:color w:val="FF0000"/>
          <w:sz w:val="24"/>
          <w:szCs w:val="24"/>
        </w:rPr>
      </w:pPr>
      <w:r>
        <w:rPr>
          <w:rFonts w:hint="eastAsia" w:ascii="宋体" w:hAnsi="宋体" w:cs="宋体"/>
          <w:b/>
          <w:color w:val="000000"/>
          <w:sz w:val="24"/>
          <w:szCs w:val="24"/>
        </w:rPr>
        <w:t xml:space="preserve">项目编号: </w:t>
      </w:r>
      <w:r>
        <w:rPr>
          <w:rFonts w:hint="eastAsia" w:ascii="宋体" w:hAnsi="宋体" w:cs="宋体"/>
          <w:b/>
          <w:color w:val="000000"/>
          <w:sz w:val="24"/>
          <w:szCs w:val="24"/>
        </w:rPr>
        <w:fldChar w:fldCharType="begin"/>
      </w:r>
      <w:r>
        <w:rPr>
          <w:rFonts w:hint="eastAsia" w:ascii="宋体" w:hAnsi="宋体" w:cs="宋体"/>
          <w:b/>
          <w:color w:val="000000"/>
          <w:sz w:val="24"/>
          <w:szCs w:val="24"/>
        </w:rPr>
        <w:instrText xml:space="preserve"> HYPERLINK "https://www.zcygov.cn/gaea/api/project/flow/redirect?projectId=7303561903706472477&amp;newUrl=https://www.zcygov.cn/micro-app-back-index/blank?_flow_type_=agency&amp;_flow_projectId_=7303561903706472477&amp;_jump_page_type_=project_procurement_management_flow&amp;_app_=zcy.procurement&amp;oldUrl=https://www.zcygov.cn/project-center/_procurement_/project-result-detail/7303561903706472477" \t "https://www.zcygov.cn/project-center/_procurement_/self-project/_blank" </w:instrText>
      </w:r>
      <w:r>
        <w:rPr>
          <w:rFonts w:hint="eastAsia" w:ascii="宋体" w:hAnsi="宋体" w:cs="宋体"/>
          <w:b/>
          <w:color w:val="000000"/>
          <w:sz w:val="24"/>
          <w:szCs w:val="24"/>
        </w:rPr>
        <w:fldChar w:fldCharType="separate"/>
      </w:r>
      <w:r>
        <w:rPr>
          <w:rFonts w:hint="eastAsia" w:ascii="宋体" w:hAnsi="宋体" w:cs="宋体"/>
          <w:b/>
          <w:color w:val="000000"/>
          <w:sz w:val="24"/>
          <w:szCs w:val="24"/>
        </w:rPr>
        <w:t>采购计划-[2025]-07115号-JLSB2025-108C-H</w:t>
      </w:r>
      <w:r>
        <w:rPr>
          <w:rFonts w:hint="eastAsia" w:ascii="宋体" w:hAnsi="宋体" w:cs="宋体"/>
          <w:b/>
          <w:color w:val="000000"/>
          <w:sz w:val="24"/>
          <w:szCs w:val="24"/>
        </w:rPr>
        <w:fldChar w:fldCharType="end"/>
      </w:r>
    </w:p>
    <w:p w14:paraId="69B98551">
      <w:pPr>
        <w:tabs>
          <w:tab w:val="left" w:pos="3630"/>
        </w:tabs>
        <w:jc w:val="center"/>
        <w:rPr>
          <w:rFonts w:ascii="宋体" w:hAnsi="宋体" w:cs="宋体"/>
          <w:b/>
          <w:color w:val="C00000"/>
          <w:sz w:val="28"/>
        </w:rPr>
      </w:pPr>
    </w:p>
    <w:p w14:paraId="12F8B6CC">
      <w:pPr>
        <w:tabs>
          <w:tab w:val="left" w:pos="7140"/>
        </w:tabs>
        <w:ind w:firstLine="602" w:firstLineChars="200"/>
        <w:rPr>
          <w:rFonts w:hint="eastAsia" w:ascii="宋体" w:hAnsi="宋体" w:cs="宋体"/>
          <w:b/>
          <w:bCs/>
          <w:color w:val="000000"/>
          <w:sz w:val="30"/>
          <w:szCs w:val="30"/>
        </w:rPr>
      </w:pPr>
    </w:p>
    <w:p w14:paraId="37B21AAC">
      <w:pPr>
        <w:tabs>
          <w:tab w:val="left" w:pos="7140"/>
        </w:tabs>
        <w:ind w:firstLine="602" w:firstLineChars="200"/>
        <w:rPr>
          <w:rFonts w:hint="eastAsia" w:ascii="宋体" w:hAnsi="宋体" w:cs="宋体"/>
          <w:b/>
          <w:bCs/>
          <w:color w:val="000000"/>
          <w:sz w:val="30"/>
          <w:szCs w:val="30"/>
        </w:rPr>
      </w:pPr>
    </w:p>
    <w:p w14:paraId="395BD363">
      <w:pPr>
        <w:tabs>
          <w:tab w:val="left" w:pos="7140"/>
        </w:tabs>
        <w:ind w:firstLine="602" w:firstLineChars="200"/>
        <w:rPr>
          <w:rFonts w:hint="eastAsia" w:ascii="宋体" w:hAnsi="宋体" w:cs="宋体"/>
          <w:b/>
          <w:bCs/>
          <w:color w:val="000000"/>
          <w:sz w:val="30"/>
          <w:szCs w:val="30"/>
        </w:rPr>
      </w:pPr>
    </w:p>
    <w:p w14:paraId="5F3F0F20">
      <w:pPr>
        <w:tabs>
          <w:tab w:val="left" w:pos="7140"/>
        </w:tabs>
        <w:ind w:firstLine="602" w:firstLineChars="200"/>
        <w:rPr>
          <w:rFonts w:hint="eastAsia" w:ascii="宋体" w:hAnsi="宋体" w:cs="宋体"/>
          <w:b/>
          <w:bCs/>
          <w:color w:val="000000"/>
          <w:sz w:val="30"/>
          <w:szCs w:val="30"/>
        </w:rPr>
      </w:pPr>
    </w:p>
    <w:p w14:paraId="3B58DBA0">
      <w:pPr>
        <w:pageBreakBefore w:val="0"/>
        <w:kinsoku/>
        <w:wordWrap/>
        <w:overflowPunct/>
        <w:topLinePunct w:val="0"/>
        <w:autoSpaceDE w:val="0"/>
        <w:autoSpaceDN w:val="0"/>
        <w:bidi w:val="0"/>
        <w:adjustRightInd w:val="0"/>
        <w:snapToGrid w:val="0"/>
        <w:spacing w:line="520" w:lineRule="exact"/>
        <w:jc w:val="center"/>
        <w:textAlignment w:val="auto"/>
        <w:outlineLvl w:val="9"/>
        <w:rPr>
          <w:rFonts w:hint="eastAsia" w:ascii="宋体" w:hAnsi="宋体"/>
          <w:b w:val="0"/>
          <w:bCs w:val="0"/>
          <w:sz w:val="30"/>
          <w:szCs w:val="30"/>
          <w:lang w:val="en-US" w:eastAsia="zh-CN"/>
        </w:rPr>
      </w:pPr>
    </w:p>
    <w:p w14:paraId="651F100C">
      <w:pPr>
        <w:pageBreakBefore w:val="0"/>
        <w:kinsoku/>
        <w:wordWrap/>
        <w:overflowPunct/>
        <w:topLinePunct w:val="0"/>
        <w:autoSpaceDE w:val="0"/>
        <w:autoSpaceDN w:val="0"/>
        <w:bidi w:val="0"/>
        <w:adjustRightInd w:val="0"/>
        <w:snapToGrid w:val="0"/>
        <w:spacing w:line="520" w:lineRule="exact"/>
        <w:jc w:val="center"/>
        <w:textAlignment w:val="auto"/>
        <w:outlineLvl w:val="9"/>
        <w:rPr>
          <w:rFonts w:hint="eastAsia" w:ascii="宋体" w:hAnsi="宋体"/>
          <w:b/>
          <w:bCs/>
          <w:sz w:val="30"/>
          <w:szCs w:val="30"/>
          <w:highlight w:val="none"/>
        </w:rPr>
      </w:pPr>
      <w:r>
        <w:rPr>
          <w:rFonts w:hint="eastAsia" w:ascii="宋体" w:hAnsi="宋体"/>
          <w:b/>
          <w:bCs/>
          <w:sz w:val="30"/>
          <w:szCs w:val="30"/>
          <w:lang w:val="en-US" w:eastAsia="zh-CN"/>
        </w:rPr>
        <w:t>采购</w:t>
      </w:r>
      <w:r>
        <w:rPr>
          <w:rFonts w:hint="eastAsia" w:ascii="宋体" w:hAnsi="宋体"/>
          <w:b/>
          <w:bCs/>
          <w:sz w:val="30"/>
          <w:szCs w:val="30"/>
        </w:rPr>
        <w:t>人：</w:t>
      </w:r>
      <w:r>
        <w:rPr>
          <w:rFonts w:hint="eastAsia" w:ascii="宋体" w:hAnsi="宋体"/>
          <w:b/>
          <w:bCs/>
          <w:sz w:val="30"/>
          <w:szCs w:val="30"/>
          <w:lang w:val="zh-CN"/>
        </w:rPr>
        <w:t>吉林司法警官职业学院</w:t>
      </w:r>
    </w:p>
    <w:p w14:paraId="5A92A4C5">
      <w:pPr>
        <w:spacing w:line="360" w:lineRule="auto"/>
        <w:jc w:val="center"/>
        <w:rPr>
          <w:rFonts w:hint="default" w:ascii="宋体" w:hAnsi="宋体" w:eastAsia="宋体"/>
          <w:b/>
          <w:bCs/>
          <w:sz w:val="30"/>
          <w:szCs w:val="30"/>
          <w:lang w:val="en-US" w:eastAsia="zh-CN"/>
        </w:rPr>
      </w:pPr>
      <w:r>
        <w:rPr>
          <w:rFonts w:hint="eastAsia" w:ascii="宋体" w:hAnsi="宋体"/>
          <w:b/>
          <w:bCs/>
          <w:sz w:val="30"/>
          <w:szCs w:val="30"/>
        </w:rPr>
        <w:t>招标代理机构</w:t>
      </w:r>
      <w:r>
        <w:rPr>
          <w:rFonts w:hint="eastAsia" w:ascii="宋体" w:hAnsi="宋体"/>
          <w:b/>
          <w:bCs/>
          <w:sz w:val="30"/>
          <w:szCs w:val="30"/>
          <w:lang w:eastAsia="zh-CN"/>
        </w:rPr>
        <w:t>：</w:t>
      </w:r>
      <w:r>
        <w:rPr>
          <w:rFonts w:hint="eastAsia" w:ascii="宋体" w:hAnsi="宋体"/>
          <w:b/>
          <w:bCs/>
          <w:sz w:val="30"/>
          <w:szCs w:val="30"/>
          <w:lang w:val="zh-CN" w:eastAsia="zh-CN"/>
        </w:rPr>
        <w:t>吉林省世博项目管理有限公司</w:t>
      </w:r>
    </w:p>
    <w:p w14:paraId="73FAF56F">
      <w:pPr>
        <w:pageBreakBefore w:val="0"/>
        <w:kinsoku/>
        <w:wordWrap/>
        <w:overflowPunct/>
        <w:topLinePunct w:val="0"/>
        <w:autoSpaceDE w:val="0"/>
        <w:autoSpaceDN w:val="0"/>
        <w:bidi w:val="0"/>
        <w:adjustRightInd w:val="0"/>
        <w:snapToGrid w:val="0"/>
        <w:spacing w:line="520" w:lineRule="exact"/>
        <w:jc w:val="center"/>
        <w:textAlignment w:val="auto"/>
        <w:outlineLvl w:val="9"/>
        <w:rPr>
          <w:rFonts w:ascii="宋体" w:hAnsi="宋体"/>
          <w:b/>
          <w:bCs/>
          <w:sz w:val="30"/>
          <w:szCs w:val="30"/>
        </w:rPr>
        <w:sectPr>
          <w:footerReference r:id="rId5" w:type="first"/>
          <w:headerReference r:id="rId3" w:type="default"/>
          <w:footerReference r:id="rId4" w:type="even"/>
          <w:pgSz w:w="11906" w:h="16838"/>
          <w:pgMar w:top="1701" w:right="850" w:bottom="1701" w:left="1134" w:header="851" w:footer="737" w:gutter="0"/>
          <w:pgNumType w:fmt="decimal" w:start="0"/>
          <w:cols w:space="0" w:num="1"/>
          <w:rtlGutter w:val="0"/>
          <w:docGrid w:type="lines" w:linePitch="490" w:charSpace="0"/>
        </w:sectPr>
      </w:pPr>
      <w:r>
        <w:rPr>
          <w:rFonts w:hint="eastAsia" w:ascii="宋体" w:hAnsi="宋体"/>
          <w:b/>
          <w:bCs/>
          <w:sz w:val="30"/>
          <w:szCs w:val="30"/>
        </w:rPr>
        <w:t>20</w:t>
      </w:r>
      <w:r>
        <w:rPr>
          <w:rFonts w:hint="eastAsia" w:ascii="宋体" w:hAnsi="宋体"/>
          <w:b/>
          <w:bCs/>
          <w:sz w:val="30"/>
          <w:szCs w:val="30"/>
          <w:lang w:val="en-US" w:eastAsia="zh-CN"/>
        </w:rPr>
        <w:t>25</w:t>
      </w:r>
      <w:r>
        <w:rPr>
          <w:rFonts w:hint="eastAsia" w:ascii="宋体" w:hAnsi="宋体"/>
          <w:b/>
          <w:bCs/>
          <w:sz w:val="30"/>
          <w:szCs w:val="30"/>
        </w:rPr>
        <w:t>年</w:t>
      </w:r>
      <w:r>
        <w:rPr>
          <w:rFonts w:hint="eastAsia" w:ascii="宋体" w:hAnsi="宋体"/>
          <w:b/>
          <w:bCs/>
          <w:sz w:val="30"/>
          <w:szCs w:val="30"/>
          <w:lang w:val="en-US" w:eastAsia="zh-CN"/>
        </w:rPr>
        <w:t>06</w:t>
      </w:r>
      <w:r>
        <w:rPr>
          <w:rFonts w:hint="eastAsia" w:ascii="宋体" w:hAnsi="宋体"/>
          <w:b/>
          <w:bCs/>
          <w:sz w:val="30"/>
          <w:szCs w:val="30"/>
        </w:rPr>
        <w:t>月</w:t>
      </w:r>
    </w:p>
    <w:sdt>
      <w:sdtPr>
        <w:rPr>
          <w:rFonts w:ascii="宋体" w:hAnsi="宋体" w:eastAsia="宋体" w:cs="Times New Roman"/>
          <w:kern w:val="2"/>
          <w:sz w:val="21"/>
          <w:szCs w:val="24"/>
          <w:lang w:val="en-US" w:eastAsia="zh-CN" w:bidi="ar-SA"/>
        </w:rPr>
        <w:id w:val="147475647"/>
        <w15:color w:val="DBDBDB"/>
        <w:docPartObj>
          <w:docPartGallery w:val="Table of Contents"/>
          <w:docPartUnique/>
        </w:docPartObj>
      </w:sdtPr>
      <w:sdtEndPr>
        <w:rPr>
          <w:rFonts w:ascii="宋体" w:hAnsi="宋体" w:eastAsia="宋体" w:cs="宋体"/>
          <w:kern w:val="2"/>
          <w:sz w:val="21"/>
          <w:szCs w:val="32"/>
          <w:lang w:val="en-US" w:eastAsia="zh-CN" w:bidi="ar-SA"/>
        </w:rPr>
      </w:sdtEndPr>
      <w:sdtContent>
        <w:p w14:paraId="6D23BBB2">
          <w:pPr>
            <w:spacing w:before="0" w:beforeLines="0" w:after="0" w:afterLines="0" w:line="240" w:lineRule="auto"/>
            <w:ind w:left="0" w:leftChars="0" w:right="0" w:rightChars="0" w:firstLine="0" w:firstLineChars="0"/>
            <w:jc w:val="center"/>
            <w:rPr>
              <w:b/>
              <w:bCs/>
              <w:sz w:val="96"/>
              <w:szCs w:val="144"/>
            </w:rPr>
          </w:pPr>
          <w:r>
            <w:rPr>
              <w:rFonts w:ascii="宋体" w:hAnsi="宋体" w:eastAsia="宋体"/>
              <w:b/>
              <w:bCs/>
              <w:sz w:val="60"/>
              <w:szCs w:val="96"/>
            </w:rPr>
            <w:t>目录</w:t>
          </w:r>
        </w:p>
        <w:p w14:paraId="746392A8">
          <w:pPr>
            <w:pStyle w:val="11"/>
            <w:tabs>
              <w:tab w:val="right" w:leader="dot" w:pos="9780"/>
            </w:tabs>
            <w:spacing w:line="360" w:lineRule="auto"/>
            <w:rPr>
              <w:sz w:val="28"/>
              <w:szCs w:val="28"/>
            </w:rPr>
          </w:pPr>
          <w:r>
            <w:rPr>
              <w:rFonts w:ascii="宋体" w:hAnsi="宋体" w:eastAsia="宋体" w:cs="宋体"/>
              <w:kern w:val="2"/>
              <w:sz w:val="32"/>
              <w:szCs w:val="48"/>
              <w:lang w:val="en-US" w:eastAsia="zh-CN" w:bidi="ar-SA"/>
            </w:rPr>
            <w:fldChar w:fldCharType="begin"/>
          </w:r>
          <w:r>
            <w:rPr>
              <w:rFonts w:ascii="宋体" w:hAnsi="宋体" w:eastAsia="宋体" w:cs="宋体"/>
              <w:kern w:val="2"/>
              <w:sz w:val="32"/>
              <w:szCs w:val="48"/>
              <w:lang w:val="en-US" w:eastAsia="zh-CN" w:bidi="ar-SA"/>
            </w:rPr>
            <w:instrText xml:space="preserve">TOC \o "1-1" \h \u </w:instrText>
          </w:r>
          <w:r>
            <w:rPr>
              <w:rFonts w:ascii="宋体" w:hAnsi="宋体" w:eastAsia="宋体" w:cs="宋体"/>
              <w:kern w:val="2"/>
              <w:sz w:val="32"/>
              <w:szCs w:val="48"/>
              <w:lang w:val="en-US" w:eastAsia="zh-CN" w:bidi="ar-SA"/>
            </w:rPr>
            <w:fldChar w:fldCharType="separate"/>
          </w:r>
          <w:r>
            <w:rPr>
              <w:rFonts w:ascii="宋体" w:hAnsi="宋体" w:eastAsia="宋体" w:cs="宋体"/>
              <w:kern w:val="2"/>
              <w:sz w:val="28"/>
              <w:szCs w:val="48"/>
              <w:lang w:val="en-US" w:eastAsia="zh-CN" w:bidi="ar-SA"/>
            </w:rPr>
            <w:fldChar w:fldCharType="begin"/>
          </w:r>
          <w:r>
            <w:rPr>
              <w:rFonts w:ascii="宋体" w:hAnsi="宋体" w:eastAsia="宋体" w:cs="宋体"/>
              <w:kern w:val="2"/>
              <w:sz w:val="28"/>
              <w:szCs w:val="48"/>
              <w:lang w:val="en-US" w:eastAsia="zh-CN" w:bidi="ar-SA"/>
            </w:rPr>
            <w:instrText xml:space="preserve"> HYPERLINK \l _Toc4175 </w:instrText>
          </w:r>
          <w:r>
            <w:rPr>
              <w:rFonts w:ascii="宋体" w:hAnsi="宋体" w:eastAsia="宋体" w:cs="宋体"/>
              <w:kern w:val="2"/>
              <w:sz w:val="28"/>
              <w:szCs w:val="48"/>
              <w:lang w:val="en-US" w:eastAsia="zh-CN" w:bidi="ar-SA"/>
            </w:rPr>
            <w:fldChar w:fldCharType="separate"/>
          </w:r>
          <w:r>
            <w:rPr>
              <w:rFonts w:hint="eastAsia"/>
              <w:sz w:val="28"/>
              <w:szCs w:val="52"/>
            </w:rPr>
            <w:t>第一章  竞争性谈判公告</w:t>
          </w:r>
          <w:r>
            <w:rPr>
              <w:sz w:val="28"/>
              <w:szCs w:val="28"/>
            </w:rPr>
            <w:tab/>
          </w:r>
          <w:r>
            <w:rPr>
              <w:sz w:val="28"/>
              <w:szCs w:val="28"/>
            </w:rPr>
            <w:fldChar w:fldCharType="begin"/>
          </w:r>
          <w:r>
            <w:rPr>
              <w:sz w:val="28"/>
              <w:szCs w:val="28"/>
            </w:rPr>
            <w:instrText xml:space="preserve"> PAGEREF _Toc4175 \h </w:instrText>
          </w:r>
          <w:r>
            <w:rPr>
              <w:sz w:val="28"/>
              <w:szCs w:val="28"/>
            </w:rPr>
            <w:fldChar w:fldCharType="separate"/>
          </w:r>
          <w:r>
            <w:rPr>
              <w:sz w:val="28"/>
              <w:szCs w:val="28"/>
            </w:rPr>
            <w:t>2</w:t>
          </w:r>
          <w:r>
            <w:rPr>
              <w:sz w:val="28"/>
              <w:szCs w:val="28"/>
            </w:rPr>
            <w:fldChar w:fldCharType="end"/>
          </w:r>
          <w:r>
            <w:rPr>
              <w:rFonts w:ascii="宋体" w:hAnsi="宋体" w:eastAsia="宋体" w:cs="宋体"/>
              <w:kern w:val="2"/>
              <w:sz w:val="28"/>
              <w:szCs w:val="48"/>
              <w:lang w:val="en-US" w:eastAsia="zh-CN" w:bidi="ar-SA"/>
            </w:rPr>
            <w:fldChar w:fldCharType="end"/>
          </w:r>
        </w:p>
        <w:p w14:paraId="76FA7325">
          <w:pPr>
            <w:pStyle w:val="11"/>
            <w:tabs>
              <w:tab w:val="right" w:leader="dot" w:pos="9780"/>
            </w:tabs>
            <w:spacing w:line="360" w:lineRule="auto"/>
            <w:rPr>
              <w:sz w:val="28"/>
              <w:szCs w:val="28"/>
            </w:rPr>
          </w:pPr>
          <w:r>
            <w:rPr>
              <w:rFonts w:ascii="宋体" w:hAnsi="宋体" w:eastAsia="宋体" w:cs="宋体"/>
              <w:kern w:val="2"/>
              <w:sz w:val="28"/>
              <w:szCs w:val="48"/>
              <w:lang w:val="en-US" w:eastAsia="zh-CN" w:bidi="ar-SA"/>
            </w:rPr>
            <w:fldChar w:fldCharType="begin"/>
          </w:r>
          <w:r>
            <w:rPr>
              <w:rFonts w:ascii="宋体" w:hAnsi="宋体" w:eastAsia="宋体" w:cs="宋体"/>
              <w:kern w:val="2"/>
              <w:sz w:val="28"/>
              <w:szCs w:val="48"/>
              <w:lang w:val="en-US" w:eastAsia="zh-CN" w:bidi="ar-SA"/>
            </w:rPr>
            <w:instrText xml:space="preserve"> HYPERLINK \l _Toc10155 </w:instrText>
          </w:r>
          <w:r>
            <w:rPr>
              <w:rFonts w:ascii="宋体" w:hAnsi="宋体" w:eastAsia="宋体" w:cs="宋体"/>
              <w:kern w:val="2"/>
              <w:sz w:val="28"/>
              <w:szCs w:val="48"/>
              <w:lang w:val="en-US" w:eastAsia="zh-CN" w:bidi="ar-SA"/>
            </w:rPr>
            <w:fldChar w:fldCharType="separate"/>
          </w:r>
          <w:r>
            <w:rPr>
              <w:rFonts w:hint="eastAsia" w:ascii="宋体" w:hAnsi="宋体" w:cs="宋体"/>
              <w:sz w:val="28"/>
              <w:szCs w:val="44"/>
            </w:rPr>
            <w:t>第二章  供应商须知</w:t>
          </w:r>
          <w:r>
            <w:rPr>
              <w:sz w:val="28"/>
              <w:szCs w:val="28"/>
            </w:rPr>
            <w:tab/>
          </w:r>
          <w:r>
            <w:rPr>
              <w:sz w:val="28"/>
              <w:szCs w:val="28"/>
            </w:rPr>
            <w:fldChar w:fldCharType="begin"/>
          </w:r>
          <w:r>
            <w:rPr>
              <w:sz w:val="28"/>
              <w:szCs w:val="28"/>
            </w:rPr>
            <w:instrText xml:space="preserve"> PAGEREF _Toc10155 \h </w:instrText>
          </w:r>
          <w:r>
            <w:rPr>
              <w:sz w:val="28"/>
              <w:szCs w:val="28"/>
            </w:rPr>
            <w:fldChar w:fldCharType="separate"/>
          </w:r>
          <w:r>
            <w:rPr>
              <w:sz w:val="28"/>
              <w:szCs w:val="28"/>
            </w:rPr>
            <w:t>6</w:t>
          </w:r>
          <w:r>
            <w:rPr>
              <w:sz w:val="28"/>
              <w:szCs w:val="28"/>
            </w:rPr>
            <w:fldChar w:fldCharType="end"/>
          </w:r>
          <w:r>
            <w:rPr>
              <w:rFonts w:ascii="宋体" w:hAnsi="宋体" w:eastAsia="宋体" w:cs="宋体"/>
              <w:kern w:val="2"/>
              <w:sz w:val="28"/>
              <w:szCs w:val="48"/>
              <w:lang w:val="en-US" w:eastAsia="zh-CN" w:bidi="ar-SA"/>
            </w:rPr>
            <w:fldChar w:fldCharType="end"/>
          </w:r>
        </w:p>
        <w:p w14:paraId="743D8CBE">
          <w:pPr>
            <w:pStyle w:val="11"/>
            <w:tabs>
              <w:tab w:val="right" w:leader="dot" w:pos="9780"/>
            </w:tabs>
            <w:spacing w:line="360" w:lineRule="auto"/>
            <w:rPr>
              <w:sz w:val="28"/>
              <w:szCs w:val="28"/>
            </w:rPr>
          </w:pPr>
          <w:r>
            <w:rPr>
              <w:rFonts w:ascii="宋体" w:hAnsi="宋体" w:eastAsia="宋体" w:cs="宋体"/>
              <w:kern w:val="2"/>
              <w:sz w:val="28"/>
              <w:szCs w:val="48"/>
              <w:lang w:val="en-US" w:eastAsia="zh-CN" w:bidi="ar-SA"/>
            </w:rPr>
            <w:fldChar w:fldCharType="begin"/>
          </w:r>
          <w:r>
            <w:rPr>
              <w:rFonts w:ascii="宋体" w:hAnsi="宋体" w:eastAsia="宋体" w:cs="宋体"/>
              <w:kern w:val="2"/>
              <w:sz w:val="28"/>
              <w:szCs w:val="48"/>
              <w:lang w:val="en-US" w:eastAsia="zh-CN" w:bidi="ar-SA"/>
            </w:rPr>
            <w:instrText xml:space="preserve"> HYPERLINK \l _Toc693 </w:instrText>
          </w:r>
          <w:r>
            <w:rPr>
              <w:rFonts w:ascii="宋体" w:hAnsi="宋体" w:eastAsia="宋体" w:cs="宋体"/>
              <w:kern w:val="2"/>
              <w:sz w:val="28"/>
              <w:szCs w:val="48"/>
              <w:lang w:val="en-US" w:eastAsia="zh-CN" w:bidi="ar-SA"/>
            </w:rPr>
            <w:fldChar w:fldCharType="separate"/>
          </w:r>
          <w:r>
            <w:rPr>
              <w:rFonts w:hint="eastAsia"/>
              <w:sz w:val="28"/>
              <w:szCs w:val="52"/>
              <w:lang w:val="zh-CN"/>
            </w:rPr>
            <w:t xml:space="preserve">第三章 </w:t>
          </w:r>
          <w:r>
            <w:rPr>
              <w:rFonts w:hint="eastAsia"/>
              <w:sz w:val="28"/>
              <w:szCs w:val="52"/>
            </w:rPr>
            <w:t>货物采购</w:t>
          </w:r>
          <w:r>
            <w:rPr>
              <w:rFonts w:hint="eastAsia"/>
              <w:sz w:val="28"/>
              <w:szCs w:val="52"/>
              <w:lang w:val="zh-CN"/>
            </w:rPr>
            <w:t>需求</w:t>
          </w:r>
          <w:r>
            <w:rPr>
              <w:sz w:val="28"/>
              <w:szCs w:val="28"/>
            </w:rPr>
            <w:tab/>
          </w:r>
          <w:r>
            <w:rPr>
              <w:sz w:val="28"/>
              <w:szCs w:val="28"/>
            </w:rPr>
            <w:fldChar w:fldCharType="begin"/>
          </w:r>
          <w:r>
            <w:rPr>
              <w:sz w:val="28"/>
              <w:szCs w:val="28"/>
            </w:rPr>
            <w:instrText xml:space="preserve"> PAGEREF _Toc693 \h </w:instrText>
          </w:r>
          <w:r>
            <w:rPr>
              <w:sz w:val="28"/>
              <w:szCs w:val="28"/>
            </w:rPr>
            <w:fldChar w:fldCharType="separate"/>
          </w:r>
          <w:r>
            <w:rPr>
              <w:sz w:val="28"/>
              <w:szCs w:val="28"/>
            </w:rPr>
            <w:t>27</w:t>
          </w:r>
          <w:r>
            <w:rPr>
              <w:sz w:val="28"/>
              <w:szCs w:val="28"/>
            </w:rPr>
            <w:fldChar w:fldCharType="end"/>
          </w:r>
          <w:r>
            <w:rPr>
              <w:rFonts w:ascii="宋体" w:hAnsi="宋体" w:eastAsia="宋体" w:cs="宋体"/>
              <w:kern w:val="2"/>
              <w:sz w:val="28"/>
              <w:szCs w:val="48"/>
              <w:lang w:val="en-US" w:eastAsia="zh-CN" w:bidi="ar-SA"/>
            </w:rPr>
            <w:fldChar w:fldCharType="end"/>
          </w:r>
        </w:p>
        <w:p w14:paraId="2A8AA928">
          <w:pPr>
            <w:pStyle w:val="11"/>
            <w:tabs>
              <w:tab w:val="right" w:leader="dot" w:pos="9780"/>
            </w:tabs>
            <w:spacing w:line="360" w:lineRule="auto"/>
            <w:rPr>
              <w:sz w:val="28"/>
              <w:szCs w:val="28"/>
            </w:rPr>
          </w:pPr>
          <w:r>
            <w:rPr>
              <w:rFonts w:ascii="宋体" w:hAnsi="宋体" w:eastAsia="宋体" w:cs="宋体"/>
              <w:kern w:val="2"/>
              <w:sz w:val="28"/>
              <w:szCs w:val="48"/>
              <w:lang w:val="en-US" w:eastAsia="zh-CN" w:bidi="ar-SA"/>
            </w:rPr>
            <w:fldChar w:fldCharType="begin"/>
          </w:r>
          <w:r>
            <w:rPr>
              <w:rFonts w:ascii="宋体" w:hAnsi="宋体" w:eastAsia="宋体" w:cs="宋体"/>
              <w:kern w:val="2"/>
              <w:sz w:val="28"/>
              <w:szCs w:val="48"/>
              <w:lang w:val="en-US" w:eastAsia="zh-CN" w:bidi="ar-SA"/>
            </w:rPr>
            <w:instrText xml:space="preserve"> HYPERLINK \l _Toc19078 </w:instrText>
          </w:r>
          <w:r>
            <w:rPr>
              <w:rFonts w:ascii="宋体" w:hAnsi="宋体" w:eastAsia="宋体" w:cs="宋体"/>
              <w:kern w:val="2"/>
              <w:sz w:val="28"/>
              <w:szCs w:val="48"/>
              <w:lang w:val="en-US" w:eastAsia="zh-CN" w:bidi="ar-SA"/>
            </w:rPr>
            <w:fldChar w:fldCharType="separate"/>
          </w:r>
          <w:r>
            <w:rPr>
              <w:rFonts w:hint="eastAsia"/>
              <w:sz w:val="28"/>
              <w:szCs w:val="56"/>
            </w:rPr>
            <w:t>第四章  评审</w:t>
          </w:r>
          <w:r>
            <w:rPr>
              <w:rFonts w:hint="eastAsia"/>
              <w:sz w:val="28"/>
              <w:szCs w:val="56"/>
              <w:lang w:eastAsia="zh-CN"/>
            </w:rPr>
            <w:t>办</w:t>
          </w:r>
          <w:r>
            <w:rPr>
              <w:rFonts w:hint="eastAsia"/>
              <w:sz w:val="28"/>
              <w:szCs w:val="56"/>
            </w:rPr>
            <w:t>法</w:t>
          </w:r>
          <w:r>
            <w:rPr>
              <w:sz w:val="28"/>
              <w:szCs w:val="28"/>
            </w:rPr>
            <w:tab/>
          </w:r>
          <w:r>
            <w:rPr>
              <w:sz w:val="28"/>
              <w:szCs w:val="28"/>
            </w:rPr>
            <w:fldChar w:fldCharType="begin"/>
          </w:r>
          <w:r>
            <w:rPr>
              <w:sz w:val="28"/>
              <w:szCs w:val="28"/>
            </w:rPr>
            <w:instrText xml:space="preserve"> PAGEREF _Toc19078 \h </w:instrText>
          </w:r>
          <w:r>
            <w:rPr>
              <w:sz w:val="28"/>
              <w:szCs w:val="28"/>
            </w:rPr>
            <w:fldChar w:fldCharType="separate"/>
          </w:r>
          <w:r>
            <w:rPr>
              <w:sz w:val="28"/>
              <w:szCs w:val="28"/>
            </w:rPr>
            <w:t>130</w:t>
          </w:r>
          <w:r>
            <w:rPr>
              <w:sz w:val="28"/>
              <w:szCs w:val="28"/>
            </w:rPr>
            <w:fldChar w:fldCharType="end"/>
          </w:r>
          <w:r>
            <w:rPr>
              <w:rFonts w:ascii="宋体" w:hAnsi="宋体" w:eastAsia="宋体" w:cs="宋体"/>
              <w:kern w:val="2"/>
              <w:sz w:val="28"/>
              <w:szCs w:val="48"/>
              <w:lang w:val="en-US" w:eastAsia="zh-CN" w:bidi="ar-SA"/>
            </w:rPr>
            <w:fldChar w:fldCharType="end"/>
          </w:r>
        </w:p>
        <w:p w14:paraId="4CA6214B">
          <w:pPr>
            <w:pStyle w:val="11"/>
            <w:tabs>
              <w:tab w:val="right" w:leader="dot" w:pos="9780"/>
            </w:tabs>
            <w:spacing w:line="360" w:lineRule="auto"/>
            <w:rPr>
              <w:sz w:val="28"/>
              <w:szCs w:val="28"/>
            </w:rPr>
          </w:pPr>
          <w:r>
            <w:rPr>
              <w:rFonts w:ascii="宋体" w:hAnsi="宋体" w:eastAsia="宋体" w:cs="宋体"/>
              <w:kern w:val="2"/>
              <w:sz w:val="28"/>
              <w:szCs w:val="48"/>
              <w:lang w:val="en-US" w:eastAsia="zh-CN" w:bidi="ar-SA"/>
            </w:rPr>
            <w:fldChar w:fldCharType="begin"/>
          </w:r>
          <w:r>
            <w:rPr>
              <w:rFonts w:ascii="宋体" w:hAnsi="宋体" w:eastAsia="宋体" w:cs="宋体"/>
              <w:kern w:val="2"/>
              <w:sz w:val="28"/>
              <w:szCs w:val="48"/>
              <w:lang w:val="en-US" w:eastAsia="zh-CN" w:bidi="ar-SA"/>
            </w:rPr>
            <w:instrText xml:space="preserve"> HYPERLINK \l _Toc20340 </w:instrText>
          </w:r>
          <w:r>
            <w:rPr>
              <w:rFonts w:ascii="宋体" w:hAnsi="宋体" w:eastAsia="宋体" w:cs="宋体"/>
              <w:kern w:val="2"/>
              <w:sz w:val="28"/>
              <w:szCs w:val="48"/>
              <w:lang w:val="en-US" w:eastAsia="zh-CN" w:bidi="ar-SA"/>
            </w:rPr>
            <w:fldChar w:fldCharType="separate"/>
          </w:r>
          <w:r>
            <w:rPr>
              <w:rFonts w:hint="eastAsia" w:ascii="宋体" w:hAnsi="宋体" w:cs="宋体"/>
              <w:sz w:val="28"/>
              <w:szCs w:val="44"/>
            </w:rPr>
            <w:t>第五章  合同主要条款及格式（仅供参考）</w:t>
          </w:r>
          <w:r>
            <w:rPr>
              <w:sz w:val="28"/>
              <w:szCs w:val="28"/>
            </w:rPr>
            <w:tab/>
          </w:r>
          <w:r>
            <w:rPr>
              <w:sz w:val="28"/>
              <w:szCs w:val="28"/>
            </w:rPr>
            <w:fldChar w:fldCharType="begin"/>
          </w:r>
          <w:r>
            <w:rPr>
              <w:sz w:val="28"/>
              <w:szCs w:val="28"/>
            </w:rPr>
            <w:instrText xml:space="preserve"> PAGEREF _Toc20340 \h </w:instrText>
          </w:r>
          <w:r>
            <w:rPr>
              <w:sz w:val="28"/>
              <w:szCs w:val="28"/>
            </w:rPr>
            <w:fldChar w:fldCharType="separate"/>
          </w:r>
          <w:r>
            <w:rPr>
              <w:sz w:val="28"/>
              <w:szCs w:val="28"/>
            </w:rPr>
            <w:t>135</w:t>
          </w:r>
          <w:r>
            <w:rPr>
              <w:sz w:val="28"/>
              <w:szCs w:val="28"/>
            </w:rPr>
            <w:fldChar w:fldCharType="end"/>
          </w:r>
          <w:r>
            <w:rPr>
              <w:rFonts w:ascii="宋体" w:hAnsi="宋体" w:eastAsia="宋体" w:cs="宋体"/>
              <w:kern w:val="2"/>
              <w:sz w:val="28"/>
              <w:szCs w:val="48"/>
              <w:lang w:val="en-US" w:eastAsia="zh-CN" w:bidi="ar-SA"/>
            </w:rPr>
            <w:fldChar w:fldCharType="end"/>
          </w:r>
        </w:p>
        <w:p w14:paraId="6708BEC1">
          <w:pPr>
            <w:pStyle w:val="11"/>
            <w:tabs>
              <w:tab w:val="right" w:leader="dot" w:pos="9780"/>
            </w:tabs>
            <w:spacing w:line="360" w:lineRule="auto"/>
            <w:rPr>
              <w:sz w:val="28"/>
              <w:szCs w:val="28"/>
            </w:rPr>
          </w:pPr>
          <w:r>
            <w:rPr>
              <w:rFonts w:ascii="宋体" w:hAnsi="宋体" w:eastAsia="宋体" w:cs="宋体"/>
              <w:kern w:val="2"/>
              <w:sz w:val="28"/>
              <w:szCs w:val="48"/>
              <w:lang w:val="en-US" w:eastAsia="zh-CN" w:bidi="ar-SA"/>
            </w:rPr>
            <w:fldChar w:fldCharType="begin"/>
          </w:r>
          <w:r>
            <w:rPr>
              <w:rFonts w:ascii="宋体" w:hAnsi="宋体" w:eastAsia="宋体" w:cs="宋体"/>
              <w:kern w:val="2"/>
              <w:sz w:val="28"/>
              <w:szCs w:val="48"/>
              <w:lang w:val="en-US" w:eastAsia="zh-CN" w:bidi="ar-SA"/>
            </w:rPr>
            <w:instrText xml:space="preserve"> HYPERLINK \l _Toc13817 </w:instrText>
          </w:r>
          <w:r>
            <w:rPr>
              <w:rFonts w:ascii="宋体" w:hAnsi="宋体" w:eastAsia="宋体" w:cs="宋体"/>
              <w:kern w:val="2"/>
              <w:sz w:val="28"/>
              <w:szCs w:val="48"/>
              <w:lang w:val="en-US" w:eastAsia="zh-CN" w:bidi="ar-SA"/>
            </w:rPr>
            <w:fldChar w:fldCharType="separate"/>
          </w:r>
          <w:r>
            <w:rPr>
              <w:rFonts w:hint="eastAsia" w:ascii="宋体" w:hAnsi="宋体" w:cs="宋体"/>
              <w:sz w:val="28"/>
              <w:szCs w:val="48"/>
            </w:rPr>
            <w:t>第六章  响应文件格式</w:t>
          </w:r>
          <w:r>
            <w:rPr>
              <w:sz w:val="28"/>
              <w:szCs w:val="28"/>
            </w:rPr>
            <w:tab/>
          </w:r>
          <w:r>
            <w:rPr>
              <w:sz w:val="28"/>
              <w:szCs w:val="28"/>
            </w:rPr>
            <w:fldChar w:fldCharType="begin"/>
          </w:r>
          <w:r>
            <w:rPr>
              <w:sz w:val="28"/>
              <w:szCs w:val="28"/>
            </w:rPr>
            <w:instrText xml:space="preserve"> PAGEREF _Toc13817 \h </w:instrText>
          </w:r>
          <w:r>
            <w:rPr>
              <w:sz w:val="28"/>
              <w:szCs w:val="28"/>
            </w:rPr>
            <w:fldChar w:fldCharType="separate"/>
          </w:r>
          <w:r>
            <w:rPr>
              <w:sz w:val="28"/>
              <w:szCs w:val="28"/>
            </w:rPr>
            <w:t>151</w:t>
          </w:r>
          <w:r>
            <w:rPr>
              <w:sz w:val="28"/>
              <w:szCs w:val="28"/>
            </w:rPr>
            <w:fldChar w:fldCharType="end"/>
          </w:r>
          <w:r>
            <w:rPr>
              <w:rFonts w:ascii="宋体" w:hAnsi="宋体" w:eastAsia="宋体" w:cs="宋体"/>
              <w:kern w:val="2"/>
              <w:sz w:val="28"/>
              <w:szCs w:val="48"/>
              <w:lang w:val="en-US" w:eastAsia="zh-CN" w:bidi="ar-SA"/>
            </w:rPr>
            <w:fldChar w:fldCharType="end"/>
          </w:r>
        </w:p>
        <w:p w14:paraId="6790A83B">
          <w:pPr>
            <w:pStyle w:val="11"/>
            <w:tabs>
              <w:tab w:val="right" w:leader="dot" w:pos="9780"/>
            </w:tabs>
            <w:spacing w:line="360" w:lineRule="auto"/>
            <w:rPr>
              <w:sz w:val="28"/>
              <w:szCs w:val="28"/>
            </w:rPr>
          </w:pPr>
          <w:r>
            <w:rPr>
              <w:rFonts w:ascii="宋体" w:hAnsi="宋体" w:eastAsia="宋体" w:cs="宋体"/>
              <w:kern w:val="2"/>
              <w:sz w:val="28"/>
              <w:szCs w:val="48"/>
              <w:lang w:val="en-US" w:eastAsia="zh-CN" w:bidi="ar-SA"/>
            </w:rPr>
            <w:fldChar w:fldCharType="begin"/>
          </w:r>
          <w:r>
            <w:rPr>
              <w:rFonts w:ascii="宋体" w:hAnsi="宋体" w:eastAsia="宋体" w:cs="宋体"/>
              <w:kern w:val="2"/>
              <w:sz w:val="28"/>
              <w:szCs w:val="48"/>
              <w:lang w:val="en-US" w:eastAsia="zh-CN" w:bidi="ar-SA"/>
            </w:rPr>
            <w:instrText xml:space="preserve"> HYPERLINK \l _Toc17192 </w:instrText>
          </w:r>
          <w:r>
            <w:rPr>
              <w:rFonts w:ascii="宋体" w:hAnsi="宋体" w:eastAsia="宋体" w:cs="宋体"/>
              <w:kern w:val="2"/>
              <w:sz w:val="28"/>
              <w:szCs w:val="48"/>
              <w:lang w:val="en-US" w:eastAsia="zh-CN" w:bidi="ar-SA"/>
            </w:rPr>
            <w:fldChar w:fldCharType="separate"/>
          </w:r>
          <w:r>
            <w:rPr>
              <w:rFonts w:hint="eastAsia"/>
              <w:sz w:val="28"/>
              <w:szCs w:val="28"/>
            </w:rPr>
            <w:t>第七章 附件</w:t>
          </w:r>
          <w:r>
            <w:rPr>
              <w:sz w:val="28"/>
              <w:szCs w:val="28"/>
            </w:rPr>
            <w:tab/>
          </w:r>
          <w:r>
            <w:rPr>
              <w:sz w:val="28"/>
              <w:szCs w:val="28"/>
            </w:rPr>
            <w:fldChar w:fldCharType="begin"/>
          </w:r>
          <w:r>
            <w:rPr>
              <w:sz w:val="28"/>
              <w:szCs w:val="28"/>
            </w:rPr>
            <w:instrText xml:space="preserve"> PAGEREF _Toc17192 \h </w:instrText>
          </w:r>
          <w:r>
            <w:rPr>
              <w:sz w:val="28"/>
              <w:szCs w:val="28"/>
            </w:rPr>
            <w:fldChar w:fldCharType="separate"/>
          </w:r>
          <w:r>
            <w:rPr>
              <w:sz w:val="28"/>
              <w:szCs w:val="28"/>
            </w:rPr>
            <w:t>177</w:t>
          </w:r>
          <w:r>
            <w:rPr>
              <w:sz w:val="28"/>
              <w:szCs w:val="28"/>
            </w:rPr>
            <w:fldChar w:fldCharType="end"/>
          </w:r>
          <w:r>
            <w:rPr>
              <w:rFonts w:ascii="宋体" w:hAnsi="宋体" w:eastAsia="宋体" w:cs="宋体"/>
              <w:kern w:val="2"/>
              <w:sz w:val="28"/>
              <w:szCs w:val="48"/>
              <w:lang w:val="en-US" w:eastAsia="zh-CN" w:bidi="ar-SA"/>
            </w:rPr>
            <w:fldChar w:fldCharType="end"/>
          </w:r>
        </w:p>
        <w:p w14:paraId="615A2688">
          <w:pPr>
            <w:pStyle w:val="11"/>
            <w:tabs>
              <w:tab w:val="right" w:leader="dot" w:pos="9780"/>
            </w:tabs>
            <w:rPr>
              <w:sz w:val="28"/>
              <w:szCs w:val="28"/>
            </w:rPr>
          </w:pPr>
        </w:p>
        <w:p w14:paraId="7C14440D">
          <w:pPr>
            <w:jc w:val="center"/>
            <w:rPr>
              <w:rFonts w:ascii="宋体" w:hAnsi="宋体" w:eastAsia="宋体" w:cs="宋体"/>
              <w:kern w:val="2"/>
              <w:sz w:val="21"/>
              <w:szCs w:val="32"/>
              <w:lang w:val="en-US" w:eastAsia="zh-CN" w:bidi="ar-SA"/>
            </w:rPr>
          </w:pPr>
          <w:r>
            <w:rPr>
              <w:rFonts w:ascii="宋体" w:hAnsi="宋体" w:eastAsia="宋体" w:cs="宋体"/>
              <w:kern w:val="2"/>
              <w:sz w:val="32"/>
              <w:szCs w:val="48"/>
              <w:lang w:val="en-US" w:eastAsia="zh-CN" w:bidi="ar-SA"/>
            </w:rPr>
            <w:fldChar w:fldCharType="end"/>
          </w:r>
        </w:p>
      </w:sdtContent>
    </w:sdt>
    <w:p w14:paraId="6113956F">
      <w:pPr>
        <w:jc w:val="center"/>
        <w:rPr>
          <w:rFonts w:ascii="宋体" w:hAnsi="宋体" w:eastAsia="宋体" w:cs="宋体"/>
          <w:kern w:val="2"/>
          <w:sz w:val="21"/>
          <w:szCs w:val="32"/>
          <w:lang w:val="en-US" w:eastAsia="zh-CN" w:bidi="ar-SA"/>
        </w:rPr>
      </w:pPr>
    </w:p>
    <w:p w14:paraId="519E3E99">
      <w:pPr>
        <w:pStyle w:val="5"/>
        <w:rPr>
          <w:rFonts w:ascii="宋体" w:hAnsi="宋体" w:cs="宋体"/>
          <w:b/>
          <w:sz w:val="32"/>
          <w:szCs w:val="32"/>
        </w:rPr>
      </w:pPr>
    </w:p>
    <w:p w14:paraId="7EC80ABE">
      <w:pPr>
        <w:pStyle w:val="13"/>
        <w:rPr>
          <w:rFonts w:ascii="宋体" w:cs="宋体"/>
          <w:b/>
          <w:sz w:val="32"/>
          <w:szCs w:val="32"/>
        </w:rPr>
      </w:pPr>
    </w:p>
    <w:p w14:paraId="6F78AAC7">
      <w:pPr>
        <w:pStyle w:val="13"/>
        <w:rPr>
          <w:rFonts w:ascii="宋体" w:cs="宋体"/>
          <w:b/>
          <w:sz w:val="32"/>
          <w:szCs w:val="32"/>
        </w:rPr>
      </w:pPr>
    </w:p>
    <w:p w14:paraId="6F4BC781">
      <w:pPr>
        <w:pStyle w:val="13"/>
        <w:rPr>
          <w:rFonts w:ascii="宋体" w:cs="宋体"/>
          <w:b/>
          <w:sz w:val="32"/>
          <w:szCs w:val="32"/>
        </w:rPr>
      </w:pPr>
    </w:p>
    <w:p w14:paraId="1E6BA9BB">
      <w:pPr>
        <w:pStyle w:val="13"/>
        <w:rPr>
          <w:rFonts w:ascii="宋体" w:cs="宋体"/>
          <w:b/>
          <w:sz w:val="32"/>
          <w:szCs w:val="32"/>
        </w:rPr>
      </w:pPr>
    </w:p>
    <w:p w14:paraId="11A54B44">
      <w:pPr>
        <w:pStyle w:val="13"/>
        <w:rPr>
          <w:rFonts w:ascii="宋体" w:cs="宋体"/>
          <w:b/>
          <w:sz w:val="32"/>
          <w:szCs w:val="32"/>
        </w:rPr>
      </w:pPr>
    </w:p>
    <w:p w14:paraId="635A40AD">
      <w:pPr>
        <w:pStyle w:val="13"/>
        <w:rPr>
          <w:rFonts w:ascii="宋体" w:cs="宋体"/>
          <w:b/>
          <w:sz w:val="32"/>
          <w:szCs w:val="32"/>
        </w:rPr>
      </w:pPr>
    </w:p>
    <w:p w14:paraId="0EC9022F">
      <w:pPr>
        <w:pStyle w:val="13"/>
        <w:rPr>
          <w:rFonts w:ascii="宋体" w:cs="宋体"/>
          <w:b/>
          <w:sz w:val="32"/>
          <w:szCs w:val="32"/>
        </w:rPr>
      </w:pPr>
    </w:p>
    <w:p w14:paraId="15F7B5A5">
      <w:pPr>
        <w:pStyle w:val="13"/>
        <w:rPr>
          <w:rFonts w:ascii="宋体" w:cs="宋体"/>
          <w:b/>
          <w:sz w:val="32"/>
          <w:szCs w:val="32"/>
        </w:rPr>
      </w:pPr>
    </w:p>
    <w:p w14:paraId="2491B3F4">
      <w:pPr>
        <w:pStyle w:val="13"/>
        <w:rPr>
          <w:rFonts w:ascii="宋体" w:cs="宋体"/>
          <w:b/>
          <w:sz w:val="32"/>
          <w:szCs w:val="32"/>
        </w:rPr>
      </w:pPr>
    </w:p>
    <w:p w14:paraId="7BAC68C6">
      <w:pPr>
        <w:pStyle w:val="13"/>
        <w:rPr>
          <w:rFonts w:ascii="宋体" w:cs="宋体"/>
          <w:b/>
          <w:sz w:val="32"/>
          <w:szCs w:val="32"/>
        </w:rPr>
      </w:pPr>
    </w:p>
    <w:p w14:paraId="4D794396">
      <w:pPr>
        <w:pStyle w:val="13"/>
        <w:rPr>
          <w:rFonts w:ascii="宋体" w:cs="宋体"/>
          <w:b/>
          <w:sz w:val="32"/>
          <w:szCs w:val="32"/>
        </w:rPr>
      </w:pPr>
    </w:p>
    <w:p w14:paraId="1D2604D2">
      <w:pPr>
        <w:pStyle w:val="13"/>
        <w:rPr>
          <w:rFonts w:ascii="宋体" w:cs="宋体"/>
          <w:b/>
          <w:sz w:val="32"/>
          <w:szCs w:val="32"/>
        </w:rPr>
      </w:pPr>
    </w:p>
    <w:p w14:paraId="1BA0E818">
      <w:pPr>
        <w:pStyle w:val="13"/>
        <w:rPr>
          <w:rFonts w:ascii="宋体" w:cs="宋体"/>
          <w:b/>
          <w:sz w:val="32"/>
          <w:szCs w:val="32"/>
        </w:rPr>
      </w:pPr>
    </w:p>
    <w:p w14:paraId="6197BA9B">
      <w:pPr>
        <w:pStyle w:val="13"/>
        <w:rPr>
          <w:rFonts w:ascii="宋体" w:cs="宋体"/>
          <w:b/>
          <w:sz w:val="32"/>
          <w:szCs w:val="32"/>
        </w:rPr>
      </w:pPr>
    </w:p>
    <w:p w14:paraId="11D1A95B">
      <w:pPr>
        <w:jc w:val="center"/>
        <w:rPr>
          <w:rFonts w:ascii="宋体" w:hAnsi="宋体" w:cs="宋体"/>
          <w:b/>
          <w:sz w:val="32"/>
          <w:szCs w:val="32"/>
        </w:rPr>
        <w:sectPr>
          <w:headerReference r:id="rId6" w:type="default"/>
          <w:footerReference r:id="rId7" w:type="default"/>
          <w:pgSz w:w="11906" w:h="16838"/>
          <w:pgMar w:top="1134" w:right="992" w:bottom="1134" w:left="1134" w:header="851" w:footer="992" w:gutter="0"/>
          <w:pgNumType w:start="1"/>
          <w:cols w:space="720" w:num="1"/>
          <w:docGrid w:linePitch="312" w:charSpace="0"/>
        </w:sectPr>
      </w:pPr>
    </w:p>
    <w:p w14:paraId="03F60F61">
      <w:pPr>
        <w:pStyle w:val="2"/>
        <w:bidi w:val="0"/>
        <w:spacing w:line="240" w:lineRule="auto"/>
        <w:jc w:val="center"/>
        <w:rPr>
          <w:sz w:val="36"/>
          <w:szCs w:val="36"/>
        </w:rPr>
      </w:pPr>
      <w:bookmarkStart w:id="0" w:name="_Toc4175"/>
      <w:r>
        <w:rPr>
          <w:rFonts w:hint="eastAsia"/>
          <w:sz w:val="36"/>
          <w:szCs w:val="36"/>
        </w:rPr>
        <w:t>第一章  竞争性谈判公告</w:t>
      </w:r>
      <w:bookmarkEnd w:id="0"/>
    </w:p>
    <w:tbl>
      <w:tblPr>
        <w:tblStyle w:val="15"/>
        <w:tblpPr w:leftFromText="180" w:rightFromText="180" w:vertAnchor="text" w:tblpXSpec="center" w:tblpY="1"/>
        <w:tblOverlap w:val="never"/>
        <w:tblW w:w="93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32"/>
      </w:tblGrid>
      <w:tr w14:paraId="61683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2" w:hRule="atLeast"/>
        </w:trPr>
        <w:tc>
          <w:tcPr>
            <w:tcW w:w="9332" w:type="dxa"/>
            <w:noWrap w:val="0"/>
            <w:vAlign w:val="top"/>
          </w:tcPr>
          <w:p w14:paraId="67CFBBFF">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360" w:lineRule="auto"/>
              <w:ind w:right="0"/>
              <w:jc w:val="both"/>
              <w:rPr>
                <w:rFonts w:hint="eastAsia" w:ascii="宋体" w:hAnsi="宋体" w:eastAsia="宋体" w:cs="宋体"/>
                <w:i w:val="0"/>
                <w:iCs w:val="0"/>
                <w:sz w:val="24"/>
                <w:szCs w:val="24"/>
                <w:highlight w:val="none"/>
                <w:lang w:val="en-US" w:eastAsia="zh-CN"/>
              </w:rPr>
            </w:pPr>
            <w:r>
              <w:rPr>
                <w:rFonts w:hint="eastAsia" w:ascii="宋体" w:hAnsi="宋体" w:eastAsia="宋体" w:cs="宋体"/>
                <w:i w:val="0"/>
                <w:iCs w:val="0"/>
                <w:sz w:val="24"/>
                <w:szCs w:val="24"/>
                <w:highlight w:val="none"/>
                <w:lang w:val="en-US" w:eastAsia="zh-CN"/>
              </w:rPr>
              <w:t>项目概况：</w:t>
            </w:r>
          </w:p>
          <w:p w14:paraId="31891C30">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rPr>
            </w:pPr>
            <w:r>
              <w:rPr>
                <w:rFonts w:hint="eastAsia" w:ascii="宋体" w:hAnsi="宋体" w:eastAsia="宋体" w:cs="宋体"/>
                <w:i w:val="0"/>
                <w:iCs w:val="0"/>
                <w:sz w:val="24"/>
                <w:szCs w:val="24"/>
                <w:highlight w:val="none"/>
                <w:lang w:val="en-US" w:eastAsia="zh-CN"/>
              </w:rPr>
              <w:t>吉林司法警官职业学院发布型智慧教室建设项目的潜在供应商应在“政采云”平台（https://www.zcygov.cn/）获取谈判文件，并于2025年</w:t>
            </w:r>
            <w:r>
              <w:rPr>
                <w:rFonts w:hint="eastAsia" w:ascii="宋体" w:hAnsi="宋体" w:cs="宋体"/>
                <w:i w:val="0"/>
                <w:iCs w:val="0"/>
                <w:sz w:val="24"/>
                <w:szCs w:val="24"/>
                <w:highlight w:val="none"/>
                <w:lang w:val="en-US" w:eastAsia="zh-CN"/>
              </w:rPr>
              <w:t>06</w:t>
            </w:r>
            <w:r>
              <w:rPr>
                <w:rFonts w:hint="eastAsia" w:ascii="宋体" w:hAnsi="宋体" w:eastAsia="宋体" w:cs="宋体"/>
                <w:i w:val="0"/>
                <w:iCs w:val="0"/>
                <w:sz w:val="24"/>
                <w:szCs w:val="24"/>
                <w:highlight w:val="none"/>
                <w:lang w:val="en-US" w:eastAsia="zh-CN"/>
              </w:rPr>
              <w:t>月</w:t>
            </w:r>
            <w:r>
              <w:rPr>
                <w:rFonts w:hint="eastAsia" w:ascii="宋体" w:hAnsi="宋体" w:cs="宋体"/>
                <w:i w:val="0"/>
                <w:iCs w:val="0"/>
                <w:sz w:val="24"/>
                <w:szCs w:val="24"/>
                <w:highlight w:val="none"/>
                <w:lang w:val="en-US" w:eastAsia="zh-CN"/>
              </w:rPr>
              <w:t>26</w:t>
            </w:r>
            <w:r>
              <w:rPr>
                <w:rFonts w:hint="eastAsia" w:ascii="宋体" w:hAnsi="宋体" w:eastAsia="宋体" w:cs="宋体"/>
                <w:i w:val="0"/>
                <w:iCs w:val="0"/>
                <w:sz w:val="24"/>
                <w:szCs w:val="24"/>
                <w:highlight w:val="none"/>
                <w:lang w:val="en-US" w:eastAsia="zh-CN"/>
              </w:rPr>
              <w:t>日</w:t>
            </w:r>
            <w:r>
              <w:rPr>
                <w:rFonts w:hint="eastAsia" w:ascii="宋体" w:hAnsi="宋体" w:cs="宋体"/>
                <w:i w:val="0"/>
                <w:iCs w:val="0"/>
                <w:sz w:val="24"/>
                <w:szCs w:val="24"/>
                <w:highlight w:val="none"/>
                <w:lang w:val="en-US" w:eastAsia="zh-CN"/>
              </w:rPr>
              <w:t>16</w:t>
            </w:r>
            <w:r>
              <w:rPr>
                <w:rFonts w:hint="eastAsia" w:ascii="宋体" w:hAnsi="宋体" w:eastAsia="宋体" w:cs="宋体"/>
                <w:i w:val="0"/>
                <w:iCs w:val="0"/>
                <w:sz w:val="24"/>
                <w:szCs w:val="24"/>
                <w:highlight w:val="none"/>
                <w:lang w:val="en-US" w:eastAsia="zh-CN"/>
              </w:rPr>
              <w:t>时</w:t>
            </w:r>
            <w:r>
              <w:rPr>
                <w:rFonts w:hint="eastAsia" w:ascii="宋体" w:hAnsi="宋体" w:cs="宋体"/>
                <w:i w:val="0"/>
                <w:iCs w:val="0"/>
                <w:sz w:val="24"/>
                <w:szCs w:val="24"/>
                <w:highlight w:val="none"/>
                <w:lang w:val="en-US" w:eastAsia="zh-CN"/>
              </w:rPr>
              <w:t>00</w:t>
            </w:r>
            <w:r>
              <w:rPr>
                <w:rFonts w:hint="eastAsia" w:ascii="宋体" w:hAnsi="宋体" w:eastAsia="宋体" w:cs="宋体"/>
                <w:i w:val="0"/>
                <w:iCs w:val="0"/>
                <w:sz w:val="24"/>
                <w:szCs w:val="24"/>
                <w:highlight w:val="none"/>
                <w:lang w:val="en-US" w:eastAsia="zh-CN"/>
              </w:rPr>
              <w:t>分（北京时间）前提交响应文件。</w:t>
            </w:r>
          </w:p>
        </w:tc>
      </w:tr>
    </w:tbl>
    <w:p w14:paraId="165487F1">
      <w:pPr>
        <w:widowControl/>
        <w:spacing w:line="360" w:lineRule="auto"/>
        <w:rPr>
          <w:rFonts w:ascii="宋体" w:hAnsi="宋体" w:cs="宋体"/>
          <w:b/>
          <w:kern w:val="0"/>
          <w:sz w:val="24"/>
          <w:szCs w:val="24"/>
        </w:rPr>
      </w:pPr>
      <w:r>
        <w:rPr>
          <w:rFonts w:hint="eastAsia" w:ascii="宋体" w:hAnsi="宋体" w:cs="宋体"/>
          <w:b/>
          <w:kern w:val="0"/>
          <w:sz w:val="24"/>
          <w:szCs w:val="24"/>
        </w:rPr>
        <w:t>一、项目基本情况：</w:t>
      </w:r>
    </w:p>
    <w:p w14:paraId="6A6A0183">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360" w:lineRule="auto"/>
        <w:ind w:left="0" w:right="0" w:firstLine="480" w:firstLineChars="200"/>
        <w:jc w:val="both"/>
        <w:rPr>
          <w:rFonts w:hint="eastAsia" w:ascii="宋体" w:hAnsi="宋体" w:eastAsia="宋体" w:cs="宋体"/>
          <w:i w:val="0"/>
          <w:iCs w:val="0"/>
          <w:sz w:val="24"/>
          <w:szCs w:val="24"/>
          <w:highlight w:val="none"/>
          <w:lang w:val="en-US" w:eastAsia="zh-CN"/>
        </w:rPr>
      </w:pPr>
      <w:r>
        <w:rPr>
          <w:rFonts w:hint="eastAsia" w:ascii="宋体" w:hAnsi="宋体" w:eastAsia="宋体" w:cs="宋体"/>
          <w:i w:val="0"/>
          <w:iCs w:val="0"/>
          <w:sz w:val="24"/>
          <w:szCs w:val="24"/>
          <w:highlight w:val="none"/>
          <w:lang w:val="en-US" w:eastAsia="zh-CN"/>
        </w:rPr>
        <w:t>1.采购编号：</w:t>
      </w:r>
      <w:r>
        <w:rPr>
          <w:rFonts w:hint="eastAsia" w:ascii="宋体" w:hAnsi="宋体" w:eastAsia="宋体" w:cs="宋体"/>
          <w:i w:val="0"/>
          <w:iCs w:val="0"/>
          <w:sz w:val="24"/>
          <w:szCs w:val="24"/>
          <w:highlight w:val="none"/>
          <w:lang w:val="en-US" w:eastAsia="zh-CN"/>
        </w:rPr>
        <w:fldChar w:fldCharType="begin"/>
      </w:r>
      <w:r>
        <w:rPr>
          <w:rFonts w:hint="eastAsia" w:ascii="宋体" w:hAnsi="宋体" w:eastAsia="宋体" w:cs="宋体"/>
          <w:i w:val="0"/>
          <w:iCs w:val="0"/>
          <w:sz w:val="24"/>
          <w:szCs w:val="24"/>
          <w:highlight w:val="none"/>
          <w:lang w:val="en-US" w:eastAsia="zh-CN"/>
        </w:rPr>
        <w:instrText xml:space="preserve"> HYPERLINK "https://www.zcygov.cn/gaea/api/project/flow/redirect?projectId=7303561903706472477&amp;newUrl=https://www.zcygov.cn/micro-app-back-index/blank?_flow_type_=agency&amp;_flow_projectId_=7303561903706472477&amp;_jump_page_type_=project_procurement_management_flow&amp;_app_=zcy.procurement&amp;oldUrl=https://www.zcygov.cn/project-center/_procurement_/project-result-detail/7303561903706472477" \t "https://www.zcygov.cn/project-center/_procurement_/self-project/_blank" </w:instrText>
      </w:r>
      <w:r>
        <w:rPr>
          <w:rFonts w:hint="eastAsia" w:ascii="宋体" w:hAnsi="宋体" w:eastAsia="宋体" w:cs="宋体"/>
          <w:i w:val="0"/>
          <w:iCs w:val="0"/>
          <w:sz w:val="24"/>
          <w:szCs w:val="24"/>
          <w:highlight w:val="none"/>
          <w:lang w:val="en-US" w:eastAsia="zh-CN"/>
        </w:rPr>
        <w:fldChar w:fldCharType="separate"/>
      </w:r>
      <w:r>
        <w:rPr>
          <w:rFonts w:hint="eastAsia" w:ascii="宋体" w:hAnsi="宋体" w:eastAsia="宋体" w:cs="宋体"/>
          <w:i w:val="0"/>
          <w:iCs w:val="0"/>
          <w:sz w:val="24"/>
          <w:szCs w:val="24"/>
          <w:highlight w:val="none"/>
          <w:lang w:val="en-US" w:eastAsia="zh-CN"/>
        </w:rPr>
        <w:t>采购计划-[2025]-07115号-JLSB2025-108C-H</w:t>
      </w:r>
      <w:r>
        <w:rPr>
          <w:rFonts w:hint="eastAsia" w:ascii="宋体" w:hAnsi="宋体" w:eastAsia="宋体" w:cs="宋体"/>
          <w:i w:val="0"/>
          <w:iCs w:val="0"/>
          <w:sz w:val="24"/>
          <w:szCs w:val="24"/>
          <w:highlight w:val="none"/>
          <w:lang w:val="en-US" w:eastAsia="zh-CN"/>
        </w:rPr>
        <w:fldChar w:fldCharType="end"/>
      </w:r>
      <w:r>
        <w:rPr>
          <w:rFonts w:hint="eastAsia" w:ascii="宋体" w:hAnsi="宋体" w:eastAsia="宋体" w:cs="宋体"/>
          <w:i w:val="0"/>
          <w:iCs w:val="0"/>
          <w:sz w:val="24"/>
          <w:szCs w:val="24"/>
          <w:highlight w:val="none"/>
          <w:lang w:val="en-US" w:eastAsia="zh-CN"/>
        </w:rPr>
        <w:t>；</w:t>
      </w:r>
    </w:p>
    <w:p w14:paraId="181EA505">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360" w:lineRule="auto"/>
        <w:ind w:left="0" w:right="0" w:firstLine="480" w:firstLineChars="200"/>
        <w:jc w:val="both"/>
        <w:rPr>
          <w:rFonts w:hint="eastAsia" w:ascii="宋体" w:hAnsi="宋体" w:eastAsia="宋体" w:cs="宋体"/>
          <w:i w:val="0"/>
          <w:iCs w:val="0"/>
          <w:sz w:val="24"/>
          <w:szCs w:val="24"/>
          <w:highlight w:val="none"/>
          <w:lang w:val="en-US" w:eastAsia="zh-CN"/>
        </w:rPr>
      </w:pPr>
      <w:r>
        <w:rPr>
          <w:rFonts w:hint="eastAsia" w:ascii="宋体" w:hAnsi="宋体" w:eastAsia="宋体" w:cs="宋体"/>
          <w:i w:val="0"/>
          <w:iCs w:val="0"/>
          <w:sz w:val="24"/>
          <w:szCs w:val="24"/>
          <w:highlight w:val="none"/>
          <w:lang w:val="en-US" w:eastAsia="zh-CN"/>
        </w:rPr>
        <w:t>2.项目名称：吉林司法警官职业学院发布型智慧教室建设项目；</w:t>
      </w:r>
    </w:p>
    <w:p w14:paraId="0087FA04">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360" w:lineRule="auto"/>
        <w:ind w:left="0" w:right="0" w:firstLine="480" w:firstLineChars="200"/>
        <w:jc w:val="both"/>
        <w:rPr>
          <w:rFonts w:hint="eastAsia" w:ascii="宋体" w:hAnsi="宋体" w:eastAsia="宋体" w:cs="宋体"/>
          <w:i w:val="0"/>
          <w:iCs w:val="0"/>
          <w:sz w:val="24"/>
          <w:szCs w:val="24"/>
          <w:highlight w:val="none"/>
          <w:lang w:val="en-US" w:eastAsia="zh-CN"/>
        </w:rPr>
      </w:pPr>
      <w:r>
        <w:rPr>
          <w:rFonts w:hint="eastAsia" w:ascii="宋体" w:hAnsi="宋体" w:eastAsia="宋体" w:cs="宋体"/>
          <w:i w:val="0"/>
          <w:iCs w:val="0"/>
          <w:sz w:val="24"/>
          <w:szCs w:val="24"/>
          <w:highlight w:val="none"/>
          <w:lang w:val="en-US" w:eastAsia="zh-CN"/>
        </w:rPr>
        <w:t>3.采购方式：竞争性谈判；</w:t>
      </w:r>
    </w:p>
    <w:p w14:paraId="4D95A384">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360" w:lineRule="auto"/>
        <w:ind w:left="0" w:right="0" w:firstLine="480" w:firstLineChars="200"/>
        <w:jc w:val="both"/>
        <w:rPr>
          <w:rFonts w:hint="eastAsia" w:ascii="宋体" w:hAnsi="宋体" w:eastAsia="宋体" w:cs="宋体"/>
          <w:i w:val="0"/>
          <w:iCs w:val="0"/>
          <w:sz w:val="24"/>
          <w:szCs w:val="24"/>
          <w:highlight w:val="none"/>
          <w:lang w:val="en-US" w:eastAsia="zh-CN"/>
        </w:rPr>
      </w:pPr>
      <w:r>
        <w:rPr>
          <w:rFonts w:hint="eastAsia" w:ascii="宋体" w:hAnsi="宋体" w:eastAsia="宋体" w:cs="宋体"/>
          <w:i w:val="0"/>
          <w:iCs w:val="0"/>
          <w:sz w:val="24"/>
          <w:szCs w:val="24"/>
          <w:highlight w:val="none"/>
          <w:lang w:val="en-US" w:eastAsia="zh-CN"/>
        </w:rPr>
        <w:t>4.预算金额（最高限价）：187万元；</w:t>
      </w:r>
    </w:p>
    <w:p w14:paraId="0C0BC9AA">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360" w:lineRule="auto"/>
        <w:ind w:left="0" w:right="0" w:firstLine="480" w:firstLineChars="200"/>
        <w:jc w:val="both"/>
        <w:rPr>
          <w:rFonts w:hint="eastAsia" w:ascii="宋体" w:hAnsi="宋体" w:eastAsia="宋体" w:cs="宋体"/>
          <w:bCs/>
          <w:kern w:val="0"/>
          <w:sz w:val="24"/>
          <w:szCs w:val="24"/>
        </w:rPr>
      </w:pPr>
      <w:r>
        <w:rPr>
          <w:rFonts w:hint="eastAsia" w:ascii="宋体" w:hAnsi="宋体" w:eastAsia="宋体" w:cs="宋体"/>
          <w:i w:val="0"/>
          <w:iCs w:val="0"/>
          <w:sz w:val="24"/>
          <w:szCs w:val="24"/>
          <w:highlight w:val="none"/>
          <w:lang w:val="en-US" w:eastAsia="zh-CN"/>
        </w:rPr>
        <w:t>5.采购内容：吉林司法警官职业学院发布型智慧教室建设项目(详见第三章采购需求）；</w:t>
      </w:r>
    </w:p>
    <w:p w14:paraId="0D236BAE">
      <w:pPr>
        <w:spacing w:line="360" w:lineRule="auto"/>
        <w:ind w:firstLine="480" w:firstLineChars="200"/>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lang w:val="en-US" w:eastAsia="zh-CN"/>
        </w:rPr>
        <w:t>6.</w:t>
      </w:r>
      <w:bookmarkStart w:id="1" w:name="获取委托代理协议相应内容"/>
      <w:bookmarkEnd w:id="1"/>
      <w:r>
        <w:rPr>
          <w:rFonts w:hint="eastAsia" w:ascii="宋体" w:hAnsi="宋体" w:eastAsia="宋体" w:cs="宋体"/>
          <w:bCs/>
          <w:kern w:val="0"/>
          <w:sz w:val="24"/>
          <w:szCs w:val="24"/>
          <w:highlight w:val="none"/>
          <w:lang w:val="en-US" w:eastAsia="zh-CN"/>
        </w:rPr>
        <w:t>合同履行期限(交货期限）</w:t>
      </w:r>
      <w:r>
        <w:rPr>
          <w:rFonts w:hint="eastAsia" w:ascii="宋体" w:hAnsi="宋体" w:cs="宋体"/>
          <w:bCs/>
          <w:kern w:val="0"/>
          <w:sz w:val="24"/>
          <w:szCs w:val="24"/>
          <w:highlight w:val="none"/>
          <w:lang w:val="en-US" w:eastAsia="zh-CN"/>
        </w:rPr>
        <w:t>：</w:t>
      </w:r>
      <w:r>
        <w:rPr>
          <w:rFonts w:hint="eastAsia" w:ascii="宋体" w:hAnsi="宋体" w:eastAsia="宋体" w:cs="宋体"/>
          <w:bCs/>
          <w:kern w:val="0"/>
          <w:sz w:val="24"/>
          <w:szCs w:val="24"/>
          <w:highlight w:val="none"/>
        </w:rPr>
        <w:t>自合同签订之日起</w:t>
      </w:r>
      <w:r>
        <w:rPr>
          <w:rFonts w:hint="eastAsia" w:ascii="宋体" w:hAnsi="宋体" w:cs="宋体"/>
          <w:bCs/>
          <w:kern w:val="0"/>
          <w:sz w:val="24"/>
          <w:szCs w:val="24"/>
          <w:highlight w:val="none"/>
          <w:lang w:val="en-US" w:eastAsia="zh-CN"/>
        </w:rPr>
        <w:t>30</w:t>
      </w:r>
      <w:r>
        <w:rPr>
          <w:rFonts w:hint="eastAsia" w:ascii="宋体" w:hAnsi="宋体" w:eastAsia="宋体" w:cs="宋体"/>
          <w:bCs/>
          <w:kern w:val="0"/>
          <w:sz w:val="24"/>
          <w:szCs w:val="24"/>
          <w:highlight w:val="none"/>
          <w:lang w:val="zh-CN"/>
        </w:rPr>
        <w:t>天内完成</w:t>
      </w:r>
      <w:r>
        <w:rPr>
          <w:rFonts w:hint="eastAsia" w:ascii="宋体" w:hAnsi="宋体" w:cs="宋体"/>
          <w:bCs/>
          <w:kern w:val="0"/>
          <w:sz w:val="24"/>
          <w:szCs w:val="24"/>
          <w:highlight w:val="none"/>
          <w:lang w:val="zh-CN"/>
        </w:rPr>
        <w:t>；</w:t>
      </w:r>
    </w:p>
    <w:p w14:paraId="6AB42D97">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360" w:lineRule="auto"/>
        <w:ind w:left="0" w:right="0" w:firstLine="480" w:firstLineChars="200"/>
        <w:jc w:val="both"/>
        <w:rPr>
          <w:rFonts w:hint="eastAsia" w:ascii="宋体" w:hAnsi="宋体" w:eastAsia="宋体" w:cs="宋体"/>
          <w:i w:val="0"/>
          <w:iCs w:val="0"/>
          <w:sz w:val="24"/>
          <w:szCs w:val="24"/>
          <w:highlight w:val="none"/>
          <w:lang w:eastAsia="zh-CN"/>
        </w:rPr>
      </w:pPr>
      <w:r>
        <w:rPr>
          <w:rFonts w:hint="eastAsia" w:ascii="宋体" w:hAnsi="宋体" w:eastAsia="宋体" w:cs="宋体"/>
          <w:i w:val="0"/>
          <w:iCs w:val="0"/>
          <w:sz w:val="24"/>
          <w:szCs w:val="24"/>
          <w:highlight w:val="none"/>
          <w:lang w:val="en-US" w:eastAsia="zh-CN"/>
        </w:rPr>
        <w:t>7.</w:t>
      </w:r>
      <w:r>
        <w:rPr>
          <w:rFonts w:hint="eastAsia" w:ascii="宋体" w:hAnsi="宋体" w:eastAsia="宋体" w:cs="宋体"/>
          <w:i w:val="0"/>
          <w:iCs w:val="0"/>
          <w:sz w:val="24"/>
          <w:szCs w:val="24"/>
          <w:highlight w:val="none"/>
        </w:rPr>
        <w:t>供货地点：吉林司法警官职业学院</w:t>
      </w:r>
      <w:r>
        <w:rPr>
          <w:rFonts w:hint="eastAsia" w:ascii="宋体" w:hAnsi="宋体" w:eastAsia="宋体" w:cs="宋体"/>
          <w:i w:val="0"/>
          <w:iCs w:val="0"/>
          <w:sz w:val="24"/>
          <w:szCs w:val="24"/>
          <w:highlight w:val="none"/>
          <w:lang w:eastAsia="zh-CN"/>
        </w:rPr>
        <w:t>；</w:t>
      </w:r>
    </w:p>
    <w:p w14:paraId="177E2750">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360" w:lineRule="auto"/>
        <w:ind w:left="0" w:right="0" w:firstLine="480" w:firstLineChars="200"/>
        <w:jc w:val="both"/>
        <w:rPr>
          <w:rFonts w:hint="eastAsia" w:ascii="宋体" w:hAnsi="宋体" w:eastAsia="宋体" w:cs="宋体"/>
          <w:i w:val="0"/>
          <w:iCs w:val="0"/>
          <w:sz w:val="24"/>
          <w:szCs w:val="24"/>
          <w:highlight w:val="none"/>
          <w:lang w:eastAsia="zh-CN"/>
        </w:rPr>
      </w:pPr>
      <w:r>
        <w:rPr>
          <w:rFonts w:hint="eastAsia" w:ascii="宋体" w:hAnsi="宋体" w:eastAsia="宋体" w:cs="宋体"/>
          <w:i w:val="0"/>
          <w:iCs w:val="0"/>
          <w:sz w:val="24"/>
          <w:szCs w:val="24"/>
          <w:highlight w:val="none"/>
          <w:lang w:val="en-US" w:eastAsia="zh-CN"/>
        </w:rPr>
        <w:t>8.</w:t>
      </w:r>
      <w:r>
        <w:rPr>
          <w:rFonts w:hint="eastAsia" w:ascii="宋体" w:hAnsi="宋体" w:eastAsia="宋体" w:cs="宋体"/>
          <w:i w:val="0"/>
          <w:iCs w:val="0"/>
          <w:sz w:val="24"/>
          <w:szCs w:val="24"/>
          <w:highlight w:val="none"/>
        </w:rPr>
        <w:t>质量要求：符合国家及相关行业合格标准</w:t>
      </w:r>
      <w:r>
        <w:rPr>
          <w:rFonts w:hint="eastAsia" w:ascii="宋体" w:hAnsi="宋体" w:eastAsia="宋体" w:cs="宋体"/>
          <w:i w:val="0"/>
          <w:iCs w:val="0"/>
          <w:sz w:val="24"/>
          <w:szCs w:val="24"/>
          <w:highlight w:val="none"/>
          <w:lang w:eastAsia="zh-CN"/>
        </w:rPr>
        <w:t>；</w:t>
      </w:r>
    </w:p>
    <w:p w14:paraId="01FBCB92">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360" w:lineRule="auto"/>
        <w:ind w:left="0" w:right="0" w:firstLine="480" w:firstLineChars="200"/>
        <w:jc w:val="both"/>
        <w:rPr>
          <w:rFonts w:hint="eastAsia" w:ascii="宋体" w:hAnsi="宋体" w:eastAsia="宋体" w:cs="宋体"/>
          <w:i w:val="0"/>
          <w:iCs w:val="0"/>
          <w:sz w:val="24"/>
          <w:szCs w:val="24"/>
          <w:highlight w:val="none"/>
          <w:lang w:val="en-US" w:eastAsia="zh-CN"/>
        </w:rPr>
      </w:pPr>
      <w:r>
        <w:rPr>
          <w:rFonts w:hint="eastAsia" w:ascii="宋体" w:hAnsi="宋体" w:eastAsia="宋体" w:cs="宋体"/>
          <w:i w:val="0"/>
          <w:iCs w:val="0"/>
          <w:sz w:val="24"/>
          <w:szCs w:val="24"/>
          <w:highlight w:val="none"/>
          <w:lang w:val="en-US" w:eastAsia="zh-CN"/>
        </w:rPr>
        <w:t>9.本项目不接受联合体投标。</w:t>
      </w:r>
    </w:p>
    <w:p w14:paraId="7D8782BB">
      <w:pPr>
        <w:spacing w:line="360" w:lineRule="auto"/>
        <w:rPr>
          <w:rFonts w:ascii="宋体" w:hAnsi="宋体" w:cs="宋体"/>
          <w:b/>
          <w:sz w:val="24"/>
          <w:szCs w:val="24"/>
        </w:rPr>
      </w:pPr>
      <w:r>
        <w:rPr>
          <w:rFonts w:hint="eastAsia" w:ascii="宋体" w:hAnsi="宋体" w:cs="宋体"/>
          <w:b/>
          <w:kern w:val="0"/>
          <w:sz w:val="24"/>
          <w:szCs w:val="24"/>
        </w:rPr>
        <w:t>二、申请人的资格要求：</w:t>
      </w:r>
    </w:p>
    <w:p w14:paraId="4CC59A66">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360" w:lineRule="auto"/>
        <w:ind w:left="0" w:right="0" w:firstLine="480" w:firstLineChars="200"/>
        <w:jc w:val="both"/>
        <w:rPr>
          <w:rFonts w:ascii="Times New Roman" w:hAnsi="Times New Roman" w:eastAsia="宋体" w:cs="Times New Roman"/>
          <w:szCs w:val="20"/>
        </w:rPr>
      </w:pPr>
      <w:bookmarkStart w:id="2" w:name="_bookmark3"/>
      <w:bookmarkEnd w:id="2"/>
      <w:r>
        <w:rPr>
          <w:rFonts w:hint="eastAsia" w:ascii="宋体" w:hAnsi="宋体" w:eastAsia="宋体" w:cs="宋体"/>
          <w:color w:val="000000"/>
          <w:kern w:val="0"/>
          <w:sz w:val="24"/>
          <w:szCs w:val="24"/>
          <w:lang w:val="en-US" w:eastAsia="zh-CN" w:bidi="ar"/>
        </w:rPr>
        <w:t>1.满足《中华人民共和国政府采购法》第二十二条规定；</w:t>
      </w:r>
    </w:p>
    <w:p w14:paraId="790CFDC5">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360" w:lineRule="auto"/>
        <w:ind w:left="0" w:right="0" w:firstLine="480" w:firstLineChars="200"/>
        <w:jc w:val="both"/>
        <w:rPr>
          <w:rFonts w:ascii="Times New Roman" w:hAnsi="Times New Roman" w:eastAsia="宋体" w:cs="Times New Roman"/>
          <w:szCs w:val="20"/>
          <w:highlight w:val="none"/>
        </w:rPr>
      </w:pPr>
      <w:r>
        <w:rPr>
          <w:rFonts w:hint="eastAsia" w:ascii="宋体" w:hAnsi="宋体" w:eastAsia="宋体" w:cs="宋体"/>
          <w:color w:val="000000"/>
          <w:kern w:val="0"/>
          <w:sz w:val="24"/>
          <w:szCs w:val="24"/>
          <w:highlight w:val="none"/>
          <w:lang w:val="en-US" w:eastAsia="zh-CN" w:bidi="ar"/>
        </w:rPr>
        <w:t>2.</w:t>
      </w:r>
      <w:r>
        <w:rPr>
          <w:rFonts w:hint="eastAsia" w:ascii="宋体" w:hAnsi="宋体" w:eastAsia="宋体" w:cs="宋体"/>
          <w:i w:val="0"/>
          <w:iCs w:val="0"/>
          <w:sz w:val="24"/>
          <w:szCs w:val="24"/>
          <w:highlight w:val="none"/>
        </w:rPr>
        <w:t>落实政府采购政策需满足的资格要求：本项目非专门面向中小企业</w:t>
      </w:r>
      <w:r>
        <w:rPr>
          <w:rFonts w:hint="eastAsia" w:ascii="宋体" w:hAnsi="宋体" w:eastAsia="宋体" w:cs="宋体"/>
          <w:i w:val="0"/>
          <w:iCs w:val="0"/>
          <w:sz w:val="24"/>
          <w:szCs w:val="24"/>
          <w:highlight w:val="none"/>
          <w:lang w:val="en-US" w:eastAsia="zh-CN"/>
        </w:rPr>
        <w:t xml:space="preserve">采购； </w:t>
      </w:r>
    </w:p>
    <w:p w14:paraId="1F33FEC1">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360" w:lineRule="auto"/>
        <w:ind w:left="0" w:right="0" w:firstLine="480" w:firstLineChars="200"/>
        <w:jc w:val="left"/>
        <w:rPr>
          <w:rFonts w:hint="eastAsia" w:ascii="宋体" w:hAnsi="宋体" w:eastAsia="宋体" w:cs="宋体"/>
          <w:i w:val="0"/>
          <w:iCs w:val="0"/>
          <w:sz w:val="24"/>
          <w:szCs w:val="24"/>
          <w:highlight w:val="none"/>
          <w:lang w:val="en-US" w:eastAsia="zh-CN"/>
        </w:rPr>
      </w:pPr>
      <w:r>
        <w:rPr>
          <w:rFonts w:hint="eastAsia" w:ascii="宋体" w:hAnsi="宋体" w:eastAsia="宋体" w:cs="宋体"/>
          <w:color w:val="000000"/>
          <w:kern w:val="0"/>
          <w:sz w:val="24"/>
          <w:szCs w:val="24"/>
          <w:highlight w:val="none"/>
          <w:lang w:val="en-US" w:eastAsia="zh-CN" w:bidi="ar"/>
        </w:rPr>
        <w:t>3.</w:t>
      </w:r>
      <w:r>
        <w:rPr>
          <w:rFonts w:hint="eastAsia" w:ascii="宋体" w:hAnsi="宋体" w:eastAsia="宋体" w:cs="宋体"/>
          <w:i w:val="0"/>
          <w:iCs w:val="0"/>
          <w:sz w:val="24"/>
          <w:szCs w:val="24"/>
          <w:highlight w:val="none"/>
          <w:lang w:val="en-US" w:eastAsia="zh-CN"/>
        </w:rPr>
        <w:t>本项目的特定资格要求：</w:t>
      </w:r>
    </w:p>
    <w:p w14:paraId="6A83BA83">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360" w:lineRule="auto"/>
        <w:ind w:left="0" w:right="0" w:firstLine="480" w:firstLineChars="200"/>
        <w:jc w:val="left"/>
        <w:rPr>
          <w:highlight w:val="none"/>
        </w:rPr>
      </w:pPr>
      <w:r>
        <w:rPr>
          <w:rFonts w:hint="eastAsia" w:ascii="宋体" w:hAnsi="宋体" w:cs="宋体"/>
          <w:i w:val="0"/>
          <w:iCs w:val="0"/>
          <w:sz w:val="24"/>
          <w:szCs w:val="24"/>
          <w:highlight w:val="none"/>
          <w:lang w:val="en-US" w:eastAsia="zh-CN"/>
        </w:rPr>
        <w:t>3.1</w:t>
      </w:r>
      <w:r>
        <w:rPr>
          <w:rFonts w:hint="eastAsia" w:ascii="宋体" w:hAnsi="宋体" w:eastAsia="宋体" w:cs="宋体"/>
          <w:i w:val="0"/>
          <w:iCs w:val="0"/>
          <w:sz w:val="24"/>
          <w:szCs w:val="24"/>
          <w:highlight w:val="none"/>
          <w:lang w:val="en-US" w:eastAsia="zh-CN"/>
        </w:rPr>
        <w:t>供应商在中华人民共和国境内注册，能够独立承担民事责任的法人或其他组织形式，具备有效的营业执照；并在人员、设备、资金等方面具有承担本项目的能力。</w:t>
      </w:r>
    </w:p>
    <w:p w14:paraId="7C9D9313">
      <w:pPr>
        <w:pageBreakBefore w:val="0"/>
        <w:widowControl w:val="0"/>
        <w:kinsoku/>
        <w:wordWrap w:val="0"/>
        <w:overflowPunct/>
        <w:topLinePunct w:val="0"/>
        <w:bidi w:val="0"/>
        <w:spacing w:line="360" w:lineRule="auto"/>
        <w:ind w:firstLine="480" w:firstLineChars="200"/>
        <w:textAlignment w:val="auto"/>
        <w:rPr>
          <w:rFonts w:hint="eastAsia" w:ascii="宋体" w:hAnsi="宋体" w:eastAsia="宋体" w:cs="宋体"/>
          <w:i w:val="0"/>
          <w:iCs w:val="0"/>
          <w:sz w:val="24"/>
          <w:szCs w:val="24"/>
          <w:highlight w:val="none"/>
          <w:lang w:val="en-US" w:eastAsia="zh-CN"/>
        </w:rPr>
      </w:pPr>
      <w:r>
        <w:rPr>
          <w:rFonts w:hint="eastAsia" w:ascii="宋体" w:hAnsi="宋体" w:cs="宋体"/>
          <w:i w:val="0"/>
          <w:iCs w:val="0"/>
          <w:sz w:val="24"/>
          <w:szCs w:val="24"/>
          <w:highlight w:val="none"/>
          <w:lang w:val="en-US" w:eastAsia="zh-CN"/>
        </w:rPr>
        <w:t>3.2</w:t>
      </w:r>
      <w:r>
        <w:rPr>
          <w:rFonts w:hint="eastAsia" w:ascii="宋体" w:hAnsi="宋体" w:eastAsia="宋体" w:cs="宋体"/>
          <w:i w:val="0"/>
          <w:iCs w:val="0"/>
          <w:sz w:val="24"/>
          <w:szCs w:val="24"/>
          <w:highlight w:val="none"/>
          <w:lang w:val="en-US" w:eastAsia="zh-CN"/>
        </w:rPr>
        <w:t>近三年财务状况良好，提供由专业审计机构出具的</w:t>
      </w:r>
      <w:r>
        <w:rPr>
          <w:rFonts w:hint="eastAsia" w:ascii="宋体" w:hAnsi="宋体" w:eastAsia="宋体" w:cs="宋体"/>
          <w:i w:val="0"/>
          <w:iCs w:val="0"/>
          <w:sz w:val="24"/>
          <w:szCs w:val="24"/>
          <w:highlight w:val="none"/>
        </w:rPr>
        <w:t>近三年(20</w:t>
      </w:r>
      <w:r>
        <w:rPr>
          <w:rFonts w:hint="eastAsia" w:ascii="宋体" w:hAnsi="宋体" w:eastAsia="宋体" w:cs="宋体"/>
          <w:i w:val="0"/>
          <w:iCs w:val="0"/>
          <w:sz w:val="24"/>
          <w:szCs w:val="24"/>
          <w:highlight w:val="none"/>
          <w:lang w:val="en-US" w:eastAsia="zh-CN"/>
        </w:rPr>
        <w:t>22</w:t>
      </w:r>
      <w:r>
        <w:rPr>
          <w:rFonts w:hint="eastAsia" w:ascii="宋体" w:hAnsi="宋体" w:eastAsia="宋体" w:cs="宋体"/>
          <w:i w:val="0"/>
          <w:iCs w:val="0"/>
          <w:sz w:val="24"/>
          <w:szCs w:val="24"/>
          <w:highlight w:val="none"/>
        </w:rPr>
        <w:t>-202</w:t>
      </w:r>
      <w:r>
        <w:rPr>
          <w:rFonts w:hint="eastAsia" w:ascii="宋体" w:hAnsi="宋体" w:eastAsia="宋体" w:cs="宋体"/>
          <w:i w:val="0"/>
          <w:iCs w:val="0"/>
          <w:sz w:val="24"/>
          <w:szCs w:val="24"/>
          <w:highlight w:val="none"/>
          <w:lang w:val="en-US" w:eastAsia="zh-CN"/>
        </w:rPr>
        <w:t>4</w:t>
      </w:r>
      <w:r>
        <w:rPr>
          <w:rFonts w:hint="eastAsia" w:ascii="宋体" w:hAnsi="宋体" w:eastAsia="宋体" w:cs="宋体"/>
          <w:i w:val="0"/>
          <w:iCs w:val="0"/>
          <w:sz w:val="24"/>
          <w:szCs w:val="24"/>
          <w:highlight w:val="none"/>
        </w:rPr>
        <w:t>年)的财务审计报告(新成立不足三年的企业提供自成立之日起至202</w:t>
      </w:r>
      <w:r>
        <w:rPr>
          <w:rFonts w:hint="eastAsia" w:ascii="宋体" w:hAnsi="宋体" w:eastAsia="宋体" w:cs="宋体"/>
          <w:i w:val="0"/>
          <w:iCs w:val="0"/>
          <w:sz w:val="24"/>
          <w:szCs w:val="24"/>
          <w:highlight w:val="none"/>
          <w:lang w:val="en-US" w:eastAsia="zh-CN"/>
        </w:rPr>
        <w:t>4</w:t>
      </w:r>
      <w:r>
        <w:rPr>
          <w:rFonts w:hint="eastAsia" w:ascii="宋体" w:hAnsi="宋体" w:eastAsia="宋体" w:cs="宋体"/>
          <w:i w:val="0"/>
          <w:iCs w:val="0"/>
          <w:sz w:val="24"/>
          <w:szCs w:val="24"/>
          <w:highlight w:val="none"/>
        </w:rPr>
        <w:t>年的财务审计报告,若供应商为202</w:t>
      </w:r>
      <w:r>
        <w:rPr>
          <w:rFonts w:hint="eastAsia" w:ascii="宋体" w:hAnsi="宋体" w:eastAsia="宋体" w:cs="宋体"/>
          <w:i w:val="0"/>
          <w:iCs w:val="0"/>
          <w:sz w:val="24"/>
          <w:szCs w:val="24"/>
          <w:highlight w:val="none"/>
          <w:lang w:val="en-US" w:eastAsia="zh-CN"/>
        </w:rPr>
        <w:t>4</w:t>
      </w:r>
      <w:r>
        <w:rPr>
          <w:rFonts w:hint="eastAsia" w:ascii="宋体" w:hAnsi="宋体" w:eastAsia="宋体" w:cs="宋体"/>
          <w:i w:val="0"/>
          <w:iCs w:val="0"/>
          <w:sz w:val="24"/>
          <w:szCs w:val="24"/>
          <w:highlight w:val="none"/>
        </w:rPr>
        <w:t>年</w:t>
      </w:r>
      <w:r>
        <w:rPr>
          <w:rFonts w:hint="eastAsia" w:ascii="宋体" w:hAnsi="宋体" w:eastAsia="宋体" w:cs="宋体"/>
          <w:i w:val="0"/>
          <w:iCs w:val="0"/>
          <w:sz w:val="24"/>
          <w:szCs w:val="24"/>
          <w:highlight w:val="none"/>
          <w:lang w:val="en-US" w:eastAsia="zh-CN"/>
        </w:rPr>
        <w:t>12</w:t>
      </w:r>
      <w:r>
        <w:rPr>
          <w:rFonts w:hint="eastAsia" w:ascii="宋体" w:hAnsi="宋体" w:eastAsia="宋体" w:cs="宋体"/>
          <w:i w:val="0"/>
          <w:iCs w:val="0"/>
          <w:sz w:val="24"/>
          <w:szCs w:val="24"/>
          <w:highlight w:val="none"/>
        </w:rPr>
        <w:t>月</w:t>
      </w:r>
      <w:r>
        <w:rPr>
          <w:rFonts w:hint="eastAsia" w:ascii="宋体" w:hAnsi="宋体" w:eastAsia="宋体" w:cs="宋体"/>
          <w:i w:val="0"/>
          <w:iCs w:val="0"/>
          <w:sz w:val="24"/>
          <w:szCs w:val="24"/>
          <w:highlight w:val="none"/>
          <w:lang w:val="en-US" w:eastAsia="zh-CN"/>
        </w:rPr>
        <w:t>3</w:t>
      </w:r>
      <w:r>
        <w:rPr>
          <w:rFonts w:hint="eastAsia" w:ascii="宋体" w:hAnsi="宋体" w:eastAsia="宋体" w:cs="宋体"/>
          <w:i w:val="0"/>
          <w:iCs w:val="0"/>
          <w:sz w:val="24"/>
          <w:szCs w:val="24"/>
          <w:highlight w:val="none"/>
        </w:rPr>
        <w:t>1日及以后注册成立的公司，</w:t>
      </w:r>
      <w:r>
        <w:rPr>
          <w:rFonts w:hint="eastAsia" w:ascii="宋体" w:hAnsi="宋体" w:eastAsia="宋体" w:cs="宋体"/>
          <w:i w:val="0"/>
          <w:iCs w:val="0"/>
          <w:sz w:val="24"/>
          <w:szCs w:val="24"/>
          <w:highlight w:val="none"/>
          <w:lang w:val="en-US" w:eastAsia="zh-CN"/>
        </w:rPr>
        <w:t>提供</w:t>
      </w:r>
      <w:r>
        <w:rPr>
          <w:rFonts w:hint="eastAsia" w:ascii="宋体" w:hAnsi="宋体" w:eastAsia="宋体" w:cs="宋体"/>
          <w:i w:val="0"/>
          <w:iCs w:val="0"/>
          <w:sz w:val="24"/>
          <w:szCs w:val="24"/>
          <w:highlight w:val="none"/>
        </w:rPr>
        <w:t>财务状况良好承诺书)</w:t>
      </w:r>
      <w:r>
        <w:rPr>
          <w:rFonts w:hint="eastAsia" w:ascii="宋体" w:hAnsi="宋体" w:cs="宋体"/>
          <w:i w:val="0"/>
          <w:iCs w:val="0"/>
          <w:sz w:val="24"/>
          <w:szCs w:val="24"/>
          <w:highlight w:val="none"/>
          <w:lang w:val="en-US" w:eastAsia="zh-CN"/>
        </w:rPr>
        <w:t>。</w:t>
      </w:r>
    </w:p>
    <w:p w14:paraId="6A04CB1A">
      <w:pPr>
        <w:pageBreakBefore w:val="0"/>
        <w:widowControl w:val="0"/>
        <w:kinsoku/>
        <w:wordWrap w:val="0"/>
        <w:overflowPunct/>
        <w:topLinePunct w:val="0"/>
        <w:bidi w:val="0"/>
        <w:spacing w:line="360" w:lineRule="auto"/>
        <w:ind w:firstLine="480" w:firstLineChars="200"/>
        <w:textAlignment w:val="auto"/>
        <w:rPr>
          <w:rFonts w:hint="eastAsia" w:ascii="宋体" w:hAnsi="宋体" w:eastAsia="宋体" w:cs="宋体"/>
          <w:i w:val="0"/>
          <w:iCs w:val="0"/>
          <w:sz w:val="24"/>
          <w:szCs w:val="24"/>
          <w:highlight w:val="none"/>
          <w:lang w:val="en-US" w:eastAsia="zh-CN"/>
        </w:rPr>
      </w:pPr>
      <w:r>
        <w:rPr>
          <w:rFonts w:hint="eastAsia" w:ascii="宋体" w:hAnsi="宋体" w:cs="宋体"/>
          <w:i w:val="0"/>
          <w:iCs w:val="0"/>
          <w:sz w:val="24"/>
          <w:szCs w:val="24"/>
          <w:highlight w:val="none"/>
          <w:lang w:val="en-US" w:eastAsia="zh-CN"/>
        </w:rPr>
        <w:t>3.3</w:t>
      </w:r>
      <w:r>
        <w:rPr>
          <w:rFonts w:hint="eastAsia" w:ascii="宋体" w:hAnsi="宋体" w:eastAsia="宋体" w:cs="宋体"/>
          <w:i w:val="0"/>
          <w:iCs w:val="0"/>
          <w:sz w:val="24"/>
          <w:szCs w:val="24"/>
          <w:highlight w:val="none"/>
          <w:lang w:val="en-US" w:eastAsia="zh-CN"/>
        </w:rPr>
        <w:t>信誉要求</w:t>
      </w:r>
    </w:p>
    <w:p w14:paraId="627D3005">
      <w:pPr>
        <w:pageBreakBefore w:val="0"/>
        <w:widowControl w:val="0"/>
        <w:kinsoku/>
        <w:wordWrap w:val="0"/>
        <w:overflowPunct/>
        <w:topLinePunct w:val="0"/>
        <w:bidi w:val="0"/>
        <w:spacing w:line="360" w:lineRule="auto"/>
        <w:ind w:firstLine="480" w:firstLineChars="200"/>
        <w:textAlignment w:val="auto"/>
        <w:rPr>
          <w:rFonts w:hint="eastAsia" w:ascii="宋体" w:hAnsi="宋体" w:eastAsia="宋体" w:cs="宋体"/>
          <w:i w:val="0"/>
          <w:iCs w:val="0"/>
          <w:sz w:val="24"/>
          <w:szCs w:val="24"/>
          <w:highlight w:val="none"/>
          <w:lang w:val="en-US" w:eastAsia="zh-CN"/>
        </w:rPr>
      </w:pPr>
      <w:r>
        <w:rPr>
          <w:rFonts w:hint="eastAsia" w:ascii="宋体" w:hAnsi="宋体" w:eastAsia="宋体" w:cs="宋体"/>
          <w:i w:val="0"/>
          <w:iCs w:val="0"/>
          <w:sz w:val="24"/>
          <w:szCs w:val="24"/>
          <w:highlight w:val="none"/>
          <w:lang w:val="en-US" w:eastAsia="zh-CN"/>
        </w:rPr>
        <w:t>（1）不接受列入政府取消投标资格记录期间的企业或个人参加投标；参加政府采购活动前三年内，在经营活动中没有重大违法记录。</w:t>
      </w:r>
    </w:p>
    <w:p w14:paraId="4C4C83FF">
      <w:pPr>
        <w:pageBreakBefore w:val="0"/>
        <w:widowControl w:val="0"/>
        <w:kinsoku/>
        <w:wordWrap w:val="0"/>
        <w:overflowPunct/>
        <w:topLinePunct w:val="0"/>
        <w:bidi w:val="0"/>
        <w:spacing w:line="360" w:lineRule="auto"/>
        <w:ind w:firstLine="480" w:firstLineChars="200"/>
        <w:textAlignment w:val="auto"/>
        <w:rPr>
          <w:rFonts w:hint="eastAsia" w:ascii="宋体" w:hAnsi="宋体" w:eastAsia="宋体" w:cs="宋体"/>
          <w:i w:val="0"/>
          <w:iCs w:val="0"/>
          <w:sz w:val="24"/>
          <w:szCs w:val="24"/>
          <w:highlight w:val="none"/>
          <w:lang w:val="en-US" w:eastAsia="zh-CN"/>
        </w:rPr>
      </w:pPr>
      <w:r>
        <w:rPr>
          <w:rFonts w:hint="eastAsia" w:ascii="宋体" w:hAnsi="宋体" w:eastAsia="宋体" w:cs="宋体"/>
          <w:i w:val="0"/>
          <w:iCs w:val="0"/>
          <w:sz w:val="24"/>
          <w:szCs w:val="24"/>
          <w:highlight w:val="none"/>
          <w:lang w:val="en-US" w:eastAsia="zh-CN"/>
        </w:rPr>
        <w:t>（2）供应商不得为“信用中国”网站（www.creditchina.gov.cn）中列入失信被执行人和重大税收违法失信主体的供应商，不得为中国政府采购网（www.ccgp.gov.cn）政府采购严重违法失信行为记录名单中被财政部门禁止参加政府采购活动的供应商（详见财库【2016】125号文）（需在公告发布之后至投标截止期间在官方网站查询，并将查询截图加盖单位公章附在投标文件中）。</w:t>
      </w:r>
    </w:p>
    <w:p w14:paraId="3F5456F4">
      <w:pPr>
        <w:widowControl/>
        <w:spacing w:line="360" w:lineRule="auto"/>
        <w:ind w:firstLine="480" w:firstLineChars="200"/>
        <w:rPr>
          <w:rFonts w:hint="eastAsia" w:ascii="宋体" w:hAnsi="宋体" w:eastAsia="宋体" w:cs="宋体"/>
          <w:i w:val="0"/>
          <w:iCs w:val="0"/>
          <w:sz w:val="24"/>
          <w:szCs w:val="24"/>
          <w:highlight w:val="none"/>
          <w:lang w:val="en-US" w:eastAsia="zh-CN"/>
        </w:rPr>
      </w:pPr>
      <w:r>
        <w:rPr>
          <w:rFonts w:hint="eastAsia" w:ascii="宋体" w:hAnsi="宋体" w:eastAsia="宋体" w:cs="宋体"/>
          <w:i w:val="0"/>
          <w:iCs w:val="0"/>
          <w:sz w:val="24"/>
          <w:szCs w:val="24"/>
          <w:highlight w:val="none"/>
          <w:lang w:val="en-US" w:eastAsia="zh-CN"/>
        </w:rPr>
        <w:t>（3）与采购人存在利害关系可能影响采购公正性的法人、其它组织或者个人，不得参加投标；单位负责人为同一人或者存在直接控股、管理关系的不同供应商，不得参加同一合同项下的政府采购活动。否则相关投标无效</w:t>
      </w:r>
    </w:p>
    <w:p w14:paraId="2F7D66DE">
      <w:pPr>
        <w:widowControl/>
        <w:spacing w:line="360" w:lineRule="auto"/>
        <w:rPr>
          <w:rFonts w:ascii="宋体" w:hAnsi="宋体" w:cs="宋体"/>
          <w:bCs/>
          <w:sz w:val="24"/>
          <w:szCs w:val="24"/>
          <w:highlight w:val="none"/>
        </w:rPr>
      </w:pPr>
      <w:r>
        <w:rPr>
          <w:rFonts w:hint="eastAsia" w:ascii="宋体" w:hAnsi="宋体" w:cs="宋体"/>
          <w:b/>
          <w:sz w:val="24"/>
          <w:szCs w:val="24"/>
        </w:rPr>
        <w:t>三、获取谈判</w:t>
      </w:r>
      <w:r>
        <w:rPr>
          <w:rFonts w:hint="eastAsia" w:ascii="宋体" w:hAnsi="宋体" w:cs="宋体"/>
          <w:b/>
          <w:sz w:val="24"/>
          <w:szCs w:val="24"/>
          <w:highlight w:val="none"/>
        </w:rPr>
        <w:t>文件:</w:t>
      </w:r>
    </w:p>
    <w:p w14:paraId="515CC19D">
      <w:pPr>
        <w:pStyle w:val="12"/>
        <w:adjustRightInd w:val="0"/>
        <w:snapToGrid w:val="0"/>
        <w:spacing w:before="150" w:beforeAutospacing="0" w:after="0" w:afterAutospacing="0"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时间</w:t>
      </w:r>
      <w:r>
        <w:rPr>
          <w:rFonts w:hint="eastAsia" w:ascii="宋体" w:hAnsi="宋体" w:eastAsia="宋体" w:cs="宋体"/>
          <w:color w:val="auto"/>
          <w:highlight w:val="none"/>
          <w:lang w:eastAsia="zh-CN"/>
        </w:rPr>
        <w:t>：202</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lang w:eastAsia="zh-CN"/>
        </w:rPr>
        <w:t>年</w:t>
      </w:r>
      <w:r>
        <w:rPr>
          <w:rFonts w:hint="eastAsia" w:cs="宋体"/>
          <w:color w:val="auto"/>
          <w:highlight w:val="none"/>
          <w:lang w:val="en-US" w:eastAsia="zh-CN"/>
        </w:rPr>
        <w:t>06</w:t>
      </w:r>
      <w:r>
        <w:rPr>
          <w:rFonts w:hint="eastAsia" w:ascii="宋体" w:hAnsi="宋体" w:eastAsia="宋体" w:cs="宋体"/>
          <w:color w:val="auto"/>
          <w:highlight w:val="none"/>
          <w:lang w:eastAsia="zh-CN"/>
        </w:rPr>
        <w:t>月</w:t>
      </w:r>
      <w:r>
        <w:rPr>
          <w:rFonts w:hint="eastAsia" w:cs="宋体"/>
          <w:color w:val="auto"/>
          <w:highlight w:val="none"/>
          <w:lang w:val="en-US" w:eastAsia="zh-CN"/>
        </w:rPr>
        <w:t>17</w:t>
      </w:r>
      <w:r>
        <w:rPr>
          <w:rFonts w:hint="eastAsia" w:ascii="宋体" w:hAnsi="宋体" w:eastAsia="宋体" w:cs="宋体"/>
          <w:color w:val="auto"/>
          <w:highlight w:val="none"/>
          <w:lang w:eastAsia="zh-CN"/>
        </w:rPr>
        <w:t>日至202</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lang w:eastAsia="zh-CN"/>
        </w:rPr>
        <w:t>年</w:t>
      </w:r>
      <w:r>
        <w:rPr>
          <w:rFonts w:hint="eastAsia" w:cs="宋体"/>
          <w:color w:val="auto"/>
          <w:highlight w:val="none"/>
          <w:lang w:val="en-US" w:eastAsia="zh-CN"/>
        </w:rPr>
        <w:t>06</w:t>
      </w:r>
      <w:r>
        <w:rPr>
          <w:rFonts w:hint="eastAsia" w:ascii="宋体" w:hAnsi="宋体" w:eastAsia="宋体" w:cs="宋体"/>
          <w:color w:val="auto"/>
          <w:highlight w:val="none"/>
          <w:lang w:eastAsia="zh-CN"/>
        </w:rPr>
        <w:t>月</w:t>
      </w:r>
      <w:r>
        <w:rPr>
          <w:rFonts w:hint="eastAsia" w:cs="宋体"/>
          <w:color w:val="auto"/>
          <w:highlight w:val="none"/>
          <w:lang w:val="en-US" w:eastAsia="zh-CN"/>
        </w:rPr>
        <w:t>19</w:t>
      </w:r>
      <w:r>
        <w:rPr>
          <w:rFonts w:hint="eastAsia" w:ascii="宋体" w:hAnsi="宋体" w:eastAsia="宋体" w:cs="宋体"/>
          <w:color w:val="auto"/>
          <w:highlight w:val="none"/>
          <w:lang w:eastAsia="zh-CN"/>
        </w:rPr>
        <w:t>日</w:t>
      </w:r>
    </w:p>
    <w:p w14:paraId="0E87E3DA">
      <w:pPr>
        <w:pStyle w:val="12"/>
        <w:adjustRightInd w:val="0"/>
        <w:snapToGrid w:val="0"/>
        <w:spacing w:before="150" w:beforeAutospacing="0" w:after="0" w:afterAutospacing="0"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地点</w:t>
      </w:r>
      <w:r>
        <w:rPr>
          <w:rFonts w:hint="eastAsia" w:ascii="宋体" w:hAnsi="宋体" w:eastAsia="宋体" w:cs="宋体"/>
          <w:color w:val="auto"/>
          <w:lang w:eastAsia="zh-CN"/>
        </w:rPr>
        <w:t>：政采云平台（https://www.zcygov.cn/）线上获取</w:t>
      </w:r>
    </w:p>
    <w:p w14:paraId="008D8B86">
      <w:pPr>
        <w:pStyle w:val="12"/>
        <w:adjustRightInd w:val="0"/>
        <w:snapToGrid w:val="0"/>
        <w:spacing w:before="150" w:beforeAutospacing="0" w:after="0" w:afterAutospacing="0"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方式：</w:t>
      </w:r>
      <w:r>
        <w:rPr>
          <w:rFonts w:hint="eastAsia" w:ascii="宋体" w:hAnsi="宋体" w:eastAsia="宋体" w:cs="宋体"/>
          <w:color w:val="auto"/>
          <w:lang w:val="en-US" w:eastAsia="zh-CN"/>
        </w:rPr>
        <w:t>供应商登录政采云平台https://www.zcygov.cn/在线申请获取采购文件（进入“项目采购”应用，在获取采购文件菜单中选择项目，申请获取采购文件）其他途径获取的谈判文件开标时一律按无效投标处理。</w:t>
      </w:r>
    </w:p>
    <w:p w14:paraId="766F8748">
      <w:pPr>
        <w:pStyle w:val="12"/>
        <w:adjustRightInd w:val="0"/>
        <w:snapToGrid w:val="0"/>
        <w:spacing w:before="150" w:beforeAutospacing="0" w:after="0" w:afterAutospacing="0" w:line="360" w:lineRule="auto"/>
        <w:ind w:firstLine="480" w:firstLineChars="200"/>
        <w:jc w:val="both"/>
        <w:rPr>
          <w:rFonts w:ascii="宋体" w:hAnsi="宋体" w:cs="宋体"/>
          <w:sz w:val="24"/>
          <w:szCs w:val="24"/>
        </w:rPr>
      </w:pPr>
      <w:r>
        <w:rPr>
          <w:rFonts w:hint="eastAsia" w:ascii="宋体" w:hAnsi="宋体" w:eastAsia="宋体" w:cs="宋体"/>
          <w:color w:val="auto"/>
        </w:rPr>
        <w:t>售价：</w:t>
      </w:r>
      <w:r>
        <w:rPr>
          <w:rFonts w:hint="eastAsia" w:ascii="宋体" w:hAnsi="宋体" w:eastAsia="宋体" w:cs="宋体"/>
          <w:color w:val="auto"/>
          <w:spacing w:val="0"/>
          <w:kern w:val="0"/>
          <w:sz w:val="24"/>
          <w:szCs w:val="24"/>
          <w:lang w:val="en-US" w:eastAsia="zh-CN" w:bidi="ar-SA"/>
        </w:rPr>
        <w:t>¥</w:t>
      </w:r>
      <w:r>
        <w:rPr>
          <w:rFonts w:hint="eastAsia" w:ascii="宋体" w:hAnsi="宋体" w:eastAsia="宋体" w:cs="宋体"/>
          <w:color w:val="auto"/>
          <w:sz w:val="24"/>
          <w:szCs w:val="24"/>
          <w:highlight w:val="none"/>
        </w:rPr>
        <w:t>0.0元</w:t>
      </w:r>
      <w:r>
        <w:rPr>
          <w:rFonts w:hint="eastAsia" w:ascii="宋体" w:hAnsi="宋体" w:cs="宋体"/>
          <w:bCs/>
          <w:snapToGrid w:val="0"/>
          <w:sz w:val="24"/>
          <w:szCs w:val="24"/>
        </w:rPr>
        <w:tab/>
      </w:r>
    </w:p>
    <w:p w14:paraId="6CABC0FE">
      <w:pPr>
        <w:widowControl/>
        <w:spacing w:line="360" w:lineRule="auto"/>
        <w:rPr>
          <w:rFonts w:ascii="宋体" w:hAnsi="宋体" w:cs="宋体"/>
          <w:b/>
          <w:bCs/>
          <w:sz w:val="24"/>
          <w:szCs w:val="24"/>
        </w:rPr>
      </w:pPr>
      <w:r>
        <w:rPr>
          <w:rFonts w:hint="eastAsia" w:ascii="宋体" w:hAnsi="宋体" w:cs="宋体"/>
          <w:b/>
          <w:bCs/>
          <w:sz w:val="24"/>
          <w:szCs w:val="24"/>
        </w:rPr>
        <w:t>四、提交响应文件截止时间、开标时间和地点:</w:t>
      </w:r>
    </w:p>
    <w:p w14:paraId="5E3F1B3D">
      <w:pPr>
        <w:pStyle w:val="12"/>
        <w:adjustRightInd w:val="0"/>
        <w:snapToGrid w:val="0"/>
        <w:spacing w:before="150" w:beforeAutospacing="0" w:after="0" w:afterAutospacing="0" w:line="360" w:lineRule="auto"/>
        <w:ind w:firstLine="480" w:firstLineChars="200"/>
        <w:jc w:val="both"/>
        <w:rPr>
          <w:rFonts w:hint="eastAsia" w:ascii="宋体" w:hAnsi="宋体" w:eastAsia="宋体" w:cs="宋体"/>
          <w:i w:val="0"/>
          <w:iCs w:val="0"/>
          <w:kern w:val="2"/>
          <w:sz w:val="24"/>
          <w:szCs w:val="24"/>
          <w:highlight w:val="none"/>
          <w:u w:val="none"/>
          <w:lang w:val="en-US" w:eastAsia="zh-CN" w:bidi="ar-SA"/>
        </w:rPr>
      </w:pPr>
      <w:r>
        <w:rPr>
          <w:rFonts w:hint="eastAsia" w:ascii="宋体" w:hAnsi="宋体" w:eastAsia="宋体" w:cs="宋体"/>
          <w:i w:val="0"/>
          <w:iCs w:val="0"/>
          <w:kern w:val="2"/>
          <w:sz w:val="24"/>
          <w:szCs w:val="24"/>
          <w:highlight w:val="none"/>
          <w:u w:val="none"/>
          <w:lang w:val="en-US" w:eastAsia="zh-CN" w:bidi="ar-SA"/>
        </w:rPr>
        <w:t>提交响应文件截止时间：2025年</w:t>
      </w:r>
      <w:r>
        <w:rPr>
          <w:rFonts w:hint="eastAsia" w:cs="宋体"/>
          <w:i w:val="0"/>
          <w:iCs w:val="0"/>
          <w:kern w:val="2"/>
          <w:sz w:val="24"/>
          <w:szCs w:val="24"/>
          <w:highlight w:val="none"/>
          <w:u w:val="none"/>
          <w:lang w:val="en-US" w:eastAsia="zh-CN" w:bidi="ar-SA"/>
        </w:rPr>
        <w:t>06</w:t>
      </w:r>
      <w:r>
        <w:rPr>
          <w:rFonts w:hint="eastAsia" w:ascii="宋体" w:hAnsi="宋体" w:eastAsia="宋体" w:cs="宋体"/>
          <w:i w:val="0"/>
          <w:iCs w:val="0"/>
          <w:kern w:val="2"/>
          <w:sz w:val="24"/>
          <w:szCs w:val="24"/>
          <w:highlight w:val="none"/>
          <w:u w:val="none"/>
          <w:lang w:val="en-US" w:eastAsia="zh-CN" w:bidi="ar-SA"/>
        </w:rPr>
        <w:t>月</w:t>
      </w:r>
      <w:r>
        <w:rPr>
          <w:rFonts w:hint="eastAsia" w:cs="宋体"/>
          <w:i w:val="0"/>
          <w:iCs w:val="0"/>
          <w:kern w:val="2"/>
          <w:sz w:val="24"/>
          <w:szCs w:val="24"/>
          <w:highlight w:val="none"/>
          <w:u w:val="none"/>
          <w:lang w:val="en-US" w:eastAsia="zh-CN" w:bidi="ar-SA"/>
        </w:rPr>
        <w:t>26</w:t>
      </w:r>
      <w:r>
        <w:rPr>
          <w:rFonts w:hint="eastAsia" w:ascii="宋体" w:hAnsi="宋体" w:eastAsia="宋体" w:cs="宋体"/>
          <w:i w:val="0"/>
          <w:iCs w:val="0"/>
          <w:kern w:val="2"/>
          <w:sz w:val="24"/>
          <w:szCs w:val="24"/>
          <w:highlight w:val="none"/>
          <w:u w:val="none"/>
          <w:lang w:val="en-US" w:eastAsia="zh-CN" w:bidi="ar-SA"/>
        </w:rPr>
        <w:t>日</w:t>
      </w:r>
      <w:r>
        <w:rPr>
          <w:rFonts w:hint="eastAsia" w:cs="宋体"/>
          <w:i w:val="0"/>
          <w:iCs w:val="0"/>
          <w:kern w:val="2"/>
          <w:sz w:val="24"/>
          <w:szCs w:val="24"/>
          <w:highlight w:val="none"/>
          <w:u w:val="none"/>
          <w:lang w:val="en-US" w:eastAsia="zh-CN" w:bidi="ar-SA"/>
        </w:rPr>
        <w:t>16</w:t>
      </w:r>
      <w:r>
        <w:rPr>
          <w:rFonts w:hint="eastAsia" w:ascii="宋体" w:hAnsi="宋体" w:eastAsia="宋体" w:cs="宋体"/>
          <w:i w:val="0"/>
          <w:iCs w:val="0"/>
          <w:kern w:val="2"/>
          <w:sz w:val="24"/>
          <w:szCs w:val="24"/>
          <w:highlight w:val="none"/>
          <w:u w:val="none"/>
          <w:lang w:val="en-US" w:eastAsia="zh-CN" w:bidi="ar-SA"/>
        </w:rPr>
        <w:t>时</w:t>
      </w:r>
      <w:r>
        <w:rPr>
          <w:rFonts w:hint="eastAsia" w:cs="宋体"/>
          <w:i w:val="0"/>
          <w:iCs w:val="0"/>
          <w:kern w:val="2"/>
          <w:sz w:val="24"/>
          <w:szCs w:val="24"/>
          <w:highlight w:val="none"/>
          <w:u w:val="none"/>
          <w:lang w:val="en-US" w:eastAsia="zh-CN" w:bidi="ar-SA"/>
        </w:rPr>
        <w:t>00</w:t>
      </w:r>
      <w:r>
        <w:rPr>
          <w:rFonts w:hint="eastAsia" w:ascii="宋体" w:hAnsi="宋体" w:eastAsia="宋体" w:cs="宋体"/>
          <w:i w:val="0"/>
          <w:iCs w:val="0"/>
          <w:kern w:val="2"/>
          <w:sz w:val="24"/>
          <w:szCs w:val="24"/>
          <w:highlight w:val="none"/>
          <w:u w:val="none"/>
          <w:lang w:val="en-US" w:eastAsia="zh-CN" w:bidi="ar-SA"/>
        </w:rPr>
        <w:t>分（北京时间）</w:t>
      </w:r>
    </w:p>
    <w:p w14:paraId="4B81D949">
      <w:pPr>
        <w:pStyle w:val="12"/>
        <w:adjustRightInd w:val="0"/>
        <w:snapToGrid w:val="0"/>
        <w:spacing w:before="150" w:beforeAutospacing="0" w:after="0" w:afterAutospacing="0" w:line="360" w:lineRule="auto"/>
        <w:ind w:firstLine="480" w:firstLineChars="200"/>
        <w:jc w:val="both"/>
        <w:rPr>
          <w:rFonts w:hint="eastAsia" w:ascii="宋体" w:hAnsi="宋体" w:eastAsia="宋体" w:cs="宋体"/>
          <w:i w:val="0"/>
          <w:iCs w:val="0"/>
          <w:kern w:val="2"/>
          <w:sz w:val="24"/>
          <w:szCs w:val="24"/>
          <w:highlight w:val="none"/>
          <w:u w:val="none"/>
          <w:lang w:val="en-US" w:eastAsia="zh-CN" w:bidi="ar-SA"/>
        </w:rPr>
      </w:pPr>
      <w:r>
        <w:rPr>
          <w:rFonts w:hint="eastAsia" w:ascii="宋体" w:hAnsi="宋体" w:eastAsia="宋体" w:cs="宋体"/>
          <w:i w:val="0"/>
          <w:iCs w:val="0"/>
          <w:kern w:val="2"/>
          <w:sz w:val="24"/>
          <w:szCs w:val="24"/>
          <w:highlight w:val="none"/>
          <w:u w:val="none"/>
          <w:lang w:val="en-US" w:eastAsia="zh-CN" w:bidi="ar-SA"/>
        </w:rPr>
        <w:t>开标时间：2025年</w:t>
      </w:r>
      <w:r>
        <w:rPr>
          <w:rFonts w:hint="eastAsia" w:cs="宋体"/>
          <w:i w:val="0"/>
          <w:iCs w:val="0"/>
          <w:kern w:val="2"/>
          <w:sz w:val="24"/>
          <w:szCs w:val="24"/>
          <w:highlight w:val="none"/>
          <w:u w:val="none"/>
          <w:lang w:val="en-US" w:eastAsia="zh-CN" w:bidi="ar-SA"/>
        </w:rPr>
        <w:t>06</w:t>
      </w:r>
      <w:r>
        <w:rPr>
          <w:rFonts w:hint="eastAsia" w:ascii="宋体" w:hAnsi="宋体" w:eastAsia="宋体" w:cs="宋体"/>
          <w:i w:val="0"/>
          <w:iCs w:val="0"/>
          <w:kern w:val="2"/>
          <w:sz w:val="24"/>
          <w:szCs w:val="24"/>
          <w:highlight w:val="none"/>
          <w:u w:val="none"/>
          <w:lang w:val="en-US" w:eastAsia="zh-CN" w:bidi="ar-SA"/>
        </w:rPr>
        <w:t>月</w:t>
      </w:r>
      <w:r>
        <w:rPr>
          <w:rFonts w:hint="eastAsia" w:cs="宋体"/>
          <w:i w:val="0"/>
          <w:iCs w:val="0"/>
          <w:kern w:val="2"/>
          <w:sz w:val="24"/>
          <w:szCs w:val="24"/>
          <w:highlight w:val="none"/>
          <w:u w:val="none"/>
          <w:lang w:val="en-US" w:eastAsia="zh-CN" w:bidi="ar-SA"/>
        </w:rPr>
        <w:t>26</w:t>
      </w:r>
      <w:r>
        <w:rPr>
          <w:rFonts w:hint="eastAsia" w:ascii="宋体" w:hAnsi="宋体" w:eastAsia="宋体" w:cs="宋体"/>
          <w:i w:val="0"/>
          <w:iCs w:val="0"/>
          <w:kern w:val="2"/>
          <w:sz w:val="24"/>
          <w:szCs w:val="24"/>
          <w:highlight w:val="none"/>
          <w:u w:val="none"/>
          <w:lang w:val="en-US" w:eastAsia="zh-CN" w:bidi="ar-SA"/>
        </w:rPr>
        <w:t>日</w:t>
      </w:r>
      <w:r>
        <w:rPr>
          <w:rFonts w:hint="eastAsia" w:cs="宋体"/>
          <w:i w:val="0"/>
          <w:iCs w:val="0"/>
          <w:kern w:val="2"/>
          <w:sz w:val="24"/>
          <w:szCs w:val="24"/>
          <w:highlight w:val="none"/>
          <w:u w:val="none"/>
          <w:lang w:val="en-US" w:eastAsia="zh-CN" w:bidi="ar-SA"/>
        </w:rPr>
        <w:t>16</w:t>
      </w:r>
      <w:r>
        <w:rPr>
          <w:rFonts w:hint="eastAsia" w:ascii="宋体" w:hAnsi="宋体" w:eastAsia="宋体" w:cs="宋体"/>
          <w:i w:val="0"/>
          <w:iCs w:val="0"/>
          <w:kern w:val="2"/>
          <w:sz w:val="24"/>
          <w:szCs w:val="24"/>
          <w:highlight w:val="none"/>
          <w:u w:val="none"/>
          <w:lang w:val="en-US" w:eastAsia="zh-CN" w:bidi="ar-SA"/>
        </w:rPr>
        <w:t>时</w:t>
      </w:r>
      <w:r>
        <w:rPr>
          <w:rFonts w:hint="eastAsia" w:cs="宋体"/>
          <w:i w:val="0"/>
          <w:iCs w:val="0"/>
          <w:kern w:val="2"/>
          <w:sz w:val="24"/>
          <w:szCs w:val="24"/>
          <w:highlight w:val="none"/>
          <w:u w:val="none"/>
          <w:lang w:val="en-US" w:eastAsia="zh-CN" w:bidi="ar-SA"/>
        </w:rPr>
        <w:t>00</w:t>
      </w:r>
      <w:r>
        <w:rPr>
          <w:rFonts w:hint="eastAsia" w:ascii="宋体" w:hAnsi="宋体" w:eastAsia="宋体" w:cs="宋体"/>
          <w:i w:val="0"/>
          <w:iCs w:val="0"/>
          <w:kern w:val="2"/>
          <w:sz w:val="24"/>
          <w:szCs w:val="24"/>
          <w:highlight w:val="none"/>
          <w:u w:val="none"/>
          <w:lang w:val="en-US" w:eastAsia="zh-CN" w:bidi="ar-SA"/>
        </w:rPr>
        <w:t>分（北京时间）</w:t>
      </w:r>
    </w:p>
    <w:p w14:paraId="14FE8A1C">
      <w:pPr>
        <w:pStyle w:val="12"/>
        <w:adjustRightInd w:val="0"/>
        <w:snapToGrid w:val="0"/>
        <w:spacing w:before="150" w:beforeAutospacing="0" w:after="0" w:afterAutospacing="0" w:line="360" w:lineRule="auto"/>
        <w:ind w:firstLine="480" w:firstLineChars="200"/>
        <w:jc w:val="both"/>
        <w:rPr>
          <w:rFonts w:hint="eastAsia" w:ascii="宋体" w:hAnsi="宋体" w:eastAsia="宋体" w:cs="宋体"/>
          <w:i w:val="0"/>
          <w:iCs w:val="0"/>
          <w:kern w:val="2"/>
          <w:sz w:val="24"/>
          <w:szCs w:val="24"/>
          <w:highlight w:val="none"/>
          <w:lang w:val="en-US" w:eastAsia="zh-CN" w:bidi="ar-SA"/>
        </w:rPr>
      </w:pPr>
      <w:r>
        <w:rPr>
          <w:rFonts w:hint="eastAsia" w:ascii="宋体" w:hAnsi="宋体" w:eastAsia="宋体" w:cs="宋体"/>
          <w:i w:val="0"/>
          <w:iCs w:val="0"/>
          <w:kern w:val="2"/>
          <w:sz w:val="24"/>
          <w:szCs w:val="24"/>
          <w:highlight w:val="none"/>
          <w:lang w:val="en-US" w:eastAsia="zh-CN" w:bidi="ar-SA"/>
        </w:rPr>
        <w:t>地点：长春市二道区洋浦大街6999号凯利中心AB栋101开标</w:t>
      </w:r>
      <w:r>
        <w:rPr>
          <w:rFonts w:hint="eastAsia" w:cs="宋体"/>
          <w:i w:val="0"/>
          <w:iCs w:val="0"/>
          <w:kern w:val="2"/>
          <w:sz w:val="24"/>
          <w:szCs w:val="24"/>
          <w:highlight w:val="none"/>
          <w:lang w:val="en-US" w:eastAsia="zh-CN" w:bidi="ar-SA"/>
        </w:rPr>
        <w:t>二</w:t>
      </w:r>
      <w:r>
        <w:rPr>
          <w:rFonts w:hint="eastAsia" w:ascii="宋体" w:hAnsi="宋体" w:eastAsia="宋体" w:cs="宋体"/>
          <w:i w:val="0"/>
          <w:iCs w:val="0"/>
          <w:kern w:val="2"/>
          <w:sz w:val="24"/>
          <w:szCs w:val="24"/>
          <w:highlight w:val="none"/>
          <w:lang w:val="en-US" w:eastAsia="zh-CN" w:bidi="ar-SA"/>
        </w:rPr>
        <w:t>室。（本项目执行电子化招投标，供应商须通过政府采购云平台（https://www.zcygov.cn/）递交电子版投标文件，逾期未上传电子投标文件，将不予受理。）</w:t>
      </w:r>
    </w:p>
    <w:p w14:paraId="10267358">
      <w:pPr>
        <w:pStyle w:val="12"/>
        <w:adjustRightInd w:val="0"/>
        <w:snapToGrid w:val="0"/>
        <w:spacing w:before="150" w:beforeAutospacing="0" w:after="0" w:afterAutospacing="0" w:line="360" w:lineRule="auto"/>
        <w:ind w:firstLine="480" w:firstLineChars="200"/>
        <w:jc w:val="both"/>
        <w:rPr>
          <w:rFonts w:hint="eastAsia" w:ascii="宋体" w:hAnsi="宋体" w:eastAsia="宋体" w:cs="宋体"/>
          <w:color w:val="auto"/>
          <w:lang w:val="en-US" w:eastAsia="zh-CN"/>
        </w:rPr>
      </w:pPr>
      <w:r>
        <w:rPr>
          <w:rFonts w:hint="eastAsia" w:ascii="宋体" w:hAnsi="宋体" w:eastAsia="宋体" w:cs="宋体"/>
          <w:i w:val="0"/>
          <w:iCs w:val="0"/>
          <w:kern w:val="2"/>
          <w:sz w:val="24"/>
          <w:szCs w:val="24"/>
          <w:highlight w:val="none"/>
          <w:lang w:val="en-US" w:eastAsia="zh-CN" w:bidi="ar-SA"/>
        </w:rPr>
        <w:t>本项目为全流程电子化项目，没有现场递交投标文件及现场开标环节，通过“政采云”平台（http：//www.zcygov.cn）实行在线电子响应，供应商应先安装“政采云响应客户端”（请自行前往“政采云”平台进行下载），并按照“政采云”平台的要求使用CA锁认证编制、加密投标文件后在响应截止时间前上传至“政采云”平台。并于开标时间登录“政采云”平台解密</w:t>
      </w:r>
      <w:r>
        <w:rPr>
          <w:rFonts w:hint="eastAsia" w:ascii="宋体" w:hAnsi="宋体" w:eastAsia="宋体" w:cs="宋体"/>
          <w:color w:val="auto"/>
          <w:lang w:val="en-US" w:eastAsia="zh-CN"/>
        </w:rPr>
        <w:t>电子投标文件；</w:t>
      </w:r>
    </w:p>
    <w:p w14:paraId="36AB7C97">
      <w:pPr>
        <w:pStyle w:val="12"/>
        <w:adjustRightInd w:val="0"/>
        <w:snapToGrid w:val="0"/>
        <w:spacing w:before="150" w:beforeAutospacing="0" w:after="0" w:afterAutospacing="0" w:line="360" w:lineRule="auto"/>
        <w:ind w:firstLine="480" w:firstLineChars="200"/>
        <w:jc w:val="both"/>
        <w:rPr>
          <w:rFonts w:hint="eastAsia" w:ascii="宋体" w:hAnsi="宋体" w:eastAsia="宋体" w:cs="宋体"/>
          <w:i w:val="0"/>
          <w:iCs w:val="0"/>
          <w:kern w:val="2"/>
          <w:sz w:val="24"/>
          <w:szCs w:val="24"/>
          <w:highlight w:val="none"/>
          <w:lang w:val="en-US" w:eastAsia="zh-CN" w:bidi="ar-SA"/>
        </w:rPr>
      </w:pPr>
      <w:r>
        <w:rPr>
          <w:rFonts w:hint="eastAsia" w:ascii="宋体" w:hAnsi="宋体" w:eastAsia="宋体" w:cs="宋体"/>
          <w:color w:val="auto"/>
          <w:lang w:val="en-US" w:eastAsia="zh-CN"/>
        </w:rPr>
        <w:t>4.投标操作流程：供应商在政府采购云平台网注册入库成为正式供应商后，在平台上按《政</w:t>
      </w:r>
      <w:r>
        <w:rPr>
          <w:rFonts w:hint="eastAsia" w:ascii="宋体" w:hAnsi="宋体" w:eastAsia="宋体" w:cs="宋体"/>
          <w:i w:val="0"/>
          <w:iCs w:val="0"/>
          <w:kern w:val="2"/>
          <w:sz w:val="24"/>
          <w:szCs w:val="24"/>
          <w:highlight w:val="none"/>
          <w:lang w:val="en-US" w:eastAsia="zh-CN" w:bidi="ar-SA"/>
        </w:rPr>
        <w:t>府采购项目电子交易管理操作指南-供应商》进行投标操作。</w:t>
      </w:r>
    </w:p>
    <w:p w14:paraId="79F5781F">
      <w:pPr>
        <w:tabs>
          <w:tab w:val="left" w:pos="0"/>
        </w:tabs>
        <w:spacing w:line="360" w:lineRule="auto"/>
        <w:rPr>
          <w:rFonts w:ascii="宋体" w:hAnsi="宋体" w:cs="宋体"/>
          <w:b/>
          <w:snapToGrid w:val="0"/>
          <w:sz w:val="24"/>
          <w:szCs w:val="24"/>
        </w:rPr>
      </w:pPr>
      <w:r>
        <w:rPr>
          <w:rFonts w:hint="eastAsia" w:ascii="宋体" w:hAnsi="宋体" w:cs="宋体"/>
          <w:b/>
          <w:snapToGrid w:val="0"/>
          <w:sz w:val="24"/>
          <w:szCs w:val="24"/>
        </w:rPr>
        <w:t>五、公告期限:</w:t>
      </w:r>
    </w:p>
    <w:p w14:paraId="7FAC2679">
      <w:pPr>
        <w:tabs>
          <w:tab w:val="left" w:pos="0"/>
        </w:tabs>
        <w:spacing w:line="360" w:lineRule="auto"/>
        <w:ind w:firstLine="421"/>
        <w:rPr>
          <w:rFonts w:ascii="宋体" w:hAnsi="宋体" w:cs="宋体"/>
          <w:bCs/>
          <w:snapToGrid w:val="0"/>
          <w:sz w:val="24"/>
          <w:szCs w:val="24"/>
        </w:rPr>
      </w:pPr>
      <w:r>
        <w:rPr>
          <w:rFonts w:hint="eastAsia" w:ascii="宋体" w:hAnsi="宋体" w:cs="宋体"/>
          <w:bCs/>
          <w:snapToGrid w:val="0"/>
          <w:sz w:val="24"/>
          <w:szCs w:val="24"/>
        </w:rPr>
        <w:t>自本公告发布之日起3个工作日。</w:t>
      </w:r>
    </w:p>
    <w:p w14:paraId="013442B5">
      <w:pPr>
        <w:tabs>
          <w:tab w:val="left" w:pos="0"/>
        </w:tabs>
        <w:spacing w:line="360" w:lineRule="auto"/>
        <w:rPr>
          <w:rFonts w:ascii="宋体" w:hAnsi="宋体" w:cs="宋体"/>
          <w:b/>
          <w:snapToGrid w:val="0"/>
          <w:sz w:val="24"/>
          <w:szCs w:val="24"/>
        </w:rPr>
      </w:pPr>
      <w:r>
        <w:rPr>
          <w:rFonts w:hint="eastAsia" w:ascii="宋体" w:hAnsi="宋体" w:cs="宋体"/>
          <w:b/>
          <w:snapToGrid w:val="0"/>
          <w:sz w:val="24"/>
          <w:szCs w:val="24"/>
        </w:rPr>
        <w:t>六、其他补充事宜:</w:t>
      </w:r>
    </w:p>
    <w:p w14:paraId="7DD04537">
      <w:pPr>
        <w:spacing w:line="360" w:lineRule="auto"/>
        <w:ind w:firstLine="480" w:firstLineChars="200"/>
        <w:rPr>
          <w:rFonts w:hint="eastAsia" w:ascii="宋体" w:hAnsi="宋体" w:eastAsia="宋体" w:cs="宋体"/>
          <w:i w:val="0"/>
          <w:iCs w:val="0"/>
          <w:kern w:val="2"/>
          <w:sz w:val="24"/>
          <w:szCs w:val="24"/>
          <w:highlight w:val="none"/>
          <w:lang w:val="en-US" w:eastAsia="zh-CN" w:bidi="ar-SA"/>
        </w:rPr>
      </w:pPr>
      <w:r>
        <w:rPr>
          <w:rFonts w:hint="eastAsia" w:ascii="宋体" w:hAnsi="宋体" w:eastAsia="宋体" w:cs="宋体"/>
          <w:i w:val="0"/>
          <w:iCs w:val="0"/>
          <w:kern w:val="2"/>
          <w:sz w:val="24"/>
          <w:szCs w:val="24"/>
          <w:highlight w:val="none"/>
          <w:lang w:val="en-US" w:eastAsia="zh-CN" w:bidi="ar-SA"/>
        </w:rPr>
        <w:t>本次公告在政采云平台（https://www.zcygov.cn/）（同步推送至吉林省公共资源交易公共服务平台、吉林省政府采购网、中国政府采购网）、</w:t>
      </w:r>
      <w:r>
        <w:rPr>
          <w:rFonts w:hint="eastAsia" w:ascii="宋体" w:hAnsi="宋体" w:eastAsia="宋体" w:cs="宋体"/>
          <w:i w:val="0"/>
          <w:iCs w:val="0"/>
          <w:kern w:val="2"/>
          <w:sz w:val="24"/>
          <w:szCs w:val="24"/>
          <w:highlight w:val="none"/>
          <w:lang w:val="zh-CN" w:eastAsia="zh-CN" w:bidi="ar-SA"/>
        </w:rPr>
        <w:t>吉林司法警官职业学院官网</w:t>
      </w:r>
      <w:r>
        <w:rPr>
          <w:rFonts w:hint="eastAsia" w:ascii="宋体" w:hAnsi="宋体" w:eastAsia="宋体" w:cs="宋体"/>
          <w:i w:val="0"/>
          <w:iCs w:val="0"/>
          <w:kern w:val="2"/>
          <w:sz w:val="24"/>
          <w:szCs w:val="24"/>
          <w:highlight w:val="none"/>
          <w:lang w:val="en-US" w:eastAsia="zh-CN" w:bidi="ar-SA"/>
        </w:rPr>
        <w:t>上发布。</w:t>
      </w:r>
    </w:p>
    <w:p w14:paraId="0726A21E">
      <w:pPr>
        <w:spacing w:line="360" w:lineRule="auto"/>
        <w:rPr>
          <w:rFonts w:ascii="宋体" w:hAnsi="宋体" w:cs="宋体"/>
          <w:b/>
          <w:sz w:val="24"/>
          <w:szCs w:val="24"/>
        </w:rPr>
      </w:pPr>
      <w:r>
        <w:rPr>
          <w:rFonts w:hint="eastAsia" w:ascii="宋体" w:hAnsi="宋体" w:cs="宋体"/>
          <w:b/>
          <w:sz w:val="24"/>
          <w:szCs w:val="24"/>
        </w:rPr>
        <w:t>七、对本次招标提出询问，请按以下方式联系：</w:t>
      </w:r>
    </w:p>
    <w:p w14:paraId="3DACD15C">
      <w:pPr>
        <w:spacing w:line="360" w:lineRule="auto"/>
        <w:ind w:firstLine="480" w:firstLineChars="200"/>
        <w:rPr>
          <w:rFonts w:hint="eastAsia" w:ascii="宋体" w:hAnsi="宋体" w:eastAsia="宋体" w:cs="宋体"/>
          <w:i w:val="0"/>
          <w:iCs w:val="0"/>
          <w:kern w:val="2"/>
          <w:sz w:val="24"/>
          <w:szCs w:val="24"/>
          <w:highlight w:val="none"/>
          <w:lang w:val="en-US" w:eastAsia="zh-CN" w:bidi="ar-SA"/>
        </w:rPr>
      </w:pPr>
      <w:r>
        <w:rPr>
          <w:rFonts w:hint="eastAsia" w:ascii="宋体" w:hAnsi="宋体" w:eastAsia="宋体" w:cs="宋体"/>
          <w:i w:val="0"/>
          <w:iCs w:val="0"/>
          <w:kern w:val="2"/>
          <w:sz w:val="24"/>
          <w:szCs w:val="24"/>
          <w:highlight w:val="none"/>
          <w:lang w:val="en-US" w:eastAsia="zh-CN" w:bidi="ar-SA"/>
        </w:rPr>
        <w:t>1.采购人信息</w:t>
      </w:r>
    </w:p>
    <w:p w14:paraId="261DD2DA">
      <w:pPr>
        <w:spacing w:line="360" w:lineRule="auto"/>
        <w:ind w:firstLine="480" w:firstLineChars="200"/>
        <w:rPr>
          <w:rFonts w:hint="eastAsia" w:ascii="宋体" w:hAnsi="宋体" w:eastAsia="宋体" w:cs="宋体"/>
          <w:i w:val="0"/>
          <w:iCs w:val="0"/>
          <w:kern w:val="2"/>
          <w:sz w:val="24"/>
          <w:szCs w:val="24"/>
          <w:highlight w:val="none"/>
          <w:lang w:val="en-US" w:eastAsia="zh-CN" w:bidi="ar-SA"/>
        </w:rPr>
      </w:pPr>
      <w:r>
        <w:rPr>
          <w:rFonts w:hint="eastAsia" w:ascii="宋体" w:hAnsi="宋体" w:eastAsia="宋体" w:cs="宋体"/>
          <w:i w:val="0"/>
          <w:iCs w:val="0"/>
          <w:kern w:val="2"/>
          <w:sz w:val="24"/>
          <w:szCs w:val="24"/>
          <w:highlight w:val="none"/>
          <w:lang w:val="en-US" w:eastAsia="zh-CN" w:bidi="ar-SA"/>
        </w:rPr>
        <w:t>采购人：吉林司法警官职业学院</w:t>
      </w:r>
    </w:p>
    <w:p w14:paraId="5D831DF6">
      <w:pPr>
        <w:spacing w:line="360" w:lineRule="auto"/>
        <w:ind w:firstLine="480" w:firstLineChars="200"/>
        <w:rPr>
          <w:rFonts w:hint="eastAsia" w:ascii="宋体" w:hAnsi="宋体" w:eastAsia="宋体" w:cs="宋体"/>
          <w:i w:val="0"/>
          <w:iCs w:val="0"/>
          <w:kern w:val="2"/>
          <w:sz w:val="24"/>
          <w:szCs w:val="24"/>
          <w:highlight w:val="none"/>
          <w:lang w:val="en-US" w:eastAsia="zh-CN" w:bidi="ar-SA"/>
        </w:rPr>
      </w:pPr>
      <w:r>
        <w:rPr>
          <w:rFonts w:hint="eastAsia" w:ascii="宋体" w:hAnsi="宋体" w:eastAsia="宋体" w:cs="宋体"/>
          <w:i w:val="0"/>
          <w:iCs w:val="0"/>
          <w:kern w:val="2"/>
          <w:sz w:val="24"/>
          <w:szCs w:val="24"/>
          <w:highlight w:val="none"/>
          <w:lang w:val="en-US" w:eastAsia="zh-CN" w:bidi="ar-SA"/>
        </w:rPr>
        <w:t>地  址：长春市合隆经济开发区景苑路1号</w:t>
      </w:r>
    </w:p>
    <w:p w14:paraId="2F0EEE5F">
      <w:pPr>
        <w:spacing w:line="360" w:lineRule="auto"/>
        <w:ind w:firstLine="480" w:firstLineChars="200"/>
        <w:rPr>
          <w:rFonts w:hint="default" w:ascii="宋体" w:hAnsi="宋体" w:eastAsia="宋体" w:cs="宋体"/>
          <w:i w:val="0"/>
          <w:iCs w:val="0"/>
          <w:kern w:val="2"/>
          <w:sz w:val="24"/>
          <w:szCs w:val="24"/>
          <w:highlight w:val="none"/>
          <w:lang w:val="en-US" w:eastAsia="zh-CN" w:bidi="ar-SA"/>
        </w:rPr>
      </w:pPr>
      <w:r>
        <w:rPr>
          <w:rFonts w:hint="eastAsia" w:ascii="宋体" w:hAnsi="宋体" w:eastAsia="宋体" w:cs="宋体"/>
          <w:i w:val="0"/>
          <w:iCs w:val="0"/>
          <w:kern w:val="2"/>
          <w:sz w:val="24"/>
          <w:szCs w:val="24"/>
          <w:highlight w:val="none"/>
          <w:lang w:val="en-US" w:eastAsia="zh-CN" w:bidi="ar-SA"/>
        </w:rPr>
        <w:t>联系人：</w:t>
      </w:r>
      <w:r>
        <w:rPr>
          <w:rFonts w:hint="eastAsia" w:ascii="宋体" w:hAnsi="宋体" w:cs="宋体"/>
          <w:i w:val="0"/>
          <w:iCs w:val="0"/>
          <w:kern w:val="2"/>
          <w:sz w:val="24"/>
          <w:szCs w:val="24"/>
          <w:highlight w:val="none"/>
          <w:lang w:val="en-US" w:eastAsia="zh-CN" w:bidi="ar-SA"/>
        </w:rPr>
        <w:t>朱老师</w:t>
      </w:r>
    </w:p>
    <w:p w14:paraId="7D5EE0C2">
      <w:pPr>
        <w:spacing w:line="360" w:lineRule="auto"/>
        <w:ind w:firstLine="480" w:firstLineChars="200"/>
        <w:rPr>
          <w:rFonts w:hint="eastAsia" w:ascii="宋体" w:hAnsi="宋体" w:eastAsia="宋体" w:cs="宋体"/>
          <w:i w:val="0"/>
          <w:iCs w:val="0"/>
          <w:kern w:val="2"/>
          <w:sz w:val="24"/>
          <w:szCs w:val="24"/>
          <w:highlight w:val="none"/>
          <w:lang w:val="en-US" w:eastAsia="zh-CN" w:bidi="ar-SA"/>
        </w:rPr>
      </w:pPr>
      <w:r>
        <w:rPr>
          <w:rFonts w:hint="eastAsia" w:ascii="宋体" w:hAnsi="宋体" w:eastAsia="宋体" w:cs="宋体"/>
          <w:i w:val="0"/>
          <w:iCs w:val="0"/>
          <w:kern w:val="2"/>
          <w:sz w:val="24"/>
          <w:szCs w:val="24"/>
          <w:highlight w:val="none"/>
          <w:lang w:val="en-US" w:eastAsia="zh-CN" w:bidi="ar-SA"/>
        </w:rPr>
        <w:t>办公电话：</w:t>
      </w:r>
      <w:r>
        <w:rPr>
          <w:rFonts w:hint="eastAsia" w:ascii="宋体" w:hAnsi="宋体" w:cs="宋体"/>
          <w:i w:val="0"/>
          <w:iCs w:val="0"/>
          <w:kern w:val="2"/>
          <w:sz w:val="24"/>
          <w:szCs w:val="24"/>
          <w:highlight w:val="none"/>
          <w:lang w:val="en-US" w:eastAsia="zh-CN" w:bidi="ar-SA"/>
        </w:rPr>
        <w:t>0431-83311029</w:t>
      </w:r>
    </w:p>
    <w:p w14:paraId="3318FCC5">
      <w:pPr>
        <w:spacing w:line="360" w:lineRule="auto"/>
        <w:ind w:firstLine="480" w:firstLineChars="200"/>
        <w:rPr>
          <w:rFonts w:hint="eastAsia" w:ascii="宋体" w:hAnsi="宋体" w:eastAsia="宋体" w:cs="宋体"/>
          <w:i w:val="0"/>
          <w:iCs w:val="0"/>
          <w:kern w:val="2"/>
          <w:sz w:val="24"/>
          <w:szCs w:val="24"/>
          <w:highlight w:val="none"/>
          <w:lang w:val="en-US" w:eastAsia="zh-CN" w:bidi="ar-SA"/>
        </w:rPr>
      </w:pPr>
      <w:r>
        <w:rPr>
          <w:rFonts w:hint="eastAsia" w:ascii="宋体" w:hAnsi="宋体" w:eastAsia="宋体" w:cs="宋体"/>
          <w:i w:val="0"/>
          <w:iCs w:val="0"/>
          <w:kern w:val="2"/>
          <w:sz w:val="24"/>
          <w:szCs w:val="24"/>
          <w:highlight w:val="none"/>
          <w:lang w:val="en-US" w:eastAsia="zh-CN" w:bidi="ar-SA"/>
        </w:rPr>
        <w:t>2.采购代理机构信息</w:t>
      </w:r>
    </w:p>
    <w:p w14:paraId="7C06C66F">
      <w:pPr>
        <w:spacing w:line="360" w:lineRule="auto"/>
        <w:ind w:firstLine="480" w:firstLineChars="200"/>
        <w:rPr>
          <w:rFonts w:hint="eastAsia" w:ascii="宋体" w:hAnsi="宋体" w:eastAsia="宋体" w:cs="宋体"/>
          <w:i w:val="0"/>
          <w:iCs w:val="0"/>
          <w:kern w:val="2"/>
          <w:sz w:val="24"/>
          <w:szCs w:val="24"/>
          <w:highlight w:val="none"/>
          <w:lang w:val="en-US" w:eastAsia="zh-CN" w:bidi="ar-SA"/>
        </w:rPr>
      </w:pPr>
      <w:r>
        <w:rPr>
          <w:rFonts w:hint="eastAsia" w:ascii="宋体" w:hAnsi="宋体" w:eastAsia="宋体" w:cs="宋体"/>
          <w:i w:val="0"/>
          <w:iCs w:val="0"/>
          <w:kern w:val="2"/>
          <w:sz w:val="24"/>
          <w:szCs w:val="24"/>
          <w:highlight w:val="none"/>
          <w:lang w:val="en-US" w:eastAsia="zh-CN" w:bidi="ar-SA"/>
        </w:rPr>
        <w:t>采购代理机构：吉林省世博项目管理有限公司</w:t>
      </w:r>
    </w:p>
    <w:p w14:paraId="08F86DBF">
      <w:pPr>
        <w:spacing w:line="360" w:lineRule="auto"/>
        <w:ind w:firstLine="480" w:firstLineChars="200"/>
        <w:rPr>
          <w:rFonts w:hint="eastAsia" w:ascii="宋体" w:hAnsi="宋体" w:eastAsia="宋体" w:cs="宋体"/>
          <w:i w:val="0"/>
          <w:iCs w:val="0"/>
          <w:kern w:val="2"/>
          <w:sz w:val="24"/>
          <w:szCs w:val="24"/>
          <w:highlight w:val="none"/>
          <w:lang w:val="en-US" w:eastAsia="zh-CN" w:bidi="ar-SA"/>
        </w:rPr>
      </w:pPr>
      <w:r>
        <w:rPr>
          <w:rFonts w:hint="eastAsia" w:ascii="宋体" w:hAnsi="宋体" w:eastAsia="宋体" w:cs="宋体"/>
          <w:i w:val="0"/>
          <w:iCs w:val="0"/>
          <w:kern w:val="2"/>
          <w:sz w:val="24"/>
          <w:szCs w:val="24"/>
          <w:highlight w:val="none"/>
          <w:lang w:val="en-US" w:eastAsia="zh-CN" w:bidi="ar-SA"/>
        </w:rPr>
        <w:t>地址：长春市二道区通安小区1号楼103室-04</w:t>
      </w:r>
    </w:p>
    <w:p w14:paraId="346AFA93">
      <w:pPr>
        <w:spacing w:line="360" w:lineRule="auto"/>
        <w:ind w:firstLine="480" w:firstLineChars="200"/>
        <w:rPr>
          <w:rFonts w:hint="eastAsia" w:ascii="宋体" w:hAnsi="宋体" w:eastAsia="宋体" w:cs="宋体"/>
          <w:i w:val="0"/>
          <w:iCs w:val="0"/>
          <w:kern w:val="2"/>
          <w:sz w:val="24"/>
          <w:szCs w:val="24"/>
          <w:highlight w:val="none"/>
          <w:lang w:val="en-US" w:eastAsia="zh-CN" w:bidi="ar-SA"/>
        </w:rPr>
      </w:pPr>
      <w:r>
        <w:rPr>
          <w:rFonts w:hint="eastAsia" w:ascii="宋体" w:hAnsi="宋体" w:eastAsia="宋体" w:cs="宋体"/>
          <w:i w:val="0"/>
          <w:iCs w:val="0"/>
          <w:kern w:val="2"/>
          <w:sz w:val="24"/>
          <w:szCs w:val="24"/>
          <w:highlight w:val="none"/>
          <w:lang w:val="en-US" w:eastAsia="zh-CN" w:bidi="ar-SA"/>
        </w:rPr>
        <w:t>联系人：魏中华</w:t>
      </w:r>
    </w:p>
    <w:p w14:paraId="223F8683">
      <w:pPr>
        <w:spacing w:line="360" w:lineRule="auto"/>
        <w:ind w:firstLine="480" w:firstLineChars="200"/>
        <w:rPr>
          <w:rFonts w:hint="eastAsia" w:ascii="宋体" w:hAnsi="宋体" w:eastAsia="宋体" w:cs="宋体"/>
          <w:i w:val="0"/>
          <w:iCs w:val="0"/>
          <w:kern w:val="2"/>
          <w:sz w:val="24"/>
          <w:szCs w:val="24"/>
          <w:highlight w:val="none"/>
          <w:lang w:val="en-US" w:eastAsia="zh-CN" w:bidi="ar-SA"/>
        </w:rPr>
      </w:pPr>
      <w:r>
        <w:rPr>
          <w:rFonts w:hint="eastAsia" w:ascii="宋体" w:hAnsi="宋体" w:eastAsia="宋体" w:cs="宋体"/>
          <w:i w:val="0"/>
          <w:iCs w:val="0"/>
          <w:kern w:val="2"/>
          <w:sz w:val="24"/>
          <w:szCs w:val="24"/>
          <w:highlight w:val="none"/>
          <w:lang w:val="en-US" w:eastAsia="zh-CN" w:bidi="ar-SA"/>
        </w:rPr>
        <w:t>电话：13364300502（办公电话）</w:t>
      </w:r>
    </w:p>
    <w:p w14:paraId="177D5A73">
      <w:pPr>
        <w:spacing w:line="360" w:lineRule="auto"/>
        <w:ind w:firstLine="480" w:firstLineChars="200"/>
        <w:rPr>
          <w:rFonts w:hint="eastAsia" w:ascii="宋体" w:hAnsi="宋体" w:eastAsia="宋体" w:cs="宋体"/>
          <w:i w:val="0"/>
          <w:iCs w:val="0"/>
          <w:kern w:val="2"/>
          <w:sz w:val="24"/>
          <w:szCs w:val="24"/>
          <w:highlight w:val="none"/>
          <w:lang w:val="en-US" w:eastAsia="zh-CN" w:bidi="ar-SA"/>
        </w:rPr>
      </w:pPr>
      <w:r>
        <w:rPr>
          <w:rFonts w:hint="eastAsia" w:ascii="宋体" w:hAnsi="宋体" w:eastAsia="宋体" w:cs="宋体"/>
          <w:i w:val="0"/>
          <w:iCs w:val="0"/>
          <w:kern w:val="2"/>
          <w:sz w:val="24"/>
          <w:szCs w:val="24"/>
          <w:highlight w:val="none"/>
          <w:lang w:val="en-US" w:eastAsia="zh-CN" w:bidi="ar-SA"/>
        </w:rPr>
        <w:t>3.项目联系方式</w:t>
      </w:r>
    </w:p>
    <w:p w14:paraId="2FEC430C">
      <w:pPr>
        <w:spacing w:line="360" w:lineRule="auto"/>
        <w:ind w:firstLine="480" w:firstLineChars="200"/>
        <w:rPr>
          <w:rFonts w:hint="eastAsia" w:ascii="宋体" w:hAnsi="宋体" w:eastAsia="宋体" w:cs="宋体"/>
          <w:i w:val="0"/>
          <w:iCs w:val="0"/>
          <w:kern w:val="2"/>
          <w:sz w:val="24"/>
          <w:szCs w:val="24"/>
          <w:highlight w:val="none"/>
          <w:lang w:val="en-US" w:eastAsia="zh-CN" w:bidi="ar-SA"/>
        </w:rPr>
      </w:pPr>
      <w:r>
        <w:rPr>
          <w:rFonts w:hint="eastAsia" w:ascii="宋体" w:hAnsi="宋体" w:eastAsia="宋体" w:cs="宋体"/>
          <w:i w:val="0"/>
          <w:iCs w:val="0"/>
          <w:kern w:val="2"/>
          <w:sz w:val="24"/>
          <w:szCs w:val="24"/>
          <w:highlight w:val="none"/>
          <w:lang w:val="en-US" w:eastAsia="zh-CN" w:bidi="ar-SA"/>
        </w:rPr>
        <w:t>项目联系人：魏中华</w:t>
      </w:r>
    </w:p>
    <w:p w14:paraId="59ADBCA9">
      <w:pPr>
        <w:spacing w:line="360" w:lineRule="auto"/>
        <w:ind w:firstLine="480" w:firstLineChars="200"/>
        <w:rPr>
          <w:rFonts w:hint="eastAsia" w:ascii="宋体" w:hAnsi="宋体" w:eastAsia="宋体" w:cs="宋体"/>
          <w:i w:val="0"/>
          <w:iCs w:val="0"/>
          <w:kern w:val="2"/>
          <w:sz w:val="24"/>
          <w:szCs w:val="24"/>
          <w:highlight w:val="none"/>
          <w:lang w:val="en-US" w:eastAsia="zh-CN" w:bidi="ar-SA"/>
        </w:rPr>
      </w:pPr>
      <w:r>
        <w:rPr>
          <w:rFonts w:hint="eastAsia" w:ascii="宋体" w:hAnsi="宋体" w:eastAsia="宋体" w:cs="宋体"/>
          <w:i w:val="0"/>
          <w:iCs w:val="0"/>
          <w:kern w:val="2"/>
          <w:sz w:val="24"/>
          <w:szCs w:val="24"/>
          <w:highlight w:val="none"/>
          <w:lang w:val="en-US" w:eastAsia="zh-CN" w:bidi="ar-SA"/>
        </w:rPr>
        <w:t>办公电话：13364300502(办公电话）</w:t>
      </w:r>
    </w:p>
    <w:p w14:paraId="1DF4FAF6">
      <w:pPr>
        <w:spacing w:line="360" w:lineRule="auto"/>
        <w:ind w:left="6468" w:leftChars="200" w:hanging="6048" w:hangingChars="2400"/>
        <w:jc w:val="left"/>
        <w:rPr>
          <w:rFonts w:ascii="宋体" w:hAnsi="宋体" w:cs="宋体"/>
          <w:spacing w:val="6"/>
          <w:sz w:val="24"/>
          <w:szCs w:val="24"/>
        </w:rPr>
      </w:pPr>
      <w:r>
        <w:rPr>
          <w:rFonts w:hint="eastAsia" w:ascii="宋体" w:hAnsi="宋体" w:cs="宋体"/>
          <w:spacing w:val="6"/>
          <w:sz w:val="24"/>
          <w:szCs w:val="24"/>
        </w:rPr>
        <w:t xml:space="preserve">                                                   </w:t>
      </w:r>
    </w:p>
    <w:p w14:paraId="3C0240B6">
      <w:pPr>
        <w:pStyle w:val="19"/>
        <w:rPr>
          <w:rFonts w:ascii="宋体" w:hAnsi="宋体" w:cs="宋体"/>
          <w:sz w:val="24"/>
          <w:szCs w:val="24"/>
        </w:rPr>
      </w:pPr>
      <w:bookmarkStart w:id="3" w:name="_Toc455565642"/>
      <w:bookmarkStart w:id="4" w:name="_Toc432264366"/>
      <w:bookmarkStart w:id="5" w:name="_Toc432277438"/>
      <w:r>
        <w:rPr>
          <w:rFonts w:hint="eastAsia" w:ascii="宋体" w:hAnsi="宋体" w:cs="宋体"/>
          <w:sz w:val="24"/>
          <w:szCs w:val="24"/>
        </w:rPr>
        <w:t xml:space="preserve">                              </w:t>
      </w:r>
    </w:p>
    <w:p w14:paraId="0192F18C">
      <w:pPr>
        <w:pStyle w:val="2"/>
        <w:spacing w:before="0" w:after="0" w:line="360" w:lineRule="auto"/>
        <w:jc w:val="center"/>
        <w:rPr>
          <w:rFonts w:ascii="宋体" w:hAnsi="宋体" w:cs="宋体"/>
          <w:sz w:val="28"/>
          <w:szCs w:val="28"/>
        </w:rPr>
      </w:pPr>
      <w:r>
        <w:rPr>
          <w:rFonts w:hint="eastAsia" w:ascii="宋体" w:hAnsi="宋体" w:cs="宋体"/>
          <w:sz w:val="24"/>
          <w:szCs w:val="24"/>
        </w:rPr>
        <w:br w:type="page"/>
      </w:r>
      <w:bookmarkEnd w:id="3"/>
      <w:bookmarkEnd w:id="4"/>
      <w:bookmarkEnd w:id="5"/>
      <w:bookmarkStart w:id="6" w:name="_Toc10155"/>
      <w:r>
        <w:rPr>
          <w:rFonts w:hint="eastAsia" w:ascii="宋体" w:hAnsi="宋体" w:cs="宋体"/>
          <w:sz w:val="28"/>
          <w:szCs w:val="28"/>
        </w:rPr>
        <w:t>第二章  供应商须知</w:t>
      </w:r>
      <w:bookmarkEnd w:id="6"/>
    </w:p>
    <w:p w14:paraId="5D520151">
      <w:pPr>
        <w:tabs>
          <w:tab w:val="left" w:pos="2190"/>
        </w:tabs>
        <w:spacing w:line="380" w:lineRule="exact"/>
        <w:ind w:firstLine="435"/>
        <w:jc w:val="center"/>
        <w:rPr>
          <w:rFonts w:hint="eastAsia" w:ascii="宋体" w:hAnsi="宋体" w:eastAsia="宋体" w:cs="宋体"/>
          <w:b/>
          <w:sz w:val="28"/>
          <w:szCs w:val="28"/>
        </w:rPr>
      </w:pPr>
      <w:r>
        <w:rPr>
          <w:rFonts w:hint="eastAsia" w:ascii="宋体" w:hAnsi="宋体" w:eastAsia="宋体" w:cs="宋体"/>
          <w:b/>
          <w:sz w:val="28"/>
          <w:szCs w:val="28"/>
          <w:lang w:eastAsia="zh-CN"/>
        </w:rPr>
        <w:t>一、</w:t>
      </w:r>
      <w:r>
        <w:rPr>
          <w:rFonts w:hint="eastAsia" w:ascii="宋体" w:hAnsi="宋体" w:eastAsia="宋体" w:cs="宋体"/>
          <w:b/>
          <w:sz w:val="28"/>
          <w:szCs w:val="28"/>
        </w:rPr>
        <w:t>供 应 商  须 知 前 附 表</w:t>
      </w:r>
    </w:p>
    <w:tbl>
      <w:tblPr>
        <w:tblStyle w:val="15"/>
        <w:tblW w:w="94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1807"/>
        <w:gridCol w:w="6927"/>
      </w:tblGrid>
      <w:tr w14:paraId="31BEF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713" w:type="dxa"/>
            <w:vAlign w:val="center"/>
          </w:tcPr>
          <w:p w14:paraId="67996467">
            <w:pPr>
              <w:spacing w:line="360" w:lineRule="auto"/>
              <w:jc w:val="center"/>
              <w:rPr>
                <w:rFonts w:hint="eastAsia" w:ascii="宋体" w:hAnsi="宋体" w:eastAsia="宋体" w:cs="宋体"/>
                <w:b w:val="0"/>
                <w:color w:val="auto"/>
                <w:sz w:val="24"/>
                <w:szCs w:val="24"/>
                <w:highlight w:val="none"/>
                <w:lang w:val="zh-CN"/>
              </w:rPr>
            </w:pPr>
            <w:r>
              <w:rPr>
                <w:rFonts w:hint="eastAsia" w:ascii="宋体" w:hAnsi="宋体" w:eastAsia="宋体" w:cs="宋体"/>
                <w:b w:val="0"/>
                <w:color w:val="auto"/>
                <w:sz w:val="24"/>
                <w:szCs w:val="24"/>
                <w:highlight w:val="none"/>
                <w:lang w:val="zh-CN"/>
              </w:rPr>
              <w:t>序号</w:t>
            </w:r>
          </w:p>
        </w:tc>
        <w:tc>
          <w:tcPr>
            <w:tcW w:w="1807" w:type="dxa"/>
            <w:vAlign w:val="center"/>
          </w:tcPr>
          <w:p w14:paraId="79BB2FD9">
            <w:pPr>
              <w:spacing w:line="360" w:lineRule="auto"/>
              <w:jc w:val="center"/>
              <w:rPr>
                <w:rFonts w:hint="eastAsia" w:ascii="宋体" w:hAnsi="宋体" w:eastAsia="宋体" w:cs="宋体"/>
                <w:b w:val="0"/>
                <w:color w:val="auto"/>
                <w:sz w:val="24"/>
                <w:szCs w:val="24"/>
                <w:highlight w:val="none"/>
                <w:lang w:val="zh-CN"/>
              </w:rPr>
            </w:pPr>
            <w:r>
              <w:rPr>
                <w:rFonts w:hint="eastAsia" w:ascii="宋体" w:hAnsi="宋体" w:eastAsia="宋体" w:cs="宋体"/>
                <w:b w:val="0"/>
                <w:color w:val="auto"/>
                <w:sz w:val="24"/>
                <w:szCs w:val="24"/>
                <w:highlight w:val="none"/>
                <w:lang w:val="zh-CN"/>
              </w:rPr>
              <w:t>条款名称</w:t>
            </w:r>
          </w:p>
        </w:tc>
        <w:tc>
          <w:tcPr>
            <w:tcW w:w="6927" w:type="dxa"/>
            <w:vAlign w:val="center"/>
          </w:tcPr>
          <w:p w14:paraId="0A2EBB9B">
            <w:pPr>
              <w:spacing w:line="360" w:lineRule="auto"/>
              <w:jc w:val="center"/>
              <w:rPr>
                <w:rFonts w:ascii="宋体" w:hAnsi="宋体" w:cs="宋体"/>
                <w:szCs w:val="21"/>
              </w:rPr>
            </w:pPr>
            <w:r>
              <w:rPr>
                <w:rFonts w:hint="eastAsia" w:ascii="宋体" w:hAnsi="宋体" w:cs="宋体"/>
                <w:b w:val="0"/>
                <w:color w:val="auto"/>
                <w:sz w:val="24"/>
                <w:szCs w:val="24"/>
                <w:highlight w:val="none"/>
                <w:lang w:val="zh-CN"/>
              </w:rPr>
              <w:t>编 列 内 容</w:t>
            </w:r>
          </w:p>
        </w:tc>
      </w:tr>
      <w:tr w14:paraId="6AC1D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13" w:type="dxa"/>
            <w:vAlign w:val="center"/>
          </w:tcPr>
          <w:p w14:paraId="7613BAA3">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eastAsia" w:ascii="宋体" w:hAnsi="宋体" w:cs="宋体"/>
                <w:sz w:val="24"/>
                <w:szCs w:val="24"/>
              </w:rPr>
            </w:pPr>
            <w:r>
              <w:rPr>
                <w:rFonts w:hint="eastAsia" w:ascii="宋体" w:hAnsi="宋体" w:cs="宋体"/>
                <w:bCs/>
                <w:color w:val="auto"/>
                <w:sz w:val="24"/>
                <w:szCs w:val="24"/>
                <w:highlight w:val="none"/>
                <w:lang w:val="zh-CN"/>
              </w:rPr>
              <w:t>1</w:t>
            </w:r>
          </w:p>
        </w:tc>
        <w:tc>
          <w:tcPr>
            <w:tcW w:w="1807" w:type="dxa"/>
            <w:vAlign w:val="center"/>
          </w:tcPr>
          <w:p w14:paraId="77DBADE9">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eastAsia" w:ascii="宋体" w:hAnsi="宋体" w:cs="宋体"/>
                <w:sz w:val="24"/>
                <w:szCs w:val="24"/>
              </w:rPr>
            </w:pPr>
            <w:r>
              <w:rPr>
                <w:rFonts w:hint="eastAsia" w:ascii="宋体" w:hAnsi="宋体" w:cs="宋体"/>
                <w:bCs/>
                <w:color w:val="auto"/>
                <w:sz w:val="24"/>
                <w:szCs w:val="24"/>
                <w:highlight w:val="none"/>
                <w:lang w:val="zh-CN"/>
              </w:rPr>
              <w:t>采购人</w:t>
            </w:r>
          </w:p>
        </w:tc>
        <w:tc>
          <w:tcPr>
            <w:tcW w:w="6927" w:type="dxa"/>
            <w:vAlign w:val="center"/>
          </w:tcPr>
          <w:p w14:paraId="43DE4D1F">
            <w:pPr>
              <w:pageBreakBefore w:val="0"/>
              <w:widowControl w:val="0"/>
              <w:kinsoku/>
              <w:wordWrap w:val="0"/>
              <w:overflowPunct/>
              <w:topLinePunct w:val="0"/>
              <w:bidi w:val="0"/>
              <w:spacing w:line="360" w:lineRule="auto"/>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采购人：吉林司法警官职业学院</w:t>
            </w:r>
          </w:p>
          <w:p w14:paraId="5020FB04">
            <w:pPr>
              <w:pageBreakBefore w:val="0"/>
              <w:widowControl w:val="0"/>
              <w:kinsoku/>
              <w:wordWrap w:val="0"/>
              <w:overflowPunct/>
              <w:topLinePunct w:val="0"/>
              <w:bidi w:val="0"/>
              <w:spacing w:line="360" w:lineRule="auto"/>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地  址：长春市合隆经济开发区景苑路1号</w:t>
            </w:r>
          </w:p>
          <w:p w14:paraId="2868DA5A">
            <w:pPr>
              <w:pageBreakBefore w:val="0"/>
              <w:widowControl w:val="0"/>
              <w:kinsoku/>
              <w:wordWrap w:val="0"/>
              <w:overflowPunct/>
              <w:topLinePunct w:val="0"/>
              <w:bidi w:val="0"/>
              <w:spacing w:line="360" w:lineRule="auto"/>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联系人：朱老师</w:t>
            </w:r>
          </w:p>
          <w:p w14:paraId="4EC6A781">
            <w:pPr>
              <w:pageBreakBefore w:val="0"/>
              <w:widowControl w:val="0"/>
              <w:kinsoku/>
              <w:wordWrap w:val="0"/>
              <w:overflowPunct/>
              <w:topLinePunct w:val="0"/>
              <w:bidi w:val="0"/>
              <w:spacing w:line="360" w:lineRule="auto"/>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办公电话：0431-83311029</w:t>
            </w:r>
          </w:p>
        </w:tc>
      </w:tr>
      <w:tr w14:paraId="3DDFE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13" w:type="dxa"/>
            <w:vAlign w:val="center"/>
          </w:tcPr>
          <w:p w14:paraId="0D51B29C">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eastAsia" w:ascii="宋体" w:hAnsi="宋体" w:cs="宋体"/>
                <w:sz w:val="24"/>
                <w:szCs w:val="24"/>
              </w:rPr>
            </w:pPr>
            <w:r>
              <w:rPr>
                <w:rFonts w:hint="eastAsia" w:ascii="宋体" w:hAnsi="宋体" w:cs="宋体"/>
                <w:bCs/>
                <w:color w:val="auto"/>
                <w:sz w:val="24"/>
                <w:szCs w:val="24"/>
                <w:highlight w:val="none"/>
                <w:lang w:val="zh-CN"/>
              </w:rPr>
              <w:t>2</w:t>
            </w:r>
          </w:p>
        </w:tc>
        <w:tc>
          <w:tcPr>
            <w:tcW w:w="1807" w:type="dxa"/>
            <w:vAlign w:val="center"/>
          </w:tcPr>
          <w:p w14:paraId="1FC0DB0D">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eastAsia" w:ascii="宋体" w:hAnsi="宋体" w:cs="宋体"/>
                <w:sz w:val="24"/>
                <w:szCs w:val="24"/>
              </w:rPr>
            </w:pPr>
            <w:r>
              <w:rPr>
                <w:rFonts w:hint="eastAsia" w:ascii="宋体" w:hAnsi="宋体" w:cs="宋体"/>
                <w:bCs/>
                <w:color w:val="auto"/>
                <w:sz w:val="24"/>
                <w:szCs w:val="24"/>
                <w:highlight w:val="none"/>
                <w:lang w:val="zh-CN"/>
              </w:rPr>
              <w:t>采购代理机构</w:t>
            </w:r>
          </w:p>
        </w:tc>
        <w:tc>
          <w:tcPr>
            <w:tcW w:w="6927" w:type="dxa"/>
            <w:vAlign w:val="center"/>
          </w:tcPr>
          <w:p w14:paraId="293999F3">
            <w:pPr>
              <w:keepNext w:val="0"/>
              <w:keepLines w:val="0"/>
              <w:pageBreakBefore w:val="0"/>
              <w:widowControl w:val="0"/>
              <w:kinsoku/>
              <w:wordWrap/>
              <w:overflowPunct/>
              <w:topLinePunct w:val="0"/>
              <w:autoSpaceDE/>
              <w:autoSpaceDN/>
              <w:bidi w:val="0"/>
              <w:snapToGrid/>
              <w:spacing w:line="360" w:lineRule="auto"/>
              <w:jc w:val="both"/>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名称： 吉林省世博项目管理有限公司</w:t>
            </w:r>
          </w:p>
          <w:p w14:paraId="4AEEB916">
            <w:pPr>
              <w:keepNext w:val="0"/>
              <w:keepLines w:val="0"/>
              <w:pageBreakBefore w:val="0"/>
              <w:widowControl w:val="0"/>
              <w:kinsoku/>
              <w:wordWrap/>
              <w:overflowPunct/>
              <w:topLinePunct w:val="0"/>
              <w:autoSpaceDE/>
              <w:autoSpaceDN/>
              <w:bidi w:val="0"/>
              <w:snapToGrid/>
              <w:spacing w:line="360" w:lineRule="auto"/>
              <w:jc w:val="both"/>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地址：长春市二道区通安小区1号楼103室-04</w:t>
            </w:r>
          </w:p>
          <w:p w14:paraId="2892E2F3">
            <w:pPr>
              <w:keepNext w:val="0"/>
              <w:keepLines w:val="0"/>
              <w:pageBreakBefore w:val="0"/>
              <w:widowControl w:val="0"/>
              <w:kinsoku/>
              <w:wordWrap/>
              <w:overflowPunct/>
              <w:topLinePunct w:val="0"/>
              <w:autoSpaceDE/>
              <w:autoSpaceDN/>
              <w:bidi w:val="0"/>
              <w:snapToGrid/>
              <w:spacing w:line="360" w:lineRule="auto"/>
              <w:jc w:val="both"/>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电话：13364300502（办公电话）</w:t>
            </w:r>
          </w:p>
          <w:p w14:paraId="7B4C97EB">
            <w:pPr>
              <w:keepNext w:val="0"/>
              <w:keepLines w:val="0"/>
              <w:pageBreakBefore w:val="0"/>
              <w:widowControl w:val="0"/>
              <w:kinsoku/>
              <w:wordWrap/>
              <w:overflowPunct/>
              <w:topLinePunct w:val="0"/>
              <w:autoSpaceDE/>
              <w:autoSpaceDN/>
              <w:bidi w:val="0"/>
              <w:snapToGrid/>
              <w:spacing w:line="360" w:lineRule="auto"/>
              <w:jc w:val="both"/>
              <w:textAlignment w:val="auto"/>
              <w:outlineLvl w:val="9"/>
              <w:rPr>
                <w:rFonts w:hint="eastAsia" w:ascii="宋体" w:hAnsi="宋体" w:cs="宋体"/>
                <w:kern w:val="0"/>
                <w:sz w:val="24"/>
                <w:szCs w:val="24"/>
              </w:rPr>
            </w:pPr>
            <w:r>
              <w:rPr>
                <w:rFonts w:hint="eastAsia" w:ascii="宋体" w:hAnsi="宋体" w:eastAsia="宋体" w:cs="宋体"/>
                <w:color w:val="000000"/>
                <w:sz w:val="24"/>
                <w:szCs w:val="24"/>
                <w:lang w:val="en-US" w:eastAsia="zh-CN"/>
              </w:rPr>
              <w:t>项目联系人:</w:t>
            </w:r>
            <w:r>
              <w:rPr>
                <w:rFonts w:hint="eastAsia" w:ascii="宋体" w:hAnsi="宋体" w:eastAsia="宋体" w:cs="宋体"/>
                <w:sz w:val="24"/>
                <w:szCs w:val="24"/>
                <w:highlight w:val="none"/>
                <w:lang w:val="en-US" w:eastAsia="zh-CN"/>
              </w:rPr>
              <w:t>魏中华</w:t>
            </w:r>
          </w:p>
        </w:tc>
      </w:tr>
      <w:tr w14:paraId="3027B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713" w:type="dxa"/>
            <w:vAlign w:val="center"/>
          </w:tcPr>
          <w:p w14:paraId="68B2D6A3">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lang w:val="en-US" w:eastAsia="zh-CN"/>
              </w:rPr>
              <w:t>3</w:t>
            </w:r>
          </w:p>
        </w:tc>
        <w:tc>
          <w:tcPr>
            <w:tcW w:w="1807" w:type="dxa"/>
            <w:vAlign w:val="center"/>
          </w:tcPr>
          <w:p w14:paraId="43E5EE5F">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项目名称及项目编号</w:t>
            </w:r>
          </w:p>
        </w:tc>
        <w:tc>
          <w:tcPr>
            <w:tcW w:w="6927" w:type="dxa"/>
            <w:vAlign w:val="center"/>
          </w:tcPr>
          <w:p w14:paraId="2F9044D7">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lang w:val="zh-CN" w:eastAsia="zh-CN"/>
              </w:rPr>
              <w:t>项目名称：吉林司法警官职业学院发布型智慧教室建设项目</w:t>
            </w:r>
          </w:p>
          <w:p w14:paraId="788DDB5B">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lang w:val="zh-CN" w:eastAsia="zh-CN"/>
              </w:rPr>
              <w:t>项目编号：采购计划-[2025]-07115号-JLSB2025-108C-H</w:t>
            </w:r>
          </w:p>
        </w:tc>
      </w:tr>
      <w:tr w14:paraId="1BA5A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jc w:val="center"/>
        </w:trPr>
        <w:tc>
          <w:tcPr>
            <w:tcW w:w="713" w:type="dxa"/>
            <w:vAlign w:val="center"/>
          </w:tcPr>
          <w:p w14:paraId="211C6313">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4</w:t>
            </w:r>
          </w:p>
        </w:tc>
        <w:tc>
          <w:tcPr>
            <w:tcW w:w="1807" w:type="dxa"/>
            <w:vAlign w:val="center"/>
          </w:tcPr>
          <w:p w14:paraId="0CBF7146">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lang w:val="zh-CN" w:eastAsia="zh-CN"/>
              </w:rPr>
              <w:t>预算金额</w:t>
            </w:r>
          </w:p>
          <w:p w14:paraId="2C6F2E0A">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zh-CN" w:eastAsia="zh-CN"/>
              </w:rPr>
              <w:t>（最高限价）</w:t>
            </w:r>
          </w:p>
        </w:tc>
        <w:tc>
          <w:tcPr>
            <w:tcW w:w="6927" w:type="dxa"/>
            <w:vAlign w:val="center"/>
          </w:tcPr>
          <w:p w14:paraId="221C96B8">
            <w:pPr>
              <w:spacing w:line="360" w:lineRule="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人民币</w:t>
            </w:r>
            <w:r>
              <w:rPr>
                <w:rFonts w:hint="eastAsia" w:ascii="宋体" w:hAnsi="宋体" w:cs="宋体"/>
                <w:bCs/>
                <w:color w:val="auto"/>
                <w:sz w:val="24"/>
                <w:szCs w:val="24"/>
                <w:highlight w:val="none"/>
                <w:lang w:val="en-US" w:eastAsia="zh-CN"/>
              </w:rPr>
              <w:t>187万</w:t>
            </w:r>
            <w:r>
              <w:rPr>
                <w:rFonts w:hint="eastAsia" w:ascii="宋体" w:hAnsi="宋体" w:eastAsia="宋体" w:cs="宋体"/>
                <w:bCs/>
                <w:color w:val="auto"/>
                <w:sz w:val="24"/>
                <w:szCs w:val="24"/>
                <w:highlight w:val="none"/>
                <w:lang w:val="en-US" w:eastAsia="zh-CN"/>
              </w:rPr>
              <w:t>元</w:t>
            </w:r>
          </w:p>
          <w:p w14:paraId="2EA2EC99">
            <w:pPr>
              <w:spacing w:line="360" w:lineRule="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注：供应商所报价格不得超过</w:t>
            </w:r>
            <w:r>
              <w:rPr>
                <w:rFonts w:hint="eastAsia" w:ascii="宋体" w:hAnsi="宋体" w:eastAsia="宋体" w:cs="宋体"/>
                <w:bCs/>
                <w:color w:val="auto"/>
                <w:sz w:val="24"/>
                <w:szCs w:val="24"/>
                <w:highlight w:val="none"/>
                <w:lang w:val="zh-CN" w:eastAsia="zh-CN"/>
              </w:rPr>
              <w:t>预算金额（</w:t>
            </w:r>
            <w:r>
              <w:rPr>
                <w:rFonts w:hint="eastAsia" w:ascii="宋体" w:hAnsi="宋体" w:eastAsia="宋体" w:cs="宋体"/>
                <w:bCs/>
                <w:color w:val="auto"/>
                <w:sz w:val="24"/>
                <w:szCs w:val="24"/>
                <w:highlight w:val="none"/>
                <w:lang w:val="en-US" w:eastAsia="zh-CN"/>
              </w:rPr>
              <w:t>最高限价</w:t>
            </w:r>
            <w:r>
              <w:rPr>
                <w:rFonts w:hint="eastAsia" w:ascii="宋体" w:hAnsi="宋体" w:eastAsia="宋体" w:cs="宋体"/>
                <w:bCs/>
                <w:color w:val="auto"/>
                <w:sz w:val="24"/>
                <w:szCs w:val="24"/>
                <w:highlight w:val="none"/>
                <w:lang w:val="zh-CN" w:eastAsia="zh-CN"/>
              </w:rPr>
              <w:t>）</w:t>
            </w:r>
            <w:r>
              <w:rPr>
                <w:rFonts w:hint="eastAsia" w:ascii="宋体" w:hAnsi="宋体" w:eastAsia="宋体" w:cs="宋体"/>
                <w:bCs/>
                <w:color w:val="auto"/>
                <w:sz w:val="24"/>
                <w:szCs w:val="24"/>
                <w:highlight w:val="none"/>
                <w:lang w:val="en-US" w:eastAsia="zh-CN"/>
              </w:rPr>
              <w:t>，否则按废标处理。</w:t>
            </w:r>
          </w:p>
        </w:tc>
      </w:tr>
      <w:tr w14:paraId="33247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713" w:type="dxa"/>
            <w:vAlign w:val="center"/>
          </w:tcPr>
          <w:p w14:paraId="6236C311">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5</w:t>
            </w:r>
          </w:p>
        </w:tc>
        <w:tc>
          <w:tcPr>
            <w:tcW w:w="1807" w:type="dxa"/>
            <w:vAlign w:val="center"/>
          </w:tcPr>
          <w:p w14:paraId="1B170981">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eastAsia" w:ascii="宋体" w:hAnsi="宋体" w:eastAsia="宋体" w:cs="宋体"/>
                <w:bCs/>
                <w:color w:val="auto"/>
                <w:sz w:val="24"/>
                <w:szCs w:val="24"/>
                <w:highlight w:val="none"/>
                <w:lang w:val="zh-CN" w:eastAsia="zh-CN"/>
              </w:rPr>
            </w:pPr>
            <w:r>
              <w:rPr>
                <w:rFonts w:hint="eastAsia" w:ascii="宋体" w:hAnsi="宋体" w:cs="宋体"/>
                <w:bCs/>
                <w:color w:val="auto"/>
                <w:sz w:val="24"/>
                <w:szCs w:val="24"/>
                <w:highlight w:val="none"/>
                <w:lang w:val="zh-CN" w:eastAsia="zh-CN"/>
              </w:rPr>
              <w:t>谈判采购内容</w:t>
            </w:r>
          </w:p>
        </w:tc>
        <w:tc>
          <w:tcPr>
            <w:tcW w:w="6927" w:type="dxa"/>
            <w:vAlign w:val="center"/>
          </w:tcPr>
          <w:p w14:paraId="2EC0EEE7">
            <w:pPr>
              <w:tabs>
                <w:tab w:val="left" w:pos="5100"/>
              </w:tabs>
              <w:snapToGrid w:val="0"/>
              <w:spacing w:line="360" w:lineRule="auto"/>
              <w:jc w:val="left"/>
              <w:rPr>
                <w:rFonts w:hint="eastAsia" w:ascii="宋体" w:hAnsi="宋体" w:eastAsia="宋体" w:cs="宋体"/>
                <w:bCs/>
                <w:kern w:val="0"/>
                <w:sz w:val="24"/>
                <w:szCs w:val="24"/>
              </w:rPr>
            </w:pPr>
            <w:r>
              <w:rPr>
                <w:rFonts w:hint="eastAsia" w:ascii="宋体" w:hAnsi="宋体" w:eastAsia="宋体" w:cs="宋体"/>
                <w:i w:val="0"/>
                <w:iCs w:val="0"/>
                <w:sz w:val="24"/>
                <w:szCs w:val="24"/>
                <w:highlight w:val="none"/>
                <w:lang w:val="en-US" w:eastAsia="zh-CN"/>
              </w:rPr>
              <w:t>吉林司法警官职业学院发布型智慧教室建设项目(详见第三章采购需求）</w:t>
            </w:r>
          </w:p>
        </w:tc>
      </w:tr>
      <w:tr w14:paraId="3808D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713" w:type="dxa"/>
            <w:vAlign w:val="center"/>
          </w:tcPr>
          <w:p w14:paraId="6C797C62">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6</w:t>
            </w:r>
          </w:p>
        </w:tc>
        <w:tc>
          <w:tcPr>
            <w:tcW w:w="1807" w:type="dxa"/>
            <w:vAlign w:val="center"/>
          </w:tcPr>
          <w:p w14:paraId="5393ADA1">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zh-CN" w:eastAsia="zh-CN"/>
              </w:rPr>
              <w:t>供货期</w:t>
            </w:r>
          </w:p>
        </w:tc>
        <w:tc>
          <w:tcPr>
            <w:tcW w:w="6927" w:type="dxa"/>
            <w:vAlign w:val="center"/>
          </w:tcPr>
          <w:p w14:paraId="29B8DFAF">
            <w:pPr>
              <w:spacing w:line="360" w:lineRule="auto"/>
              <w:rPr>
                <w:rFonts w:hint="eastAsia" w:ascii="宋体" w:hAnsi="宋体" w:cs="宋体"/>
                <w:bCs/>
                <w:snapToGrid w:val="0"/>
                <w:sz w:val="24"/>
                <w:szCs w:val="24"/>
                <w:highlight w:val="none"/>
              </w:rPr>
            </w:pPr>
            <w:r>
              <w:rPr>
                <w:rFonts w:hint="eastAsia" w:ascii="宋体" w:hAnsi="宋体" w:eastAsia="宋体" w:cs="宋体"/>
                <w:bCs/>
                <w:kern w:val="0"/>
                <w:sz w:val="24"/>
                <w:szCs w:val="24"/>
                <w:highlight w:val="none"/>
              </w:rPr>
              <w:t>自合同签订之日起</w:t>
            </w:r>
            <w:r>
              <w:rPr>
                <w:rFonts w:hint="eastAsia" w:ascii="宋体" w:hAnsi="宋体" w:eastAsia="宋体" w:cs="宋体"/>
                <w:bCs/>
                <w:kern w:val="0"/>
                <w:sz w:val="24"/>
                <w:szCs w:val="24"/>
                <w:highlight w:val="none"/>
                <w:lang w:val="zh-CN"/>
              </w:rPr>
              <w:t xml:space="preserve"> </w:t>
            </w:r>
            <w:r>
              <w:rPr>
                <w:rFonts w:hint="eastAsia" w:ascii="宋体" w:hAnsi="宋体" w:eastAsia="宋体" w:cs="宋体"/>
                <w:bCs/>
                <w:kern w:val="0"/>
                <w:sz w:val="24"/>
                <w:szCs w:val="24"/>
                <w:highlight w:val="none"/>
                <w:lang w:val="en-US" w:eastAsia="zh-CN"/>
              </w:rPr>
              <w:t>30</w:t>
            </w:r>
            <w:r>
              <w:rPr>
                <w:rFonts w:hint="eastAsia" w:ascii="宋体" w:hAnsi="宋体" w:eastAsia="宋体" w:cs="宋体"/>
                <w:bCs/>
                <w:kern w:val="0"/>
                <w:sz w:val="24"/>
                <w:szCs w:val="24"/>
                <w:highlight w:val="none"/>
                <w:lang w:val="zh-CN"/>
              </w:rPr>
              <w:t xml:space="preserve"> 天内完成。</w:t>
            </w:r>
          </w:p>
        </w:tc>
      </w:tr>
      <w:tr w14:paraId="774D0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713" w:type="dxa"/>
            <w:vAlign w:val="center"/>
          </w:tcPr>
          <w:p w14:paraId="0D95DAF3">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7</w:t>
            </w:r>
          </w:p>
        </w:tc>
        <w:tc>
          <w:tcPr>
            <w:tcW w:w="1807" w:type="dxa"/>
            <w:vAlign w:val="center"/>
          </w:tcPr>
          <w:p w14:paraId="3ACF5F46">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lang w:val="zh-CN" w:eastAsia="zh-CN"/>
              </w:rPr>
              <w:t>供货地点</w:t>
            </w:r>
          </w:p>
        </w:tc>
        <w:tc>
          <w:tcPr>
            <w:tcW w:w="6927" w:type="dxa"/>
            <w:vAlign w:val="center"/>
          </w:tcPr>
          <w:p w14:paraId="30CF1B09">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宋体"/>
                <w:bCs/>
                <w:color w:val="auto"/>
                <w:sz w:val="24"/>
                <w:szCs w:val="24"/>
                <w:highlight w:val="none"/>
                <w:lang w:val="zh-CN" w:eastAsia="zh-CN"/>
              </w:rPr>
            </w:pPr>
            <w:r>
              <w:rPr>
                <w:rFonts w:hint="eastAsia" w:ascii="宋体" w:hAnsi="宋体" w:eastAsia="宋体" w:cs="宋体"/>
                <w:i w:val="0"/>
                <w:iCs w:val="0"/>
                <w:sz w:val="24"/>
                <w:szCs w:val="24"/>
                <w:highlight w:val="none"/>
              </w:rPr>
              <w:t>吉林司法警官职业学院</w:t>
            </w:r>
          </w:p>
        </w:tc>
      </w:tr>
      <w:tr w14:paraId="5C626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713" w:type="dxa"/>
            <w:vAlign w:val="center"/>
          </w:tcPr>
          <w:p w14:paraId="792F465F">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8</w:t>
            </w:r>
          </w:p>
        </w:tc>
        <w:tc>
          <w:tcPr>
            <w:tcW w:w="1807" w:type="dxa"/>
            <w:vAlign w:val="center"/>
          </w:tcPr>
          <w:p w14:paraId="005F2975">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lang w:val="zh-CN" w:eastAsia="zh-CN"/>
              </w:rPr>
              <w:t>质量要求</w:t>
            </w:r>
          </w:p>
        </w:tc>
        <w:tc>
          <w:tcPr>
            <w:tcW w:w="6927" w:type="dxa"/>
            <w:vAlign w:val="center"/>
          </w:tcPr>
          <w:p w14:paraId="793DF9BE">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宋体"/>
                <w:bCs/>
                <w:color w:val="auto"/>
                <w:sz w:val="24"/>
                <w:szCs w:val="24"/>
                <w:highlight w:val="none"/>
                <w:lang w:val="zh-CN" w:eastAsia="zh-CN"/>
              </w:rPr>
            </w:pPr>
            <w:r>
              <w:rPr>
                <w:rFonts w:hint="eastAsia" w:ascii="宋体" w:hAnsi="宋体" w:eastAsia="宋体" w:cs="宋体"/>
                <w:i w:val="0"/>
                <w:iCs w:val="0"/>
                <w:sz w:val="24"/>
                <w:szCs w:val="24"/>
                <w:highlight w:val="none"/>
              </w:rPr>
              <w:t>符合国家及相关行业合格标准</w:t>
            </w:r>
          </w:p>
        </w:tc>
      </w:tr>
      <w:tr w14:paraId="7CFBB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713" w:type="dxa"/>
            <w:vAlign w:val="center"/>
          </w:tcPr>
          <w:p w14:paraId="45DD998E">
            <w:pPr>
              <w:spacing w:line="360" w:lineRule="auto"/>
              <w:jc w:val="center"/>
              <w:rPr>
                <w:rFonts w:hint="default" w:ascii="宋体" w:hAnsi="宋体" w:cs="宋体"/>
                <w:sz w:val="24"/>
                <w:szCs w:val="24"/>
                <w:lang w:val="en-US" w:eastAsia="zh-CN"/>
              </w:rPr>
            </w:pPr>
            <w:r>
              <w:rPr>
                <w:rFonts w:hint="eastAsia" w:ascii="宋体" w:hAnsi="宋体" w:cs="宋体"/>
                <w:sz w:val="24"/>
                <w:szCs w:val="24"/>
                <w:lang w:val="en-US" w:eastAsia="zh-CN"/>
              </w:rPr>
              <w:t>9</w:t>
            </w:r>
          </w:p>
        </w:tc>
        <w:tc>
          <w:tcPr>
            <w:tcW w:w="1807" w:type="dxa"/>
            <w:shd w:val="clear" w:color="auto" w:fill="auto"/>
            <w:vAlign w:val="center"/>
          </w:tcPr>
          <w:p w14:paraId="2D4721D6">
            <w:pPr>
              <w:spacing w:line="360" w:lineRule="auto"/>
              <w:jc w:val="center"/>
              <w:rPr>
                <w:rFonts w:hint="eastAsia" w:ascii="Times New Roman" w:hAnsi="Times New Roman" w:eastAsia="宋体" w:cs="Times New Roman"/>
                <w:color w:val="auto"/>
                <w:kern w:val="2"/>
                <w:sz w:val="24"/>
                <w:szCs w:val="24"/>
                <w:highlight w:val="none"/>
                <w:lang w:val="zh-CN" w:eastAsia="zh-CN" w:bidi="ar-SA"/>
              </w:rPr>
            </w:pPr>
            <w:r>
              <w:rPr>
                <w:rFonts w:hint="eastAsia"/>
                <w:color w:val="auto"/>
                <w:sz w:val="24"/>
                <w:szCs w:val="24"/>
                <w:highlight w:val="none"/>
              </w:rPr>
              <w:t>资金来源</w:t>
            </w:r>
            <w:r>
              <w:rPr>
                <w:rFonts w:hint="eastAsia"/>
                <w:color w:val="auto"/>
                <w:sz w:val="24"/>
                <w:szCs w:val="24"/>
                <w:highlight w:val="none"/>
                <w:lang w:eastAsia="zh-CN"/>
              </w:rPr>
              <w:t>及落实情况</w:t>
            </w:r>
          </w:p>
        </w:tc>
        <w:tc>
          <w:tcPr>
            <w:tcW w:w="6927" w:type="dxa"/>
            <w:shd w:val="clear" w:color="auto" w:fill="auto"/>
            <w:vAlign w:val="center"/>
          </w:tcPr>
          <w:p w14:paraId="34B12AA1">
            <w:pPr>
              <w:spacing w:line="360" w:lineRule="auto"/>
              <w:jc w:val="both"/>
              <w:rPr>
                <w:rFonts w:hint="eastAsia"/>
                <w:bCs/>
                <w:color w:val="auto"/>
                <w:sz w:val="24"/>
                <w:szCs w:val="24"/>
                <w:highlight w:val="none"/>
                <w:lang w:val="zh-CN" w:eastAsia="zh-CN"/>
              </w:rPr>
            </w:pPr>
            <w:r>
              <w:rPr>
                <w:rFonts w:hint="eastAsia"/>
                <w:bCs/>
                <w:color w:val="auto"/>
                <w:sz w:val="24"/>
                <w:szCs w:val="24"/>
                <w:highlight w:val="none"/>
                <w:lang w:eastAsia="zh-CN"/>
              </w:rPr>
              <w:t>财政资金，已落实</w:t>
            </w:r>
          </w:p>
        </w:tc>
      </w:tr>
      <w:tr w14:paraId="59E18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713" w:type="dxa"/>
            <w:vAlign w:val="center"/>
          </w:tcPr>
          <w:p w14:paraId="0934B41A">
            <w:pPr>
              <w:spacing w:line="360" w:lineRule="auto"/>
              <w:jc w:val="center"/>
              <w:rPr>
                <w:rFonts w:hint="default" w:ascii="宋体" w:hAnsi="宋体" w:cs="宋体"/>
                <w:sz w:val="24"/>
                <w:szCs w:val="24"/>
                <w:lang w:val="en-US" w:eastAsia="zh-CN"/>
              </w:rPr>
            </w:pPr>
            <w:r>
              <w:rPr>
                <w:rFonts w:hint="eastAsia" w:ascii="宋体" w:hAnsi="宋体" w:cs="宋体"/>
                <w:sz w:val="24"/>
                <w:szCs w:val="24"/>
                <w:lang w:val="en-US" w:eastAsia="zh-CN"/>
              </w:rPr>
              <w:t>10</w:t>
            </w:r>
          </w:p>
        </w:tc>
        <w:tc>
          <w:tcPr>
            <w:tcW w:w="1807" w:type="dxa"/>
            <w:vAlign w:val="center"/>
          </w:tcPr>
          <w:p w14:paraId="71BDAB4C">
            <w:pPr>
              <w:keepNext w:val="0"/>
              <w:keepLines w:val="0"/>
              <w:pageBreakBefore w:val="0"/>
              <w:widowControl w:val="0"/>
              <w:kinsoku/>
              <w:wordWrap/>
              <w:overflowPunct/>
              <w:topLinePunct w:val="0"/>
              <w:bidi w:val="0"/>
              <w:adjustRightInd w:val="0"/>
              <w:snapToGrid w:val="0"/>
              <w:spacing w:line="360" w:lineRule="auto"/>
              <w:ind w:firstLine="10" w:firstLineChars="0"/>
              <w:jc w:val="center"/>
              <w:textAlignment w:val="auto"/>
              <w:rPr>
                <w:rFonts w:hint="eastAsia" w:ascii="宋体" w:hAnsi="宋体" w:eastAsia="宋体" w:cs="宋体"/>
                <w:bCs/>
                <w:color w:val="auto"/>
                <w:sz w:val="24"/>
                <w:szCs w:val="24"/>
                <w:highlight w:val="none"/>
                <w:lang w:val="zh-CN" w:eastAsia="zh-CN"/>
              </w:rPr>
            </w:pPr>
            <w:r>
              <w:rPr>
                <w:rFonts w:hint="eastAsia" w:ascii="宋体" w:hAnsi="宋体" w:cs="宋体"/>
                <w:color w:val="auto"/>
                <w:sz w:val="24"/>
                <w:szCs w:val="24"/>
                <w:highlight w:val="none"/>
              </w:rPr>
              <w:t>采购方式</w:t>
            </w:r>
          </w:p>
        </w:tc>
        <w:tc>
          <w:tcPr>
            <w:tcW w:w="6927" w:type="dxa"/>
            <w:vAlign w:val="center"/>
          </w:tcPr>
          <w:p w14:paraId="00A18339">
            <w:pPr>
              <w:keepNext w:val="0"/>
              <w:keepLines w:val="0"/>
              <w:pageBreakBefore w:val="0"/>
              <w:widowControl w:val="0"/>
              <w:kinsoku/>
              <w:wordWrap/>
              <w:overflowPunct/>
              <w:topLinePunct w:val="0"/>
              <w:bidi w:val="0"/>
              <w:adjustRightInd w:val="0"/>
              <w:snapToGrid w:val="0"/>
              <w:spacing w:line="360" w:lineRule="auto"/>
              <w:jc w:val="left"/>
              <w:textAlignment w:val="auto"/>
              <w:rPr>
                <w:rFonts w:hint="eastAsia" w:ascii="宋体" w:hAnsi="宋体" w:eastAsia="宋体" w:cs="宋体"/>
                <w:bCs/>
                <w:color w:val="auto"/>
                <w:sz w:val="24"/>
                <w:szCs w:val="24"/>
                <w:highlight w:val="none"/>
                <w:lang w:val="zh-CN" w:eastAsia="zh-CN"/>
              </w:rPr>
            </w:pPr>
            <w:r>
              <w:rPr>
                <w:rFonts w:hint="eastAsia" w:ascii="宋体" w:hAnsi="宋体" w:eastAsia="宋体" w:cs="宋体"/>
                <w:color w:val="auto"/>
                <w:sz w:val="24"/>
                <w:szCs w:val="24"/>
                <w:highlight w:val="none"/>
              </w:rPr>
              <w:t>竞争性</w:t>
            </w:r>
            <w:r>
              <w:rPr>
                <w:rFonts w:hint="eastAsia" w:ascii="宋体" w:hAnsi="宋体" w:eastAsia="宋体" w:cs="宋体"/>
                <w:color w:val="auto"/>
                <w:sz w:val="24"/>
                <w:szCs w:val="24"/>
                <w:highlight w:val="none"/>
                <w:lang w:eastAsia="zh-CN"/>
              </w:rPr>
              <w:t>谈判</w:t>
            </w:r>
          </w:p>
        </w:tc>
      </w:tr>
      <w:tr w14:paraId="07921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713" w:type="dxa"/>
            <w:vAlign w:val="center"/>
          </w:tcPr>
          <w:p w14:paraId="09073D1F">
            <w:pPr>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11</w:t>
            </w:r>
          </w:p>
        </w:tc>
        <w:tc>
          <w:tcPr>
            <w:tcW w:w="1807" w:type="dxa"/>
            <w:shd w:val="clear" w:color="auto" w:fill="auto"/>
            <w:vAlign w:val="center"/>
          </w:tcPr>
          <w:p w14:paraId="1D7EBF6D">
            <w:pPr>
              <w:keepNext w:val="0"/>
              <w:keepLines w:val="0"/>
              <w:pageBreakBefore w:val="0"/>
              <w:widowControl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资质条件、能力和信誉</w:t>
            </w:r>
          </w:p>
        </w:tc>
        <w:tc>
          <w:tcPr>
            <w:tcW w:w="6927" w:type="dxa"/>
            <w:shd w:val="clear" w:color="auto" w:fill="auto"/>
            <w:vAlign w:val="top"/>
          </w:tcPr>
          <w:p w14:paraId="2AB0A4FA">
            <w:pPr>
              <w:keepNext w:val="0"/>
              <w:keepLines w:val="0"/>
              <w:pageBreakBefore w:val="0"/>
              <w:widowControl w:val="0"/>
              <w:kinsoku/>
              <w:wordWrap/>
              <w:overflowPunct/>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1.满足《中华人民共和国政府采购法》第二十二条规定；</w:t>
            </w:r>
          </w:p>
          <w:p w14:paraId="2457E4CA">
            <w:pPr>
              <w:keepNext w:val="0"/>
              <w:keepLines w:val="0"/>
              <w:pageBreakBefore w:val="0"/>
              <w:widowControl w:val="0"/>
              <w:kinsoku/>
              <w:wordWrap/>
              <w:overflowPunct/>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2.落实政府采购政策需满足的资格要求：本项目非专门面向中小企业采购； </w:t>
            </w:r>
          </w:p>
          <w:p w14:paraId="7BF61583">
            <w:pPr>
              <w:keepNext w:val="0"/>
              <w:keepLines w:val="0"/>
              <w:pageBreakBefore w:val="0"/>
              <w:widowControl w:val="0"/>
              <w:kinsoku/>
              <w:wordWrap/>
              <w:overflowPunct/>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3.本项目的特定资格要求：</w:t>
            </w:r>
          </w:p>
          <w:p w14:paraId="666B6C1B">
            <w:pPr>
              <w:keepNext w:val="0"/>
              <w:keepLines w:val="0"/>
              <w:pageBreakBefore w:val="0"/>
              <w:widowControl w:val="0"/>
              <w:kinsoku/>
              <w:wordWrap/>
              <w:overflowPunct/>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3.1供应商在中华人民共和国境内注册，能够独立承担民事责任的法人或其他组织形式，具备有效的营业执照；并在人员、设备、资金等方面具有承担本项目的能力。</w:t>
            </w:r>
          </w:p>
          <w:p w14:paraId="2B677A03">
            <w:pPr>
              <w:keepNext w:val="0"/>
              <w:keepLines w:val="0"/>
              <w:pageBreakBefore w:val="0"/>
              <w:widowControl w:val="0"/>
              <w:kinsoku/>
              <w:wordWrap/>
              <w:overflowPunct/>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3.2近三年财务状况良好，提供由专业审计机构出具的近三年(2022-2024年)的财务审计报告(新成立不足三年的企业提供自成立之日起至2024年的财务审计报告,若供应商为2024年12月31日及以后注册成立的公司，提供财务状况良好承诺书)。</w:t>
            </w:r>
          </w:p>
          <w:p w14:paraId="1116A42A">
            <w:pPr>
              <w:keepNext w:val="0"/>
              <w:keepLines w:val="0"/>
              <w:pageBreakBefore w:val="0"/>
              <w:widowControl w:val="0"/>
              <w:kinsoku/>
              <w:wordWrap/>
              <w:overflowPunct/>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3.3信誉要求</w:t>
            </w:r>
          </w:p>
          <w:p w14:paraId="5932AD2D">
            <w:pPr>
              <w:keepNext w:val="0"/>
              <w:keepLines w:val="0"/>
              <w:pageBreakBefore w:val="0"/>
              <w:widowControl w:val="0"/>
              <w:kinsoku/>
              <w:wordWrap/>
              <w:overflowPunct/>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（1）不接受列入政府取消投标资格记录期间的企业或个人参加投标；参加政府采购活动前三年内，在经营活动中没有重大违法记录。</w:t>
            </w:r>
          </w:p>
          <w:p w14:paraId="5CA14AEC">
            <w:pPr>
              <w:keepNext w:val="0"/>
              <w:keepLines w:val="0"/>
              <w:pageBreakBefore w:val="0"/>
              <w:widowControl w:val="0"/>
              <w:kinsoku/>
              <w:wordWrap/>
              <w:overflowPunct/>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供应商不得为“信用中国”网站（www.creditchina.gov.cn）中列入失信被执行人和重大税收违法失信主体的供应商，不得为中国政府采购网（www.ccgp.gov.cn）政府采购严重违法失信行为记录名单中被财政部门禁止参加政府采购活动的供应商（详见财库【2016】125号文）（需在公告发布之后至投标截止期间在官方网站查询，并将查询截图加盖单位公章附在投标文件中）。</w:t>
            </w:r>
          </w:p>
          <w:p w14:paraId="3D92BCB6">
            <w:pPr>
              <w:keepNext w:val="0"/>
              <w:keepLines w:val="0"/>
              <w:pageBreakBefore w:val="0"/>
              <w:widowControl w:val="0"/>
              <w:kinsoku/>
              <w:wordWrap/>
              <w:overflowPunct/>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与采购人存在利害关系可能影响采购公正性的法人、其它组织或者个人，不得参加投标；单位负责人为同一人或者存在直接控股、管理关系的不同供应商，不得参加同一合同项下的政府采购活动。否则相关投标无效</w:t>
            </w:r>
          </w:p>
        </w:tc>
      </w:tr>
      <w:tr w14:paraId="7FCBC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713" w:type="dxa"/>
            <w:vAlign w:val="center"/>
          </w:tcPr>
          <w:p w14:paraId="2FC34BFB">
            <w:pPr>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12</w:t>
            </w:r>
          </w:p>
        </w:tc>
        <w:tc>
          <w:tcPr>
            <w:tcW w:w="1807" w:type="dxa"/>
            <w:vAlign w:val="center"/>
          </w:tcPr>
          <w:p w14:paraId="5F7C5AFD">
            <w:pPr>
              <w:spacing w:line="360" w:lineRule="auto"/>
              <w:jc w:val="center"/>
              <w:rPr>
                <w:rFonts w:ascii="宋体" w:hAnsi="宋体" w:cs="宋体"/>
                <w:sz w:val="24"/>
                <w:szCs w:val="24"/>
              </w:rPr>
            </w:pPr>
            <w:r>
              <w:rPr>
                <w:rFonts w:hint="eastAsia"/>
                <w:color w:val="auto"/>
                <w:sz w:val="24"/>
                <w:szCs w:val="24"/>
                <w:highlight w:val="none"/>
              </w:rPr>
              <w:t>谈判有效期</w:t>
            </w:r>
          </w:p>
        </w:tc>
        <w:tc>
          <w:tcPr>
            <w:tcW w:w="6927" w:type="dxa"/>
            <w:vAlign w:val="center"/>
          </w:tcPr>
          <w:p w14:paraId="0702C51B">
            <w:pPr>
              <w:spacing w:line="360" w:lineRule="auto"/>
              <w:ind w:left="-8" w:leftChars="0" w:hanging="166" w:firstLineChars="0"/>
              <w:rPr>
                <w:sz w:val="24"/>
                <w:szCs w:val="24"/>
              </w:rPr>
            </w:pPr>
            <w:r>
              <w:rPr>
                <w:rFonts w:hint="eastAsia"/>
                <w:color w:val="auto"/>
                <w:sz w:val="24"/>
                <w:szCs w:val="24"/>
                <w:highlight w:val="none"/>
                <w:lang w:eastAsia="zh-CN"/>
              </w:rPr>
              <w:t xml:space="preserve"> </w:t>
            </w:r>
            <w:r>
              <w:rPr>
                <w:rFonts w:hint="eastAsia" w:ascii="宋体" w:hAnsi="宋体" w:cs="宋体"/>
                <w:bCs/>
                <w:color w:val="auto"/>
                <w:kern w:val="15"/>
                <w:sz w:val="24"/>
                <w:szCs w:val="24"/>
                <w:highlight w:val="none"/>
              </w:rPr>
              <w:t>响应文件截止之日后</w:t>
            </w:r>
            <w:r>
              <w:rPr>
                <w:rFonts w:hint="eastAsia" w:ascii="宋体" w:hAnsi="宋体" w:cs="宋体"/>
                <w:bCs/>
                <w:color w:val="auto"/>
                <w:kern w:val="15"/>
                <w:sz w:val="24"/>
                <w:szCs w:val="24"/>
                <w:highlight w:val="none"/>
                <w:u w:val="single"/>
                <w:lang w:val="en-US" w:eastAsia="zh-CN"/>
              </w:rPr>
              <w:t>90</w:t>
            </w:r>
            <w:r>
              <w:rPr>
                <w:rFonts w:hint="eastAsia" w:ascii="宋体" w:hAnsi="宋体" w:cs="宋体"/>
                <w:bCs/>
                <w:color w:val="auto"/>
                <w:sz w:val="24"/>
                <w:szCs w:val="24"/>
                <w:highlight w:val="none"/>
                <w:u w:val="none"/>
                <w:lang w:val="zh-CN"/>
              </w:rPr>
              <w:t>天</w:t>
            </w:r>
            <w:r>
              <w:rPr>
                <w:rFonts w:hint="eastAsia" w:ascii="宋体" w:hAnsi="宋体" w:cs="宋体"/>
                <w:bCs/>
                <w:color w:val="auto"/>
                <w:sz w:val="24"/>
                <w:szCs w:val="24"/>
                <w:highlight w:val="none"/>
                <w:lang w:val="zh-CN"/>
              </w:rPr>
              <w:t>（日历天）</w:t>
            </w:r>
            <w:r>
              <w:rPr>
                <w:rFonts w:hint="eastAsia" w:ascii="Times New Roman" w:hAnsi="Times New Roman" w:eastAsia="宋体" w:cs="Times New Roman"/>
                <w:color w:val="auto"/>
                <w:sz w:val="24"/>
                <w:szCs w:val="24"/>
                <w:highlight w:val="none"/>
              </w:rPr>
              <w:t>有效期不足的响应文件将被拒绝。</w:t>
            </w:r>
          </w:p>
        </w:tc>
      </w:tr>
      <w:tr w14:paraId="3A35C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713" w:type="dxa"/>
            <w:vAlign w:val="center"/>
          </w:tcPr>
          <w:p w14:paraId="3DAD8BEC">
            <w:pPr>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13</w:t>
            </w:r>
          </w:p>
        </w:tc>
        <w:tc>
          <w:tcPr>
            <w:tcW w:w="1807" w:type="dxa"/>
            <w:vAlign w:val="center"/>
          </w:tcPr>
          <w:p w14:paraId="2D40016E">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ascii="宋体" w:hAnsi="宋体" w:cs="宋体"/>
                <w:sz w:val="24"/>
                <w:szCs w:val="24"/>
              </w:rPr>
            </w:pPr>
            <w:r>
              <w:rPr>
                <w:rFonts w:hint="eastAsia" w:ascii="宋体" w:hAnsi="宋体" w:cs="宋体"/>
                <w:bCs/>
                <w:color w:val="auto"/>
                <w:sz w:val="24"/>
                <w:szCs w:val="24"/>
                <w:highlight w:val="none"/>
                <w:lang w:val="zh-CN"/>
              </w:rPr>
              <w:t>谈判保证金</w:t>
            </w:r>
          </w:p>
        </w:tc>
        <w:tc>
          <w:tcPr>
            <w:tcW w:w="6927" w:type="dxa"/>
            <w:vAlign w:val="center"/>
          </w:tcPr>
          <w:p w14:paraId="22EF7A69">
            <w:pPr>
              <w:keepLines/>
              <w:pageBreakBefore w:val="0"/>
              <w:widowControl/>
              <w:kinsoku/>
              <w:autoSpaceDE w:val="0"/>
              <w:autoSpaceDN w:val="0"/>
              <w:bidi w:val="0"/>
              <w:adjustRightInd w:val="0"/>
              <w:spacing w:line="360" w:lineRule="auto"/>
              <w:jc w:val="both"/>
              <w:rPr>
                <w:rFonts w:hint="eastAsia" w:ascii="宋体" w:hAnsi="宋体" w:eastAsia="宋体" w:cs="宋体"/>
                <w:b w:val="0"/>
                <w:bCs/>
                <w:caps w:val="0"/>
                <w:color w:val="000000" w:themeColor="text1"/>
                <w:kern w:val="2"/>
                <w:sz w:val="24"/>
                <w:szCs w:val="24"/>
                <w:highlight w:val="none"/>
                <w:lang w:val="zh-CN"/>
                <w14:textFill>
                  <w14:solidFill>
                    <w14:schemeClr w14:val="tx1"/>
                  </w14:solidFill>
                </w14:textFill>
              </w:rPr>
            </w:pPr>
            <w:r>
              <w:rPr>
                <w:rFonts w:hint="eastAsia" w:ascii="宋体" w:hAnsi="宋体" w:eastAsia="宋体" w:cs="宋体"/>
                <w:b w:val="0"/>
                <w:bCs/>
                <w:caps w:val="0"/>
                <w:color w:val="000000" w:themeColor="text1"/>
                <w:kern w:val="2"/>
                <w:sz w:val="24"/>
                <w:szCs w:val="24"/>
                <w:highlight w:val="none"/>
                <w:lang w:val="en-US" w:eastAsia="zh-CN"/>
                <w14:textFill>
                  <w14:solidFill>
                    <w14:schemeClr w14:val="tx1"/>
                  </w14:solidFill>
                </w14:textFill>
              </w:rPr>
              <w:t>谈判</w:t>
            </w:r>
            <w:r>
              <w:rPr>
                <w:rFonts w:hint="eastAsia" w:ascii="宋体" w:hAnsi="宋体" w:eastAsia="宋体" w:cs="宋体"/>
                <w:b w:val="0"/>
                <w:bCs/>
                <w:caps w:val="0"/>
                <w:color w:val="000000" w:themeColor="text1"/>
                <w:kern w:val="2"/>
                <w:sz w:val="24"/>
                <w:szCs w:val="24"/>
                <w:highlight w:val="none"/>
                <w:lang w:val="zh-CN"/>
                <w14:textFill>
                  <w14:solidFill>
                    <w14:schemeClr w14:val="tx1"/>
                  </w14:solidFill>
                </w14:textFill>
              </w:rPr>
              <w:t>保证金形式：包括转账、电汇、现金，银行出具的现金支票、保兑支票、银行汇票，银行、专业担保公司、保险公司出具的保函。以现金、支票形式、转账或电汇形式提交的投标保证金应当从投标单位的基本账户转出。</w:t>
            </w:r>
          </w:p>
          <w:p w14:paraId="7EEE5FF6">
            <w:pPr>
              <w:keepLines/>
              <w:pageBreakBefore w:val="0"/>
              <w:widowControl/>
              <w:kinsoku/>
              <w:autoSpaceDE w:val="0"/>
              <w:autoSpaceDN w:val="0"/>
              <w:bidi w:val="0"/>
              <w:adjustRightInd w:val="0"/>
              <w:spacing w:line="360" w:lineRule="auto"/>
              <w:jc w:val="both"/>
              <w:rPr>
                <w:rFonts w:hint="eastAsia" w:ascii="宋体" w:hAnsi="宋体" w:eastAsia="宋体" w:cs="宋体"/>
                <w:b w:val="0"/>
                <w:bCs/>
                <w:caps w:val="0"/>
                <w:color w:val="000000" w:themeColor="text1"/>
                <w:kern w:val="2"/>
                <w:sz w:val="24"/>
                <w:szCs w:val="24"/>
                <w:highlight w:val="none"/>
                <w:lang w:val="zh-CN"/>
                <w14:textFill>
                  <w14:solidFill>
                    <w14:schemeClr w14:val="tx1"/>
                  </w14:solidFill>
                </w14:textFill>
              </w:rPr>
            </w:pPr>
            <w:r>
              <w:rPr>
                <w:rFonts w:hint="eastAsia" w:ascii="宋体" w:hAnsi="宋体" w:eastAsia="宋体" w:cs="宋体"/>
                <w:b w:val="0"/>
                <w:bCs/>
                <w:caps w:val="0"/>
                <w:color w:val="000000" w:themeColor="text1"/>
                <w:kern w:val="2"/>
                <w:sz w:val="24"/>
                <w:szCs w:val="24"/>
                <w:highlight w:val="none"/>
                <w:lang w:val="zh-CN" w:eastAsia="zh-CN"/>
                <w14:textFill>
                  <w14:solidFill>
                    <w14:schemeClr w14:val="tx1"/>
                  </w14:solidFill>
                </w14:textFill>
              </w:rPr>
              <w:t>谈判</w:t>
            </w:r>
            <w:r>
              <w:rPr>
                <w:rFonts w:hint="eastAsia" w:ascii="宋体" w:hAnsi="宋体" w:eastAsia="宋体" w:cs="宋体"/>
                <w:b w:val="0"/>
                <w:bCs/>
                <w:caps w:val="0"/>
                <w:color w:val="000000" w:themeColor="text1"/>
                <w:kern w:val="2"/>
                <w:sz w:val="24"/>
                <w:szCs w:val="24"/>
                <w:highlight w:val="none"/>
                <w:lang w:val="zh-CN"/>
                <w14:textFill>
                  <w14:solidFill>
                    <w14:schemeClr w14:val="tx1"/>
                  </w14:solidFill>
                </w14:textFill>
              </w:rPr>
              <w:t>保证金的金额：</w:t>
            </w:r>
            <w:r>
              <w:rPr>
                <w:rFonts w:hint="eastAsia" w:ascii="宋体" w:hAnsi="宋体" w:eastAsia="宋体" w:cs="宋体"/>
                <w:b w:val="0"/>
                <w:bCs/>
                <w:caps w:val="0"/>
                <w:color w:val="000000" w:themeColor="text1"/>
                <w:kern w:val="2"/>
                <w:sz w:val="24"/>
                <w:szCs w:val="24"/>
                <w:highlight w:val="none"/>
                <w:lang w:val="en-US" w:eastAsia="zh-CN"/>
                <w14:textFill>
                  <w14:solidFill>
                    <w14:schemeClr w14:val="tx1"/>
                  </w14:solidFill>
                </w14:textFill>
              </w:rPr>
              <w:t>18000</w:t>
            </w:r>
            <w:r>
              <w:rPr>
                <w:rFonts w:hint="eastAsia" w:ascii="宋体" w:hAnsi="宋体" w:eastAsia="宋体" w:cs="宋体"/>
                <w:b w:val="0"/>
                <w:bCs/>
                <w:caps w:val="0"/>
                <w:color w:val="000000" w:themeColor="text1"/>
                <w:kern w:val="2"/>
                <w:sz w:val="24"/>
                <w:szCs w:val="24"/>
                <w:highlight w:val="none"/>
                <w:lang w:val="zh-CN"/>
                <w14:textFill>
                  <w14:solidFill>
                    <w14:schemeClr w14:val="tx1"/>
                  </w14:solidFill>
                </w14:textFill>
              </w:rPr>
              <w:t>元</w:t>
            </w:r>
          </w:p>
          <w:p w14:paraId="63EE5034">
            <w:pPr>
              <w:keepLines/>
              <w:pageBreakBefore w:val="0"/>
              <w:widowControl/>
              <w:kinsoku/>
              <w:autoSpaceDE w:val="0"/>
              <w:autoSpaceDN w:val="0"/>
              <w:bidi w:val="0"/>
              <w:adjustRightInd w:val="0"/>
              <w:spacing w:line="360" w:lineRule="auto"/>
              <w:jc w:val="both"/>
              <w:rPr>
                <w:rFonts w:hint="eastAsia" w:ascii="宋体" w:hAnsi="宋体" w:eastAsia="宋体" w:cs="宋体"/>
                <w:b w:val="0"/>
                <w:bCs/>
                <w:caps w:val="0"/>
                <w:color w:val="000000" w:themeColor="text1"/>
                <w:kern w:val="2"/>
                <w:sz w:val="24"/>
                <w:szCs w:val="24"/>
                <w:highlight w:val="none"/>
                <w:lang w:val="zh-CN"/>
                <w14:textFill>
                  <w14:solidFill>
                    <w14:schemeClr w14:val="tx1"/>
                  </w14:solidFill>
                </w14:textFill>
              </w:rPr>
            </w:pPr>
            <w:r>
              <w:rPr>
                <w:rFonts w:hint="eastAsia" w:ascii="宋体" w:hAnsi="宋体" w:eastAsia="宋体" w:cs="宋体"/>
                <w:b w:val="0"/>
                <w:bCs/>
                <w:caps w:val="0"/>
                <w:color w:val="000000" w:themeColor="text1"/>
                <w:kern w:val="2"/>
                <w:sz w:val="24"/>
                <w:szCs w:val="24"/>
                <w:highlight w:val="none"/>
                <w:lang w:val="zh-CN"/>
                <w14:textFill>
                  <w14:solidFill>
                    <w14:schemeClr w14:val="tx1"/>
                  </w14:solidFill>
                </w14:textFill>
              </w:rPr>
              <w:t>户名：吉林省世博项目管理有限公司</w:t>
            </w:r>
          </w:p>
          <w:p w14:paraId="21013D6A">
            <w:pPr>
              <w:keepLines/>
              <w:pageBreakBefore w:val="0"/>
              <w:widowControl/>
              <w:kinsoku/>
              <w:autoSpaceDE w:val="0"/>
              <w:autoSpaceDN w:val="0"/>
              <w:bidi w:val="0"/>
              <w:adjustRightInd w:val="0"/>
              <w:spacing w:line="360" w:lineRule="auto"/>
              <w:jc w:val="both"/>
              <w:rPr>
                <w:rFonts w:hint="eastAsia" w:ascii="宋体" w:hAnsi="宋体" w:eastAsia="宋体" w:cs="宋体"/>
                <w:b w:val="0"/>
                <w:bCs/>
                <w:caps w:val="0"/>
                <w:color w:val="000000" w:themeColor="text1"/>
                <w:kern w:val="2"/>
                <w:sz w:val="24"/>
                <w:szCs w:val="24"/>
                <w:highlight w:val="none"/>
                <w:lang w:val="zh-CN"/>
                <w14:textFill>
                  <w14:solidFill>
                    <w14:schemeClr w14:val="tx1"/>
                  </w14:solidFill>
                </w14:textFill>
              </w:rPr>
            </w:pPr>
            <w:r>
              <w:rPr>
                <w:rFonts w:hint="eastAsia" w:ascii="宋体" w:hAnsi="宋体" w:eastAsia="宋体" w:cs="宋体"/>
                <w:b w:val="0"/>
                <w:bCs/>
                <w:caps w:val="0"/>
                <w:color w:val="000000" w:themeColor="text1"/>
                <w:kern w:val="2"/>
                <w:sz w:val="24"/>
                <w:szCs w:val="24"/>
                <w:highlight w:val="none"/>
                <w:lang w:val="zh-CN"/>
                <w14:textFill>
                  <w14:solidFill>
                    <w14:schemeClr w14:val="tx1"/>
                  </w14:solidFill>
                </w14:textFill>
              </w:rPr>
              <w:t>账号：8916534542000002</w:t>
            </w:r>
          </w:p>
          <w:p w14:paraId="073C6BCA">
            <w:pPr>
              <w:keepLines/>
              <w:pageBreakBefore w:val="0"/>
              <w:widowControl/>
              <w:kinsoku/>
              <w:autoSpaceDE w:val="0"/>
              <w:autoSpaceDN w:val="0"/>
              <w:bidi w:val="0"/>
              <w:adjustRightInd w:val="0"/>
              <w:spacing w:line="360" w:lineRule="auto"/>
              <w:jc w:val="both"/>
              <w:rPr>
                <w:rFonts w:hint="eastAsia" w:ascii="宋体" w:hAnsi="宋体" w:eastAsia="宋体" w:cs="宋体"/>
                <w:b w:val="0"/>
                <w:bCs/>
                <w:caps w:val="0"/>
                <w:color w:val="000000" w:themeColor="text1"/>
                <w:kern w:val="2"/>
                <w:sz w:val="24"/>
                <w:szCs w:val="24"/>
                <w:highlight w:val="none"/>
                <w:lang w:val="zh-CN"/>
                <w14:textFill>
                  <w14:solidFill>
                    <w14:schemeClr w14:val="tx1"/>
                  </w14:solidFill>
                </w14:textFill>
              </w:rPr>
            </w:pPr>
            <w:r>
              <w:rPr>
                <w:rFonts w:hint="eastAsia" w:ascii="宋体" w:hAnsi="宋体" w:eastAsia="宋体" w:cs="宋体"/>
                <w:b w:val="0"/>
                <w:bCs/>
                <w:caps w:val="0"/>
                <w:color w:val="000000" w:themeColor="text1"/>
                <w:kern w:val="2"/>
                <w:sz w:val="24"/>
                <w:szCs w:val="24"/>
                <w:highlight w:val="none"/>
                <w:lang w:val="zh-CN"/>
                <w14:textFill>
                  <w14:solidFill>
                    <w14:schemeClr w14:val="tx1"/>
                  </w14:solidFill>
                </w14:textFill>
              </w:rPr>
              <w:t>开户行：吉林银行长春皓月大路支行</w:t>
            </w:r>
          </w:p>
          <w:p w14:paraId="5E9ABCFB">
            <w:pPr>
              <w:keepLines/>
              <w:pageBreakBefore w:val="0"/>
              <w:widowControl/>
              <w:kinsoku/>
              <w:autoSpaceDE w:val="0"/>
              <w:autoSpaceDN w:val="0"/>
              <w:bidi w:val="0"/>
              <w:adjustRightInd w:val="0"/>
              <w:spacing w:line="360" w:lineRule="auto"/>
              <w:jc w:val="both"/>
              <w:rPr>
                <w:rFonts w:hint="eastAsia" w:ascii="宋体" w:hAnsi="宋体" w:eastAsia="宋体" w:cs="宋体"/>
                <w:b w:val="0"/>
                <w:bCs/>
                <w:caps w:val="0"/>
                <w:color w:val="000000" w:themeColor="text1"/>
                <w:kern w:val="2"/>
                <w:sz w:val="24"/>
                <w:szCs w:val="24"/>
                <w:highlight w:val="none"/>
                <w:lang w:val="zh-CN"/>
                <w14:textFill>
                  <w14:solidFill>
                    <w14:schemeClr w14:val="tx1"/>
                  </w14:solidFill>
                </w14:textFill>
              </w:rPr>
            </w:pPr>
            <w:r>
              <w:rPr>
                <w:rFonts w:hint="eastAsia" w:ascii="宋体" w:hAnsi="宋体" w:eastAsia="宋体" w:cs="宋体"/>
                <w:b w:val="0"/>
                <w:bCs/>
                <w:caps w:val="0"/>
                <w:color w:val="000000" w:themeColor="text1"/>
                <w:kern w:val="2"/>
                <w:sz w:val="24"/>
                <w:szCs w:val="24"/>
                <w:highlight w:val="none"/>
                <w:lang w:val="zh-CN" w:eastAsia="zh-CN"/>
                <w14:textFill>
                  <w14:solidFill>
                    <w14:schemeClr w14:val="tx1"/>
                  </w14:solidFill>
                </w14:textFill>
              </w:rPr>
              <w:t>注：</w:t>
            </w:r>
          </w:p>
          <w:p w14:paraId="6F704DE5">
            <w:pPr>
              <w:keepLines/>
              <w:pageBreakBefore w:val="0"/>
              <w:widowControl/>
              <w:kinsoku/>
              <w:autoSpaceDE w:val="0"/>
              <w:autoSpaceDN w:val="0"/>
              <w:bidi w:val="0"/>
              <w:adjustRightInd w:val="0"/>
              <w:spacing w:line="360" w:lineRule="auto"/>
              <w:jc w:val="both"/>
              <w:rPr>
                <w:rFonts w:hint="eastAsia" w:ascii="宋体" w:hAnsi="宋体" w:eastAsia="宋体" w:cs="宋体"/>
                <w:b w:val="0"/>
                <w:bCs/>
                <w:caps w:val="0"/>
                <w:color w:val="000000" w:themeColor="text1"/>
                <w:kern w:val="2"/>
                <w:sz w:val="24"/>
                <w:szCs w:val="24"/>
                <w:highlight w:val="none"/>
                <w:lang w:val="zh-CN" w:eastAsia="zh-CN"/>
                <w14:textFill>
                  <w14:solidFill>
                    <w14:schemeClr w14:val="tx1"/>
                  </w14:solidFill>
                </w14:textFill>
              </w:rPr>
            </w:pPr>
            <w:r>
              <w:rPr>
                <w:rFonts w:hint="eastAsia" w:ascii="宋体" w:hAnsi="宋体" w:eastAsia="宋体" w:cs="宋体"/>
                <w:b w:val="0"/>
                <w:bCs/>
                <w:caps w:val="0"/>
                <w:color w:val="000000" w:themeColor="text1"/>
                <w:kern w:val="2"/>
                <w:sz w:val="24"/>
                <w:szCs w:val="24"/>
                <w:highlight w:val="none"/>
                <w:lang w:val="zh-CN" w:eastAsia="zh-CN"/>
                <w14:textFill>
                  <w14:solidFill>
                    <w14:schemeClr w14:val="tx1"/>
                  </w14:solidFill>
                </w14:textFill>
              </w:rPr>
              <w:t>1、投标人办理转账或汇款时应写明“项目名称投标保证金”，以便核对查实；</w:t>
            </w:r>
          </w:p>
          <w:p w14:paraId="6A4F30A6">
            <w:pPr>
              <w:keepLines/>
              <w:pageBreakBefore w:val="0"/>
              <w:widowControl/>
              <w:kinsoku/>
              <w:autoSpaceDE w:val="0"/>
              <w:autoSpaceDN w:val="0"/>
              <w:bidi w:val="0"/>
              <w:adjustRightInd w:val="0"/>
              <w:spacing w:line="360" w:lineRule="auto"/>
              <w:jc w:val="both"/>
              <w:rPr>
                <w:rFonts w:hint="eastAsia" w:ascii="宋体" w:hAnsi="宋体" w:eastAsia="宋体" w:cs="宋体"/>
                <w:b w:val="0"/>
                <w:bCs/>
                <w:caps w:val="0"/>
                <w:color w:val="000000" w:themeColor="text1"/>
                <w:kern w:val="2"/>
                <w:sz w:val="24"/>
                <w:szCs w:val="24"/>
                <w:highlight w:val="none"/>
                <w:lang w:val="zh-CN" w:eastAsia="zh-CN"/>
                <w14:textFill>
                  <w14:solidFill>
                    <w14:schemeClr w14:val="tx1"/>
                  </w14:solidFill>
                </w14:textFill>
              </w:rPr>
            </w:pPr>
            <w:r>
              <w:rPr>
                <w:rFonts w:hint="eastAsia" w:ascii="宋体" w:hAnsi="宋体" w:eastAsia="宋体" w:cs="宋体"/>
                <w:b w:val="0"/>
                <w:bCs/>
                <w:caps w:val="0"/>
                <w:color w:val="000000" w:themeColor="text1"/>
                <w:kern w:val="2"/>
                <w:sz w:val="24"/>
                <w:szCs w:val="24"/>
                <w:highlight w:val="none"/>
                <w:lang w:val="zh-CN" w:eastAsia="zh-CN"/>
                <w14:textFill>
                  <w14:solidFill>
                    <w14:schemeClr w14:val="tx1"/>
                  </w14:solidFill>
                </w14:textFill>
              </w:rPr>
              <w:t>2、以保函方式递交的投标保证金应在投标截止时间前</w:t>
            </w:r>
            <w:r>
              <w:rPr>
                <w:rFonts w:hint="eastAsia" w:ascii="宋体" w:hAnsi="宋体" w:eastAsia="宋体" w:cs="宋体"/>
                <w:b w:val="0"/>
                <w:bCs/>
                <w:caps w:val="0"/>
                <w:color w:val="000000" w:themeColor="text1"/>
                <w:kern w:val="2"/>
                <w:sz w:val="24"/>
                <w:szCs w:val="24"/>
                <w:highlight w:val="none"/>
                <w:lang w:val="en-US" w:eastAsia="zh-CN"/>
                <w14:textFill>
                  <w14:solidFill>
                    <w14:schemeClr w14:val="tx1"/>
                  </w14:solidFill>
                </w14:textFill>
              </w:rPr>
              <w:t>1个工作日</w:t>
            </w:r>
            <w:r>
              <w:rPr>
                <w:rFonts w:hint="eastAsia" w:ascii="宋体" w:hAnsi="宋体" w:eastAsia="宋体" w:cs="宋体"/>
                <w:b w:val="0"/>
                <w:bCs/>
                <w:caps w:val="0"/>
                <w:color w:val="000000" w:themeColor="text1"/>
                <w:kern w:val="2"/>
                <w:sz w:val="24"/>
                <w:szCs w:val="24"/>
                <w:highlight w:val="none"/>
                <w:lang w:val="zh-CN" w:eastAsia="zh-CN"/>
                <w14:textFill>
                  <w14:solidFill>
                    <w14:schemeClr w14:val="tx1"/>
                  </w14:solidFill>
                </w14:textFill>
              </w:rPr>
              <w:t>将保函扫描件递交吉林省世博项目管理有限公司Shibo23456@sina.com邮箱，以便核实，否则后果自负；</w:t>
            </w:r>
          </w:p>
          <w:p w14:paraId="216EEAA6">
            <w:pPr>
              <w:keepLines/>
              <w:pageBreakBefore w:val="0"/>
              <w:widowControl/>
              <w:kinsoku/>
              <w:autoSpaceDE w:val="0"/>
              <w:autoSpaceDN w:val="0"/>
              <w:bidi w:val="0"/>
              <w:adjustRightInd w:val="0"/>
              <w:spacing w:line="360" w:lineRule="auto"/>
              <w:jc w:val="both"/>
              <w:rPr>
                <w:rFonts w:ascii="宋体" w:hAnsi="宋体" w:cs="宋体"/>
                <w:sz w:val="24"/>
                <w:szCs w:val="24"/>
              </w:rPr>
            </w:pPr>
            <w:r>
              <w:rPr>
                <w:rFonts w:hint="eastAsia" w:ascii="宋体" w:hAnsi="宋体" w:eastAsia="宋体" w:cs="宋体"/>
                <w:b w:val="0"/>
                <w:bCs/>
                <w:caps w:val="0"/>
                <w:color w:val="000000" w:themeColor="text1"/>
                <w:kern w:val="2"/>
                <w:sz w:val="24"/>
                <w:szCs w:val="24"/>
                <w:highlight w:val="none"/>
                <w:lang w:val="zh-CN" w:eastAsia="zh-CN"/>
                <w14:textFill>
                  <w14:solidFill>
                    <w14:schemeClr w14:val="tx1"/>
                  </w14:solidFill>
                </w14:textFill>
              </w:rPr>
              <w:t>3、投标人应在汇款时认真核对收款单位、开户行名称、账号准确无误，确保保证金按时到账，否则后果自负。</w:t>
            </w:r>
          </w:p>
        </w:tc>
      </w:tr>
      <w:tr w14:paraId="4882E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713" w:type="dxa"/>
            <w:vAlign w:val="center"/>
          </w:tcPr>
          <w:p w14:paraId="1F9F0592">
            <w:pPr>
              <w:spacing w:line="360" w:lineRule="auto"/>
              <w:jc w:val="center"/>
              <w:rPr>
                <w:rFonts w:hint="default" w:ascii="宋体" w:hAnsi="宋体" w:cs="宋体"/>
                <w:sz w:val="24"/>
                <w:szCs w:val="24"/>
                <w:lang w:val="en-US" w:eastAsia="zh-CN"/>
              </w:rPr>
            </w:pPr>
            <w:r>
              <w:rPr>
                <w:rFonts w:hint="eastAsia" w:ascii="宋体" w:hAnsi="宋体" w:cs="宋体"/>
                <w:sz w:val="24"/>
                <w:szCs w:val="24"/>
                <w:lang w:val="en-US" w:eastAsia="zh-CN"/>
              </w:rPr>
              <w:t>14</w:t>
            </w:r>
          </w:p>
        </w:tc>
        <w:tc>
          <w:tcPr>
            <w:tcW w:w="1807" w:type="dxa"/>
            <w:vAlign w:val="center"/>
          </w:tcPr>
          <w:p w14:paraId="21BA35A5">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eastAsia" w:ascii="宋体" w:hAnsi="宋体" w:eastAsia="宋体" w:cs="宋体"/>
                <w:bCs/>
                <w:color w:val="auto"/>
                <w:sz w:val="24"/>
                <w:szCs w:val="24"/>
                <w:highlight w:val="none"/>
                <w:lang w:val="zh-CN" w:eastAsia="zh-CN"/>
              </w:rPr>
            </w:pPr>
            <w:r>
              <w:rPr>
                <w:rFonts w:hint="eastAsia" w:ascii="宋体" w:hAnsi="宋体" w:cs="宋体"/>
                <w:color w:val="auto"/>
                <w:kern w:val="15"/>
                <w:sz w:val="24"/>
                <w:szCs w:val="24"/>
                <w:lang w:eastAsia="zh-CN"/>
              </w:rPr>
              <w:t>响应</w:t>
            </w:r>
            <w:r>
              <w:rPr>
                <w:rFonts w:hint="eastAsia" w:ascii="宋体" w:hAnsi="宋体" w:eastAsia="宋体" w:cs="宋体"/>
                <w:color w:val="auto"/>
                <w:kern w:val="15"/>
                <w:sz w:val="24"/>
                <w:szCs w:val="24"/>
              </w:rPr>
              <w:t>人提出问题</w:t>
            </w:r>
            <w:r>
              <w:rPr>
                <w:rFonts w:hint="eastAsia" w:ascii="宋体" w:hAnsi="宋体" w:cs="宋体"/>
                <w:color w:val="auto"/>
                <w:kern w:val="15"/>
                <w:sz w:val="24"/>
                <w:szCs w:val="24"/>
                <w:lang w:eastAsia="zh-CN"/>
              </w:rPr>
              <w:t>的截止时间</w:t>
            </w:r>
          </w:p>
        </w:tc>
        <w:tc>
          <w:tcPr>
            <w:tcW w:w="6927" w:type="dxa"/>
            <w:vAlign w:val="center"/>
          </w:tcPr>
          <w:p w14:paraId="432EDA72">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15"/>
                <w:sz w:val="24"/>
                <w:szCs w:val="24"/>
              </w:rPr>
            </w:pPr>
            <w:r>
              <w:rPr>
                <w:rFonts w:hint="eastAsia" w:ascii="宋体" w:hAnsi="宋体" w:eastAsia="宋体" w:cs="宋体"/>
                <w:color w:val="auto"/>
                <w:kern w:val="15"/>
                <w:sz w:val="24"/>
                <w:szCs w:val="24"/>
                <w:lang w:eastAsia="zh-CN"/>
              </w:rPr>
              <w:t>提交首次响应文件</w:t>
            </w:r>
            <w:r>
              <w:rPr>
                <w:rFonts w:hint="eastAsia" w:ascii="宋体" w:hAnsi="宋体" w:eastAsia="宋体" w:cs="宋体"/>
                <w:color w:val="auto"/>
                <w:kern w:val="15"/>
                <w:sz w:val="24"/>
                <w:szCs w:val="24"/>
              </w:rPr>
              <w:t>截止时间</w:t>
            </w:r>
            <w:r>
              <w:rPr>
                <w:rFonts w:hint="eastAsia" w:ascii="宋体" w:hAnsi="宋体" w:eastAsia="宋体" w:cs="宋体"/>
                <w:color w:val="auto"/>
                <w:kern w:val="15"/>
                <w:sz w:val="24"/>
                <w:szCs w:val="24"/>
                <w:lang w:val="en-US" w:eastAsia="zh-CN"/>
              </w:rPr>
              <w:t>3个工作日</w:t>
            </w:r>
            <w:r>
              <w:rPr>
                <w:rFonts w:hint="eastAsia" w:ascii="宋体" w:hAnsi="宋体" w:eastAsia="宋体" w:cs="宋体"/>
                <w:color w:val="auto"/>
                <w:kern w:val="15"/>
                <w:sz w:val="24"/>
                <w:szCs w:val="24"/>
              </w:rPr>
              <w:t>前</w:t>
            </w:r>
          </w:p>
          <w:p w14:paraId="3B69EFB4">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15"/>
                <w:sz w:val="24"/>
                <w:szCs w:val="24"/>
                <w:lang w:eastAsia="zh-CN"/>
              </w:rPr>
            </w:pPr>
            <w:r>
              <w:rPr>
                <w:rFonts w:hint="eastAsia" w:ascii="宋体" w:hAnsi="宋体" w:eastAsia="宋体" w:cs="宋体"/>
                <w:color w:val="auto"/>
                <w:kern w:val="15"/>
                <w:sz w:val="24"/>
                <w:szCs w:val="24"/>
              </w:rPr>
              <w:t>提问方式：在“政采云”平台-项目采购-询问质疑投诉</w:t>
            </w:r>
            <w:r>
              <w:rPr>
                <w:rFonts w:hint="eastAsia" w:ascii="宋体" w:hAnsi="宋体" w:eastAsia="宋体" w:cs="宋体"/>
                <w:color w:val="auto"/>
                <w:kern w:val="15"/>
                <w:sz w:val="24"/>
                <w:szCs w:val="24"/>
                <w:lang w:val="en-US" w:eastAsia="zh-CN"/>
              </w:rPr>
              <w:t>栏提问</w:t>
            </w:r>
            <w:r>
              <w:rPr>
                <w:rFonts w:hint="eastAsia" w:ascii="宋体" w:hAnsi="宋体" w:eastAsia="宋体" w:cs="宋体"/>
                <w:color w:val="auto"/>
                <w:kern w:val="15"/>
                <w:sz w:val="24"/>
                <w:szCs w:val="24"/>
              </w:rPr>
              <w:t>，并以书面形式递交</w:t>
            </w:r>
            <w:r>
              <w:rPr>
                <w:rFonts w:hint="eastAsia" w:ascii="宋体" w:hAnsi="宋体" w:eastAsia="宋体" w:cs="宋体"/>
                <w:color w:val="auto"/>
                <w:kern w:val="15"/>
                <w:sz w:val="24"/>
                <w:szCs w:val="24"/>
                <w:lang w:val="en-US" w:eastAsia="zh-CN"/>
              </w:rPr>
              <w:t>至</w:t>
            </w:r>
            <w:r>
              <w:rPr>
                <w:rFonts w:hint="eastAsia" w:ascii="宋体" w:hAnsi="宋体" w:eastAsia="宋体" w:cs="宋体"/>
                <w:color w:val="auto"/>
                <w:kern w:val="15"/>
                <w:sz w:val="24"/>
                <w:szCs w:val="24"/>
              </w:rPr>
              <w:t>采购代理机构。</w:t>
            </w:r>
          </w:p>
        </w:tc>
      </w:tr>
      <w:tr w14:paraId="2A5E0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713" w:type="dxa"/>
            <w:vAlign w:val="center"/>
          </w:tcPr>
          <w:p w14:paraId="2E57230E">
            <w:pPr>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15</w:t>
            </w:r>
          </w:p>
        </w:tc>
        <w:tc>
          <w:tcPr>
            <w:tcW w:w="1807" w:type="dxa"/>
            <w:vAlign w:val="center"/>
          </w:tcPr>
          <w:p w14:paraId="69B37DFB">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eastAsia" w:ascii="宋体" w:hAnsi="宋体" w:cs="宋体"/>
                <w:sz w:val="24"/>
                <w:szCs w:val="24"/>
              </w:rPr>
            </w:pPr>
            <w:r>
              <w:rPr>
                <w:rFonts w:hint="eastAsia" w:ascii="宋体" w:hAnsi="宋体" w:cs="宋体"/>
                <w:bCs/>
                <w:color w:val="auto"/>
                <w:sz w:val="24"/>
                <w:szCs w:val="24"/>
                <w:highlight w:val="none"/>
                <w:lang w:val="zh-CN"/>
              </w:rPr>
              <w:t>谈判文件</w:t>
            </w:r>
            <w:r>
              <w:rPr>
                <w:rFonts w:hint="eastAsia" w:ascii="宋体" w:hAnsi="宋体" w:cs="宋体"/>
                <w:bCs/>
                <w:color w:val="auto"/>
                <w:sz w:val="24"/>
                <w:szCs w:val="24"/>
                <w:highlight w:val="none"/>
              </w:rPr>
              <w:t>澄清或者修改</w:t>
            </w:r>
            <w:r>
              <w:rPr>
                <w:rFonts w:hint="eastAsia" w:ascii="宋体" w:hAnsi="宋体" w:cs="宋体"/>
                <w:bCs/>
                <w:color w:val="auto"/>
                <w:sz w:val="24"/>
                <w:szCs w:val="24"/>
                <w:highlight w:val="none"/>
                <w:lang w:val="zh-CN"/>
              </w:rPr>
              <w:t>的时间</w:t>
            </w:r>
          </w:p>
        </w:tc>
        <w:tc>
          <w:tcPr>
            <w:tcW w:w="6927" w:type="dxa"/>
            <w:vAlign w:val="center"/>
          </w:tcPr>
          <w:p w14:paraId="533AD93B">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宋体" w:hAnsi="宋体" w:cs="宋体"/>
                <w:sz w:val="24"/>
                <w:szCs w:val="24"/>
              </w:rPr>
            </w:pPr>
            <w:r>
              <w:rPr>
                <w:rFonts w:hint="eastAsia" w:ascii="宋体" w:hAnsi="宋体" w:eastAsia="宋体" w:cs="宋体"/>
                <w:color w:val="auto"/>
                <w:kern w:val="15"/>
                <w:sz w:val="24"/>
                <w:szCs w:val="24"/>
                <w:lang w:eastAsia="zh-CN"/>
              </w:rPr>
              <w:t>提交首次响应文件</w:t>
            </w:r>
            <w:r>
              <w:rPr>
                <w:rFonts w:hint="eastAsia" w:ascii="宋体" w:hAnsi="宋体" w:eastAsia="宋体" w:cs="宋体"/>
                <w:color w:val="auto"/>
                <w:kern w:val="15"/>
                <w:sz w:val="24"/>
                <w:szCs w:val="24"/>
              </w:rPr>
              <w:t>截止时间</w:t>
            </w:r>
            <w:r>
              <w:rPr>
                <w:rFonts w:hint="eastAsia" w:ascii="宋体" w:hAnsi="宋体" w:eastAsia="宋体" w:cs="宋体"/>
                <w:color w:val="auto"/>
                <w:kern w:val="15"/>
                <w:sz w:val="24"/>
                <w:szCs w:val="24"/>
                <w:lang w:val="en-US" w:eastAsia="zh-CN"/>
              </w:rPr>
              <w:t>3个工作日</w:t>
            </w:r>
            <w:r>
              <w:rPr>
                <w:rFonts w:hint="eastAsia" w:ascii="宋体" w:hAnsi="宋体" w:eastAsia="宋体" w:cs="宋体"/>
                <w:color w:val="auto"/>
                <w:kern w:val="15"/>
                <w:sz w:val="24"/>
                <w:szCs w:val="24"/>
              </w:rPr>
              <w:t>前，</w:t>
            </w:r>
            <w:r>
              <w:rPr>
                <w:rFonts w:hint="eastAsia" w:ascii="宋体" w:hAnsi="宋体" w:cs="宋体"/>
                <w:bCs/>
                <w:color w:val="auto"/>
                <w:sz w:val="24"/>
                <w:szCs w:val="24"/>
                <w:highlight w:val="none"/>
                <w:lang w:val="zh-CN"/>
              </w:rPr>
              <w:t>谈判</w:t>
            </w:r>
            <w:r>
              <w:rPr>
                <w:rFonts w:hint="eastAsia" w:ascii="宋体" w:hAnsi="宋体" w:eastAsia="宋体" w:cs="宋体"/>
                <w:color w:val="auto"/>
                <w:kern w:val="15"/>
                <w:sz w:val="24"/>
                <w:szCs w:val="24"/>
              </w:rPr>
              <w:t>文件的澄清或者修改将在</w:t>
            </w:r>
            <w:r>
              <w:rPr>
                <w:rFonts w:hint="eastAsia" w:ascii="宋体" w:hAnsi="宋体" w:eastAsia="宋体" w:cs="宋体"/>
                <w:color w:val="auto"/>
                <w:kern w:val="15"/>
                <w:sz w:val="24"/>
                <w:szCs w:val="24"/>
                <w:lang w:eastAsia="zh-CN"/>
              </w:rPr>
              <w:t>“政采云”平台（https://www.zcygov.cn/）</w:t>
            </w:r>
            <w:r>
              <w:rPr>
                <w:rFonts w:hint="eastAsia" w:ascii="宋体" w:hAnsi="宋体" w:eastAsia="宋体" w:cs="宋体"/>
                <w:color w:val="auto"/>
                <w:kern w:val="15"/>
                <w:sz w:val="24"/>
                <w:szCs w:val="24"/>
              </w:rPr>
              <w:t>上发布，所有报名并下载</w:t>
            </w:r>
            <w:r>
              <w:rPr>
                <w:rFonts w:hint="eastAsia" w:ascii="宋体" w:hAnsi="宋体" w:cs="宋体"/>
                <w:color w:val="auto"/>
                <w:kern w:val="15"/>
                <w:sz w:val="24"/>
                <w:szCs w:val="24"/>
                <w:lang w:eastAsia="zh-CN"/>
              </w:rPr>
              <w:t>谈判</w:t>
            </w:r>
            <w:r>
              <w:rPr>
                <w:rFonts w:hint="eastAsia" w:ascii="宋体" w:hAnsi="宋体" w:eastAsia="宋体" w:cs="宋体"/>
                <w:color w:val="auto"/>
                <w:kern w:val="15"/>
                <w:sz w:val="24"/>
                <w:szCs w:val="24"/>
              </w:rPr>
              <w:t>文件的</w:t>
            </w:r>
            <w:r>
              <w:rPr>
                <w:rFonts w:hint="eastAsia" w:ascii="宋体" w:hAnsi="宋体" w:cs="宋体"/>
                <w:color w:val="auto"/>
                <w:kern w:val="15"/>
                <w:sz w:val="24"/>
                <w:szCs w:val="24"/>
                <w:lang w:eastAsia="zh-CN"/>
              </w:rPr>
              <w:t>供应商</w:t>
            </w:r>
            <w:r>
              <w:rPr>
                <w:rFonts w:hint="eastAsia" w:ascii="宋体" w:hAnsi="宋体" w:eastAsia="宋体" w:cs="宋体"/>
                <w:color w:val="auto"/>
                <w:kern w:val="15"/>
                <w:sz w:val="24"/>
                <w:szCs w:val="24"/>
              </w:rPr>
              <w:t>自行网上查询，否则后果自负。</w:t>
            </w:r>
          </w:p>
        </w:tc>
      </w:tr>
      <w:tr w14:paraId="39E03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713" w:type="dxa"/>
            <w:vAlign w:val="center"/>
          </w:tcPr>
          <w:p w14:paraId="2667D908">
            <w:pPr>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16</w:t>
            </w:r>
          </w:p>
        </w:tc>
        <w:tc>
          <w:tcPr>
            <w:tcW w:w="1807" w:type="dxa"/>
            <w:vAlign w:val="center"/>
          </w:tcPr>
          <w:p w14:paraId="371CAA63">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eastAsia" w:ascii="宋体" w:hAnsi="宋体" w:eastAsia="宋体" w:cs="宋体"/>
                <w:color w:val="auto"/>
                <w:kern w:val="15"/>
                <w:sz w:val="24"/>
                <w:szCs w:val="24"/>
              </w:rPr>
            </w:pPr>
            <w:r>
              <w:rPr>
                <w:rFonts w:hint="eastAsia" w:ascii="宋体" w:hAnsi="宋体" w:cs="宋体"/>
                <w:color w:val="auto"/>
                <w:kern w:val="15"/>
                <w:sz w:val="24"/>
                <w:szCs w:val="24"/>
                <w:lang w:eastAsia="zh-CN"/>
              </w:rPr>
              <w:t>响应</w:t>
            </w:r>
            <w:r>
              <w:rPr>
                <w:rFonts w:hint="eastAsia" w:ascii="宋体" w:hAnsi="宋体" w:eastAsia="宋体" w:cs="宋体"/>
                <w:color w:val="auto"/>
                <w:kern w:val="15"/>
                <w:sz w:val="24"/>
                <w:szCs w:val="24"/>
              </w:rPr>
              <w:t>人提出质疑的方式和截止时间</w:t>
            </w:r>
          </w:p>
        </w:tc>
        <w:tc>
          <w:tcPr>
            <w:tcW w:w="6927" w:type="dxa"/>
            <w:vAlign w:val="center"/>
          </w:tcPr>
          <w:p w14:paraId="7A607D0E">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15"/>
                <w:sz w:val="24"/>
                <w:szCs w:val="24"/>
                <w:lang w:eastAsia="zh-CN"/>
              </w:rPr>
            </w:pPr>
            <w:r>
              <w:rPr>
                <w:rFonts w:hint="eastAsia" w:ascii="宋体" w:hAnsi="宋体" w:eastAsia="宋体" w:cs="宋体"/>
                <w:color w:val="auto"/>
                <w:kern w:val="15"/>
                <w:sz w:val="24"/>
                <w:szCs w:val="24"/>
              </w:rPr>
              <w:t>截止时间：</w:t>
            </w:r>
            <w:r>
              <w:rPr>
                <w:rFonts w:hint="eastAsia" w:ascii="宋体" w:hAnsi="宋体" w:eastAsia="宋体" w:cs="宋体"/>
                <w:color w:val="auto"/>
                <w:kern w:val="15"/>
                <w:sz w:val="24"/>
                <w:szCs w:val="24"/>
                <w:lang w:val="en-US" w:eastAsia="zh-CN"/>
              </w:rPr>
              <w:t>供应商</w:t>
            </w:r>
            <w:r>
              <w:rPr>
                <w:rFonts w:hint="eastAsia" w:ascii="宋体" w:hAnsi="宋体" w:eastAsia="宋体" w:cs="宋体"/>
                <w:color w:val="auto"/>
                <w:kern w:val="15"/>
                <w:sz w:val="24"/>
                <w:szCs w:val="24"/>
              </w:rPr>
              <w:t>可以在知道或者应知其权益受到损害之日起七个工作日内</w:t>
            </w:r>
            <w:r>
              <w:rPr>
                <w:rFonts w:hint="eastAsia" w:ascii="宋体" w:hAnsi="宋体" w:eastAsia="宋体" w:cs="宋体"/>
                <w:color w:val="auto"/>
                <w:kern w:val="15"/>
                <w:sz w:val="24"/>
                <w:szCs w:val="24"/>
                <w:lang w:eastAsia="zh-CN"/>
              </w:rPr>
              <w:t>。</w:t>
            </w:r>
          </w:p>
          <w:p w14:paraId="4E3FCA4D">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15"/>
                <w:sz w:val="24"/>
                <w:szCs w:val="24"/>
              </w:rPr>
            </w:pPr>
            <w:r>
              <w:rPr>
                <w:rFonts w:hint="eastAsia" w:ascii="宋体" w:hAnsi="宋体" w:eastAsia="宋体" w:cs="宋体"/>
                <w:color w:val="auto"/>
                <w:kern w:val="15"/>
                <w:sz w:val="24"/>
                <w:szCs w:val="24"/>
              </w:rPr>
              <w:t>提问方式：在“政采云”平台-项目采购-询问质疑投诉</w:t>
            </w:r>
            <w:r>
              <w:rPr>
                <w:rFonts w:hint="eastAsia" w:ascii="宋体" w:hAnsi="宋体" w:eastAsia="宋体" w:cs="宋体"/>
                <w:color w:val="auto"/>
                <w:kern w:val="15"/>
                <w:sz w:val="24"/>
                <w:szCs w:val="24"/>
                <w:lang w:val="en-US" w:eastAsia="zh-CN"/>
              </w:rPr>
              <w:t>栏提问</w:t>
            </w:r>
            <w:r>
              <w:rPr>
                <w:rFonts w:hint="eastAsia" w:ascii="宋体" w:hAnsi="宋体" w:eastAsia="宋体" w:cs="宋体"/>
                <w:color w:val="auto"/>
                <w:kern w:val="15"/>
                <w:sz w:val="24"/>
                <w:szCs w:val="24"/>
              </w:rPr>
              <w:t>，并以书面形式递交</w:t>
            </w:r>
            <w:r>
              <w:rPr>
                <w:rFonts w:hint="eastAsia" w:ascii="宋体" w:hAnsi="宋体" w:eastAsia="宋体" w:cs="宋体"/>
                <w:color w:val="auto"/>
                <w:kern w:val="15"/>
                <w:sz w:val="24"/>
                <w:szCs w:val="24"/>
                <w:lang w:val="en-US" w:eastAsia="zh-CN"/>
              </w:rPr>
              <w:t>至</w:t>
            </w:r>
            <w:r>
              <w:rPr>
                <w:rFonts w:hint="eastAsia" w:ascii="宋体" w:hAnsi="宋体" w:eastAsia="宋体" w:cs="宋体"/>
                <w:color w:val="auto"/>
                <w:kern w:val="15"/>
                <w:sz w:val="24"/>
                <w:szCs w:val="24"/>
              </w:rPr>
              <w:t>采购代理机构。</w:t>
            </w:r>
          </w:p>
          <w:p w14:paraId="5EA6C5B9">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15"/>
                <w:sz w:val="24"/>
                <w:szCs w:val="24"/>
              </w:rPr>
            </w:pPr>
            <w:r>
              <w:rPr>
                <w:rFonts w:hint="eastAsia" w:ascii="宋体" w:hAnsi="宋体" w:eastAsia="宋体" w:cs="宋体"/>
                <w:color w:val="auto"/>
                <w:kern w:val="15"/>
                <w:sz w:val="24"/>
                <w:szCs w:val="24"/>
              </w:rPr>
              <w:t>提出质疑方式：1、</w:t>
            </w:r>
            <w:r>
              <w:rPr>
                <w:rFonts w:hint="eastAsia" w:ascii="宋体" w:hAnsi="宋体" w:cs="宋体"/>
                <w:color w:val="auto"/>
                <w:kern w:val="15"/>
                <w:sz w:val="24"/>
                <w:szCs w:val="24"/>
                <w:lang w:eastAsia="zh-CN"/>
              </w:rPr>
              <w:t>响应</w:t>
            </w:r>
            <w:r>
              <w:rPr>
                <w:rFonts w:hint="eastAsia" w:ascii="宋体" w:hAnsi="宋体" w:eastAsia="宋体" w:cs="宋体"/>
                <w:color w:val="auto"/>
                <w:kern w:val="15"/>
                <w:sz w:val="24"/>
                <w:szCs w:val="24"/>
              </w:rPr>
              <w:t>人认为</w:t>
            </w:r>
            <w:r>
              <w:rPr>
                <w:rFonts w:hint="eastAsia" w:ascii="宋体" w:hAnsi="宋体" w:cs="宋体"/>
                <w:color w:val="auto"/>
                <w:kern w:val="15"/>
                <w:sz w:val="24"/>
                <w:szCs w:val="24"/>
                <w:lang w:eastAsia="zh-CN"/>
              </w:rPr>
              <w:t>谈判</w:t>
            </w:r>
            <w:r>
              <w:rPr>
                <w:rFonts w:hint="eastAsia" w:ascii="宋体" w:hAnsi="宋体" w:eastAsia="宋体" w:cs="宋体"/>
                <w:color w:val="auto"/>
                <w:kern w:val="15"/>
                <w:sz w:val="24"/>
                <w:szCs w:val="24"/>
              </w:rPr>
              <w:t>文件、</w:t>
            </w:r>
            <w:r>
              <w:rPr>
                <w:rFonts w:hint="eastAsia" w:ascii="宋体" w:hAnsi="宋体" w:cs="宋体"/>
                <w:color w:val="auto"/>
                <w:kern w:val="15"/>
                <w:sz w:val="24"/>
                <w:szCs w:val="24"/>
                <w:lang w:eastAsia="zh-CN"/>
              </w:rPr>
              <w:t>谈判</w:t>
            </w:r>
            <w:r>
              <w:rPr>
                <w:rFonts w:hint="eastAsia" w:ascii="宋体" w:hAnsi="宋体" w:eastAsia="宋体" w:cs="宋体"/>
                <w:color w:val="auto"/>
                <w:kern w:val="15"/>
                <w:sz w:val="24"/>
                <w:szCs w:val="24"/>
              </w:rPr>
              <w:t>过程和中标结果使自己的权益受到损害的，可以在知道或者应知其权益受到损害之日起七个工作日内，以“政采云”平台提问的形式向采购人或采购代理机构提出质疑，并在法定质疑期内一次性提出针对同一采购程序环节的质疑，同时将书面质疑送至采购人或采购代理机构。网站质疑和书面质疑均应在质疑期内送至采购人或采购代理机构，否则采购人或采购代理机构视其质疑为无效。</w:t>
            </w:r>
          </w:p>
          <w:p w14:paraId="224FDF71">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15"/>
                <w:sz w:val="24"/>
                <w:szCs w:val="24"/>
              </w:rPr>
            </w:pPr>
            <w:r>
              <w:rPr>
                <w:rFonts w:hint="eastAsia" w:ascii="宋体" w:hAnsi="宋体" w:eastAsia="宋体" w:cs="宋体"/>
                <w:color w:val="auto"/>
                <w:kern w:val="15"/>
                <w:sz w:val="24"/>
                <w:szCs w:val="24"/>
              </w:rPr>
              <w:t>2、对采购代理机构提出质疑的，若质疑内容超出</w:t>
            </w:r>
            <w:r>
              <w:rPr>
                <w:rFonts w:hint="eastAsia" w:ascii="宋体" w:hAnsi="宋体" w:cs="宋体"/>
                <w:color w:val="auto"/>
                <w:kern w:val="15"/>
                <w:sz w:val="24"/>
                <w:szCs w:val="24"/>
                <w:lang w:eastAsia="zh-CN"/>
              </w:rPr>
              <w:t>采购</w:t>
            </w:r>
            <w:r>
              <w:rPr>
                <w:rFonts w:hint="eastAsia" w:ascii="宋体" w:hAnsi="宋体" w:eastAsia="宋体" w:cs="宋体"/>
                <w:color w:val="auto"/>
                <w:kern w:val="15"/>
                <w:sz w:val="24"/>
                <w:szCs w:val="24"/>
              </w:rPr>
              <w:t>代理范围的，应明确告知质疑</w:t>
            </w:r>
            <w:r>
              <w:rPr>
                <w:rFonts w:hint="eastAsia" w:ascii="宋体" w:hAnsi="宋体" w:cs="宋体"/>
                <w:color w:val="auto"/>
                <w:kern w:val="15"/>
                <w:sz w:val="24"/>
                <w:szCs w:val="24"/>
                <w:lang w:eastAsia="zh-CN"/>
              </w:rPr>
              <w:t>供应商</w:t>
            </w:r>
            <w:r>
              <w:rPr>
                <w:rFonts w:hint="eastAsia" w:ascii="宋体" w:hAnsi="宋体" w:eastAsia="宋体" w:cs="宋体"/>
                <w:color w:val="auto"/>
                <w:kern w:val="15"/>
                <w:sz w:val="24"/>
                <w:szCs w:val="24"/>
              </w:rPr>
              <w:t>向采购人提出质疑或协调采购人答复质疑</w:t>
            </w:r>
            <w:r>
              <w:rPr>
                <w:rFonts w:hint="eastAsia" w:ascii="宋体" w:hAnsi="宋体" w:cs="宋体"/>
                <w:color w:val="auto"/>
                <w:kern w:val="15"/>
                <w:sz w:val="24"/>
                <w:szCs w:val="24"/>
                <w:lang w:eastAsia="zh-CN"/>
              </w:rPr>
              <w:t>供应商</w:t>
            </w:r>
            <w:r>
              <w:rPr>
                <w:rFonts w:hint="eastAsia" w:ascii="宋体" w:hAnsi="宋体" w:eastAsia="宋体" w:cs="宋体"/>
                <w:color w:val="auto"/>
                <w:kern w:val="15"/>
                <w:sz w:val="24"/>
                <w:szCs w:val="24"/>
              </w:rPr>
              <w:t>。</w:t>
            </w:r>
          </w:p>
          <w:p w14:paraId="1555BC08">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auto"/>
                <w:kern w:val="15"/>
                <w:sz w:val="24"/>
                <w:szCs w:val="24"/>
              </w:rPr>
            </w:pPr>
            <w:r>
              <w:rPr>
                <w:rFonts w:hint="eastAsia" w:ascii="宋体" w:hAnsi="宋体" w:eastAsia="宋体" w:cs="宋体"/>
                <w:color w:val="auto"/>
                <w:kern w:val="15"/>
                <w:sz w:val="24"/>
                <w:szCs w:val="24"/>
              </w:rPr>
              <w:t>3、质疑应当有明确的请求和必要的证明材料。否则采购人或采购代理机构有权拒绝。</w:t>
            </w:r>
          </w:p>
        </w:tc>
      </w:tr>
      <w:tr w14:paraId="00D71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713" w:type="dxa"/>
            <w:vAlign w:val="center"/>
          </w:tcPr>
          <w:p w14:paraId="56317619">
            <w:pPr>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17</w:t>
            </w:r>
          </w:p>
        </w:tc>
        <w:tc>
          <w:tcPr>
            <w:tcW w:w="1807" w:type="dxa"/>
            <w:vAlign w:val="center"/>
          </w:tcPr>
          <w:p w14:paraId="434DE964">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eastAsia" w:ascii="宋体" w:hAnsi="宋体" w:cs="宋体"/>
                <w:sz w:val="24"/>
                <w:szCs w:val="24"/>
              </w:rPr>
            </w:pPr>
            <w:r>
              <w:rPr>
                <w:rFonts w:hint="eastAsia" w:ascii="宋体" w:hAnsi="宋体" w:eastAsia="宋体" w:cs="宋体"/>
                <w:bCs/>
                <w:color w:val="auto"/>
                <w:sz w:val="24"/>
                <w:szCs w:val="24"/>
                <w:highlight w:val="none"/>
                <w:lang w:val="zh-CN"/>
              </w:rPr>
              <w:t>提交响应文件截止时间</w:t>
            </w:r>
          </w:p>
        </w:tc>
        <w:tc>
          <w:tcPr>
            <w:tcW w:w="6927" w:type="dxa"/>
            <w:vAlign w:val="center"/>
          </w:tcPr>
          <w:p w14:paraId="12915D96">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宋体"/>
                <w:bCs/>
                <w:color w:val="auto"/>
                <w:sz w:val="24"/>
                <w:szCs w:val="24"/>
                <w:highlight w:val="none"/>
                <w:lang w:val="zh-CN" w:eastAsia="zh-CN"/>
              </w:rPr>
            </w:pPr>
            <w:r>
              <w:rPr>
                <w:rFonts w:hint="eastAsia" w:ascii="宋体" w:hAnsi="宋体" w:eastAsia="宋体" w:cs="宋体"/>
                <w:i w:val="0"/>
                <w:iCs w:val="0"/>
                <w:sz w:val="24"/>
                <w:szCs w:val="24"/>
                <w:highlight w:val="none"/>
                <w:lang w:val="en-US" w:eastAsia="zh-CN"/>
              </w:rPr>
              <w:t>2025年</w:t>
            </w:r>
            <w:r>
              <w:rPr>
                <w:rFonts w:hint="eastAsia" w:ascii="宋体" w:hAnsi="宋体" w:cs="宋体"/>
                <w:i w:val="0"/>
                <w:iCs w:val="0"/>
                <w:sz w:val="24"/>
                <w:szCs w:val="24"/>
                <w:highlight w:val="none"/>
                <w:lang w:val="en-US" w:eastAsia="zh-CN"/>
              </w:rPr>
              <w:t>06</w:t>
            </w:r>
            <w:r>
              <w:rPr>
                <w:rFonts w:hint="eastAsia" w:ascii="宋体" w:hAnsi="宋体" w:eastAsia="宋体" w:cs="宋体"/>
                <w:i w:val="0"/>
                <w:iCs w:val="0"/>
                <w:sz w:val="24"/>
                <w:szCs w:val="24"/>
                <w:highlight w:val="none"/>
                <w:lang w:val="en-US" w:eastAsia="zh-CN"/>
              </w:rPr>
              <w:t>月</w:t>
            </w:r>
            <w:r>
              <w:rPr>
                <w:rFonts w:hint="eastAsia" w:ascii="宋体" w:hAnsi="宋体" w:cs="宋体"/>
                <w:i w:val="0"/>
                <w:iCs w:val="0"/>
                <w:sz w:val="24"/>
                <w:szCs w:val="24"/>
                <w:highlight w:val="none"/>
                <w:lang w:val="en-US" w:eastAsia="zh-CN"/>
              </w:rPr>
              <w:t>26</w:t>
            </w:r>
            <w:r>
              <w:rPr>
                <w:rFonts w:hint="eastAsia" w:ascii="宋体" w:hAnsi="宋体" w:eastAsia="宋体" w:cs="宋体"/>
                <w:i w:val="0"/>
                <w:iCs w:val="0"/>
                <w:sz w:val="24"/>
                <w:szCs w:val="24"/>
                <w:highlight w:val="none"/>
                <w:lang w:val="en-US" w:eastAsia="zh-CN"/>
              </w:rPr>
              <w:t>日</w:t>
            </w:r>
            <w:r>
              <w:rPr>
                <w:rFonts w:hint="eastAsia" w:ascii="宋体" w:hAnsi="宋体" w:cs="宋体"/>
                <w:i w:val="0"/>
                <w:iCs w:val="0"/>
                <w:sz w:val="24"/>
                <w:szCs w:val="24"/>
                <w:highlight w:val="none"/>
                <w:lang w:val="en-US" w:eastAsia="zh-CN"/>
              </w:rPr>
              <w:t>16</w:t>
            </w:r>
            <w:r>
              <w:rPr>
                <w:rFonts w:hint="eastAsia" w:ascii="宋体" w:hAnsi="宋体" w:eastAsia="宋体" w:cs="宋体"/>
                <w:i w:val="0"/>
                <w:iCs w:val="0"/>
                <w:sz w:val="24"/>
                <w:szCs w:val="24"/>
                <w:highlight w:val="none"/>
                <w:lang w:val="en-US" w:eastAsia="zh-CN"/>
              </w:rPr>
              <w:t>时</w:t>
            </w:r>
            <w:r>
              <w:rPr>
                <w:rFonts w:hint="eastAsia" w:ascii="宋体" w:hAnsi="宋体" w:cs="宋体"/>
                <w:i w:val="0"/>
                <w:iCs w:val="0"/>
                <w:sz w:val="24"/>
                <w:szCs w:val="24"/>
                <w:highlight w:val="none"/>
                <w:lang w:val="en-US" w:eastAsia="zh-CN"/>
              </w:rPr>
              <w:t>00</w:t>
            </w:r>
            <w:r>
              <w:rPr>
                <w:rFonts w:hint="eastAsia" w:ascii="宋体" w:hAnsi="宋体" w:eastAsia="宋体" w:cs="宋体"/>
                <w:i w:val="0"/>
                <w:iCs w:val="0"/>
                <w:sz w:val="24"/>
                <w:szCs w:val="24"/>
                <w:highlight w:val="none"/>
                <w:lang w:val="en-US" w:eastAsia="zh-CN"/>
              </w:rPr>
              <w:t>分</w:t>
            </w:r>
            <w:r>
              <w:rPr>
                <w:rFonts w:hint="eastAsia" w:ascii="宋体" w:hAnsi="宋体" w:eastAsia="宋体" w:cs="宋体"/>
                <w:bCs/>
                <w:color w:val="auto"/>
                <w:sz w:val="24"/>
                <w:szCs w:val="24"/>
                <w:highlight w:val="none"/>
                <w:lang w:val="zh-CN" w:eastAsia="zh-CN"/>
              </w:rPr>
              <w:t>。</w:t>
            </w:r>
          </w:p>
          <w:p w14:paraId="7E01699D">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ascii="宋体" w:hAnsi="宋体" w:cs="宋体"/>
                <w:sz w:val="24"/>
                <w:szCs w:val="24"/>
              </w:rPr>
            </w:pPr>
            <w:r>
              <w:rPr>
                <w:rFonts w:hint="eastAsia" w:ascii="宋体" w:hAnsi="宋体" w:eastAsia="宋体" w:cs="宋体"/>
                <w:bCs/>
                <w:color w:val="auto"/>
                <w:sz w:val="24"/>
                <w:szCs w:val="24"/>
                <w:highlight w:val="none"/>
                <w:lang w:val="zh-CN" w:eastAsia="zh-CN"/>
              </w:rPr>
              <w:t>本项目执行电子化招投标，</w:t>
            </w:r>
            <w:r>
              <w:rPr>
                <w:rFonts w:hint="eastAsia" w:ascii="宋体" w:hAnsi="宋体" w:cs="宋体"/>
                <w:bCs/>
                <w:color w:val="auto"/>
                <w:sz w:val="24"/>
                <w:szCs w:val="24"/>
                <w:highlight w:val="none"/>
                <w:lang w:val="zh-CN" w:eastAsia="zh-CN"/>
              </w:rPr>
              <w:t>响应</w:t>
            </w:r>
            <w:r>
              <w:rPr>
                <w:rFonts w:hint="eastAsia" w:ascii="宋体" w:hAnsi="宋体" w:eastAsia="宋体" w:cs="宋体"/>
                <w:bCs/>
                <w:color w:val="auto"/>
                <w:sz w:val="24"/>
                <w:szCs w:val="24"/>
                <w:highlight w:val="none"/>
                <w:lang w:val="zh-CN" w:eastAsia="zh-CN"/>
              </w:rPr>
              <w:t>人须通过政府采购云平台（https://www.zcygov.cn/）递交电子版投标文件，逾期未上传电子</w:t>
            </w:r>
            <w:r>
              <w:rPr>
                <w:rFonts w:hint="eastAsia" w:ascii="宋体" w:hAnsi="宋体" w:cs="宋体"/>
                <w:bCs/>
                <w:color w:val="auto"/>
                <w:sz w:val="24"/>
                <w:szCs w:val="24"/>
                <w:highlight w:val="none"/>
                <w:lang w:val="zh-CN" w:eastAsia="zh-CN"/>
              </w:rPr>
              <w:t>谈判</w:t>
            </w:r>
            <w:r>
              <w:rPr>
                <w:rFonts w:hint="eastAsia" w:ascii="宋体" w:hAnsi="宋体" w:eastAsia="宋体" w:cs="宋体"/>
                <w:bCs/>
                <w:color w:val="auto"/>
                <w:sz w:val="24"/>
                <w:szCs w:val="24"/>
                <w:highlight w:val="none"/>
                <w:lang w:val="zh-CN" w:eastAsia="zh-CN"/>
              </w:rPr>
              <w:t>文件，将不予受理。</w:t>
            </w:r>
          </w:p>
        </w:tc>
      </w:tr>
      <w:tr w14:paraId="48FEF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713" w:type="dxa"/>
            <w:vAlign w:val="center"/>
          </w:tcPr>
          <w:p w14:paraId="63818411">
            <w:pPr>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18</w:t>
            </w:r>
          </w:p>
        </w:tc>
        <w:tc>
          <w:tcPr>
            <w:tcW w:w="1807" w:type="dxa"/>
            <w:vAlign w:val="center"/>
          </w:tcPr>
          <w:p w14:paraId="591DE6FD">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lang w:val="en-US" w:eastAsia="zh-CN"/>
              </w:rPr>
              <w:t>供应商</w:t>
            </w:r>
            <w:r>
              <w:rPr>
                <w:rFonts w:hint="eastAsia" w:ascii="宋体" w:hAnsi="宋体" w:eastAsia="宋体" w:cs="宋体"/>
                <w:bCs/>
                <w:color w:val="auto"/>
                <w:sz w:val="24"/>
                <w:szCs w:val="24"/>
                <w:highlight w:val="none"/>
                <w:lang w:val="zh-CN"/>
              </w:rPr>
              <w:t>收到谈判文件澄清</w:t>
            </w:r>
            <w:r>
              <w:rPr>
                <w:rFonts w:hint="eastAsia" w:ascii="宋体" w:hAnsi="宋体" w:eastAsia="宋体" w:cs="宋体"/>
                <w:bCs/>
                <w:color w:val="auto"/>
                <w:sz w:val="24"/>
                <w:szCs w:val="24"/>
                <w:highlight w:val="none"/>
                <w:lang w:val="en-US" w:eastAsia="zh-CN"/>
              </w:rPr>
              <w:t>的形式</w:t>
            </w:r>
          </w:p>
        </w:tc>
        <w:tc>
          <w:tcPr>
            <w:tcW w:w="6927" w:type="dxa"/>
            <w:vAlign w:val="center"/>
          </w:tcPr>
          <w:p w14:paraId="051DC7F6">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谈判文件澄清发出的同时，“政采云”平台（https://www.zcygov.cn/）以手机短信方式提醒响应人登录平台查看。响应人应注意及时浏览网上发出的澄清，无需书面回复。因响应人自身原因未及时获知澄清内容而导致的任何后果将由</w:t>
            </w:r>
            <w:r>
              <w:rPr>
                <w:rFonts w:hint="eastAsia" w:ascii="宋体" w:hAnsi="宋体" w:cs="宋体"/>
                <w:bCs/>
                <w:color w:val="auto"/>
                <w:sz w:val="24"/>
                <w:szCs w:val="24"/>
                <w:highlight w:val="none"/>
                <w:lang w:val="zh-CN"/>
              </w:rPr>
              <w:t>供应商</w:t>
            </w:r>
            <w:r>
              <w:rPr>
                <w:rFonts w:hint="eastAsia" w:ascii="宋体" w:hAnsi="宋体" w:eastAsia="宋体" w:cs="宋体"/>
                <w:bCs/>
                <w:color w:val="auto"/>
                <w:sz w:val="24"/>
                <w:szCs w:val="24"/>
                <w:highlight w:val="none"/>
                <w:lang w:val="zh-CN"/>
              </w:rPr>
              <w:t>自行承担。</w:t>
            </w:r>
          </w:p>
        </w:tc>
      </w:tr>
      <w:tr w14:paraId="5161F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713" w:type="dxa"/>
            <w:vAlign w:val="center"/>
          </w:tcPr>
          <w:p w14:paraId="06B45F73">
            <w:pPr>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19</w:t>
            </w:r>
          </w:p>
        </w:tc>
        <w:tc>
          <w:tcPr>
            <w:tcW w:w="1807" w:type="dxa"/>
            <w:vAlign w:val="center"/>
          </w:tcPr>
          <w:p w14:paraId="75A1A2B8">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lang w:val="zh-CN"/>
              </w:rPr>
              <w:t>供应商收到谈判文件修改</w:t>
            </w:r>
            <w:r>
              <w:rPr>
                <w:rFonts w:hint="eastAsia" w:ascii="宋体" w:hAnsi="宋体" w:eastAsia="宋体" w:cs="宋体"/>
                <w:bCs/>
                <w:color w:val="auto"/>
                <w:sz w:val="24"/>
                <w:szCs w:val="24"/>
                <w:highlight w:val="none"/>
                <w:lang w:val="en-US" w:eastAsia="zh-CN"/>
              </w:rPr>
              <w:t>的形式</w:t>
            </w:r>
          </w:p>
        </w:tc>
        <w:tc>
          <w:tcPr>
            <w:tcW w:w="6927" w:type="dxa"/>
            <w:vAlign w:val="center"/>
          </w:tcPr>
          <w:p w14:paraId="5BFA5640">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谈判文件</w:t>
            </w:r>
            <w:r>
              <w:rPr>
                <w:rFonts w:hint="eastAsia" w:ascii="宋体" w:hAnsi="宋体" w:eastAsia="宋体" w:cs="宋体"/>
                <w:bCs/>
                <w:color w:val="auto"/>
                <w:sz w:val="24"/>
                <w:szCs w:val="24"/>
                <w:highlight w:val="none"/>
                <w:lang w:val="en-US" w:eastAsia="zh-CN"/>
              </w:rPr>
              <w:t>修改</w:t>
            </w:r>
            <w:r>
              <w:rPr>
                <w:rFonts w:hint="eastAsia" w:ascii="宋体" w:hAnsi="宋体" w:eastAsia="宋体" w:cs="宋体"/>
                <w:bCs/>
                <w:color w:val="auto"/>
                <w:sz w:val="24"/>
                <w:szCs w:val="24"/>
                <w:highlight w:val="none"/>
                <w:lang w:val="zh-CN"/>
              </w:rPr>
              <w:t>发出的同时，“政采云”平台（https://www.zcygov.cn/）以手机短信方式提醒响应人登录平台查看。响应人应注意及时浏览网上发出的</w:t>
            </w:r>
            <w:r>
              <w:rPr>
                <w:rFonts w:hint="eastAsia" w:ascii="宋体" w:hAnsi="宋体" w:eastAsia="宋体" w:cs="宋体"/>
                <w:bCs/>
                <w:color w:val="auto"/>
                <w:sz w:val="24"/>
                <w:szCs w:val="24"/>
                <w:highlight w:val="none"/>
                <w:lang w:val="en-US" w:eastAsia="zh-CN"/>
              </w:rPr>
              <w:t>修改</w:t>
            </w:r>
            <w:r>
              <w:rPr>
                <w:rFonts w:hint="eastAsia" w:ascii="宋体" w:hAnsi="宋体" w:eastAsia="宋体" w:cs="宋体"/>
                <w:bCs/>
                <w:color w:val="auto"/>
                <w:sz w:val="24"/>
                <w:szCs w:val="24"/>
                <w:highlight w:val="none"/>
                <w:lang w:val="zh-CN"/>
              </w:rPr>
              <w:t>，无需书面回复。因</w:t>
            </w:r>
            <w:r>
              <w:rPr>
                <w:rFonts w:hint="eastAsia" w:ascii="宋体" w:hAnsi="宋体" w:cs="宋体"/>
                <w:bCs/>
                <w:color w:val="auto"/>
                <w:sz w:val="24"/>
                <w:szCs w:val="24"/>
                <w:highlight w:val="none"/>
                <w:lang w:val="zh-CN"/>
              </w:rPr>
              <w:t>供应商</w:t>
            </w:r>
            <w:r>
              <w:rPr>
                <w:rFonts w:hint="eastAsia" w:ascii="宋体" w:hAnsi="宋体" w:eastAsia="宋体" w:cs="宋体"/>
                <w:bCs/>
                <w:color w:val="auto"/>
                <w:sz w:val="24"/>
                <w:szCs w:val="24"/>
                <w:highlight w:val="none"/>
                <w:lang w:val="zh-CN"/>
              </w:rPr>
              <w:t>自身原因未及时获知</w:t>
            </w:r>
            <w:r>
              <w:rPr>
                <w:rFonts w:hint="eastAsia" w:ascii="宋体" w:hAnsi="宋体" w:eastAsia="宋体" w:cs="宋体"/>
                <w:bCs/>
                <w:color w:val="auto"/>
                <w:sz w:val="24"/>
                <w:szCs w:val="24"/>
                <w:highlight w:val="none"/>
                <w:lang w:val="en-US" w:eastAsia="zh-CN"/>
              </w:rPr>
              <w:t>修改</w:t>
            </w:r>
            <w:r>
              <w:rPr>
                <w:rFonts w:hint="eastAsia" w:ascii="宋体" w:hAnsi="宋体" w:eastAsia="宋体" w:cs="宋体"/>
                <w:bCs/>
                <w:color w:val="auto"/>
                <w:sz w:val="24"/>
                <w:szCs w:val="24"/>
                <w:highlight w:val="none"/>
                <w:lang w:val="zh-CN"/>
              </w:rPr>
              <w:t>内容而导致的任何后果将由</w:t>
            </w:r>
            <w:r>
              <w:rPr>
                <w:rFonts w:hint="eastAsia" w:ascii="宋体" w:hAnsi="宋体" w:cs="宋体"/>
                <w:bCs/>
                <w:color w:val="auto"/>
                <w:sz w:val="24"/>
                <w:szCs w:val="24"/>
                <w:highlight w:val="none"/>
                <w:lang w:val="zh-CN"/>
              </w:rPr>
              <w:t>供应商</w:t>
            </w:r>
            <w:r>
              <w:rPr>
                <w:rFonts w:hint="eastAsia" w:ascii="宋体" w:hAnsi="宋体" w:eastAsia="宋体" w:cs="宋体"/>
                <w:bCs/>
                <w:color w:val="auto"/>
                <w:sz w:val="24"/>
                <w:szCs w:val="24"/>
                <w:highlight w:val="none"/>
                <w:lang w:val="zh-CN"/>
              </w:rPr>
              <w:t>自行承担。</w:t>
            </w:r>
          </w:p>
        </w:tc>
      </w:tr>
      <w:tr w14:paraId="5FCDE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713" w:type="dxa"/>
            <w:vAlign w:val="center"/>
          </w:tcPr>
          <w:p w14:paraId="6029C42E">
            <w:pPr>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20</w:t>
            </w:r>
          </w:p>
        </w:tc>
        <w:tc>
          <w:tcPr>
            <w:tcW w:w="1807" w:type="dxa"/>
            <w:vAlign w:val="center"/>
          </w:tcPr>
          <w:p w14:paraId="57C4589D">
            <w:pPr>
              <w:spacing w:line="360" w:lineRule="auto"/>
              <w:jc w:val="center"/>
              <w:rPr>
                <w:rFonts w:hint="eastAsia" w:ascii="宋体" w:hAnsi="宋体" w:eastAsia="宋体" w:cs="宋体"/>
                <w:color w:val="auto"/>
                <w:sz w:val="24"/>
                <w:szCs w:val="24"/>
                <w:lang w:eastAsia="zh-CN"/>
              </w:rPr>
            </w:pPr>
            <w:r>
              <w:rPr>
                <w:rFonts w:hint="eastAsia" w:ascii="宋体" w:hAnsi="宋体" w:eastAsia="宋体" w:cs="宋体"/>
                <w:bCs/>
                <w:color w:val="auto"/>
                <w:sz w:val="24"/>
                <w:szCs w:val="24"/>
                <w:highlight w:val="none"/>
                <w:lang w:val="zh-CN"/>
              </w:rPr>
              <w:t>构成谈判文件的其他材料</w:t>
            </w:r>
          </w:p>
        </w:tc>
        <w:tc>
          <w:tcPr>
            <w:tcW w:w="6927" w:type="dxa"/>
            <w:vAlign w:val="center"/>
          </w:tcPr>
          <w:p w14:paraId="03CB7CA5">
            <w:pPr>
              <w:spacing w:line="360" w:lineRule="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w:t>
            </w:r>
          </w:p>
        </w:tc>
      </w:tr>
      <w:tr w14:paraId="6A0F7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713" w:type="dxa"/>
            <w:vAlign w:val="center"/>
          </w:tcPr>
          <w:p w14:paraId="7F236179">
            <w:pPr>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21</w:t>
            </w:r>
          </w:p>
        </w:tc>
        <w:tc>
          <w:tcPr>
            <w:tcW w:w="1807" w:type="dxa"/>
            <w:vAlign w:val="center"/>
          </w:tcPr>
          <w:p w14:paraId="5CB87C50">
            <w:pPr>
              <w:tabs>
                <w:tab w:val="left" w:pos="760"/>
              </w:tabs>
              <w:spacing w:line="360" w:lineRule="auto"/>
              <w:jc w:val="center"/>
              <w:rPr>
                <w:rFonts w:hint="eastAsia" w:ascii="宋体" w:hAnsi="宋体" w:eastAsia="宋体" w:cs="宋体"/>
                <w:color w:val="auto"/>
                <w:sz w:val="24"/>
                <w:szCs w:val="24"/>
                <w:lang w:eastAsia="zh-CN"/>
              </w:rPr>
            </w:pPr>
            <w:r>
              <w:rPr>
                <w:rFonts w:hint="eastAsia" w:ascii="宋体" w:hAnsi="宋体" w:eastAsia="宋体" w:cs="宋体"/>
                <w:bCs/>
                <w:sz w:val="24"/>
                <w:szCs w:val="24"/>
                <w:highlight w:val="none"/>
                <w:lang w:val="zh-CN"/>
              </w:rPr>
              <w:t>是否接受联合体投标</w:t>
            </w:r>
          </w:p>
        </w:tc>
        <w:tc>
          <w:tcPr>
            <w:tcW w:w="6927" w:type="dxa"/>
            <w:vAlign w:val="center"/>
          </w:tcPr>
          <w:p w14:paraId="0293FFEB">
            <w:pPr>
              <w:tabs>
                <w:tab w:val="left" w:pos="760"/>
              </w:tabs>
              <w:spacing w:line="360" w:lineRule="auto"/>
              <w:jc w:val="left"/>
              <w:rPr>
                <w:rFonts w:hint="eastAsia" w:ascii="宋体" w:hAnsi="宋体" w:eastAsia="宋体" w:cs="宋体"/>
                <w:color w:val="auto"/>
                <w:sz w:val="24"/>
                <w:szCs w:val="24"/>
              </w:rPr>
            </w:pPr>
            <w:r>
              <w:rPr>
                <w:rFonts w:hint="eastAsia" w:ascii="宋体" w:hAnsi="宋体" w:eastAsia="宋体" w:cs="宋体"/>
                <w:bCs/>
                <w:sz w:val="24"/>
                <w:szCs w:val="24"/>
                <w:highlight w:val="none"/>
                <w:lang w:val="zh-CN"/>
              </w:rPr>
              <w:t>不接受</w:t>
            </w:r>
          </w:p>
        </w:tc>
      </w:tr>
      <w:tr w14:paraId="2B778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713" w:type="dxa"/>
            <w:vAlign w:val="center"/>
          </w:tcPr>
          <w:p w14:paraId="0A62C806">
            <w:pPr>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22</w:t>
            </w:r>
          </w:p>
        </w:tc>
        <w:tc>
          <w:tcPr>
            <w:tcW w:w="1807" w:type="dxa"/>
            <w:vAlign w:val="center"/>
          </w:tcPr>
          <w:p w14:paraId="75A561B5">
            <w:pPr>
              <w:tabs>
                <w:tab w:val="left" w:pos="760"/>
              </w:tabs>
              <w:spacing w:line="360" w:lineRule="auto"/>
              <w:jc w:val="center"/>
              <w:rPr>
                <w:rFonts w:hint="eastAsia" w:ascii="宋体" w:hAnsi="宋体" w:eastAsia="宋体" w:cs="宋体"/>
                <w:color w:val="auto"/>
                <w:sz w:val="24"/>
                <w:szCs w:val="24"/>
                <w:lang w:eastAsia="zh-CN"/>
              </w:rPr>
            </w:pPr>
            <w:r>
              <w:rPr>
                <w:rFonts w:hint="eastAsia" w:ascii="宋体" w:hAnsi="宋体" w:eastAsia="宋体" w:cs="宋体"/>
                <w:bCs/>
                <w:sz w:val="24"/>
                <w:szCs w:val="24"/>
                <w:highlight w:val="none"/>
                <w:lang w:val="zh-CN"/>
              </w:rPr>
              <w:t>踏勘现场</w:t>
            </w:r>
          </w:p>
        </w:tc>
        <w:tc>
          <w:tcPr>
            <w:tcW w:w="6927" w:type="dxa"/>
            <w:vAlign w:val="center"/>
          </w:tcPr>
          <w:p w14:paraId="0263C851">
            <w:pPr>
              <w:tabs>
                <w:tab w:val="left" w:pos="760"/>
              </w:tabs>
              <w:spacing w:line="360" w:lineRule="auto"/>
              <w:jc w:val="left"/>
              <w:rPr>
                <w:rFonts w:hint="eastAsia" w:ascii="宋体" w:hAnsi="宋体" w:eastAsia="宋体" w:cs="宋体"/>
                <w:color w:val="auto"/>
                <w:sz w:val="24"/>
                <w:szCs w:val="24"/>
              </w:rPr>
            </w:pPr>
            <w:r>
              <w:rPr>
                <w:rFonts w:hint="eastAsia" w:ascii="宋体" w:hAnsi="宋体" w:eastAsia="宋体" w:cs="宋体"/>
                <w:bCs/>
                <w:sz w:val="24"/>
                <w:szCs w:val="24"/>
                <w:highlight w:val="none"/>
                <w:lang w:val="zh-CN"/>
              </w:rPr>
              <w:t>不组织</w:t>
            </w:r>
          </w:p>
        </w:tc>
      </w:tr>
      <w:tr w14:paraId="4E54E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713" w:type="dxa"/>
            <w:vAlign w:val="center"/>
          </w:tcPr>
          <w:p w14:paraId="46B0D769">
            <w:pPr>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23</w:t>
            </w:r>
          </w:p>
        </w:tc>
        <w:tc>
          <w:tcPr>
            <w:tcW w:w="1807" w:type="dxa"/>
            <w:vAlign w:val="center"/>
          </w:tcPr>
          <w:p w14:paraId="3BAFC3CC">
            <w:pPr>
              <w:tabs>
                <w:tab w:val="left" w:pos="760"/>
              </w:tabs>
              <w:spacing w:line="360" w:lineRule="auto"/>
              <w:jc w:val="center"/>
              <w:rPr>
                <w:rFonts w:hint="eastAsia" w:ascii="宋体" w:hAnsi="宋体" w:eastAsia="宋体" w:cs="宋体"/>
                <w:color w:val="auto"/>
                <w:sz w:val="24"/>
                <w:szCs w:val="24"/>
                <w:lang w:eastAsia="zh-CN"/>
              </w:rPr>
            </w:pPr>
            <w:r>
              <w:rPr>
                <w:rFonts w:hint="eastAsia" w:ascii="宋体" w:hAnsi="宋体" w:eastAsia="宋体" w:cs="宋体"/>
                <w:bCs/>
                <w:sz w:val="24"/>
                <w:szCs w:val="24"/>
                <w:highlight w:val="none"/>
                <w:lang w:val="zh-CN"/>
              </w:rPr>
              <w:t>投标预备会</w:t>
            </w:r>
          </w:p>
        </w:tc>
        <w:tc>
          <w:tcPr>
            <w:tcW w:w="6927" w:type="dxa"/>
            <w:vAlign w:val="center"/>
          </w:tcPr>
          <w:p w14:paraId="1785DB11">
            <w:pPr>
              <w:tabs>
                <w:tab w:val="left" w:pos="760"/>
              </w:tabs>
              <w:spacing w:line="360" w:lineRule="auto"/>
              <w:jc w:val="left"/>
              <w:rPr>
                <w:rFonts w:hint="eastAsia" w:ascii="宋体" w:hAnsi="宋体" w:eastAsia="宋体" w:cs="宋体"/>
                <w:color w:val="auto"/>
                <w:sz w:val="24"/>
                <w:szCs w:val="24"/>
              </w:rPr>
            </w:pPr>
            <w:r>
              <w:rPr>
                <w:rFonts w:hint="eastAsia" w:ascii="宋体" w:hAnsi="宋体" w:eastAsia="宋体" w:cs="宋体"/>
                <w:bCs/>
                <w:sz w:val="24"/>
                <w:szCs w:val="24"/>
                <w:highlight w:val="none"/>
                <w:lang w:val="zh-CN"/>
              </w:rPr>
              <w:t>不召开</w:t>
            </w:r>
          </w:p>
        </w:tc>
      </w:tr>
      <w:tr w14:paraId="61D17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713" w:type="dxa"/>
            <w:vAlign w:val="center"/>
          </w:tcPr>
          <w:p w14:paraId="337D925C">
            <w:pPr>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24</w:t>
            </w:r>
          </w:p>
        </w:tc>
        <w:tc>
          <w:tcPr>
            <w:tcW w:w="1807" w:type="dxa"/>
            <w:vAlign w:val="center"/>
          </w:tcPr>
          <w:p w14:paraId="00317749">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ascii="宋体" w:hAnsi="宋体" w:cs="宋体"/>
                <w:sz w:val="24"/>
                <w:szCs w:val="24"/>
              </w:rPr>
            </w:pPr>
            <w:r>
              <w:rPr>
                <w:rFonts w:hint="eastAsia" w:ascii="宋体" w:hAnsi="宋体" w:eastAsia="宋体" w:cs="宋体"/>
                <w:color w:val="auto"/>
                <w:sz w:val="24"/>
                <w:szCs w:val="24"/>
                <w:lang w:eastAsia="zh-CN"/>
              </w:rPr>
              <w:t>响应</w:t>
            </w:r>
            <w:r>
              <w:rPr>
                <w:rFonts w:hint="eastAsia" w:ascii="宋体" w:hAnsi="宋体" w:eastAsia="宋体" w:cs="宋体"/>
                <w:color w:val="auto"/>
                <w:sz w:val="24"/>
                <w:szCs w:val="24"/>
              </w:rPr>
              <w:t>文件份数</w:t>
            </w:r>
          </w:p>
        </w:tc>
        <w:tc>
          <w:tcPr>
            <w:tcW w:w="6927" w:type="dxa"/>
            <w:vAlign w:val="center"/>
          </w:tcPr>
          <w:p w14:paraId="464EB1F3">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cs="宋体"/>
                <w:color w:val="auto"/>
                <w:sz w:val="24"/>
                <w:szCs w:val="24"/>
                <w:lang w:val="en-US" w:eastAsia="zh-CN"/>
              </w:rPr>
              <w:t>无</w:t>
            </w:r>
          </w:p>
        </w:tc>
      </w:tr>
      <w:tr w14:paraId="0EF35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713" w:type="dxa"/>
            <w:shd w:val="clear" w:color="auto" w:fill="auto"/>
            <w:vAlign w:val="center"/>
          </w:tcPr>
          <w:p w14:paraId="6AE6926A">
            <w:pPr>
              <w:spacing w:line="360" w:lineRule="auto"/>
              <w:jc w:val="center"/>
              <w:rPr>
                <w:rFonts w:hint="default"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25</w:t>
            </w:r>
          </w:p>
        </w:tc>
        <w:tc>
          <w:tcPr>
            <w:tcW w:w="1807" w:type="dxa"/>
            <w:shd w:val="clear" w:color="auto" w:fill="auto"/>
            <w:vAlign w:val="center"/>
          </w:tcPr>
          <w:p w14:paraId="2E496EB9">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装订要求</w:t>
            </w:r>
          </w:p>
        </w:tc>
        <w:tc>
          <w:tcPr>
            <w:tcW w:w="6927" w:type="dxa"/>
            <w:shd w:val="clear" w:color="auto" w:fill="auto"/>
            <w:vAlign w:val="center"/>
          </w:tcPr>
          <w:p w14:paraId="0FA68CF7">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投标文件的装订要整齐、牢固、采用左侧纵向无线胶订机胶订，编制目录，便于保管和利用，不能采用活页或夹条装订方式。</w:t>
            </w:r>
          </w:p>
        </w:tc>
      </w:tr>
      <w:tr w14:paraId="7CFB7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713" w:type="dxa"/>
            <w:vAlign w:val="center"/>
          </w:tcPr>
          <w:p w14:paraId="3909A723">
            <w:pPr>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26</w:t>
            </w:r>
          </w:p>
        </w:tc>
        <w:tc>
          <w:tcPr>
            <w:tcW w:w="1807" w:type="dxa"/>
            <w:vAlign w:val="center"/>
          </w:tcPr>
          <w:p w14:paraId="65B27FBB">
            <w:pPr>
              <w:spacing w:line="360" w:lineRule="auto"/>
              <w:jc w:val="center"/>
              <w:rPr>
                <w:rFonts w:ascii="宋体" w:hAnsi="宋体" w:cs="宋体"/>
                <w:sz w:val="24"/>
                <w:szCs w:val="24"/>
              </w:rPr>
            </w:pPr>
            <w:r>
              <w:rPr>
                <w:rFonts w:hint="eastAsia" w:ascii="宋体" w:hAnsi="宋体" w:eastAsia="宋体" w:cs="宋体"/>
                <w:bCs/>
                <w:color w:val="auto"/>
                <w:sz w:val="24"/>
                <w:szCs w:val="24"/>
                <w:highlight w:val="none"/>
                <w:lang w:val="en-US" w:eastAsia="zh-CN"/>
              </w:rPr>
              <w:t>谈判报价</w:t>
            </w:r>
          </w:p>
        </w:tc>
        <w:tc>
          <w:tcPr>
            <w:tcW w:w="6927" w:type="dxa"/>
            <w:vAlign w:val="center"/>
          </w:tcPr>
          <w:p w14:paraId="75B70B68">
            <w:pPr>
              <w:spacing w:line="360" w:lineRule="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供应商必须就“货物采购需求”中公布的采购内容作完整唯一报价，否则，其响应文件无效。响应文件只允许有一个报价，有选择的或有条件的报价将不予接受。</w:t>
            </w:r>
          </w:p>
          <w:p w14:paraId="65343750">
            <w:pPr>
              <w:spacing w:line="360" w:lineRule="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未退出谈判的供应商在规定时间内单独依次线上进行二次报价，其二次报价超出采购预算导致已通过评审的响应文件无效的，按供应商在提交响应文件截止时间后撤回响应文件处理。</w:t>
            </w:r>
          </w:p>
          <w:p w14:paraId="6A50973D">
            <w:pPr>
              <w:spacing w:line="360" w:lineRule="auto"/>
              <w:rPr>
                <w:rFonts w:hint="eastAsia" w:ascii="宋体" w:hAnsi="宋体" w:eastAsia="宋体" w:cs="宋体"/>
                <w:bCs/>
                <w:color w:val="auto"/>
                <w:sz w:val="24"/>
                <w:szCs w:val="24"/>
                <w:highlight w:val="none"/>
                <w:lang w:val="en-US" w:eastAsia="zh-CN"/>
              </w:rPr>
            </w:pPr>
            <w:r>
              <w:rPr>
                <w:rFonts w:hint="eastAsia" w:ascii="宋体" w:hAnsi="宋体" w:eastAsia="宋体" w:cs="宋体"/>
                <w:b/>
                <w:bCs/>
                <w:color w:val="auto"/>
                <w:sz w:val="24"/>
                <w:szCs w:val="24"/>
                <w:highlight w:val="none"/>
                <w:lang w:eastAsia="zh-CN"/>
              </w:rPr>
              <w:t>注</w:t>
            </w:r>
            <w:r>
              <w:rPr>
                <w:rFonts w:hint="eastAsia" w:ascii="宋体" w:hAnsi="宋体" w:eastAsia="宋体" w:cs="宋体"/>
                <w:b/>
                <w:bCs/>
                <w:color w:val="auto"/>
                <w:sz w:val="24"/>
                <w:szCs w:val="24"/>
                <w:highlight w:val="none"/>
                <w:lang w:val="en-US" w:eastAsia="zh-CN"/>
              </w:rPr>
              <w:t>:本项目需要进行</w:t>
            </w:r>
            <w:r>
              <w:rPr>
                <w:rFonts w:hint="eastAsia" w:ascii="宋体" w:hAnsi="宋体" w:cs="宋体"/>
                <w:b/>
                <w:bCs/>
                <w:color w:val="auto"/>
                <w:sz w:val="24"/>
                <w:szCs w:val="24"/>
                <w:highlight w:val="none"/>
                <w:lang w:val="en-US" w:eastAsia="zh-CN"/>
              </w:rPr>
              <w:t>网上</w:t>
            </w:r>
            <w:r>
              <w:rPr>
                <w:rFonts w:hint="eastAsia" w:ascii="宋体" w:hAnsi="宋体" w:eastAsia="宋体" w:cs="宋体"/>
                <w:b/>
                <w:bCs/>
                <w:color w:val="auto"/>
                <w:sz w:val="24"/>
                <w:szCs w:val="24"/>
                <w:highlight w:val="none"/>
                <w:lang w:val="en-US" w:eastAsia="zh-CN"/>
              </w:rPr>
              <w:t>二次报价，投标单位</w:t>
            </w:r>
            <w:r>
              <w:rPr>
                <w:rFonts w:hint="eastAsia" w:ascii="宋体" w:hAnsi="宋体" w:cs="宋体"/>
                <w:b/>
                <w:bCs/>
                <w:color w:val="auto"/>
                <w:sz w:val="24"/>
                <w:szCs w:val="24"/>
                <w:highlight w:val="none"/>
                <w:lang w:val="en-US" w:eastAsia="zh-CN"/>
              </w:rPr>
              <w:t>须时刻关注系统二次报价发起并及时报价</w:t>
            </w:r>
            <w:r>
              <w:rPr>
                <w:rFonts w:hint="eastAsia" w:ascii="宋体" w:hAnsi="宋体" w:eastAsia="宋体" w:cs="宋体"/>
                <w:b/>
                <w:bCs/>
                <w:color w:val="auto"/>
                <w:sz w:val="24"/>
                <w:szCs w:val="24"/>
                <w:highlight w:val="none"/>
                <w:lang w:val="en-US" w:eastAsia="zh-CN"/>
              </w:rPr>
              <w:t>，</w:t>
            </w:r>
            <w:r>
              <w:rPr>
                <w:rFonts w:hint="eastAsia" w:ascii="宋体" w:hAnsi="宋体" w:cs="宋体"/>
                <w:b/>
                <w:bCs/>
                <w:color w:val="auto"/>
                <w:sz w:val="24"/>
                <w:szCs w:val="24"/>
                <w:highlight w:val="none"/>
                <w:lang w:val="en-US" w:eastAsia="zh-CN"/>
              </w:rPr>
              <w:t>逾期后果自负。</w:t>
            </w:r>
          </w:p>
        </w:tc>
      </w:tr>
      <w:tr w14:paraId="3C334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713" w:type="dxa"/>
            <w:vAlign w:val="center"/>
          </w:tcPr>
          <w:p w14:paraId="0A2F4CDE">
            <w:pPr>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27</w:t>
            </w:r>
          </w:p>
        </w:tc>
        <w:tc>
          <w:tcPr>
            <w:tcW w:w="1807" w:type="dxa"/>
            <w:vAlign w:val="center"/>
          </w:tcPr>
          <w:p w14:paraId="4C5D7591">
            <w:pPr>
              <w:spacing w:line="360" w:lineRule="auto"/>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谈判小组组成</w:t>
            </w:r>
          </w:p>
        </w:tc>
        <w:tc>
          <w:tcPr>
            <w:tcW w:w="6927" w:type="dxa"/>
            <w:vAlign w:val="center"/>
          </w:tcPr>
          <w:p w14:paraId="3C30C02B">
            <w:pPr>
              <w:spacing w:line="360" w:lineRule="auto"/>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谈判及评审工作由采购代理机构负责组织，具体谈判、评审工作由依法组建的谈判小组负责，谈判小组由采购人代表和有关方面的专家组成。</w:t>
            </w:r>
          </w:p>
          <w:p w14:paraId="3C407142">
            <w:pPr>
              <w:spacing w:line="360" w:lineRule="auto"/>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 xml:space="preserve">谈判小组的构成：3人，其中采购人代表 0 人， 专家 </w:t>
            </w:r>
            <w:r>
              <w:rPr>
                <w:rFonts w:hint="eastAsia" w:ascii="宋体" w:hAnsi="宋体" w:cs="宋体"/>
                <w:bCs/>
                <w:color w:val="auto"/>
                <w:sz w:val="24"/>
                <w:szCs w:val="24"/>
                <w:highlight w:val="none"/>
                <w:lang w:val="en-US" w:eastAsia="zh-CN"/>
              </w:rPr>
              <w:t>3</w:t>
            </w:r>
            <w:r>
              <w:rPr>
                <w:rFonts w:hint="eastAsia" w:ascii="宋体" w:hAnsi="宋体" w:eastAsia="宋体" w:cs="宋体"/>
                <w:bCs/>
                <w:color w:val="auto"/>
                <w:sz w:val="24"/>
                <w:szCs w:val="24"/>
                <w:highlight w:val="none"/>
                <w:lang w:val="en-US" w:eastAsia="zh-CN"/>
              </w:rPr>
              <w:t xml:space="preserve"> 人。</w:t>
            </w:r>
          </w:p>
          <w:p w14:paraId="2DC88D6D">
            <w:pPr>
              <w:spacing w:line="360" w:lineRule="auto"/>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专家确定方式：</w:t>
            </w:r>
            <w:r>
              <w:rPr>
                <w:rFonts w:hint="eastAsia" w:ascii="宋体" w:hAnsi="宋体" w:eastAsia="宋体" w:cs="宋体"/>
                <w:bCs/>
                <w:color w:val="auto"/>
                <w:sz w:val="24"/>
                <w:szCs w:val="24"/>
                <w:highlight w:val="none"/>
                <w:lang w:val="zh-CN" w:eastAsia="zh-CN"/>
              </w:rPr>
              <w:t>从吉林省</w:t>
            </w:r>
            <w:r>
              <w:rPr>
                <w:rFonts w:hint="eastAsia" w:ascii="宋体" w:hAnsi="宋体" w:eastAsia="宋体" w:cs="宋体"/>
                <w:bCs/>
                <w:color w:val="auto"/>
                <w:sz w:val="24"/>
                <w:szCs w:val="24"/>
                <w:highlight w:val="none"/>
                <w:lang w:val="en-US" w:eastAsia="zh-CN"/>
              </w:rPr>
              <w:t>政府采购云平台</w:t>
            </w:r>
            <w:r>
              <w:rPr>
                <w:rFonts w:hint="eastAsia" w:ascii="宋体" w:hAnsi="宋体" w:eastAsia="宋体" w:cs="宋体"/>
                <w:bCs/>
                <w:color w:val="auto"/>
                <w:sz w:val="24"/>
                <w:szCs w:val="24"/>
                <w:highlight w:val="none"/>
                <w:lang w:val="zh-CN" w:eastAsia="zh-CN"/>
              </w:rPr>
              <w:t>专家库中随机抽取</w:t>
            </w:r>
            <w:r>
              <w:rPr>
                <w:rFonts w:hint="eastAsia" w:ascii="宋体" w:hAnsi="宋体" w:eastAsia="宋体" w:cs="宋体"/>
                <w:bCs/>
                <w:color w:val="auto"/>
                <w:sz w:val="24"/>
                <w:szCs w:val="24"/>
                <w:highlight w:val="none"/>
                <w:lang w:val="en-US" w:eastAsia="zh-CN"/>
              </w:rPr>
              <w:t xml:space="preserve"> 。</w:t>
            </w:r>
          </w:p>
        </w:tc>
      </w:tr>
      <w:tr w14:paraId="7966A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vAlign w:val="center"/>
          </w:tcPr>
          <w:p w14:paraId="6E1421C8">
            <w:pPr>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28</w:t>
            </w:r>
          </w:p>
        </w:tc>
        <w:tc>
          <w:tcPr>
            <w:tcW w:w="1807" w:type="dxa"/>
            <w:vAlign w:val="center"/>
          </w:tcPr>
          <w:p w14:paraId="4926403D">
            <w:pPr>
              <w:spacing w:line="360" w:lineRule="auto"/>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评标方法及标准</w:t>
            </w:r>
          </w:p>
        </w:tc>
        <w:tc>
          <w:tcPr>
            <w:tcW w:w="6927" w:type="dxa"/>
            <w:vAlign w:val="center"/>
          </w:tcPr>
          <w:p w14:paraId="27541ED9">
            <w:pPr>
              <w:spacing w:line="360" w:lineRule="auto"/>
              <w:jc w:val="both"/>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最低评标价法</w:t>
            </w:r>
            <w:r>
              <w:rPr>
                <w:rFonts w:hint="eastAsia" w:ascii="宋体" w:hAnsi="宋体" w:cs="宋体"/>
                <w:bCs/>
                <w:color w:val="auto"/>
                <w:sz w:val="24"/>
                <w:szCs w:val="24"/>
                <w:highlight w:val="none"/>
                <w:lang w:val="en-US" w:eastAsia="zh-CN"/>
              </w:rPr>
              <w:t>，</w:t>
            </w:r>
            <w:r>
              <w:rPr>
                <w:rFonts w:hint="eastAsia" w:ascii="宋体" w:hAnsi="宋体" w:eastAsia="宋体" w:cs="宋体"/>
                <w:bCs/>
                <w:color w:val="auto"/>
                <w:sz w:val="24"/>
                <w:szCs w:val="24"/>
                <w:highlight w:val="none"/>
                <w:lang w:val="en-US" w:eastAsia="zh-CN"/>
              </w:rPr>
              <w:t>具体详见第四章评审办法。</w:t>
            </w:r>
          </w:p>
        </w:tc>
      </w:tr>
      <w:tr w14:paraId="63B94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vAlign w:val="center"/>
          </w:tcPr>
          <w:p w14:paraId="3C531092">
            <w:pPr>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29</w:t>
            </w:r>
          </w:p>
        </w:tc>
        <w:tc>
          <w:tcPr>
            <w:tcW w:w="1807" w:type="dxa"/>
            <w:vAlign w:val="center"/>
          </w:tcPr>
          <w:p w14:paraId="04EC65F5">
            <w:pPr>
              <w:spacing w:line="360" w:lineRule="auto"/>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成交人信用信息查询</w:t>
            </w:r>
          </w:p>
          <w:p w14:paraId="19585D2E">
            <w:pPr>
              <w:spacing w:line="360" w:lineRule="auto"/>
              <w:jc w:val="center"/>
              <w:rPr>
                <w:rFonts w:hint="eastAsia" w:ascii="宋体" w:hAnsi="宋体" w:eastAsia="宋体" w:cs="宋体"/>
                <w:bCs/>
                <w:color w:val="auto"/>
                <w:sz w:val="24"/>
                <w:szCs w:val="24"/>
                <w:highlight w:val="none"/>
                <w:lang w:val="en-US" w:eastAsia="zh-CN"/>
              </w:rPr>
            </w:pPr>
          </w:p>
        </w:tc>
        <w:tc>
          <w:tcPr>
            <w:tcW w:w="6927" w:type="dxa"/>
            <w:vAlign w:val="center"/>
          </w:tcPr>
          <w:p w14:paraId="5FC2414E">
            <w:pPr>
              <w:spacing w:line="360" w:lineRule="auto"/>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根据《关于做好政府采购有关信用主体标识码登记及在政府采购活动中查询使用信用记录有关问题的通知》财库〔2016〕125号的通知，采购代理机构在对成交人的成交资格进行信用查询：</w:t>
            </w:r>
          </w:p>
          <w:p w14:paraId="2B13ECED">
            <w:pPr>
              <w:spacing w:line="360" w:lineRule="auto"/>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（1）查询渠道：“信用中国”网站(www.creditchina.gov.cn)、中国政府采购网(www.ccgp.gov.cn)等；</w:t>
            </w:r>
          </w:p>
          <w:p w14:paraId="64BA4C25">
            <w:pPr>
              <w:spacing w:line="360" w:lineRule="auto"/>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（2）查询截止时点：成交通知书发出前；</w:t>
            </w:r>
          </w:p>
          <w:p w14:paraId="5D4D6784">
            <w:pPr>
              <w:spacing w:line="360" w:lineRule="auto"/>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（3）信用信息查询记录和证据留存方式：在查询网站中直接打印查询记录，打印材料作为采购活动资料保存。</w:t>
            </w:r>
          </w:p>
          <w:p w14:paraId="6D0C542A">
            <w:pPr>
              <w:spacing w:line="360" w:lineRule="auto"/>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4）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取消其成交候选人资格。采购人依法按照评审报告中谈判小组推荐成交候选人排序表确定排名第二的成交候选人为成交供应商或者重新组织采购。</w:t>
            </w:r>
          </w:p>
        </w:tc>
      </w:tr>
      <w:tr w14:paraId="30E9B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713" w:type="dxa"/>
            <w:vAlign w:val="center"/>
          </w:tcPr>
          <w:p w14:paraId="1A99E540">
            <w:pPr>
              <w:spacing w:line="360" w:lineRule="auto"/>
              <w:jc w:val="center"/>
              <w:rPr>
                <w:rFonts w:hint="default" w:ascii="宋体" w:hAnsi="宋体" w:eastAsia="宋体" w:cs="宋体"/>
                <w:position w:val="-2"/>
                <w:sz w:val="24"/>
                <w:szCs w:val="24"/>
                <w:lang w:val="en-US" w:eastAsia="zh-CN"/>
              </w:rPr>
            </w:pPr>
            <w:r>
              <w:rPr>
                <w:rFonts w:hint="eastAsia" w:ascii="宋体" w:hAnsi="宋体" w:cs="宋体"/>
                <w:position w:val="-2"/>
                <w:sz w:val="24"/>
                <w:szCs w:val="24"/>
                <w:lang w:val="en-US" w:eastAsia="zh-CN"/>
              </w:rPr>
              <w:t>30</w:t>
            </w:r>
          </w:p>
        </w:tc>
        <w:tc>
          <w:tcPr>
            <w:tcW w:w="1807" w:type="dxa"/>
            <w:vAlign w:val="center"/>
          </w:tcPr>
          <w:p w14:paraId="6979FCCF">
            <w:pPr>
              <w:spacing w:line="360" w:lineRule="auto"/>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成交结果公告</w:t>
            </w:r>
          </w:p>
          <w:p w14:paraId="6007F13B">
            <w:pPr>
              <w:spacing w:line="360" w:lineRule="auto"/>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及成交通知书</w:t>
            </w:r>
          </w:p>
        </w:tc>
        <w:tc>
          <w:tcPr>
            <w:tcW w:w="6927" w:type="dxa"/>
            <w:vAlign w:val="center"/>
          </w:tcPr>
          <w:p w14:paraId="285808AF">
            <w:pPr>
              <w:spacing w:line="360" w:lineRule="auto"/>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采购代理机构于评审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结果信息。</w:t>
            </w:r>
          </w:p>
          <w:p w14:paraId="1C5B9A50">
            <w:pPr>
              <w:spacing w:line="360" w:lineRule="auto"/>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2、在发布成交结果公告的同时，采购代理机构向成交供应商发出成交通知书。</w:t>
            </w:r>
          </w:p>
        </w:tc>
      </w:tr>
      <w:tr w14:paraId="58FF2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13" w:type="dxa"/>
            <w:vAlign w:val="center"/>
          </w:tcPr>
          <w:p w14:paraId="0BD1035D">
            <w:pPr>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31</w:t>
            </w:r>
          </w:p>
        </w:tc>
        <w:tc>
          <w:tcPr>
            <w:tcW w:w="1807" w:type="dxa"/>
            <w:vAlign w:val="center"/>
          </w:tcPr>
          <w:p w14:paraId="4DC0B71E">
            <w:pPr>
              <w:spacing w:line="360" w:lineRule="auto"/>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履约保证金</w:t>
            </w:r>
          </w:p>
        </w:tc>
        <w:tc>
          <w:tcPr>
            <w:tcW w:w="6927" w:type="dxa"/>
            <w:shd w:val="clear" w:color="auto" w:fill="auto"/>
            <w:vAlign w:val="center"/>
          </w:tcPr>
          <w:p w14:paraId="3ED049FF">
            <w:pPr>
              <w:spacing w:line="360" w:lineRule="auto"/>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zh-CN" w:eastAsia="zh-CN"/>
              </w:rPr>
              <w:t>成交供应商应在收到成交通知书后7天内向采购人提交成交金额5%的履约保证金。</w:t>
            </w:r>
          </w:p>
        </w:tc>
      </w:tr>
      <w:tr w14:paraId="186D2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13" w:type="dxa"/>
            <w:vAlign w:val="center"/>
          </w:tcPr>
          <w:p w14:paraId="469510AB">
            <w:pPr>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32</w:t>
            </w:r>
          </w:p>
        </w:tc>
        <w:tc>
          <w:tcPr>
            <w:tcW w:w="1807" w:type="dxa"/>
            <w:vAlign w:val="center"/>
          </w:tcPr>
          <w:p w14:paraId="76EA718A">
            <w:pPr>
              <w:spacing w:line="360" w:lineRule="auto"/>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近年发生诉讼及仲裁情况</w:t>
            </w:r>
          </w:p>
        </w:tc>
        <w:tc>
          <w:tcPr>
            <w:tcW w:w="6927" w:type="dxa"/>
            <w:vAlign w:val="center"/>
          </w:tcPr>
          <w:p w14:paraId="4CA9CFF9">
            <w:pPr>
              <w:spacing w:line="360" w:lineRule="auto"/>
              <w:jc w:val="both"/>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2022年至今</w:t>
            </w:r>
          </w:p>
        </w:tc>
      </w:tr>
      <w:tr w14:paraId="4E39E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713" w:type="dxa"/>
            <w:vAlign w:val="center"/>
          </w:tcPr>
          <w:p w14:paraId="2ABFE0AD">
            <w:pPr>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33</w:t>
            </w:r>
          </w:p>
        </w:tc>
        <w:tc>
          <w:tcPr>
            <w:tcW w:w="1807" w:type="dxa"/>
            <w:vAlign w:val="center"/>
          </w:tcPr>
          <w:p w14:paraId="45EB737A">
            <w:pPr>
              <w:spacing w:line="360" w:lineRule="auto"/>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签订合同时间</w:t>
            </w:r>
          </w:p>
        </w:tc>
        <w:tc>
          <w:tcPr>
            <w:tcW w:w="6927" w:type="dxa"/>
            <w:vAlign w:val="center"/>
          </w:tcPr>
          <w:p w14:paraId="30ED79BB">
            <w:pPr>
              <w:spacing w:line="360" w:lineRule="auto"/>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成交通知书发出之日起三十日内。</w:t>
            </w:r>
          </w:p>
        </w:tc>
      </w:tr>
      <w:tr w14:paraId="2F05E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713" w:type="dxa"/>
            <w:vAlign w:val="center"/>
          </w:tcPr>
          <w:p w14:paraId="7C32374C">
            <w:pPr>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34</w:t>
            </w:r>
          </w:p>
        </w:tc>
        <w:tc>
          <w:tcPr>
            <w:tcW w:w="1807" w:type="dxa"/>
            <w:vAlign w:val="center"/>
          </w:tcPr>
          <w:p w14:paraId="7F2FF83C">
            <w:pPr>
              <w:spacing w:line="360" w:lineRule="auto"/>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合同备案存档</w:t>
            </w:r>
          </w:p>
        </w:tc>
        <w:tc>
          <w:tcPr>
            <w:tcW w:w="6927" w:type="dxa"/>
            <w:vAlign w:val="center"/>
          </w:tcPr>
          <w:p w14:paraId="5BEB5EB7">
            <w:pPr>
              <w:spacing w:line="360" w:lineRule="auto"/>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政府采购合同双方自签订之日起1个工作日内将合同原件</w:t>
            </w:r>
            <w:r>
              <w:rPr>
                <w:rFonts w:hint="eastAsia" w:ascii="宋体" w:hAnsi="宋体" w:cs="宋体"/>
                <w:bCs/>
                <w:color w:val="auto"/>
                <w:sz w:val="24"/>
                <w:szCs w:val="24"/>
                <w:highlight w:val="none"/>
                <w:lang w:val="en-US" w:eastAsia="zh-CN"/>
              </w:rPr>
              <w:t>或复印件</w:t>
            </w:r>
            <w:r>
              <w:rPr>
                <w:rFonts w:hint="eastAsia" w:ascii="宋体" w:hAnsi="宋体" w:eastAsia="宋体" w:cs="宋体"/>
                <w:bCs/>
                <w:color w:val="auto"/>
                <w:sz w:val="24"/>
                <w:szCs w:val="24"/>
                <w:highlight w:val="none"/>
                <w:lang w:val="en-US" w:eastAsia="zh-CN"/>
              </w:rPr>
              <w:t>一份交采购代理机构。</w:t>
            </w:r>
          </w:p>
        </w:tc>
      </w:tr>
      <w:tr w14:paraId="28BDD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713" w:type="dxa"/>
            <w:vAlign w:val="center"/>
          </w:tcPr>
          <w:p w14:paraId="23CE8A43">
            <w:pPr>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35</w:t>
            </w:r>
          </w:p>
        </w:tc>
        <w:tc>
          <w:tcPr>
            <w:tcW w:w="1807" w:type="dxa"/>
          </w:tcPr>
          <w:p w14:paraId="59923ECB">
            <w:pPr>
              <w:spacing w:line="360" w:lineRule="auto"/>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质 保 金</w:t>
            </w:r>
          </w:p>
        </w:tc>
        <w:tc>
          <w:tcPr>
            <w:tcW w:w="6927" w:type="dxa"/>
          </w:tcPr>
          <w:p w14:paraId="587398E4">
            <w:pPr>
              <w:spacing w:line="360" w:lineRule="auto"/>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以实际签订合同为准</w:t>
            </w:r>
          </w:p>
        </w:tc>
      </w:tr>
      <w:tr w14:paraId="466B2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713" w:type="dxa"/>
            <w:vAlign w:val="center"/>
          </w:tcPr>
          <w:p w14:paraId="477E9997">
            <w:pPr>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36</w:t>
            </w:r>
          </w:p>
        </w:tc>
        <w:tc>
          <w:tcPr>
            <w:tcW w:w="1807" w:type="dxa"/>
            <w:vAlign w:val="center"/>
          </w:tcPr>
          <w:p w14:paraId="2F6704DF">
            <w:pPr>
              <w:spacing w:line="360" w:lineRule="auto"/>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zh-CN" w:eastAsia="zh-CN"/>
              </w:rPr>
              <w:t>是否为专门面向中小企业采购</w:t>
            </w:r>
          </w:p>
        </w:tc>
        <w:tc>
          <w:tcPr>
            <w:tcW w:w="6927" w:type="dxa"/>
            <w:vAlign w:val="center"/>
          </w:tcPr>
          <w:p w14:paraId="133CA80F">
            <w:pPr>
              <w:spacing w:line="360" w:lineRule="auto"/>
              <w:jc w:val="left"/>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一、是否为专门面向中小企业采购：</w:t>
            </w:r>
            <w:r>
              <w:rPr>
                <w:rFonts w:hint="eastAsia" w:ascii="宋体" w:hAnsi="宋体" w:cs="宋体"/>
                <w:bCs/>
                <w:color w:val="auto"/>
                <w:sz w:val="24"/>
                <w:szCs w:val="24"/>
                <w:highlight w:val="none"/>
                <w:lang w:val="en-US" w:eastAsia="zh-CN"/>
              </w:rPr>
              <w:t>否</w:t>
            </w:r>
          </w:p>
          <w:p w14:paraId="2354B60F">
            <w:pPr>
              <w:spacing w:line="360" w:lineRule="auto"/>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二、采购标的对应的中小企业划分标准所属行业：软件和信息技术服务业</w:t>
            </w:r>
          </w:p>
          <w:p w14:paraId="1CA001D6">
            <w:pPr>
              <w:spacing w:line="360" w:lineRule="auto"/>
              <w:jc w:val="left"/>
              <w:rPr>
                <w:rFonts w:hint="eastAsia" w:ascii="宋体" w:hAnsi="宋体" w:eastAsia="宋体" w:cs="宋体"/>
                <w:bCs/>
                <w:color w:val="auto"/>
                <w:sz w:val="24"/>
                <w:szCs w:val="24"/>
                <w:highlight w:val="none"/>
                <w:lang w:val="en-US" w:eastAsia="zh-CN"/>
              </w:rPr>
            </w:pPr>
          </w:p>
        </w:tc>
      </w:tr>
      <w:tr w14:paraId="66C5B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713" w:type="dxa"/>
            <w:vAlign w:val="center"/>
          </w:tcPr>
          <w:p w14:paraId="04A32167">
            <w:pPr>
              <w:spacing w:line="360" w:lineRule="auto"/>
              <w:jc w:val="center"/>
              <w:rPr>
                <w:rFonts w:hint="default" w:ascii="宋体" w:hAnsi="宋体" w:cs="宋体"/>
                <w:sz w:val="24"/>
                <w:szCs w:val="24"/>
                <w:lang w:val="en-US" w:eastAsia="zh-CN"/>
              </w:rPr>
            </w:pPr>
            <w:r>
              <w:rPr>
                <w:rFonts w:hint="eastAsia" w:ascii="宋体" w:hAnsi="宋体" w:cs="宋体"/>
                <w:sz w:val="24"/>
                <w:szCs w:val="24"/>
                <w:lang w:val="en-US" w:eastAsia="zh-CN"/>
              </w:rPr>
              <w:t>37</w:t>
            </w:r>
          </w:p>
        </w:tc>
        <w:tc>
          <w:tcPr>
            <w:tcW w:w="1807" w:type="dxa"/>
            <w:vAlign w:val="center"/>
          </w:tcPr>
          <w:p w14:paraId="63C17DE2">
            <w:pPr>
              <w:spacing w:line="360" w:lineRule="auto"/>
              <w:jc w:val="center"/>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zh-CN" w:eastAsia="zh-CN"/>
              </w:rPr>
              <w:t>中小企业</w:t>
            </w:r>
            <w:r>
              <w:rPr>
                <w:rFonts w:hint="eastAsia" w:ascii="宋体" w:hAnsi="宋体" w:eastAsia="宋体" w:cs="宋体"/>
                <w:bCs/>
                <w:color w:val="auto"/>
                <w:sz w:val="24"/>
                <w:szCs w:val="24"/>
                <w:highlight w:val="none"/>
                <w:lang w:val="en-US" w:eastAsia="zh-CN"/>
              </w:rPr>
              <w:t>报价扣除</w:t>
            </w:r>
          </w:p>
        </w:tc>
        <w:tc>
          <w:tcPr>
            <w:tcW w:w="6927" w:type="dxa"/>
            <w:vAlign w:val="center"/>
          </w:tcPr>
          <w:p w14:paraId="74BF9073">
            <w:pPr>
              <w:keepNext w:val="0"/>
              <w:keepLines w:val="0"/>
              <w:widowControl/>
              <w:suppressLineNumbers w:val="0"/>
              <w:jc w:val="left"/>
              <w:rPr>
                <w:highlight w:val="none"/>
              </w:rPr>
            </w:pPr>
            <w:r>
              <w:rPr>
                <w:rFonts w:hint="eastAsia" w:ascii="宋体" w:hAnsi="宋体" w:eastAsia="宋体" w:cs="宋体"/>
                <w:color w:val="000000"/>
                <w:kern w:val="0"/>
                <w:sz w:val="24"/>
                <w:szCs w:val="24"/>
                <w:highlight w:val="none"/>
                <w:lang w:val="en-US" w:eastAsia="zh-CN" w:bidi="ar"/>
              </w:rPr>
              <w:t xml:space="preserve">（1）小型和微型企业价格扣除：10%。 </w:t>
            </w:r>
          </w:p>
          <w:p w14:paraId="68C221E4">
            <w:pPr>
              <w:keepNext w:val="0"/>
              <w:keepLines w:val="0"/>
              <w:widowControl/>
              <w:suppressLineNumbers w:val="0"/>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color w:val="000000"/>
                <w:kern w:val="0"/>
                <w:sz w:val="24"/>
                <w:szCs w:val="24"/>
                <w:highlight w:val="none"/>
                <w:lang w:val="en-US" w:eastAsia="zh-CN" w:bidi="ar"/>
              </w:rPr>
              <w:t>（2）监狱企业价格扣除：同小型和微型企业</w:t>
            </w:r>
          </w:p>
        </w:tc>
      </w:tr>
      <w:tr w14:paraId="5A123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3" w:type="dxa"/>
            <w:vAlign w:val="center"/>
          </w:tcPr>
          <w:p w14:paraId="63C70493">
            <w:pPr>
              <w:spacing w:line="360" w:lineRule="auto"/>
              <w:jc w:val="left"/>
              <w:rPr>
                <w:rFonts w:hint="eastAsia" w:ascii="宋体" w:hAnsi="宋体" w:eastAsia="宋体" w:cs="宋体"/>
                <w:bCs/>
                <w:color w:val="auto"/>
                <w:sz w:val="24"/>
                <w:szCs w:val="24"/>
                <w:highlight w:val="none"/>
                <w:lang w:val="zh-CN" w:eastAsia="zh-CN"/>
              </w:rPr>
            </w:pPr>
          </w:p>
        </w:tc>
        <w:tc>
          <w:tcPr>
            <w:tcW w:w="8734" w:type="dxa"/>
            <w:gridSpan w:val="2"/>
            <w:vAlign w:val="center"/>
          </w:tcPr>
          <w:p w14:paraId="0B97BD1C">
            <w:pPr>
              <w:spacing w:line="360" w:lineRule="auto"/>
              <w:jc w:val="center"/>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lang w:val="zh-CN" w:eastAsia="zh-CN"/>
              </w:rPr>
              <w:t>需要补充的其他内容</w:t>
            </w:r>
          </w:p>
        </w:tc>
      </w:tr>
      <w:tr w14:paraId="0F73A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3" w:type="dxa"/>
            <w:vAlign w:val="center"/>
          </w:tcPr>
          <w:p w14:paraId="303A49DC">
            <w:pPr>
              <w:spacing w:line="360" w:lineRule="auto"/>
              <w:jc w:val="left"/>
              <w:rPr>
                <w:rFonts w:hint="eastAsia" w:ascii="宋体" w:hAnsi="宋体" w:cs="宋体"/>
                <w:color w:val="auto"/>
                <w:sz w:val="24"/>
                <w:szCs w:val="24"/>
              </w:rPr>
            </w:pPr>
            <w:r>
              <w:rPr>
                <w:rFonts w:hint="eastAsia" w:ascii="宋体" w:hAnsi="宋体" w:cs="宋体"/>
                <w:color w:val="auto"/>
                <w:kern w:val="0"/>
                <w:sz w:val="24"/>
                <w:szCs w:val="24"/>
                <w:lang w:val="zh-CN"/>
              </w:rPr>
              <w:t>低于成本报价</w:t>
            </w:r>
          </w:p>
        </w:tc>
        <w:tc>
          <w:tcPr>
            <w:tcW w:w="8734" w:type="dxa"/>
            <w:gridSpan w:val="2"/>
            <w:vAlign w:val="center"/>
          </w:tcPr>
          <w:p w14:paraId="56892AE5">
            <w:pPr>
              <w:spacing w:line="360" w:lineRule="auto"/>
              <w:jc w:val="left"/>
              <w:rPr>
                <w:rFonts w:hint="eastAsia" w:ascii="宋体" w:hAnsi="宋体" w:cs="宋体"/>
                <w:color w:val="auto"/>
                <w:sz w:val="24"/>
                <w:szCs w:val="24"/>
              </w:rPr>
            </w:pPr>
            <w:r>
              <w:rPr>
                <w:rFonts w:hint="eastAsia" w:ascii="宋体" w:hAnsi="宋体" w:cs="宋体"/>
                <w:color w:val="auto"/>
                <w:kern w:val="0"/>
                <w:sz w:val="24"/>
                <w:szCs w:val="24"/>
                <w:lang w:val="zh-CN"/>
              </w:rPr>
              <w:t>依据财政部第</w:t>
            </w:r>
            <w:r>
              <w:rPr>
                <w:rFonts w:hint="eastAsia" w:ascii="宋体" w:hAnsi="宋体" w:cs="宋体"/>
                <w:color w:val="auto"/>
                <w:kern w:val="0"/>
                <w:sz w:val="24"/>
                <w:szCs w:val="24"/>
              </w:rPr>
              <w:t>87号令第60条：</w:t>
            </w:r>
            <w:r>
              <w:rPr>
                <w:rFonts w:hint="eastAsia" w:ascii="宋体" w:hAnsi="宋体" w:cs="宋体"/>
                <w:color w:val="auto"/>
                <w:kern w:val="0"/>
                <w:sz w:val="24"/>
                <w:szCs w:val="24"/>
                <w:lang w:val="zh-CN"/>
              </w:rPr>
              <w:t>评标委员会发现供应商的报价明显低于其他通过符合性审查供应商的报价，有可能影响产品质量或者不能诚信履约的，应当要求该供应商在评标现场合理时间内作出书面说明并提供相应的证明材料。供应商不能合理说明或者不能提供相应证明材料的，由评标委员会认定该供应商以低于成本报价竞标，其投标将被否决。</w:t>
            </w:r>
          </w:p>
        </w:tc>
      </w:tr>
      <w:tr w14:paraId="7796A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3" w:type="dxa"/>
            <w:vAlign w:val="center"/>
          </w:tcPr>
          <w:p w14:paraId="5562E9CB">
            <w:pPr>
              <w:spacing w:line="360" w:lineRule="auto"/>
              <w:rPr>
                <w:rFonts w:hint="eastAsia" w:ascii="宋体" w:hAnsi="宋体" w:cs="宋体"/>
                <w:sz w:val="24"/>
                <w:szCs w:val="24"/>
                <w:highlight w:val="none"/>
              </w:rPr>
            </w:pPr>
            <w:r>
              <w:rPr>
                <w:rFonts w:hint="eastAsia" w:ascii="宋体" w:hAnsi="宋体" w:cs="宋体"/>
                <w:color w:val="auto"/>
                <w:sz w:val="24"/>
                <w:szCs w:val="24"/>
                <w:highlight w:val="none"/>
              </w:rPr>
              <w:t>招标代理服务费</w:t>
            </w:r>
          </w:p>
        </w:tc>
        <w:tc>
          <w:tcPr>
            <w:tcW w:w="8734" w:type="dxa"/>
            <w:gridSpan w:val="2"/>
            <w:vAlign w:val="center"/>
          </w:tcPr>
          <w:p w14:paraId="651C3ACF">
            <w:pPr>
              <w:spacing w:line="360" w:lineRule="auto"/>
              <w:jc w:val="left"/>
              <w:rPr>
                <w:rFonts w:hint="eastAsia" w:ascii="宋体" w:hAnsi="宋体" w:cs="宋体"/>
                <w:sz w:val="24"/>
                <w:szCs w:val="24"/>
                <w:highlight w:val="none"/>
              </w:rPr>
            </w:pPr>
            <w:r>
              <w:rPr>
                <w:rFonts w:hint="eastAsia" w:ascii="宋体" w:hAnsi="宋体" w:cs="宋体"/>
                <w:sz w:val="24"/>
                <w:szCs w:val="24"/>
                <w:highlight w:val="none"/>
                <w:lang w:val="en-US" w:eastAsia="zh-CN"/>
              </w:rPr>
              <w:t>参照国家发展改革委发改价格【2015】299号文件的取费标准。由中标人支付。</w:t>
            </w:r>
          </w:p>
        </w:tc>
      </w:tr>
      <w:tr w14:paraId="31A1D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3" w:type="dxa"/>
            <w:vAlign w:val="center"/>
          </w:tcPr>
          <w:p w14:paraId="48A091F4">
            <w:pPr>
              <w:spacing w:line="360" w:lineRule="auto"/>
              <w:rPr>
                <w:rFonts w:hint="eastAsia" w:ascii="宋体" w:hAnsi="宋体" w:cs="宋体"/>
                <w:color w:val="auto"/>
                <w:sz w:val="24"/>
                <w:szCs w:val="24"/>
              </w:rPr>
            </w:pPr>
            <w:r>
              <w:rPr>
                <w:rFonts w:hint="eastAsia" w:ascii="宋体" w:hAnsi="宋体" w:cs="宋体"/>
                <w:color w:val="auto"/>
                <w:sz w:val="24"/>
                <w:szCs w:val="24"/>
              </w:rPr>
              <w:t>解释权</w:t>
            </w:r>
          </w:p>
        </w:tc>
        <w:tc>
          <w:tcPr>
            <w:tcW w:w="8734" w:type="dxa"/>
            <w:gridSpan w:val="2"/>
            <w:vAlign w:val="center"/>
          </w:tcPr>
          <w:p w14:paraId="44459A0F">
            <w:pPr>
              <w:spacing w:line="360" w:lineRule="auto"/>
              <w:jc w:val="left"/>
              <w:rPr>
                <w:rFonts w:hint="eastAsia" w:ascii="宋体" w:hAnsi="宋体" w:cs="宋体"/>
                <w:color w:val="auto"/>
                <w:sz w:val="24"/>
                <w:szCs w:val="24"/>
              </w:rPr>
            </w:pPr>
            <w:r>
              <w:rPr>
                <w:rFonts w:hint="eastAsia" w:ascii="宋体" w:hAnsi="宋体" w:cs="宋体"/>
                <w:color w:val="auto"/>
                <w:sz w:val="24"/>
                <w:szCs w:val="24"/>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w:t>
            </w:r>
            <w:r>
              <w:rPr>
                <w:rFonts w:hint="eastAsia" w:ascii="宋体" w:hAnsi="宋体" w:cs="宋体"/>
                <w:color w:val="auto"/>
                <w:sz w:val="24"/>
                <w:szCs w:val="24"/>
                <w:lang w:eastAsia="zh-CN"/>
              </w:rPr>
              <w:t>供应商</w:t>
            </w:r>
            <w:r>
              <w:rPr>
                <w:rFonts w:hint="eastAsia" w:ascii="宋体" w:hAnsi="宋体" w:cs="宋体"/>
                <w:color w:val="auto"/>
                <w:sz w:val="24"/>
                <w:szCs w:val="24"/>
              </w:rPr>
              <w:t>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采购人负责解释。合同最终拟定、解释权归采购人所有。</w:t>
            </w:r>
          </w:p>
        </w:tc>
      </w:tr>
      <w:tr w14:paraId="25A78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3" w:type="dxa"/>
            <w:vAlign w:val="center"/>
          </w:tcPr>
          <w:p w14:paraId="2D268107">
            <w:pPr>
              <w:spacing w:line="360" w:lineRule="auto"/>
              <w:rPr>
                <w:rFonts w:hint="eastAsia" w:ascii="宋体" w:hAnsi="宋体" w:cs="宋体"/>
                <w:color w:val="auto"/>
                <w:sz w:val="24"/>
                <w:szCs w:val="24"/>
              </w:rPr>
            </w:pPr>
            <w:r>
              <w:rPr>
                <w:rFonts w:hint="eastAsia" w:ascii="宋体" w:hAnsi="宋体" w:cs="宋体"/>
                <w:color w:val="auto"/>
                <w:sz w:val="24"/>
                <w:szCs w:val="24"/>
              </w:rPr>
              <w:t>其他要求</w:t>
            </w:r>
          </w:p>
        </w:tc>
        <w:tc>
          <w:tcPr>
            <w:tcW w:w="8734" w:type="dxa"/>
            <w:gridSpan w:val="2"/>
            <w:vAlign w:val="center"/>
          </w:tcPr>
          <w:p w14:paraId="6D0B72A3">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供应商必须保证投标时所报资料真实有效，采购人保留对资料的核查权力，一旦发现资料有虚假现象将没收供应商全部投标保证金，并移交有关部门处理。</w:t>
            </w:r>
          </w:p>
          <w:p w14:paraId="4B57C8C1">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w:t>
            </w:r>
            <w:r>
              <w:rPr>
                <w:rFonts w:hint="eastAsia" w:ascii="宋体" w:hAnsi="宋体" w:cs="宋体"/>
                <w:color w:val="auto"/>
                <w:sz w:val="24"/>
                <w:szCs w:val="24"/>
                <w:lang w:eastAsia="zh-CN"/>
              </w:rPr>
              <w:t>供应商</w:t>
            </w:r>
            <w:r>
              <w:rPr>
                <w:rFonts w:hint="eastAsia" w:ascii="宋体" w:hAnsi="宋体" w:eastAsia="宋体" w:cs="宋体"/>
                <w:color w:val="auto"/>
                <w:sz w:val="24"/>
                <w:szCs w:val="24"/>
              </w:rPr>
              <w:t>自行组织踏勘，并须结合现场踏勘的情况及招标文件要求，将本项目所涉及的所有风险及费用全部含在投标报价中。</w:t>
            </w:r>
          </w:p>
          <w:p w14:paraId="23F965AF">
            <w:pPr>
              <w:spacing w:line="360" w:lineRule="auto"/>
              <w:jc w:val="left"/>
              <w:rPr>
                <w:rFonts w:hint="eastAsia" w:ascii="宋体" w:hAnsi="宋体" w:cs="宋体"/>
                <w:color w:val="auto"/>
                <w:sz w:val="24"/>
                <w:szCs w:val="24"/>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、本次投标报价应包含现场踏勘费及相关配套编制的人工、材料及完成本项目所涉及的一切等费用。</w:t>
            </w:r>
          </w:p>
        </w:tc>
      </w:tr>
      <w:tr w14:paraId="31F8F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3" w:type="dxa"/>
            <w:vAlign w:val="center"/>
          </w:tcPr>
          <w:p w14:paraId="1EFA67EF">
            <w:pPr>
              <w:spacing w:line="360" w:lineRule="auto"/>
              <w:jc w:val="center"/>
              <w:rPr>
                <w:rFonts w:hint="eastAsia" w:ascii="宋体" w:hAnsi="宋体" w:cs="宋体"/>
                <w:color w:val="auto"/>
                <w:sz w:val="24"/>
                <w:szCs w:val="24"/>
              </w:rPr>
            </w:pPr>
          </w:p>
        </w:tc>
        <w:tc>
          <w:tcPr>
            <w:tcW w:w="8734" w:type="dxa"/>
            <w:gridSpan w:val="2"/>
            <w:vAlign w:val="center"/>
          </w:tcPr>
          <w:p w14:paraId="2E4CAF2A">
            <w:pPr>
              <w:spacing w:line="360" w:lineRule="auto"/>
              <w:jc w:val="center"/>
              <w:rPr>
                <w:rFonts w:hint="eastAsia" w:ascii="宋体" w:hAnsi="宋体" w:cs="宋体"/>
                <w:color w:val="auto"/>
                <w:sz w:val="24"/>
                <w:szCs w:val="24"/>
              </w:rPr>
            </w:pPr>
            <w:r>
              <w:rPr>
                <w:rFonts w:hint="eastAsia" w:ascii="宋体" w:hAnsi="宋体" w:cs="宋体"/>
                <w:b/>
                <w:bCs/>
                <w:color w:val="auto"/>
                <w:sz w:val="24"/>
                <w:szCs w:val="24"/>
              </w:rPr>
              <w:t>如</w:t>
            </w:r>
            <w:r>
              <w:rPr>
                <w:rFonts w:hint="eastAsia" w:ascii="宋体" w:hAnsi="宋体" w:cs="宋体"/>
                <w:b/>
                <w:bCs/>
                <w:color w:val="auto"/>
                <w:sz w:val="24"/>
                <w:szCs w:val="24"/>
                <w:lang w:eastAsia="zh-CN"/>
              </w:rPr>
              <w:t>谈判</w:t>
            </w:r>
            <w:r>
              <w:rPr>
                <w:rFonts w:hint="eastAsia" w:ascii="宋体" w:hAnsi="宋体" w:cs="宋体"/>
                <w:b/>
                <w:bCs/>
                <w:color w:val="auto"/>
                <w:sz w:val="24"/>
                <w:szCs w:val="24"/>
              </w:rPr>
              <w:t>公告与</w:t>
            </w:r>
            <w:r>
              <w:rPr>
                <w:rFonts w:hint="eastAsia" w:ascii="宋体" w:hAnsi="宋体" w:cs="宋体"/>
                <w:b/>
                <w:bCs/>
                <w:color w:val="auto"/>
                <w:sz w:val="24"/>
                <w:szCs w:val="24"/>
                <w:lang w:eastAsia="zh-CN"/>
              </w:rPr>
              <w:t>谈判</w:t>
            </w:r>
            <w:r>
              <w:rPr>
                <w:rFonts w:hint="eastAsia" w:ascii="宋体" w:hAnsi="宋体" w:cs="宋体"/>
                <w:b/>
                <w:bCs/>
                <w:color w:val="auto"/>
                <w:sz w:val="24"/>
                <w:szCs w:val="24"/>
              </w:rPr>
              <w:t>文件不符，按</w:t>
            </w:r>
            <w:r>
              <w:rPr>
                <w:rFonts w:hint="eastAsia" w:ascii="宋体" w:hAnsi="宋体" w:cs="宋体"/>
                <w:b/>
                <w:bCs/>
                <w:color w:val="auto"/>
                <w:sz w:val="24"/>
                <w:szCs w:val="24"/>
                <w:lang w:eastAsia="zh-CN"/>
              </w:rPr>
              <w:t>谈判</w:t>
            </w:r>
            <w:r>
              <w:rPr>
                <w:rFonts w:hint="eastAsia" w:ascii="宋体" w:hAnsi="宋体" w:cs="宋体"/>
                <w:b/>
                <w:bCs/>
                <w:color w:val="auto"/>
                <w:sz w:val="24"/>
                <w:szCs w:val="24"/>
              </w:rPr>
              <w:t>文件为准。</w:t>
            </w:r>
          </w:p>
        </w:tc>
      </w:tr>
      <w:tr w14:paraId="01A5B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3" w:type="dxa"/>
            <w:vAlign w:val="center"/>
          </w:tcPr>
          <w:p w14:paraId="33BEFD24">
            <w:pPr>
              <w:spacing w:line="360" w:lineRule="auto"/>
              <w:jc w:val="center"/>
              <w:rPr>
                <w:rFonts w:hint="eastAsia" w:ascii="宋体" w:hAnsi="宋体" w:cs="宋体"/>
                <w:color w:val="auto"/>
                <w:sz w:val="24"/>
                <w:szCs w:val="24"/>
              </w:rPr>
            </w:pPr>
            <w:r>
              <w:rPr>
                <w:rFonts w:hint="eastAsia" w:ascii="宋体" w:hAnsi="宋体" w:cs="宋体"/>
                <w:color w:val="auto"/>
                <w:sz w:val="24"/>
                <w:szCs w:val="24"/>
              </w:rPr>
              <w:t>电子招投标相关说明</w:t>
            </w:r>
          </w:p>
        </w:tc>
        <w:tc>
          <w:tcPr>
            <w:tcW w:w="8734" w:type="dxa"/>
            <w:gridSpan w:val="2"/>
            <w:vAlign w:val="center"/>
          </w:tcPr>
          <w:p w14:paraId="2EC19167">
            <w:pPr>
              <w:spacing w:line="360" w:lineRule="auto"/>
              <w:jc w:val="left"/>
              <w:rPr>
                <w:rFonts w:hint="eastAsia" w:ascii="宋体" w:hAnsi="宋体" w:eastAsia="宋体" w:cs="宋体"/>
                <w:color w:val="auto"/>
                <w:sz w:val="24"/>
                <w:szCs w:val="24"/>
                <w:lang w:val="en-US" w:eastAsia="zh-Hans"/>
              </w:rPr>
            </w:pPr>
            <w:r>
              <w:rPr>
                <w:rFonts w:hint="eastAsia" w:ascii="宋体" w:hAnsi="宋体" w:eastAsia="宋体" w:cs="宋体"/>
                <w:color w:val="auto"/>
                <w:sz w:val="24"/>
                <w:szCs w:val="24"/>
                <w:lang w:val="en-US" w:eastAsia="zh-Hans"/>
              </w:rPr>
              <w:t>远程不见面开标具体要求：</w:t>
            </w:r>
          </w:p>
          <w:p w14:paraId="13DCB533">
            <w:pPr>
              <w:spacing w:line="360" w:lineRule="auto"/>
              <w:jc w:val="left"/>
              <w:rPr>
                <w:rFonts w:hint="eastAsia" w:ascii="宋体" w:hAnsi="宋体" w:eastAsia="宋体" w:cs="宋体"/>
                <w:color w:val="auto"/>
                <w:sz w:val="24"/>
                <w:szCs w:val="24"/>
                <w:lang w:val="en-US" w:eastAsia="zh-Hans"/>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val="en-US" w:eastAsia="zh-Hans"/>
              </w:rPr>
              <w:t>开标项目的时间均以国家授时中心发布的时间为准。</w:t>
            </w:r>
          </w:p>
          <w:p w14:paraId="2D28C2A0">
            <w:pPr>
              <w:spacing w:line="360" w:lineRule="auto"/>
              <w:jc w:val="left"/>
              <w:rPr>
                <w:rFonts w:hint="eastAsia" w:ascii="宋体" w:hAnsi="宋体" w:eastAsia="宋体" w:cs="宋体"/>
                <w:color w:val="auto"/>
                <w:sz w:val="24"/>
                <w:szCs w:val="24"/>
                <w:lang w:val="en-US" w:eastAsia="zh-Hans"/>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val="en-US" w:eastAsia="zh-Hans"/>
              </w:rPr>
              <w:t>潜在供应商应当在投标截止时间前，完成电子交易平台上的 CA 数字证书办理及投标文件的提交。</w:t>
            </w:r>
            <w:r>
              <w:rPr>
                <w:rFonts w:hint="eastAsia" w:ascii="宋体" w:hAnsi="宋体" w:cs="宋体"/>
                <w:color w:val="auto"/>
                <w:sz w:val="24"/>
                <w:szCs w:val="24"/>
                <w:lang w:val="en-US" w:eastAsia="zh-CN"/>
              </w:rPr>
              <w:t>供应商</w:t>
            </w:r>
            <w:r>
              <w:rPr>
                <w:rFonts w:hint="eastAsia" w:ascii="宋体" w:hAnsi="宋体" w:eastAsia="宋体" w:cs="宋体"/>
                <w:color w:val="auto"/>
                <w:sz w:val="24"/>
                <w:szCs w:val="24"/>
                <w:lang w:val="en-US" w:eastAsia="zh-Hans"/>
              </w:rPr>
              <w:t>只需办理其中一家CA数字证书及签章，建议各</w:t>
            </w:r>
            <w:r>
              <w:rPr>
                <w:rFonts w:hint="eastAsia" w:ascii="宋体" w:hAnsi="宋体" w:cs="宋体"/>
                <w:color w:val="auto"/>
                <w:sz w:val="24"/>
                <w:szCs w:val="24"/>
                <w:lang w:val="en-US" w:eastAsia="zh-CN"/>
              </w:rPr>
              <w:t>供应商</w:t>
            </w:r>
            <w:r>
              <w:rPr>
                <w:rFonts w:hint="eastAsia" w:ascii="宋体" w:hAnsi="宋体" w:eastAsia="宋体" w:cs="宋体"/>
                <w:color w:val="auto"/>
                <w:sz w:val="24"/>
                <w:szCs w:val="24"/>
                <w:lang w:val="en-US" w:eastAsia="zh-Hans"/>
              </w:rPr>
              <w:t>抓紧时间办理。</w:t>
            </w:r>
          </w:p>
          <w:p w14:paraId="5465BC46">
            <w:pPr>
              <w:spacing w:line="360" w:lineRule="auto"/>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val="en-US" w:eastAsia="zh-Hans"/>
              </w:rPr>
              <w:t>依照</w:t>
            </w:r>
            <w:r>
              <w:rPr>
                <w:rFonts w:hint="eastAsia" w:ascii="宋体" w:hAnsi="宋体" w:eastAsia="宋体" w:cs="宋体"/>
                <w:color w:val="auto"/>
                <w:sz w:val="24"/>
                <w:szCs w:val="24"/>
                <w:lang w:val="en-US" w:eastAsia="zh-CN"/>
              </w:rPr>
              <w:t>招标文件</w:t>
            </w:r>
            <w:r>
              <w:rPr>
                <w:rFonts w:hint="eastAsia" w:ascii="宋体" w:hAnsi="宋体" w:eastAsia="宋体" w:cs="宋体"/>
                <w:color w:val="auto"/>
                <w:sz w:val="24"/>
                <w:szCs w:val="24"/>
                <w:lang w:val="en-US" w:eastAsia="zh-Hans"/>
              </w:rPr>
              <w:t>的规定完成电子</w:t>
            </w:r>
            <w:r>
              <w:rPr>
                <w:rFonts w:hint="eastAsia" w:ascii="宋体" w:hAnsi="宋体" w:eastAsia="宋体" w:cs="宋体"/>
                <w:color w:val="auto"/>
                <w:sz w:val="24"/>
                <w:szCs w:val="24"/>
                <w:lang w:val="en-US" w:eastAsia="zh-CN"/>
              </w:rPr>
              <w:t>投标文件</w:t>
            </w:r>
            <w:r>
              <w:rPr>
                <w:rFonts w:hint="eastAsia" w:ascii="宋体" w:hAnsi="宋体" w:eastAsia="宋体" w:cs="宋体"/>
                <w:color w:val="auto"/>
                <w:sz w:val="24"/>
                <w:szCs w:val="24"/>
                <w:lang w:val="en-US" w:eastAsia="zh-Hans"/>
              </w:rPr>
              <w:t>的编制和提交。如未按</w:t>
            </w:r>
            <w:r>
              <w:rPr>
                <w:rFonts w:hint="eastAsia" w:ascii="宋体" w:hAnsi="宋体" w:eastAsia="宋体" w:cs="宋体"/>
                <w:color w:val="auto"/>
                <w:sz w:val="24"/>
                <w:szCs w:val="24"/>
                <w:lang w:val="en-US" w:eastAsia="zh-CN"/>
              </w:rPr>
              <w:t>招标文件</w:t>
            </w:r>
            <w:r>
              <w:rPr>
                <w:rFonts w:hint="eastAsia" w:ascii="宋体" w:hAnsi="宋体" w:eastAsia="宋体" w:cs="宋体"/>
                <w:color w:val="auto"/>
                <w:sz w:val="24"/>
                <w:szCs w:val="24"/>
                <w:lang w:val="en-US" w:eastAsia="zh-Hans"/>
              </w:rPr>
              <w:t>要求编制、提交电子</w:t>
            </w:r>
            <w:r>
              <w:rPr>
                <w:rFonts w:hint="eastAsia" w:ascii="宋体" w:hAnsi="宋体" w:eastAsia="宋体" w:cs="宋体"/>
                <w:color w:val="auto"/>
                <w:sz w:val="24"/>
                <w:szCs w:val="24"/>
                <w:lang w:val="en-US" w:eastAsia="zh-CN"/>
              </w:rPr>
              <w:t>投标文件</w:t>
            </w:r>
            <w:r>
              <w:rPr>
                <w:rFonts w:hint="eastAsia" w:ascii="宋体" w:hAnsi="宋体" w:eastAsia="宋体" w:cs="宋体"/>
                <w:color w:val="auto"/>
                <w:sz w:val="24"/>
                <w:szCs w:val="24"/>
                <w:lang w:val="en-US" w:eastAsia="zh-Hans"/>
              </w:rPr>
              <w:t>，将可能导致否决投标，其后果由</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val="en-US" w:eastAsia="zh-Hans"/>
              </w:rPr>
              <w:t>自负。</w:t>
            </w:r>
          </w:p>
          <w:p w14:paraId="058DC51D">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应充分考虑到网络及系统平台可能存在的突发状况，在</w:t>
            </w:r>
            <w:r>
              <w:rPr>
                <w:rFonts w:hint="eastAsia" w:ascii="宋体" w:hAnsi="宋体" w:eastAsia="宋体" w:cs="宋体"/>
                <w:color w:val="auto"/>
                <w:sz w:val="24"/>
                <w:szCs w:val="24"/>
                <w:lang w:eastAsia="zh-CN"/>
              </w:rPr>
              <w:t>投标文件</w:t>
            </w:r>
            <w:r>
              <w:rPr>
                <w:rFonts w:hint="eastAsia" w:ascii="宋体" w:hAnsi="宋体" w:eastAsia="宋体" w:cs="宋体"/>
                <w:color w:val="auto"/>
                <w:sz w:val="24"/>
                <w:szCs w:val="24"/>
              </w:rPr>
              <w:t>编制完成后尽早完成上传。</w:t>
            </w:r>
          </w:p>
          <w:p w14:paraId="642B16B2">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开标当日，供应商不必抵达开标现场，须于投标文件提交截止时间前登录“政采云”平台电子开标大厅，进入所参与项目。投标文件提交截止时间后，通过系统开启投标文件解密的指令，供应商可在任意地点按规定时间自行实施远程解密，解密限定在规定时间内完成，未能按要求进行解密的，由此产生的后果由供应商自行承担。</w:t>
            </w:r>
          </w:p>
          <w:p w14:paraId="6AAAF653">
            <w:pPr>
              <w:spacing w:line="360" w:lineRule="auto"/>
              <w:jc w:val="left"/>
              <w:rPr>
                <w:rFonts w:hint="eastAsia" w:ascii="宋体" w:hAnsi="宋体" w:cs="宋体"/>
                <w:color w:val="auto"/>
                <w:sz w:val="24"/>
                <w:szCs w:val="24"/>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必须使用能正确解密</w:t>
            </w:r>
            <w:r>
              <w:rPr>
                <w:rFonts w:hint="eastAsia" w:ascii="宋体" w:hAnsi="宋体" w:eastAsia="宋体" w:cs="宋体"/>
                <w:color w:val="auto"/>
                <w:sz w:val="24"/>
                <w:szCs w:val="24"/>
                <w:lang w:eastAsia="zh-CN"/>
              </w:rPr>
              <w:t>投标文件</w:t>
            </w:r>
            <w:r>
              <w:rPr>
                <w:rFonts w:hint="eastAsia" w:ascii="宋体" w:hAnsi="宋体" w:eastAsia="宋体" w:cs="宋体"/>
                <w:color w:val="auto"/>
                <w:sz w:val="24"/>
                <w:szCs w:val="24"/>
              </w:rPr>
              <w:t>的CA在规定的时间内完成远程解密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Hans"/>
              </w:rPr>
              <w:t>如遇见</w:t>
            </w:r>
            <w:r>
              <w:rPr>
                <w:rFonts w:hint="eastAsia" w:ascii="宋体" w:hAnsi="宋体" w:eastAsia="宋体" w:cs="宋体"/>
                <w:color w:val="auto"/>
                <w:sz w:val="24"/>
                <w:szCs w:val="24"/>
                <w:lang w:eastAsia="zh-Hans"/>
              </w:rPr>
              <w:t>CA</w:t>
            </w:r>
            <w:r>
              <w:rPr>
                <w:rFonts w:hint="eastAsia" w:ascii="宋体" w:hAnsi="宋体" w:eastAsia="宋体" w:cs="宋体"/>
                <w:color w:val="auto"/>
                <w:sz w:val="24"/>
                <w:szCs w:val="24"/>
                <w:lang w:val="en-US" w:eastAsia="zh-Hans"/>
              </w:rPr>
              <w:t>故障无法解密可联系</w:t>
            </w:r>
            <w:r>
              <w:rPr>
                <w:rFonts w:hint="eastAsia" w:ascii="宋体" w:hAnsi="宋体" w:eastAsia="宋体" w:cs="宋体"/>
                <w:color w:val="auto"/>
                <w:sz w:val="24"/>
                <w:szCs w:val="24"/>
                <w:lang w:val="en-US" w:eastAsia="zh-CN"/>
              </w:rPr>
              <w:t>客服。</w:t>
            </w:r>
            <w:r>
              <w:rPr>
                <w:rFonts w:hint="eastAsia" w:ascii="宋体" w:hAnsi="宋体" w:eastAsia="宋体" w:cs="宋体"/>
                <w:color w:val="auto"/>
                <w:sz w:val="24"/>
                <w:szCs w:val="24"/>
                <w:lang w:val="en-US" w:eastAsia="zh-Hans"/>
              </w:rPr>
              <w:t>政</w:t>
            </w:r>
            <w:r>
              <w:rPr>
                <w:rFonts w:hint="eastAsia" w:ascii="宋体" w:hAnsi="宋体" w:eastAsia="宋体" w:cs="宋体"/>
                <w:color w:val="auto"/>
                <w:sz w:val="24"/>
                <w:szCs w:val="24"/>
                <w:lang w:val="en-US" w:eastAsia="zh-CN"/>
              </w:rPr>
              <w:t>采</w:t>
            </w:r>
            <w:r>
              <w:rPr>
                <w:rFonts w:hint="eastAsia" w:ascii="宋体" w:hAnsi="宋体" w:eastAsia="宋体" w:cs="宋体"/>
                <w:color w:val="auto"/>
                <w:sz w:val="24"/>
                <w:szCs w:val="24"/>
                <w:lang w:val="en-US" w:eastAsia="zh-Hans"/>
              </w:rPr>
              <w:t>云客服</w:t>
            </w:r>
            <w:r>
              <w:rPr>
                <w:rFonts w:hint="eastAsia" w:ascii="宋体" w:hAnsi="宋体" w:eastAsia="宋体" w:cs="宋体"/>
                <w:color w:val="auto"/>
                <w:sz w:val="24"/>
                <w:szCs w:val="24"/>
                <w:lang w:eastAsia="zh-Hans"/>
              </w:rPr>
              <w:t>：95763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，因</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原因未能解密、解密失败或解密超时，视为</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撤销其</w:t>
            </w:r>
            <w:r>
              <w:rPr>
                <w:rFonts w:hint="eastAsia" w:ascii="宋体" w:hAnsi="宋体" w:eastAsia="宋体" w:cs="宋体"/>
                <w:color w:val="auto"/>
                <w:sz w:val="24"/>
                <w:szCs w:val="24"/>
                <w:lang w:eastAsia="zh-CN"/>
              </w:rPr>
              <w:t>投标文件</w:t>
            </w:r>
            <w:r>
              <w:rPr>
                <w:rFonts w:hint="eastAsia" w:ascii="宋体" w:hAnsi="宋体" w:eastAsia="宋体" w:cs="宋体"/>
                <w:color w:val="auto"/>
                <w:sz w:val="24"/>
                <w:szCs w:val="24"/>
              </w:rPr>
              <w:t>；因</w:t>
            </w:r>
            <w:r>
              <w:rPr>
                <w:rFonts w:hint="eastAsia" w:ascii="宋体" w:hAnsi="宋体" w:eastAsia="宋体" w:cs="宋体"/>
                <w:color w:val="auto"/>
                <w:sz w:val="24"/>
                <w:szCs w:val="24"/>
                <w:lang w:eastAsia="zh-CN"/>
              </w:rPr>
              <w:t>招标人</w:t>
            </w:r>
            <w:r>
              <w:rPr>
                <w:rFonts w:hint="eastAsia" w:ascii="宋体" w:hAnsi="宋体" w:eastAsia="宋体" w:cs="宋体"/>
                <w:color w:val="auto"/>
                <w:sz w:val="24"/>
                <w:szCs w:val="24"/>
              </w:rPr>
              <w:t>或系统原因，导致无法按时完成</w:t>
            </w:r>
            <w:r>
              <w:rPr>
                <w:rFonts w:hint="eastAsia" w:ascii="宋体" w:hAnsi="宋体" w:eastAsia="宋体" w:cs="宋体"/>
                <w:color w:val="auto"/>
                <w:sz w:val="24"/>
                <w:szCs w:val="24"/>
                <w:lang w:eastAsia="zh-CN"/>
              </w:rPr>
              <w:t>投标文件</w:t>
            </w:r>
            <w:r>
              <w:rPr>
                <w:rFonts w:hint="eastAsia" w:ascii="宋体" w:hAnsi="宋体" w:eastAsia="宋体" w:cs="宋体"/>
                <w:color w:val="auto"/>
                <w:sz w:val="24"/>
                <w:szCs w:val="24"/>
              </w:rPr>
              <w:t>解密或开标、评标工作无法进行的，可根据实际情况相应延迟解密时间或调整开标、评标时间。</w:t>
            </w:r>
          </w:p>
        </w:tc>
      </w:tr>
    </w:tbl>
    <w:p w14:paraId="75B7CD7F">
      <w:pPr>
        <w:jc w:val="center"/>
        <w:outlineLvl w:val="1"/>
        <w:rPr>
          <w:rFonts w:ascii="宋体"/>
          <w:b/>
          <w:bCs/>
          <w:color w:val="auto"/>
          <w:sz w:val="28"/>
        </w:rPr>
      </w:pPr>
      <w:r>
        <w:rPr>
          <w:rFonts w:hint="eastAsia" w:ascii="宋体" w:hAnsi="宋体" w:cs="宋体"/>
          <w:b/>
          <w:szCs w:val="21"/>
        </w:rPr>
        <w:br w:type="page"/>
      </w:r>
      <w:bookmarkStart w:id="7" w:name="_Toc22899"/>
      <w:bookmarkStart w:id="8" w:name="_Toc103723518"/>
      <w:r>
        <w:rPr>
          <w:rFonts w:hint="eastAsia" w:ascii="宋体"/>
          <w:b/>
          <w:bCs/>
          <w:color w:val="auto"/>
          <w:sz w:val="28"/>
        </w:rPr>
        <w:t>二、总则</w:t>
      </w:r>
      <w:bookmarkEnd w:id="7"/>
      <w:bookmarkEnd w:id="8"/>
    </w:p>
    <w:p w14:paraId="490F2602">
      <w:pPr>
        <w:spacing w:line="360" w:lineRule="auto"/>
        <w:rPr>
          <w:rFonts w:ascii="宋体" w:hAnsi="宋体"/>
          <w:color w:val="auto"/>
          <w:sz w:val="24"/>
        </w:rPr>
      </w:pPr>
      <w:r>
        <w:rPr>
          <w:rFonts w:hint="eastAsia" w:ascii="宋体" w:hAnsi="宋体"/>
          <w:b/>
          <w:color w:val="auto"/>
          <w:sz w:val="24"/>
        </w:rPr>
        <w:t>1.项目概况</w:t>
      </w:r>
    </w:p>
    <w:p w14:paraId="49632114">
      <w:pPr>
        <w:spacing w:line="360" w:lineRule="auto"/>
        <w:rPr>
          <w:rFonts w:ascii="宋体" w:hAnsi="宋体"/>
          <w:color w:val="auto"/>
          <w:sz w:val="24"/>
        </w:rPr>
      </w:pPr>
      <w:r>
        <w:rPr>
          <w:rFonts w:hint="eastAsia" w:ascii="宋体" w:hAnsi="宋体"/>
          <w:color w:val="auto"/>
          <w:sz w:val="24"/>
        </w:rPr>
        <w:t>1.1根据《中华人民共和国政府采购法》、《中华人民共和国政府采购法实施条例》等有关法律、法规和规章的规定，本采购项目已经具备招标条件，现对项目进行采购。</w:t>
      </w:r>
    </w:p>
    <w:p w14:paraId="5198D2B1">
      <w:pPr>
        <w:spacing w:line="360" w:lineRule="auto"/>
        <w:rPr>
          <w:rFonts w:ascii="宋体" w:hAnsi="宋体"/>
          <w:color w:val="auto"/>
          <w:sz w:val="24"/>
        </w:rPr>
      </w:pPr>
      <w:r>
        <w:rPr>
          <w:rFonts w:hint="eastAsia" w:ascii="宋体" w:hAnsi="宋体"/>
          <w:color w:val="auto"/>
          <w:sz w:val="24"/>
        </w:rPr>
        <w:t>1.2本采购项目采购人：见本须知前附表。</w:t>
      </w:r>
    </w:p>
    <w:p w14:paraId="2929C406">
      <w:pPr>
        <w:spacing w:line="360" w:lineRule="auto"/>
        <w:rPr>
          <w:rFonts w:ascii="宋体" w:hAnsi="宋体"/>
          <w:color w:val="auto"/>
          <w:sz w:val="24"/>
        </w:rPr>
      </w:pPr>
      <w:r>
        <w:rPr>
          <w:rFonts w:hint="eastAsia" w:ascii="宋体" w:hAnsi="宋体"/>
          <w:color w:val="auto"/>
          <w:sz w:val="24"/>
        </w:rPr>
        <w:t>1.3本采购项目采购代理机构：见本须知前附表。</w:t>
      </w:r>
    </w:p>
    <w:p w14:paraId="12F73ADB">
      <w:pPr>
        <w:spacing w:line="360" w:lineRule="auto"/>
        <w:rPr>
          <w:rFonts w:ascii="宋体" w:hAnsi="宋体"/>
          <w:color w:val="auto"/>
          <w:sz w:val="24"/>
        </w:rPr>
      </w:pPr>
      <w:r>
        <w:rPr>
          <w:rFonts w:hint="eastAsia" w:ascii="宋体" w:hAnsi="宋体"/>
          <w:color w:val="auto"/>
          <w:sz w:val="24"/>
        </w:rPr>
        <w:t>1.4本采购项目名称及项目编号：见本须知前附表。</w:t>
      </w:r>
    </w:p>
    <w:p w14:paraId="5DBC62AA">
      <w:pPr>
        <w:spacing w:line="360" w:lineRule="auto"/>
        <w:rPr>
          <w:rFonts w:ascii="宋体" w:hAnsi="宋体"/>
          <w:color w:val="auto"/>
          <w:sz w:val="24"/>
        </w:rPr>
      </w:pPr>
      <w:r>
        <w:rPr>
          <w:rFonts w:hint="eastAsia" w:ascii="宋体" w:hAnsi="宋体"/>
          <w:color w:val="auto"/>
          <w:sz w:val="24"/>
        </w:rPr>
        <w:t>1.5本项目实施地点：见本须知前附表。</w:t>
      </w:r>
    </w:p>
    <w:p w14:paraId="20CDD317">
      <w:pPr>
        <w:spacing w:line="360" w:lineRule="auto"/>
        <w:rPr>
          <w:rFonts w:ascii="宋体" w:hAnsi="宋体"/>
          <w:color w:val="auto"/>
          <w:sz w:val="24"/>
        </w:rPr>
      </w:pPr>
      <w:r>
        <w:rPr>
          <w:rFonts w:hint="eastAsia" w:ascii="宋体" w:hAnsi="宋体"/>
          <w:b/>
          <w:color w:val="auto"/>
          <w:sz w:val="24"/>
        </w:rPr>
        <w:t>2.资金来源和落实情况</w:t>
      </w:r>
    </w:p>
    <w:p w14:paraId="55C42185">
      <w:pPr>
        <w:spacing w:line="360" w:lineRule="auto"/>
        <w:rPr>
          <w:rFonts w:ascii="宋体" w:hAnsi="宋体"/>
          <w:color w:val="auto"/>
          <w:sz w:val="24"/>
        </w:rPr>
      </w:pPr>
      <w:r>
        <w:rPr>
          <w:rFonts w:hint="eastAsia" w:ascii="宋体" w:hAnsi="宋体"/>
          <w:color w:val="auto"/>
          <w:sz w:val="24"/>
        </w:rPr>
        <w:t>2.1本次采购项目的资金来源：见本须知前附表。</w:t>
      </w:r>
    </w:p>
    <w:p w14:paraId="3B474E31">
      <w:pPr>
        <w:spacing w:line="360" w:lineRule="auto"/>
        <w:rPr>
          <w:rFonts w:ascii="宋体" w:hAnsi="宋体"/>
          <w:color w:val="auto"/>
          <w:sz w:val="24"/>
        </w:rPr>
      </w:pPr>
      <w:r>
        <w:rPr>
          <w:rFonts w:hint="eastAsia" w:ascii="宋体" w:hAnsi="宋体"/>
          <w:color w:val="auto"/>
          <w:sz w:val="24"/>
        </w:rPr>
        <w:t>2.2本次采购项目的资金落实情况：见本须知前附表。</w:t>
      </w:r>
    </w:p>
    <w:p w14:paraId="6F883B5C">
      <w:pPr>
        <w:spacing w:line="360" w:lineRule="auto"/>
        <w:rPr>
          <w:rFonts w:ascii="宋体" w:hAnsi="宋体"/>
          <w:b/>
          <w:color w:val="auto"/>
          <w:sz w:val="24"/>
        </w:rPr>
      </w:pPr>
      <w:r>
        <w:rPr>
          <w:rFonts w:hint="eastAsia" w:ascii="宋体" w:hAnsi="宋体"/>
          <w:b/>
          <w:color w:val="auto"/>
          <w:sz w:val="24"/>
        </w:rPr>
        <w:t>3</w:t>
      </w:r>
      <w:r>
        <w:rPr>
          <w:rFonts w:ascii="宋体" w:hAnsi="宋体"/>
          <w:b/>
          <w:color w:val="auto"/>
          <w:sz w:val="24"/>
        </w:rPr>
        <w:t>.</w:t>
      </w:r>
      <w:r>
        <w:rPr>
          <w:rFonts w:hint="eastAsia" w:ascii="宋体" w:hAnsi="宋体"/>
          <w:b/>
          <w:color w:val="auto"/>
          <w:sz w:val="24"/>
        </w:rPr>
        <w:t>谈判采购内容、服务期和质量要求</w:t>
      </w:r>
    </w:p>
    <w:p w14:paraId="7BA0E8DC">
      <w:pPr>
        <w:spacing w:line="360" w:lineRule="auto"/>
        <w:rPr>
          <w:rFonts w:ascii="宋体" w:hAnsi="宋体"/>
          <w:color w:val="auto"/>
          <w:sz w:val="24"/>
        </w:rPr>
      </w:pPr>
      <w:r>
        <w:rPr>
          <w:rFonts w:hint="eastAsia" w:ascii="宋体" w:hAnsi="宋体"/>
          <w:color w:val="auto"/>
          <w:sz w:val="24"/>
        </w:rPr>
        <w:t>3.1本次谈判采购内容：见本须知前附表。</w:t>
      </w:r>
    </w:p>
    <w:p w14:paraId="4F809D2A">
      <w:pPr>
        <w:spacing w:line="360" w:lineRule="auto"/>
        <w:rPr>
          <w:rFonts w:ascii="宋体" w:hAnsi="宋体"/>
          <w:color w:val="auto"/>
          <w:sz w:val="24"/>
        </w:rPr>
      </w:pPr>
      <w:r>
        <w:rPr>
          <w:rFonts w:hint="eastAsia" w:ascii="宋体" w:hAnsi="宋体"/>
          <w:color w:val="auto"/>
          <w:sz w:val="24"/>
        </w:rPr>
        <w:t>3.2本次采购的供货期：见本须知前附表。</w:t>
      </w:r>
    </w:p>
    <w:p w14:paraId="03E815D0">
      <w:pPr>
        <w:spacing w:line="360" w:lineRule="auto"/>
        <w:rPr>
          <w:rFonts w:ascii="宋体" w:hAnsi="宋体"/>
          <w:color w:val="auto"/>
          <w:sz w:val="24"/>
        </w:rPr>
      </w:pPr>
      <w:r>
        <w:rPr>
          <w:rFonts w:hint="eastAsia" w:ascii="宋体" w:hAnsi="宋体"/>
          <w:color w:val="auto"/>
          <w:sz w:val="24"/>
        </w:rPr>
        <w:t>3.3本项目的质量要求：见本须知前附表。</w:t>
      </w:r>
    </w:p>
    <w:p w14:paraId="74B5267F">
      <w:pPr>
        <w:spacing w:line="360" w:lineRule="auto"/>
        <w:rPr>
          <w:rFonts w:ascii="宋体" w:hAnsi="宋体"/>
          <w:b/>
          <w:color w:val="auto"/>
          <w:sz w:val="24"/>
        </w:rPr>
      </w:pPr>
      <w:r>
        <w:rPr>
          <w:rFonts w:hint="eastAsia" w:ascii="宋体" w:hAnsi="宋体"/>
          <w:b/>
          <w:color w:val="auto"/>
          <w:sz w:val="24"/>
        </w:rPr>
        <w:t>4.谈判供应商的资格标准与合格条件</w:t>
      </w:r>
    </w:p>
    <w:p w14:paraId="7414D971">
      <w:pPr>
        <w:spacing w:line="360" w:lineRule="auto"/>
        <w:rPr>
          <w:rFonts w:ascii="宋体" w:hAnsi="宋体"/>
          <w:color w:val="auto"/>
          <w:sz w:val="24"/>
        </w:rPr>
      </w:pPr>
      <w:r>
        <w:rPr>
          <w:rFonts w:hint="eastAsia" w:ascii="宋体" w:hAnsi="宋体"/>
          <w:color w:val="auto"/>
          <w:sz w:val="24"/>
        </w:rPr>
        <w:t>4.1谈判供应商应具备承担本项目的资质条件：见本须知前附表。</w:t>
      </w:r>
    </w:p>
    <w:p w14:paraId="0D406A1F">
      <w:pPr>
        <w:spacing w:line="360" w:lineRule="auto"/>
        <w:rPr>
          <w:rFonts w:ascii="宋体" w:hAnsi="宋体"/>
          <w:color w:val="auto"/>
          <w:sz w:val="24"/>
        </w:rPr>
      </w:pPr>
      <w:r>
        <w:rPr>
          <w:rFonts w:ascii="宋体" w:hAnsi="宋体"/>
          <w:color w:val="auto"/>
          <w:sz w:val="24"/>
        </w:rPr>
        <w:t>4</w:t>
      </w:r>
      <w:r>
        <w:rPr>
          <w:rFonts w:hint="eastAsia" w:ascii="宋体" w:hAnsi="宋体"/>
          <w:color w:val="auto"/>
          <w:sz w:val="24"/>
        </w:rPr>
        <w:t>.2本项目是否接授联合体响应：见本须知前附表。</w:t>
      </w:r>
    </w:p>
    <w:p w14:paraId="20A4A1BA">
      <w:pPr>
        <w:spacing w:line="360" w:lineRule="auto"/>
        <w:rPr>
          <w:rFonts w:ascii="宋体" w:hAnsi="宋体"/>
          <w:color w:val="auto"/>
          <w:sz w:val="24"/>
        </w:rPr>
      </w:pPr>
      <w:r>
        <w:rPr>
          <w:rFonts w:hint="eastAsia" w:ascii="宋体" w:hAnsi="宋体"/>
          <w:color w:val="auto"/>
          <w:sz w:val="24"/>
        </w:rPr>
        <w:t>4.3谈判供应商不得存在下列情形之一：</w:t>
      </w:r>
    </w:p>
    <w:p w14:paraId="5F00ABC1">
      <w:pPr>
        <w:spacing w:line="360" w:lineRule="auto"/>
        <w:rPr>
          <w:rFonts w:ascii="宋体" w:hAnsi="宋体"/>
          <w:color w:val="auto"/>
          <w:sz w:val="24"/>
        </w:rPr>
      </w:pPr>
      <w:r>
        <w:rPr>
          <w:rFonts w:hint="eastAsia" w:ascii="宋体" w:hAnsi="宋体"/>
          <w:color w:val="auto"/>
          <w:sz w:val="24"/>
        </w:rPr>
        <w:t>4.3.1为采购人的不具有独立法人资格的附属机构（单位）；</w:t>
      </w:r>
    </w:p>
    <w:p w14:paraId="6B7C1A90">
      <w:pPr>
        <w:spacing w:line="360" w:lineRule="auto"/>
        <w:rPr>
          <w:rFonts w:ascii="宋体" w:hAnsi="宋体"/>
          <w:color w:val="auto"/>
          <w:sz w:val="24"/>
        </w:rPr>
      </w:pPr>
      <w:r>
        <w:rPr>
          <w:rFonts w:ascii="宋体" w:hAnsi="宋体"/>
          <w:color w:val="auto"/>
          <w:sz w:val="24"/>
        </w:rPr>
        <w:t>4.3.2</w:t>
      </w:r>
      <w:r>
        <w:rPr>
          <w:rFonts w:hint="eastAsia" w:ascii="宋体" w:hAnsi="宋体"/>
          <w:color w:val="auto"/>
          <w:sz w:val="24"/>
        </w:rPr>
        <w:t>与</w:t>
      </w:r>
      <w:r>
        <w:rPr>
          <w:rFonts w:ascii="宋体" w:hAnsi="宋体"/>
          <w:color w:val="auto"/>
          <w:sz w:val="24"/>
        </w:rPr>
        <w:t>本项目其他谈判供应商</w:t>
      </w:r>
      <w:r>
        <w:rPr>
          <w:rFonts w:hint="eastAsia" w:ascii="宋体" w:hAnsi="宋体"/>
          <w:color w:val="auto"/>
          <w:sz w:val="24"/>
        </w:rPr>
        <w:t>单位</w:t>
      </w:r>
      <w:r>
        <w:rPr>
          <w:rFonts w:ascii="宋体" w:hAnsi="宋体"/>
          <w:color w:val="auto"/>
          <w:sz w:val="24"/>
        </w:rPr>
        <w:t>负责人为同一人</w:t>
      </w:r>
      <w:r>
        <w:rPr>
          <w:rFonts w:hint="eastAsia" w:ascii="宋体" w:hAnsi="宋体"/>
          <w:color w:val="auto"/>
          <w:sz w:val="24"/>
        </w:rPr>
        <w:t>或</w:t>
      </w:r>
      <w:r>
        <w:rPr>
          <w:rFonts w:ascii="宋体" w:hAnsi="宋体"/>
          <w:color w:val="auto"/>
          <w:sz w:val="24"/>
        </w:rPr>
        <w:t>存在控股</w:t>
      </w:r>
      <w:r>
        <w:rPr>
          <w:rFonts w:hint="eastAsia" w:ascii="宋体" w:hAnsi="宋体"/>
          <w:color w:val="auto"/>
          <w:sz w:val="24"/>
        </w:rPr>
        <w:t>、</w:t>
      </w:r>
      <w:r>
        <w:rPr>
          <w:rFonts w:ascii="宋体" w:hAnsi="宋体"/>
          <w:color w:val="auto"/>
          <w:sz w:val="24"/>
        </w:rPr>
        <w:t>管理关系的；</w:t>
      </w:r>
    </w:p>
    <w:p w14:paraId="5CEA3E87">
      <w:pPr>
        <w:spacing w:line="360" w:lineRule="auto"/>
        <w:rPr>
          <w:rFonts w:ascii="宋体" w:hAnsi="宋体"/>
          <w:color w:val="auto"/>
          <w:sz w:val="24"/>
        </w:rPr>
      </w:pPr>
      <w:r>
        <w:rPr>
          <w:rFonts w:hint="eastAsia" w:ascii="宋体" w:hAnsi="宋体"/>
          <w:color w:val="auto"/>
          <w:sz w:val="24"/>
        </w:rPr>
        <w:t>4.3.</w:t>
      </w:r>
      <w:r>
        <w:rPr>
          <w:rFonts w:ascii="宋体" w:hAnsi="宋体"/>
          <w:color w:val="auto"/>
          <w:sz w:val="24"/>
        </w:rPr>
        <w:t>3</w:t>
      </w:r>
      <w:r>
        <w:rPr>
          <w:rFonts w:hint="eastAsia" w:ascii="宋体" w:hAnsi="宋体"/>
          <w:color w:val="auto"/>
          <w:sz w:val="24"/>
        </w:rPr>
        <w:t>为本项目前期准备提供设计或咨询服务的；</w:t>
      </w:r>
    </w:p>
    <w:p w14:paraId="12EB1E78">
      <w:pPr>
        <w:spacing w:line="360" w:lineRule="auto"/>
        <w:rPr>
          <w:rFonts w:ascii="宋体" w:hAnsi="宋体"/>
          <w:color w:val="auto"/>
          <w:sz w:val="24"/>
        </w:rPr>
      </w:pPr>
      <w:r>
        <w:rPr>
          <w:rFonts w:hint="eastAsia" w:ascii="宋体" w:hAnsi="宋体"/>
          <w:color w:val="auto"/>
          <w:sz w:val="24"/>
        </w:rPr>
        <w:t>4.3.</w:t>
      </w:r>
      <w:r>
        <w:rPr>
          <w:rFonts w:ascii="宋体" w:hAnsi="宋体"/>
          <w:color w:val="auto"/>
          <w:sz w:val="24"/>
        </w:rPr>
        <w:t>4</w:t>
      </w:r>
      <w:r>
        <w:rPr>
          <w:rFonts w:hint="eastAsia" w:ascii="宋体" w:hAnsi="宋体"/>
          <w:color w:val="auto"/>
          <w:sz w:val="24"/>
        </w:rPr>
        <w:t>被责令停业的；</w:t>
      </w:r>
    </w:p>
    <w:p w14:paraId="149DE2BD">
      <w:pPr>
        <w:spacing w:line="360" w:lineRule="auto"/>
        <w:rPr>
          <w:rFonts w:ascii="宋体" w:hAnsi="宋体"/>
          <w:color w:val="auto"/>
          <w:sz w:val="24"/>
        </w:rPr>
      </w:pPr>
      <w:r>
        <w:rPr>
          <w:rFonts w:hint="eastAsia" w:ascii="宋体" w:hAnsi="宋体"/>
          <w:color w:val="auto"/>
          <w:sz w:val="24"/>
        </w:rPr>
        <w:t>4.3.5被暂停或取消谈判资格的；</w:t>
      </w:r>
    </w:p>
    <w:p w14:paraId="5596A842">
      <w:pPr>
        <w:spacing w:line="360" w:lineRule="auto"/>
        <w:rPr>
          <w:rFonts w:ascii="宋体" w:hAnsi="宋体"/>
          <w:color w:val="auto"/>
          <w:sz w:val="24"/>
        </w:rPr>
      </w:pPr>
      <w:r>
        <w:rPr>
          <w:rFonts w:hint="eastAsia" w:ascii="宋体" w:hAnsi="宋体"/>
          <w:color w:val="auto"/>
          <w:sz w:val="24"/>
        </w:rPr>
        <w:t>4.3.6财产被接管或冻结的；</w:t>
      </w:r>
    </w:p>
    <w:p w14:paraId="11D806DF">
      <w:pPr>
        <w:spacing w:line="360" w:lineRule="auto"/>
        <w:rPr>
          <w:rFonts w:ascii="宋体" w:hAnsi="宋体"/>
          <w:color w:val="auto"/>
          <w:sz w:val="24"/>
        </w:rPr>
      </w:pPr>
      <w:r>
        <w:rPr>
          <w:rFonts w:hint="eastAsia" w:ascii="宋体" w:hAnsi="宋体"/>
          <w:color w:val="auto"/>
          <w:sz w:val="24"/>
        </w:rPr>
        <w:t>4.3.7在最近三年内有骗取中标或严重违约或重大质量问题的；</w:t>
      </w:r>
    </w:p>
    <w:p w14:paraId="54A2A01C">
      <w:pPr>
        <w:spacing w:line="360" w:lineRule="auto"/>
        <w:rPr>
          <w:rFonts w:ascii="宋体" w:hAnsi="宋体"/>
          <w:color w:val="auto"/>
          <w:sz w:val="24"/>
        </w:rPr>
      </w:pPr>
      <w:r>
        <w:rPr>
          <w:rFonts w:hint="eastAsia" w:ascii="宋体" w:hAnsi="宋体"/>
          <w:b/>
          <w:color w:val="auto"/>
          <w:sz w:val="24"/>
        </w:rPr>
        <w:t>5.谈判响应费用</w:t>
      </w:r>
    </w:p>
    <w:p w14:paraId="2A4480DE">
      <w:pPr>
        <w:spacing w:line="360" w:lineRule="auto"/>
        <w:ind w:firstLine="480" w:firstLineChars="200"/>
        <w:rPr>
          <w:rFonts w:ascii="宋体" w:hAnsi="宋体"/>
          <w:color w:val="auto"/>
          <w:sz w:val="24"/>
        </w:rPr>
      </w:pPr>
      <w:r>
        <w:rPr>
          <w:rFonts w:hint="eastAsia" w:ascii="宋体" w:hAnsi="宋体"/>
          <w:color w:val="auto"/>
          <w:sz w:val="24"/>
        </w:rPr>
        <w:t>谈判供应商应承担其从谈判报名直至谈判响应文件提交的谈判全过程所涉及的一切费用。在任何情况下采购人对上述费用均不负任何责任。</w:t>
      </w:r>
    </w:p>
    <w:p w14:paraId="687193DD">
      <w:pPr>
        <w:spacing w:line="360" w:lineRule="auto"/>
        <w:rPr>
          <w:rFonts w:ascii="宋体" w:hAnsi="宋体"/>
          <w:b/>
          <w:color w:val="auto"/>
          <w:sz w:val="24"/>
        </w:rPr>
      </w:pPr>
      <w:r>
        <w:rPr>
          <w:rFonts w:hint="eastAsia" w:ascii="宋体" w:hAnsi="宋体"/>
          <w:b/>
          <w:color w:val="auto"/>
          <w:sz w:val="24"/>
        </w:rPr>
        <w:t>6.语言文字</w:t>
      </w:r>
    </w:p>
    <w:p w14:paraId="6B343284">
      <w:pPr>
        <w:spacing w:line="360" w:lineRule="auto"/>
        <w:ind w:firstLine="480"/>
        <w:rPr>
          <w:rFonts w:ascii="宋体" w:hAnsi="宋体"/>
          <w:color w:val="auto"/>
          <w:sz w:val="24"/>
        </w:rPr>
      </w:pPr>
      <w:r>
        <w:rPr>
          <w:rFonts w:hint="eastAsia" w:ascii="宋体" w:hAnsi="宋体"/>
          <w:color w:val="auto"/>
          <w:sz w:val="24"/>
        </w:rPr>
        <w:t>除专用术语外，与招标投标有关的语言均使用中文。必要时专用术语应附有中文注释。</w:t>
      </w:r>
    </w:p>
    <w:p w14:paraId="6D066DAA">
      <w:pPr>
        <w:spacing w:line="360" w:lineRule="auto"/>
        <w:rPr>
          <w:rFonts w:ascii="宋体" w:hAnsi="宋体"/>
          <w:b/>
          <w:color w:val="auto"/>
          <w:sz w:val="24"/>
        </w:rPr>
      </w:pPr>
      <w:r>
        <w:rPr>
          <w:rFonts w:hint="eastAsia" w:ascii="宋体" w:hAnsi="宋体"/>
          <w:b/>
          <w:color w:val="auto"/>
          <w:sz w:val="24"/>
        </w:rPr>
        <w:t>7.计量单位</w:t>
      </w:r>
    </w:p>
    <w:p w14:paraId="275F5174">
      <w:pPr>
        <w:spacing w:line="360" w:lineRule="auto"/>
        <w:ind w:firstLine="480" w:firstLineChars="200"/>
        <w:rPr>
          <w:rFonts w:ascii="宋体" w:hAnsi="宋体"/>
          <w:color w:val="auto"/>
          <w:sz w:val="24"/>
        </w:rPr>
      </w:pPr>
      <w:r>
        <w:rPr>
          <w:rFonts w:hint="eastAsia" w:ascii="宋体" w:hAnsi="宋体"/>
          <w:color w:val="auto"/>
          <w:sz w:val="24"/>
        </w:rPr>
        <w:t>所有的计量均采用中华人民共和国法定计量单位。</w:t>
      </w:r>
    </w:p>
    <w:p w14:paraId="7F6DC831">
      <w:pPr>
        <w:spacing w:line="360" w:lineRule="auto"/>
        <w:rPr>
          <w:rFonts w:ascii="宋体" w:hAnsi="宋体"/>
          <w:b/>
          <w:color w:val="auto"/>
          <w:sz w:val="24"/>
        </w:rPr>
      </w:pPr>
      <w:r>
        <w:rPr>
          <w:rFonts w:hint="eastAsia" w:ascii="宋体" w:hAnsi="宋体"/>
          <w:b/>
          <w:color w:val="auto"/>
          <w:sz w:val="24"/>
        </w:rPr>
        <w:t>8.现场踏勘</w:t>
      </w:r>
    </w:p>
    <w:p w14:paraId="5A384F09">
      <w:pPr>
        <w:spacing w:line="360" w:lineRule="auto"/>
        <w:ind w:firstLine="480" w:firstLineChars="200"/>
        <w:rPr>
          <w:rFonts w:ascii="宋体" w:hAnsi="宋体"/>
          <w:color w:val="auto"/>
          <w:sz w:val="24"/>
        </w:rPr>
      </w:pPr>
      <w:r>
        <w:rPr>
          <w:rFonts w:hint="eastAsia" w:ascii="宋体" w:hAnsi="宋体"/>
          <w:color w:val="auto"/>
          <w:sz w:val="24"/>
        </w:rPr>
        <w:t>见本须知前附表。</w:t>
      </w:r>
    </w:p>
    <w:p w14:paraId="03AA9EDB">
      <w:pPr>
        <w:spacing w:line="360" w:lineRule="auto"/>
        <w:rPr>
          <w:rFonts w:ascii="宋体" w:hAnsi="宋体"/>
          <w:b/>
          <w:color w:val="auto"/>
          <w:sz w:val="24"/>
        </w:rPr>
      </w:pPr>
      <w:r>
        <w:rPr>
          <w:rFonts w:hint="eastAsia" w:ascii="宋体" w:hAnsi="宋体"/>
          <w:b/>
          <w:color w:val="auto"/>
          <w:sz w:val="24"/>
        </w:rPr>
        <w:t>9.答疑会</w:t>
      </w:r>
    </w:p>
    <w:p w14:paraId="13F73F34">
      <w:pPr>
        <w:spacing w:line="360" w:lineRule="auto"/>
        <w:ind w:firstLine="480" w:firstLineChars="200"/>
        <w:rPr>
          <w:rFonts w:hint="eastAsia" w:ascii="宋体" w:hAnsi="宋体"/>
          <w:color w:val="auto"/>
          <w:sz w:val="24"/>
        </w:rPr>
      </w:pPr>
      <w:r>
        <w:rPr>
          <w:rFonts w:hint="eastAsia" w:ascii="宋体" w:hAnsi="宋体"/>
          <w:color w:val="auto"/>
          <w:sz w:val="24"/>
        </w:rPr>
        <w:t>见本须知前附表。</w:t>
      </w:r>
    </w:p>
    <w:p w14:paraId="770C384A">
      <w:pPr>
        <w:spacing w:line="360" w:lineRule="auto"/>
        <w:rPr>
          <w:rFonts w:ascii="宋体" w:hAnsi="宋体"/>
          <w:b/>
          <w:color w:val="auto"/>
          <w:sz w:val="24"/>
        </w:rPr>
      </w:pPr>
      <w:r>
        <w:rPr>
          <w:rFonts w:hint="eastAsia" w:ascii="宋体" w:hAnsi="宋体"/>
          <w:b/>
          <w:color w:val="auto"/>
          <w:sz w:val="24"/>
        </w:rPr>
        <w:t>10.分包</w:t>
      </w:r>
    </w:p>
    <w:p w14:paraId="59C6DED4">
      <w:pPr>
        <w:spacing w:line="360" w:lineRule="auto"/>
        <w:ind w:firstLine="480" w:firstLineChars="200"/>
        <w:rPr>
          <w:rFonts w:ascii="宋体" w:hAnsi="宋体"/>
          <w:color w:val="auto"/>
          <w:sz w:val="24"/>
        </w:rPr>
      </w:pPr>
      <w:r>
        <w:rPr>
          <w:rFonts w:hint="eastAsia" w:ascii="宋体" w:hAnsi="宋体"/>
          <w:color w:val="auto"/>
          <w:sz w:val="24"/>
        </w:rPr>
        <w:t>见本须知前附表。</w:t>
      </w:r>
    </w:p>
    <w:p w14:paraId="5EE09F96">
      <w:pPr>
        <w:spacing w:line="360" w:lineRule="auto"/>
        <w:rPr>
          <w:rFonts w:ascii="宋体" w:hAnsi="宋体"/>
          <w:b/>
          <w:color w:val="auto"/>
          <w:sz w:val="24"/>
        </w:rPr>
      </w:pPr>
      <w:r>
        <w:rPr>
          <w:rFonts w:hint="eastAsia" w:ascii="宋体" w:hAnsi="宋体"/>
          <w:b/>
          <w:color w:val="auto"/>
          <w:sz w:val="24"/>
        </w:rPr>
        <w:t>11.偏离</w:t>
      </w:r>
    </w:p>
    <w:p w14:paraId="613AE689">
      <w:pPr>
        <w:spacing w:line="360" w:lineRule="auto"/>
        <w:ind w:firstLine="480" w:firstLineChars="200"/>
        <w:rPr>
          <w:rFonts w:ascii="宋体" w:hAnsi="宋体"/>
          <w:color w:val="auto"/>
          <w:sz w:val="24"/>
        </w:rPr>
      </w:pPr>
      <w:r>
        <w:rPr>
          <w:rFonts w:hint="eastAsia" w:ascii="宋体" w:hAnsi="宋体"/>
          <w:color w:val="auto"/>
          <w:sz w:val="24"/>
        </w:rPr>
        <w:t>见本须知前附表。</w:t>
      </w:r>
    </w:p>
    <w:p w14:paraId="5BCD66FA">
      <w:pPr>
        <w:spacing w:line="360" w:lineRule="auto"/>
        <w:rPr>
          <w:rFonts w:ascii="宋体" w:hAnsi="宋体"/>
          <w:color w:val="auto"/>
          <w:sz w:val="24"/>
        </w:rPr>
      </w:pPr>
    </w:p>
    <w:p w14:paraId="0B5DF614">
      <w:pPr>
        <w:spacing w:line="360" w:lineRule="auto"/>
        <w:jc w:val="center"/>
        <w:outlineLvl w:val="1"/>
        <w:rPr>
          <w:rFonts w:ascii="宋体" w:hAnsi="宋体"/>
          <w:b/>
          <w:color w:val="auto"/>
          <w:sz w:val="24"/>
        </w:rPr>
      </w:pPr>
      <w:bookmarkStart w:id="9" w:name="_Toc18737"/>
      <w:bookmarkStart w:id="10" w:name="_Toc103723519"/>
      <w:r>
        <w:rPr>
          <w:rFonts w:hint="eastAsia" w:ascii="宋体" w:hAnsi="宋体"/>
          <w:b/>
          <w:color w:val="auto"/>
          <w:sz w:val="28"/>
        </w:rPr>
        <w:t>三、谈判文件</w:t>
      </w:r>
      <w:bookmarkEnd w:id="9"/>
      <w:bookmarkEnd w:id="10"/>
    </w:p>
    <w:p w14:paraId="1B193D5A">
      <w:pPr>
        <w:spacing w:line="360" w:lineRule="auto"/>
        <w:rPr>
          <w:rFonts w:ascii="宋体" w:hAnsi="宋体"/>
          <w:color w:val="auto"/>
          <w:sz w:val="24"/>
        </w:rPr>
      </w:pPr>
      <w:r>
        <w:rPr>
          <w:rFonts w:hint="eastAsia" w:ascii="宋体" w:hAnsi="宋体"/>
          <w:b/>
          <w:color w:val="auto"/>
          <w:sz w:val="24"/>
        </w:rPr>
        <w:t>12.谈判文件的组成</w:t>
      </w:r>
    </w:p>
    <w:p w14:paraId="6FEEE28A">
      <w:pPr>
        <w:spacing w:line="360" w:lineRule="auto"/>
        <w:rPr>
          <w:rFonts w:ascii="宋体" w:hAnsi="宋体"/>
          <w:color w:val="auto"/>
          <w:sz w:val="24"/>
        </w:rPr>
      </w:pPr>
      <w:r>
        <w:rPr>
          <w:rFonts w:hint="eastAsia" w:ascii="宋体" w:hAnsi="宋体"/>
          <w:color w:val="auto"/>
          <w:sz w:val="24"/>
        </w:rPr>
        <w:t>12.1本谈判文件包括下列文件及按本须知第</w:t>
      </w:r>
      <w:r>
        <w:rPr>
          <w:rFonts w:hint="eastAsia" w:ascii="宋体" w:hAnsi="宋体"/>
          <w:color w:val="auto"/>
          <w:sz w:val="24"/>
          <w:lang w:val="en-US" w:eastAsia="zh-CN"/>
        </w:rPr>
        <w:t>15</w:t>
      </w:r>
      <w:r>
        <w:rPr>
          <w:rFonts w:hint="eastAsia" w:ascii="宋体" w:hAnsi="宋体"/>
          <w:color w:val="auto"/>
          <w:sz w:val="24"/>
        </w:rPr>
        <w:t>条所述的答疑文件、发出的补充文件。</w:t>
      </w:r>
    </w:p>
    <w:p w14:paraId="182114BA">
      <w:pPr>
        <w:spacing w:line="360" w:lineRule="auto"/>
        <w:ind w:firstLine="480" w:firstLineChars="200"/>
        <w:rPr>
          <w:rFonts w:ascii="宋体" w:hAnsi="宋体"/>
          <w:color w:val="auto"/>
          <w:sz w:val="24"/>
        </w:rPr>
      </w:pPr>
      <w:r>
        <w:rPr>
          <w:rFonts w:hint="eastAsia" w:ascii="宋体" w:hAnsi="宋体"/>
          <w:color w:val="auto"/>
          <w:sz w:val="24"/>
        </w:rPr>
        <w:t>第一章  竞争性谈判公告</w:t>
      </w:r>
    </w:p>
    <w:p w14:paraId="5E397831">
      <w:pPr>
        <w:spacing w:line="360" w:lineRule="auto"/>
        <w:ind w:firstLine="480" w:firstLineChars="200"/>
        <w:rPr>
          <w:rFonts w:ascii="宋体" w:hAnsi="宋体"/>
          <w:color w:val="auto"/>
          <w:sz w:val="24"/>
        </w:rPr>
      </w:pPr>
      <w:r>
        <w:rPr>
          <w:rFonts w:hint="eastAsia" w:ascii="宋体" w:hAnsi="宋体"/>
          <w:color w:val="auto"/>
          <w:sz w:val="24"/>
        </w:rPr>
        <w:t xml:space="preserve">第二章 </w:t>
      </w:r>
      <w:r>
        <w:rPr>
          <w:rFonts w:hint="eastAsia" w:ascii="宋体" w:hAnsi="宋体"/>
          <w:color w:val="auto"/>
          <w:sz w:val="24"/>
          <w:lang w:val="en-US" w:eastAsia="zh-CN"/>
        </w:rPr>
        <w:t xml:space="preserve"> </w:t>
      </w:r>
      <w:r>
        <w:rPr>
          <w:rFonts w:hint="eastAsia" w:ascii="宋体" w:hAnsi="宋体"/>
          <w:color w:val="auto"/>
          <w:sz w:val="24"/>
        </w:rPr>
        <w:t>供应商须知</w:t>
      </w:r>
    </w:p>
    <w:p w14:paraId="27A3EBCB">
      <w:pPr>
        <w:spacing w:line="360" w:lineRule="auto"/>
        <w:ind w:firstLine="480" w:firstLineChars="200"/>
        <w:rPr>
          <w:rFonts w:hint="eastAsia" w:ascii="宋体" w:hAnsi="宋体" w:eastAsia="宋体" w:cs="Times New Roman"/>
          <w:color w:val="auto"/>
          <w:sz w:val="24"/>
        </w:rPr>
      </w:pPr>
      <w:r>
        <w:rPr>
          <w:rFonts w:hint="eastAsia" w:ascii="宋体" w:hAnsi="宋体"/>
          <w:color w:val="auto"/>
          <w:sz w:val="24"/>
        </w:rPr>
        <w:t xml:space="preserve">第三章 </w:t>
      </w:r>
      <w:r>
        <w:rPr>
          <w:rFonts w:hint="eastAsia" w:ascii="宋体" w:hAnsi="宋体" w:eastAsia="宋体" w:cs="Times New Roman"/>
          <w:color w:val="auto"/>
          <w:sz w:val="24"/>
        </w:rPr>
        <w:t xml:space="preserve"> 采购需求（“采购需求”中的所有条款要求均为实质性要求）；</w:t>
      </w:r>
    </w:p>
    <w:p w14:paraId="64ED3EC0">
      <w:pPr>
        <w:spacing w:line="360" w:lineRule="auto"/>
        <w:ind w:firstLine="480" w:firstLineChars="200"/>
        <w:rPr>
          <w:rFonts w:hint="eastAsia" w:ascii="宋体" w:hAnsi="宋体" w:eastAsia="宋体" w:cs="Times New Roman"/>
          <w:color w:val="auto"/>
          <w:sz w:val="24"/>
          <w:lang w:eastAsia="zh-CN"/>
        </w:rPr>
      </w:pPr>
      <w:r>
        <w:rPr>
          <w:rFonts w:hint="eastAsia" w:ascii="宋体" w:hAnsi="宋体" w:eastAsia="宋体" w:cs="Times New Roman"/>
          <w:color w:val="auto"/>
          <w:sz w:val="24"/>
        </w:rPr>
        <w:t>第四章  评审</w:t>
      </w:r>
      <w:r>
        <w:rPr>
          <w:rFonts w:hint="eastAsia" w:ascii="宋体" w:hAnsi="宋体" w:cs="Times New Roman"/>
          <w:color w:val="auto"/>
          <w:sz w:val="24"/>
          <w:lang w:eastAsia="zh-CN"/>
        </w:rPr>
        <w:t>办法</w:t>
      </w:r>
    </w:p>
    <w:p w14:paraId="21BA6C5F">
      <w:pPr>
        <w:spacing w:line="360" w:lineRule="auto"/>
        <w:ind w:firstLine="480" w:firstLineChars="200"/>
        <w:rPr>
          <w:rFonts w:hint="eastAsia" w:ascii="宋体" w:hAnsi="宋体" w:eastAsia="宋体" w:cs="Times New Roman"/>
          <w:color w:val="auto"/>
          <w:sz w:val="24"/>
          <w:lang w:eastAsia="zh-CN"/>
        </w:rPr>
      </w:pPr>
      <w:r>
        <w:rPr>
          <w:rFonts w:hint="eastAsia" w:ascii="宋体" w:hAnsi="宋体" w:eastAsia="宋体" w:cs="Times New Roman"/>
          <w:color w:val="auto"/>
          <w:sz w:val="24"/>
        </w:rPr>
        <w:t xml:space="preserve">第五章  </w:t>
      </w:r>
      <w:r>
        <w:rPr>
          <w:rFonts w:hint="eastAsia" w:ascii="宋体" w:hAnsi="宋体" w:cs="Times New Roman"/>
          <w:color w:val="auto"/>
          <w:sz w:val="24"/>
          <w:lang w:eastAsia="zh-CN"/>
        </w:rPr>
        <w:t>合同主要条款及格式</w:t>
      </w:r>
    </w:p>
    <w:p w14:paraId="0CA78B79">
      <w:pPr>
        <w:spacing w:line="360" w:lineRule="auto"/>
        <w:ind w:firstLine="480" w:firstLineChars="200"/>
        <w:rPr>
          <w:rFonts w:hint="eastAsia" w:ascii="宋体" w:hAnsi="宋体" w:eastAsia="宋体" w:cs="Times New Roman"/>
          <w:color w:val="auto"/>
          <w:sz w:val="24"/>
        </w:rPr>
      </w:pPr>
      <w:r>
        <w:rPr>
          <w:rFonts w:hint="eastAsia" w:ascii="宋体" w:hAnsi="宋体" w:eastAsia="宋体" w:cs="Times New Roman"/>
          <w:color w:val="auto"/>
          <w:sz w:val="24"/>
        </w:rPr>
        <w:t>第六章  响应文件格式</w:t>
      </w:r>
    </w:p>
    <w:p w14:paraId="6F6E485A">
      <w:pPr>
        <w:spacing w:line="360" w:lineRule="auto"/>
        <w:ind w:firstLine="480" w:firstLineChars="200"/>
        <w:rPr>
          <w:rFonts w:hint="default" w:ascii="宋体" w:hAnsi="宋体" w:eastAsia="宋体" w:cs="Times New Roman"/>
          <w:color w:val="auto"/>
          <w:sz w:val="24"/>
          <w:lang w:val="en-US" w:eastAsia="zh-CN"/>
        </w:rPr>
      </w:pPr>
      <w:r>
        <w:rPr>
          <w:rFonts w:hint="eastAsia" w:ascii="宋体" w:hAnsi="宋体" w:cs="Times New Roman"/>
          <w:color w:val="auto"/>
          <w:sz w:val="24"/>
          <w:lang w:eastAsia="zh-CN"/>
        </w:rPr>
        <w:t>第七章</w:t>
      </w:r>
      <w:r>
        <w:rPr>
          <w:rFonts w:hint="eastAsia" w:ascii="宋体" w:hAnsi="宋体" w:cs="Times New Roman"/>
          <w:color w:val="auto"/>
          <w:sz w:val="24"/>
          <w:lang w:val="en-US" w:eastAsia="zh-CN"/>
        </w:rPr>
        <w:t xml:space="preserve">  附件</w:t>
      </w:r>
    </w:p>
    <w:p w14:paraId="124D417A">
      <w:pPr>
        <w:autoSpaceDE w:val="0"/>
        <w:autoSpaceDN w:val="0"/>
        <w:adjustRightInd w:val="0"/>
        <w:spacing w:line="360" w:lineRule="auto"/>
        <w:rPr>
          <w:rFonts w:hint="eastAsia" w:ascii="宋体" w:hAnsi="宋体" w:cs="宋体"/>
          <w:color w:val="auto"/>
          <w:sz w:val="24"/>
          <w:lang w:val="zh-CN"/>
        </w:rPr>
      </w:pPr>
      <w:r>
        <w:rPr>
          <w:rFonts w:hint="eastAsia" w:ascii="宋体" w:hAnsi="宋体"/>
          <w:color w:val="auto"/>
          <w:sz w:val="24"/>
        </w:rPr>
        <w:t>12.2</w:t>
      </w:r>
      <w:r>
        <w:rPr>
          <w:rFonts w:hint="eastAsia" w:ascii="宋体" w:hAnsi="宋体" w:cs="宋体"/>
          <w:color w:val="auto"/>
          <w:sz w:val="24"/>
          <w:lang w:val="zh-CN"/>
        </w:rPr>
        <w:t>任何要求对谈判文件进行澄清的供应商，均应执行《中华人民共和国政府采购法实施条例》第五十三条规定，在“政采云”平台（https://www.zcygov.cn/）上提问的形式向采购人提出澄清要求。无论是采购人根据需要主动对采购文件进行必要的澄清，还是根据供应商的要求对谈判文件做出澄清，采购人都将于投标截止时间前</w:t>
      </w:r>
      <w:r>
        <w:rPr>
          <w:rFonts w:hint="eastAsia" w:ascii="宋体" w:hAnsi="宋体" w:cs="宋体"/>
          <w:color w:val="auto"/>
          <w:sz w:val="24"/>
          <w:lang w:val="en-US" w:eastAsia="zh-CN"/>
        </w:rPr>
        <w:t>3</w:t>
      </w:r>
      <w:r>
        <w:rPr>
          <w:rFonts w:hint="eastAsia" w:ascii="宋体" w:hAnsi="宋体" w:cs="宋体"/>
          <w:color w:val="auto"/>
          <w:sz w:val="24"/>
          <w:lang w:val="zh-CN"/>
        </w:rPr>
        <w:t>个工作日在“政采云”平台（https://www.zcygov.cn/）上公布予以澄清。供应商应自主在网上查看，该澄清作为谈判文件的组成部分，具有约束作用。</w:t>
      </w:r>
    </w:p>
    <w:p w14:paraId="566EF878">
      <w:pPr>
        <w:spacing w:line="360" w:lineRule="auto"/>
        <w:rPr>
          <w:rFonts w:ascii="宋体" w:hAnsi="宋体"/>
          <w:b/>
          <w:color w:val="auto"/>
          <w:sz w:val="24"/>
        </w:rPr>
      </w:pPr>
      <w:r>
        <w:rPr>
          <w:rFonts w:hint="eastAsia" w:ascii="宋体" w:hAnsi="宋体"/>
          <w:b/>
          <w:bCs/>
          <w:color w:val="auto"/>
          <w:sz w:val="24"/>
        </w:rPr>
        <w:t>13.</w:t>
      </w:r>
      <w:r>
        <w:rPr>
          <w:rFonts w:hint="eastAsia" w:ascii="宋体" w:hAnsi="宋体"/>
          <w:b/>
          <w:color w:val="auto"/>
          <w:sz w:val="24"/>
        </w:rPr>
        <w:t>谈判文件的澄清</w:t>
      </w:r>
    </w:p>
    <w:p w14:paraId="31AD786C">
      <w:pPr>
        <w:spacing w:line="360" w:lineRule="auto"/>
        <w:rPr>
          <w:rFonts w:hint="eastAsia" w:ascii="宋体" w:hAnsi="宋体" w:eastAsia="宋体" w:cs="宋体"/>
          <w:spacing w:val="10"/>
          <w:kern w:val="2"/>
          <w:sz w:val="24"/>
          <w:szCs w:val="24"/>
        </w:rPr>
      </w:pPr>
      <w:r>
        <w:rPr>
          <w:rFonts w:hint="eastAsia" w:ascii="宋体" w:hAnsi="宋体"/>
          <w:color w:val="auto"/>
          <w:sz w:val="24"/>
        </w:rPr>
        <w:t>13.1谈判供应商获取谈判文件后，应仔细检查谈判文件的所有内容，</w:t>
      </w:r>
      <w:r>
        <w:rPr>
          <w:rFonts w:hint="eastAsia" w:ascii="宋体" w:hAnsi="宋体" w:eastAsia="宋体" w:cs="宋体"/>
          <w:spacing w:val="10"/>
          <w:kern w:val="2"/>
          <w:sz w:val="24"/>
          <w:szCs w:val="24"/>
        </w:rPr>
        <w:t>如发现缺页或附件不全，应及时向</w:t>
      </w:r>
      <w:r>
        <w:rPr>
          <w:rFonts w:hint="eastAsia" w:ascii="宋体" w:hAnsi="宋体" w:cs="宋体"/>
          <w:spacing w:val="10"/>
          <w:kern w:val="2"/>
          <w:sz w:val="24"/>
          <w:szCs w:val="24"/>
          <w:lang w:eastAsia="zh-CN"/>
        </w:rPr>
        <w:t>采</w:t>
      </w:r>
      <w:r>
        <w:rPr>
          <w:rFonts w:hint="eastAsia" w:ascii="宋体" w:hAnsi="宋体" w:cs="宋体"/>
          <w:color w:val="auto"/>
          <w:spacing w:val="10"/>
          <w:kern w:val="2"/>
          <w:sz w:val="24"/>
          <w:szCs w:val="24"/>
          <w:lang w:eastAsia="zh-CN"/>
        </w:rPr>
        <w:t>购</w:t>
      </w:r>
      <w:r>
        <w:rPr>
          <w:rFonts w:hint="eastAsia" w:ascii="宋体" w:hAnsi="宋体" w:eastAsia="宋体" w:cs="宋体"/>
          <w:color w:val="auto"/>
          <w:spacing w:val="10"/>
          <w:kern w:val="2"/>
          <w:sz w:val="24"/>
          <w:szCs w:val="24"/>
        </w:rPr>
        <w:t>人提出，以便补齐。如有疑问，应在开标前</w:t>
      </w:r>
      <w:r>
        <w:rPr>
          <w:rFonts w:hint="eastAsia" w:ascii="宋体" w:hAnsi="宋体" w:cs="宋体"/>
          <w:color w:val="auto"/>
          <w:sz w:val="24"/>
          <w:lang w:val="en-US" w:eastAsia="zh-CN"/>
        </w:rPr>
        <w:t>3</w:t>
      </w:r>
      <w:r>
        <w:rPr>
          <w:rFonts w:hint="eastAsia" w:ascii="宋体" w:hAnsi="宋体" w:cs="宋体"/>
          <w:color w:val="auto"/>
          <w:sz w:val="24"/>
          <w:lang w:val="zh-CN"/>
        </w:rPr>
        <w:t>个工作日前（含）</w:t>
      </w:r>
      <w:r>
        <w:rPr>
          <w:rFonts w:hint="eastAsia" w:ascii="宋体" w:hAnsi="宋体" w:eastAsia="宋体" w:cs="宋体"/>
          <w:color w:val="auto"/>
          <w:spacing w:val="10"/>
          <w:kern w:val="2"/>
          <w:sz w:val="24"/>
          <w:szCs w:val="24"/>
        </w:rPr>
        <w:t>在</w:t>
      </w:r>
      <w:r>
        <w:rPr>
          <w:rFonts w:hint="eastAsia" w:ascii="宋体" w:hAnsi="宋体" w:eastAsia="宋体" w:cs="宋体"/>
          <w:color w:val="auto"/>
          <w:spacing w:val="10"/>
          <w:kern w:val="2"/>
          <w:sz w:val="24"/>
          <w:szCs w:val="24"/>
          <w:lang w:val="en-US" w:eastAsia="zh-CN"/>
        </w:rPr>
        <w:t>政采云</w:t>
      </w:r>
      <w:r>
        <w:rPr>
          <w:rFonts w:hint="eastAsia" w:ascii="宋体" w:hAnsi="宋体" w:eastAsia="宋体" w:cs="宋体"/>
          <w:color w:val="auto"/>
          <w:spacing w:val="10"/>
          <w:kern w:val="2"/>
          <w:sz w:val="24"/>
          <w:szCs w:val="24"/>
        </w:rPr>
        <w:t>上提出</w:t>
      </w:r>
      <w:r>
        <w:rPr>
          <w:rFonts w:hint="eastAsia" w:ascii="宋体" w:hAnsi="宋体" w:eastAsia="宋体" w:cs="宋体"/>
          <w:color w:val="auto"/>
          <w:spacing w:val="10"/>
          <w:kern w:val="2"/>
          <w:sz w:val="24"/>
          <w:szCs w:val="24"/>
          <w:lang w:eastAsia="zh-CN"/>
        </w:rPr>
        <w:t>并</w:t>
      </w:r>
      <w:r>
        <w:rPr>
          <w:rFonts w:hint="eastAsia" w:ascii="宋体" w:hAnsi="宋体"/>
          <w:color w:val="auto"/>
          <w:sz w:val="24"/>
        </w:rPr>
        <w:t>书面形式（一式两份）递交给采购</w:t>
      </w:r>
      <w:r>
        <w:rPr>
          <w:rFonts w:hint="eastAsia" w:ascii="宋体" w:hAnsi="宋体"/>
          <w:color w:val="auto"/>
          <w:sz w:val="24"/>
          <w:lang w:eastAsia="zh-CN"/>
        </w:rPr>
        <w:t>代理</w:t>
      </w:r>
      <w:r>
        <w:rPr>
          <w:rFonts w:hint="eastAsia" w:ascii="宋体" w:hAnsi="宋体"/>
          <w:color w:val="auto"/>
          <w:sz w:val="24"/>
        </w:rPr>
        <w:t>机构</w:t>
      </w:r>
      <w:r>
        <w:rPr>
          <w:rFonts w:hint="eastAsia" w:ascii="宋体" w:hAnsi="宋体" w:eastAsia="宋体" w:cs="宋体"/>
          <w:spacing w:val="10"/>
          <w:kern w:val="2"/>
          <w:sz w:val="24"/>
          <w:szCs w:val="24"/>
        </w:rPr>
        <w:t>，要求</w:t>
      </w:r>
      <w:r>
        <w:rPr>
          <w:rFonts w:hint="eastAsia" w:ascii="宋体" w:hAnsi="宋体" w:cs="宋体"/>
          <w:spacing w:val="10"/>
          <w:kern w:val="2"/>
          <w:sz w:val="24"/>
          <w:szCs w:val="24"/>
          <w:lang w:eastAsia="zh-CN"/>
        </w:rPr>
        <w:t>采购</w:t>
      </w:r>
      <w:r>
        <w:rPr>
          <w:rFonts w:hint="eastAsia" w:ascii="宋体" w:hAnsi="宋体" w:eastAsia="宋体" w:cs="宋体"/>
          <w:spacing w:val="10"/>
          <w:kern w:val="2"/>
          <w:sz w:val="24"/>
          <w:szCs w:val="24"/>
        </w:rPr>
        <w:t>人对</w:t>
      </w:r>
      <w:r>
        <w:rPr>
          <w:rFonts w:hint="eastAsia" w:ascii="宋体" w:hAnsi="宋体" w:cs="宋体"/>
          <w:spacing w:val="10"/>
          <w:kern w:val="2"/>
          <w:sz w:val="24"/>
          <w:szCs w:val="24"/>
          <w:lang w:eastAsia="zh-CN"/>
        </w:rPr>
        <w:t>谈判</w:t>
      </w:r>
      <w:r>
        <w:rPr>
          <w:rFonts w:hint="eastAsia" w:ascii="宋体" w:hAnsi="宋体" w:eastAsia="宋体" w:cs="宋体"/>
          <w:spacing w:val="10"/>
          <w:kern w:val="2"/>
          <w:sz w:val="24"/>
          <w:szCs w:val="24"/>
        </w:rPr>
        <w:t>文件予以澄清。</w:t>
      </w:r>
    </w:p>
    <w:p w14:paraId="21C2F769">
      <w:pPr>
        <w:autoSpaceDE w:val="0"/>
        <w:autoSpaceDN w:val="0"/>
        <w:adjustRightInd w:val="0"/>
        <w:spacing w:line="360" w:lineRule="auto"/>
        <w:rPr>
          <w:rFonts w:hint="eastAsia" w:ascii="宋体" w:hAnsi="宋体" w:cs="宋体"/>
          <w:bCs/>
          <w:color w:val="auto"/>
          <w:sz w:val="24"/>
          <w:lang w:val="zh-CN"/>
        </w:rPr>
      </w:pPr>
      <w:r>
        <w:rPr>
          <w:rFonts w:hint="eastAsia" w:ascii="宋体" w:hAnsi="宋体"/>
          <w:color w:val="auto"/>
          <w:sz w:val="24"/>
        </w:rPr>
        <w:t>13.2</w:t>
      </w:r>
      <w:r>
        <w:rPr>
          <w:rFonts w:hint="eastAsia" w:ascii="宋体" w:hAnsi="宋体" w:cs="宋体"/>
          <w:color w:val="auto"/>
          <w:sz w:val="24"/>
          <w:lang w:val="zh-CN"/>
        </w:rPr>
        <w:t xml:space="preserve"> 采购人可在谈判截止时间</w:t>
      </w:r>
      <w:r>
        <w:rPr>
          <w:rFonts w:hint="eastAsia" w:ascii="宋体" w:hAnsi="宋体" w:cs="宋体"/>
          <w:color w:val="auto"/>
          <w:sz w:val="24"/>
          <w:lang w:val="en-US" w:eastAsia="zh-CN"/>
        </w:rPr>
        <w:t>3</w:t>
      </w:r>
      <w:r>
        <w:rPr>
          <w:rFonts w:hint="eastAsia" w:ascii="宋体" w:hAnsi="宋体" w:cs="宋体"/>
          <w:color w:val="auto"/>
          <w:sz w:val="24"/>
          <w:lang w:val="zh-CN"/>
        </w:rPr>
        <w:t>个工作日前（含）对谈判文件进行修改、补充。谈判文件的修改、补充文件将“政采云”平台（https://www.zcygov.cn/）</w:t>
      </w:r>
      <w:r>
        <w:rPr>
          <w:rFonts w:hint="eastAsia" w:ascii="宋体" w:hAnsi="宋体" w:cs="宋体"/>
          <w:color w:val="auto"/>
          <w:sz w:val="24"/>
        </w:rPr>
        <w:t>发布</w:t>
      </w:r>
      <w:r>
        <w:rPr>
          <w:rFonts w:hint="eastAsia" w:ascii="宋体" w:hAnsi="宋体" w:cs="宋体"/>
          <w:color w:val="auto"/>
          <w:sz w:val="24"/>
          <w:lang w:val="zh-CN"/>
        </w:rPr>
        <w:t>向潜在供应商发出，供应商自行在“政采云”平台（https://www.zcygov.cn/）</w:t>
      </w:r>
      <w:r>
        <w:rPr>
          <w:rFonts w:hint="eastAsia" w:ascii="宋体" w:hAnsi="宋体" w:cs="宋体"/>
          <w:color w:val="auto"/>
          <w:sz w:val="24"/>
        </w:rPr>
        <w:t>下载。</w:t>
      </w:r>
      <w:r>
        <w:rPr>
          <w:rFonts w:hint="eastAsia" w:ascii="宋体" w:hAnsi="宋体" w:cs="宋体"/>
          <w:bCs/>
          <w:color w:val="auto"/>
          <w:sz w:val="24"/>
          <w:lang w:val="zh-CN"/>
        </w:rPr>
        <w:t>并在发布谈判公告的媒体上公告。</w:t>
      </w:r>
    </w:p>
    <w:p w14:paraId="0CD3A410">
      <w:pPr>
        <w:autoSpaceDE w:val="0"/>
        <w:autoSpaceDN w:val="0"/>
        <w:adjustRightInd w:val="0"/>
        <w:spacing w:line="360" w:lineRule="auto"/>
        <w:jc w:val="left"/>
        <w:rPr>
          <w:rFonts w:hint="eastAsia" w:ascii="宋体" w:hAnsi="宋体" w:cs="宋体"/>
          <w:color w:val="auto"/>
          <w:sz w:val="24"/>
          <w:lang w:val="zh-CN"/>
        </w:rPr>
      </w:pPr>
      <w:r>
        <w:rPr>
          <w:rFonts w:ascii="宋体" w:hAnsi="宋体"/>
          <w:color w:val="auto"/>
          <w:sz w:val="24"/>
        </w:rPr>
        <w:t>13.3</w:t>
      </w:r>
      <w:r>
        <w:rPr>
          <w:rFonts w:hint="eastAsia" w:ascii="宋体" w:hAnsi="宋体" w:cs="宋体"/>
          <w:color w:val="auto"/>
          <w:sz w:val="24"/>
          <w:lang w:val="zh-CN"/>
        </w:rPr>
        <w:t>谈判文件的澄清、修改、补充文件均构成谈判文件的组成部分，对所有供应商具有约束力，供应商未在“政采云”平台（https://www.zcygov.cn/）</w:t>
      </w:r>
      <w:r>
        <w:rPr>
          <w:rFonts w:hint="eastAsia" w:ascii="宋体" w:hAnsi="宋体" w:cs="宋体"/>
          <w:color w:val="auto"/>
          <w:sz w:val="24"/>
        </w:rPr>
        <w:t>自行下载</w:t>
      </w:r>
      <w:r>
        <w:rPr>
          <w:rFonts w:hint="eastAsia" w:ascii="宋体" w:hAnsi="宋体" w:cs="宋体"/>
          <w:color w:val="auto"/>
          <w:sz w:val="24"/>
          <w:lang w:val="zh-CN"/>
        </w:rPr>
        <w:t>澄清、修改、补充文件，后果自负。</w:t>
      </w:r>
    </w:p>
    <w:p w14:paraId="07A3C248">
      <w:pPr>
        <w:tabs>
          <w:tab w:val="left" w:pos="4214"/>
        </w:tabs>
        <w:spacing w:line="360" w:lineRule="auto"/>
        <w:rPr>
          <w:rFonts w:ascii="宋体" w:hAnsi="宋体"/>
          <w:color w:val="auto"/>
          <w:sz w:val="24"/>
        </w:rPr>
      </w:pPr>
      <w:r>
        <w:rPr>
          <w:rFonts w:hint="eastAsia" w:ascii="宋体" w:hAnsi="宋体"/>
          <w:color w:val="auto"/>
          <w:sz w:val="24"/>
        </w:rPr>
        <w:t>13.4澄清发出的时间距谈判文件</w:t>
      </w:r>
      <w:r>
        <w:rPr>
          <w:rFonts w:ascii="宋体" w:hAnsi="宋体"/>
          <w:color w:val="auto"/>
          <w:sz w:val="24"/>
        </w:rPr>
        <w:t>规定的</w:t>
      </w:r>
      <w:r>
        <w:rPr>
          <w:rFonts w:hint="eastAsia" w:ascii="宋体" w:hAnsi="宋体"/>
          <w:color w:val="auto"/>
          <w:sz w:val="24"/>
        </w:rPr>
        <w:t>谈判截止时间不足</w:t>
      </w:r>
      <w:r>
        <w:rPr>
          <w:rFonts w:ascii="宋体" w:hAnsi="宋体"/>
          <w:color w:val="auto"/>
          <w:sz w:val="24"/>
        </w:rPr>
        <w:t>3</w:t>
      </w:r>
      <w:r>
        <w:rPr>
          <w:rFonts w:hint="eastAsia" w:ascii="宋体" w:hAnsi="宋体"/>
          <w:color w:val="auto"/>
          <w:sz w:val="24"/>
        </w:rPr>
        <w:t>个</w:t>
      </w:r>
      <w:r>
        <w:rPr>
          <w:rFonts w:ascii="宋体" w:hAnsi="宋体"/>
          <w:color w:val="auto"/>
          <w:sz w:val="24"/>
        </w:rPr>
        <w:t>工作</w:t>
      </w:r>
      <w:r>
        <w:rPr>
          <w:rFonts w:hint="eastAsia" w:ascii="宋体" w:hAnsi="宋体"/>
          <w:color w:val="auto"/>
          <w:sz w:val="24"/>
        </w:rPr>
        <w:t>日的，并且澄清内容可能影响谈判响应文件编制的，将相应延长谈判截止时间。</w:t>
      </w:r>
    </w:p>
    <w:p w14:paraId="6446D4A2">
      <w:pPr>
        <w:spacing w:line="360" w:lineRule="auto"/>
        <w:rPr>
          <w:rFonts w:ascii="宋体" w:hAnsi="宋体"/>
          <w:b/>
          <w:color w:val="auto"/>
          <w:sz w:val="24"/>
        </w:rPr>
      </w:pPr>
      <w:r>
        <w:rPr>
          <w:rFonts w:hint="eastAsia" w:ascii="宋体" w:hAnsi="宋体"/>
          <w:b/>
          <w:color w:val="auto"/>
          <w:sz w:val="24"/>
        </w:rPr>
        <w:t>14.谈判文件的修改</w:t>
      </w:r>
    </w:p>
    <w:p w14:paraId="1F3C580C">
      <w:pPr>
        <w:spacing w:line="360" w:lineRule="auto"/>
        <w:rPr>
          <w:rFonts w:ascii="宋体" w:hAnsi="宋体"/>
          <w:color w:val="auto"/>
          <w:sz w:val="24"/>
        </w:rPr>
      </w:pPr>
      <w:r>
        <w:rPr>
          <w:rFonts w:hint="eastAsia" w:ascii="宋体" w:hAnsi="宋体"/>
          <w:color w:val="auto"/>
          <w:sz w:val="24"/>
        </w:rPr>
        <w:t>14.1谈判文件发出以后，在上传谈判响应文件截止时间之前，应谈判供应商的疑问和采购人的要求，</w:t>
      </w:r>
      <w:r>
        <w:rPr>
          <w:rFonts w:hint="eastAsia" w:ascii="宋体" w:hAnsi="宋体"/>
          <w:color w:val="auto"/>
          <w:sz w:val="24"/>
          <w:lang w:eastAsia="zh-CN"/>
        </w:rPr>
        <w:t>采购代理机构</w:t>
      </w:r>
      <w:r>
        <w:rPr>
          <w:rFonts w:hint="eastAsia" w:ascii="宋体" w:hAnsi="宋体"/>
          <w:color w:val="auto"/>
          <w:sz w:val="24"/>
        </w:rPr>
        <w:t>可以对谈判文件进行必要的修改和补充。</w:t>
      </w:r>
    </w:p>
    <w:p w14:paraId="0F33C5F9">
      <w:pPr>
        <w:spacing w:line="360" w:lineRule="auto"/>
        <w:rPr>
          <w:rFonts w:ascii="宋体" w:hAnsi="宋体"/>
          <w:color w:val="auto"/>
          <w:sz w:val="24"/>
        </w:rPr>
      </w:pPr>
      <w:r>
        <w:rPr>
          <w:rFonts w:hint="eastAsia" w:ascii="宋体" w:hAnsi="宋体"/>
          <w:color w:val="auto"/>
          <w:sz w:val="24"/>
        </w:rPr>
        <w:t>14.2采购</w:t>
      </w:r>
      <w:r>
        <w:rPr>
          <w:rFonts w:hint="eastAsia" w:ascii="宋体" w:hAnsi="宋体"/>
          <w:color w:val="auto"/>
          <w:sz w:val="24"/>
          <w:lang w:eastAsia="zh-CN"/>
        </w:rPr>
        <w:t>代理</w:t>
      </w:r>
      <w:r>
        <w:rPr>
          <w:rFonts w:hint="eastAsia" w:ascii="宋体" w:hAnsi="宋体"/>
          <w:color w:val="auto"/>
          <w:sz w:val="24"/>
        </w:rPr>
        <w:t>机构对谈判文件的修改和补充将形成变更文件上传至“政采云”平台，同时在发布公告媒介上</w:t>
      </w:r>
      <w:r>
        <w:rPr>
          <w:rFonts w:ascii="宋体" w:hAnsi="宋体"/>
          <w:color w:val="auto"/>
          <w:sz w:val="24"/>
        </w:rPr>
        <w:t>发布公告，</w:t>
      </w:r>
      <w:r>
        <w:rPr>
          <w:rFonts w:hint="eastAsia" w:ascii="宋体" w:hAnsi="宋体"/>
          <w:color w:val="auto"/>
          <w:sz w:val="24"/>
        </w:rPr>
        <w:t>以供所有报名参加谈判的谈判供应商下载。</w:t>
      </w:r>
    </w:p>
    <w:p w14:paraId="6DC8E581">
      <w:pPr>
        <w:tabs>
          <w:tab w:val="left" w:pos="4214"/>
        </w:tabs>
        <w:spacing w:line="360" w:lineRule="auto"/>
        <w:rPr>
          <w:rFonts w:ascii="宋体" w:hAnsi="宋体"/>
          <w:color w:val="auto"/>
          <w:sz w:val="24"/>
        </w:rPr>
      </w:pPr>
      <w:r>
        <w:rPr>
          <w:rFonts w:hint="eastAsia" w:ascii="宋体" w:hAnsi="宋体"/>
          <w:color w:val="auto"/>
          <w:sz w:val="24"/>
        </w:rPr>
        <w:t>14.3该变更文件作为谈判文件的组成部分，具有约束作用。</w:t>
      </w:r>
    </w:p>
    <w:p w14:paraId="143B7C6B">
      <w:pPr>
        <w:tabs>
          <w:tab w:val="left" w:pos="4214"/>
        </w:tabs>
        <w:spacing w:line="360" w:lineRule="auto"/>
        <w:rPr>
          <w:rFonts w:ascii="宋体" w:hAnsi="宋体"/>
          <w:b/>
          <w:color w:val="auto"/>
          <w:sz w:val="24"/>
        </w:rPr>
      </w:pPr>
      <w:r>
        <w:rPr>
          <w:rFonts w:ascii="宋体" w:hAnsi="宋体"/>
          <w:color w:val="auto"/>
          <w:sz w:val="24"/>
        </w:rPr>
        <w:t>14.4</w:t>
      </w:r>
      <w:r>
        <w:rPr>
          <w:rFonts w:hint="eastAsia" w:ascii="宋体" w:hAnsi="宋体"/>
          <w:color w:val="auto"/>
          <w:sz w:val="24"/>
        </w:rPr>
        <w:t>变更发出的时间距谈判文件规定的谈判截止时间不足</w:t>
      </w:r>
      <w:r>
        <w:rPr>
          <w:rFonts w:ascii="宋体" w:hAnsi="宋体"/>
          <w:color w:val="auto"/>
          <w:sz w:val="24"/>
        </w:rPr>
        <w:t>3</w:t>
      </w:r>
      <w:r>
        <w:rPr>
          <w:rFonts w:hint="eastAsia" w:ascii="宋体" w:hAnsi="宋体"/>
          <w:color w:val="auto"/>
          <w:sz w:val="24"/>
        </w:rPr>
        <w:t>个</w:t>
      </w:r>
      <w:r>
        <w:rPr>
          <w:rFonts w:ascii="宋体" w:hAnsi="宋体"/>
          <w:color w:val="auto"/>
          <w:sz w:val="24"/>
        </w:rPr>
        <w:t>工作</w:t>
      </w:r>
      <w:r>
        <w:rPr>
          <w:rFonts w:hint="eastAsia" w:ascii="宋体" w:hAnsi="宋体"/>
          <w:color w:val="auto"/>
          <w:sz w:val="24"/>
        </w:rPr>
        <w:t>日的，并且变更内容可能影响谈判响应文件编制的，为使响应谈判供应商在编制谈判响应文件时有充分的时间对谈判文件的修改、补充等内容进行研究，</w:t>
      </w:r>
      <w:r>
        <w:rPr>
          <w:rFonts w:hint="eastAsia" w:ascii="宋体" w:hAnsi="宋体"/>
          <w:color w:val="auto"/>
          <w:sz w:val="24"/>
          <w:lang w:eastAsia="zh-CN"/>
        </w:rPr>
        <w:t>采购代理机构</w:t>
      </w:r>
      <w:r>
        <w:rPr>
          <w:rFonts w:hint="eastAsia" w:ascii="宋体" w:hAnsi="宋体"/>
          <w:color w:val="auto"/>
          <w:sz w:val="24"/>
        </w:rPr>
        <w:t>将相应延长谈判截止时间，具体时间将在谈判文件的变更公告中予以明确。</w:t>
      </w:r>
    </w:p>
    <w:p w14:paraId="69291B72">
      <w:pPr>
        <w:spacing w:line="360" w:lineRule="auto"/>
        <w:jc w:val="center"/>
        <w:outlineLvl w:val="1"/>
        <w:rPr>
          <w:rFonts w:ascii="宋体" w:hAnsi="宋体"/>
          <w:color w:val="auto"/>
          <w:sz w:val="24"/>
        </w:rPr>
      </w:pPr>
      <w:bookmarkStart w:id="11" w:name="_Toc31928"/>
      <w:bookmarkStart w:id="12" w:name="_Toc103723520"/>
      <w:r>
        <w:rPr>
          <w:rFonts w:hint="eastAsia" w:ascii="宋体" w:hAnsi="宋体"/>
          <w:b/>
          <w:color w:val="auto"/>
          <w:sz w:val="28"/>
        </w:rPr>
        <w:t>四、谈判响应文件</w:t>
      </w:r>
      <w:bookmarkEnd w:id="11"/>
      <w:bookmarkEnd w:id="12"/>
    </w:p>
    <w:p w14:paraId="7F6E23C1">
      <w:pPr>
        <w:spacing w:line="360" w:lineRule="auto"/>
        <w:rPr>
          <w:rFonts w:ascii="宋体" w:hAnsi="宋体"/>
          <w:b/>
          <w:color w:val="auto"/>
          <w:sz w:val="24"/>
        </w:rPr>
      </w:pPr>
      <w:r>
        <w:rPr>
          <w:rFonts w:hint="eastAsia" w:ascii="宋体" w:hAnsi="宋体"/>
          <w:b/>
          <w:color w:val="auto"/>
          <w:sz w:val="24"/>
        </w:rPr>
        <w:t>15.谈判响应文件的组成</w:t>
      </w:r>
    </w:p>
    <w:p w14:paraId="6B4AD8C1">
      <w:pPr>
        <w:spacing w:line="360" w:lineRule="auto"/>
        <w:rPr>
          <w:rFonts w:hint="eastAsia" w:ascii="宋体" w:hAnsi="宋体" w:eastAsia="宋体" w:cs="Times New Roman"/>
          <w:color w:val="auto"/>
          <w:sz w:val="24"/>
          <w:lang w:eastAsia="zh-CN"/>
        </w:rPr>
      </w:pPr>
      <w:r>
        <w:rPr>
          <w:rFonts w:hint="eastAsia" w:ascii="宋体" w:hAnsi="宋体" w:eastAsia="宋体" w:cs="Times New Roman"/>
          <w:color w:val="auto"/>
          <w:sz w:val="24"/>
          <w:lang w:eastAsia="zh-CN"/>
        </w:rPr>
        <w:t>一、</w:t>
      </w:r>
      <w:r>
        <w:rPr>
          <w:rFonts w:hint="eastAsia" w:ascii="宋体" w:hAnsi="宋体" w:eastAsia="宋体" w:cs="Times New Roman"/>
          <w:color w:val="auto"/>
          <w:sz w:val="24"/>
        </w:rPr>
        <w:t>响应函</w:t>
      </w:r>
      <w:r>
        <w:rPr>
          <w:rFonts w:hint="eastAsia" w:ascii="宋体" w:hAnsi="宋体" w:eastAsia="宋体" w:cs="Times New Roman"/>
          <w:color w:val="auto"/>
          <w:sz w:val="24"/>
          <w:lang w:eastAsia="zh-CN"/>
        </w:rPr>
        <w:t>及响应函附表</w:t>
      </w:r>
    </w:p>
    <w:p w14:paraId="42DA7E8F">
      <w:pPr>
        <w:spacing w:line="360" w:lineRule="auto"/>
        <w:rPr>
          <w:rFonts w:hint="eastAsia" w:ascii="宋体" w:hAnsi="宋体" w:eastAsia="宋体" w:cs="Times New Roman"/>
          <w:color w:val="auto"/>
          <w:sz w:val="24"/>
        </w:rPr>
      </w:pPr>
      <w:r>
        <w:rPr>
          <w:rFonts w:hint="eastAsia" w:ascii="宋体" w:hAnsi="宋体" w:eastAsia="宋体" w:cs="Times New Roman"/>
          <w:color w:val="auto"/>
          <w:sz w:val="24"/>
          <w:lang w:eastAsia="zh-CN"/>
        </w:rPr>
        <w:t>二、</w:t>
      </w:r>
      <w:r>
        <w:rPr>
          <w:rFonts w:hint="eastAsia" w:ascii="宋体" w:hAnsi="宋体" w:eastAsia="宋体" w:cs="Times New Roman"/>
          <w:color w:val="auto"/>
          <w:sz w:val="24"/>
        </w:rPr>
        <w:t>法定代表人身份证明</w:t>
      </w:r>
    </w:p>
    <w:p w14:paraId="1F7CADC9">
      <w:pPr>
        <w:spacing w:line="360" w:lineRule="auto"/>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三、授权委托书</w:t>
      </w:r>
    </w:p>
    <w:p w14:paraId="171BBA92">
      <w:pPr>
        <w:spacing w:line="360" w:lineRule="auto"/>
        <w:rPr>
          <w:rFonts w:hint="eastAsia" w:ascii="宋体" w:hAnsi="宋体" w:eastAsia="宋体" w:cs="Times New Roman"/>
          <w:color w:val="auto"/>
          <w:sz w:val="24"/>
          <w:lang w:eastAsia="en-US"/>
        </w:rPr>
      </w:pPr>
      <w:r>
        <w:rPr>
          <w:rFonts w:hint="eastAsia" w:ascii="宋体" w:hAnsi="宋体" w:eastAsia="宋体" w:cs="Times New Roman"/>
          <w:color w:val="auto"/>
          <w:sz w:val="24"/>
          <w:lang w:val="en-US" w:eastAsia="zh-CN"/>
        </w:rPr>
        <w:t>四、首次报价一览表、</w:t>
      </w:r>
      <w:r>
        <w:rPr>
          <w:rFonts w:hint="eastAsia" w:ascii="宋体" w:hAnsi="宋体" w:eastAsia="宋体" w:cs="Times New Roman"/>
          <w:color w:val="auto"/>
          <w:sz w:val="24"/>
        </w:rPr>
        <w:t>报价明细表</w:t>
      </w:r>
    </w:p>
    <w:p w14:paraId="0352BB32">
      <w:pPr>
        <w:spacing w:line="360" w:lineRule="auto"/>
        <w:rPr>
          <w:rFonts w:hint="eastAsia" w:ascii="宋体" w:hAnsi="宋体" w:eastAsia="宋体" w:cs="Times New Roman"/>
          <w:color w:val="auto"/>
          <w:sz w:val="24"/>
        </w:rPr>
      </w:pPr>
      <w:r>
        <w:rPr>
          <w:rFonts w:hint="eastAsia" w:ascii="宋体" w:hAnsi="宋体" w:eastAsia="宋体" w:cs="Times New Roman"/>
          <w:color w:val="auto"/>
          <w:sz w:val="24"/>
          <w:lang w:eastAsia="zh-CN"/>
        </w:rPr>
        <w:t>五、</w:t>
      </w:r>
      <w:r>
        <w:rPr>
          <w:rFonts w:hint="eastAsia" w:ascii="宋体" w:hAnsi="宋体" w:eastAsia="宋体" w:cs="Times New Roman"/>
          <w:color w:val="auto"/>
          <w:sz w:val="24"/>
        </w:rPr>
        <w:t>投标保证金</w:t>
      </w:r>
    </w:p>
    <w:p w14:paraId="07B66D72">
      <w:pPr>
        <w:spacing w:line="360" w:lineRule="auto"/>
        <w:rPr>
          <w:rFonts w:hint="eastAsia" w:ascii="宋体" w:hAnsi="宋体" w:eastAsia="宋体" w:cs="Times New Roman"/>
          <w:color w:val="auto"/>
          <w:sz w:val="24"/>
          <w:lang w:val="zh-CN" w:eastAsia="zh-CN"/>
        </w:rPr>
      </w:pPr>
      <w:r>
        <w:rPr>
          <w:rFonts w:hint="eastAsia" w:ascii="宋体" w:hAnsi="宋体" w:eastAsia="宋体" w:cs="Times New Roman"/>
          <w:color w:val="auto"/>
          <w:sz w:val="24"/>
          <w:lang w:val="zh-CN" w:eastAsia="zh-CN"/>
        </w:rPr>
        <w:t>六、商务条款偏离表</w:t>
      </w:r>
    </w:p>
    <w:p w14:paraId="0A40AECD">
      <w:pPr>
        <w:spacing w:line="360" w:lineRule="auto"/>
        <w:rPr>
          <w:rFonts w:hint="eastAsia" w:ascii="宋体" w:hAnsi="宋体" w:eastAsia="宋体" w:cs="Times New Roman"/>
          <w:color w:val="auto"/>
          <w:sz w:val="24"/>
          <w:lang w:val="zh-CN" w:eastAsia="zh-CN"/>
        </w:rPr>
      </w:pPr>
      <w:r>
        <w:rPr>
          <w:rFonts w:hint="eastAsia" w:ascii="宋体" w:hAnsi="宋体" w:eastAsia="宋体" w:cs="Times New Roman"/>
          <w:color w:val="auto"/>
          <w:sz w:val="24"/>
          <w:lang w:val="zh-CN" w:eastAsia="zh-CN"/>
        </w:rPr>
        <w:t>七、技术规格偏离表</w:t>
      </w:r>
    </w:p>
    <w:p w14:paraId="7AA2C1AE">
      <w:pPr>
        <w:spacing w:line="360" w:lineRule="auto"/>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八、投标人资格声明</w:t>
      </w:r>
    </w:p>
    <w:p w14:paraId="6D5AED58">
      <w:pPr>
        <w:spacing w:line="360" w:lineRule="auto"/>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九、投标人基本情况</w:t>
      </w:r>
    </w:p>
    <w:p w14:paraId="0A17A74D">
      <w:pPr>
        <w:spacing w:line="360" w:lineRule="auto"/>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十、财务状况报告</w:t>
      </w:r>
    </w:p>
    <w:p w14:paraId="5F16FB41">
      <w:pPr>
        <w:spacing w:line="360" w:lineRule="auto"/>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十一、依法缴纳税收证明材料</w:t>
      </w:r>
    </w:p>
    <w:p w14:paraId="62467136">
      <w:pPr>
        <w:spacing w:line="360" w:lineRule="auto"/>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十二、依法缴纳社会保障资金证明材料</w:t>
      </w:r>
    </w:p>
    <w:p w14:paraId="6740127E">
      <w:pPr>
        <w:spacing w:line="360" w:lineRule="auto"/>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十三、具备履行合同所必需设备和专业技术能力的声明函（若有）</w:t>
      </w:r>
    </w:p>
    <w:p w14:paraId="4BCFC852">
      <w:pPr>
        <w:spacing w:line="360" w:lineRule="auto"/>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十四、参加采购活动前三年内在经营活动中没有重大违法记录书面声明</w:t>
      </w:r>
    </w:p>
    <w:p w14:paraId="1B9ECBEB">
      <w:pPr>
        <w:spacing w:line="360" w:lineRule="auto"/>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十五、信用记录查询截图</w:t>
      </w:r>
    </w:p>
    <w:p w14:paraId="04EF0228">
      <w:pPr>
        <w:spacing w:line="360" w:lineRule="auto"/>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十六、类似项目经验（如有）</w:t>
      </w:r>
    </w:p>
    <w:p w14:paraId="18606F8D">
      <w:pPr>
        <w:spacing w:line="360" w:lineRule="auto"/>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十七、服务承诺</w:t>
      </w:r>
    </w:p>
    <w:p w14:paraId="67D6906B">
      <w:pPr>
        <w:spacing w:line="360" w:lineRule="auto"/>
        <w:rPr>
          <w:rFonts w:hint="eastAsia" w:ascii="宋体" w:hAnsi="宋体" w:eastAsia="宋体" w:cs="Times New Roman"/>
          <w:color w:val="auto"/>
          <w:sz w:val="24"/>
          <w:lang w:val="en-US" w:eastAsia="en-US"/>
        </w:rPr>
      </w:pPr>
      <w:r>
        <w:rPr>
          <w:rFonts w:hint="eastAsia" w:ascii="宋体" w:hAnsi="宋体" w:eastAsia="宋体" w:cs="Times New Roman"/>
          <w:color w:val="auto"/>
          <w:sz w:val="24"/>
          <w:lang w:val="en-US" w:eastAsia="zh-CN"/>
        </w:rPr>
        <w:t>十八、</w:t>
      </w:r>
      <w:r>
        <w:rPr>
          <w:rFonts w:hint="eastAsia" w:ascii="宋体" w:hAnsi="宋体" w:eastAsia="宋体" w:cs="Times New Roman"/>
          <w:color w:val="auto"/>
          <w:sz w:val="24"/>
          <w:lang w:val="en-US" w:eastAsia="en-US"/>
        </w:rPr>
        <w:t>实施方案</w:t>
      </w:r>
    </w:p>
    <w:p w14:paraId="2FD5B57F">
      <w:pPr>
        <w:spacing w:line="360" w:lineRule="auto"/>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十九、供应商可结合本项目自身情况自行提交其它相关证明材料</w:t>
      </w:r>
    </w:p>
    <w:p w14:paraId="62053964">
      <w:pPr>
        <w:spacing w:line="360" w:lineRule="auto"/>
        <w:rPr>
          <w:rFonts w:hint="eastAsia" w:ascii="宋体" w:hAnsi="宋体" w:eastAsia="宋体" w:cs="Times New Roman"/>
          <w:color w:val="auto"/>
          <w:sz w:val="24"/>
          <w:lang w:val="en-US" w:eastAsia="zh-CN"/>
        </w:rPr>
      </w:pPr>
    </w:p>
    <w:p w14:paraId="3A14FE1B">
      <w:pPr>
        <w:spacing w:line="360" w:lineRule="auto"/>
        <w:rPr>
          <w:rFonts w:ascii="宋体" w:hAnsi="宋体"/>
          <w:b/>
          <w:color w:val="auto"/>
          <w:sz w:val="24"/>
        </w:rPr>
      </w:pPr>
      <w:r>
        <w:rPr>
          <w:rFonts w:hint="eastAsia" w:ascii="宋体" w:hAnsi="宋体"/>
          <w:b/>
          <w:color w:val="auto"/>
          <w:sz w:val="24"/>
        </w:rPr>
        <w:t>16.谈判</w:t>
      </w:r>
      <w:r>
        <w:rPr>
          <w:rFonts w:ascii="宋体" w:hAnsi="宋体"/>
          <w:b/>
          <w:color w:val="auto"/>
          <w:sz w:val="24"/>
        </w:rPr>
        <w:t>响应</w:t>
      </w:r>
      <w:r>
        <w:rPr>
          <w:rFonts w:hint="eastAsia" w:ascii="宋体" w:hAnsi="宋体"/>
          <w:b/>
          <w:color w:val="auto"/>
          <w:sz w:val="24"/>
        </w:rPr>
        <w:t>报价</w:t>
      </w:r>
    </w:p>
    <w:p w14:paraId="4FF258E3">
      <w:pPr>
        <w:spacing w:line="360" w:lineRule="auto"/>
        <w:rPr>
          <w:rFonts w:ascii="宋体" w:hAnsi="宋体"/>
          <w:color w:val="auto"/>
          <w:sz w:val="24"/>
        </w:rPr>
      </w:pPr>
      <w:r>
        <w:rPr>
          <w:rFonts w:hint="eastAsia" w:ascii="宋体" w:hAnsi="宋体"/>
          <w:color w:val="auto"/>
          <w:sz w:val="24"/>
        </w:rPr>
        <w:t>1</w:t>
      </w:r>
      <w:r>
        <w:rPr>
          <w:rFonts w:ascii="宋体" w:hAnsi="宋体"/>
          <w:color w:val="auto"/>
          <w:sz w:val="24"/>
        </w:rPr>
        <w:t>6</w:t>
      </w:r>
      <w:r>
        <w:rPr>
          <w:rFonts w:hint="eastAsia" w:ascii="宋体" w:hAnsi="宋体"/>
          <w:color w:val="auto"/>
          <w:sz w:val="24"/>
        </w:rPr>
        <w:t>.1本项目谈判报价采用本须知前附表中所规定的方式，所有谈判响应报价均以人民币元为计算单位。谈判响应报价应当是供应商履行本项目合同的最终价格。响应谈判供应商</w:t>
      </w:r>
      <w:r>
        <w:rPr>
          <w:rFonts w:ascii="宋体" w:hAnsi="宋体"/>
          <w:color w:val="auto"/>
          <w:sz w:val="24"/>
        </w:rPr>
        <w:t>的</w:t>
      </w:r>
      <w:r>
        <w:rPr>
          <w:rFonts w:hint="eastAsia" w:ascii="宋体" w:hAnsi="宋体"/>
          <w:color w:val="auto"/>
          <w:sz w:val="24"/>
        </w:rPr>
        <w:t>报</w:t>
      </w:r>
      <w:r>
        <w:rPr>
          <w:rFonts w:ascii="宋体" w:hAnsi="宋体"/>
          <w:color w:val="auto"/>
          <w:sz w:val="24"/>
        </w:rPr>
        <w:t>价应</w:t>
      </w:r>
      <w:r>
        <w:rPr>
          <w:rFonts w:hint="eastAsia" w:ascii="宋体" w:hAnsi="宋体"/>
          <w:color w:val="auto"/>
          <w:sz w:val="24"/>
        </w:rPr>
        <w:t>包括货款、标准附件、备品备件、专用工具、包装、运输、装卸、保险、税金、安装到位、调试、培训、保修等一切税金和费用。</w:t>
      </w:r>
    </w:p>
    <w:p w14:paraId="0EE3CA5C">
      <w:pPr>
        <w:spacing w:line="360" w:lineRule="auto"/>
        <w:rPr>
          <w:rFonts w:ascii="宋体" w:hAnsi="宋体"/>
          <w:color w:val="auto"/>
          <w:sz w:val="24"/>
        </w:rPr>
      </w:pPr>
      <w:r>
        <w:rPr>
          <w:rFonts w:hint="eastAsia" w:ascii="宋体" w:hAnsi="宋体"/>
          <w:color w:val="auto"/>
          <w:sz w:val="24"/>
        </w:rPr>
        <w:t>16.2响应谈判供应商所报的价格</w:t>
      </w:r>
      <w:r>
        <w:rPr>
          <w:rFonts w:ascii="宋体" w:hAnsi="宋体"/>
          <w:color w:val="auto"/>
          <w:sz w:val="24"/>
        </w:rPr>
        <w:t>(</w:t>
      </w:r>
      <w:r>
        <w:rPr>
          <w:rFonts w:hint="eastAsia" w:ascii="宋体" w:hAnsi="宋体"/>
          <w:color w:val="auto"/>
          <w:sz w:val="24"/>
        </w:rPr>
        <w:t>包括成本、利润、税金等因素</w:t>
      </w:r>
      <w:r>
        <w:rPr>
          <w:rFonts w:ascii="宋体" w:hAnsi="宋体"/>
          <w:color w:val="auto"/>
          <w:sz w:val="24"/>
        </w:rPr>
        <w:t>)</w:t>
      </w:r>
      <w:r>
        <w:rPr>
          <w:rFonts w:hint="eastAsia" w:ascii="宋体" w:hAnsi="宋体"/>
          <w:color w:val="auto"/>
          <w:sz w:val="24"/>
        </w:rPr>
        <w:t>在合同实施期间保持不变，它不应因劳务、材料、机械等的价格变动而做任何调整。在合同有效期和其必要的延长期内也不因通货膨胀、利率升降、税收变化等因素而作任何调整。</w:t>
      </w:r>
    </w:p>
    <w:p w14:paraId="067EC987">
      <w:pPr>
        <w:spacing w:line="360" w:lineRule="auto"/>
        <w:rPr>
          <w:rFonts w:ascii="宋体" w:hAnsi="宋体"/>
          <w:color w:val="auto"/>
          <w:sz w:val="24"/>
        </w:rPr>
      </w:pPr>
      <w:r>
        <w:rPr>
          <w:rFonts w:hint="eastAsia" w:ascii="宋体" w:hAnsi="宋体"/>
          <w:color w:val="auto"/>
          <w:sz w:val="24"/>
        </w:rPr>
        <w:t>16.3</w:t>
      </w:r>
      <w:r>
        <w:rPr>
          <w:rFonts w:hint="eastAsia" w:ascii="宋体" w:hAnsi="宋体"/>
          <w:bCs/>
          <w:color w:val="auto"/>
          <w:sz w:val="24"/>
        </w:rPr>
        <w:t>响应谈判供应商应按第</w:t>
      </w:r>
      <w:r>
        <w:rPr>
          <w:rFonts w:hint="eastAsia" w:ascii="宋体" w:hAnsi="宋体"/>
          <w:bCs/>
          <w:color w:val="auto"/>
          <w:sz w:val="24"/>
          <w:lang w:eastAsia="zh-CN"/>
        </w:rPr>
        <w:t>三</w:t>
      </w:r>
      <w:r>
        <w:rPr>
          <w:rFonts w:hint="eastAsia" w:ascii="宋体" w:hAnsi="宋体"/>
          <w:bCs/>
          <w:color w:val="auto"/>
          <w:sz w:val="24"/>
        </w:rPr>
        <w:t>章货物需求的要求填写货物需求细目的单价和总价。响应谈判供应商没有填入单价或价格的细目在供货时采购人将不予支付，并认为此细目的费用已包括在货物需求明细的其他单价和价格之中。响应谈判供应商应按给定的货物需求明细列项，货物数量错误、计量单位错误、落项或多报项目者将被视为不符合性响应，其响应将被拒绝。</w:t>
      </w:r>
    </w:p>
    <w:p w14:paraId="5E56AD3D">
      <w:pPr>
        <w:spacing w:line="360" w:lineRule="auto"/>
        <w:rPr>
          <w:rFonts w:ascii="宋体" w:hAnsi="宋体"/>
          <w:color w:val="auto"/>
          <w:sz w:val="24"/>
        </w:rPr>
      </w:pPr>
      <w:r>
        <w:rPr>
          <w:rFonts w:hint="eastAsia" w:ascii="宋体" w:hAnsi="宋体"/>
          <w:color w:val="auto"/>
          <w:sz w:val="24"/>
        </w:rPr>
        <w:t>16.4各响应供应商不得相互串联哄抬标价或恶意压价，出现此种情况者，将被作为废标处理。</w:t>
      </w:r>
    </w:p>
    <w:p w14:paraId="77AF6D91">
      <w:pPr>
        <w:spacing w:line="360" w:lineRule="auto"/>
        <w:rPr>
          <w:rFonts w:ascii="宋体" w:hAnsi="宋体"/>
          <w:b/>
          <w:color w:val="auto"/>
          <w:sz w:val="24"/>
        </w:rPr>
      </w:pPr>
      <w:r>
        <w:rPr>
          <w:rFonts w:ascii="宋体" w:hAnsi="宋体"/>
          <w:b/>
          <w:color w:val="auto"/>
          <w:sz w:val="24"/>
        </w:rPr>
        <w:t>17.</w:t>
      </w:r>
      <w:r>
        <w:rPr>
          <w:rFonts w:hint="eastAsia" w:ascii="宋体" w:hAnsi="宋体"/>
          <w:b/>
          <w:color w:val="auto"/>
          <w:sz w:val="24"/>
        </w:rPr>
        <w:t>谈判响应</w:t>
      </w:r>
      <w:r>
        <w:rPr>
          <w:rFonts w:ascii="宋体" w:hAnsi="宋体"/>
          <w:b/>
          <w:color w:val="auto"/>
          <w:sz w:val="24"/>
        </w:rPr>
        <w:t>报价表</w:t>
      </w:r>
    </w:p>
    <w:p w14:paraId="28543847">
      <w:pPr>
        <w:spacing w:line="360" w:lineRule="auto"/>
        <w:rPr>
          <w:rFonts w:ascii="宋体" w:hAnsi="宋体"/>
          <w:color w:val="auto"/>
          <w:sz w:val="24"/>
        </w:rPr>
      </w:pPr>
      <w:r>
        <w:rPr>
          <w:rFonts w:ascii="宋体" w:hAnsi="宋体"/>
          <w:color w:val="auto"/>
          <w:sz w:val="24"/>
        </w:rPr>
        <w:t>17.1</w:t>
      </w:r>
      <w:r>
        <w:rPr>
          <w:rFonts w:hint="eastAsia" w:ascii="宋体" w:hAnsi="宋体"/>
          <w:color w:val="auto"/>
          <w:sz w:val="24"/>
        </w:rPr>
        <w:t>响应谈判供应商</w:t>
      </w:r>
      <w:r>
        <w:rPr>
          <w:rFonts w:ascii="宋体" w:hAnsi="宋体"/>
          <w:color w:val="auto"/>
          <w:sz w:val="24"/>
        </w:rPr>
        <w:t>须按照谈判文件</w:t>
      </w:r>
      <w:r>
        <w:rPr>
          <w:rFonts w:hint="eastAsia" w:ascii="宋体" w:hAnsi="宋体"/>
          <w:color w:val="auto"/>
          <w:sz w:val="24"/>
        </w:rPr>
        <w:t>的</w:t>
      </w:r>
      <w:r>
        <w:rPr>
          <w:rFonts w:ascii="宋体" w:hAnsi="宋体"/>
          <w:color w:val="auto"/>
          <w:sz w:val="24"/>
        </w:rPr>
        <w:t>要求填写，且在“</w:t>
      </w:r>
      <w:r>
        <w:rPr>
          <w:rFonts w:hint="eastAsia" w:ascii="宋体" w:hAnsi="宋体"/>
          <w:color w:val="auto"/>
          <w:sz w:val="24"/>
        </w:rPr>
        <w:t>政采云</w:t>
      </w:r>
      <w:r>
        <w:rPr>
          <w:rFonts w:ascii="宋体" w:hAnsi="宋体"/>
          <w:color w:val="auto"/>
          <w:sz w:val="24"/>
        </w:rPr>
        <w:t>”</w:t>
      </w:r>
      <w:r>
        <w:rPr>
          <w:rFonts w:hint="eastAsia" w:ascii="宋体" w:hAnsi="宋体"/>
          <w:color w:val="auto"/>
          <w:sz w:val="24"/>
        </w:rPr>
        <w:t>平台</w:t>
      </w:r>
      <w:r>
        <w:rPr>
          <w:rFonts w:ascii="宋体" w:hAnsi="宋体"/>
          <w:color w:val="auto"/>
          <w:sz w:val="24"/>
        </w:rPr>
        <w:t>提交</w:t>
      </w:r>
      <w:r>
        <w:rPr>
          <w:rFonts w:hint="eastAsia" w:ascii="宋体" w:hAnsi="宋体"/>
          <w:color w:val="auto"/>
          <w:sz w:val="24"/>
        </w:rPr>
        <w:t>。</w:t>
      </w:r>
    </w:p>
    <w:p w14:paraId="295A2607">
      <w:pPr>
        <w:spacing w:line="360" w:lineRule="auto"/>
        <w:rPr>
          <w:rFonts w:ascii="宋体" w:hAnsi="宋体"/>
          <w:color w:val="auto"/>
          <w:sz w:val="24"/>
        </w:rPr>
      </w:pPr>
      <w:r>
        <w:rPr>
          <w:rFonts w:ascii="宋体" w:hAnsi="宋体"/>
          <w:color w:val="auto"/>
          <w:sz w:val="24"/>
        </w:rPr>
        <w:t>17.</w:t>
      </w:r>
      <w:r>
        <w:rPr>
          <w:rFonts w:hint="eastAsia" w:ascii="宋体" w:hAnsi="宋体"/>
          <w:color w:val="auto"/>
          <w:sz w:val="24"/>
        </w:rPr>
        <w:t>2如谈判响应报价表内容与谈判响应文件中明细表内容不一致，以谈判响应最终报价表为准。</w:t>
      </w:r>
    </w:p>
    <w:p w14:paraId="1F0A28AB">
      <w:pPr>
        <w:spacing w:line="360" w:lineRule="auto"/>
        <w:rPr>
          <w:rFonts w:ascii="宋体" w:hAnsi="宋体"/>
          <w:b/>
          <w:color w:val="auto"/>
          <w:sz w:val="24"/>
        </w:rPr>
      </w:pPr>
      <w:r>
        <w:rPr>
          <w:rFonts w:ascii="宋体" w:hAnsi="宋体"/>
          <w:b/>
          <w:color w:val="auto"/>
          <w:sz w:val="24"/>
        </w:rPr>
        <w:t>17.3</w:t>
      </w:r>
      <w:r>
        <w:rPr>
          <w:rFonts w:hint="eastAsia" w:ascii="宋体" w:hAnsi="宋体"/>
          <w:b/>
          <w:color w:val="auto"/>
          <w:sz w:val="24"/>
        </w:rPr>
        <w:t>谈判</w:t>
      </w:r>
      <w:r>
        <w:rPr>
          <w:rFonts w:ascii="宋体" w:hAnsi="宋体"/>
          <w:b/>
          <w:color w:val="auto"/>
          <w:sz w:val="24"/>
        </w:rPr>
        <w:t>响应报价</w:t>
      </w:r>
      <w:r>
        <w:rPr>
          <w:rFonts w:hint="eastAsia" w:ascii="宋体" w:hAnsi="宋体"/>
          <w:b/>
          <w:color w:val="auto"/>
          <w:sz w:val="24"/>
        </w:rPr>
        <w:t>分为</w:t>
      </w:r>
      <w:r>
        <w:rPr>
          <w:rFonts w:ascii="宋体" w:hAnsi="宋体"/>
          <w:b/>
          <w:color w:val="auto"/>
          <w:sz w:val="24"/>
        </w:rPr>
        <w:t>谈判响应首次报价表、谈判响应</w:t>
      </w:r>
      <w:r>
        <w:rPr>
          <w:rFonts w:hint="eastAsia" w:ascii="宋体" w:hAnsi="宋体"/>
          <w:b/>
          <w:color w:val="auto"/>
          <w:sz w:val="24"/>
        </w:rPr>
        <w:t>最终</w:t>
      </w:r>
      <w:r>
        <w:rPr>
          <w:rFonts w:ascii="宋体" w:hAnsi="宋体"/>
          <w:b/>
          <w:color w:val="auto"/>
          <w:sz w:val="24"/>
        </w:rPr>
        <w:t>报价表。</w:t>
      </w:r>
    </w:p>
    <w:p w14:paraId="7C5CC879">
      <w:pPr>
        <w:spacing w:line="360" w:lineRule="auto"/>
        <w:rPr>
          <w:rFonts w:ascii="宋体" w:hAnsi="宋体"/>
          <w:b/>
          <w:color w:val="auto"/>
          <w:sz w:val="24"/>
        </w:rPr>
      </w:pPr>
      <w:r>
        <w:rPr>
          <w:rFonts w:hint="eastAsia" w:ascii="宋体" w:hAnsi="宋体"/>
          <w:b/>
          <w:color w:val="auto"/>
          <w:sz w:val="24"/>
        </w:rPr>
        <w:t>谈判</w:t>
      </w:r>
      <w:r>
        <w:rPr>
          <w:rFonts w:ascii="宋体" w:hAnsi="宋体"/>
          <w:b/>
          <w:color w:val="auto"/>
          <w:sz w:val="24"/>
        </w:rPr>
        <w:t>响应首次</w:t>
      </w:r>
      <w:r>
        <w:rPr>
          <w:rFonts w:hint="eastAsia" w:ascii="宋体" w:hAnsi="宋体"/>
          <w:b/>
          <w:color w:val="auto"/>
          <w:sz w:val="24"/>
        </w:rPr>
        <w:t>报价后</w:t>
      </w:r>
      <w:r>
        <w:rPr>
          <w:rFonts w:ascii="宋体" w:hAnsi="宋体"/>
          <w:b/>
          <w:color w:val="auto"/>
          <w:sz w:val="24"/>
        </w:rPr>
        <w:t>谈判小组</w:t>
      </w:r>
      <w:r>
        <w:rPr>
          <w:rFonts w:hint="eastAsia" w:ascii="宋体" w:hAnsi="宋体"/>
          <w:b/>
          <w:color w:val="auto"/>
          <w:sz w:val="24"/>
        </w:rPr>
        <w:t>将在资格</w:t>
      </w:r>
      <w:r>
        <w:rPr>
          <w:rFonts w:ascii="宋体" w:hAnsi="宋体"/>
          <w:b/>
          <w:color w:val="auto"/>
          <w:sz w:val="24"/>
        </w:rPr>
        <w:t>审</w:t>
      </w:r>
      <w:r>
        <w:rPr>
          <w:rFonts w:hint="eastAsia" w:ascii="宋体" w:hAnsi="宋体"/>
          <w:b/>
          <w:color w:val="auto"/>
          <w:sz w:val="24"/>
        </w:rPr>
        <w:t>评审</w:t>
      </w:r>
      <w:r>
        <w:rPr>
          <w:rFonts w:ascii="宋体" w:hAnsi="宋体"/>
          <w:b/>
          <w:color w:val="auto"/>
          <w:sz w:val="24"/>
        </w:rPr>
        <w:t>、符合性</w:t>
      </w:r>
      <w:r>
        <w:rPr>
          <w:rFonts w:hint="eastAsia" w:ascii="宋体" w:hAnsi="宋体"/>
          <w:b/>
          <w:color w:val="auto"/>
          <w:sz w:val="24"/>
        </w:rPr>
        <w:t>评审通过</w:t>
      </w:r>
      <w:r>
        <w:rPr>
          <w:rFonts w:ascii="宋体" w:hAnsi="宋体"/>
          <w:b/>
          <w:color w:val="auto"/>
          <w:sz w:val="24"/>
        </w:rPr>
        <w:t>后发起谈判</w:t>
      </w:r>
      <w:r>
        <w:rPr>
          <w:rFonts w:hint="eastAsia" w:ascii="宋体" w:hAnsi="宋体"/>
          <w:b/>
          <w:color w:val="auto"/>
          <w:sz w:val="24"/>
        </w:rPr>
        <w:t>响应</w:t>
      </w:r>
      <w:r>
        <w:rPr>
          <w:rFonts w:ascii="宋体" w:hAnsi="宋体"/>
          <w:b/>
          <w:color w:val="auto"/>
          <w:sz w:val="24"/>
        </w:rPr>
        <w:t>最终报价，</w:t>
      </w:r>
      <w:r>
        <w:rPr>
          <w:rFonts w:hint="eastAsia" w:ascii="宋体" w:hAnsi="宋体"/>
          <w:b/>
          <w:color w:val="auto"/>
          <w:sz w:val="24"/>
        </w:rPr>
        <w:t>响应</w:t>
      </w:r>
      <w:r>
        <w:rPr>
          <w:rFonts w:ascii="宋体" w:hAnsi="宋体"/>
          <w:b/>
          <w:color w:val="auto"/>
          <w:sz w:val="24"/>
        </w:rPr>
        <w:t>谈判供应商</w:t>
      </w:r>
      <w:r>
        <w:rPr>
          <w:rFonts w:hint="eastAsia" w:ascii="宋体" w:hAnsi="宋体"/>
          <w:b/>
          <w:color w:val="auto"/>
          <w:sz w:val="24"/>
        </w:rPr>
        <w:t>代表须</w:t>
      </w:r>
      <w:r>
        <w:rPr>
          <w:rFonts w:ascii="宋体" w:hAnsi="宋体"/>
          <w:b/>
          <w:color w:val="auto"/>
          <w:sz w:val="24"/>
        </w:rPr>
        <w:t>在谈判小组发起的报价</w:t>
      </w:r>
      <w:r>
        <w:rPr>
          <w:rFonts w:hint="eastAsia" w:ascii="宋体" w:hAnsi="宋体"/>
          <w:b/>
          <w:color w:val="auto"/>
          <w:sz w:val="24"/>
        </w:rPr>
        <w:t>时限</w:t>
      </w:r>
      <w:r>
        <w:rPr>
          <w:rFonts w:ascii="宋体" w:hAnsi="宋体"/>
          <w:b/>
          <w:color w:val="auto"/>
          <w:sz w:val="24"/>
        </w:rPr>
        <w:t>内提交</w:t>
      </w:r>
      <w:r>
        <w:rPr>
          <w:rFonts w:hint="eastAsia" w:ascii="宋体" w:hAnsi="宋体"/>
          <w:b/>
          <w:color w:val="auto"/>
          <w:sz w:val="24"/>
        </w:rPr>
        <w:t>谈判</w:t>
      </w:r>
      <w:r>
        <w:rPr>
          <w:rFonts w:ascii="宋体" w:hAnsi="宋体"/>
          <w:b/>
          <w:color w:val="auto"/>
          <w:sz w:val="24"/>
        </w:rPr>
        <w:t>响应最终报价</w:t>
      </w:r>
      <w:r>
        <w:rPr>
          <w:rFonts w:hint="eastAsia" w:ascii="宋体" w:hAnsi="宋体"/>
          <w:b/>
          <w:color w:val="auto"/>
          <w:sz w:val="24"/>
        </w:rPr>
        <w:t>。</w:t>
      </w:r>
    </w:p>
    <w:p w14:paraId="77AEFDF2">
      <w:pPr>
        <w:autoSpaceDE w:val="0"/>
        <w:autoSpaceDN w:val="0"/>
        <w:adjustRightInd w:val="0"/>
        <w:spacing w:before="60" w:after="60" w:line="360" w:lineRule="auto"/>
        <w:rPr>
          <w:rFonts w:cs="宋体"/>
          <w:b/>
          <w:color w:val="auto"/>
          <w:sz w:val="24"/>
        </w:rPr>
      </w:pPr>
      <w:r>
        <w:rPr>
          <w:rFonts w:hint="eastAsia" w:ascii="宋体" w:hAnsi="宋体"/>
          <w:b/>
          <w:color w:val="auto"/>
          <w:sz w:val="24"/>
        </w:rPr>
        <w:t>17.4</w:t>
      </w:r>
      <w:r>
        <w:rPr>
          <w:rFonts w:hint="eastAsia" w:cs="宋体"/>
          <w:b/>
          <w:color w:val="auto"/>
          <w:sz w:val="24"/>
        </w:rPr>
        <w:t>在线谈判</w:t>
      </w:r>
      <w:r>
        <w:rPr>
          <w:rFonts w:cs="宋体"/>
          <w:b/>
          <w:color w:val="auto"/>
          <w:sz w:val="24"/>
        </w:rPr>
        <w:t>时间和提交</w:t>
      </w:r>
      <w:r>
        <w:rPr>
          <w:rFonts w:hint="eastAsia" w:cs="宋体"/>
          <w:b/>
          <w:color w:val="auto"/>
          <w:sz w:val="24"/>
        </w:rPr>
        <w:t>最终</w:t>
      </w:r>
      <w:r>
        <w:rPr>
          <w:rFonts w:cs="宋体"/>
          <w:b/>
          <w:color w:val="auto"/>
          <w:sz w:val="24"/>
        </w:rPr>
        <w:t>报价的时间</w:t>
      </w:r>
      <w:r>
        <w:rPr>
          <w:rFonts w:hint="eastAsia" w:cs="宋体"/>
          <w:b/>
          <w:color w:val="auto"/>
          <w:sz w:val="24"/>
        </w:rPr>
        <w:t>见</w:t>
      </w:r>
      <w:r>
        <w:rPr>
          <w:rFonts w:cs="宋体"/>
          <w:b/>
          <w:color w:val="auto"/>
          <w:sz w:val="24"/>
        </w:rPr>
        <w:t>本须知前附表。</w:t>
      </w:r>
    </w:p>
    <w:p w14:paraId="3402F2A5">
      <w:pPr>
        <w:spacing w:line="360" w:lineRule="auto"/>
        <w:rPr>
          <w:rFonts w:ascii="宋体" w:hAnsi="宋体"/>
          <w:b/>
          <w:color w:val="auto"/>
          <w:sz w:val="24"/>
        </w:rPr>
      </w:pPr>
      <w:r>
        <w:rPr>
          <w:rFonts w:hint="eastAsia" w:ascii="宋体" w:hAnsi="宋体"/>
          <w:b/>
          <w:color w:val="auto"/>
          <w:sz w:val="24"/>
        </w:rPr>
        <w:t>1</w:t>
      </w:r>
      <w:r>
        <w:rPr>
          <w:rFonts w:ascii="宋体" w:hAnsi="宋体"/>
          <w:b/>
          <w:color w:val="auto"/>
          <w:sz w:val="24"/>
        </w:rPr>
        <w:t>8</w:t>
      </w:r>
      <w:r>
        <w:rPr>
          <w:rFonts w:hint="eastAsia" w:ascii="宋体" w:hAnsi="宋体"/>
          <w:b/>
          <w:color w:val="auto"/>
          <w:sz w:val="24"/>
        </w:rPr>
        <w:t>.采购</w:t>
      </w:r>
      <w:r>
        <w:rPr>
          <w:rFonts w:ascii="宋体" w:hAnsi="宋体"/>
          <w:b/>
          <w:color w:val="auto"/>
          <w:sz w:val="24"/>
        </w:rPr>
        <w:t>货物</w:t>
      </w:r>
      <w:r>
        <w:rPr>
          <w:rFonts w:hint="eastAsia" w:ascii="宋体" w:hAnsi="宋体"/>
          <w:b/>
          <w:color w:val="auto"/>
          <w:sz w:val="24"/>
        </w:rPr>
        <w:t>进口产品规定</w:t>
      </w:r>
    </w:p>
    <w:p w14:paraId="22F6472B">
      <w:pPr>
        <w:spacing w:line="360" w:lineRule="auto"/>
        <w:rPr>
          <w:rFonts w:ascii="宋体" w:hAnsi="宋体"/>
          <w:color w:val="auto"/>
          <w:sz w:val="24"/>
        </w:rPr>
      </w:pPr>
      <w:r>
        <w:rPr>
          <w:rFonts w:hint="eastAsia" w:ascii="宋体" w:hAnsi="宋体"/>
          <w:color w:val="auto"/>
          <w:sz w:val="24"/>
        </w:rPr>
        <w:t>1</w:t>
      </w:r>
      <w:r>
        <w:rPr>
          <w:rFonts w:ascii="宋体" w:hAnsi="宋体"/>
          <w:color w:val="auto"/>
          <w:sz w:val="24"/>
        </w:rPr>
        <w:t>8</w:t>
      </w:r>
      <w:r>
        <w:rPr>
          <w:rFonts w:hint="eastAsia" w:ascii="宋体" w:hAnsi="宋体"/>
          <w:color w:val="auto"/>
          <w:sz w:val="24"/>
        </w:rPr>
        <w:t>.1政府采购应当采购本国货物。按照财政部《政府采购进口产品管理办法》规定确需采购进口产品的，实行审核管理。经审核允许采购进口产品的，不得排斥符合要求的本国产品。在谈判文件中未标明采购进口产品的，均为采购本国产品。供应商必须响应本国产品，响应进口产品的，磋谈判响应文件无效。进口产品是指通过中国海关报关验放进入中国境内且产自关境外的产品。</w:t>
      </w:r>
    </w:p>
    <w:p w14:paraId="09F0EFDD">
      <w:pPr>
        <w:spacing w:line="360" w:lineRule="auto"/>
        <w:rPr>
          <w:rFonts w:ascii="宋体" w:hAnsi="宋体"/>
          <w:color w:val="auto"/>
          <w:sz w:val="24"/>
        </w:rPr>
      </w:pPr>
      <w:r>
        <w:rPr>
          <w:rFonts w:hint="eastAsia" w:ascii="宋体" w:hAnsi="宋体"/>
          <w:color w:val="auto"/>
          <w:sz w:val="24"/>
        </w:rPr>
        <w:t>1</w:t>
      </w:r>
      <w:r>
        <w:rPr>
          <w:rFonts w:ascii="宋体" w:hAnsi="宋体"/>
          <w:color w:val="auto"/>
          <w:sz w:val="24"/>
        </w:rPr>
        <w:t>8</w:t>
      </w:r>
      <w:r>
        <w:rPr>
          <w:rFonts w:hint="eastAsia" w:ascii="宋体" w:hAnsi="宋体"/>
          <w:color w:val="auto"/>
          <w:sz w:val="24"/>
        </w:rPr>
        <w:t>.2政府采购进口产品合同应当将维护国家利益和社会公共利益作为必备条款。合同履行过程中出现危害国家利益和社会公共利益问题的，采购人应当立即终止合同。</w:t>
      </w:r>
    </w:p>
    <w:p w14:paraId="55A30BAA">
      <w:pPr>
        <w:spacing w:line="360" w:lineRule="auto"/>
        <w:rPr>
          <w:rFonts w:ascii="宋体" w:hAnsi="宋体"/>
          <w:color w:val="auto"/>
          <w:sz w:val="24"/>
        </w:rPr>
      </w:pPr>
      <w:r>
        <w:rPr>
          <w:rFonts w:hint="eastAsia" w:ascii="宋体" w:hAnsi="宋体"/>
          <w:b/>
          <w:color w:val="auto"/>
          <w:sz w:val="24"/>
        </w:rPr>
        <w:t>1</w:t>
      </w:r>
      <w:r>
        <w:rPr>
          <w:rFonts w:ascii="宋体" w:hAnsi="宋体"/>
          <w:b/>
          <w:color w:val="auto"/>
          <w:sz w:val="24"/>
        </w:rPr>
        <w:t>9</w:t>
      </w:r>
      <w:r>
        <w:rPr>
          <w:rFonts w:hint="eastAsia" w:ascii="宋体" w:hAnsi="宋体"/>
          <w:b/>
          <w:color w:val="auto"/>
          <w:sz w:val="24"/>
        </w:rPr>
        <w:t>.谈判有效期</w:t>
      </w:r>
    </w:p>
    <w:p w14:paraId="6D98AE47">
      <w:pPr>
        <w:spacing w:line="360" w:lineRule="auto"/>
        <w:rPr>
          <w:rFonts w:ascii="宋体" w:hAnsi="宋体"/>
          <w:color w:val="auto"/>
          <w:sz w:val="24"/>
        </w:rPr>
      </w:pPr>
      <w:r>
        <w:rPr>
          <w:rFonts w:hint="eastAsia" w:ascii="宋体" w:hAnsi="宋体"/>
          <w:color w:val="auto"/>
          <w:sz w:val="24"/>
        </w:rPr>
        <w:t>1</w:t>
      </w:r>
      <w:r>
        <w:rPr>
          <w:rFonts w:ascii="宋体" w:hAnsi="宋体"/>
          <w:color w:val="auto"/>
          <w:sz w:val="24"/>
        </w:rPr>
        <w:t>9</w:t>
      </w:r>
      <w:r>
        <w:rPr>
          <w:rFonts w:hint="eastAsia" w:ascii="宋体" w:hAnsi="宋体"/>
          <w:color w:val="auto"/>
          <w:sz w:val="24"/>
        </w:rPr>
        <w:t>.1谈判响应文件应在本须知前附表所规定的谈判截止期之后开始生效，响应谈判供应商不得在本须知规定的谈判有效期内要求撤销或修改其谈判响应文件。</w:t>
      </w:r>
    </w:p>
    <w:p w14:paraId="08508334">
      <w:pPr>
        <w:spacing w:line="360" w:lineRule="auto"/>
        <w:rPr>
          <w:rFonts w:ascii="宋体" w:hAnsi="宋体"/>
          <w:b/>
          <w:color w:val="auto"/>
          <w:sz w:val="24"/>
        </w:rPr>
      </w:pPr>
      <w:r>
        <w:rPr>
          <w:rFonts w:hint="eastAsia" w:ascii="宋体" w:hAnsi="宋体"/>
          <w:color w:val="auto"/>
          <w:sz w:val="24"/>
        </w:rPr>
        <w:t>1</w:t>
      </w:r>
      <w:r>
        <w:rPr>
          <w:rFonts w:ascii="宋体" w:hAnsi="宋体"/>
          <w:color w:val="auto"/>
          <w:sz w:val="24"/>
        </w:rPr>
        <w:t>9</w:t>
      </w:r>
      <w:r>
        <w:rPr>
          <w:rFonts w:hint="eastAsia" w:ascii="宋体" w:hAnsi="宋体"/>
          <w:color w:val="auto"/>
          <w:sz w:val="24"/>
        </w:rPr>
        <w:t>.2出现特殊情况需要延长响应有效期的，</w:t>
      </w:r>
      <w:r>
        <w:rPr>
          <w:rFonts w:hint="eastAsia" w:ascii="宋体" w:hAnsi="宋体"/>
          <w:color w:val="auto"/>
          <w:sz w:val="24"/>
          <w:lang w:eastAsia="zh-CN"/>
        </w:rPr>
        <w:t>采购代理机构</w:t>
      </w:r>
      <w:r>
        <w:rPr>
          <w:rFonts w:hint="eastAsia" w:ascii="宋体" w:hAnsi="宋体"/>
          <w:color w:val="auto"/>
          <w:sz w:val="24"/>
        </w:rPr>
        <w:t>以书面形式通知所有响应谈判供应商延长谈判有效期。响应谈判供应商同意延长的，但不得要求或被允许修改或撤销其谈判响应文件。响应谈判供应商拒绝延长的，其谈判响应失效。</w:t>
      </w:r>
      <w:r>
        <w:rPr>
          <w:rFonts w:ascii="宋体" w:hAnsi="宋体"/>
          <w:b/>
          <w:color w:val="auto"/>
          <w:sz w:val="24"/>
        </w:rPr>
        <w:t xml:space="preserve"> </w:t>
      </w:r>
    </w:p>
    <w:p w14:paraId="42A424C8">
      <w:pPr>
        <w:spacing w:line="360" w:lineRule="auto"/>
        <w:rPr>
          <w:rFonts w:ascii="宋体" w:hAnsi="宋体"/>
          <w:color w:val="auto"/>
          <w:sz w:val="24"/>
        </w:rPr>
      </w:pPr>
      <w:r>
        <w:rPr>
          <w:rFonts w:hint="eastAsia" w:ascii="宋体" w:hAnsi="宋体"/>
          <w:b/>
          <w:color w:val="auto"/>
          <w:sz w:val="24"/>
        </w:rPr>
        <w:t>20.谈判供应商的不良行为</w:t>
      </w:r>
    </w:p>
    <w:p w14:paraId="3C776E48">
      <w:pPr>
        <w:spacing w:line="360" w:lineRule="auto"/>
        <w:ind w:firstLine="480" w:firstLineChars="200"/>
        <w:rPr>
          <w:rFonts w:ascii="宋体" w:hAnsi="宋体"/>
          <w:color w:val="auto"/>
          <w:sz w:val="24"/>
        </w:rPr>
      </w:pPr>
      <w:r>
        <w:rPr>
          <w:rFonts w:hint="eastAsia" w:ascii="宋体" w:hAnsi="宋体"/>
          <w:color w:val="auto"/>
          <w:sz w:val="24"/>
        </w:rPr>
        <w:t>谈判供应商有下列情形之一且情节严重的，由财政部门将其列入不良行为记录名单，在一至三年内禁止参加政府采购活动，并予以通报：</w:t>
      </w:r>
    </w:p>
    <w:p w14:paraId="43D8FB5B">
      <w:pPr>
        <w:spacing w:line="360" w:lineRule="auto"/>
        <w:rPr>
          <w:rFonts w:ascii="宋体" w:hAnsi="宋体"/>
          <w:color w:val="auto"/>
          <w:sz w:val="24"/>
        </w:rPr>
      </w:pPr>
      <w:r>
        <w:rPr>
          <w:rFonts w:ascii="宋体" w:hAnsi="宋体"/>
          <w:color w:val="auto"/>
          <w:sz w:val="24"/>
        </w:rPr>
        <w:t>20</w:t>
      </w:r>
      <w:r>
        <w:rPr>
          <w:rFonts w:hint="eastAsia" w:ascii="宋体" w:hAnsi="宋体"/>
          <w:color w:val="auto"/>
          <w:sz w:val="24"/>
        </w:rPr>
        <w:t>.</w:t>
      </w:r>
      <w:r>
        <w:rPr>
          <w:rFonts w:ascii="宋体" w:hAnsi="宋体"/>
          <w:color w:val="auto"/>
          <w:sz w:val="24"/>
        </w:rPr>
        <w:t>1</w:t>
      </w:r>
      <w:r>
        <w:rPr>
          <w:rFonts w:hint="eastAsia" w:ascii="宋体" w:hAnsi="宋体"/>
          <w:color w:val="auto"/>
          <w:sz w:val="24"/>
        </w:rPr>
        <w:t>提供虚假材料谋取中标、成交；</w:t>
      </w:r>
    </w:p>
    <w:p w14:paraId="0F8EF064">
      <w:pPr>
        <w:spacing w:line="360" w:lineRule="auto"/>
        <w:rPr>
          <w:rFonts w:ascii="宋体" w:hAnsi="宋体"/>
          <w:color w:val="auto"/>
          <w:sz w:val="24"/>
        </w:rPr>
      </w:pPr>
      <w:r>
        <w:rPr>
          <w:rFonts w:ascii="宋体" w:hAnsi="宋体"/>
          <w:color w:val="auto"/>
          <w:sz w:val="24"/>
        </w:rPr>
        <w:t>20</w:t>
      </w:r>
      <w:r>
        <w:rPr>
          <w:rFonts w:hint="eastAsia" w:ascii="宋体" w:hAnsi="宋体"/>
          <w:color w:val="auto"/>
          <w:sz w:val="24"/>
        </w:rPr>
        <w:t>.2</w:t>
      </w:r>
      <w:r>
        <w:rPr>
          <w:rFonts w:hint="eastAsia" w:ascii="宋体" w:hAnsi="宋体" w:eastAsia="宋体" w:cs="Times New Roman"/>
          <w:color w:val="auto"/>
          <w:sz w:val="24"/>
        </w:rPr>
        <w:t>采取不正当手段诋毁、排挤其他供应商；</w:t>
      </w:r>
    </w:p>
    <w:p w14:paraId="7A559B7B">
      <w:pPr>
        <w:spacing w:line="360" w:lineRule="auto"/>
        <w:rPr>
          <w:rFonts w:ascii="宋体" w:hAnsi="宋体"/>
          <w:color w:val="auto"/>
          <w:sz w:val="24"/>
        </w:rPr>
      </w:pPr>
      <w:r>
        <w:rPr>
          <w:rFonts w:ascii="宋体" w:hAnsi="宋体"/>
          <w:color w:val="auto"/>
          <w:sz w:val="24"/>
        </w:rPr>
        <w:t>20</w:t>
      </w:r>
      <w:r>
        <w:rPr>
          <w:rFonts w:hint="eastAsia" w:ascii="宋体" w:hAnsi="宋体"/>
          <w:color w:val="auto"/>
          <w:sz w:val="24"/>
        </w:rPr>
        <w:t>.3与采购人、其他供应商或代理机构恶意串通；</w:t>
      </w:r>
    </w:p>
    <w:p w14:paraId="5E8E211D">
      <w:pPr>
        <w:spacing w:line="360" w:lineRule="auto"/>
        <w:rPr>
          <w:rFonts w:ascii="宋体" w:hAnsi="宋体"/>
          <w:color w:val="auto"/>
          <w:sz w:val="24"/>
        </w:rPr>
      </w:pPr>
      <w:r>
        <w:rPr>
          <w:rFonts w:ascii="宋体" w:hAnsi="宋体"/>
          <w:color w:val="auto"/>
          <w:sz w:val="24"/>
        </w:rPr>
        <w:t>20</w:t>
      </w:r>
      <w:r>
        <w:rPr>
          <w:rFonts w:hint="eastAsia" w:ascii="宋体" w:hAnsi="宋体"/>
          <w:color w:val="auto"/>
          <w:sz w:val="24"/>
        </w:rPr>
        <w:t>.4拒不履行合同义务或实质性变更合同内容；</w:t>
      </w:r>
    </w:p>
    <w:p w14:paraId="2045C14D">
      <w:pPr>
        <w:spacing w:line="360" w:lineRule="auto"/>
        <w:rPr>
          <w:rFonts w:hint="eastAsia" w:ascii="宋体" w:hAnsi="宋体"/>
          <w:color w:val="auto"/>
          <w:sz w:val="24"/>
        </w:rPr>
      </w:pPr>
      <w:r>
        <w:rPr>
          <w:rFonts w:ascii="宋体" w:hAnsi="宋体"/>
          <w:color w:val="auto"/>
          <w:sz w:val="24"/>
        </w:rPr>
        <w:t>20</w:t>
      </w:r>
      <w:r>
        <w:rPr>
          <w:rFonts w:hint="eastAsia" w:ascii="宋体" w:hAnsi="宋体"/>
          <w:color w:val="auto"/>
          <w:sz w:val="24"/>
        </w:rPr>
        <w:t>.5其他严重违法行为</w:t>
      </w:r>
    </w:p>
    <w:p w14:paraId="17D44CE9">
      <w:pPr>
        <w:spacing w:line="360" w:lineRule="auto"/>
        <w:rPr>
          <w:rFonts w:ascii="宋体" w:hAnsi="宋体"/>
          <w:b/>
          <w:bCs/>
          <w:color w:val="auto"/>
          <w:sz w:val="24"/>
        </w:rPr>
      </w:pPr>
      <w:r>
        <w:rPr>
          <w:rFonts w:ascii="宋体" w:hAnsi="宋体"/>
          <w:b/>
          <w:bCs/>
          <w:color w:val="auto"/>
          <w:sz w:val="24"/>
        </w:rPr>
        <w:t>21</w:t>
      </w:r>
      <w:r>
        <w:rPr>
          <w:rFonts w:hint="eastAsia" w:ascii="宋体" w:hAnsi="宋体"/>
          <w:b/>
          <w:bCs/>
          <w:color w:val="auto"/>
          <w:sz w:val="24"/>
        </w:rPr>
        <w:t>.谈判文件的编制</w:t>
      </w:r>
    </w:p>
    <w:p w14:paraId="50CC352A">
      <w:pPr>
        <w:spacing w:line="360" w:lineRule="auto"/>
        <w:rPr>
          <w:rFonts w:ascii="宋体" w:hAnsi="宋体"/>
          <w:bCs/>
          <w:color w:val="auto"/>
          <w:sz w:val="24"/>
        </w:rPr>
      </w:pPr>
      <w:r>
        <w:rPr>
          <w:rFonts w:ascii="宋体" w:hAnsi="宋体"/>
          <w:bCs/>
          <w:color w:val="auto"/>
          <w:sz w:val="24"/>
        </w:rPr>
        <w:t>21</w:t>
      </w:r>
      <w:r>
        <w:rPr>
          <w:rFonts w:hint="eastAsia" w:ascii="宋体" w:hAnsi="宋体"/>
          <w:bCs/>
          <w:color w:val="auto"/>
          <w:sz w:val="24"/>
        </w:rPr>
        <w:t>.1谈判响应文件包括本须知第1</w:t>
      </w:r>
      <w:r>
        <w:rPr>
          <w:rFonts w:ascii="宋体" w:hAnsi="宋体"/>
          <w:bCs/>
          <w:color w:val="auto"/>
          <w:sz w:val="24"/>
        </w:rPr>
        <w:t>5</w:t>
      </w:r>
      <w:r>
        <w:rPr>
          <w:rFonts w:hint="eastAsia" w:ascii="宋体" w:hAnsi="宋体"/>
          <w:bCs/>
          <w:color w:val="auto"/>
          <w:sz w:val="24"/>
        </w:rPr>
        <w:t>条规定的内容，响应谈判供应商上传的谈判响应文件应按谈判文件第六章“响应文件格式”进行编写，如有必要，可以增加附页，作为谈判响应文件的组成部分。其中，响应函在满足谈判文件实质性要求的基础上，可以提出比谈判文件更有利于采购人的承诺。</w:t>
      </w:r>
    </w:p>
    <w:p w14:paraId="08C5F9B0">
      <w:pPr>
        <w:spacing w:line="360" w:lineRule="auto"/>
        <w:rPr>
          <w:rFonts w:ascii="宋体" w:hAnsi="宋体"/>
          <w:bCs/>
          <w:color w:val="auto"/>
          <w:sz w:val="24"/>
        </w:rPr>
      </w:pPr>
      <w:r>
        <w:rPr>
          <w:rFonts w:ascii="宋体" w:hAnsi="宋体"/>
          <w:bCs/>
          <w:color w:val="auto"/>
          <w:sz w:val="24"/>
        </w:rPr>
        <w:t>21</w:t>
      </w:r>
      <w:r>
        <w:rPr>
          <w:rFonts w:hint="eastAsia" w:ascii="宋体" w:hAnsi="宋体"/>
          <w:bCs/>
          <w:color w:val="auto"/>
          <w:sz w:val="24"/>
        </w:rPr>
        <w:t>.2谈判响应文件应当对谈判文件有关供货期、谈判有效期、质量要求、谈判内容等实质性内容作出响应。</w:t>
      </w:r>
    </w:p>
    <w:p w14:paraId="4D72802D">
      <w:pPr>
        <w:spacing w:line="360" w:lineRule="auto"/>
        <w:rPr>
          <w:rFonts w:ascii="宋体" w:hAnsi="宋体"/>
          <w:b/>
          <w:bCs/>
          <w:color w:val="auto"/>
          <w:sz w:val="24"/>
        </w:rPr>
      </w:pPr>
      <w:r>
        <w:rPr>
          <w:rFonts w:ascii="宋体" w:hAnsi="宋体"/>
          <w:b/>
          <w:bCs/>
          <w:color w:val="auto"/>
          <w:sz w:val="24"/>
        </w:rPr>
        <w:t>21</w:t>
      </w:r>
      <w:r>
        <w:rPr>
          <w:rFonts w:hint="eastAsia" w:ascii="宋体" w:hAnsi="宋体"/>
          <w:b/>
          <w:bCs/>
          <w:color w:val="auto"/>
          <w:sz w:val="24"/>
        </w:rPr>
        <w:t>.3</w:t>
      </w:r>
      <w:r>
        <w:rPr>
          <w:rFonts w:hint="eastAsia" w:ascii="宋体"/>
          <w:b/>
          <w:bCs/>
          <w:color w:val="auto"/>
          <w:sz w:val="24"/>
        </w:rPr>
        <w:t>上传</w:t>
      </w:r>
      <w:r>
        <w:rPr>
          <w:rFonts w:ascii="宋体"/>
          <w:b/>
          <w:bCs/>
          <w:color w:val="auto"/>
          <w:sz w:val="24"/>
        </w:rPr>
        <w:t>的</w:t>
      </w:r>
      <w:r>
        <w:rPr>
          <w:rFonts w:hint="eastAsia" w:ascii="宋体" w:hAnsi="宋体"/>
          <w:b/>
          <w:color w:val="auto"/>
          <w:sz w:val="24"/>
        </w:rPr>
        <w:t>谈判响应文件应在规定位置处，</w:t>
      </w:r>
      <w:r>
        <w:rPr>
          <w:rFonts w:hint="eastAsia" w:ascii="宋体" w:hAnsi="宋体"/>
          <w:b/>
          <w:color w:val="auto"/>
          <w:sz w:val="24"/>
          <w:lang w:val="en-US" w:eastAsia="zh-CN"/>
        </w:rPr>
        <w:t>根据文件要求进行签字盖章</w:t>
      </w:r>
      <w:r>
        <w:rPr>
          <w:rFonts w:hint="eastAsia" w:ascii="宋体" w:hAnsi="宋体"/>
          <w:b/>
          <w:color w:val="auto"/>
          <w:sz w:val="24"/>
        </w:rPr>
        <w:t>，上述盖章为电子章</w:t>
      </w:r>
      <w:r>
        <w:rPr>
          <w:rFonts w:ascii="宋体" w:hAnsi="宋体"/>
          <w:b/>
          <w:color w:val="auto"/>
          <w:sz w:val="24"/>
        </w:rPr>
        <w:t>或者</w:t>
      </w:r>
      <w:r>
        <w:rPr>
          <w:rFonts w:hint="eastAsia" w:ascii="宋体" w:hAnsi="宋体"/>
          <w:b/>
          <w:color w:val="auto"/>
          <w:sz w:val="24"/>
        </w:rPr>
        <w:t>鲜章。</w:t>
      </w:r>
    </w:p>
    <w:p w14:paraId="0F6A0E3A">
      <w:pPr>
        <w:spacing w:line="360" w:lineRule="auto"/>
        <w:jc w:val="left"/>
        <w:rPr>
          <w:rFonts w:ascii="宋体" w:hAnsi="宋体"/>
          <w:b/>
          <w:color w:val="auto"/>
          <w:sz w:val="24"/>
        </w:rPr>
      </w:pPr>
      <w:r>
        <w:rPr>
          <w:rFonts w:ascii="宋体" w:hAnsi="宋体"/>
          <w:b/>
          <w:color w:val="auto"/>
          <w:sz w:val="24"/>
        </w:rPr>
        <w:t>21</w:t>
      </w:r>
      <w:r>
        <w:rPr>
          <w:rFonts w:hint="eastAsia" w:ascii="宋体" w:hAnsi="宋体"/>
          <w:b/>
          <w:color w:val="auto"/>
          <w:sz w:val="24"/>
        </w:rPr>
        <w:t>.</w:t>
      </w:r>
      <w:r>
        <w:rPr>
          <w:rFonts w:ascii="宋体" w:hAnsi="宋体"/>
          <w:b/>
          <w:color w:val="auto"/>
          <w:sz w:val="24"/>
        </w:rPr>
        <w:t>4</w:t>
      </w:r>
      <w:r>
        <w:rPr>
          <w:rFonts w:hint="eastAsia" w:ascii="宋体" w:hAnsi="宋体"/>
          <w:b/>
          <w:color w:val="auto"/>
          <w:sz w:val="24"/>
        </w:rPr>
        <w:t>谈判响应文件中的内容</w:t>
      </w:r>
      <w:r>
        <w:rPr>
          <w:rFonts w:ascii="宋体" w:hAnsi="宋体"/>
          <w:b/>
          <w:color w:val="auto"/>
          <w:sz w:val="24"/>
        </w:rPr>
        <w:t>要</w:t>
      </w:r>
      <w:r>
        <w:rPr>
          <w:rFonts w:hint="eastAsia" w:ascii="宋体" w:hAnsi="宋体"/>
          <w:b/>
          <w:color w:val="auto"/>
          <w:sz w:val="24"/>
        </w:rPr>
        <w:t>清晰，易于辨认，且无篡改</w:t>
      </w:r>
      <w:r>
        <w:rPr>
          <w:rFonts w:ascii="宋体" w:hAnsi="宋体"/>
          <w:b/>
          <w:color w:val="auto"/>
          <w:sz w:val="24"/>
        </w:rPr>
        <w:t>图片</w:t>
      </w:r>
      <w:r>
        <w:rPr>
          <w:rFonts w:hint="eastAsia" w:ascii="宋体" w:hAnsi="宋体"/>
          <w:b/>
          <w:color w:val="auto"/>
          <w:sz w:val="24"/>
        </w:rPr>
        <w:t>，除非这些改动是根据</w:t>
      </w:r>
      <w:r>
        <w:rPr>
          <w:rFonts w:hint="eastAsia" w:ascii="宋体" w:hAnsi="宋体"/>
          <w:b/>
          <w:color w:val="auto"/>
          <w:sz w:val="24"/>
          <w:lang w:eastAsia="zh-CN"/>
        </w:rPr>
        <w:t>采购代理机构</w:t>
      </w:r>
      <w:r>
        <w:rPr>
          <w:rFonts w:hint="eastAsia" w:ascii="宋体" w:hAnsi="宋体"/>
          <w:b/>
          <w:color w:val="auto"/>
          <w:sz w:val="24"/>
        </w:rPr>
        <w:t>的指示进行的，或者是为改正响应谈判供应商造成的必须修改的错误而进行的。有改动时，修改处应由响应谈判供应商的法定代表人或被授权委托人签字或盖章，并</w:t>
      </w:r>
      <w:r>
        <w:rPr>
          <w:rFonts w:ascii="宋体" w:hAnsi="宋体"/>
          <w:b/>
          <w:color w:val="auto"/>
          <w:sz w:val="24"/>
        </w:rPr>
        <w:t>加盖公章</w:t>
      </w:r>
      <w:r>
        <w:rPr>
          <w:rFonts w:hint="eastAsia" w:ascii="宋体" w:hAnsi="宋体"/>
          <w:b/>
          <w:color w:val="auto"/>
          <w:sz w:val="24"/>
        </w:rPr>
        <w:t>；上述盖章为电子章</w:t>
      </w:r>
      <w:r>
        <w:rPr>
          <w:rFonts w:ascii="宋体" w:hAnsi="宋体"/>
          <w:b/>
          <w:color w:val="auto"/>
          <w:sz w:val="24"/>
        </w:rPr>
        <w:t>或者</w:t>
      </w:r>
      <w:r>
        <w:rPr>
          <w:rFonts w:hint="eastAsia" w:ascii="宋体" w:hAnsi="宋体"/>
          <w:b/>
          <w:color w:val="auto"/>
          <w:sz w:val="24"/>
        </w:rPr>
        <w:t>鲜章。</w:t>
      </w:r>
    </w:p>
    <w:p w14:paraId="6A47F877">
      <w:pPr>
        <w:spacing w:after="120"/>
        <w:jc w:val="left"/>
        <w:rPr>
          <w:rFonts w:ascii="宋体"/>
          <w:b/>
          <w:color w:val="auto"/>
          <w:sz w:val="24"/>
        </w:rPr>
      </w:pPr>
      <w:r>
        <w:rPr>
          <w:rFonts w:ascii="宋体"/>
          <w:b/>
          <w:bCs/>
          <w:color w:val="auto"/>
          <w:sz w:val="24"/>
        </w:rPr>
        <w:t>21.5</w:t>
      </w:r>
      <w:r>
        <w:rPr>
          <w:rFonts w:hint="eastAsia" w:ascii="宋体" w:hAnsi="宋体"/>
          <w:b/>
          <w:color w:val="auto"/>
          <w:sz w:val="24"/>
        </w:rPr>
        <w:t>如果响应谈判供应商没有按本须知要求制作、签署、盖章，在初步评审时将按照无效响应处理</w:t>
      </w:r>
      <w:r>
        <w:rPr>
          <w:rFonts w:hint="eastAsia" w:ascii="宋体" w:hAnsi="宋体"/>
          <w:color w:val="auto"/>
          <w:sz w:val="24"/>
        </w:rPr>
        <w:t>。</w:t>
      </w:r>
    </w:p>
    <w:p w14:paraId="0AE72070">
      <w:pPr>
        <w:spacing w:line="360" w:lineRule="auto"/>
        <w:jc w:val="center"/>
        <w:outlineLvl w:val="1"/>
        <w:rPr>
          <w:rFonts w:ascii="宋体" w:hAnsi="宋体"/>
          <w:b/>
          <w:color w:val="auto"/>
          <w:sz w:val="28"/>
          <w:szCs w:val="28"/>
        </w:rPr>
      </w:pPr>
      <w:bookmarkStart w:id="13" w:name="_Toc103723521"/>
      <w:bookmarkStart w:id="14" w:name="_Toc23696"/>
      <w:r>
        <w:rPr>
          <w:rFonts w:hint="eastAsia" w:ascii="宋体" w:hAnsi="宋体"/>
          <w:b/>
          <w:color w:val="auto"/>
          <w:sz w:val="28"/>
          <w:szCs w:val="28"/>
        </w:rPr>
        <w:t>五、</w:t>
      </w:r>
      <w:bookmarkEnd w:id="13"/>
      <w:r>
        <w:rPr>
          <w:rFonts w:hint="eastAsia" w:ascii="宋体" w:hAnsi="宋体"/>
          <w:b/>
          <w:color w:val="auto"/>
          <w:sz w:val="28"/>
          <w:szCs w:val="28"/>
        </w:rPr>
        <w:t>谈判响应</w:t>
      </w:r>
      <w:bookmarkEnd w:id="14"/>
    </w:p>
    <w:p w14:paraId="7EF1033F">
      <w:pPr>
        <w:spacing w:line="360" w:lineRule="auto"/>
        <w:jc w:val="left"/>
        <w:rPr>
          <w:rFonts w:ascii="宋体" w:hAnsi="宋体"/>
          <w:color w:val="auto"/>
          <w:sz w:val="24"/>
        </w:rPr>
      </w:pPr>
      <w:r>
        <w:rPr>
          <w:rFonts w:hint="eastAsia" w:ascii="宋体" w:hAnsi="宋体"/>
          <w:b/>
          <w:color w:val="auto"/>
          <w:sz w:val="24"/>
        </w:rPr>
        <w:t>2</w:t>
      </w:r>
      <w:r>
        <w:rPr>
          <w:rFonts w:ascii="宋体" w:hAnsi="宋体"/>
          <w:b/>
          <w:color w:val="auto"/>
          <w:sz w:val="24"/>
        </w:rPr>
        <w:t>2</w:t>
      </w:r>
      <w:r>
        <w:rPr>
          <w:rFonts w:hint="eastAsia" w:ascii="宋体" w:hAnsi="宋体"/>
          <w:b/>
          <w:color w:val="auto"/>
          <w:sz w:val="24"/>
        </w:rPr>
        <w:t>.谈判响应文件的上传、解密</w:t>
      </w:r>
    </w:p>
    <w:p w14:paraId="696ACC16">
      <w:pPr>
        <w:spacing w:line="360" w:lineRule="auto"/>
        <w:rPr>
          <w:rFonts w:ascii="宋体" w:hAnsi="宋体"/>
          <w:color w:val="auto"/>
          <w:sz w:val="24"/>
        </w:rPr>
      </w:pPr>
      <w:r>
        <w:rPr>
          <w:rFonts w:cs="宋体" w:asciiTheme="minorEastAsia" w:hAnsiTheme="minorEastAsia" w:eastAsiaTheme="minorEastAsia"/>
          <w:b/>
          <w:color w:val="auto"/>
          <w:sz w:val="24"/>
        </w:rPr>
        <w:t>22.1</w:t>
      </w:r>
      <w:r>
        <w:rPr>
          <w:rFonts w:hint="eastAsia" w:ascii="宋体" w:hAnsi="宋体"/>
          <w:b/>
          <w:bCs/>
          <w:color w:val="auto"/>
          <w:sz w:val="24"/>
        </w:rPr>
        <w:t>响应谈判供应商应在本须知前附表规定的谈判响应截止时间前上传谈判响应文件，</w:t>
      </w:r>
      <w:r>
        <w:rPr>
          <w:rFonts w:ascii="宋体" w:hAnsi="宋体"/>
          <w:b/>
          <w:bCs/>
          <w:color w:val="auto"/>
          <w:sz w:val="24"/>
        </w:rPr>
        <w:t>在规定的</w:t>
      </w:r>
      <w:r>
        <w:rPr>
          <w:rFonts w:hint="eastAsia" w:ascii="宋体" w:hAnsi="宋体"/>
          <w:b/>
          <w:bCs/>
          <w:color w:val="auto"/>
          <w:sz w:val="24"/>
        </w:rPr>
        <w:t>解密</w:t>
      </w:r>
      <w:r>
        <w:rPr>
          <w:rFonts w:ascii="宋体" w:hAnsi="宋体"/>
          <w:b/>
          <w:bCs/>
          <w:color w:val="auto"/>
          <w:sz w:val="24"/>
        </w:rPr>
        <w:t>时间</w:t>
      </w:r>
      <w:r>
        <w:rPr>
          <w:rFonts w:hint="eastAsia" w:ascii="宋体" w:hAnsi="宋体"/>
          <w:b/>
          <w:bCs/>
          <w:color w:val="auto"/>
          <w:sz w:val="24"/>
        </w:rPr>
        <w:t>内</w:t>
      </w:r>
      <w:r>
        <w:rPr>
          <w:rFonts w:ascii="宋体" w:hAnsi="宋体"/>
          <w:b/>
          <w:bCs/>
          <w:color w:val="auto"/>
          <w:sz w:val="24"/>
        </w:rPr>
        <w:t>解密谈判响应文件。</w:t>
      </w:r>
    </w:p>
    <w:p w14:paraId="289803CE">
      <w:pPr>
        <w:spacing w:line="360" w:lineRule="auto"/>
        <w:rPr>
          <w:rFonts w:ascii="宋体" w:hAnsi="宋体"/>
          <w:b/>
          <w:color w:val="auto"/>
          <w:sz w:val="24"/>
        </w:rPr>
      </w:pPr>
      <w:r>
        <w:rPr>
          <w:rFonts w:cs="宋体" w:asciiTheme="minorEastAsia" w:hAnsiTheme="minorEastAsia" w:eastAsiaTheme="minorEastAsia"/>
          <w:b/>
          <w:color w:val="auto"/>
          <w:sz w:val="24"/>
        </w:rPr>
        <w:t>22.2</w:t>
      </w:r>
      <w:r>
        <w:rPr>
          <w:rFonts w:hint="eastAsia" w:cs="宋体" w:asciiTheme="minorEastAsia" w:hAnsiTheme="minorEastAsia" w:eastAsiaTheme="minorEastAsia"/>
          <w:b/>
          <w:color w:val="auto"/>
          <w:sz w:val="24"/>
        </w:rPr>
        <w:t>响应谈判供应商须在本须知</w:t>
      </w:r>
      <w:r>
        <w:rPr>
          <w:rFonts w:cs="宋体" w:asciiTheme="minorEastAsia" w:hAnsiTheme="minorEastAsia" w:eastAsiaTheme="minorEastAsia"/>
          <w:b/>
          <w:color w:val="auto"/>
          <w:sz w:val="24"/>
        </w:rPr>
        <w:t>前附表</w:t>
      </w:r>
      <w:r>
        <w:rPr>
          <w:rFonts w:hint="eastAsia" w:cs="宋体" w:asciiTheme="minorEastAsia" w:hAnsiTheme="minorEastAsia" w:eastAsiaTheme="minorEastAsia"/>
          <w:b/>
          <w:color w:val="auto"/>
          <w:sz w:val="24"/>
        </w:rPr>
        <w:t>规定</w:t>
      </w:r>
      <w:r>
        <w:rPr>
          <w:rFonts w:cs="宋体" w:asciiTheme="minorEastAsia" w:hAnsiTheme="minorEastAsia" w:eastAsiaTheme="minorEastAsia"/>
          <w:b/>
          <w:color w:val="auto"/>
          <w:sz w:val="24"/>
        </w:rPr>
        <w:t>的方式上</w:t>
      </w:r>
      <w:r>
        <w:rPr>
          <w:rFonts w:hint="eastAsia" w:cs="宋体" w:asciiTheme="minorEastAsia" w:hAnsiTheme="minorEastAsia" w:eastAsiaTheme="minorEastAsia"/>
          <w:b/>
          <w:color w:val="auto"/>
          <w:sz w:val="24"/>
        </w:rPr>
        <w:t>传谈判响应文件。谈判响应文件应在制作完成后，在谈判响应截止</w:t>
      </w:r>
      <w:r>
        <w:rPr>
          <w:rFonts w:cs="宋体" w:asciiTheme="minorEastAsia" w:hAnsiTheme="minorEastAsia" w:eastAsiaTheme="minorEastAsia"/>
          <w:b/>
          <w:color w:val="auto"/>
          <w:sz w:val="24"/>
        </w:rPr>
        <w:t>时间</w:t>
      </w:r>
      <w:r>
        <w:rPr>
          <w:rFonts w:hint="eastAsia" w:cs="宋体" w:asciiTheme="minorEastAsia" w:hAnsiTheme="minorEastAsia" w:eastAsiaTheme="minorEastAsia"/>
          <w:b/>
          <w:color w:val="auto"/>
          <w:sz w:val="24"/>
        </w:rPr>
        <w:t>前</w:t>
      </w:r>
      <w:r>
        <w:rPr>
          <w:rFonts w:ascii="宋体" w:hAnsi="宋体"/>
          <w:b/>
          <w:color w:val="auto"/>
          <w:sz w:val="24"/>
        </w:rPr>
        <w:t>提交至“</w:t>
      </w:r>
      <w:r>
        <w:rPr>
          <w:rFonts w:hint="eastAsia" w:ascii="宋体" w:hAnsi="宋体"/>
          <w:b/>
          <w:color w:val="auto"/>
          <w:sz w:val="24"/>
        </w:rPr>
        <w:t>政采云</w:t>
      </w:r>
      <w:r>
        <w:rPr>
          <w:rFonts w:ascii="宋体" w:hAnsi="宋体"/>
          <w:b/>
          <w:color w:val="auto"/>
          <w:sz w:val="24"/>
        </w:rPr>
        <w:t>”</w:t>
      </w:r>
      <w:r>
        <w:rPr>
          <w:rFonts w:hint="eastAsia" w:ascii="宋体" w:hAnsi="宋体"/>
          <w:b/>
          <w:color w:val="auto"/>
          <w:sz w:val="24"/>
        </w:rPr>
        <w:t>平台，</w:t>
      </w:r>
      <w:r>
        <w:rPr>
          <w:rFonts w:ascii="宋体" w:hAnsi="宋体"/>
          <w:b/>
          <w:color w:val="auto"/>
          <w:sz w:val="24"/>
        </w:rPr>
        <w:t>并</w:t>
      </w:r>
      <w:r>
        <w:rPr>
          <w:rFonts w:hint="eastAsia" w:ascii="宋体" w:hAnsi="宋体" w:cs="宋体"/>
          <w:b/>
          <w:color w:val="auto"/>
          <w:sz w:val="24"/>
        </w:rPr>
        <w:t>通过数字证书</w:t>
      </w:r>
      <w:r>
        <w:rPr>
          <w:rFonts w:hint="eastAsia" w:ascii="宋体" w:hAnsi="宋体"/>
          <w:b/>
          <w:color w:val="auto"/>
          <w:sz w:val="24"/>
        </w:rPr>
        <w:t>签章、加密。</w:t>
      </w:r>
      <w:r>
        <w:rPr>
          <w:rFonts w:hint="eastAsia" w:cs="宋体" w:asciiTheme="minorEastAsia" w:hAnsiTheme="minorEastAsia" w:eastAsiaTheme="minorEastAsia"/>
          <w:b/>
          <w:color w:val="auto"/>
          <w:sz w:val="24"/>
        </w:rPr>
        <w:t xml:space="preserve">  </w:t>
      </w:r>
    </w:p>
    <w:p w14:paraId="41808E8B">
      <w:pPr>
        <w:spacing w:line="360" w:lineRule="auto"/>
        <w:rPr>
          <w:rFonts w:ascii="宋体" w:hAnsi="宋体"/>
          <w:color w:val="auto"/>
          <w:sz w:val="24"/>
        </w:rPr>
      </w:pPr>
      <w:r>
        <w:rPr>
          <w:rFonts w:hint="eastAsia" w:ascii="宋体" w:hAnsi="宋体"/>
          <w:color w:val="auto"/>
          <w:sz w:val="24"/>
        </w:rPr>
        <w:t>2</w:t>
      </w:r>
      <w:r>
        <w:rPr>
          <w:rFonts w:ascii="宋体" w:hAnsi="宋体"/>
          <w:color w:val="auto"/>
          <w:sz w:val="24"/>
        </w:rPr>
        <w:t>2.3</w:t>
      </w:r>
      <w:r>
        <w:rPr>
          <w:rFonts w:hint="eastAsia" w:ascii="宋体" w:hAnsi="宋体"/>
          <w:color w:val="auto"/>
          <w:sz w:val="24"/>
        </w:rPr>
        <w:t>逾期上传的或者未上传指定</w:t>
      </w:r>
      <w:r>
        <w:rPr>
          <w:rFonts w:ascii="宋体" w:hAnsi="宋体"/>
          <w:color w:val="auto"/>
          <w:sz w:val="24"/>
        </w:rPr>
        <w:t>“</w:t>
      </w:r>
      <w:r>
        <w:rPr>
          <w:rFonts w:hint="eastAsia" w:ascii="宋体" w:hAnsi="宋体"/>
          <w:color w:val="auto"/>
          <w:sz w:val="24"/>
        </w:rPr>
        <w:t>政采云</w:t>
      </w:r>
      <w:r>
        <w:rPr>
          <w:rFonts w:ascii="宋体" w:hAnsi="宋体"/>
          <w:color w:val="auto"/>
          <w:sz w:val="24"/>
        </w:rPr>
        <w:t>”</w:t>
      </w:r>
      <w:r>
        <w:rPr>
          <w:rFonts w:hint="eastAsia" w:ascii="宋体" w:hAnsi="宋体"/>
          <w:color w:val="auto"/>
          <w:sz w:val="24"/>
        </w:rPr>
        <w:t>平台的谈判响应文件，</w:t>
      </w:r>
      <w:r>
        <w:rPr>
          <w:rFonts w:hint="eastAsia" w:ascii="宋体" w:hAnsi="宋体"/>
          <w:color w:val="auto"/>
          <w:sz w:val="24"/>
          <w:lang w:eastAsia="zh-CN"/>
        </w:rPr>
        <w:t>采购代理机构</w:t>
      </w:r>
      <w:r>
        <w:rPr>
          <w:rFonts w:hint="eastAsia" w:ascii="宋体" w:hAnsi="宋体"/>
          <w:color w:val="auto"/>
          <w:sz w:val="24"/>
        </w:rPr>
        <w:t>不予受理。响应谈判供应商上传的电子谈判响应文件因未解密而造成谈判响应文件无法进行评审的，响应谈判供应商自行承担。</w:t>
      </w:r>
    </w:p>
    <w:p w14:paraId="41433130">
      <w:pPr>
        <w:spacing w:line="360" w:lineRule="auto"/>
        <w:rPr>
          <w:rFonts w:ascii="宋体" w:hAnsi="宋体"/>
          <w:color w:val="auto"/>
          <w:sz w:val="24"/>
        </w:rPr>
      </w:pPr>
      <w:r>
        <w:rPr>
          <w:rFonts w:hint="eastAsia" w:ascii="宋体" w:hAnsi="宋体"/>
          <w:b/>
          <w:color w:val="auto"/>
          <w:sz w:val="24"/>
        </w:rPr>
        <w:t>2</w:t>
      </w:r>
      <w:r>
        <w:rPr>
          <w:rFonts w:ascii="宋体" w:hAnsi="宋体"/>
          <w:b/>
          <w:color w:val="auto"/>
          <w:sz w:val="24"/>
        </w:rPr>
        <w:t>3</w:t>
      </w:r>
      <w:r>
        <w:rPr>
          <w:rFonts w:hint="eastAsia" w:ascii="宋体" w:hAnsi="宋体"/>
          <w:b/>
          <w:color w:val="auto"/>
          <w:sz w:val="24"/>
        </w:rPr>
        <w:t>.谈判</w:t>
      </w:r>
      <w:r>
        <w:rPr>
          <w:rFonts w:ascii="宋体" w:hAnsi="宋体"/>
          <w:b/>
          <w:color w:val="auto"/>
          <w:sz w:val="24"/>
        </w:rPr>
        <w:t>响应</w:t>
      </w:r>
      <w:r>
        <w:rPr>
          <w:rFonts w:hint="eastAsia" w:ascii="宋体" w:hAnsi="宋体"/>
          <w:b/>
          <w:color w:val="auto"/>
          <w:sz w:val="24"/>
        </w:rPr>
        <w:t>截止期</w:t>
      </w:r>
    </w:p>
    <w:p w14:paraId="1D29BBC8">
      <w:pPr>
        <w:spacing w:line="360" w:lineRule="auto"/>
        <w:rPr>
          <w:rFonts w:ascii="宋体" w:hAnsi="宋体"/>
          <w:color w:val="auto"/>
          <w:sz w:val="24"/>
        </w:rPr>
      </w:pPr>
      <w:r>
        <w:rPr>
          <w:rFonts w:hint="eastAsia" w:ascii="宋体" w:hAnsi="宋体"/>
          <w:color w:val="auto"/>
          <w:sz w:val="24"/>
        </w:rPr>
        <w:t>2</w:t>
      </w:r>
      <w:r>
        <w:rPr>
          <w:rFonts w:ascii="宋体" w:hAnsi="宋体"/>
          <w:color w:val="auto"/>
          <w:sz w:val="24"/>
        </w:rPr>
        <w:t>3</w:t>
      </w:r>
      <w:r>
        <w:rPr>
          <w:rFonts w:hint="eastAsia" w:ascii="宋体" w:hAnsi="宋体"/>
          <w:color w:val="auto"/>
          <w:sz w:val="24"/>
        </w:rPr>
        <w:t>.1谈判响应文件的截止时间、开标时间：见本须知前附表。</w:t>
      </w:r>
    </w:p>
    <w:p w14:paraId="5056071C">
      <w:pPr>
        <w:spacing w:line="360" w:lineRule="auto"/>
        <w:rPr>
          <w:rFonts w:ascii="宋体" w:hAnsi="宋体"/>
          <w:color w:val="auto"/>
          <w:sz w:val="24"/>
        </w:rPr>
      </w:pPr>
      <w:r>
        <w:rPr>
          <w:rFonts w:hint="eastAsia" w:ascii="宋体" w:hAnsi="宋体"/>
          <w:color w:val="auto"/>
          <w:sz w:val="24"/>
        </w:rPr>
        <w:t>2</w:t>
      </w:r>
      <w:r>
        <w:rPr>
          <w:rFonts w:ascii="宋体" w:hAnsi="宋体"/>
          <w:color w:val="auto"/>
          <w:sz w:val="24"/>
        </w:rPr>
        <w:t>3</w:t>
      </w:r>
      <w:r>
        <w:rPr>
          <w:rFonts w:hint="eastAsia" w:ascii="宋体" w:hAnsi="宋体"/>
          <w:color w:val="auto"/>
          <w:sz w:val="24"/>
        </w:rPr>
        <w:t>.2</w:t>
      </w:r>
      <w:r>
        <w:rPr>
          <w:rFonts w:hint="eastAsia" w:ascii="宋体" w:hAnsi="宋体"/>
          <w:color w:val="auto"/>
          <w:sz w:val="24"/>
          <w:lang w:eastAsia="zh-CN"/>
        </w:rPr>
        <w:t>采购代理机构</w:t>
      </w:r>
      <w:r>
        <w:rPr>
          <w:rFonts w:hint="eastAsia" w:ascii="宋体" w:hAnsi="宋体"/>
          <w:color w:val="auto"/>
          <w:sz w:val="24"/>
        </w:rPr>
        <w:t>可按本须知第14条的规定以修改补充通知的方式，延长提交谈判响应文件的截止时间。在此情况下，响应谈判供应商的所有权利和义务以及响应谈判供应商的受制约的截止时间，均以延长后新的谈判</w:t>
      </w:r>
      <w:r>
        <w:rPr>
          <w:rFonts w:ascii="宋体" w:hAnsi="宋体"/>
          <w:color w:val="auto"/>
          <w:sz w:val="24"/>
        </w:rPr>
        <w:t>响应</w:t>
      </w:r>
      <w:r>
        <w:rPr>
          <w:rFonts w:hint="eastAsia" w:ascii="宋体" w:hAnsi="宋体"/>
          <w:color w:val="auto"/>
          <w:sz w:val="24"/>
        </w:rPr>
        <w:t>截止时间为准。</w:t>
      </w:r>
    </w:p>
    <w:p w14:paraId="17BBD5DF">
      <w:pPr>
        <w:spacing w:line="360" w:lineRule="auto"/>
        <w:rPr>
          <w:rFonts w:ascii="宋体" w:hAnsi="宋体"/>
          <w:b/>
          <w:color w:val="auto"/>
          <w:sz w:val="24"/>
        </w:rPr>
      </w:pPr>
      <w:r>
        <w:rPr>
          <w:rFonts w:hint="eastAsia" w:ascii="宋体" w:hAnsi="宋体"/>
          <w:b/>
          <w:color w:val="auto"/>
          <w:sz w:val="24"/>
        </w:rPr>
        <w:t>2</w:t>
      </w:r>
      <w:r>
        <w:rPr>
          <w:rFonts w:ascii="宋体" w:hAnsi="宋体"/>
          <w:b/>
          <w:color w:val="auto"/>
          <w:sz w:val="24"/>
        </w:rPr>
        <w:t>4</w:t>
      </w:r>
      <w:r>
        <w:rPr>
          <w:rFonts w:hint="eastAsia" w:ascii="宋体" w:hAnsi="宋体"/>
          <w:b/>
          <w:color w:val="auto"/>
          <w:sz w:val="24"/>
        </w:rPr>
        <w:t>.谈判响应文件的修改与撤回</w:t>
      </w:r>
    </w:p>
    <w:p w14:paraId="1844E298">
      <w:pPr>
        <w:spacing w:line="360" w:lineRule="auto"/>
        <w:rPr>
          <w:rFonts w:ascii="宋体" w:hAnsi="宋体"/>
          <w:color w:val="auto"/>
          <w:sz w:val="24"/>
        </w:rPr>
      </w:pPr>
      <w:r>
        <w:rPr>
          <w:rFonts w:asciiTheme="minorEastAsia" w:hAnsiTheme="minorEastAsia" w:eastAsiaTheme="minorEastAsia"/>
          <w:color w:val="auto"/>
          <w:sz w:val="24"/>
        </w:rPr>
        <w:t>24.1</w:t>
      </w:r>
      <w:r>
        <w:rPr>
          <w:rFonts w:hint="eastAsia" w:cs="宋体" w:asciiTheme="minorEastAsia" w:hAnsiTheme="minorEastAsia" w:eastAsiaTheme="minorEastAsia"/>
          <w:color w:val="auto"/>
          <w:sz w:val="24"/>
        </w:rPr>
        <w:t xml:space="preserve">响应谈判供应商应当在谈判响应截止时间前完成谈判响应文件的提交，并可以补充、修改或者撤回谈判响应文件。补充或者修改谈判响应文件的，应当先行撤回原文件，补充、修改后重新上传提交。谈判响应截止时间前未完成提交的，视为撤回谈判响应文件。响应截止时间后提交的谈判响应文件，“政采云”平台将无法提交。  </w:t>
      </w:r>
    </w:p>
    <w:p w14:paraId="44050FDD">
      <w:pPr>
        <w:autoSpaceDE w:val="0"/>
        <w:autoSpaceDN w:val="0"/>
        <w:adjustRightInd w:val="0"/>
        <w:spacing w:before="60" w:after="60" w:line="360" w:lineRule="auto"/>
        <w:jc w:val="left"/>
        <w:rPr>
          <w:rFonts w:cs="宋体" w:asciiTheme="minorEastAsia" w:hAnsiTheme="minorEastAsia" w:eastAsiaTheme="minorEastAsia"/>
          <w:color w:val="auto"/>
          <w:sz w:val="24"/>
        </w:rPr>
      </w:pPr>
      <w:r>
        <w:rPr>
          <w:rFonts w:cs="宋体" w:asciiTheme="minorEastAsia" w:hAnsiTheme="minorEastAsia" w:eastAsiaTheme="minorEastAsia"/>
          <w:color w:val="auto"/>
          <w:sz w:val="24"/>
        </w:rPr>
        <w:t>24.2</w:t>
      </w:r>
      <w:r>
        <w:rPr>
          <w:rFonts w:hint="eastAsia" w:cs="宋体" w:asciiTheme="minorEastAsia" w:hAnsiTheme="minorEastAsia" w:eastAsiaTheme="minorEastAsia"/>
          <w:color w:val="auto"/>
          <w:sz w:val="24"/>
        </w:rPr>
        <w:t>在谈判</w:t>
      </w:r>
      <w:r>
        <w:rPr>
          <w:rFonts w:cs="宋体" w:asciiTheme="minorEastAsia" w:hAnsiTheme="minorEastAsia" w:eastAsiaTheme="minorEastAsia"/>
          <w:color w:val="auto"/>
          <w:sz w:val="24"/>
        </w:rPr>
        <w:t>响应</w:t>
      </w:r>
      <w:r>
        <w:rPr>
          <w:rFonts w:hint="eastAsia" w:cs="宋体" w:asciiTheme="minorEastAsia" w:hAnsiTheme="minorEastAsia" w:eastAsiaTheme="minorEastAsia"/>
          <w:color w:val="auto"/>
          <w:sz w:val="24"/>
        </w:rPr>
        <w:t>截止时间前，除响应谈判供应商补充、修改或者撤回谈判响应文件外，任何单位和个人不得解密或提取谈判响应文件。</w:t>
      </w:r>
    </w:p>
    <w:p w14:paraId="03CCDDE7">
      <w:pPr>
        <w:autoSpaceDE w:val="0"/>
        <w:autoSpaceDN w:val="0"/>
        <w:adjustRightInd w:val="0"/>
        <w:spacing w:before="60" w:after="60" w:line="360" w:lineRule="auto"/>
        <w:jc w:val="left"/>
        <w:rPr>
          <w:rFonts w:cs="宋体" w:asciiTheme="minorEastAsia" w:hAnsiTheme="minorEastAsia" w:eastAsiaTheme="minorEastAsia"/>
          <w:color w:val="auto"/>
          <w:sz w:val="24"/>
        </w:rPr>
      </w:pPr>
      <w:r>
        <w:rPr>
          <w:rFonts w:cs="宋体" w:asciiTheme="minorEastAsia" w:hAnsiTheme="minorEastAsia" w:eastAsiaTheme="minorEastAsia"/>
          <w:color w:val="auto"/>
          <w:sz w:val="24"/>
        </w:rPr>
        <w:t>24.3</w:t>
      </w:r>
      <w:r>
        <w:rPr>
          <w:rFonts w:hint="eastAsia" w:cs="宋体" w:asciiTheme="minorEastAsia" w:hAnsiTheme="minorEastAsia" w:eastAsiaTheme="minorEastAsia"/>
          <w:color w:val="auto"/>
          <w:sz w:val="24"/>
        </w:rPr>
        <w:t>在谈判</w:t>
      </w:r>
      <w:r>
        <w:rPr>
          <w:rFonts w:cs="宋体" w:asciiTheme="minorEastAsia" w:hAnsiTheme="minorEastAsia" w:eastAsiaTheme="minorEastAsia"/>
          <w:color w:val="auto"/>
          <w:sz w:val="24"/>
        </w:rPr>
        <w:t>响应</w:t>
      </w:r>
      <w:r>
        <w:rPr>
          <w:rFonts w:hint="eastAsia" w:cs="宋体" w:asciiTheme="minorEastAsia" w:hAnsiTheme="minorEastAsia" w:eastAsiaTheme="minorEastAsia"/>
          <w:color w:val="auto"/>
          <w:sz w:val="24"/>
        </w:rPr>
        <w:t>截止时间止提交电子版谈判响应文件的响应谈判供应商不足3家时，电子版谈判响应文件由代理机构在“政采云”平台操作退回，除此之外采购人和采购代理机构对已提交的谈判响应文件概不退回。</w:t>
      </w:r>
    </w:p>
    <w:p w14:paraId="7549FA81">
      <w:pPr>
        <w:spacing w:line="360" w:lineRule="auto"/>
        <w:rPr>
          <w:rFonts w:ascii="宋体" w:hAnsi="宋体"/>
          <w:color w:val="auto"/>
          <w:sz w:val="24"/>
        </w:rPr>
      </w:pPr>
      <w:r>
        <w:rPr>
          <w:rFonts w:hint="eastAsia" w:ascii="宋体" w:hAnsi="宋体"/>
          <w:color w:val="auto"/>
          <w:sz w:val="24"/>
        </w:rPr>
        <w:t>2</w:t>
      </w:r>
      <w:r>
        <w:rPr>
          <w:rFonts w:ascii="宋体" w:hAnsi="宋体"/>
          <w:color w:val="auto"/>
          <w:sz w:val="24"/>
        </w:rPr>
        <w:t>4</w:t>
      </w:r>
      <w:r>
        <w:rPr>
          <w:rFonts w:hint="eastAsia" w:ascii="宋体" w:hAnsi="宋体"/>
          <w:color w:val="auto"/>
          <w:sz w:val="24"/>
        </w:rPr>
        <w:t>.4在本须知第</w:t>
      </w:r>
      <w:r>
        <w:rPr>
          <w:rFonts w:ascii="宋体" w:hAnsi="宋体"/>
          <w:color w:val="auto"/>
          <w:sz w:val="24"/>
        </w:rPr>
        <w:t>19</w:t>
      </w:r>
      <w:r>
        <w:rPr>
          <w:rFonts w:hint="eastAsia" w:ascii="宋体" w:hAnsi="宋体"/>
          <w:color w:val="auto"/>
          <w:sz w:val="24"/>
        </w:rPr>
        <w:t>条规定的谈胖响应截止期至响应有效期终止日之间，响应谈判供应商不能撤回谈判响应文件。</w:t>
      </w:r>
    </w:p>
    <w:p w14:paraId="30DA8C84">
      <w:pPr>
        <w:spacing w:line="360" w:lineRule="auto"/>
        <w:jc w:val="center"/>
        <w:outlineLvl w:val="1"/>
        <w:rPr>
          <w:rFonts w:ascii="宋体" w:hAnsi="宋体"/>
          <w:b/>
          <w:bCs/>
          <w:color w:val="auto"/>
          <w:sz w:val="32"/>
          <w:szCs w:val="32"/>
        </w:rPr>
      </w:pPr>
      <w:bookmarkStart w:id="15" w:name="_Toc103723522"/>
      <w:bookmarkStart w:id="16" w:name="_Toc1455"/>
      <w:r>
        <w:rPr>
          <w:rFonts w:hint="eastAsia" w:ascii="宋体" w:hAnsi="宋体"/>
          <w:b/>
          <w:bCs/>
          <w:color w:val="auto"/>
          <w:sz w:val="32"/>
          <w:szCs w:val="32"/>
        </w:rPr>
        <w:t>六、</w:t>
      </w:r>
      <w:bookmarkEnd w:id="15"/>
      <w:r>
        <w:rPr>
          <w:rFonts w:hint="eastAsia" w:ascii="宋体" w:hAnsi="宋体"/>
          <w:b/>
          <w:bCs/>
          <w:color w:val="auto"/>
          <w:sz w:val="32"/>
          <w:szCs w:val="32"/>
        </w:rPr>
        <w:t>谈判</w:t>
      </w:r>
      <w:bookmarkEnd w:id="16"/>
    </w:p>
    <w:p w14:paraId="436C5000">
      <w:pPr>
        <w:spacing w:line="360" w:lineRule="auto"/>
        <w:rPr>
          <w:rFonts w:ascii="宋体" w:hAnsi="宋体"/>
          <w:b/>
          <w:bCs/>
          <w:color w:val="auto"/>
          <w:sz w:val="24"/>
        </w:rPr>
      </w:pPr>
      <w:r>
        <w:rPr>
          <w:rFonts w:ascii="宋体" w:hAnsi="宋体"/>
          <w:b/>
          <w:bCs/>
          <w:color w:val="auto"/>
          <w:sz w:val="24"/>
        </w:rPr>
        <w:t>25.</w:t>
      </w:r>
      <w:r>
        <w:rPr>
          <w:rFonts w:hint="eastAsia" w:ascii="宋体" w:hAnsi="宋体"/>
          <w:b/>
          <w:bCs/>
          <w:color w:val="auto"/>
          <w:sz w:val="24"/>
        </w:rPr>
        <w:t>谈判时间和地点</w:t>
      </w:r>
    </w:p>
    <w:p w14:paraId="2BE784B1">
      <w:pPr>
        <w:spacing w:line="360" w:lineRule="auto"/>
        <w:ind w:firstLine="480" w:firstLineChars="200"/>
        <w:rPr>
          <w:rFonts w:hint="eastAsia" w:ascii="宋体" w:hAnsi="宋体"/>
          <w:color w:val="auto"/>
          <w:sz w:val="24"/>
          <w:lang w:eastAsia="zh-CN"/>
        </w:rPr>
      </w:pPr>
      <w:r>
        <w:rPr>
          <w:rFonts w:hint="eastAsia" w:ascii="宋体" w:hAnsi="宋体"/>
          <w:color w:val="auto"/>
          <w:sz w:val="24"/>
          <w:lang w:eastAsia="zh-CN"/>
        </w:rPr>
        <w:t>采购代理机构</w:t>
      </w:r>
      <w:r>
        <w:rPr>
          <w:rFonts w:hint="eastAsia" w:ascii="宋体" w:hAnsi="宋体"/>
          <w:color w:val="auto"/>
          <w:sz w:val="24"/>
        </w:rPr>
        <w:t>将于本须知前附表规定的开标时间和地点组织开标，响应</w:t>
      </w:r>
      <w:r>
        <w:rPr>
          <w:rFonts w:ascii="宋体" w:hAnsi="宋体"/>
          <w:color w:val="auto"/>
          <w:sz w:val="24"/>
        </w:rPr>
        <w:t>谈判供应商</w:t>
      </w:r>
      <w:r>
        <w:rPr>
          <w:rFonts w:hint="eastAsia" w:ascii="宋体" w:hAnsi="宋体"/>
          <w:color w:val="auto"/>
          <w:sz w:val="24"/>
        </w:rPr>
        <w:t>通过“政采云开标</w:t>
      </w:r>
      <w:r>
        <w:rPr>
          <w:rFonts w:ascii="宋体" w:hAnsi="宋体"/>
          <w:color w:val="auto"/>
          <w:sz w:val="24"/>
        </w:rPr>
        <w:t>大厅</w:t>
      </w:r>
      <w:r>
        <w:rPr>
          <w:rFonts w:hint="eastAsia" w:ascii="宋体" w:hAnsi="宋体"/>
          <w:color w:val="auto"/>
          <w:sz w:val="24"/>
        </w:rPr>
        <w:t>”线上参加开标会</w:t>
      </w:r>
      <w:r>
        <w:rPr>
          <w:rFonts w:hint="eastAsia" w:ascii="宋体" w:hAnsi="宋体"/>
          <w:color w:val="auto"/>
          <w:sz w:val="24"/>
          <w:lang w:eastAsia="zh-CN"/>
        </w:rPr>
        <w:t>，按规定时间对加密的响应文件进行解密</w:t>
      </w:r>
      <w:r>
        <w:rPr>
          <w:rFonts w:hint="eastAsia" w:ascii="宋体" w:hAnsi="宋体"/>
          <w:color w:val="auto"/>
          <w:sz w:val="24"/>
        </w:rPr>
        <w:t>，</w:t>
      </w:r>
      <w:r>
        <w:rPr>
          <w:rFonts w:hint="eastAsia" w:ascii="宋体" w:hAnsi="宋体"/>
          <w:color w:val="auto"/>
          <w:sz w:val="24"/>
          <w:lang w:eastAsia="zh-CN"/>
        </w:rPr>
        <w:t>开标方式为远程开标，供应商</w:t>
      </w:r>
      <w:r>
        <w:rPr>
          <w:rFonts w:hint="eastAsia" w:ascii="宋体" w:hAnsi="宋体"/>
          <w:color w:val="auto"/>
          <w:sz w:val="24"/>
          <w:lang w:val="en-US" w:eastAsia="zh-CN"/>
        </w:rPr>
        <w:t>无需</w:t>
      </w:r>
      <w:r>
        <w:rPr>
          <w:rFonts w:hint="eastAsia" w:ascii="宋体" w:hAnsi="宋体"/>
          <w:color w:val="auto"/>
          <w:sz w:val="24"/>
          <w:lang w:eastAsia="zh-CN"/>
        </w:rPr>
        <w:t>到现场，</w:t>
      </w:r>
      <w:r>
        <w:rPr>
          <w:rFonts w:hint="eastAsia" w:ascii="宋体" w:hAnsi="宋体"/>
          <w:color w:val="auto"/>
          <w:sz w:val="24"/>
        </w:rPr>
        <w:t>所有响应谈判</w:t>
      </w:r>
      <w:r>
        <w:rPr>
          <w:rFonts w:ascii="宋体" w:hAnsi="宋体"/>
          <w:color w:val="auto"/>
          <w:sz w:val="24"/>
        </w:rPr>
        <w:t>供应商</w:t>
      </w:r>
      <w:r>
        <w:rPr>
          <w:rFonts w:hint="eastAsia" w:ascii="宋体" w:hAnsi="宋体"/>
          <w:color w:val="auto"/>
          <w:sz w:val="24"/>
        </w:rPr>
        <w:t>均应当准时参加</w:t>
      </w:r>
      <w:r>
        <w:rPr>
          <w:rFonts w:hint="eastAsia" w:ascii="宋体" w:hAnsi="宋体"/>
          <w:color w:val="auto"/>
          <w:sz w:val="24"/>
          <w:lang w:eastAsia="zh-CN"/>
        </w:rPr>
        <w:t>。</w:t>
      </w:r>
    </w:p>
    <w:p w14:paraId="68EB6B1F">
      <w:pPr>
        <w:spacing w:line="360" w:lineRule="auto"/>
        <w:rPr>
          <w:b/>
          <w:color w:val="auto"/>
          <w:sz w:val="24"/>
        </w:rPr>
      </w:pPr>
      <w:r>
        <w:rPr>
          <w:b/>
          <w:color w:val="auto"/>
          <w:sz w:val="24"/>
        </w:rPr>
        <w:t>26.</w:t>
      </w:r>
      <w:r>
        <w:rPr>
          <w:rFonts w:hint="eastAsia"/>
          <w:b/>
          <w:color w:val="auto"/>
          <w:sz w:val="24"/>
        </w:rPr>
        <w:t>谈判程序</w:t>
      </w:r>
    </w:p>
    <w:p w14:paraId="4442BDF3">
      <w:pPr>
        <w:autoSpaceDE w:val="0"/>
        <w:autoSpaceDN w:val="0"/>
        <w:adjustRightInd w:val="0"/>
        <w:spacing w:before="60" w:after="60" w:line="360" w:lineRule="auto"/>
        <w:rPr>
          <w:rFonts w:hint="eastAsia" w:cs="宋体"/>
          <w:color w:val="auto"/>
          <w:sz w:val="24"/>
        </w:rPr>
      </w:pPr>
      <w:r>
        <w:rPr>
          <w:rFonts w:hint="eastAsia" w:cs="宋体"/>
          <w:color w:val="auto"/>
          <w:sz w:val="24"/>
        </w:rPr>
        <w:t>2</w:t>
      </w:r>
      <w:r>
        <w:rPr>
          <w:rFonts w:cs="宋体"/>
          <w:color w:val="auto"/>
          <w:sz w:val="24"/>
        </w:rPr>
        <w:t>6.1.</w:t>
      </w:r>
      <w:r>
        <w:rPr>
          <w:rFonts w:hint="eastAsia" w:cs="宋体"/>
          <w:color w:val="auto"/>
          <w:sz w:val="24"/>
        </w:rPr>
        <w:t>解密电子谈判响应文件。“政采云”平台在开标时间自动提取所有谈判响应文件。响应谈判供应商须使用数字</w:t>
      </w:r>
      <w:r>
        <w:rPr>
          <w:rFonts w:cs="宋体"/>
          <w:color w:val="auto"/>
          <w:sz w:val="24"/>
        </w:rPr>
        <w:t>证书</w:t>
      </w:r>
      <w:r>
        <w:rPr>
          <w:rFonts w:hint="eastAsia" w:cs="宋体"/>
          <w:color w:val="auto"/>
          <w:sz w:val="24"/>
        </w:rPr>
        <w:t>按照前附表</w:t>
      </w:r>
      <w:r>
        <w:rPr>
          <w:rFonts w:cs="宋体"/>
          <w:color w:val="auto"/>
          <w:sz w:val="24"/>
        </w:rPr>
        <w:t>规定的时间</w:t>
      </w:r>
      <w:r>
        <w:rPr>
          <w:rFonts w:hint="eastAsia" w:cs="宋体"/>
          <w:color w:val="auto"/>
          <w:sz w:val="24"/>
        </w:rPr>
        <w:t>在</w:t>
      </w:r>
      <w:r>
        <w:rPr>
          <w:rFonts w:cs="宋体"/>
          <w:color w:val="auto"/>
          <w:sz w:val="24"/>
        </w:rPr>
        <w:t>线上</w:t>
      </w:r>
      <w:r>
        <w:rPr>
          <w:rFonts w:hint="eastAsia" w:cs="宋体"/>
          <w:color w:val="auto"/>
          <w:sz w:val="24"/>
        </w:rPr>
        <w:t>对谈判响应文件解密并</w:t>
      </w:r>
      <w:r>
        <w:rPr>
          <w:rFonts w:cs="宋体"/>
          <w:color w:val="auto"/>
          <w:sz w:val="24"/>
        </w:rPr>
        <w:t>确认</w:t>
      </w:r>
      <w:r>
        <w:rPr>
          <w:rFonts w:hint="eastAsia" w:cs="宋体"/>
          <w:color w:val="auto"/>
          <w:sz w:val="24"/>
        </w:rPr>
        <w:t xml:space="preserve">。   </w:t>
      </w:r>
    </w:p>
    <w:p w14:paraId="2C705C8F">
      <w:pPr>
        <w:autoSpaceDE w:val="0"/>
        <w:autoSpaceDN w:val="0"/>
        <w:adjustRightInd w:val="0"/>
        <w:spacing w:before="60" w:after="60" w:line="360" w:lineRule="auto"/>
        <w:rPr>
          <w:rFonts w:cs="宋体"/>
          <w:color w:val="auto"/>
          <w:sz w:val="24"/>
        </w:rPr>
      </w:pPr>
      <w:r>
        <w:rPr>
          <w:rFonts w:cs="宋体"/>
          <w:color w:val="auto"/>
          <w:sz w:val="24"/>
        </w:rPr>
        <w:t>26.2.</w:t>
      </w:r>
      <w:r>
        <w:rPr>
          <w:rFonts w:hint="eastAsia" w:cs="宋体"/>
          <w:color w:val="auto"/>
          <w:sz w:val="24"/>
        </w:rPr>
        <w:t>响应谈判供应商对谈判过程有异议的，应当在线上提出。采购人、采购代理机构对响应谈判</w:t>
      </w:r>
      <w:r>
        <w:rPr>
          <w:rFonts w:cs="宋体"/>
          <w:color w:val="auto"/>
          <w:sz w:val="24"/>
        </w:rPr>
        <w:t>供应商</w:t>
      </w:r>
      <w:r>
        <w:rPr>
          <w:rFonts w:hint="eastAsia" w:cs="宋体"/>
          <w:color w:val="auto"/>
          <w:sz w:val="24"/>
        </w:rPr>
        <w:t>提出的异议应当及时处理。</w:t>
      </w:r>
    </w:p>
    <w:p w14:paraId="6CE10352">
      <w:pPr>
        <w:autoSpaceDE w:val="0"/>
        <w:autoSpaceDN w:val="0"/>
        <w:adjustRightInd w:val="0"/>
        <w:spacing w:before="60" w:after="60" w:line="360" w:lineRule="auto"/>
        <w:rPr>
          <w:rFonts w:cs="宋体"/>
          <w:color w:val="auto"/>
          <w:sz w:val="24"/>
        </w:rPr>
      </w:pPr>
      <w:r>
        <w:rPr>
          <w:rFonts w:cs="宋体"/>
          <w:color w:val="auto"/>
          <w:sz w:val="24"/>
        </w:rPr>
        <w:t>26.3.</w:t>
      </w:r>
      <w:r>
        <w:rPr>
          <w:rFonts w:hint="eastAsia" w:cs="宋体"/>
          <w:color w:val="auto"/>
          <w:sz w:val="24"/>
        </w:rPr>
        <w:t>响应谈判</w:t>
      </w:r>
      <w:r>
        <w:rPr>
          <w:rFonts w:cs="宋体"/>
          <w:color w:val="auto"/>
          <w:sz w:val="24"/>
        </w:rPr>
        <w:t>供应商</w:t>
      </w:r>
      <w:r>
        <w:rPr>
          <w:rFonts w:hint="eastAsia" w:cs="宋体"/>
          <w:color w:val="auto"/>
          <w:sz w:val="24"/>
        </w:rPr>
        <w:t>因自身</w:t>
      </w:r>
      <w:r>
        <w:rPr>
          <w:rFonts w:cs="宋体"/>
          <w:color w:val="auto"/>
          <w:sz w:val="24"/>
        </w:rPr>
        <w:t>原因</w:t>
      </w:r>
      <w:r>
        <w:rPr>
          <w:rFonts w:hint="eastAsia" w:cs="宋体"/>
          <w:color w:val="auto"/>
          <w:sz w:val="24"/>
        </w:rPr>
        <w:t>未按时解密的一切后果由响应谈判</w:t>
      </w:r>
      <w:r>
        <w:rPr>
          <w:rFonts w:cs="宋体"/>
          <w:color w:val="auto"/>
          <w:sz w:val="24"/>
        </w:rPr>
        <w:t>供应商自行</w:t>
      </w:r>
      <w:r>
        <w:rPr>
          <w:rFonts w:hint="eastAsia" w:cs="宋体"/>
          <w:color w:val="auto"/>
          <w:sz w:val="24"/>
        </w:rPr>
        <w:t>承担。如遇“政采云”平台电子化开标或评审程序调整的，按调整后执行</w:t>
      </w:r>
      <w:r>
        <w:rPr>
          <w:rFonts w:hint="eastAsia" w:ascii="宋体" w:hAnsi="宋体"/>
          <w:color w:val="auto"/>
          <w:sz w:val="24"/>
        </w:rPr>
        <w:t>。</w:t>
      </w:r>
    </w:p>
    <w:p w14:paraId="6DF96893">
      <w:pPr>
        <w:autoSpaceDE w:val="0"/>
        <w:autoSpaceDN w:val="0"/>
        <w:adjustRightInd w:val="0"/>
        <w:spacing w:before="60" w:after="60" w:line="360" w:lineRule="auto"/>
        <w:rPr>
          <w:rFonts w:cs="宋体"/>
          <w:color w:val="auto"/>
          <w:sz w:val="24"/>
        </w:rPr>
      </w:pPr>
      <w:r>
        <w:rPr>
          <w:rFonts w:cs="宋体"/>
          <w:color w:val="auto"/>
          <w:sz w:val="24"/>
        </w:rPr>
        <w:t>26.4</w:t>
      </w:r>
      <w:r>
        <w:rPr>
          <w:rFonts w:hint="eastAsia" w:cs="宋体"/>
          <w:color w:val="auto"/>
          <w:sz w:val="24"/>
        </w:rPr>
        <w:t>采购代理机构将按照谈判文件规定的开标时间和地点组织开标活动、开启谈判响应文件，所有响应谈判供应商均应当准时参加。</w:t>
      </w:r>
    </w:p>
    <w:p w14:paraId="226DA86C">
      <w:pPr>
        <w:autoSpaceDE w:val="0"/>
        <w:autoSpaceDN w:val="0"/>
        <w:adjustRightInd w:val="0"/>
        <w:spacing w:before="60" w:after="60" w:line="360" w:lineRule="auto"/>
        <w:rPr>
          <w:rFonts w:cs="宋体"/>
          <w:color w:val="4874CB" w:themeColor="accent1"/>
          <w:sz w:val="24"/>
          <w14:textFill>
            <w14:solidFill>
              <w14:schemeClr w14:val="accent1"/>
            </w14:solidFill>
          </w14:textFill>
        </w:rPr>
      </w:pPr>
      <w:r>
        <w:rPr>
          <w:rFonts w:hint="eastAsia" w:cs="宋体"/>
          <w:color w:val="auto"/>
          <w:sz w:val="24"/>
        </w:rPr>
        <w:t>26.5谈判</w:t>
      </w:r>
      <w:r>
        <w:rPr>
          <w:rFonts w:cs="宋体"/>
          <w:color w:val="auto"/>
          <w:sz w:val="24"/>
        </w:rPr>
        <w:t>小组将在</w:t>
      </w:r>
      <w:r>
        <w:rPr>
          <w:rFonts w:hint="eastAsia" w:cs="宋体"/>
          <w:color w:val="auto"/>
          <w:sz w:val="24"/>
        </w:rPr>
        <w:t>符合性评审后，</w:t>
      </w:r>
      <w:r>
        <w:rPr>
          <w:rFonts w:cs="宋体"/>
          <w:color w:val="auto"/>
          <w:sz w:val="24"/>
        </w:rPr>
        <w:t>通过“</w:t>
      </w:r>
      <w:r>
        <w:rPr>
          <w:rFonts w:hint="eastAsia" w:cs="宋体"/>
          <w:color w:val="auto"/>
          <w:sz w:val="24"/>
        </w:rPr>
        <w:t>政采云</w:t>
      </w:r>
      <w:r>
        <w:rPr>
          <w:rFonts w:cs="宋体"/>
          <w:color w:val="auto"/>
          <w:sz w:val="24"/>
        </w:rPr>
        <w:t>”对</w:t>
      </w:r>
      <w:r>
        <w:rPr>
          <w:rFonts w:hint="eastAsia" w:cs="宋体"/>
          <w:color w:val="auto"/>
          <w:sz w:val="24"/>
        </w:rPr>
        <w:t>合格</w:t>
      </w:r>
      <w:r>
        <w:rPr>
          <w:rFonts w:cs="宋体"/>
          <w:color w:val="auto"/>
          <w:sz w:val="24"/>
        </w:rPr>
        <w:t>的响应谈判供应商发起谈判邀请，响应谈判供应商</w:t>
      </w:r>
      <w:r>
        <w:rPr>
          <w:rFonts w:hint="eastAsia" w:cs="宋体"/>
          <w:color w:val="auto"/>
          <w:sz w:val="24"/>
        </w:rPr>
        <w:t>通过</w:t>
      </w:r>
      <w:r>
        <w:rPr>
          <w:rFonts w:cs="宋体"/>
          <w:color w:val="auto"/>
          <w:sz w:val="24"/>
        </w:rPr>
        <w:t>“</w:t>
      </w:r>
      <w:r>
        <w:rPr>
          <w:rFonts w:hint="eastAsia" w:cs="宋体"/>
          <w:color w:val="auto"/>
          <w:sz w:val="24"/>
        </w:rPr>
        <w:t>政采</w:t>
      </w:r>
      <w:r>
        <w:rPr>
          <w:rFonts w:cs="宋体"/>
          <w:color w:val="auto"/>
          <w:sz w:val="24"/>
        </w:rPr>
        <w:t>云”</w:t>
      </w:r>
      <w:r>
        <w:rPr>
          <w:rFonts w:hint="eastAsia" w:cs="宋体"/>
          <w:color w:val="auto"/>
          <w:sz w:val="24"/>
        </w:rPr>
        <w:t>在</w:t>
      </w:r>
      <w:r>
        <w:rPr>
          <w:rFonts w:cs="宋体"/>
          <w:color w:val="auto"/>
          <w:sz w:val="24"/>
        </w:rPr>
        <w:t>线与谈判小组进行谈判。</w:t>
      </w:r>
      <w:r>
        <w:rPr>
          <w:rFonts w:hint="eastAsia" w:ascii="宋体" w:hAnsi="宋体"/>
          <w:color w:val="auto"/>
          <w:sz w:val="24"/>
        </w:rPr>
        <w:t>所有参加谈判的供应商须在规定时间内完成“政采云平台”最终报价。</w:t>
      </w:r>
    </w:p>
    <w:p w14:paraId="63976BBE">
      <w:pPr>
        <w:autoSpaceDE w:val="0"/>
        <w:autoSpaceDN w:val="0"/>
        <w:adjustRightInd w:val="0"/>
        <w:spacing w:before="60" w:after="60" w:line="360" w:lineRule="auto"/>
        <w:rPr>
          <w:rFonts w:ascii="宋体" w:hAnsi="宋体"/>
          <w:color w:val="auto"/>
          <w:sz w:val="24"/>
        </w:rPr>
      </w:pPr>
      <w:r>
        <w:rPr>
          <w:rFonts w:ascii="宋体" w:hAnsi="宋体"/>
          <w:color w:val="auto"/>
          <w:sz w:val="24"/>
        </w:rPr>
        <w:t>26.6</w:t>
      </w:r>
      <w:r>
        <w:rPr>
          <w:rFonts w:hint="eastAsia" w:ascii="宋体" w:hAnsi="宋体"/>
          <w:color w:val="auto"/>
          <w:sz w:val="24"/>
        </w:rPr>
        <w:t>在线</w:t>
      </w:r>
      <w:r>
        <w:rPr>
          <w:rFonts w:hint="eastAsia" w:ascii="宋体" w:hAnsi="宋体"/>
          <w:color w:val="auto"/>
          <w:sz w:val="24"/>
          <w:lang w:val="en-US" w:eastAsia="zh-CN"/>
        </w:rPr>
        <w:t>响应</w:t>
      </w:r>
      <w:r>
        <w:rPr>
          <w:rFonts w:hint="eastAsia" w:ascii="宋体" w:hAnsi="宋体"/>
          <w:color w:val="auto"/>
          <w:sz w:val="24"/>
        </w:rPr>
        <w:t>时间和提交最终报价的时间见本须知前附表。</w:t>
      </w:r>
    </w:p>
    <w:p w14:paraId="7A8AB49A">
      <w:pPr>
        <w:autoSpaceDE w:val="0"/>
        <w:autoSpaceDN w:val="0"/>
        <w:adjustRightInd w:val="0"/>
        <w:spacing w:before="60" w:after="60" w:line="360" w:lineRule="auto"/>
        <w:rPr>
          <w:rFonts w:cs="宋体"/>
          <w:color w:val="auto"/>
          <w:sz w:val="24"/>
        </w:rPr>
      </w:pPr>
    </w:p>
    <w:p w14:paraId="4CA7DD0D">
      <w:pPr>
        <w:spacing w:line="360" w:lineRule="auto"/>
        <w:jc w:val="center"/>
        <w:outlineLvl w:val="1"/>
        <w:rPr>
          <w:b/>
          <w:color w:val="auto"/>
          <w:sz w:val="32"/>
          <w:szCs w:val="32"/>
        </w:rPr>
      </w:pPr>
      <w:bookmarkStart w:id="17" w:name="_Toc103723523"/>
      <w:bookmarkStart w:id="18" w:name="_Toc18570"/>
      <w:r>
        <w:rPr>
          <w:rFonts w:hint="eastAsia" w:ascii="宋体" w:hAnsi="宋体"/>
          <w:b/>
          <w:color w:val="auto"/>
          <w:sz w:val="32"/>
          <w:szCs w:val="32"/>
        </w:rPr>
        <w:t>七、评</w:t>
      </w:r>
      <w:bookmarkEnd w:id="17"/>
      <w:r>
        <w:rPr>
          <w:rFonts w:hint="eastAsia" w:ascii="宋体" w:hAnsi="宋体"/>
          <w:b/>
          <w:color w:val="auto"/>
          <w:sz w:val="32"/>
          <w:szCs w:val="32"/>
        </w:rPr>
        <w:t>审</w:t>
      </w:r>
      <w:bookmarkEnd w:id="18"/>
    </w:p>
    <w:p w14:paraId="5F889003">
      <w:pPr>
        <w:spacing w:line="360" w:lineRule="auto"/>
        <w:rPr>
          <w:rFonts w:ascii="宋体" w:hAnsi="宋体"/>
          <w:b/>
          <w:bCs/>
          <w:color w:val="auto"/>
          <w:sz w:val="24"/>
        </w:rPr>
      </w:pPr>
      <w:r>
        <w:rPr>
          <w:rFonts w:ascii="宋体" w:hAnsi="宋体"/>
          <w:b/>
          <w:bCs/>
          <w:color w:val="auto"/>
          <w:sz w:val="24"/>
        </w:rPr>
        <w:t>27.</w:t>
      </w:r>
      <w:r>
        <w:rPr>
          <w:rFonts w:hint="eastAsia" w:ascii="宋体" w:hAnsi="宋体"/>
          <w:b/>
          <w:color w:val="auto"/>
          <w:sz w:val="24"/>
        </w:rPr>
        <w:t>谈判</w:t>
      </w:r>
      <w:r>
        <w:rPr>
          <w:rFonts w:ascii="宋体" w:hAnsi="宋体"/>
          <w:b/>
          <w:color w:val="auto"/>
          <w:sz w:val="24"/>
        </w:rPr>
        <w:t>小组</w:t>
      </w:r>
    </w:p>
    <w:p w14:paraId="030E3BBE">
      <w:pPr>
        <w:pStyle w:val="7"/>
        <w:spacing w:line="360" w:lineRule="auto"/>
        <w:rPr>
          <w:rFonts w:hint="default" w:hAnsi="宋体"/>
          <w:color w:val="auto"/>
          <w:sz w:val="24"/>
          <w:szCs w:val="24"/>
        </w:rPr>
      </w:pPr>
      <w:r>
        <w:rPr>
          <w:rFonts w:hint="default" w:hAnsi="宋体"/>
          <w:color w:val="auto"/>
          <w:sz w:val="24"/>
          <w:szCs w:val="24"/>
        </w:rPr>
        <w:t>27.</w:t>
      </w:r>
      <w:r>
        <w:rPr>
          <w:rFonts w:hAnsi="宋体"/>
          <w:color w:val="auto"/>
          <w:sz w:val="24"/>
          <w:szCs w:val="24"/>
        </w:rPr>
        <w:t>1</w:t>
      </w:r>
      <w:r>
        <w:rPr>
          <w:rFonts w:hint="eastAsia" w:hAnsi="宋体"/>
          <w:color w:val="auto"/>
          <w:sz w:val="24"/>
          <w:szCs w:val="24"/>
          <w:lang w:eastAsia="zh-CN"/>
        </w:rPr>
        <w:t>采购代理机构</w:t>
      </w:r>
      <w:r>
        <w:rPr>
          <w:rFonts w:hAnsi="宋体"/>
          <w:color w:val="auto"/>
          <w:sz w:val="24"/>
          <w:szCs w:val="24"/>
        </w:rPr>
        <w:t>将依法组建谈判小组。谈判小组成员由具有</w:t>
      </w:r>
      <w:r>
        <w:rPr>
          <w:rFonts w:hint="eastAsia" w:hAnsi="宋体"/>
          <w:color w:val="auto"/>
          <w:sz w:val="24"/>
          <w:szCs w:val="24"/>
          <w:lang w:val="en-US" w:eastAsia="zh-CN"/>
        </w:rPr>
        <w:t>相关</w:t>
      </w:r>
      <w:r>
        <w:rPr>
          <w:rFonts w:hAnsi="宋体"/>
          <w:color w:val="auto"/>
          <w:sz w:val="24"/>
          <w:szCs w:val="24"/>
        </w:rPr>
        <w:t>职称或具有同等专业水平的相关领域专家组成。与采购项目有直接利害关系或与响应谈判供应商有任何利害关系的专家，不得进入本项目的谈判小组。谈判小组成员名单在成交结果确定前应当保密。</w:t>
      </w:r>
    </w:p>
    <w:p w14:paraId="5553BC7D">
      <w:pPr>
        <w:pStyle w:val="7"/>
        <w:spacing w:line="360" w:lineRule="auto"/>
        <w:rPr>
          <w:rFonts w:hint="default" w:hAnsi="宋体"/>
          <w:color w:val="auto"/>
          <w:sz w:val="24"/>
          <w:szCs w:val="24"/>
        </w:rPr>
      </w:pPr>
      <w:r>
        <w:rPr>
          <w:rFonts w:hint="default" w:hAnsi="宋体"/>
          <w:color w:val="auto"/>
          <w:sz w:val="24"/>
          <w:szCs w:val="24"/>
        </w:rPr>
        <w:t>27.2</w:t>
      </w:r>
      <w:r>
        <w:rPr>
          <w:rFonts w:hAnsi="宋体"/>
          <w:color w:val="auto"/>
          <w:sz w:val="24"/>
          <w:szCs w:val="24"/>
        </w:rPr>
        <w:t>本项目谈判小组成员人数及确定方式见本须知前附表。</w:t>
      </w:r>
    </w:p>
    <w:p w14:paraId="2A7FB8E5">
      <w:pPr>
        <w:pStyle w:val="7"/>
        <w:spacing w:line="360" w:lineRule="auto"/>
        <w:rPr>
          <w:rFonts w:hint="default" w:hAnsi="宋体"/>
          <w:color w:val="auto"/>
          <w:sz w:val="24"/>
          <w:szCs w:val="24"/>
        </w:rPr>
      </w:pPr>
      <w:r>
        <w:rPr>
          <w:rFonts w:hint="default" w:hAnsi="宋体"/>
          <w:color w:val="auto"/>
          <w:sz w:val="24"/>
          <w:szCs w:val="24"/>
        </w:rPr>
        <w:t>27.3</w:t>
      </w:r>
      <w:r>
        <w:rPr>
          <w:rFonts w:hAnsi="宋体"/>
          <w:color w:val="auto"/>
          <w:sz w:val="24"/>
          <w:szCs w:val="24"/>
        </w:rPr>
        <w:t>谈判小组成员有下列情形之一的，应当回避：</w:t>
      </w:r>
    </w:p>
    <w:p w14:paraId="5383B706">
      <w:pPr>
        <w:pStyle w:val="7"/>
        <w:spacing w:line="360" w:lineRule="auto"/>
        <w:rPr>
          <w:rFonts w:hint="default" w:hAnsi="宋体"/>
          <w:color w:val="auto"/>
          <w:sz w:val="24"/>
          <w:szCs w:val="24"/>
        </w:rPr>
      </w:pPr>
      <w:r>
        <w:rPr>
          <w:rFonts w:hint="default" w:hAnsi="宋体"/>
          <w:color w:val="auto"/>
          <w:sz w:val="24"/>
          <w:szCs w:val="24"/>
        </w:rPr>
        <w:t>27</w:t>
      </w:r>
      <w:r>
        <w:rPr>
          <w:rFonts w:hAnsi="宋体"/>
          <w:color w:val="auto"/>
          <w:sz w:val="24"/>
          <w:szCs w:val="24"/>
        </w:rPr>
        <w:t>.3.1采购人或响应谈判供应商的主要负责人的近亲属；</w:t>
      </w:r>
    </w:p>
    <w:p w14:paraId="3B2FF10A">
      <w:pPr>
        <w:pStyle w:val="7"/>
        <w:spacing w:line="360" w:lineRule="auto"/>
        <w:rPr>
          <w:rFonts w:hint="default" w:hAnsi="宋体"/>
          <w:color w:val="auto"/>
          <w:sz w:val="24"/>
          <w:szCs w:val="24"/>
        </w:rPr>
      </w:pPr>
      <w:r>
        <w:rPr>
          <w:rFonts w:hint="default" w:hAnsi="宋体"/>
          <w:color w:val="auto"/>
          <w:sz w:val="24"/>
          <w:szCs w:val="24"/>
        </w:rPr>
        <w:t>27</w:t>
      </w:r>
      <w:r>
        <w:rPr>
          <w:rFonts w:hAnsi="宋体"/>
          <w:color w:val="auto"/>
          <w:sz w:val="24"/>
          <w:szCs w:val="24"/>
        </w:rPr>
        <w:t>.3.2项目主管部门或者行政监督部门的人员；</w:t>
      </w:r>
    </w:p>
    <w:p w14:paraId="361AF5B5">
      <w:pPr>
        <w:pStyle w:val="7"/>
        <w:spacing w:line="360" w:lineRule="auto"/>
        <w:rPr>
          <w:rFonts w:hint="default" w:hAnsi="宋体"/>
          <w:color w:val="auto"/>
          <w:sz w:val="24"/>
          <w:szCs w:val="24"/>
        </w:rPr>
      </w:pPr>
      <w:r>
        <w:rPr>
          <w:rFonts w:hint="default" w:hAnsi="宋体"/>
          <w:color w:val="auto"/>
          <w:sz w:val="24"/>
          <w:szCs w:val="24"/>
        </w:rPr>
        <w:t>27</w:t>
      </w:r>
      <w:r>
        <w:rPr>
          <w:rFonts w:hAnsi="宋体"/>
          <w:color w:val="auto"/>
          <w:sz w:val="24"/>
          <w:szCs w:val="24"/>
        </w:rPr>
        <w:t>.3.3与响应谈判供应商有经济利益关系，可能影响对谈判公正评审的；</w:t>
      </w:r>
    </w:p>
    <w:p w14:paraId="4EDD5B52">
      <w:pPr>
        <w:pStyle w:val="7"/>
        <w:spacing w:line="360" w:lineRule="auto"/>
        <w:rPr>
          <w:rFonts w:hint="default" w:hAnsi="宋体"/>
          <w:color w:val="auto"/>
          <w:sz w:val="24"/>
          <w:szCs w:val="24"/>
        </w:rPr>
      </w:pPr>
      <w:r>
        <w:rPr>
          <w:rFonts w:hint="default" w:hAnsi="宋体"/>
          <w:color w:val="auto"/>
          <w:sz w:val="24"/>
          <w:szCs w:val="24"/>
        </w:rPr>
        <w:t>27</w:t>
      </w:r>
      <w:r>
        <w:rPr>
          <w:rFonts w:hAnsi="宋体"/>
          <w:color w:val="auto"/>
          <w:sz w:val="24"/>
          <w:szCs w:val="24"/>
        </w:rPr>
        <w:t>.3.4曾因在招标、评审以及其他与招标投标有关活动中从事违法行为而受过行政处罚或刑事处罚的。</w:t>
      </w:r>
    </w:p>
    <w:p w14:paraId="32AE2FDD">
      <w:pPr>
        <w:pStyle w:val="7"/>
        <w:spacing w:line="360" w:lineRule="auto"/>
        <w:rPr>
          <w:rFonts w:hint="default" w:hAnsi="宋体"/>
          <w:b/>
          <w:color w:val="auto"/>
          <w:sz w:val="24"/>
          <w:szCs w:val="24"/>
        </w:rPr>
      </w:pPr>
      <w:r>
        <w:rPr>
          <w:rFonts w:hint="default" w:hAnsi="宋体"/>
          <w:b/>
          <w:color w:val="auto"/>
          <w:sz w:val="24"/>
          <w:szCs w:val="24"/>
        </w:rPr>
        <w:t>28</w:t>
      </w:r>
      <w:r>
        <w:rPr>
          <w:rFonts w:hAnsi="宋体"/>
          <w:b/>
          <w:color w:val="auto"/>
          <w:sz w:val="24"/>
          <w:szCs w:val="24"/>
        </w:rPr>
        <w:t>.谈判原则</w:t>
      </w:r>
    </w:p>
    <w:p w14:paraId="4EFF1B70">
      <w:pPr>
        <w:autoSpaceDE w:val="0"/>
        <w:autoSpaceDN w:val="0"/>
        <w:adjustRightInd w:val="0"/>
        <w:spacing w:line="360" w:lineRule="auto"/>
        <w:jc w:val="left"/>
        <w:rPr>
          <w:rFonts w:cs="宋体" w:asciiTheme="minorEastAsia" w:hAnsiTheme="minorEastAsia" w:eastAsiaTheme="minorEastAsia"/>
          <w:color w:val="auto"/>
          <w:sz w:val="24"/>
        </w:rPr>
      </w:pPr>
      <w:r>
        <w:rPr>
          <w:rFonts w:cs="宋体" w:asciiTheme="minorEastAsia" w:hAnsiTheme="minorEastAsia" w:eastAsiaTheme="minorEastAsia"/>
          <w:color w:val="auto"/>
          <w:sz w:val="24"/>
        </w:rPr>
        <w:t>28.1</w:t>
      </w:r>
      <w:r>
        <w:rPr>
          <w:rFonts w:hint="eastAsia" w:cs="宋体" w:asciiTheme="minorEastAsia" w:hAnsiTheme="minorEastAsia" w:eastAsiaTheme="minorEastAsia"/>
          <w:color w:val="auto"/>
          <w:sz w:val="24"/>
        </w:rPr>
        <w:t>谈判小组评审时必须公平、公正、客观，不带任何倾向性和启发性；不得向外界透露任何与评审有关的内容；任何单位和个人不得干扰、影响评审的正常进行；谈判小组及有关工作人员不得私下与响应谈判供应商接触，不得收受利害关系人的财物或者其他好处。</w:t>
      </w:r>
    </w:p>
    <w:p w14:paraId="24C01A92">
      <w:pPr>
        <w:pStyle w:val="7"/>
        <w:spacing w:line="360" w:lineRule="auto"/>
        <w:rPr>
          <w:rFonts w:hint="default" w:hAnsi="宋体"/>
          <w:b/>
          <w:color w:val="auto"/>
          <w:sz w:val="24"/>
          <w:szCs w:val="24"/>
        </w:rPr>
      </w:pPr>
      <w:r>
        <w:rPr>
          <w:rFonts w:hint="default" w:hAnsi="宋体"/>
          <w:b/>
          <w:color w:val="auto"/>
          <w:sz w:val="24"/>
          <w:szCs w:val="24"/>
        </w:rPr>
        <w:t>29.</w:t>
      </w:r>
      <w:r>
        <w:rPr>
          <w:rFonts w:hAnsi="宋体"/>
          <w:b/>
          <w:color w:val="auto"/>
          <w:sz w:val="24"/>
          <w:szCs w:val="24"/>
        </w:rPr>
        <w:t>谈判</w:t>
      </w:r>
    </w:p>
    <w:p w14:paraId="26FB42C4">
      <w:pPr>
        <w:autoSpaceDE w:val="0"/>
        <w:autoSpaceDN w:val="0"/>
        <w:adjustRightInd w:val="0"/>
        <w:spacing w:line="360" w:lineRule="auto"/>
        <w:jc w:val="left"/>
        <w:rPr>
          <w:rFonts w:cs="宋体" w:asciiTheme="minorEastAsia" w:hAnsiTheme="minorEastAsia" w:eastAsiaTheme="minorEastAsia"/>
          <w:color w:val="auto"/>
          <w:sz w:val="24"/>
        </w:rPr>
      </w:pPr>
      <w:r>
        <w:rPr>
          <w:rFonts w:cs="宋体" w:asciiTheme="minorEastAsia" w:hAnsiTheme="minorEastAsia" w:eastAsiaTheme="minorEastAsia"/>
          <w:color w:val="auto"/>
          <w:sz w:val="24"/>
        </w:rPr>
        <w:t>29.1</w:t>
      </w:r>
      <w:r>
        <w:rPr>
          <w:rFonts w:hint="eastAsia" w:cs="宋体" w:asciiTheme="minorEastAsia" w:hAnsiTheme="minorEastAsia" w:eastAsiaTheme="minorEastAsia"/>
          <w:color w:val="auto"/>
          <w:sz w:val="24"/>
        </w:rPr>
        <w:t>在评审过程中出现法律法规和谈判文件均没有明确规定的情形时，由谈判</w:t>
      </w:r>
      <w:r>
        <w:rPr>
          <w:rFonts w:cs="宋体" w:asciiTheme="minorEastAsia" w:hAnsiTheme="minorEastAsia" w:eastAsiaTheme="minorEastAsia"/>
          <w:color w:val="auto"/>
          <w:sz w:val="24"/>
        </w:rPr>
        <w:t>小组</w:t>
      </w:r>
      <w:r>
        <w:rPr>
          <w:rFonts w:hint="eastAsia" w:cs="宋体" w:asciiTheme="minorEastAsia" w:hAnsiTheme="minorEastAsia" w:eastAsiaTheme="minorEastAsia"/>
          <w:color w:val="auto"/>
          <w:sz w:val="24"/>
        </w:rPr>
        <w:t>现场协商解决，协商不一致的，由全体评委投票表决，以得票率二分之一以上专家的意见为准并由采购代理机构作记录。</w:t>
      </w:r>
      <w:bookmarkStart w:id="19" w:name="_28.3评标方法。本项目将按须知前附表规定的评标办法进行评标，具体评标"/>
      <w:bookmarkEnd w:id="19"/>
    </w:p>
    <w:p w14:paraId="4152E1AE">
      <w:pPr>
        <w:autoSpaceDE w:val="0"/>
        <w:autoSpaceDN w:val="0"/>
        <w:adjustRightInd w:val="0"/>
        <w:spacing w:line="360" w:lineRule="auto"/>
        <w:jc w:val="left"/>
        <w:rPr>
          <w:rFonts w:cs="宋体" w:asciiTheme="minorEastAsia" w:hAnsiTheme="minorEastAsia" w:eastAsiaTheme="minorEastAsia"/>
          <w:color w:val="auto"/>
          <w:sz w:val="24"/>
        </w:rPr>
      </w:pPr>
      <w:r>
        <w:rPr>
          <w:rFonts w:cs="宋体" w:asciiTheme="minorEastAsia" w:hAnsiTheme="minorEastAsia" w:eastAsiaTheme="minorEastAsia"/>
          <w:color w:val="auto"/>
          <w:sz w:val="24"/>
        </w:rPr>
        <w:t>29.2</w:t>
      </w:r>
      <w:r>
        <w:rPr>
          <w:rFonts w:hint="eastAsia" w:cs="宋体" w:asciiTheme="minorEastAsia" w:hAnsiTheme="minorEastAsia" w:eastAsiaTheme="minorEastAsia"/>
          <w:color w:val="auto"/>
          <w:sz w:val="24"/>
        </w:rPr>
        <w:t>采购人、采购代理机构应当采取必要措施，保证评审在严格保密（封闭式评审）的情况下进行。除采购代理机构工作人员、评审现场组织人员外，采购人的其他工作人员以及与评审工作无关的人员不得进入评审现场。有关人员对评审情况以及在评审过程中获悉的国家秘密、商业秘密负有保密责任。</w:t>
      </w:r>
    </w:p>
    <w:p w14:paraId="05950A86">
      <w:pPr>
        <w:autoSpaceDE w:val="0"/>
        <w:autoSpaceDN w:val="0"/>
        <w:adjustRightInd w:val="0"/>
        <w:spacing w:line="360" w:lineRule="auto"/>
        <w:jc w:val="left"/>
        <w:rPr>
          <w:rFonts w:cs="宋体" w:asciiTheme="minorEastAsia" w:hAnsiTheme="minorEastAsia" w:eastAsiaTheme="minorEastAsia"/>
          <w:color w:val="auto"/>
          <w:sz w:val="24"/>
        </w:rPr>
      </w:pPr>
      <w:r>
        <w:rPr>
          <w:rFonts w:cs="宋体" w:asciiTheme="minorEastAsia" w:hAnsiTheme="minorEastAsia" w:eastAsiaTheme="minorEastAsia"/>
          <w:color w:val="auto"/>
          <w:sz w:val="24"/>
        </w:rPr>
        <w:t>29.3</w:t>
      </w:r>
      <w:r>
        <w:rPr>
          <w:rFonts w:hint="eastAsia" w:cs="宋体" w:asciiTheme="minorEastAsia" w:hAnsiTheme="minorEastAsia" w:eastAsiaTheme="minorEastAsia"/>
          <w:color w:val="auto"/>
          <w:sz w:val="24"/>
        </w:rPr>
        <w:t>本项目电子评审过程实行网上留痕、全程录音、录像监控，响应谈判供应商在评审过程中所进行的试图影响评审结果的不公正活动，其响应按无效处理。</w:t>
      </w:r>
    </w:p>
    <w:p w14:paraId="1C888964">
      <w:pPr>
        <w:autoSpaceDE w:val="0"/>
        <w:autoSpaceDN w:val="0"/>
        <w:adjustRightInd w:val="0"/>
        <w:spacing w:line="360" w:lineRule="auto"/>
        <w:jc w:val="left"/>
        <w:rPr>
          <w:rFonts w:cs="宋体" w:asciiTheme="minorEastAsia" w:hAnsiTheme="minorEastAsia" w:eastAsiaTheme="minorEastAsia"/>
          <w:color w:val="auto"/>
          <w:sz w:val="24"/>
        </w:rPr>
      </w:pPr>
      <w:r>
        <w:rPr>
          <w:rFonts w:cs="宋体" w:asciiTheme="minorEastAsia" w:hAnsiTheme="minorEastAsia" w:eastAsiaTheme="minorEastAsia"/>
          <w:color w:val="auto"/>
          <w:sz w:val="24"/>
        </w:rPr>
        <w:t>29.4</w:t>
      </w:r>
      <w:r>
        <w:rPr>
          <w:rFonts w:hint="eastAsia" w:cs="宋体" w:asciiTheme="minorEastAsia" w:hAnsiTheme="minorEastAsia" w:eastAsiaTheme="minorEastAsia"/>
          <w:color w:val="auto"/>
          <w:sz w:val="24"/>
        </w:rPr>
        <w:t>采购过程中出现以下情形，导致电子交易平台无法正常运行，或者无法保证电子交易的公平、公正和安全时，</w:t>
      </w:r>
      <w:r>
        <w:rPr>
          <w:rFonts w:hint="eastAsia" w:cs="宋体" w:asciiTheme="minorEastAsia" w:hAnsiTheme="minorEastAsia" w:eastAsiaTheme="minorEastAsia"/>
          <w:color w:val="auto"/>
          <w:sz w:val="24"/>
          <w:lang w:eastAsia="zh-CN"/>
        </w:rPr>
        <w:t>采购代理机构</w:t>
      </w:r>
      <w:r>
        <w:rPr>
          <w:rFonts w:hint="eastAsia" w:cs="宋体" w:asciiTheme="minorEastAsia" w:hAnsiTheme="minorEastAsia" w:eastAsiaTheme="minorEastAsia"/>
          <w:color w:val="auto"/>
          <w:sz w:val="24"/>
        </w:rPr>
        <w:t>可中止电子交易活动：</w:t>
      </w:r>
    </w:p>
    <w:p w14:paraId="01350F3B">
      <w:pPr>
        <w:autoSpaceDE w:val="0"/>
        <w:autoSpaceDN w:val="0"/>
        <w:adjustRightInd w:val="0"/>
        <w:spacing w:line="360" w:lineRule="auto"/>
        <w:ind w:firstLine="240" w:firstLineChars="1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（1）电子交易平台发生故障而无法登录访问的； </w:t>
      </w:r>
    </w:p>
    <w:p w14:paraId="43A6A675">
      <w:pPr>
        <w:autoSpaceDE w:val="0"/>
        <w:autoSpaceDN w:val="0"/>
        <w:adjustRightInd w:val="0"/>
        <w:spacing w:line="360" w:lineRule="auto"/>
        <w:ind w:firstLine="240" w:firstLineChars="1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（2）电子交易平台应用或数据库出现错误，不能进行正常操作的；</w:t>
      </w:r>
    </w:p>
    <w:p w14:paraId="72F7A40A">
      <w:pPr>
        <w:autoSpaceDE w:val="0"/>
        <w:autoSpaceDN w:val="0"/>
        <w:adjustRightInd w:val="0"/>
        <w:spacing w:line="360" w:lineRule="auto"/>
        <w:ind w:firstLine="240" w:firstLineChars="1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（3）电子交易平台发现严重安全漏洞，有潜在泄密危险的；</w:t>
      </w:r>
    </w:p>
    <w:p w14:paraId="3CCD971F">
      <w:pPr>
        <w:autoSpaceDE w:val="0"/>
        <w:autoSpaceDN w:val="0"/>
        <w:adjustRightInd w:val="0"/>
        <w:spacing w:line="360" w:lineRule="auto"/>
        <w:ind w:firstLine="240" w:firstLineChars="1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（4）病毒发作导致不能进行正常操作的； </w:t>
      </w:r>
    </w:p>
    <w:p w14:paraId="7AA12087">
      <w:pPr>
        <w:autoSpaceDE w:val="0"/>
        <w:autoSpaceDN w:val="0"/>
        <w:adjustRightInd w:val="0"/>
        <w:spacing w:line="360" w:lineRule="auto"/>
        <w:ind w:firstLine="240" w:firstLineChars="1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w:t>
      </w:r>
      <w:r>
        <w:rPr>
          <w:rFonts w:cs="宋体" w:asciiTheme="minorEastAsia" w:hAnsiTheme="minorEastAsia" w:eastAsiaTheme="minorEastAsia"/>
          <w:color w:val="auto"/>
          <w:sz w:val="24"/>
        </w:rPr>
        <w:t>5</w:t>
      </w:r>
      <w:r>
        <w:rPr>
          <w:rFonts w:hint="eastAsia" w:cs="宋体" w:asciiTheme="minorEastAsia" w:hAnsiTheme="minorEastAsia" w:eastAsiaTheme="minorEastAsia"/>
          <w:color w:val="auto"/>
          <w:sz w:val="24"/>
        </w:rPr>
        <w:t>）其他无法保证电子交易的公平、公正和安全的情况。</w:t>
      </w:r>
    </w:p>
    <w:p w14:paraId="1DD58C42">
      <w:pPr>
        <w:autoSpaceDE w:val="0"/>
        <w:autoSpaceDN w:val="0"/>
        <w:adjustRightInd w:val="0"/>
        <w:spacing w:line="360" w:lineRule="auto"/>
        <w:jc w:val="left"/>
        <w:rPr>
          <w:rFonts w:cs="宋体" w:asciiTheme="minorEastAsia" w:hAnsiTheme="minorEastAsia" w:eastAsiaTheme="minorEastAsia"/>
          <w:color w:val="auto"/>
          <w:sz w:val="24"/>
        </w:rPr>
      </w:pPr>
      <w:r>
        <w:rPr>
          <w:rFonts w:cs="宋体" w:asciiTheme="minorEastAsia" w:hAnsiTheme="minorEastAsia" w:eastAsiaTheme="minorEastAsia"/>
          <w:color w:val="auto"/>
          <w:sz w:val="24"/>
        </w:rPr>
        <w:t>29.5</w:t>
      </w:r>
      <w:r>
        <w:rPr>
          <w:rFonts w:hint="eastAsia" w:cs="宋体" w:asciiTheme="minorEastAsia" w:hAnsiTheme="minorEastAsia" w:eastAsiaTheme="minorEastAsia"/>
          <w:color w:val="auto"/>
          <w:sz w:val="24"/>
        </w:rPr>
        <w:t>出现以上情形，不影响采购公平、公正性的，采购组织机构可以待上述情形消除后</w:t>
      </w:r>
      <w:r>
        <w:rPr>
          <w:rFonts w:hint="eastAsia" w:cs="宋体" w:asciiTheme="minorEastAsia" w:hAnsiTheme="minorEastAsia" w:eastAsiaTheme="minorEastAsia"/>
          <w:color w:val="auto"/>
          <w:spacing w:val="3"/>
          <w:kern w:val="0"/>
          <w:sz w:val="24"/>
          <w:fitText w:val="9120" w:id="15140234"/>
        </w:rPr>
        <w:t>继续组织电子交易活动；影响或可能影响采购公平、公正性的，经采购代理机构确</w:t>
      </w:r>
      <w:r>
        <w:rPr>
          <w:rFonts w:hint="eastAsia" w:cs="宋体" w:asciiTheme="minorEastAsia" w:hAnsiTheme="minorEastAsia" w:eastAsiaTheme="minorEastAsia"/>
          <w:color w:val="auto"/>
          <w:spacing w:val="12"/>
          <w:kern w:val="0"/>
          <w:sz w:val="24"/>
          <w:fitText w:val="9120" w:id="15140234"/>
        </w:rPr>
        <w:t>认</w:t>
      </w:r>
      <w:r>
        <w:rPr>
          <w:rFonts w:hint="eastAsia" w:cs="宋体" w:asciiTheme="minorEastAsia" w:hAnsiTheme="minorEastAsia" w:eastAsiaTheme="minorEastAsia"/>
          <w:color w:val="auto"/>
          <w:sz w:val="24"/>
        </w:rPr>
        <w:t>后，应当重新采购。采购代理机构必须对原有的资料及信息作出妥善保密处理，并报财政部门备案。</w:t>
      </w:r>
    </w:p>
    <w:p w14:paraId="6EE6B2CB">
      <w:pPr>
        <w:pStyle w:val="7"/>
        <w:spacing w:line="360" w:lineRule="auto"/>
        <w:ind w:left="482" w:hanging="482"/>
        <w:rPr>
          <w:rFonts w:hint="default" w:hAnsi="宋体"/>
          <w:b/>
          <w:color w:val="auto"/>
          <w:sz w:val="24"/>
          <w:szCs w:val="24"/>
        </w:rPr>
      </w:pPr>
      <w:r>
        <w:rPr>
          <w:rFonts w:hAnsi="宋体"/>
          <w:b/>
          <w:color w:val="auto"/>
          <w:sz w:val="24"/>
          <w:szCs w:val="24"/>
        </w:rPr>
        <w:t>3</w:t>
      </w:r>
      <w:r>
        <w:rPr>
          <w:rFonts w:hint="default" w:hAnsi="宋体"/>
          <w:b/>
          <w:color w:val="auto"/>
          <w:sz w:val="24"/>
          <w:szCs w:val="24"/>
        </w:rPr>
        <w:t>0</w:t>
      </w:r>
      <w:r>
        <w:rPr>
          <w:rFonts w:hAnsi="宋体"/>
          <w:b/>
          <w:color w:val="auto"/>
          <w:sz w:val="24"/>
          <w:szCs w:val="24"/>
        </w:rPr>
        <w:t>.同一品牌产品的认定</w:t>
      </w:r>
    </w:p>
    <w:p w14:paraId="5B7F40B0">
      <w:pPr>
        <w:spacing w:line="340" w:lineRule="exact"/>
        <w:ind w:firstLine="482" w:firstLineChars="200"/>
        <w:rPr>
          <w:rFonts w:hint="eastAsia" w:ascii="宋体" w:hAnsi="宋体" w:eastAsia="宋体" w:cs="宋体"/>
          <w:sz w:val="24"/>
          <w:szCs w:val="24"/>
          <w:highlight w:val="none"/>
        </w:rPr>
      </w:pPr>
      <w:r>
        <w:rPr>
          <w:rFonts w:ascii="宋体" w:hAnsi="宋体" w:eastAsia="宋体" w:cs="Times New Roman"/>
          <w:b/>
          <w:color w:val="auto"/>
          <w:sz w:val="24"/>
          <w:szCs w:val="24"/>
          <w:highlight w:val="none"/>
        </w:rPr>
        <w:t>3</w:t>
      </w:r>
      <w:r>
        <w:rPr>
          <w:rFonts w:hint="default" w:ascii="宋体" w:hAnsi="宋体" w:eastAsia="宋体" w:cs="Times New Roman"/>
          <w:b/>
          <w:color w:val="auto"/>
          <w:sz w:val="24"/>
          <w:szCs w:val="24"/>
          <w:highlight w:val="none"/>
        </w:rPr>
        <w:t>0</w:t>
      </w:r>
      <w:r>
        <w:rPr>
          <w:rFonts w:ascii="宋体" w:hAnsi="宋体" w:eastAsia="宋体" w:cs="Times New Roman"/>
          <w:b/>
          <w:color w:val="auto"/>
          <w:sz w:val="24"/>
          <w:szCs w:val="24"/>
          <w:highlight w:val="none"/>
        </w:rPr>
        <w:t>.1</w:t>
      </w:r>
      <w:r>
        <w:rPr>
          <w:rFonts w:hint="eastAsia" w:ascii="宋体" w:hAnsi="宋体" w:eastAsia="宋体" w:cs="宋体"/>
          <w:b/>
          <w:bCs/>
          <w:sz w:val="24"/>
          <w:szCs w:val="24"/>
          <w:highlight w:val="none"/>
          <w:lang w:val="zh-CN"/>
        </w:rPr>
        <w:t>多家投标（报价）供应商提供的核心产品品牌相同的，以及未明确核心产品、不同供应商提供的相同品牌产品金额超过各自报价50%的，按照1家投标（报价）供应商计算。不同品牌产品达到3家以上的继续评审。应当对同品牌所有供应商进行评分，由得分最高的供应商参加后续排名。同品牌供应商得分或者报价相同的，由评审委员会按照采购文件明确的方式确定1家预中标供应商，采购文件未明确的，采取随机抽取方式确定。</w:t>
      </w:r>
    </w:p>
    <w:p w14:paraId="03C30000">
      <w:pPr>
        <w:spacing w:line="340" w:lineRule="exact"/>
        <w:ind w:firstLine="480" w:firstLineChars="200"/>
        <w:rPr>
          <w:rFonts w:hint="eastAsia" w:ascii="宋体" w:hAnsi="宋体" w:eastAsia="宋体" w:cs="宋体"/>
          <w:sz w:val="24"/>
          <w:szCs w:val="24"/>
          <w:highlight w:val="none"/>
        </w:rPr>
      </w:pPr>
    </w:p>
    <w:p w14:paraId="7F5D9624">
      <w:pPr>
        <w:autoSpaceDE w:val="0"/>
        <w:autoSpaceDN w:val="0"/>
        <w:adjustRightInd w:val="0"/>
        <w:spacing w:line="360" w:lineRule="auto"/>
        <w:rPr>
          <w:rFonts w:cs="宋体" w:asciiTheme="minorEastAsia" w:hAnsiTheme="minorEastAsia" w:eastAsiaTheme="minorEastAsia"/>
          <w:b/>
          <w:bCs/>
          <w:color w:val="auto"/>
          <w:sz w:val="24"/>
        </w:rPr>
      </w:pPr>
      <w:r>
        <w:rPr>
          <w:rFonts w:cs="宋体" w:asciiTheme="minorEastAsia" w:hAnsiTheme="minorEastAsia" w:eastAsiaTheme="minorEastAsia"/>
          <w:b/>
          <w:bCs/>
          <w:color w:val="auto"/>
          <w:sz w:val="24"/>
        </w:rPr>
        <w:t>31.</w:t>
      </w:r>
      <w:r>
        <w:rPr>
          <w:rFonts w:hint="eastAsia" w:ascii="宋体" w:hAnsi="宋体"/>
          <w:b/>
          <w:bCs/>
          <w:color w:val="auto"/>
          <w:sz w:val="24"/>
        </w:rPr>
        <w:t>谈判响应文件的澄清</w:t>
      </w:r>
    </w:p>
    <w:p w14:paraId="6012BB8C">
      <w:pPr>
        <w:spacing w:line="360" w:lineRule="auto"/>
        <w:ind w:firstLine="480" w:firstLineChars="200"/>
        <w:rPr>
          <w:rFonts w:ascii="宋体" w:hAnsi="宋体"/>
          <w:color w:val="auto"/>
          <w:sz w:val="24"/>
        </w:rPr>
      </w:pPr>
      <w:r>
        <w:rPr>
          <w:rFonts w:hint="eastAsia" w:ascii="宋体" w:hAnsi="宋体"/>
          <w:color w:val="auto"/>
          <w:sz w:val="24"/>
        </w:rPr>
        <w:t>为了有助于对谈判响应文件的审查、评价和比较，谈判小组可以根据需要响应谈判供应商澄清其谈判响应文件，但不应寻求提出或允许更改谈判响应文件的实质性内容。</w:t>
      </w:r>
    </w:p>
    <w:p w14:paraId="02B3D5F7">
      <w:pPr>
        <w:spacing w:line="360" w:lineRule="auto"/>
        <w:rPr>
          <w:rFonts w:ascii="宋体" w:hAnsi="宋体"/>
          <w:b/>
          <w:bCs/>
          <w:color w:val="auto"/>
          <w:sz w:val="24"/>
        </w:rPr>
      </w:pPr>
      <w:r>
        <w:rPr>
          <w:rFonts w:ascii="宋体" w:hAnsi="宋体"/>
          <w:b/>
          <w:bCs/>
          <w:color w:val="auto"/>
          <w:sz w:val="24"/>
        </w:rPr>
        <w:t>32.</w:t>
      </w:r>
      <w:r>
        <w:rPr>
          <w:rFonts w:hint="eastAsia" w:ascii="宋体" w:hAnsi="宋体"/>
          <w:b/>
          <w:bCs/>
          <w:color w:val="auto"/>
          <w:sz w:val="24"/>
        </w:rPr>
        <w:t>错误的修正</w:t>
      </w:r>
    </w:p>
    <w:p w14:paraId="1EC3B673">
      <w:pPr>
        <w:spacing w:line="360" w:lineRule="auto"/>
        <w:rPr>
          <w:rFonts w:ascii="宋体" w:hAnsi="宋体"/>
          <w:color w:val="auto"/>
          <w:sz w:val="24"/>
        </w:rPr>
      </w:pPr>
      <w:r>
        <w:rPr>
          <w:rFonts w:hint="eastAsia" w:ascii="宋体" w:hAnsi="宋体"/>
          <w:color w:val="auto"/>
          <w:sz w:val="24"/>
        </w:rPr>
        <w:t>3</w:t>
      </w:r>
      <w:r>
        <w:rPr>
          <w:rFonts w:ascii="宋体" w:hAnsi="宋体"/>
          <w:color w:val="auto"/>
          <w:sz w:val="24"/>
        </w:rPr>
        <w:t>2</w:t>
      </w:r>
      <w:r>
        <w:rPr>
          <w:rFonts w:hint="eastAsia" w:ascii="宋体" w:hAnsi="宋体"/>
          <w:color w:val="auto"/>
          <w:sz w:val="24"/>
        </w:rPr>
        <w:t>.</w:t>
      </w:r>
      <w:r>
        <w:rPr>
          <w:rFonts w:ascii="宋体" w:hAnsi="宋体"/>
          <w:color w:val="auto"/>
          <w:sz w:val="24"/>
        </w:rPr>
        <w:t>1</w:t>
      </w:r>
      <w:r>
        <w:rPr>
          <w:rFonts w:hint="eastAsia" w:ascii="宋体" w:hAnsi="宋体"/>
          <w:color w:val="auto"/>
          <w:sz w:val="24"/>
        </w:rPr>
        <w:t>谈判小组将对被确定为实质上响应谈判文件要求的谈判响应文件进行校核，看其是否有计算错误。改正计算错误的原则如下：当用数字表示的数额与用文字表示的数额不一致时，以文字为准；当单价与服务数量的乘积与细目总价不一致时，通常以该行填报的单价为准。除非谈判小组认为单价有明显的小数点错位，此时应以填报的细目总价为准并修改单价。</w:t>
      </w:r>
    </w:p>
    <w:p w14:paraId="10C1D4C6">
      <w:pPr>
        <w:spacing w:line="360" w:lineRule="auto"/>
        <w:rPr>
          <w:rFonts w:ascii="宋体" w:hAnsi="宋体"/>
          <w:color w:val="auto"/>
          <w:sz w:val="24"/>
        </w:rPr>
      </w:pPr>
      <w:r>
        <w:rPr>
          <w:rFonts w:ascii="宋体" w:hAnsi="宋体"/>
          <w:color w:val="auto"/>
          <w:sz w:val="24"/>
        </w:rPr>
        <w:t>32</w:t>
      </w:r>
      <w:r>
        <w:rPr>
          <w:rFonts w:hint="eastAsia" w:ascii="宋体" w:hAnsi="宋体"/>
          <w:color w:val="auto"/>
          <w:sz w:val="24"/>
        </w:rPr>
        <w:t>.</w:t>
      </w:r>
      <w:r>
        <w:rPr>
          <w:rFonts w:ascii="宋体" w:hAnsi="宋体"/>
          <w:color w:val="auto"/>
          <w:sz w:val="24"/>
        </w:rPr>
        <w:t>2</w:t>
      </w:r>
      <w:r>
        <w:rPr>
          <w:rFonts w:hint="eastAsia" w:ascii="宋体" w:hAnsi="宋体"/>
          <w:color w:val="auto"/>
          <w:sz w:val="24"/>
        </w:rPr>
        <w:t>谈判</w:t>
      </w:r>
      <w:r>
        <w:rPr>
          <w:rFonts w:ascii="宋体" w:hAnsi="宋体"/>
          <w:color w:val="auto"/>
          <w:sz w:val="24"/>
        </w:rPr>
        <w:t>小组</w:t>
      </w:r>
      <w:r>
        <w:rPr>
          <w:rFonts w:hint="eastAsia" w:ascii="宋体" w:hAnsi="宋体"/>
          <w:color w:val="auto"/>
          <w:sz w:val="24"/>
        </w:rPr>
        <w:t>将按上述改正错误的原则调整谈判响应文件的报价。在响应谈判供应商同意后，调整后的报价对响应谈判供应商起约束作用，如果响应谈判供应商不接受改正后的报价，则其谈判响应文件将被拒绝。</w:t>
      </w:r>
    </w:p>
    <w:p w14:paraId="420119C4">
      <w:pPr>
        <w:spacing w:line="360" w:lineRule="auto"/>
        <w:rPr>
          <w:rFonts w:ascii="宋体" w:hAnsi="宋体"/>
          <w:b/>
          <w:color w:val="auto"/>
          <w:sz w:val="24"/>
        </w:rPr>
      </w:pPr>
      <w:r>
        <w:rPr>
          <w:rFonts w:ascii="宋体" w:hAnsi="宋体"/>
          <w:b/>
          <w:color w:val="auto"/>
          <w:sz w:val="24"/>
        </w:rPr>
        <w:t>33.中小微企业的</w:t>
      </w:r>
      <w:r>
        <w:rPr>
          <w:rFonts w:hint="eastAsia" w:ascii="宋体" w:hAnsi="宋体"/>
          <w:b/>
          <w:color w:val="auto"/>
          <w:sz w:val="24"/>
        </w:rPr>
        <w:t>划型</w:t>
      </w:r>
    </w:p>
    <w:p w14:paraId="04A06F66">
      <w:pPr>
        <w:spacing w:line="360" w:lineRule="auto"/>
        <w:rPr>
          <w:rFonts w:ascii="宋体" w:hAnsi="宋体"/>
          <w:color w:val="auto"/>
          <w:sz w:val="24"/>
        </w:rPr>
      </w:pPr>
      <w:r>
        <w:rPr>
          <w:rFonts w:ascii="宋体" w:hAnsi="宋体"/>
          <w:color w:val="auto"/>
          <w:sz w:val="24"/>
        </w:rPr>
        <w:t>33</w:t>
      </w:r>
      <w:r>
        <w:rPr>
          <w:rFonts w:hint="eastAsia" w:ascii="宋体" w:hAnsi="宋体"/>
          <w:color w:val="auto"/>
          <w:sz w:val="24"/>
        </w:rPr>
        <w:t>.1中</w:t>
      </w:r>
      <w:r>
        <w:rPr>
          <w:rFonts w:ascii="宋体" w:hAnsi="宋体"/>
          <w:color w:val="auto"/>
          <w:sz w:val="24"/>
        </w:rPr>
        <w:t>小微企业投标是</w:t>
      </w:r>
      <w:r>
        <w:rPr>
          <w:rFonts w:hint="eastAsia" w:ascii="宋体" w:hAnsi="宋体"/>
          <w:color w:val="auto"/>
          <w:sz w:val="24"/>
        </w:rPr>
        <w:t>符</w:t>
      </w:r>
      <w:r>
        <w:rPr>
          <w:rFonts w:ascii="宋体" w:hAnsi="宋体"/>
          <w:color w:val="auto"/>
          <w:sz w:val="24"/>
        </w:rPr>
        <w:t>合《</w:t>
      </w:r>
      <w:r>
        <w:rPr>
          <w:rFonts w:hint="eastAsia" w:ascii="宋体" w:hAnsi="宋体"/>
          <w:color w:val="auto"/>
          <w:sz w:val="24"/>
        </w:rPr>
        <w:t>中</w:t>
      </w:r>
      <w:r>
        <w:rPr>
          <w:rFonts w:ascii="宋体" w:hAnsi="宋体"/>
          <w:color w:val="auto"/>
          <w:sz w:val="24"/>
        </w:rPr>
        <w:t>小企业划型标</w:t>
      </w:r>
      <w:r>
        <w:rPr>
          <w:rFonts w:hint="eastAsia" w:ascii="宋体" w:hAnsi="宋体"/>
          <w:color w:val="auto"/>
          <w:sz w:val="24"/>
        </w:rPr>
        <w:t>准</w:t>
      </w:r>
      <w:r>
        <w:rPr>
          <w:rFonts w:ascii="宋体" w:hAnsi="宋体"/>
          <w:color w:val="auto"/>
          <w:sz w:val="24"/>
        </w:rPr>
        <w:t>规定》</w:t>
      </w:r>
      <w:r>
        <w:rPr>
          <w:rFonts w:hint="eastAsia" w:ascii="宋体" w:hAnsi="宋体"/>
          <w:color w:val="auto"/>
          <w:sz w:val="24"/>
        </w:rPr>
        <w:t>的</w:t>
      </w:r>
      <w:r>
        <w:rPr>
          <w:rFonts w:ascii="宋体" w:hAnsi="宋体"/>
          <w:color w:val="auto"/>
          <w:sz w:val="24"/>
        </w:rPr>
        <w:t>响应谈判供应商，通过投标提供本企业制造的货物、</w:t>
      </w:r>
      <w:r>
        <w:rPr>
          <w:rFonts w:hint="eastAsia" w:ascii="宋体" w:hAnsi="宋体"/>
          <w:color w:val="auto"/>
          <w:sz w:val="24"/>
        </w:rPr>
        <w:t>承担</w:t>
      </w:r>
      <w:r>
        <w:rPr>
          <w:rFonts w:ascii="宋体" w:hAnsi="宋体"/>
          <w:color w:val="auto"/>
          <w:sz w:val="24"/>
        </w:rPr>
        <w:t>的工程或者服务，或者提供其他中小微企业制造的货物。本</w:t>
      </w:r>
      <w:r>
        <w:rPr>
          <w:rFonts w:hint="eastAsia" w:ascii="宋体" w:hAnsi="宋体"/>
          <w:color w:val="auto"/>
          <w:sz w:val="24"/>
        </w:rPr>
        <w:t>项</w:t>
      </w:r>
      <w:r>
        <w:rPr>
          <w:rFonts w:ascii="宋体" w:hAnsi="宋体"/>
          <w:color w:val="auto"/>
          <w:sz w:val="24"/>
        </w:rPr>
        <w:t>所指货物不包括使用大型企业注册商标的货物。中</w:t>
      </w:r>
      <w:r>
        <w:rPr>
          <w:rFonts w:hint="eastAsia" w:ascii="宋体" w:hAnsi="宋体"/>
          <w:color w:val="auto"/>
          <w:sz w:val="24"/>
        </w:rPr>
        <w:t>小</w:t>
      </w:r>
      <w:r>
        <w:rPr>
          <w:rFonts w:ascii="宋体" w:hAnsi="宋体"/>
          <w:color w:val="auto"/>
          <w:sz w:val="24"/>
        </w:rPr>
        <w:t>微企业投标应提供</w:t>
      </w:r>
      <w:r>
        <w:rPr>
          <w:rFonts w:hint="eastAsia" w:ascii="宋体" w:hAnsi="宋体"/>
          <w:color w:val="auto"/>
          <w:sz w:val="24"/>
        </w:rPr>
        <w:t>《中</w:t>
      </w:r>
      <w:r>
        <w:rPr>
          <w:rFonts w:ascii="宋体" w:hAnsi="宋体"/>
          <w:color w:val="auto"/>
          <w:sz w:val="24"/>
        </w:rPr>
        <w:t>小</w:t>
      </w:r>
      <w:r>
        <w:rPr>
          <w:rFonts w:hint="eastAsia" w:ascii="宋体" w:hAnsi="宋体"/>
          <w:color w:val="auto"/>
          <w:sz w:val="24"/>
        </w:rPr>
        <w:t>微</w:t>
      </w:r>
      <w:r>
        <w:rPr>
          <w:rFonts w:ascii="宋体" w:hAnsi="宋体"/>
          <w:color w:val="auto"/>
          <w:sz w:val="24"/>
        </w:rPr>
        <w:t>企业声明函》</w:t>
      </w:r>
      <w:r>
        <w:rPr>
          <w:rFonts w:hint="eastAsia" w:ascii="宋体" w:hAnsi="宋体"/>
          <w:color w:val="auto"/>
          <w:sz w:val="24"/>
        </w:rPr>
        <w:t>；</w:t>
      </w:r>
      <w:r>
        <w:rPr>
          <w:rFonts w:ascii="宋体" w:hAnsi="宋体"/>
          <w:color w:val="auto"/>
          <w:sz w:val="24"/>
        </w:rPr>
        <w:t>中</w:t>
      </w:r>
      <w:r>
        <w:rPr>
          <w:rFonts w:hint="eastAsia" w:ascii="宋体" w:hAnsi="宋体"/>
          <w:color w:val="auto"/>
          <w:sz w:val="24"/>
        </w:rPr>
        <w:t>小</w:t>
      </w:r>
      <w:r>
        <w:rPr>
          <w:rFonts w:ascii="宋体" w:hAnsi="宋体"/>
          <w:color w:val="auto"/>
          <w:sz w:val="24"/>
        </w:rPr>
        <w:t>企业划分见《</w:t>
      </w:r>
      <w:r>
        <w:rPr>
          <w:rFonts w:hint="eastAsia" w:ascii="宋体" w:hAnsi="宋体"/>
          <w:color w:val="auto"/>
          <w:sz w:val="24"/>
        </w:rPr>
        <w:t>关于</w:t>
      </w:r>
      <w:r>
        <w:rPr>
          <w:rFonts w:ascii="宋体" w:hAnsi="宋体"/>
          <w:color w:val="auto"/>
          <w:sz w:val="24"/>
        </w:rPr>
        <w:t>印发</w:t>
      </w:r>
      <w:r>
        <w:rPr>
          <w:rFonts w:hint="eastAsia" w:ascii="宋体" w:hAnsi="宋体"/>
          <w:color w:val="auto"/>
          <w:sz w:val="24"/>
        </w:rPr>
        <w:t>中</w:t>
      </w:r>
      <w:r>
        <w:rPr>
          <w:rFonts w:ascii="宋体" w:hAnsi="宋体"/>
          <w:color w:val="auto"/>
          <w:sz w:val="24"/>
        </w:rPr>
        <w:t>小企业划型标准规定的通知》</w:t>
      </w:r>
      <w:r>
        <w:rPr>
          <w:rFonts w:hint="eastAsia" w:ascii="宋体" w:hAnsi="宋体"/>
          <w:color w:val="auto"/>
          <w:sz w:val="24"/>
        </w:rPr>
        <w:t>（工</w:t>
      </w:r>
      <w:r>
        <w:rPr>
          <w:rFonts w:ascii="宋体" w:hAnsi="宋体"/>
          <w:color w:val="auto"/>
          <w:sz w:val="24"/>
        </w:rPr>
        <w:t>信部联企业</w:t>
      </w:r>
      <w:r>
        <w:rPr>
          <w:rFonts w:hint="eastAsia" w:ascii="宋体" w:hAnsi="宋体"/>
          <w:color w:val="auto"/>
          <w:sz w:val="24"/>
        </w:rPr>
        <w:t>〔2011〕</w:t>
      </w:r>
      <w:r>
        <w:rPr>
          <w:rFonts w:ascii="宋体" w:hAnsi="宋体"/>
          <w:color w:val="auto"/>
          <w:sz w:val="24"/>
        </w:rPr>
        <w:t>300</w:t>
      </w:r>
      <w:r>
        <w:rPr>
          <w:rFonts w:hint="eastAsia" w:ascii="宋体" w:hAnsi="宋体"/>
          <w:color w:val="auto"/>
          <w:sz w:val="24"/>
        </w:rPr>
        <w:t>号</w:t>
      </w:r>
      <w:r>
        <w:rPr>
          <w:rFonts w:ascii="宋体" w:hAnsi="宋体"/>
          <w:color w:val="auto"/>
          <w:sz w:val="24"/>
        </w:rPr>
        <w:t>）</w:t>
      </w:r>
      <w:r>
        <w:rPr>
          <w:rFonts w:hint="eastAsia" w:ascii="宋体" w:hAnsi="宋体"/>
          <w:color w:val="auto"/>
          <w:sz w:val="24"/>
        </w:rPr>
        <w:t>。</w:t>
      </w:r>
    </w:p>
    <w:p w14:paraId="6CDDC721">
      <w:pPr>
        <w:spacing w:line="360" w:lineRule="auto"/>
        <w:rPr>
          <w:rFonts w:ascii="宋体" w:hAnsi="宋体"/>
          <w:color w:val="auto"/>
          <w:sz w:val="24"/>
        </w:rPr>
      </w:pPr>
      <w:r>
        <w:rPr>
          <w:rFonts w:ascii="宋体" w:hAnsi="宋体"/>
          <w:color w:val="auto"/>
          <w:sz w:val="24"/>
        </w:rPr>
        <w:t>33</w:t>
      </w:r>
      <w:r>
        <w:rPr>
          <w:rFonts w:hint="eastAsia" w:ascii="宋体" w:hAnsi="宋体"/>
          <w:color w:val="auto"/>
          <w:sz w:val="24"/>
        </w:rPr>
        <w:t>.2根据</w:t>
      </w:r>
      <w:r>
        <w:rPr>
          <w:rFonts w:ascii="宋体" w:hAnsi="宋体"/>
          <w:color w:val="auto"/>
          <w:sz w:val="24"/>
        </w:rPr>
        <w:t>《</w:t>
      </w:r>
      <w:r>
        <w:rPr>
          <w:rFonts w:hint="eastAsia" w:ascii="宋体" w:hAnsi="宋体"/>
          <w:color w:val="auto"/>
          <w:sz w:val="24"/>
        </w:rPr>
        <w:t>财政</w:t>
      </w:r>
      <w:r>
        <w:rPr>
          <w:rFonts w:ascii="宋体" w:hAnsi="宋体"/>
          <w:color w:val="auto"/>
          <w:sz w:val="24"/>
        </w:rPr>
        <w:t>部</w:t>
      </w:r>
      <w:r>
        <w:rPr>
          <w:rFonts w:hint="eastAsia" w:ascii="宋体" w:hAnsi="宋体"/>
          <w:color w:val="auto"/>
          <w:sz w:val="24"/>
        </w:rPr>
        <w:t xml:space="preserve"> 司法</w:t>
      </w:r>
      <w:r>
        <w:rPr>
          <w:rFonts w:ascii="宋体" w:hAnsi="宋体"/>
          <w:color w:val="auto"/>
          <w:sz w:val="24"/>
        </w:rPr>
        <w:t>部关于政府采购支持</w:t>
      </w:r>
      <w:r>
        <w:rPr>
          <w:rFonts w:hint="eastAsia" w:ascii="宋体" w:hAnsi="宋体"/>
          <w:color w:val="auto"/>
          <w:sz w:val="24"/>
        </w:rPr>
        <w:t>监狱</w:t>
      </w:r>
      <w:r>
        <w:rPr>
          <w:rFonts w:ascii="宋体" w:hAnsi="宋体"/>
          <w:color w:val="auto"/>
          <w:sz w:val="24"/>
        </w:rPr>
        <w:t>企业发展有关问题的</w:t>
      </w:r>
      <w:r>
        <w:rPr>
          <w:rFonts w:hint="eastAsia" w:ascii="宋体" w:hAnsi="宋体"/>
          <w:color w:val="auto"/>
          <w:sz w:val="24"/>
        </w:rPr>
        <w:t>通知</w:t>
      </w:r>
      <w:r>
        <w:rPr>
          <w:rFonts w:ascii="宋体" w:hAnsi="宋体"/>
          <w:color w:val="auto"/>
          <w:sz w:val="24"/>
        </w:rPr>
        <w:t>》</w:t>
      </w:r>
      <w:r>
        <w:rPr>
          <w:rFonts w:hint="eastAsia" w:ascii="宋体" w:hAnsi="宋体"/>
          <w:color w:val="auto"/>
          <w:sz w:val="24"/>
        </w:rPr>
        <w:t>（财</w:t>
      </w:r>
      <w:r>
        <w:rPr>
          <w:rFonts w:ascii="宋体" w:hAnsi="宋体"/>
          <w:color w:val="auto"/>
          <w:sz w:val="24"/>
        </w:rPr>
        <w:t>库</w:t>
      </w:r>
      <w:r>
        <w:rPr>
          <w:rFonts w:hint="eastAsia" w:ascii="宋体" w:hAnsi="宋体"/>
          <w:color w:val="auto"/>
          <w:sz w:val="24"/>
        </w:rPr>
        <w:t>〔2014〕68号</w:t>
      </w:r>
      <w:r>
        <w:rPr>
          <w:rFonts w:ascii="宋体" w:hAnsi="宋体"/>
          <w:color w:val="auto"/>
          <w:sz w:val="24"/>
        </w:rPr>
        <w:t>）</w:t>
      </w:r>
      <w:r>
        <w:rPr>
          <w:rFonts w:hint="eastAsia" w:ascii="宋体" w:hAnsi="宋体"/>
          <w:color w:val="auto"/>
          <w:sz w:val="24"/>
        </w:rPr>
        <w:t>，</w:t>
      </w:r>
      <w:r>
        <w:rPr>
          <w:rFonts w:ascii="宋体" w:hAnsi="宋体"/>
          <w:color w:val="auto"/>
          <w:sz w:val="24"/>
        </w:rPr>
        <w:t>监狱企业视同小微企业。监狱</w:t>
      </w:r>
      <w:r>
        <w:rPr>
          <w:rFonts w:hint="eastAsia" w:ascii="宋体" w:hAnsi="宋体"/>
          <w:color w:val="auto"/>
          <w:sz w:val="24"/>
        </w:rPr>
        <w:t>企业</w:t>
      </w:r>
      <w:r>
        <w:rPr>
          <w:rFonts w:ascii="宋体" w:hAnsi="宋体"/>
          <w:color w:val="auto"/>
          <w:sz w:val="24"/>
        </w:rPr>
        <w:t>是指</w:t>
      </w:r>
      <w:r>
        <w:rPr>
          <w:rFonts w:hint="eastAsia" w:ascii="宋体" w:hAnsi="宋体"/>
          <w:color w:val="auto"/>
          <w:sz w:val="24"/>
        </w:rPr>
        <w:t>由</w:t>
      </w:r>
      <w:r>
        <w:rPr>
          <w:rFonts w:ascii="宋体" w:hAnsi="宋体"/>
          <w:color w:val="auto"/>
          <w:sz w:val="24"/>
        </w:rPr>
        <w:t>司法部认定的为罪犯、戒毒人员提供生产项目和劳动对象，且全部产权属于司法部监狱管理局、戒毒管理局</w:t>
      </w:r>
      <w:r>
        <w:rPr>
          <w:rFonts w:hint="eastAsia" w:ascii="宋体" w:hAnsi="宋体"/>
          <w:color w:val="auto"/>
          <w:sz w:val="24"/>
        </w:rPr>
        <w:t>、</w:t>
      </w:r>
      <w:r>
        <w:rPr>
          <w:rFonts w:ascii="宋体" w:hAnsi="宋体"/>
          <w:color w:val="auto"/>
          <w:sz w:val="24"/>
        </w:rPr>
        <w:t>直属煤矿管理局，各省、自治区、直辖市</w:t>
      </w:r>
      <w:r>
        <w:rPr>
          <w:rFonts w:hint="eastAsia" w:ascii="宋体" w:hAnsi="宋体"/>
          <w:color w:val="auto"/>
          <w:sz w:val="24"/>
        </w:rPr>
        <w:t>监狱</w:t>
      </w:r>
      <w:r>
        <w:rPr>
          <w:rFonts w:ascii="宋体" w:hAnsi="宋体"/>
          <w:color w:val="auto"/>
          <w:sz w:val="24"/>
        </w:rPr>
        <w:t>管理局、戒毒管理局，各地（</w:t>
      </w:r>
      <w:r>
        <w:rPr>
          <w:rFonts w:hint="eastAsia" w:ascii="宋体" w:hAnsi="宋体"/>
          <w:color w:val="auto"/>
          <w:sz w:val="24"/>
        </w:rPr>
        <w:t>设</w:t>
      </w:r>
      <w:r>
        <w:rPr>
          <w:rFonts w:ascii="宋体" w:hAnsi="宋体"/>
          <w:color w:val="auto"/>
          <w:sz w:val="24"/>
        </w:rPr>
        <w:t>区的市）</w:t>
      </w:r>
      <w:r>
        <w:rPr>
          <w:rFonts w:hint="eastAsia" w:ascii="宋体" w:hAnsi="宋体"/>
          <w:color w:val="auto"/>
          <w:sz w:val="24"/>
        </w:rPr>
        <w:t>的</w:t>
      </w:r>
      <w:r>
        <w:rPr>
          <w:rFonts w:ascii="宋体" w:hAnsi="宋体"/>
          <w:color w:val="auto"/>
          <w:sz w:val="24"/>
        </w:rPr>
        <w:t>监狱、</w:t>
      </w:r>
      <w:r>
        <w:rPr>
          <w:rFonts w:hint="eastAsia" w:ascii="宋体" w:hAnsi="宋体"/>
          <w:color w:val="auto"/>
          <w:sz w:val="24"/>
        </w:rPr>
        <w:t>强制</w:t>
      </w:r>
      <w:r>
        <w:rPr>
          <w:rFonts w:ascii="宋体" w:hAnsi="宋体"/>
          <w:color w:val="auto"/>
          <w:sz w:val="24"/>
        </w:rPr>
        <w:t>隔离戒毒所、戒毒康复所，以及新疆生产建</w:t>
      </w:r>
      <w:r>
        <w:rPr>
          <w:rFonts w:hint="eastAsia" w:ascii="宋体" w:hAnsi="宋体"/>
          <w:color w:val="auto"/>
          <w:sz w:val="24"/>
        </w:rPr>
        <w:t>设</w:t>
      </w:r>
      <w:r>
        <w:rPr>
          <w:rFonts w:ascii="宋体" w:hAnsi="宋体"/>
          <w:color w:val="auto"/>
          <w:sz w:val="24"/>
        </w:rPr>
        <w:t>兵团监狱</w:t>
      </w:r>
      <w:r>
        <w:rPr>
          <w:rFonts w:hint="eastAsia" w:ascii="宋体" w:hAnsi="宋体"/>
          <w:color w:val="auto"/>
          <w:sz w:val="24"/>
        </w:rPr>
        <w:t>管理</w:t>
      </w:r>
      <w:r>
        <w:rPr>
          <w:rFonts w:ascii="宋体" w:hAnsi="宋体"/>
          <w:color w:val="auto"/>
          <w:sz w:val="24"/>
        </w:rPr>
        <w:t>局</w:t>
      </w:r>
      <w:r>
        <w:rPr>
          <w:rFonts w:hint="eastAsia" w:ascii="宋体" w:hAnsi="宋体"/>
          <w:color w:val="auto"/>
          <w:sz w:val="24"/>
        </w:rPr>
        <w:t>、戒毒管理</w:t>
      </w:r>
      <w:r>
        <w:rPr>
          <w:rFonts w:ascii="宋体" w:hAnsi="宋体"/>
          <w:color w:val="auto"/>
          <w:sz w:val="24"/>
        </w:rPr>
        <w:t>局的企业。监狱</w:t>
      </w:r>
      <w:r>
        <w:rPr>
          <w:rFonts w:hint="eastAsia" w:ascii="宋体" w:hAnsi="宋体"/>
          <w:color w:val="auto"/>
          <w:sz w:val="24"/>
        </w:rPr>
        <w:t>企业</w:t>
      </w:r>
      <w:r>
        <w:rPr>
          <w:rFonts w:ascii="宋体" w:hAnsi="宋体"/>
          <w:color w:val="auto"/>
          <w:sz w:val="24"/>
        </w:rPr>
        <w:t>投标时，提供由省级以上监狱管理局、戒毒管理局（</w:t>
      </w:r>
      <w:r>
        <w:rPr>
          <w:rFonts w:hint="eastAsia" w:ascii="宋体" w:hAnsi="宋体"/>
          <w:color w:val="auto"/>
          <w:sz w:val="24"/>
        </w:rPr>
        <w:t>含</w:t>
      </w:r>
      <w:r>
        <w:rPr>
          <w:rFonts w:ascii="宋体" w:hAnsi="宋体"/>
          <w:color w:val="auto"/>
          <w:sz w:val="24"/>
        </w:rPr>
        <w:t>新疆生产建设兵团）</w:t>
      </w:r>
      <w:r>
        <w:rPr>
          <w:rFonts w:hint="eastAsia" w:ascii="宋体" w:hAnsi="宋体"/>
          <w:color w:val="auto"/>
          <w:sz w:val="24"/>
        </w:rPr>
        <w:t>出</w:t>
      </w:r>
      <w:r>
        <w:rPr>
          <w:rFonts w:ascii="宋体" w:hAnsi="宋体"/>
          <w:color w:val="auto"/>
          <w:sz w:val="24"/>
        </w:rPr>
        <w:t>具的属于监狱企业的证明文件，不再</w:t>
      </w:r>
      <w:r>
        <w:rPr>
          <w:rFonts w:hint="eastAsia" w:ascii="宋体" w:hAnsi="宋体"/>
          <w:color w:val="auto"/>
          <w:sz w:val="24"/>
        </w:rPr>
        <w:t>提供</w:t>
      </w:r>
      <w:r>
        <w:rPr>
          <w:rFonts w:ascii="宋体" w:hAnsi="宋体"/>
          <w:color w:val="auto"/>
          <w:sz w:val="24"/>
        </w:rPr>
        <w:t>《</w:t>
      </w:r>
      <w:r>
        <w:rPr>
          <w:rFonts w:hint="eastAsia" w:ascii="宋体" w:hAnsi="宋体"/>
          <w:color w:val="auto"/>
          <w:sz w:val="24"/>
        </w:rPr>
        <w:t>中</w:t>
      </w:r>
      <w:r>
        <w:rPr>
          <w:rFonts w:ascii="宋体" w:hAnsi="宋体"/>
          <w:color w:val="auto"/>
          <w:sz w:val="24"/>
        </w:rPr>
        <w:t>小微企业声明函》</w:t>
      </w:r>
      <w:r>
        <w:rPr>
          <w:rFonts w:hint="eastAsia" w:ascii="宋体" w:hAnsi="宋体"/>
          <w:color w:val="auto"/>
          <w:sz w:val="24"/>
        </w:rPr>
        <w:t>。</w:t>
      </w:r>
    </w:p>
    <w:p w14:paraId="301BD691">
      <w:pPr>
        <w:spacing w:line="360" w:lineRule="auto"/>
        <w:rPr>
          <w:rFonts w:ascii="宋体" w:hAnsi="宋体"/>
          <w:color w:val="auto"/>
          <w:sz w:val="24"/>
        </w:rPr>
      </w:pPr>
      <w:r>
        <w:rPr>
          <w:rFonts w:ascii="宋体" w:hAnsi="宋体"/>
          <w:color w:val="auto"/>
          <w:sz w:val="24"/>
        </w:rPr>
        <w:t>33</w:t>
      </w:r>
      <w:r>
        <w:rPr>
          <w:rFonts w:hint="eastAsia" w:ascii="宋体" w:hAnsi="宋体"/>
          <w:color w:val="auto"/>
          <w:sz w:val="24"/>
        </w:rPr>
        <w:t>.3根据《财政</w:t>
      </w:r>
      <w:r>
        <w:rPr>
          <w:rFonts w:ascii="宋体" w:hAnsi="宋体"/>
          <w:color w:val="auto"/>
          <w:sz w:val="24"/>
        </w:rPr>
        <w:t>部</w:t>
      </w:r>
      <w:r>
        <w:rPr>
          <w:rFonts w:hint="eastAsia" w:ascii="宋体" w:hAnsi="宋体"/>
          <w:color w:val="auto"/>
          <w:sz w:val="24"/>
        </w:rPr>
        <w:t xml:space="preserve"> 民</w:t>
      </w:r>
      <w:r>
        <w:rPr>
          <w:rFonts w:ascii="宋体" w:hAnsi="宋体"/>
          <w:color w:val="auto"/>
          <w:sz w:val="24"/>
        </w:rPr>
        <w:t>政</w:t>
      </w:r>
      <w:r>
        <w:rPr>
          <w:rFonts w:hint="eastAsia" w:ascii="宋体" w:hAnsi="宋体"/>
          <w:color w:val="auto"/>
          <w:sz w:val="24"/>
        </w:rPr>
        <w:t>部 中</w:t>
      </w:r>
      <w:r>
        <w:rPr>
          <w:rFonts w:ascii="宋体" w:hAnsi="宋体"/>
          <w:color w:val="auto"/>
          <w:sz w:val="24"/>
        </w:rPr>
        <w:t>国残疾人联合会关于促进残疾人就业政府采购政</w:t>
      </w:r>
      <w:r>
        <w:rPr>
          <w:rFonts w:hint="eastAsia" w:ascii="宋体" w:hAnsi="宋体"/>
          <w:color w:val="auto"/>
          <w:sz w:val="24"/>
        </w:rPr>
        <w:t>策</w:t>
      </w:r>
      <w:r>
        <w:rPr>
          <w:rFonts w:ascii="宋体" w:hAnsi="宋体"/>
          <w:color w:val="auto"/>
          <w:sz w:val="24"/>
        </w:rPr>
        <w:t>的通知》</w:t>
      </w:r>
      <w:r>
        <w:rPr>
          <w:rFonts w:hint="eastAsia" w:ascii="宋体" w:hAnsi="宋体"/>
          <w:color w:val="auto"/>
          <w:sz w:val="24"/>
        </w:rPr>
        <w:t>（财库〔201</w:t>
      </w:r>
      <w:r>
        <w:rPr>
          <w:rFonts w:ascii="宋体" w:hAnsi="宋体"/>
          <w:color w:val="auto"/>
          <w:sz w:val="24"/>
        </w:rPr>
        <w:t>7</w:t>
      </w:r>
      <w:r>
        <w:rPr>
          <w:rFonts w:hint="eastAsia" w:ascii="宋体" w:hAnsi="宋体"/>
          <w:color w:val="auto"/>
          <w:sz w:val="24"/>
        </w:rPr>
        <w:t>〕</w:t>
      </w:r>
      <w:r>
        <w:rPr>
          <w:rFonts w:ascii="宋体" w:hAnsi="宋体"/>
          <w:color w:val="auto"/>
          <w:sz w:val="24"/>
        </w:rPr>
        <w:t>141</w:t>
      </w:r>
      <w:r>
        <w:rPr>
          <w:rFonts w:hint="eastAsia" w:ascii="宋体" w:hAnsi="宋体"/>
          <w:color w:val="auto"/>
          <w:sz w:val="24"/>
        </w:rPr>
        <w:t>号</w:t>
      </w:r>
      <w:r>
        <w:rPr>
          <w:rFonts w:ascii="宋体" w:hAnsi="宋体"/>
          <w:color w:val="auto"/>
          <w:sz w:val="24"/>
        </w:rPr>
        <w:t>）</w:t>
      </w:r>
      <w:r>
        <w:rPr>
          <w:rFonts w:hint="eastAsia" w:ascii="宋体" w:hAnsi="宋体"/>
          <w:color w:val="auto"/>
          <w:sz w:val="24"/>
        </w:rPr>
        <w:t>，</w:t>
      </w:r>
      <w:r>
        <w:rPr>
          <w:rFonts w:ascii="宋体" w:hAnsi="宋体"/>
          <w:color w:val="auto"/>
          <w:sz w:val="24"/>
        </w:rPr>
        <w:t>在政府采购活动中，残疾人福利性单位视同小型、微型企业，享受政府采购支持政策的残疾人福利性单位应当同时满足《</w:t>
      </w:r>
      <w:r>
        <w:rPr>
          <w:rFonts w:hint="eastAsia" w:ascii="宋体" w:hAnsi="宋体"/>
          <w:color w:val="auto"/>
          <w:sz w:val="24"/>
        </w:rPr>
        <w:t>财政</w:t>
      </w:r>
      <w:r>
        <w:rPr>
          <w:rFonts w:ascii="宋体" w:hAnsi="宋体"/>
          <w:color w:val="auto"/>
          <w:sz w:val="24"/>
        </w:rPr>
        <w:t>部</w:t>
      </w:r>
      <w:r>
        <w:rPr>
          <w:rFonts w:hint="eastAsia" w:ascii="宋体" w:hAnsi="宋体"/>
          <w:color w:val="auto"/>
          <w:sz w:val="24"/>
        </w:rPr>
        <w:t xml:space="preserve"> 民</w:t>
      </w:r>
      <w:r>
        <w:rPr>
          <w:rFonts w:ascii="宋体" w:hAnsi="宋体"/>
          <w:color w:val="auto"/>
          <w:sz w:val="24"/>
        </w:rPr>
        <w:t>政</w:t>
      </w:r>
      <w:r>
        <w:rPr>
          <w:rFonts w:hint="eastAsia" w:ascii="宋体" w:hAnsi="宋体"/>
          <w:color w:val="auto"/>
          <w:sz w:val="24"/>
        </w:rPr>
        <w:t>部 中</w:t>
      </w:r>
      <w:r>
        <w:rPr>
          <w:rFonts w:ascii="宋体" w:hAnsi="宋体"/>
          <w:color w:val="auto"/>
          <w:sz w:val="24"/>
        </w:rPr>
        <w:t>国残疾人联合会关于促进残疾人就业政府采购政</w:t>
      </w:r>
      <w:r>
        <w:rPr>
          <w:rFonts w:hint="eastAsia" w:ascii="宋体" w:hAnsi="宋体"/>
          <w:color w:val="auto"/>
          <w:sz w:val="24"/>
        </w:rPr>
        <w:t>策</w:t>
      </w:r>
      <w:r>
        <w:rPr>
          <w:rFonts w:ascii="宋体" w:hAnsi="宋体"/>
          <w:color w:val="auto"/>
          <w:sz w:val="24"/>
        </w:rPr>
        <w:t>的通知》</w:t>
      </w:r>
      <w:r>
        <w:rPr>
          <w:rFonts w:hint="eastAsia" w:ascii="宋体" w:hAnsi="宋体"/>
          <w:color w:val="auto"/>
          <w:sz w:val="24"/>
        </w:rPr>
        <w:t>所</w:t>
      </w:r>
      <w:r>
        <w:rPr>
          <w:rFonts w:ascii="宋体" w:hAnsi="宋体"/>
          <w:color w:val="auto"/>
          <w:sz w:val="24"/>
        </w:rPr>
        <w:t>列条件。残疾</w:t>
      </w:r>
      <w:r>
        <w:rPr>
          <w:rFonts w:hint="eastAsia" w:ascii="宋体" w:hAnsi="宋体"/>
          <w:color w:val="auto"/>
          <w:sz w:val="24"/>
        </w:rPr>
        <w:t>人</w:t>
      </w:r>
      <w:r>
        <w:rPr>
          <w:rFonts w:ascii="宋体" w:hAnsi="宋体"/>
          <w:color w:val="auto"/>
          <w:sz w:val="24"/>
        </w:rPr>
        <w:t>福利</w:t>
      </w:r>
      <w:r>
        <w:rPr>
          <w:rFonts w:hint="eastAsia" w:ascii="宋体" w:hAnsi="宋体"/>
          <w:color w:val="auto"/>
          <w:sz w:val="24"/>
          <w:lang w:eastAsia="zh-CN"/>
        </w:rPr>
        <w:t>性</w:t>
      </w:r>
      <w:r>
        <w:rPr>
          <w:rFonts w:ascii="宋体" w:hAnsi="宋体"/>
          <w:color w:val="auto"/>
          <w:sz w:val="24"/>
        </w:rPr>
        <w:t>单位属于小型、微型企业的，不重复</w:t>
      </w:r>
      <w:r>
        <w:rPr>
          <w:rFonts w:hint="eastAsia" w:ascii="宋体" w:hAnsi="宋体"/>
          <w:color w:val="auto"/>
          <w:sz w:val="24"/>
        </w:rPr>
        <w:t>享受</w:t>
      </w:r>
      <w:r>
        <w:rPr>
          <w:rFonts w:ascii="宋体" w:hAnsi="宋体"/>
          <w:color w:val="auto"/>
          <w:sz w:val="24"/>
        </w:rPr>
        <w:t>政策。符合</w:t>
      </w:r>
      <w:r>
        <w:rPr>
          <w:rFonts w:hint="eastAsia" w:ascii="宋体" w:hAnsi="宋体"/>
          <w:color w:val="auto"/>
          <w:sz w:val="24"/>
        </w:rPr>
        <w:t>条件的</w:t>
      </w:r>
      <w:r>
        <w:rPr>
          <w:rFonts w:ascii="宋体" w:hAnsi="宋体"/>
          <w:color w:val="auto"/>
          <w:sz w:val="24"/>
        </w:rPr>
        <w:t>残疾人福利性单位在参加政府采购活动时，应当提供《</w:t>
      </w:r>
      <w:r>
        <w:rPr>
          <w:rFonts w:hint="eastAsia" w:ascii="宋体" w:hAnsi="宋体"/>
          <w:color w:val="auto"/>
          <w:sz w:val="24"/>
        </w:rPr>
        <w:t>残疾</w:t>
      </w:r>
      <w:r>
        <w:rPr>
          <w:rFonts w:ascii="宋体" w:hAnsi="宋体"/>
          <w:color w:val="auto"/>
          <w:sz w:val="24"/>
        </w:rPr>
        <w:t>人福利性单位声明</w:t>
      </w:r>
      <w:r>
        <w:rPr>
          <w:rFonts w:hint="eastAsia" w:ascii="宋体" w:hAnsi="宋体"/>
          <w:color w:val="auto"/>
          <w:sz w:val="24"/>
        </w:rPr>
        <w:t>函</w:t>
      </w:r>
      <w:r>
        <w:rPr>
          <w:rFonts w:ascii="宋体" w:hAnsi="宋体"/>
          <w:color w:val="auto"/>
          <w:sz w:val="24"/>
        </w:rPr>
        <w:t>》</w:t>
      </w:r>
      <w:r>
        <w:rPr>
          <w:rFonts w:hint="eastAsia" w:ascii="宋体" w:hAnsi="宋体"/>
          <w:color w:val="auto"/>
          <w:sz w:val="24"/>
        </w:rPr>
        <w:t>，并</w:t>
      </w:r>
      <w:r>
        <w:rPr>
          <w:rFonts w:ascii="宋体" w:hAnsi="宋体"/>
          <w:color w:val="auto"/>
          <w:sz w:val="24"/>
        </w:rPr>
        <w:t>对声明</w:t>
      </w:r>
      <w:r>
        <w:rPr>
          <w:rFonts w:hint="eastAsia" w:ascii="宋体" w:hAnsi="宋体"/>
          <w:color w:val="auto"/>
          <w:sz w:val="24"/>
        </w:rPr>
        <w:t>的</w:t>
      </w:r>
      <w:r>
        <w:rPr>
          <w:rFonts w:ascii="宋体" w:hAnsi="宋体"/>
          <w:color w:val="auto"/>
          <w:sz w:val="24"/>
        </w:rPr>
        <w:t>真实性负责</w:t>
      </w:r>
      <w:r>
        <w:rPr>
          <w:rFonts w:hint="eastAsia" w:ascii="宋体" w:hAnsi="宋体"/>
          <w:color w:val="auto"/>
          <w:sz w:val="24"/>
        </w:rPr>
        <w:t>。</w:t>
      </w:r>
    </w:p>
    <w:p w14:paraId="3B19DF71">
      <w:pPr>
        <w:spacing w:line="360" w:lineRule="auto"/>
        <w:jc w:val="center"/>
        <w:outlineLvl w:val="1"/>
        <w:rPr>
          <w:rFonts w:ascii="宋体" w:hAnsi="宋体"/>
          <w:color w:val="auto"/>
          <w:sz w:val="24"/>
        </w:rPr>
      </w:pPr>
      <w:bookmarkStart w:id="20" w:name="_Toc15555"/>
      <w:bookmarkStart w:id="21" w:name="_Toc103723524"/>
      <w:r>
        <w:rPr>
          <w:rFonts w:hint="eastAsia" w:ascii="宋体" w:hAnsi="宋体"/>
          <w:b/>
          <w:color w:val="auto"/>
          <w:sz w:val="28"/>
        </w:rPr>
        <w:t>八、授予合同</w:t>
      </w:r>
      <w:bookmarkEnd w:id="20"/>
      <w:bookmarkEnd w:id="21"/>
    </w:p>
    <w:p w14:paraId="4E0680C9">
      <w:pPr>
        <w:spacing w:line="360" w:lineRule="auto"/>
        <w:rPr>
          <w:rFonts w:ascii="宋体" w:hAnsi="宋体"/>
          <w:b/>
          <w:color w:val="auto"/>
          <w:sz w:val="24"/>
        </w:rPr>
      </w:pPr>
      <w:r>
        <w:rPr>
          <w:rFonts w:ascii="宋体" w:hAnsi="宋体"/>
          <w:b/>
          <w:color w:val="auto"/>
          <w:sz w:val="24"/>
        </w:rPr>
        <w:t>34</w:t>
      </w:r>
      <w:r>
        <w:rPr>
          <w:rFonts w:hint="eastAsia" w:ascii="宋体" w:hAnsi="宋体"/>
          <w:b/>
          <w:color w:val="auto"/>
          <w:sz w:val="24"/>
        </w:rPr>
        <w:t>.定标方式</w:t>
      </w:r>
    </w:p>
    <w:p w14:paraId="6FA914FC">
      <w:pPr>
        <w:spacing w:line="360" w:lineRule="auto"/>
        <w:ind w:firstLine="480" w:firstLineChars="200"/>
        <w:rPr>
          <w:rFonts w:ascii="宋体" w:hAnsi="宋体"/>
          <w:color w:val="auto"/>
          <w:sz w:val="24"/>
        </w:rPr>
      </w:pPr>
      <w:r>
        <w:rPr>
          <w:rFonts w:hint="eastAsia" w:ascii="宋体" w:hAnsi="宋体"/>
          <w:color w:val="auto"/>
          <w:sz w:val="24"/>
        </w:rPr>
        <w:t>采购人依据谈判小组评审的中标排序结果确定成交供应商。</w:t>
      </w:r>
    </w:p>
    <w:p w14:paraId="459058B6">
      <w:pPr>
        <w:spacing w:line="360" w:lineRule="auto"/>
        <w:rPr>
          <w:rFonts w:ascii="宋体" w:hAnsi="宋体"/>
          <w:b/>
          <w:color w:val="auto"/>
          <w:sz w:val="24"/>
        </w:rPr>
      </w:pPr>
      <w:r>
        <w:rPr>
          <w:rFonts w:hint="eastAsia" w:ascii="宋体" w:hAnsi="宋体"/>
          <w:b/>
          <w:color w:val="auto"/>
          <w:sz w:val="24"/>
        </w:rPr>
        <w:t>3</w:t>
      </w:r>
      <w:r>
        <w:rPr>
          <w:rFonts w:ascii="宋体" w:hAnsi="宋体"/>
          <w:b/>
          <w:color w:val="auto"/>
          <w:sz w:val="24"/>
        </w:rPr>
        <w:t>5.</w:t>
      </w:r>
      <w:r>
        <w:rPr>
          <w:rFonts w:hint="eastAsia" w:ascii="宋体" w:hAnsi="宋体"/>
          <w:b/>
          <w:color w:val="auto"/>
          <w:sz w:val="24"/>
        </w:rPr>
        <w:t>成交通知</w:t>
      </w:r>
    </w:p>
    <w:p w14:paraId="28DDC4D8">
      <w:pPr>
        <w:spacing w:line="360" w:lineRule="auto"/>
        <w:rPr>
          <w:rFonts w:ascii="宋体" w:hAnsi="宋体"/>
          <w:color w:val="auto"/>
          <w:sz w:val="24"/>
        </w:rPr>
      </w:pPr>
      <w:r>
        <w:rPr>
          <w:rFonts w:hint="eastAsia" w:ascii="宋体" w:hAnsi="宋体"/>
          <w:color w:val="auto"/>
          <w:sz w:val="24"/>
        </w:rPr>
        <w:t>3</w:t>
      </w:r>
      <w:r>
        <w:rPr>
          <w:rFonts w:ascii="宋体" w:hAnsi="宋体"/>
          <w:color w:val="auto"/>
          <w:sz w:val="24"/>
        </w:rPr>
        <w:t>5</w:t>
      </w:r>
      <w:r>
        <w:rPr>
          <w:rFonts w:hint="eastAsia" w:ascii="宋体" w:hAnsi="宋体"/>
          <w:color w:val="auto"/>
          <w:sz w:val="24"/>
        </w:rPr>
        <w:t>.1</w:t>
      </w:r>
      <w:r>
        <w:rPr>
          <w:rFonts w:hint="eastAsia" w:ascii="宋体" w:hAnsi="宋体"/>
          <w:color w:val="auto"/>
          <w:sz w:val="24"/>
          <w:lang w:eastAsia="zh-CN"/>
        </w:rPr>
        <w:t>采购代理机构</w:t>
      </w:r>
      <w:r>
        <w:rPr>
          <w:rFonts w:ascii="宋体" w:hAnsi="宋体"/>
          <w:color w:val="auto"/>
          <w:sz w:val="24"/>
        </w:rPr>
        <w:t>将在采购人确定</w:t>
      </w:r>
      <w:r>
        <w:rPr>
          <w:rFonts w:hint="eastAsia" w:ascii="宋体" w:hAnsi="宋体"/>
          <w:color w:val="auto"/>
          <w:sz w:val="24"/>
        </w:rPr>
        <w:t>成交</w:t>
      </w:r>
      <w:r>
        <w:rPr>
          <w:rFonts w:ascii="宋体" w:hAnsi="宋体"/>
          <w:color w:val="auto"/>
          <w:sz w:val="24"/>
        </w:rPr>
        <w:t>供应商</w:t>
      </w:r>
      <w:r>
        <w:rPr>
          <w:rFonts w:hint="eastAsia" w:ascii="宋体" w:hAnsi="宋体"/>
          <w:color w:val="auto"/>
          <w:sz w:val="24"/>
        </w:rPr>
        <w:t>之日</w:t>
      </w:r>
      <w:r>
        <w:rPr>
          <w:rFonts w:ascii="宋体" w:hAnsi="宋体"/>
          <w:color w:val="auto"/>
          <w:sz w:val="24"/>
        </w:rPr>
        <w:t>起</w:t>
      </w:r>
      <w:r>
        <w:rPr>
          <w:rFonts w:hint="eastAsia" w:ascii="宋体" w:hAnsi="宋体"/>
          <w:color w:val="auto"/>
          <w:sz w:val="24"/>
        </w:rPr>
        <w:t>2个</w:t>
      </w:r>
      <w:r>
        <w:rPr>
          <w:rFonts w:ascii="宋体" w:hAnsi="宋体"/>
          <w:color w:val="auto"/>
          <w:sz w:val="24"/>
        </w:rPr>
        <w:t>工作日内，</w:t>
      </w:r>
      <w:r>
        <w:rPr>
          <w:rFonts w:hint="eastAsia" w:ascii="宋体" w:hAnsi="宋体"/>
          <w:color w:val="auto"/>
          <w:sz w:val="24"/>
        </w:rPr>
        <w:t>发布成交公告，</w:t>
      </w:r>
      <w:r>
        <w:rPr>
          <w:rFonts w:ascii="宋体" w:hAnsi="宋体"/>
          <w:color w:val="auto"/>
          <w:sz w:val="24"/>
        </w:rPr>
        <w:t>并发出成交通知书。</w:t>
      </w:r>
    </w:p>
    <w:p w14:paraId="4F197DFB">
      <w:pPr>
        <w:spacing w:line="360" w:lineRule="auto"/>
        <w:rPr>
          <w:rFonts w:ascii="宋体" w:hAnsi="宋体"/>
          <w:color w:val="auto"/>
          <w:sz w:val="24"/>
        </w:rPr>
      </w:pPr>
      <w:r>
        <w:rPr>
          <w:rFonts w:hint="eastAsia" w:ascii="宋体" w:hAnsi="宋体"/>
          <w:color w:val="auto"/>
          <w:sz w:val="24"/>
        </w:rPr>
        <w:t>3</w:t>
      </w:r>
      <w:r>
        <w:rPr>
          <w:rFonts w:ascii="宋体" w:hAnsi="宋体"/>
          <w:color w:val="auto"/>
          <w:sz w:val="24"/>
        </w:rPr>
        <w:t>5</w:t>
      </w:r>
      <w:r>
        <w:rPr>
          <w:rFonts w:hint="eastAsia" w:ascii="宋体" w:hAnsi="宋体"/>
          <w:color w:val="auto"/>
          <w:sz w:val="24"/>
        </w:rPr>
        <w:t>.2在按照本须知第</w:t>
      </w:r>
      <w:r>
        <w:rPr>
          <w:rFonts w:ascii="宋体" w:hAnsi="宋体"/>
          <w:color w:val="auto"/>
          <w:sz w:val="24"/>
        </w:rPr>
        <w:t>36</w:t>
      </w:r>
      <w:r>
        <w:rPr>
          <w:rFonts w:hint="eastAsia" w:ascii="宋体" w:hAnsi="宋体"/>
          <w:color w:val="auto"/>
          <w:sz w:val="24"/>
        </w:rPr>
        <w:t>条签署了合同后，该成交通知书将成为合同的一部分。</w:t>
      </w:r>
    </w:p>
    <w:p w14:paraId="2BA8F1B9">
      <w:pPr>
        <w:autoSpaceDE w:val="0"/>
        <w:autoSpaceDN w:val="0"/>
        <w:adjustRightInd w:val="0"/>
        <w:spacing w:line="360" w:lineRule="auto"/>
        <w:ind w:left="-2"/>
        <w:rPr>
          <w:rFonts w:ascii="宋体" w:hAnsi="宋体"/>
          <w:color w:val="auto"/>
          <w:sz w:val="24"/>
        </w:rPr>
      </w:pPr>
      <w:r>
        <w:rPr>
          <w:rFonts w:ascii="宋体" w:hAnsi="宋体"/>
          <w:b/>
          <w:color w:val="auto"/>
          <w:sz w:val="24"/>
        </w:rPr>
        <w:t>3</w:t>
      </w:r>
      <w:r>
        <w:rPr>
          <w:rFonts w:hint="eastAsia" w:ascii="宋体" w:hAnsi="宋体"/>
          <w:b/>
          <w:color w:val="auto"/>
          <w:sz w:val="24"/>
        </w:rPr>
        <w:t>6.合同的签署</w:t>
      </w:r>
    </w:p>
    <w:p w14:paraId="4BF6909B">
      <w:pPr>
        <w:spacing w:line="360" w:lineRule="auto"/>
        <w:rPr>
          <w:rFonts w:ascii="宋体" w:hAnsi="宋体"/>
          <w:b/>
          <w:color w:val="auto"/>
          <w:sz w:val="24"/>
        </w:rPr>
      </w:pPr>
      <w:r>
        <w:rPr>
          <w:rFonts w:hint="eastAsia" w:ascii="宋体" w:hAnsi="宋体"/>
          <w:b/>
          <w:color w:val="auto"/>
          <w:sz w:val="24"/>
        </w:rPr>
        <w:t>36.1成交供应商需在领取成交通知书后</w:t>
      </w:r>
      <w:r>
        <w:rPr>
          <w:rFonts w:ascii="宋体" w:hAnsi="宋体"/>
          <w:b/>
          <w:color w:val="auto"/>
          <w:sz w:val="24"/>
          <w:u w:val="single"/>
        </w:rPr>
        <w:t>30</w:t>
      </w:r>
      <w:r>
        <w:rPr>
          <w:rFonts w:hint="eastAsia" w:ascii="宋体" w:hAnsi="宋体"/>
          <w:b/>
          <w:color w:val="auto"/>
          <w:sz w:val="24"/>
          <w:u w:val="single"/>
        </w:rPr>
        <w:t>日</w:t>
      </w:r>
      <w:r>
        <w:rPr>
          <w:rFonts w:hint="eastAsia" w:ascii="宋体" w:hAnsi="宋体"/>
          <w:b/>
          <w:color w:val="auto"/>
          <w:sz w:val="24"/>
        </w:rPr>
        <w:t>内，与采购人签订政府采购合同。政府采购合同内容的确定应以谈判文件和谈判响应文件为基础，不得违背其实质性内容。合同一式两份，具同等法律效力。采购人、成交供应商各执一份。</w:t>
      </w:r>
    </w:p>
    <w:p w14:paraId="5DB8A321">
      <w:pPr>
        <w:spacing w:line="360" w:lineRule="auto"/>
        <w:rPr>
          <w:rFonts w:ascii="宋体" w:hAnsi="宋体"/>
          <w:b/>
          <w:color w:val="auto"/>
          <w:sz w:val="24"/>
        </w:rPr>
      </w:pPr>
      <w:r>
        <w:rPr>
          <w:rFonts w:hint="eastAsia" w:ascii="宋体" w:hAnsi="宋体"/>
          <w:b/>
          <w:color w:val="auto"/>
          <w:sz w:val="24"/>
        </w:rPr>
        <w:t>36.2采购人应当自政府采购合同签订之日起</w:t>
      </w:r>
      <w:r>
        <w:rPr>
          <w:rFonts w:hint="eastAsia" w:ascii="宋体" w:hAnsi="宋体"/>
          <w:b/>
          <w:color w:val="auto"/>
          <w:sz w:val="24"/>
          <w:u w:val="single"/>
        </w:rPr>
        <w:t>2个工作日</w:t>
      </w:r>
      <w:r>
        <w:rPr>
          <w:rFonts w:hint="eastAsia" w:ascii="宋体" w:hAnsi="宋体"/>
          <w:b/>
          <w:color w:val="auto"/>
          <w:sz w:val="24"/>
        </w:rPr>
        <w:t>内，将政府采购合同在财政部门指定的媒体上公告，但政府采购合同中涉及国家秘密、商业秘密的内容除外。</w:t>
      </w:r>
    </w:p>
    <w:p w14:paraId="3D235CF5">
      <w:pPr>
        <w:spacing w:line="360" w:lineRule="auto"/>
        <w:rPr>
          <w:rFonts w:ascii="宋体" w:hAnsi="宋体"/>
          <w:color w:val="auto"/>
          <w:sz w:val="24"/>
        </w:rPr>
      </w:pPr>
      <w:r>
        <w:rPr>
          <w:rFonts w:hint="eastAsia" w:ascii="宋体" w:hAnsi="宋体"/>
          <w:color w:val="auto"/>
          <w:sz w:val="24"/>
        </w:rPr>
        <w:t>3</w:t>
      </w:r>
      <w:r>
        <w:rPr>
          <w:rFonts w:ascii="宋体" w:hAnsi="宋体"/>
          <w:color w:val="auto"/>
          <w:sz w:val="24"/>
        </w:rPr>
        <w:t>7</w:t>
      </w:r>
      <w:r>
        <w:rPr>
          <w:rFonts w:hint="eastAsia" w:ascii="宋体" w:hAnsi="宋体"/>
          <w:color w:val="auto"/>
          <w:sz w:val="24"/>
        </w:rPr>
        <w:t>.3成交供应商无正当理由拒签合同的，采购人取消其中标资格，给采购人造成损失的，成交供应商还应当予以赔偿。</w:t>
      </w:r>
    </w:p>
    <w:p w14:paraId="382E90A7">
      <w:pPr>
        <w:spacing w:line="360" w:lineRule="auto"/>
        <w:rPr>
          <w:rFonts w:ascii="宋体" w:hAnsi="宋体"/>
          <w:color w:val="auto"/>
          <w:sz w:val="24"/>
        </w:rPr>
      </w:pPr>
      <w:r>
        <w:rPr>
          <w:rFonts w:hint="eastAsia" w:ascii="宋体" w:hAnsi="宋体"/>
          <w:color w:val="auto"/>
          <w:sz w:val="24"/>
        </w:rPr>
        <w:t>3</w:t>
      </w:r>
      <w:r>
        <w:rPr>
          <w:rFonts w:ascii="宋体" w:hAnsi="宋体"/>
          <w:color w:val="auto"/>
          <w:sz w:val="24"/>
        </w:rPr>
        <w:t>7</w:t>
      </w:r>
      <w:r>
        <w:rPr>
          <w:rFonts w:hint="eastAsia" w:ascii="宋体" w:hAnsi="宋体"/>
          <w:color w:val="auto"/>
          <w:sz w:val="24"/>
        </w:rPr>
        <w:t>.4发出成交通知书后，采购人无正当理由拒签合同给成交供应商造成损失的，还应当赔偿损失。</w:t>
      </w:r>
    </w:p>
    <w:p w14:paraId="51603BBB">
      <w:pPr>
        <w:spacing w:line="360" w:lineRule="auto"/>
        <w:rPr>
          <w:rFonts w:ascii="宋体" w:hAnsi="宋体"/>
          <w:bCs/>
          <w:color w:val="auto"/>
          <w:sz w:val="24"/>
        </w:rPr>
      </w:pPr>
      <w:r>
        <w:rPr>
          <w:rFonts w:hint="eastAsia" w:ascii="宋体" w:hAnsi="宋体"/>
          <w:bCs/>
          <w:color w:val="auto"/>
          <w:sz w:val="24"/>
        </w:rPr>
        <w:t>3</w:t>
      </w:r>
      <w:r>
        <w:rPr>
          <w:rFonts w:ascii="宋体" w:hAnsi="宋体"/>
          <w:bCs/>
          <w:color w:val="auto"/>
          <w:sz w:val="24"/>
        </w:rPr>
        <w:t>7</w:t>
      </w:r>
      <w:r>
        <w:rPr>
          <w:rFonts w:hint="eastAsia" w:ascii="宋体" w:hAnsi="宋体"/>
          <w:bCs/>
          <w:color w:val="auto"/>
          <w:sz w:val="24"/>
        </w:rPr>
        <w:t>.5本项目严禁转包，一经发现立即清除，采购人将有充分理由废除授标，成交供应商应承担由此造成的一切经济损失。</w:t>
      </w:r>
    </w:p>
    <w:p w14:paraId="4958EE5E">
      <w:pPr>
        <w:pStyle w:val="20"/>
        <w:spacing w:line="360" w:lineRule="auto"/>
        <w:jc w:val="center"/>
        <w:outlineLvl w:val="1"/>
        <w:rPr>
          <w:rFonts w:ascii="宋体" w:hAnsi="宋体" w:eastAsia="宋体" w:cs="仿宋_GB2312"/>
          <w:b/>
          <w:color w:val="auto"/>
          <w:kern w:val="0"/>
          <w:sz w:val="30"/>
          <w:szCs w:val="30"/>
          <w:lang w:val="zh-CN"/>
        </w:rPr>
      </w:pPr>
      <w:bookmarkStart w:id="22" w:name="_Toc103723525"/>
      <w:bookmarkStart w:id="23" w:name="_Toc874"/>
      <w:r>
        <w:rPr>
          <w:rFonts w:hint="eastAsia" w:ascii="宋体" w:hAnsi="宋体" w:eastAsia="宋体" w:cs="仿宋_GB2312"/>
          <w:b/>
          <w:color w:val="auto"/>
          <w:kern w:val="0"/>
          <w:sz w:val="30"/>
          <w:szCs w:val="30"/>
          <w:lang w:val="zh-CN"/>
        </w:rPr>
        <w:t>九、重新</w:t>
      </w:r>
      <w:bookmarkEnd w:id="22"/>
      <w:r>
        <w:rPr>
          <w:rFonts w:hint="eastAsia" w:ascii="宋体" w:hAnsi="宋体" w:eastAsia="宋体" w:cs="仿宋_GB2312"/>
          <w:b/>
          <w:color w:val="auto"/>
          <w:kern w:val="0"/>
          <w:sz w:val="30"/>
          <w:szCs w:val="30"/>
          <w:lang w:val="zh-CN"/>
        </w:rPr>
        <w:t>采购</w:t>
      </w:r>
      <w:bookmarkEnd w:id="23"/>
    </w:p>
    <w:p w14:paraId="15254AA8">
      <w:pPr>
        <w:pStyle w:val="20"/>
        <w:spacing w:line="360" w:lineRule="auto"/>
        <w:rPr>
          <w:rFonts w:ascii="宋体" w:hAnsi="宋体" w:eastAsia="宋体" w:cs="仿宋_GB2312"/>
          <w:b/>
          <w:color w:val="auto"/>
          <w:kern w:val="0"/>
          <w:sz w:val="24"/>
          <w:lang w:val="zh-CN"/>
        </w:rPr>
      </w:pPr>
      <w:r>
        <w:rPr>
          <w:rFonts w:hint="eastAsia" w:ascii="宋体" w:hAnsi="宋体" w:eastAsia="宋体" w:cs="仿宋_GB2312"/>
          <w:b/>
          <w:color w:val="auto"/>
          <w:kern w:val="0"/>
          <w:sz w:val="24"/>
          <w:lang w:val="zh-CN"/>
        </w:rPr>
        <w:t>3</w:t>
      </w:r>
      <w:r>
        <w:rPr>
          <w:rFonts w:ascii="宋体" w:hAnsi="宋体" w:eastAsia="宋体" w:cs="仿宋_GB2312"/>
          <w:b/>
          <w:color w:val="auto"/>
          <w:kern w:val="0"/>
          <w:sz w:val="24"/>
          <w:lang w:val="zh-CN"/>
        </w:rPr>
        <w:t>8.</w:t>
      </w:r>
      <w:r>
        <w:rPr>
          <w:rFonts w:hint="eastAsia" w:ascii="宋体" w:hAnsi="宋体" w:eastAsia="宋体" w:cs="仿宋_GB2312"/>
          <w:b/>
          <w:color w:val="auto"/>
          <w:kern w:val="0"/>
          <w:sz w:val="24"/>
          <w:lang w:val="zh-CN"/>
        </w:rPr>
        <w:t>重新采购</w:t>
      </w:r>
    </w:p>
    <w:p w14:paraId="3D950D24">
      <w:pPr>
        <w:pStyle w:val="20"/>
        <w:spacing w:line="360" w:lineRule="auto"/>
        <w:rPr>
          <w:rFonts w:ascii="宋体" w:hAnsi="宋体" w:eastAsia="宋体" w:cs="仿宋_GB2312"/>
          <w:color w:val="auto"/>
          <w:kern w:val="0"/>
          <w:sz w:val="24"/>
          <w:lang w:val="zh-CN"/>
        </w:rPr>
      </w:pPr>
      <w:r>
        <w:rPr>
          <w:rFonts w:hint="eastAsia" w:ascii="宋体" w:hAnsi="宋体" w:eastAsia="宋体" w:cs="仿宋_GB2312"/>
          <w:color w:val="auto"/>
          <w:kern w:val="0"/>
          <w:sz w:val="24"/>
          <w:lang w:val="zh-CN"/>
        </w:rPr>
        <w:t>3</w:t>
      </w:r>
      <w:r>
        <w:rPr>
          <w:rFonts w:ascii="宋体" w:hAnsi="宋体" w:eastAsia="宋体" w:cs="仿宋_GB2312"/>
          <w:color w:val="auto"/>
          <w:kern w:val="0"/>
          <w:sz w:val="24"/>
          <w:lang w:val="zh-CN"/>
        </w:rPr>
        <w:t>8</w:t>
      </w:r>
      <w:r>
        <w:rPr>
          <w:rFonts w:hint="eastAsia" w:ascii="宋体" w:hAnsi="宋体" w:eastAsia="宋体" w:cs="仿宋_GB2312"/>
          <w:color w:val="auto"/>
          <w:kern w:val="0"/>
          <w:sz w:val="24"/>
          <w:lang w:val="zh-CN"/>
        </w:rPr>
        <w:t>.1在谈判采购中，出现下列情形之一的，招标失败：</w:t>
      </w:r>
    </w:p>
    <w:p w14:paraId="6AF62501">
      <w:pPr>
        <w:pStyle w:val="20"/>
        <w:spacing w:line="360" w:lineRule="auto"/>
        <w:rPr>
          <w:rFonts w:ascii="宋体" w:hAnsi="宋体" w:eastAsia="宋体" w:cs="仿宋_GB2312"/>
          <w:color w:val="auto"/>
          <w:kern w:val="0"/>
          <w:sz w:val="24"/>
          <w:lang w:val="zh-CN"/>
        </w:rPr>
      </w:pPr>
      <w:r>
        <w:rPr>
          <w:rFonts w:hint="eastAsia" w:ascii="宋体" w:hAnsi="宋体" w:eastAsia="宋体" w:cs="仿宋_GB2312"/>
          <w:color w:val="auto"/>
          <w:kern w:val="0"/>
          <w:sz w:val="24"/>
          <w:lang w:val="zh-CN"/>
        </w:rPr>
        <w:t>3</w:t>
      </w:r>
      <w:r>
        <w:rPr>
          <w:rFonts w:ascii="宋体" w:hAnsi="宋体" w:eastAsia="宋体" w:cs="仿宋_GB2312"/>
          <w:color w:val="auto"/>
          <w:kern w:val="0"/>
          <w:sz w:val="24"/>
          <w:lang w:val="zh-CN"/>
        </w:rPr>
        <w:t>8</w:t>
      </w:r>
      <w:r>
        <w:rPr>
          <w:rFonts w:hint="eastAsia" w:ascii="宋体" w:hAnsi="宋体" w:eastAsia="宋体" w:cs="仿宋_GB2312"/>
          <w:color w:val="auto"/>
          <w:kern w:val="0"/>
          <w:sz w:val="24"/>
          <w:lang w:val="zh-CN"/>
        </w:rPr>
        <w:t>.1.1符合条件的供应商或都对谈判文件作实质响应的供应商不足三家；</w:t>
      </w:r>
    </w:p>
    <w:p w14:paraId="46173820">
      <w:pPr>
        <w:pStyle w:val="20"/>
        <w:spacing w:line="360" w:lineRule="auto"/>
        <w:rPr>
          <w:rFonts w:ascii="宋体" w:hAnsi="宋体" w:eastAsia="宋体" w:cs="仿宋_GB2312"/>
          <w:color w:val="auto"/>
          <w:kern w:val="0"/>
          <w:sz w:val="24"/>
          <w:lang w:val="zh-CN"/>
        </w:rPr>
      </w:pPr>
      <w:r>
        <w:rPr>
          <w:rFonts w:hint="eastAsia" w:ascii="宋体" w:hAnsi="宋体" w:eastAsia="宋体" w:cs="仿宋_GB2312"/>
          <w:color w:val="auto"/>
          <w:kern w:val="0"/>
          <w:sz w:val="24"/>
          <w:lang w:val="zh-CN"/>
        </w:rPr>
        <w:t>3</w:t>
      </w:r>
      <w:r>
        <w:rPr>
          <w:rFonts w:ascii="宋体" w:hAnsi="宋体" w:eastAsia="宋体" w:cs="仿宋_GB2312"/>
          <w:color w:val="auto"/>
          <w:kern w:val="0"/>
          <w:sz w:val="24"/>
          <w:lang w:val="zh-CN"/>
        </w:rPr>
        <w:t>8</w:t>
      </w:r>
      <w:r>
        <w:rPr>
          <w:rFonts w:hint="eastAsia" w:ascii="宋体" w:hAnsi="宋体" w:eastAsia="宋体" w:cs="仿宋_GB2312"/>
          <w:color w:val="auto"/>
          <w:kern w:val="0"/>
          <w:sz w:val="24"/>
          <w:lang w:val="zh-CN"/>
        </w:rPr>
        <w:t>.1.2出现影响采购公正的违法、违规行为的；</w:t>
      </w:r>
    </w:p>
    <w:p w14:paraId="157DF9E6">
      <w:pPr>
        <w:pStyle w:val="20"/>
        <w:spacing w:line="360" w:lineRule="auto"/>
        <w:rPr>
          <w:rFonts w:ascii="宋体" w:hAnsi="宋体" w:eastAsia="宋体" w:cs="仿宋_GB2312"/>
          <w:color w:val="auto"/>
          <w:kern w:val="0"/>
          <w:sz w:val="24"/>
          <w:lang w:val="zh-CN"/>
        </w:rPr>
      </w:pPr>
      <w:r>
        <w:rPr>
          <w:rFonts w:hint="eastAsia" w:ascii="宋体" w:hAnsi="宋体" w:eastAsia="宋体" w:cs="仿宋_GB2312"/>
          <w:color w:val="auto"/>
          <w:kern w:val="0"/>
          <w:sz w:val="24"/>
          <w:lang w:val="zh-CN"/>
        </w:rPr>
        <w:t>3</w:t>
      </w:r>
      <w:r>
        <w:rPr>
          <w:rFonts w:ascii="宋体" w:hAnsi="宋体" w:eastAsia="宋体" w:cs="仿宋_GB2312"/>
          <w:color w:val="auto"/>
          <w:kern w:val="0"/>
          <w:sz w:val="24"/>
          <w:lang w:val="zh-CN"/>
        </w:rPr>
        <w:t>8</w:t>
      </w:r>
      <w:r>
        <w:rPr>
          <w:rFonts w:hint="eastAsia" w:ascii="宋体" w:hAnsi="宋体" w:eastAsia="宋体" w:cs="仿宋_GB2312"/>
          <w:color w:val="auto"/>
          <w:kern w:val="0"/>
          <w:sz w:val="24"/>
          <w:lang w:val="zh-CN"/>
        </w:rPr>
        <w:t>.1.3响应谈判供应商的报价均超过了采购预算，采购人不能支付的；</w:t>
      </w:r>
    </w:p>
    <w:p w14:paraId="71BA9043">
      <w:pPr>
        <w:pStyle w:val="20"/>
        <w:spacing w:line="360" w:lineRule="auto"/>
        <w:rPr>
          <w:rFonts w:ascii="宋体" w:hAnsi="宋体" w:eastAsia="宋体" w:cs="仿宋_GB2312"/>
          <w:color w:val="auto"/>
          <w:kern w:val="0"/>
          <w:sz w:val="24"/>
          <w:lang w:val="zh-CN"/>
        </w:rPr>
      </w:pPr>
      <w:r>
        <w:rPr>
          <w:rFonts w:hint="eastAsia" w:ascii="宋体" w:hAnsi="宋体" w:eastAsia="宋体" w:cs="仿宋_GB2312"/>
          <w:color w:val="auto"/>
          <w:kern w:val="0"/>
          <w:sz w:val="24"/>
          <w:lang w:val="zh-CN"/>
        </w:rPr>
        <w:t>3</w:t>
      </w:r>
      <w:r>
        <w:rPr>
          <w:rFonts w:ascii="宋体" w:hAnsi="宋体" w:eastAsia="宋体" w:cs="仿宋_GB2312"/>
          <w:color w:val="auto"/>
          <w:kern w:val="0"/>
          <w:sz w:val="24"/>
          <w:lang w:val="zh-CN"/>
        </w:rPr>
        <w:t>8</w:t>
      </w:r>
      <w:r>
        <w:rPr>
          <w:rFonts w:hint="eastAsia" w:ascii="宋体" w:hAnsi="宋体" w:eastAsia="宋体" w:cs="仿宋_GB2312"/>
          <w:color w:val="auto"/>
          <w:kern w:val="0"/>
          <w:sz w:val="24"/>
          <w:lang w:val="zh-CN"/>
        </w:rPr>
        <w:t>.1.4因重大变故，采购任务取消的。</w:t>
      </w:r>
    </w:p>
    <w:p w14:paraId="4DB6A3D8">
      <w:pPr>
        <w:pStyle w:val="20"/>
        <w:spacing w:line="360" w:lineRule="auto"/>
        <w:rPr>
          <w:rFonts w:ascii="宋体" w:hAnsi="宋体" w:eastAsia="宋体" w:cs="仿宋_GB2312"/>
          <w:color w:val="auto"/>
          <w:kern w:val="0"/>
          <w:sz w:val="24"/>
          <w:lang w:val="zh-CN"/>
        </w:rPr>
      </w:pPr>
      <w:r>
        <w:rPr>
          <w:rFonts w:hint="eastAsia" w:ascii="宋体" w:hAnsi="宋体" w:eastAsia="宋体" w:cs="仿宋_GB2312"/>
          <w:color w:val="auto"/>
          <w:kern w:val="0"/>
          <w:sz w:val="24"/>
          <w:lang w:val="zh-CN"/>
        </w:rPr>
        <w:t>3</w:t>
      </w:r>
      <w:r>
        <w:rPr>
          <w:rFonts w:ascii="宋体" w:hAnsi="宋体" w:eastAsia="宋体" w:cs="仿宋_GB2312"/>
          <w:color w:val="auto"/>
          <w:kern w:val="0"/>
          <w:sz w:val="24"/>
          <w:lang w:val="zh-CN"/>
        </w:rPr>
        <w:t>8</w:t>
      </w:r>
      <w:r>
        <w:rPr>
          <w:rFonts w:hint="eastAsia" w:ascii="宋体" w:hAnsi="宋体" w:eastAsia="宋体" w:cs="仿宋_GB2312"/>
          <w:color w:val="auto"/>
          <w:kern w:val="0"/>
          <w:sz w:val="24"/>
          <w:lang w:val="zh-CN"/>
        </w:rPr>
        <w:t>.2谈判失败后，除采购任务取消外，应当重新组织谈判；需要采取其他方式采购的，应由吉林省财政厅政府采购管理处重新下达任务单。</w:t>
      </w:r>
    </w:p>
    <w:p w14:paraId="10458592">
      <w:pPr>
        <w:pStyle w:val="20"/>
        <w:spacing w:line="360" w:lineRule="auto"/>
        <w:jc w:val="center"/>
        <w:outlineLvl w:val="1"/>
        <w:rPr>
          <w:rFonts w:ascii="宋体" w:hAnsi="宋体" w:eastAsia="宋体" w:cs="仿宋_GB2312"/>
          <w:b/>
          <w:color w:val="auto"/>
          <w:kern w:val="0"/>
          <w:sz w:val="30"/>
          <w:szCs w:val="30"/>
          <w:lang w:val="zh-CN"/>
        </w:rPr>
      </w:pPr>
      <w:bookmarkStart w:id="24" w:name="_Toc103723526"/>
      <w:bookmarkStart w:id="25" w:name="_Toc30836"/>
      <w:r>
        <w:rPr>
          <w:rFonts w:hint="eastAsia" w:ascii="宋体" w:hAnsi="宋体" w:eastAsia="宋体" w:cs="仿宋_GB2312"/>
          <w:b/>
          <w:color w:val="auto"/>
          <w:kern w:val="0"/>
          <w:sz w:val="30"/>
          <w:szCs w:val="30"/>
          <w:lang w:val="zh-CN"/>
        </w:rPr>
        <w:t>十、纪律和监督</w:t>
      </w:r>
      <w:bookmarkEnd w:id="24"/>
      <w:bookmarkEnd w:id="25"/>
    </w:p>
    <w:p w14:paraId="75F770FD">
      <w:pPr>
        <w:pStyle w:val="20"/>
        <w:spacing w:line="360" w:lineRule="auto"/>
        <w:rPr>
          <w:rFonts w:ascii="宋体" w:hAnsi="宋体" w:eastAsia="宋体" w:cs="仿宋_GB2312"/>
          <w:b/>
          <w:color w:val="auto"/>
          <w:kern w:val="0"/>
          <w:sz w:val="24"/>
          <w:lang w:val="zh-CN"/>
        </w:rPr>
      </w:pPr>
      <w:r>
        <w:rPr>
          <w:rFonts w:hint="eastAsia" w:ascii="宋体" w:hAnsi="宋体" w:eastAsia="宋体" w:cs="仿宋_GB2312"/>
          <w:b/>
          <w:color w:val="auto"/>
          <w:kern w:val="0"/>
          <w:sz w:val="24"/>
          <w:lang w:val="zh-CN"/>
        </w:rPr>
        <w:t>3</w:t>
      </w:r>
      <w:r>
        <w:rPr>
          <w:rFonts w:ascii="宋体" w:hAnsi="宋体" w:eastAsia="宋体" w:cs="仿宋_GB2312"/>
          <w:b/>
          <w:color w:val="auto"/>
          <w:kern w:val="0"/>
          <w:sz w:val="24"/>
          <w:lang w:val="zh-CN"/>
        </w:rPr>
        <w:t>9.</w:t>
      </w:r>
      <w:r>
        <w:rPr>
          <w:rFonts w:hint="eastAsia" w:ascii="宋体" w:hAnsi="宋体" w:eastAsia="宋体" w:cs="仿宋_GB2312"/>
          <w:b/>
          <w:color w:val="auto"/>
          <w:kern w:val="0"/>
          <w:sz w:val="24"/>
          <w:lang w:val="zh-CN"/>
        </w:rPr>
        <w:t>对采购人的纪律要求</w:t>
      </w:r>
    </w:p>
    <w:p w14:paraId="6AA0BB9C">
      <w:pPr>
        <w:pStyle w:val="20"/>
        <w:spacing w:line="360" w:lineRule="auto"/>
        <w:ind w:firstLine="480" w:firstLineChars="200"/>
        <w:rPr>
          <w:rFonts w:ascii="宋体" w:hAnsi="宋体" w:eastAsia="宋体" w:cs="仿宋_GB2312"/>
          <w:color w:val="auto"/>
          <w:kern w:val="0"/>
          <w:sz w:val="24"/>
          <w:lang w:val="zh-CN"/>
        </w:rPr>
      </w:pPr>
      <w:r>
        <w:rPr>
          <w:rFonts w:hint="eastAsia" w:ascii="宋体" w:hAnsi="宋体" w:eastAsia="宋体" w:cs="仿宋_GB2312"/>
          <w:color w:val="auto"/>
          <w:kern w:val="0"/>
          <w:sz w:val="24"/>
          <w:lang w:val="zh-CN"/>
        </w:rPr>
        <w:t>采购人不得泄漏招标投标活动中应当保密的情况和资料，不得与响应谈判供应商串通损害国家利益、社会公共利益或者他人合法权益。</w:t>
      </w:r>
    </w:p>
    <w:p w14:paraId="1C033E48">
      <w:pPr>
        <w:pStyle w:val="20"/>
        <w:spacing w:line="360" w:lineRule="auto"/>
        <w:rPr>
          <w:rFonts w:ascii="宋体" w:hAnsi="宋体" w:eastAsia="宋体" w:cs="仿宋_GB2312"/>
          <w:b/>
          <w:color w:val="auto"/>
          <w:kern w:val="0"/>
          <w:sz w:val="24"/>
          <w:lang w:val="zh-CN"/>
        </w:rPr>
      </w:pPr>
      <w:r>
        <w:rPr>
          <w:rFonts w:ascii="宋体" w:hAnsi="宋体" w:eastAsia="宋体" w:cs="仿宋_GB2312"/>
          <w:b/>
          <w:color w:val="auto"/>
          <w:kern w:val="0"/>
          <w:sz w:val="24"/>
          <w:lang w:val="zh-CN"/>
        </w:rPr>
        <w:t>40.</w:t>
      </w:r>
      <w:r>
        <w:rPr>
          <w:rFonts w:hint="eastAsia" w:ascii="宋体" w:hAnsi="宋体" w:eastAsia="宋体" w:cs="仿宋_GB2312"/>
          <w:b/>
          <w:color w:val="auto"/>
          <w:kern w:val="0"/>
          <w:sz w:val="24"/>
          <w:lang w:val="zh-CN"/>
        </w:rPr>
        <w:t>对响应谈判供应商的纪律要求</w:t>
      </w:r>
    </w:p>
    <w:p w14:paraId="39665A74">
      <w:pPr>
        <w:pStyle w:val="20"/>
        <w:spacing w:line="360" w:lineRule="auto"/>
        <w:ind w:firstLine="480" w:firstLineChars="200"/>
        <w:rPr>
          <w:rFonts w:ascii="宋体" w:hAnsi="宋体" w:eastAsia="宋体" w:cs="仿宋_GB2312"/>
          <w:color w:val="auto"/>
          <w:kern w:val="0"/>
          <w:sz w:val="24"/>
          <w:lang w:val="zh-CN"/>
        </w:rPr>
      </w:pPr>
      <w:r>
        <w:rPr>
          <w:rFonts w:ascii="宋体" w:hAnsi="宋体" w:eastAsia="宋体" w:cs="仿宋_GB2312"/>
          <w:color w:val="auto"/>
          <w:kern w:val="0"/>
          <w:sz w:val="24"/>
          <w:lang w:val="zh-CN"/>
        </w:rPr>
        <w:t>40</w:t>
      </w:r>
      <w:r>
        <w:rPr>
          <w:rFonts w:hint="eastAsia" w:ascii="宋体" w:hAnsi="宋体" w:eastAsia="宋体" w:cs="仿宋_GB2312"/>
          <w:color w:val="auto"/>
          <w:kern w:val="0"/>
          <w:sz w:val="24"/>
          <w:lang w:val="zh-CN"/>
        </w:rPr>
        <w:t>.1响应谈判供应商不得相互串通或者与采购人串通投标，不得向采购人或都谈判小组行贿谋取中标，不得以他人名义投标或者其他方式弄虚作假骗取中标；响应谈判供应商不得以任何方式干扰、影响评审工作。</w:t>
      </w:r>
    </w:p>
    <w:p w14:paraId="44C768FC">
      <w:pPr>
        <w:pStyle w:val="20"/>
        <w:spacing w:line="360" w:lineRule="auto"/>
        <w:ind w:firstLine="482" w:firstLineChars="200"/>
        <w:rPr>
          <w:rFonts w:ascii="宋体" w:hAnsi="宋体" w:eastAsia="宋体" w:cs="仿宋_GB2312"/>
          <w:b/>
          <w:color w:val="auto"/>
          <w:kern w:val="0"/>
          <w:sz w:val="24"/>
          <w:lang w:val="zh-CN"/>
        </w:rPr>
      </w:pPr>
      <w:r>
        <w:rPr>
          <w:rFonts w:ascii="宋体" w:hAnsi="宋体" w:eastAsia="宋体" w:cs="仿宋_GB2312"/>
          <w:b/>
          <w:color w:val="auto"/>
          <w:kern w:val="0"/>
          <w:sz w:val="24"/>
          <w:lang w:val="zh-CN"/>
        </w:rPr>
        <w:t>40.2</w:t>
      </w:r>
      <w:r>
        <w:rPr>
          <w:rFonts w:hint="eastAsia" w:ascii="宋体" w:hAnsi="宋体" w:eastAsia="宋体" w:cs="仿宋_GB2312"/>
          <w:b/>
          <w:color w:val="auto"/>
          <w:kern w:val="0"/>
          <w:sz w:val="24"/>
          <w:lang w:val="zh-CN"/>
        </w:rPr>
        <w:t>响应谈判</w:t>
      </w:r>
      <w:r>
        <w:rPr>
          <w:rFonts w:ascii="宋体" w:hAnsi="宋体" w:eastAsia="宋体" w:cs="仿宋_GB2312"/>
          <w:b/>
          <w:color w:val="auto"/>
          <w:kern w:val="0"/>
          <w:sz w:val="24"/>
          <w:lang w:val="zh-CN"/>
        </w:rPr>
        <w:t>供应商应当遵循诚实信用原则，对资格条件承诺函有关内容的真实性、</w:t>
      </w:r>
      <w:r>
        <w:rPr>
          <w:rFonts w:hint="eastAsia" w:ascii="宋体" w:hAnsi="宋体" w:eastAsia="宋体" w:cs="仿宋_GB2312"/>
          <w:b/>
          <w:color w:val="auto"/>
          <w:kern w:val="0"/>
          <w:sz w:val="24"/>
          <w:lang w:val="zh-CN"/>
        </w:rPr>
        <w:t>有效性</w:t>
      </w:r>
      <w:r>
        <w:rPr>
          <w:rFonts w:ascii="宋体" w:hAnsi="宋体" w:eastAsia="宋体" w:cs="仿宋_GB2312"/>
          <w:b/>
          <w:color w:val="auto"/>
          <w:kern w:val="0"/>
          <w:sz w:val="24"/>
          <w:lang w:val="zh-CN"/>
        </w:rPr>
        <w:t>、合法性负责。如</w:t>
      </w:r>
      <w:r>
        <w:rPr>
          <w:rFonts w:hint="eastAsia" w:ascii="宋体" w:hAnsi="宋体" w:eastAsia="宋体" w:cs="仿宋_GB2312"/>
          <w:b/>
          <w:color w:val="auto"/>
          <w:kern w:val="0"/>
          <w:sz w:val="24"/>
          <w:lang w:val="zh-CN"/>
        </w:rPr>
        <w:t>发现</w:t>
      </w:r>
      <w:r>
        <w:rPr>
          <w:rFonts w:ascii="宋体" w:hAnsi="宋体" w:eastAsia="宋体" w:cs="仿宋_GB2312"/>
          <w:b/>
          <w:color w:val="auto"/>
          <w:kern w:val="0"/>
          <w:sz w:val="24"/>
          <w:lang w:val="zh-CN"/>
        </w:rPr>
        <w:t>承诺内容与事实情况不符，经调查核实为虚假承诺的，视同“</w:t>
      </w:r>
      <w:r>
        <w:rPr>
          <w:rFonts w:hint="eastAsia" w:ascii="宋体" w:hAnsi="宋体" w:eastAsia="宋体" w:cs="仿宋_GB2312"/>
          <w:b/>
          <w:color w:val="auto"/>
          <w:kern w:val="0"/>
          <w:sz w:val="24"/>
          <w:lang w:val="zh-CN"/>
        </w:rPr>
        <w:t>提供</w:t>
      </w:r>
      <w:r>
        <w:rPr>
          <w:rFonts w:ascii="宋体" w:hAnsi="宋体" w:eastAsia="宋体" w:cs="仿宋_GB2312"/>
          <w:b/>
          <w:color w:val="auto"/>
          <w:kern w:val="0"/>
          <w:sz w:val="24"/>
          <w:lang w:val="zh-CN"/>
        </w:rPr>
        <w:t>虚假材料谋取中标（</w:t>
      </w:r>
      <w:r>
        <w:rPr>
          <w:rFonts w:hint="eastAsia" w:ascii="宋体" w:hAnsi="宋体" w:eastAsia="宋体" w:cs="仿宋_GB2312"/>
          <w:b/>
          <w:color w:val="auto"/>
          <w:kern w:val="0"/>
          <w:sz w:val="24"/>
          <w:lang w:val="zh-CN"/>
        </w:rPr>
        <w:t>成交</w:t>
      </w:r>
      <w:r>
        <w:rPr>
          <w:rFonts w:ascii="宋体" w:hAnsi="宋体" w:eastAsia="宋体" w:cs="仿宋_GB2312"/>
          <w:b/>
          <w:color w:val="auto"/>
          <w:kern w:val="0"/>
          <w:sz w:val="24"/>
          <w:lang w:val="zh-CN"/>
        </w:rPr>
        <w:t>）”</w:t>
      </w:r>
      <w:r>
        <w:rPr>
          <w:rFonts w:hint="eastAsia" w:ascii="宋体" w:hAnsi="宋体" w:eastAsia="宋体" w:cs="仿宋_GB2312"/>
          <w:b/>
          <w:color w:val="auto"/>
          <w:kern w:val="0"/>
          <w:sz w:val="24"/>
          <w:lang w:val="zh-CN"/>
        </w:rPr>
        <w:t>，</w:t>
      </w:r>
      <w:r>
        <w:rPr>
          <w:rFonts w:ascii="宋体" w:hAnsi="宋体" w:eastAsia="宋体" w:cs="仿宋_GB2312"/>
          <w:b/>
          <w:color w:val="auto"/>
          <w:kern w:val="0"/>
          <w:sz w:val="24"/>
          <w:lang w:val="zh-CN"/>
        </w:rPr>
        <w:t>按照《</w:t>
      </w:r>
      <w:r>
        <w:rPr>
          <w:rFonts w:hint="eastAsia" w:ascii="宋体" w:hAnsi="宋体" w:eastAsia="宋体" w:cs="仿宋_GB2312"/>
          <w:b/>
          <w:color w:val="auto"/>
          <w:kern w:val="0"/>
          <w:sz w:val="24"/>
          <w:lang w:val="zh-CN"/>
        </w:rPr>
        <w:t>中华人民共和国</w:t>
      </w:r>
      <w:r>
        <w:rPr>
          <w:rFonts w:ascii="宋体" w:hAnsi="宋体" w:eastAsia="宋体" w:cs="仿宋_GB2312"/>
          <w:b/>
          <w:color w:val="auto"/>
          <w:kern w:val="0"/>
          <w:sz w:val="24"/>
          <w:lang w:val="zh-CN"/>
        </w:rPr>
        <w:t>政府采购法》</w:t>
      </w:r>
      <w:r>
        <w:rPr>
          <w:rFonts w:hint="eastAsia" w:ascii="宋体" w:hAnsi="宋体" w:eastAsia="宋体" w:cs="仿宋_GB2312"/>
          <w:b/>
          <w:color w:val="auto"/>
          <w:kern w:val="0"/>
          <w:sz w:val="24"/>
          <w:lang w:val="zh-CN"/>
        </w:rPr>
        <w:t>第</w:t>
      </w:r>
      <w:r>
        <w:rPr>
          <w:rFonts w:ascii="宋体" w:hAnsi="宋体" w:eastAsia="宋体" w:cs="仿宋_GB2312"/>
          <w:b/>
          <w:color w:val="auto"/>
          <w:kern w:val="0"/>
          <w:sz w:val="24"/>
          <w:lang w:val="zh-CN"/>
        </w:rPr>
        <w:t>七十七条的有关规定进行处理处罚。</w:t>
      </w:r>
    </w:p>
    <w:p w14:paraId="3C3567F6">
      <w:pPr>
        <w:pStyle w:val="20"/>
        <w:spacing w:line="360" w:lineRule="auto"/>
        <w:rPr>
          <w:rFonts w:ascii="宋体" w:hAnsi="宋体" w:eastAsia="宋体" w:cs="仿宋_GB2312"/>
          <w:b/>
          <w:color w:val="auto"/>
          <w:kern w:val="0"/>
          <w:sz w:val="24"/>
          <w:lang w:val="zh-CN"/>
        </w:rPr>
      </w:pPr>
      <w:r>
        <w:rPr>
          <w:rFonts w:hint="eastAsia" w:ascii="宋体" w:hAnsi="宋体" w:eastAsia="宋体" w:cs="仿宋_GB2312"/>
          <w:b/>
          <w:color w:val="auto"/>
          <w:kern w:val="0"/>
          <w:sz w:val="24"/>
          <w:lang w:val="zh-CN"/>
        </w:rPr>
        <w:t>4</w:t>
      </w:r>
      <w:r>
        <w:rPr>
          <w:rFonts w:ascii="宋体" w:hAnsi="宋体" w:eastAsia="宋体" w:cs="仿宋_GB2312"/>
          <w:b/>
          <w:color w:val="auto"/>
          <w:kern w:val="0"/>
          <w:sz w:val="24"/>
          <w:lang w:val="zh-CN"/>
        </w:rPr>
        <w:t>1.</w:t>
      </w:r>
      <w:r>
        <w:rPr>
          <w:rFonts w:hint="eastAsia" w:ascii="宋体" w:hAnsi="宋体" w:eastAsia="宋体" w:cs="仿宋_GB2312"/>
          <w:b/>
          <w:color w:val="auto"/>
          <w:kern w:val="0"/>
          <w:sz w:val="24"/>
          <w:lang w:val="zh-CN"/>
        </w:rPr>
        <w:t>对评审委会员的纪律要求</w:t>
      </w:r>
    </w:p>
    <w:p w14:paraId="097513BC">
      <w:pPr>
        <w:pStyle w:val="20"/>
        <w:spacing w:line="360" w:lineRule="auto"/>
        <w:ind w:firstLine="480" w:firstLineChars="200"/>
        <w:rPr>
          <w:rFonts w:ascii="宋体" w:hAnsi="宋体" w:eastAsia="宋体" w:cs="仿宋_GB2312"/>
          <w:color w:val="auto"/>
          <w:kern w:val="0"/>
          <w:sz w:val="24"/>
          <w:lang w:val="zh-CN"/>
        </w:rPr>
      </w:pPr>
      <w:r>
        <w:rPr>
          <w:rFonts w:hint="eastAsia" w:ascii="宋体" w:hAnsi="宋体" w:eastAsia="宋体" w:cs="仿宋_GB2312"/>
          <w:color w:val="auto"/>
          <w:kern w:val="0"/>
          <w:sz w:val="24"/>
          <w:lang w:val="zh-CN"/>
        </w:rPr>
        <w:t>谈判小组不得收受他人的财物或者其他好处，不得向他们透漏对谈判响应文件的评审和比较、中标候选人的推荐情况以及评审的其他情况。在评审活动中，谈判小组成员不得擅离职守，影响评审程序正常进行，不得使用第四章“评审办法”没有规定的评审因素和标准进行评审。</w:t>
      </w:r>
    </w:p>
    <w:p w14:paraId="2BFB3182">
      <w:pPr>
        <w:pStyle w:val="20"/>
        <w:spacing w:line="360" w:lineRule="auto"/>
        <w:rPr>
          <w:rFonts w:ascii="宋体" w:hAnsi="宋体" w:eastAsia="宋体" w:cs="仿宋_GB2312"/>
          <w:b/>
          <w:color w:val="auto"/>
          <w:kern w:val="0"/>
          <w:sz w:val="24"/>
          <w:lang w:val="zh-CN"/>
        </w:rPr>
      </w:pPr>
      <w:r>
        <w:rPr>
          <w:rFonts w:hint="eastAsia" w:ascii="宋体" w:hAnsi="宋体" w:eastAsia="宋体" w:cs="仿宋_GB2312"/>
          <w:b/>
          <w:color w:val="auto"/>
          <w:kern w:val="0"/>
          <w:sz w:val="24"/>
          <w:lang w:val="zh-CN"/>
        </w:rPr>
        <w:t>4</w:t>
      </w:r>
      <w:r>
        <w:rPr>
          <w:rFonts w:ascii="宋体" w:hAnsi="宋体" w:eastAsia="宋体" w:cs="仿宋_GB2312"/>
          <w:b/>
          <w:color w:val="auto"/>
          <w:kern w:val="0"/>
          <w:sz w:val="24"/>
          <w:lang w:val="zh-CN"/>
        </w:rPr>
        <w:t>2.</w:t>
      </w:r>
      <w:r>
        <w:rPr>
          <w:rFonts w:hint="eastAsia" w:ascii="宋体" w:hAnsi="宋体" w:eastAsia="宋体" w:cs="仿宋_GB2312"/>
          <w:b/>
          <w:color w:val="auto"/>
          <w:kern w:val="0"/>
          <w:sz w:val="24"/>
          <w:lang w:val="zh-CN"/>
        </w:rPr>
        <w:t>对与评审活动有关的工作人员的纪律要求</w:t>
      </w:r>
    </w:p>
    <w:p w14:paraId="3EC8C69E">
      <w:pPr>
        <w:pStyle w:val="20"/>
        <w:spacing w:line="360" w:lineRule="auto"/>
        <w:ind w:firstLine="480" w:firstLineChars="200"/>
        <w:rPr>
          <w:rFonts w:ascii="宋体" w:hAnsi="宋体" w:eastAsia="宋体" w:cs="仿宋_GB2312"/>
          <w:color w:val="auto"/>
          <w:kern w:val="0"/>
          <w:sz w:val="24"/>
          <w:lang w:val="zh-CN"/>
        </w:rPr>
      </w:pPr>
      <w:r>
        <w:rPr>
          <w:rFonts w:hint="eastAsia" w:ascii="宋体" w:hAnsi="宋体" w:eastAsia="宋体" w:cs="仿宋_GB2312"/>
          <w:color w:val="auto"/>
          <w:kern w:val="0"/>
          <w:sz w:val="24"/>
          <w:lang w:val="zh-CN"/>
        </w:rPr>
        <w:t>与评审活动有关的工作人员不得收受他人的财物或者其他好处，不得向他们透漏对谈判响应文件的评审和比较、成交供应商候选人的推荐情况及评审有关的其他情况。在评审活动中，与评审活动有关的工作人员不得擅离职守，影响评审程序正常进行。</w:t>
      </w:r>
    </w:p>
    <w:p w14:paraId="15E4D8FC">
      <w:pPr>
        <w:pStyle w:val="20"/>
        <w:spacing w:line="360" w:lineRule="auto"/>
        <w:rPr>
          <w:rFonts w:ascii="宋体" w:hAnsi="宋体" w:eastAsia="宋体" w:cs="仿宋_GB2312"/>
          <w:b/>
          <w:color w:val="auto"/>
          <w:kern w:val="0"/>
          <w:sz w:val="24"/>
          <w:lang w:val="zh-CN"/>
        </w:rPr>
      </w:pPr>
      <w:r>
        <w:rPr>
          <w:rFonts w:hint="eastAsia" w:ascii="宋体" w:hAnsi="宋体" w:eastAsia="宋体" w:cs="仿宋_GB2312"/>
          <w:b/>
          <w:color w:val="auto"/>
          <w:kern w:val="0"/>
          <w:sz w:val="24"/>
          <w:lang w:val="zh-CN"/>
        </w:rPr>
        <w:t>4</w:t>
      </w:r>
      <w:r>
        <w:rPr>
          <w:rFonts w:ascii="宋体" w:hAnsi="宋体" w:eastAsia="宋体" w:cs="仿宋_GB2312"/>
          <w:b/>
          <w:color w:val="auto"/>
          <w:kern w:val="0"/>
          <w:sz w:val="24"/>
          <w:lang w:val="zh-CN"/>
        </w:rPr>
        <w:t>3.</w:t>
      </w:r>
      <w:r>
        <w:rPr>
          <w:rFonts w:hint="eastAsia" w:ascii="宋体" w:hAnsi="宋体" w:eastAsia="宋体" w:cs="仿宋_GB2312"/>
          <w:b/>
          <w:color w:val="auto"/>
          <w:kern w:val="0"/>
          <w:sz w:val="24"/>
          <w:lang w:val="zh-CN"/>
        </w:rPr>
        <w:t>质疑与投诉</w:t>
      </w:r>
    </w:p>
    <w:p w14:paraId="25784BBB">
      <w:pPr>
        <w:pStyle w:val="20"/>
        <w:spacing w:line="360" w:lineRule="auto"/>
        <w:rPr>
          <w:rFonts w:ascii="宋体" w:hAnsi="宋体" w:eastAsia="宋体" w:cs="仿宋_GB2312"/>
          <w:color w:val="auto"/>
          <w:kern w:val="0"/>
          <w:sz w:val="24"/>
          <w:lang w:val="zh-CN"/>
        </w:rPr>
      </w:pPr>
      <w:r>
        <w:rPr>
          <w:rFonts w:hint="eastAsia" w:ascii="宋体" w:hAnsi="宋体" w:eastAsia="宋体" w:cs="仿宋_GB2312"/>
          <w:color w:val="auto"/>
          <w:kern w:val="0"/>
          <w:sz w:val="24"/>
          <w:lang w:val="zh-CN"/>
        </w:rPr>
        <w:t>4</w:t>
      </w:r>
      <w:r>
        <w:rPr>
          <w:rFonts w:ascii="宋体" w:hAnsi="宋体" w:eastAsia="宋体" w:cs="仿宋_GB2312"/>
          <w:color w:val="auto"/>
          <w:kern w:val="0"/>
          <w:sz w:val="24"/>
          <w:lang w:val="zh-CN"/>
        </w:rPr>
        <w:t>3</w:t>
      </w:r>
      <w:r>
        <w:rPr>
          <w:rFonts w:hint="eastAsia" w:ascii="宋体" w:hAnsi="宋体" w:eastAsia="宋体" w:cs="仿宋_GB2312"/>
          <w:color w:val="auto"/>
          <w:kern w:val="0"/>
          <w:sz w:val="24"/>
          <w:lang w:val="zh-CN"/>
        </w:rPr>
        <w:t>.1响应谈判供应商认为采购文件、采购过程、中标或者成交结果使自己的权益受到损害的，可以在知道或者应知其权益受到损害之日起7个工作日内,针对同一采购程序环节，以书面形式向采购人、采购代理机构一次性提出质疑。</w:t>
      </w:r>
    </w:p>
    <w:p w14:paraId="0B285DE9">
      <w:pPr>
        <w:pStyle w:val="20"/>
        <w:spacing w:line="360" w:lineRule="auto"/>
        <w:rPr>
          <w:rFonts w:ascii="宋体" w:hAnsi="宋体" w:eastAsia="宋体" w:cs="仿宋_GB2312"/>
          <w:color w:val="auto"/>
          <w:kern w:val="0"/>
          <w:sz w:val="24"/>
          <w:lang w:val="zh-CN"/>
        </w:rPr>
      </w:pPr>
      <w:r>
        <w:rPr>
          <w:rFonts w:hint="eastAsia" w:ascii="宋体" w:hAnsi="宋体" w:eastAsia="宋体" w:cs="仿宋_GB2312"/>
          <w:color w:val="auto"/>
          <w:kern w:val="0"/>
          <w:sz w:val="24"/>
          <w:lang w:val="zh-CN"/>
        </w:rPr>
        <w:t>4</w:t>
      </w:r>
      <w:r>
        <w:rPr>
          <w:rFonts w:ascii="宋体" w:hAnsi="宋体" w:eastAsia="宋体" w:cs="仿宋_GB2312"/>
          <w:color w:val="auto"/>
          <w:kern w:val="0"/>
          <w:sz w:val="24"/>
          <w:lang w:val="zh-CN"/>
        </w:rPr>
        <w:t>3</w:t>
      </w:r>
      <w:r>
        <w:rPr>
          <w:rFonts w:hint="eastAsia" w:ascii="宋体" w:hAnsi="宋体" w:eastAsia="宋体" w:cs="仿宋_GB2312"/>
          <w:color w:val="auto"/>
          <w:kern w:val="0"/>
          <w:sz w:val="24"/>
          <w:lang w:val="zh-CN"/>
        </w:rPr>
        <w:t>.2响应谈判供应商和其他利害关系人认为本次采购活动违反法律、法规和规章规定的，对质疑答复不满意的或者采购人、采购代理机构未在规定时间内作出答复的，在法定期限内有权向</w:t>
      </w:r>
      <w:r>
        <w:rPr>
          <w:rFonts w:hint="eastAsia" w:ascii="宋体" w:hAnsi="宋体" w:eastAsia="宋体" w:cs="仿宋_GB2312"/>
          <w:color w:val="auto"/>
          <w:kern w:val="0"/>
          <w:sz w:val="24"/>
        </w:rPr>
        <w:t>采购办</w:t>
      </w:r>
      <w:r>
        <w:rPr>
          <w:rFonts w:hint="eastAsia" w:ascii="宋体" w:hAnsi="宋体" w:eastAsia="宋体" w:cs="仿宋_GB2312"/>
          <w:color w:val="auto"/>
          <w:kern w:val="0"/>
          <w:sz w:val="24"/>
          <w:lang w:val="zh-CN"/>
        </w:rPr>
        <w:t>投诉。</w:t>
      </w:r>
    </w:p>
    <w:p w14:paraId="5FCF3C22">
      <w:pPr>
        <w:pStyle w:val="20"/>
        <w:jc w:val="center"/>
        <w:rPr>
          <w:rFonts w:ascii="宋体" w:hAnsi="宋体" w:eastAsia="宋体" w:cs="仿宋_GB2312"/>
          <w:b/>
          <w:color w:val="auto"/>
          <w:kern w:val="0"/>
          <w:sz w:val="36"/>
          <w:szCs w:val="36"/>
          <w:lang w:val="zh-CN"/>
        </w:rPr>
      </w:pPr>
    </w:p>
    <w:p w14:paraId="286E9203">
      <w:pPr>
        <w:pStyle w:val="20"/>
        <w:jc w:val="center"/>
        <w:rPr>
          <w:rFonts w:ascii="宋体" w:hAnsi="宋体" w:eastAsia="宋体" w:cs="仿宋_GB2312"/>
          <w:b/>
          <w:color w:val="auto"/>
          <w:kern w:val="0"/>
          <w:sz w:val="36"/>
          <w:szCs w:val="36"/>
          <w:lang w:val="zh-CN"/>
        </w:rPr>
      </w:pPr>
    </w:p>
    <w:p w14:paraId="7B09BC42">
      <w:pPr>
        <w:pStyle w:val="20"/>
        <w:jc w:val="center"/>
        <w:rPr>
          <w:rFonts w:ascii="宋体" w:hAnsi="宋体" w:eastAsia="宋体" w:cs="仿宋_GB2312"/>
          <w:b/>
          <w:color w:val="auto"/>
          <w:kern w:val="0"/>
          <w:sz w:val="36"/>
          <w:szCs w:val="36"/>
          <w:lang w:val="zh-CN"/>
        </w:rPr>
      </w:pPr>
    </w:p>
    <w:p w14:paraId="698FC753">
      <w:pPr>
        <w:rPr>
          <w:rFonts w:hint="eastAsia" w:ascii="宋体" w:hAnsi="宋体" w:cs="宋体"/>
          <w:b/>
          <w:szCs w:val="21"/>
        </w:rPr>
      </w:pPr>
    </w:p>
    <w:p w14:paraId="04504C6B">
      <w:pPr>
        <w:sectPr>
          <w:headerReference r:id="rId8" w:type="default"/>
          <w:footerReference r:id="rId9" w:type="default"/>
          <w:pgSz w:w="12240" w:h="15840"/>
          <w:pgMar w:top="1400" w:right="1720" w:bottom="1120" w:left="1720" w:header="0" w:footer="921" w:gutter="0"/>
          <w:cols w:space="720" w:num="1"/>
        </w:sectPr>
      </w:pPr>
    </w:p>
    <w:p w14:paraId="3F77BFC2">
      <w:pPr>
        <w:pStyle w:val="3"/>
        <w:spacing w:before="0" w:after="0" w:line="240" w:lineRule="auto"/>
        <w:rPr>
          <w:rFonts w:ascii="宋体" w:hAnsi="宋体" w:eastAsia="宋体" w:cs="微软雅黑"/>
          <w:sz w:val="21"/>
          <w:szCs w:val="21"/>
        </w:rPr>
      </w:pPr>
      <w:bookmarkStart w:id="26" w:name="_Toc19574"/>
      <w:r>
        <w:rPr>
          <w:rFonts w:hint="eastAsia" w:ascii="宋体" w:hAnsi="宋体" w:eastAsia="宋体" w:cs="Arial"/>
          <w:b/>
          <w:bCs/>
          <w:color w:val="000000"/>
          <w:sz w:val="21"/>
          <w:szCs w:val="21"/>
          <w:lang w:val="zh-CN"/>
        </w:rPr>
        <w:t>政府采购相关政策要求</w:t>
      </w:r>
      <w:bookmarkEnd w:id="26"/>
    </w:p>
    <w:p w14:paraId="66D39A2A">
      <w:pPr>
        <w:autoSpaceDE w:val="0"/>
        <w:autoSpaceDN w:val="0"/>
        <w:adjustRightInd w:val="0"/>
        <w:spacing w:line="440" w:lineRule="exact"/>
        <w:ind w:firstLine="420" w:firstLineChars="200"/>
        <w:jc w:val="left"/>
        <w:rPr>
          <w:rFonts w:hint="eastAsia" w:ascii="宋体" w:hAnsi="宋体" w:cs="宋体"/>
          <w:b/>
          <w:szCs w:val="18"/>
        </w:rPr>
      </w:pPr>
      <w:r>
        <w:rPr>
          <w:rFonts w:hint="eastAsia" w:ascii="宋体" w:hAnsi="宋体" w:cs="宋体"/>
          <w:szCs w:val="18"/>
        </w:rPr>
        <w:t>1.根据《政府采购促进中小企业发展管理办法》（财库〔</w:t>
      </w:r>
      <w:r>
        <w:rPr>
          <w:rFonts w:hint="eastAsia" w:ascii="宋体" w:hAnsi="宋体" w:cs="宋体"/>
          <w:szCs w:val="18"/>
          <w:lang w:eastAsia="zh-CN"/>
        </w:rPr>
        <w:t>2021</w:t>
      </w:r>
      <w:r>
        <w:rPr>
          <w:rFonts w:hint="eastAsia" w:ascii="宋体" w:hAnsi="宋体" w:cs="宋体"/>
          <w:szCs w:val="18"/>
        </w:rPr>
        <w:t>〕46号文件）、</w:t>
      </w:r>
      <w:r>
        <w:rPr>
          <w:rFonts w:hint="eastAsia" w:ascii="宋体" w:hAnsi="宋体"/>
          <w:szCs w:val="21"/>
        </w:rPr>
        <w:t>《关于进一步加大政府采购支持中小企业力度的通知》（财库〔2022〕19号）</w:t>
      </w:r>
      <w:r>
        <w:rPr>
          <w:rFonts w:hint="eastAsia" w:ascii="宋体" w:hAnsi="宋体" w:cs="宋体"/>
          <w:szCs w:val="18"/>
        </w:rPr>
        <w:t>的规定</w:t>
      </w:r>
      <w:r>
        <w:rPr>
          <w:rFonts w:hint="eastAsia" w:ascii="宋体" w:hAnsi="宋体" w:cs="宋体"/>
          <w:b/>
          <w:szCs w:val="18"/>
        </w:rPr>
        <w:t>，执行价格评审优惠的扶持政策</w:t>
      </w:r>
      <w:r>
        <w:rPr>
          <w:rFonts w:hint="eastAsia" w:ascii="宋体" w:hAnsi="宋体"/>
          <w:szCs w:val="21"/>
        </w:rPr>
        <w:t>，对小型和微型企业供应商产品的价格给予10%的扣除，用扣除后的价格参与评审。</w:t>
      </w:r>
      <w:r>
        <w:rPr>
          <w:rFonts w:hint="eastAsia" w:ascii="宋体" w:hAnsi="宋体" w:cs="宋体"/>
          <w:b/>
          <w:szCs w:val="18"/>
        </w:rPr>
        <w:t>中小企业参加政府采购活动，应当出具本办法规定的《中小企业声明函》。</w:t>
      </w:r>
    </w:p>
    <w:p w14:paraId="20AEC400">
      <w:pPr>
        <w:autoSpaceDE w:val="0"/>
        <w:autoSpaceDN w:val="0"/>
        <w:adjustRightInd w:val="0"/>
        <w:spacing w:line="440" w:lineRule="exact"/>
        <w:ind w:firstLine="420" w:firstLineChars="200"/>
        <w:jc w:val="left"/>
        <w:rPr>
          <w:rFonts w:hint="eastAsia" w:ascii="宋体" w:hAnsi="宋体" w:cs="宋体"/>
          <w:bCs/>
          <w:color w:val="000000"/>
          <w:szCs w:val="21"/>
          <w:lang w:val="zh-CN"/>
        </w:rPr>
      </w:pPr>
      <w:r>
        <w:rPr>
          <w:rFonts w:hint="eastAsia" w:ascii="宋体" w:hAnsi="宋体" w:cs="宋体"/>
          <w:bCs/>
          <w:color w:val="000000"/>
          <w:szCs w:val="21"/>
          <w:lang w:val="zh-CN"/>
        </w:rPr>
        <w:t>提供本企业制造的货物、承担的工程或者服务，或者提供其他中小企业制造的货物。 本项所称货物不包括使用大型企业注册商标的货物。所称中小企业划分标准，是指国务院有关部门根据企业从业人员、营业收入、资产总额等指标制定的中小企业划型标准。小型、微型企业提供中型企业制造的货物的，视同为中型企业。</w:t>
      </w:r>
    </w:p>
    <w:p w14:paraId="0A88B299">
      <w:pPr>
        <w:autoSpaceDE w:val="0"/>
        <w:autoSpaceDN w:val="0"/>
        <w:adjustRightInd w:val="0"/>
        <w:spacing w:line="440" w:lineRule="exact"/>
        <w:ind w:firstLine="420" w:firstLineChars="200"/>
        <w:jc w:val="left"/>
        <w:rPr>
          <w:rFonts w:hint="eastAsia" w:ascii="宋体" w:hAnsi="宋体" w:cs="宋体"/>
          <w:bCs/>
          <w:color w:val="000000"/>
          <w:szCs w:val="21"/>
          <w:lang w:val="zh-CN"/>
        </w:rPr>
      </w:pPr>
      <w:r>
        <w:rPr>
          <w:rFonts w:hint="eastAsia" w:ascii="宋体" w:hAnsi="宋体" w:cs="宋体"/>
          <w:bCs/>
          <w:color w:val="000000"/>
          <w:szCs w:val="21"/>
          <w:lang w:val="zh-CN"/>
        </w:rPr>
        <w:t>如果一个采购项目或采购包含有多个采购标的的，则每个采购标的均应由中小企业制造,才享受中小微企业政策。</w:t>
      </w:r>
    </w:p>
    <w:p w14:paraId="7A1F871B">
      <w:pPr>
        <w:autoSpaceDE w:val="0"/>
        <w:autoSpaceDN w:val="0"/>
        <w:adjustRightInd w:val="0"/>
        <w:spacing w:line="400" w:lineRule="exact"/>
        <w:ind w:firstLine="420" w:firstLineChars="200"/>
        <w:rPr>
          <w:rFonts w:ascii="宋体" w:hAnsi="宋体" w:cs="宋体"/>
          <w:b/>
          <w:bCs/>
          <w:szCs w:val="18"/>
        </w:rPr>
      </w:pPr>
      <w:r>
        <w:rPr>
          <w:rFonts w:hint="eastAsia" w:ascii="宋体" w:hAnsi="宋体" w:cs="宋体"/>
          <w:szCs w:val="18"/>
        </w:rPr>
        <w:t>按照财政部《关于政府采购支持监狱企业发展有关问题的通知》（财库[2014]68号）的规定，在政府采购活动中，监狱企业视同小型、微型企业，享受预留份额、评审中价格扣除等政府采购促进中小企业发展的政府采购政策。</w:t>
      </w:r>
      <w:r>
        <w:rPr>
          <w:rFonts w:hint="eastAsia" w:ascii="宋体" w:hAnsi="宋体" w:cs="宋体"/>
          <w:b/>
          <w:bCs/>
          <w:szCs w:val="18"/>
        </w:rPr>
        <w:t xml:space="preserve">监狱企业参加政府采购活动时，应当提供由省级以上监狱管理局、戒毒管理局（含新疆生产建设兵团）出具的属于监狱企业的证明文件。 </w:t>
      </w:r>
    </w:p>
    <w:p w14:paraId="01D53C14">
      <w:pPr>
        <w:autoSpaceDE w:val="0"/>
        <w:autoSpaceDN w:val="0"/>
        <w:adjustRightInd w:val="0"/>
        <w:spacing w:line="400" w:lineRule="exact"/>
        <w:ind w:firstLine="420" w:firstLineChars="200"/>
        <w:rPr>
          <w:rFonts w:ascii="宋体" w:hAnsi="宋体" w:cs="宋体"/>
          <w:szCs w:val="18"/>
        </w:rPr>
      </w:pPr>
      <w:r>
        <w:rPr>
          <w:rFonts w:hint="eastAsia" w:ascii="宋体" w:hAnsi="宋体" w:cs="宋体"/>
          <w:szCs w:val="18"/>
        </w:rPr>
        <w:t>按照《三部门联合发布关于促进残疾人就业政府采购政策的通知》（财库〔2017〕141号）的规定，在政府采购活动中，残疾人福利性单位视同小型、微型企业，享受预留份额、评审中价格扣除等促进中小企业发展的政府采购政策。</w:t>
      </w:r>
      <w:r>
        <w:rPr>
          <w:rFonts w:hint="eastAsia" w:ascii="宋体" w:hAnsi="宋体" w:cs="宋体"/>
          <w:b/>
          <w:bCs/>
          <w:szCs w:val="18"/>
        </w:rPr>
        <w:t>符合条件的残疾人福利性单位在参加政府采购活动时，应当提供财库〔2017〕141号文规定的《残疾人福利性单位声明函》，并对声明的真实性负责。</w:t>
      </w:r>
      <w:r>
        <w:rPr>
          <w:rFonts w:hint="eastAsia" w:ascii="宋体" w:hAnsi="宋体" w:cs="宋体"/>
          <w:szCs w:val="18"/>
        </w:rPr>
        <w:t>残疾人福利性单位属于小型、微型企业的，不重复享受政策。</w:t>
      </w:r>
    </w:p>
    <w:p w14:paraId="0BAB57D5">
      <w:pPr>
        <w:autoSpaceDE w:val="0"/>
        <w:autoSpaceDN w:val="0"/>
        <w:adjustRightInd w:val="0"/>
        <w:spacing w:line="400" w:lineRule="exact"/>
        <w:ind w:firstLine="420" w:firstLineChars="200"/>
        <w:rPr>
          <w:rFonts w:ascii="宋体" w:hAnsi="宋体" w:cs="宋体"/>
          <w:szCs w:val="18"/>
        </w:rPr>
      </w:pPr>
      <w:r>
        <w:rPr>
          <w:rFonts w:hint="eastAsia" w:ascii="宋体" w:hAnsi="宋体" w:cs="宋体"/>
          <w:szCs w:val="18"/>
        </w:rPr>
        <w:t>2.对于列入财政部、生态环境部发布的《环境标志产品政府采购品目清单》要求的产品，对其投标价格给予3%的价格扣除，并按照扣除后的价格参加排序。采购项目或者分包中既包含环境标志产品也包含非环境标志产品的，只对列入《环境标志产品政府采购品目清单》要求的产品按其在总报价中所占的比例给予价格扣除，投标文件中需提供认证证明，认证机构须在市场监管总局公布的名录内《详见市场监管总局关于发布参与实施政府采购节能产品、环境标志产品认证机构名录的公告（</w:t>
      </w:r>
      <w:r>
        <w:rPr>
          <w:rFonts w:hint="eastAsia" w:ascii="宋体" w:hAnsi="宋体" w:cs="宋体"/>
          <w:szCs w:val="18"/>
          <w:lang w:eastAsia="zh-CN"/>
        </w:rPr>
        <w:t>2021</w:t>
      </w:r>
      <w:r>
        <w:rPr>
          <w:rFonts w:hint="eastAsia" w:ascii="宋体" w:hAnsi="宋体" w:cs="宋体"/>
          <w:szCs w:val="18"/>
        </w:rPr>
        <w:t xml:space="preserve"> 年第 16 号文件）》；</w:t>
      </w:r>
    </w:p>
    <w:p w14:paraId="574C5353">
      <w:pPr>
        <w:autoSpaceDE w:val="0"/>
        <w:autoSpaceDN w:val="0"/>
        <w:adjustRightInd w:val="0"/>
        <w:spacing w:line="400" w:lineRule="exact"/>
        <w:ind w:firstLine="420" w:firstLineChars="200"/>
        <w:rPr>
          <w:rFonts w:ascii="宋体" w:hAnsi="宋体" w:cs="宋体"/>
          <w:szCs w:val="18"/>
        </w:rPr>
      </w:pPr>
      <w:r>
        <w:rPr>
          <w:rFonts w:hint="eastAsia" w:ascii="宋体" w:hAnsi="宋体" w:cs="宋体"/>
          <w:szCs w:val="18"/>
        </w:rPr>
        <w:t>3.对财政部、发展改革委发布的《节能产品政府采购品目清单》但不属于国家强制采购的产品，对其投标价格给予3%的价格扣除，并按照扣除后的价格参加排序。采购项目或者分包中既包含节能产品也包含非节能产品的，只对列入《节能产品政府采购品目清单》但不属于国家强制采购的产品按其在总报价中所占的比例给予价格扣除，投标文件中需提供认证证明，认证机构须在市场监管总局公布的名录内《详见市场监管总局关于发布参与实施政府采购节能产品、环境标志产品认证机构名录的公告（</w:t>
      </w:r>
      <w:r>
        <w:rPr>
          <w:rFonts w:hint="eastAsia" w:ascii="宋体" w:hAnsi="宋体" w:cs="宋体"/>
          <w:szCs w:val="18"/>
          <w:lang w:eastAsia="zh-CN"/>
        </w:rPr>
        <w:t>2021</w:t>
      </w:r>
      <w:r>
        <w:rPr>
          <w:rFonts w:hint="eastAsia" w:ascii="宋体" w:hAnsi="宋体" w:cs="宋体"/>
          <w:szCs w:val="18"/>
        </w:rPr>
        <w:t xml:space="preserve"> 年第 16 号文件）》。” </w:t>
      </w:r>
    </w:p>
    <w:p w14:paraId="0A699553">
      <w:pPr>
        <w:autoSpaceDE w:val="0"/>
        <w:autoSpaceDN w:val="0"/>
        <w:adjustRightInd w:val="0"/>
        <w:spacing w:line="400" w:lineRule="exact"/>
        <w:ind w:firstLine="420" w:firstLineChars="200"/>
        <w:rPr>
          <w:rFonts w:ascii="宋体" w:hAnsi="宋体" w:cs="宋体"/>
          <w:szCs w:val="18"/>
        </w:rPr>
      </w:pPr>
      <w:r>
        <w:rPr>
          <w:rFonts w:hint="eastAsia" w:ascii="宋体" w:hAnsi="宋体" w:cs="宋体"/>
          <w:szCs w:val="18"/>
        </w:rPr>
        <w:t>4.对于列入财政部、国家发改委、信息产业部发布的《无线局域网认证产品政府采购清单》的产品，对其投标价格给予3%的价格扣除，并按扣除后的价格参加排序。采购项目或者分包中既包含清单中产品也包含非清单中产品的，只对列入清单的产品按其在总报价中所占的比例给予价格扣除。</w:t>
      </w:r>
    </w:p>
    <w:p w14:paraId="146125C7">
      <w:pPr>
        <w:autoSpaceDE w:val="0"/>
        <w:autoSpaceDN w:val="0"/>
        <w:adjustRightInd w:val="0"/>
        <w:spacing w:line="440" w:lineRule="exact"/>
        <w:ind w:firstLine="420" w:firstLineChars="200"/>
        <w:jc w:val="left"/>
        <w:rPr>
          <w:rFonts w:hint="eastAsia" w:ascii="宋体" w:hAnsi="宋体" w:cs="宋体"/>
          <w:szCs w:val="18"/>
        </w:rPr>
      </w:pPr>
      <w:r>
        <w:rPr>
          <w:rFonts w:hint="eastAsia" w:ascii="宋体" w:hAnsi="宋体" w:cs="宋体"/>
          <w:szCs w:val="18"/>
        </w:rPr>
        <w:t>5.投标产品同时列入上述多个清单的，将上述规定的价格扣除比例叠加后计算价格扣除。</w:t>
      </w:r>
    </w:p>
    <w:p w14:paraId="148A13CA">
      <w:pPr>
        <w:autoSpaceDE w:val="0"/>
        <w:autoSpaceDN w:val="0"/>
        <w:adjustRightInd w:val="0"/>
        <w:spacing w:line="440" w:lineRule="exact"/>
        <w:ind w:firstLine="420" w:firstLineChars="200"/>
        <w:jc w:val="left"/>
        <w:rPr>
          <w:rFonts w:hint="eastAsia" w:ascii="宋体" w:hAnsi="宋体" w:cs="宋体"/>
          <w:bCs/>
          <w:color w:val="000000"/>
          <w:szCs w:val="21"/>
          <w:lang w:val="zh-CN"/>
        </w:rPr>
      </w:pPr>
      <w:r>
        <w:rPr>
          <w:rFonts w:hint="eastAsia" w:ascii="宋体" w:hAnsi="宋体" w:cs="宋体"/>
          <w:bCs/>
          <w:color w:val="000000"/>
          <w:szCs w:val="21"/>
          <w:lang w:val="zh-CN"/>
        </w:rPr>
        <w:t>6、采购项目中如含有计算机，必须预装正版操作系统软件产品，所采购的其他软件必须为正版软件，否则投标无效。</w:t>
      </w:r>
    </w:p>
    <w:p w14:paraId="73E50380">
      <w:pPr>
        <w:autoSpaceDE w:val="0"/>
        <w:autoSpaceDN w:val="0"/>
        <w:adjustRightInd w:val="0"/>
        <w:spacing w:line="440" w:lineRule="exact"/>
        <w:ind w:firstLine="420" w:firstLineChars="200"/>
        <w:jc w:val="left"/>
        <w:rPr>
          <w:rFonts w:hint="eastAsia" w:ascii="宋体" w:hAnsi="宋体" w:cs="宋体"/>
          <w:bCs/>
          <w:color w:val="000000"/>
          <w:szCs w:val="21"/>
          <w:lang w:val="zh-CN"/>
        </w:rPr>
      </w:pPr>
      <w:r>
        <w:rPr>
          <w:rFonts w:hint="eastAsia" w:ascii="宋体" w:hAnsi="宋体" w:cs="宋体"/>
          <w:bCs/>
          <w:color w:val="000000"/>
          <w:szCs w:val="21"/>
          <w:lang w:val="zh-CN"/>
        </w:rPr>
        <w:t>7、采购货物中含信息安全产品，必须是列入财政部会同有关部门制定下发的《信息安全产品强制性认证目录》的产品，供应商须附中国信息安全认证中心按国家标准认证颁发的有效认证证书，否则投标无效。</w:t>
      </w:r>
    </w:p>
    <w:p w14:paraId="4DD1A092">
      <w:pPr>
        <w:spacing w:line="440" w:lineRule="exact"/>
        <w:outlineLvl w:val="2"/>
        <w:rPr>
          <w:rFonts w:hint="eastAsia" w:ascii="宋体" w:hAnsi="宋体"/>
          <w:b/>
          <w:color w:val="000000"/>
          <w:sz w:val="28"/>
          <w:szCs w:val="28"/>
          <w:lang w:val="zh-CN"/>
        </w:rPr>
      </w:pPr>
    </w:p>
    <w:p w14:paraId="3A591D3E">
      <w:pPr>
        <w:spacing w:line="440" w:lineRule="exact"/>
        <w:outlineLvl w:val="2"/>
        <w:rPr>
          <w:rFonts w:hint="eastAsia" w:ascii="宋体" w:hAnsi="宋体"/>
          <w:b/>
          <w:color w:val="000000"/>
          <w:sz w:val="28"/>
          <w:szCs w:val="28"/>
          <w:lang w:val="zh-CN"/>
        </w:rPr>
      </w:pPr>
    </w:p>
    <w:p w14:paraId="4836674C">
      <w:pPr>
        <w:spacing w:line="440" w:lineRule="exact"/>
        <w:outlineLvl w:val="2"/>
        <w:rPr>
          <w:rFonts w:hint="eastAsia" w:ascii="宋体" w:hAnsi="宋体"/>
          <w:b/>
          <w:color w:val="000000"/>
          <w:sz w:val="28"/>
          <w:szCs w:val="28"/>
          <w:lang w:val="zh-CN"/>
        </w:rPr>
      </w:pPr>
    </w:p>
    <w:p w14:paraId="5A0BDC98">
      <w:pPr>
        <w:spacing w:line="440" w:lineRule="exact"/>
        <w:outlineLvl w:val="2"/>
        <w:rPr>
          <w:rFonts w:hint="eastAsia" w:ascii="宋体" w:hAnsi="宋体"/>
          <w:b/>
          <w:color w:val="000000"/>
          <w:sz w:val="28"/>
          <w:szCs w:val="28"/>
          <w:lang w:val="zh-CN"/>
        </w:rPr>
      </w:pPr>
    </w:p>
    <w:p w14:paraId="01F105CF">
      <w:pPr>
        <w:spacing w:line="440" w:lineRule="exact"/>
        <w:outlineLvl w:val="2"/>
        <w:rPr>
          <w:rFonts w:hint="eastAsia" w:ascii="宋体" w:hAnsi="宋体"/>
          <w:b/>
          <w:color w:val="000000"/>
          <w:sz w:val="28"/>
          <w:szCs w:val="28"/>
          <w:lang w:val="zh-CN"/>
        </w:rPr>
      </w:pPr>
    </w:p>
    <w:p w14:paraId="48E1E6AF">
      <w:pPr>
        <w:spacing w:line="440" w:lineRule="exact"/>
        <w:outlineLvl w:val="2"/>
        <w:rPr>
          <w:rFonts w:hint="eastAsia" w:ascii="宋体" w:hAnsi="宋体"/>
          <w:b/>
          <w:color w:val="000000"/>
          <w:sz w:val="28"/>
          <w:szCs w:val="28"/>
          <w:lang w:val="zh-CN"/>
        </w:rPr>
      </w:pPr>
    </w:p>
    <w:p w14:paraId="48235A9C">
      <w:pPr>
        <w:spacing w:line="440" w:lineRule="exact"/>
        <w:outlineLvl w:val="2"/>
        <w:rPr>
          <w:rFonts w:hint="eastAsia" w:ascii="宋体" w:hAnsi="宋体"/>
          <w:b/>
          <w:color w:val="000000"/>
          <w:sz w:val="28"/>
          <w:szCs w:val="28"/>
          <w:lang w:val="zh-CN"/>
        </w:rPr>
      </w:pPr>
    </w:p>
    <w:p w14:paraId="1C571ED6">
      <w:pPr>
        <w:spacing w:line="440" w:lineRule="exact"/>
        <w:outlineLvl w:val="2"/>
        <w:rPr>
          <w:rFonts w:hint="eastAsia" w:ascii="宋体" w:hAnsi="宋体"/>
          <w:b/>
          <w:color w:val="000000"/>
          <w:sz w:val="28"/>
          <w:szCs w:val="28"/>
          <w:lang w:val="zh-CN"/>
        </w:rPr>
      </w:pPr>
    </w:p>
    <w:p w14:paraId="30E2C621">
      <w:pPr>
        <w:spacing w:line="440" w:lineRule="exact"/>
        <w:outlineLvl w:val="2"/>
        <w:rPr>
          <w:rFonts w:hint="eastAsia" w:ascii="宋体" w:hAnsi="宋体"/>
          <w:b/>
          <w:color w:val="000000"/>
          <w:sz w:val="28"/>
          <w:szCs w:val="28"/>
          <w:lang w:val="zh-CN"/>
        </w:rPr>
      </w:pPr>
    </w:p>
    <w:p w14:paraId="1BB961EC">
      <w:pPr>
        <w:spacing w:line="440" w:lineRule="exact"/>
        <w:outlineLvl w:val="2"/>
        <w:rPr>
          <w:rFonts w:hint="eastAsia" w:ascii="宋体" w:hAnsi="宋体"/>
          <w:b/>
          <w:color w:val="000000"/>
          <w:sz w:val="28"/>
          <w:szCs w:val="28"/>
          <w:lang w:val="zh-CN"/>
        </w:rPr>
      </w:pPr>
    </w:p>
    <w:p w14:paraId="6D9845F4">
      <w:pPr>
        <w:spacing w:line="440" w:lineRule="exact"/>
        <w:outlineLvl w:val="2"/>
        <w:rPr>
          <w:rFonts w:hint="eastAsia" w:ascii="宋体" w:hAnsi="宋体"/>
          <w:b/>
          <w:color w:val="000000"/>
          <w:sz w:val="28"/>
          <w:szCs w:val="28"/>
          <w:lang w:val="zh-CN"/>
        </w:rPr>
      </w:pPr>
    </w:p>
    <w:p w14:paraId="3A38CC8E">
      <w:pPr>
        <w:spacing w:line="440" w:lineRule="exact"/>
        <w:outlineLvl w:val="2"/>
        <w:rPr>
          <w:rFonts w:hint="eastAsia" w:ascii="宋体" w:hAnsi="宋体"/>
          <w:b/>
          <w:color w:val="000000"/>
          <w:sz w:val="28"/>
          <w:szCs w:val="28"/>
          <w:lang w:val="zh-CN"/>
        </w:rPr>
      </w:pPr>
    </w:p>
    <w:p w14:paraId="7B808108">
      <w:pPr>
        <w:sectPr>
          <w:pgSz w:w="12240" w:h="15840"/>
          <w:pgMar w:top="1400" w:right="1720" w:bottom="1120" w:left="1720" w:header="0" w:footer="921" w:gutter="0"/>
          <w:cols w:space="720" w:num="1"/>
        </w:sectPr>
      </w:pPr>
    </w:p>
    <w:p w14:paraId="0890C516">
      <w:pPr>
        <w:pStyle w:val="2"/>
        <w:numPr>
          <w:ilvl w:val="0"/>
          <w:numId w:val="1"/>
        </w:numPr>
        <w:bidi w:val="0"/>
        <w:jc w:val="center"/>
        <w:rPr>
          <w:sz w:val="36"/>
          <w:szCs w:val="36"/>
          <w:lang w:val="zh-CN"/>
        </w:rPr>
      </w:pPr>
      <w:bookmarkStart w:id="27" w:name="_Toc693"/>
      <w:r>
        <w:rPr>
          <w:rFonts w:hint="eastAsia"/>
          <w:sz w:val="36"/>
          <w:szCs w:val="36"/>
        </w:rPr>
        <w:t>货物采购</w:t>
      </w:r>
      <w:r>
        <w:rPr>
          <w:rFonts w:hint="eastAsia"/>
          <w:sz w:val="36"/>
          <w:szCs w:val="36"/>
          <w:lang w:val="zh-CN"/>
        </w:rPr>
        <w:t>需求</w:t>
      </w:r>
      <w:bookmarkEnd w:id="27"/>
    </w:p>
    <w:tbl>
      <w:tblPr>
        <w:tblStyle w:val="15"/>
        <w:tblW w:w="9454" w:type="dxa"/>
        <w:tblInd w:w="334" w:type="dxa"/>
        <w:tblLayout w:type="fixed"/>
        <w:tblCellMar>
          <w:top w:w="0" w:type="dxa"/>
          <w:left w:w="10" w:type="dxa"/>
          <w:bottom w:w="0" w:type="dxa"/>
          <w:right w:w="10" w:type="dxa"/>
        </w:tblCellMar>
      </w:tblPr>
      <w:tblGrid>
        <w:gridCol w:w="500"/>
        <w:gridCol w:w="945"/>
        <w:gridCol w:w="6875"/>
        <w:gridCol w:w="567"/>
        <w:gridCol w:w="567"/>
      </w:tblGrid>
      <w:tr w14:paraId="38314AA9">
        <w:tblPrEx>
          <w:tblCellMar>
            <w:top w:w="0" w:type="dxa"/>
            <w:left w:w="10" w:type="dxa"/>
            <w:bottom w:w="0" w:type="dxa"/>
            <w:right w:w="10" w:type="dxa"/>
          </w:tblCellMar>
        </w:tblPrEx>
        <w:trPr>
          <w:trHeight w:val="493" w:hRule="atLeast"/>
          <w:tblHeader/>
        </w:trPr>
        <w:tc>
          <w:tcPr>
            <w:tcW w:w="500" w:type="dxa"/>
            <w:tcBorders>
              <w:top w:val="single" w:color="auto" w:sz="6" w:space="0"/>
              <w:left w:val="single" w:color="auto" w:sz="6" w:space="0"/>
              <w:bottom w:val="single" w:color="auto" w:sz="6" w:space="0"/>
              <w:right w:val="single" w:color="auto" w:sz="6" w:space="0"/>
            </w:tcBorders>
            <w:shd w:val="clear" w:color="auto" w:fill="auto"/>
            <w:vAlign w:val="center"/>
          </w:tcPr>
          <w:p w14:paraId="1A965C5C">
            <w:pPr>
              <w:pStyle w:val="21"/>
              <w:rPr>
                <w:rFonts w:hint="eastAsia" w:ascii="宋体" w:hAnsi="宋体" w:eastAsia="宋体" w:cs="宋体"/>
                <w:b/>
                <w:bCs/>
                <w:color w:val="auto"/>
                <w:sz w:val="21"/>
                <w:szCs w:val="21"/>
                <w:lang w:val="zh-CN"/>
              </w:rPr>
            </w:pPr>
            <w:bookmarkStart w:id="28" w:name="_Toc455565644"/>
            <w:bookmarkStart w:id="29" w:name="_Toc432264368"/>
            <w:bookmarkStart w:id="30" w:name="_Toc432277440"/>
            <w:bookmarkStart w:id="31" w:name="_Toc10263"/>
            <w:r>
              <w:rPr>
                <w:rFonts w:hint="eastAsia" w:ascii="宋体" w:hAnsi="宋体" w:eastAsia="宋体" w:cs="宋体"/>
                <w:b/>
                <w:bCs/>
                <w:color w:val="auto"/>
                <w:sz w:val="21"/>
                <w:szCs w:val="21"/>
                <w:lang w:val="zh-CN"/>
              </w:rPr>
              <w:t>序号</w:t>
            </w:r>
          </w:p>
        </w:tc>
        <w:tc>
          <w:tcPr>
            <w:tcW w:w="945" w:type="dxa"/>
            <w:tcBorders>
              <w:top w:val="single" w:color="auto" w:sz="6" w:space="0"/>
              <w:left w:val="nil"/>
              <w:bottom w:val="single" w:color="auto" w:sz="6" w:space="0"/>
              <w:right w:val="single" w:color="auto" w:sz="6" w:space="0"/>
            </w:tcBorders>
            <w:shd w:val="clear" w:color="auto" w:fill="auto"/>
            <w:vAlign w:val="center"/>
          </w:tcPr>
          <w:p w14:paraId="5D0E5413">
            <w:pPr>
              <w:pStyle w:val="21"/>
              <w:jc w:val="center"/>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货物名称</w:t>
            </w:r>
          </w:p>
        </w:tc>
        <w:tc>
          <w:tcPr>
            <w:tcW w:w="6875" w:type="dxa"/>
            <w:tcBorders>
              <w:top w:val="single" w:color="auto" w:sz="6" w:space="0"/>
              <w:left w:val="nil"/>
              <w:bottom w:val="single" w:color="auto" w:sz="6" w:space="0"/>
              <w:right w:val="single" w:color="auto" w:sz="6" w:space="0"/>
            </w:tcBorders>
            <w:shd w:val="clear" w:color="auto" w:fill="auto"/>
            <w:vAlign w:val="center"/>
          </w:tcPr>
          <w:p w14:paraId="1AB710D0">
            <w:pPr>
              <w:pStyle w:val="21"/>
              <w:jc w:val="center"/>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主要功能配置及技术指标要求</w:t>
            </w:r>
          </w:p>
        </w:tc>
        <w:tc>
          <w:tcPr>
            <w:tcW w:w="567" w:type="dxa"/>
            <w:tcBorders>
              <w:top w:val="single" w:color="auto" w:sz="6" w:space="0"/>
              <w:left w:val="single" w:color="auto" w:sz="6" w:space="0"/>
              <w:bottom w:val="single" w:color="auto" w:sz="6" w:space="0"/>
              <w:right w:val="single" w:color="auto" w:sz="6" w:space="0"/>
            </w:tcBorders>
            <w:shd w:val="clear" w:color="auto" w:fill="auto"/>
            <w:vAlign w:val="center"/>
          </w:tcPr>
          <w:p w14:paraId="24946565">
            <w:pPr>
              <w:pStyle w:val="21"/>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数量</w:t>
            </w:r>
          </w:p>
        </w:tc>
        <w:tc>
          <w:tcPr>
            <w:tcW w:w="567" w:type="dxa"/>
            <w:tcBorders>
              <w:top w:val="single" w:color="auto" w:sz="6" w:space="0"/>
              <w:left w:val="nil"/>
              <w:bottom w:val="single" w:color="auto" w:sz="6" w:space="0"/>
              <w:right w:val="single" w:color="auto" w:sz="6" w:space="0"/>
            </w:tcBorders>
            <w:shd w:val="clear" w:color="auto" w:fill="auto"/>
            <w:vAlign w:val="center"/>
          </w:tcPr>
          <w:p w14:paraId="48DD2CAA">
            <w:pPr>
              <w:pStyle w:val="21"/>
              <w:jc w:val="center"/>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数量单位</w:t>
            </w:r>
          </w:p>
        </w:tc>
      </w:tr>
      <w:tr w14:paraId="5B451602">
        <w:tblPrEx>
          <w:tblCellMar>
            <w:top w:w="0" w:type="dxa"/>
            <w:left w:w="10" w:type="dxa"/>
            <w:bottom w:w="0" w:type="dxa"/>
            <w:right w:w="10" w:type="dxa"/>
          </w:tblCellMar>
        </w:tblPrEx>
        <w:trPr>
          <w:trHeight w:val="495" w:hRule="atLeast"/>
        </w:trPr>
        <w:tc>
          <w:tcPr>
            <w:tcW w:w="500" w:type="dxa"/>
            <w:tcBorders>
              <w:top w:val="single" w:color="auto" w:sz="6" w:space="0"/>
              <w:left w:val="single" w:color="auto" w:sz="6" w:space="0"/>
              <w:bottom w:val="single" w:color="auto" w:sz="6" w:space="0"/>
              <w:right w:val="single" w:color="auto" w:sz="6" w:space="0"/>
            </w:tcBorders>
            <w:vAlign w:val="center"/>
          </w:tcPr>
          <w:p w14:paraId="7488A890">
            <w:pPr>
              <w:pStyle w:val="21"/>
              <w:jc w:val="center"/>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w:t>
            </w:r>
          </w:p>
        </w:tc>
        <w:tc>
          <w:tcPr>
            <w:tcW w:w="945" w:type="dxa"/>
            <w:tcBorders>
              <w:top w:val="single" w:color="auto" w:sz="6" w:space="0"/>
              <w:left w:val="nil"/>
              <w:bottom w:val="single" w:color="auto" w:sz="6" w:space="0"/>
              <w:right w:val="single" w:color="auto" w:sz="6" w:space="0"/>
            </w:tcBorders>
            <w:vAlign w:val="center"/>
          </w:tcPr>
          <w:p w14:paraId="6863B176">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教室主机</w:t>
            </w:r>
          </w:p>
        </w:tc>
        <w:tc>
          <w:tcPr>
            <w:tcW w:w="6875" w:type="dxa"/>
            <w:tcBorders>
              <w:top w:val="single" w:color="auto" w:sz="6" w:space="0"/>
              <w:left w:val="nil"/>
              <w:bottom w:val="single" w:color="auto" w:sz="6" w:space="0"/>
              <w:right w:val="single" w:color="auto" w:sz="6" w:space="0"/>
            </w:tcBorders>
            <w:shd w:val="clear" w:color="auto" w:fill="auto"/>
            <w:vAlign w:val="center"/>
          </w:tcPr>
          <w:p w14:paraId="594A3FB6">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1.CPU不低于高性能SoC八核心处理器，最高主频可达2.4GHz；</w:t>
            </w:r>
          </w:p>
          <w:p w14:paraId="107B1937">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2.存储≥128GB EMMC；</w:t>
            </w:r>
          </w:p>
          <w:p w14:paraId="5D82FC44">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3.内存≥4GB LPDDR4；</w:t>
            </w:r>
          </w:p>
          <w:p w14:paraId="051499C5">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4.支持对教室空间区域及教师活动轨迹进行划分识别，并且可以结合活动轨迹数据解析教师在课堂各区域的停留时间占比；</w:t>
            </w:r>
          </w:p>
          <w:p w14:paraId="025BBE9C">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5.支持识别课堂中学生听讲、读写、站立、举手等行为并实时记录统计呈现；</w:t>
            </w:r>
          </w:p>
          <w:p w14:paraId="14AC2850">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6.支持对学生脸部表情进行采样识别学生情绪，分析并记录课堂进程中学生的情绪变化曲线；</w:t>
            </w:r>
          </w:p>
          <w:p w14:paraId="57C17B75">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7.支持通过AI人脸识别算法对课堂中的学生进行定位识别，实现无感考勤签到；</w:t>
            </w:r>
          </w:p>
        </w:tc>
        <w:tc>
          <w:tcPr>
            <w:tcW w:w="567" w:type="dxa"/>
            <w:tcBorders>
              <w:top w:val="single" w:color="auto" w:sz="6" w:space="0"/>
              <w:left w:val="single" w:color="auto" w:sz="6" w:space="0"/>
              <w:bottom w:val="single" w:color="auto" w:sz="6" w:space="0"/>
              <w:right w:val="single" w:color="auto" w:sz="6" w:space="0"/>
            </w:tcBorders>
            <w:vAlign w:val="center"/>
          </w:tcPr>
          <w:p w14:paraId="5F6B596F">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w:t>
            </w:r>
          </w:p>
        </w:tc>
        <w:tc>
          <w:tcPr>
            <w:tcW w:w="567" w:type="dxa"/>
            <w:tcBorders>
              <w:top w:val="single" w:color="auto" w:sz="6" w:space="0"/>
              <w:left w:val="nil"/>
              <w:bottom w:val="single" w:color="auto" w:sz="6" w:space="0"/>
              <w:right w:val="single" w:color="auto" w:sz="6" w:space="0"/>
            </w:tcBorders>
            <w:vAlign w:val="center"/>
          </w:tcPr>
          <w:p w14:paraId="06675499">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台</w:t>
            </w:r>
          </w:p>
        </w:tc>
      </w:tr>
      <w:tr w14:paraId="5B8FCC2B">
        <w:tblPrEx>
          <w:tblCellMar>
            <w:top w:w="0" w:type="dxa"/>
            <w:left w:w="10" w:type="dxa"/>
            <w:bottom w:w="0" w:type="dxa"/>
            <w:right w:w="10" w:type="dxa"/>
          </w:tblCellMar>
        </w:tblPrEx>
        <w:trPr>
          <w:trHeight w:val="476" w:hRule="atLeast"/>
        </w:trPr>
        <w:tc>
          <w:tcPr>
            <w:tcW w:w="500" w:type="dxa"/>
            <w:tcBorders>
              <w:top w:val="nil"/>
              <w:left w:val="single" w:color="auto" w:sz="6" w:space="0"/>
              <w:bottom w:val="single" w:color="auto" w:sz="6" w:space="0"/>
              <w:right w:val="single" w:color="auto" w:sz="6" w:space="0"/>
            </w:tcBorders>
            <w:vAlign w:val="center"/>
          </w:tcPr>
          <w:p w14:paraId="3ECDC77C">
            <w:pPr>
              <w:pStyle w:val="22"/>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2</w:t>
            </w:r>
          </w:p>
        </w:tc>
        <w:tc>
          <w:tcPr>
            <w:tcW w:w="945" w:type="dxa"/>
            <w:tcBorders>
              <w:top w:val="nil"/>
              <w:left w:val="nil"/>
              <w:bottom w:val="single" w:color="auto" w:sz="6" w:space="0"/>
              <w:right w:val="single" w:color="auto" w:sz="6" w:space="0"/>
            </w:tcBorders>
            <w:vAlign w:val="center"/>
          </w:tcPr>
          <w:p w14:paraId="208CCB21">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控制面板</w:t>
            </w:r>
          </w:p>
        </w:tc>
        <w:tc>
          <w:tcPr>
            <w:tcW w:w="6875" w:type="dxa"/>
            <w:tcBorders>
              <w:top w:val="nil"/>
              <w:left w:val="nil"/>
              <w:bottom w:val="single" w:color="auto" w:sz="6" w:space="0"/>
              <w:right w:val="single" w:color="auto" w:sz="6" w:space="0"/>
            </w:tcBorders>
            <w:shd w:val="clear" w:color="auto" w:fill="auto"/>
            <w:vAlign w:val="center"/>
          </w:tcPr>
          <w:p w14:paraId="47E1F694">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1.采用电容触摸屏，屏幕尺寸≥8英寸，防眩光处理；</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2.处理器不低于四核，主频≥1.8GHz，内存≥4G，内部存储≥32G；</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3.支持集中控制室内所有接入设备，包括显示系统设备、灯光控制设备、电源控制设备、电器设备等控制；</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4.支持人脸识别、刷卡、插卡、二维码扫码等多种身份鉴权方式；</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5.场景设置功能：默认提供上课、下课场景，场景指令可按需求灵活设置；</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6.具备BLEMesh自组网技术，支持与BLEMesh物联节点直接组网通讯和控制；</w:t>
            </w:r>
          </w:p>
        </w:tc>
        <w:tc>
          <w:tcPr>
            <w:tcW w:w="567" w:type="dxa"/>
            <w:tcBorders>
              <w:top w:val="single" w:color="auto" w:sz="6" w:space="0"/>
              <w:left w:val="single" w:color="auto" w:sz="6" w:space="0"/>
              <w:bottom w:val="single" w:color="auto" w:sz="6" w:space="0"/>
              <w:right w:val="single" w:color="auto" w:sz="6" w:space="0"/>
            </w:tcBorders>
            <w:vAlign w:val="center"/>
          </w:tcPr>
          <w:p w14:paraId="735513B3">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w:t>
            </w:r>
          </w:p>
        </w:tc>
        <w:tc>
          <w:tcPr>
            <w:tcW w:w="567" w:type="dxa"/>
            <w:tcBorders>
              <w:top w:val="single" w:color="auto" w:sz="6" w:space="0"/>
              <w:left w:val="single" w:color="auto" w:sz="6" w:space="0"/>
              <w:bottom w:val="single" w:color="auto" w:sz="6" w:space="0"/>
              <w:right w:val="single" w:color="auto" w:sz="6" w:space="0"/>
            </w:tcBorders>
            <w:vAlign w:val="center"/>
          </w:tcPr>
          <w:p w14:paraId="5D489FE5">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台</w:t>
            </w:r>
          </w:p>
        </w:tc>
      </w:tr>
      <w:tr w14:paraId="0070BB04">
        <w:tblPrEx>
          <w:tblCellMar>
            <w:top w:w="0" w:type="dxa"/>
            <w:left w:w="10" w:type="dxa"/>
            <w:bottom w:w="0" w:type="dxa"/>
            <w:right w:w="10" w:type="dxa"/>
          </w:tblCellMar>
        </w:tblPrEx>
        <w:trPr>
          <w:trHeight w:val="568" w:hRule="atLeast"/>
        </w:trPr>
        <w:tc>
          <w:tcPr>
            <w:tcW w:w="500" w:type="dxa"/>
            <w:tcBorders>
              <w:top w:val="single" w:color="auto" w:sz="6" w:space="0"/>
              <w:left w:val="single" w:color="auto" w:sz="6" w:space="0"/>
              <w:bottom w:val="single" w:color="auto" w:sz="6" w:space="0"/>
              <w:right w:val="single" w:color="auto" w:sz="6" w:space="0"/>
            </w:tcBorders>
            <w:vAlign w:val="center"/>
          </w:tcPr>
          <w:p w14:paraId="49D98F33">
            <w:pPr>
              <w:pStyle w:val="22"/>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3</w:t>
            </w:r>
          </w:p>
        </w:tc>
        <w:tc>
          <w:tcPr>
            <w:tcW w:w="945" w:type="dxa"/>
            <w:tcBorders>
              <w:top w:val="single" w:color="auto" w:sz="6" w:space="0"/>
              <w:left w:val="nil"/>
              <w:bottom w:val="single" w:color="auto" w:sz="6" w:space="0"/>
              <w:right w:val="single" w:color="auto" w:sz="6" w:space="0"/>
            </w:tcBorders>
            <w:vAlign w:val="center"/>
          </w:tcPr>
          <w:p w14:paraId="2BD132CA">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灯控开关</w:t>
            </w:r>
          </w:p>
        </w:tc>
        <w:tc>
          <w:tcPr>
            <w:tcW w:w="6875" w:type="dxa"/>
            <w:tcBorders>
              <w:top w:val="single" w:color="auto" w:sz="6" w:space="0"/>
              <w:left w:val="nil"/>
              <w:bottom w:val="single" w:color="auto" w:sz="6" w:space="0"/>
              <w:right w:val="single" w:color="auto" w:sz="6" w:space="0"/>
            </w:tcBorders>
            <w:shd w:val="clear" w:color="auto" w:fill="auto"/>
            <w:vAlign w:val="center"/>
          </w:tcPr>
          <w:p w14:paraId="4CA6562D">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1.按键式灯光控制面板，标准86盒，PVC防火材料；</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2.不少于2路电源控制，最大功率≥2200W，最大电流≥10A, 220V电源供电；</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 xml:space="preserve">3.高强度按压式按键，使用寿命≥100000次； </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4.Bluetooth LE 通讯标准，BLE Mesh广播通讯协议,支持与其他BLE Mesh物联设备信号进行数据通讯；</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5.BLE Mesh自组网技术，无需网关组网，支持Pad直连控制，可通过Pad直连控制灯光开关；</w:t>
            </w:r>
          </w:p>
        </w:tc>
        <w:tc>
          <w:tcPr>
            <w:tcW w:w="567" w:type="dxa"/>
            <w:tcBorders>
              <w:top w:val="single" w:color="auto" w:sz="6" w:space="0"/>
              <w:left w:val="single" w:color="auto" w:sz="6" w:space="0"/>
              <w:bottom w:val="single" w:color="auto" w:sz="6" w:space="0"/>
              <w:right w:val="single" w:color="auto" w:sz="6" w:space="0"/>
            </w:tcBorders>
            <w:vAlign w:val="center"/>
          </w:tcPr>
          <w:p w14:paraId="6A4F3B86">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w:t>
            </w:r>
          </w:p>
        </w:tc>
        <w:tc>
          <w:tcPr>
            <w:tcW w:w="567" w:type="dxa"/>
            <w:tcBorders>
              <w:top w:val="single" w:color="auto" w:sz="6" w:space="0"/>
              <w:left w:val="single" w:color="auto" w:sz="6" w:space="0"/>
              <w:bottom w:val="single" w:color="auto" w:sz="6" w:space="0"/>
              <w:right w:val="single" w:color="auto" w:sz="6" w:space="0"/>
            </w:tcBorders>
            <w:vAlign w:val="center"/>
          </w:tcPr>
          <w:p w14:paraId="215827C9">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个</w:t>
            </w:r>
          </w:p>
        </w:tc>
      </w:tr>
      <w:tr w14:paraId="05FC01F5">
        <w:tblPrEx>
          <w:tblCellMar>
            <w:top w:w="0" w:type="dxa"/>
            <w:left w:w="10" w:type="dxa"/>
            <w:bottom w:w="0" w:type="dxa"/>
            <w:right w:w="10" w:type="dxa"/>
          </w:tblCellMar>
        </w:tblPrEx>
        <w:trPr>
          <w:trHeight w:val="548" w:hRule="atLeast"/>
        </w:trPr>
        <w:tc>
          <w:tcPr>
            <w:tcW w:w="500" w:type="dxa"/>
            <w:tcBorders>
              <w:top w:val="single" w:color="auto" w:sz="6" w:space="0"/>
              <w:left w:val="single" w:color="auto" w:sz="6" w:space="0"/>
              <w:bottom w:val="single" w:color="auto" w:sz="6" w:space="0"/>
              <w:right w:val="single" w:color="auto" w:sz="6" w:space="0"/>
            </w:tcBorders>
            <w:vAlign w:val="center"/>
          </w:tcPr>
          <w:p w14:paraId="725136AC">
            <w:pPr>
              <w:pStyle w:val="22"/>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4</w:t>
            </w:r>
          </w:p>
        </w:tc>
        <w:tc>
          <w:tcPr>
            <w:tcW w:w="945" w:type="dxa"/>
            <w:tcBorders>
              <w:top w:val="single" w:color="auto" w:sz="6" w:space="0"/>
              <w:left w:val="nil"/>
              <w:bottom w:val="single" w:color="auto" w:sz="6" w:space="0"/>
              <w:right w:val="single" w:color="auto" w:sz="6" w:space="0"/>
            </w:tcBorders>
            <w:vAlign w:val="center"/>
          </w:tcPr>
          <w:p w14:paraId="4C6B7DBE">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智能物联红外控制器</w:t>
            </w:r>
          </w:p>
        </w:tc>
        <w:tc>
          <w:tcPr>
            <w:tcW w:w="6875" w:type="dxa"/>
            <w:tcBorders>
              <w:top w:val="single" w:color="auto" w:sz="6" w:space="0"/>
              <w:left w:val="nil"/>
              <w:bottom w:val="single" w:color="auto" w:sz="6" w:space="0"/>
              <w:right w:val="single" w:color="auto" w:sz="6" w:space="0"/>
            </w:tcBorders>
            <w:vAlign w:val="center"/>
          </w:tcPr>
          <w:p w14:paraId="4265FEAE">
            <w:pP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1.红外控制器，支持≥14组红外设备编码学习，控制空调开关、温度和模式调节等；</w:t>
            </w:r>
          </w:p>
          <w:p w14:paraId="5DE82A5B">
            <w:pP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2.BLEMesh自组网技术，无需网关组网，支持Pad直连控制，可通过Pad直连控制空调开关、模式及温度调节；</w:t>
            </w:r>
          </w:p>
          <w:p w14:paraId="2EADDA66">
            <w:pP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3.功耗≤50mA；</w:t>
            </w:r>
          </w:p>
          <w:p w14:paraId="5EA03FC3">
            <w:pP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4.USB接口扩展红外发射；</w:t>
            </w:r>
          </w:p>
          <w:p w14:paraId="66E42CE1">
            <w:pP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5.载波频率：30KHz～60KHz宽幅识别，默认为固定38KHz；</w:t>
            </w:r>
          </w:p>
        </w:tc>
        <w:tc>
          <w:tcPr>
            <w:tcW w:w="567" w:type="dxa"/>
            <w:tcBorders>
              <w:top w:val="single" w:color="auto" w:sz="6" w:space="0"/>
              <w:left w:val="single" w:color="auto" w:sz="6" w:space="0"/>
              <w:bottom w:val="single" w:color="auto" w:sz="6" w:space="0"/>
              <w:right w:val="single" w:color="auto" w:sz="6" w:space="0"/>
            </w:tcBorders>
            <w:vAlign w:val="center"/>
          </w:tcPr>
          <w:p w14:paraId="4D99A199">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4</w:t>
            </w:r>
          </w:p>
        </w:tc>
        <w:tc>
          <w:tcPr>
            <w:tcW w:w="567" w:type="dxa"/>
            <w:tcBorders>
              <w:top w:val="single" w:color="auto" w:sz="6" w:space="0"/>
              <w:left w:val="single" w:color="auto" w:sz="6" w:space="0"/>
              <w:bottom w:val="single" w:color="auto" w:sz="6" w:space="0"/>
              <w:right w:val="single" w:color="auto" w:sz="6" w:space="0"/>
            </w:tcBorders>
            <w:vAlign w:val="center"/>
          </w:tcPr>
          <w:p w14:paraId="16E3957F">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个</w:t>
            </w:r>
          </w:p>
        </w:tc>
      </w:tr>
      <w:tr w14:paraId="19C0D291">
        <w:tblPrEx>
          <w:tblCellMar>
            <w:top w:w="0" w:type="dxa"/>
            <w:left w:w="10" w:type="dxa"/>
            <w:bottom w:w="0" w:type="dxa"/>
            <w:right w:w="10" w:type="dxa"/>
          </w:tblCellMar>
        </w:tblPrEx>
        <w:trPr>
          <w:trHeight w:val="683" w:hRule="atLeast"/>
        </w:trPr>
        <w:tc>
          <w:tcPr>
            <w:tcW w:w="500" w:type="dxa"/>
            <w:tcBorders>
              <w:top w:val="single" w:color="auto" w:sz="6" w:space="0"/>
              <w:left w:val="single" w:color="auto" w:sz="6" w:space="0"/>
              <w:bottom w:val="single" w:color="auto" w:sz="6" w:space="0"/>
              <w:right w:val="single" w:color="auto" w:sz="6" w:space="0"/>
            </w:tcBorders>
            <w:vAlign w:val="center"/>
          </w:tcPr>
          <w:p w14:paraId="0A791EA9">
            <w:pPr>
              <w:pStyle w:val="22"/>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5</w:t>
            </w:r>
          </w:p>
        </w:tc>
        <w:tc>
          <w:tcPr>
            <w:tcW w:w="945" w:type="dxa"/>
            <w:tcBorders>
              <w:top w:val="single" w:color="auto" w:sz="6" w:space="0"/>
              <w:left w:val="nil"/>
              <w:bottom w:val="single" w:color="auto" w:sz="6" w:space="0"/>
              <w:right w:val="single" w:color="auto" w:sz="6" w:space="0"/>
            </w:tcBorders>
            <w:vAlign w:val="center"/>
          </w:tcPr>
          <w:p w14:paraId="59882ED7">
            <w:pPr>
              <w:widowControl/>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bidi="ar"/>
              </w:rPr>
              <w:t>串口控制器</w:t>
            </w:r>
          </w:p>
        </w:tc>
        <w:tc>
          <w:tcPr>
            <w:tcW w:w="6875" w:type="dxa"/>
            <w:tcBorders>
              <w:top w:val="single" w:color="auto" w:sz="6" w:space="0"/>
              <w:left w:val="nil"/>
              <w:bottom w:val="single" w:color="auto" w:sz="6" w:space="0"/>
              <w:right w:val="single" w:color="auto" w:sz="6" w:space="0"/>
            </w:tcBorders>
            <w:shd w:val="clear" w:color="auto" w:fill="auto"/>
            <w:vAlign w:val="center"/>
          </w:tcPr>
          <w:p w14:paraId="2C67688D">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1.需支持控制一体机（投影机）开关；</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2.需支持控制一体机（投影机）信源切换；</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3.使用配套写码软件，用户可自行编写设备控制码；</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4.具备BLEMesh自组网技术，无需网关组网，支持Pad直连控制，可通过Pad直连控制一体机（投影机）电源开关和信源切换；</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5.CONSOLE接口≥1,RS232≥1,RS485≥1，铝合金外壳，两边自带固定安装挂耳，方便安装；</w:t>
            </w:r>
          </w:p>
        </w:tc>
        <w:tc>
          <w:tcPr>
            <w:tcW w:w="567" w:type="dxa"/>
            <w:tcBorders>
              <w:top w:val="single" w:color="auto" w:sz="6" w:space="0"/>
              <w:left w:val="single" w:color="auto" w:sz="6" w:space="0"/>
              <w:bottom w:val="single" w:color="auto" w:sz="6" w:space="0"/>
              <w:right w:val="single" w:color="auto" w:sz="6" w:space="0"/>
            </w:tcBorders>
            <w:vAlign w:val="center"/>
          </w:tcPr>
          <w:p w14:paraId="4D9EFB36">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4</w:t>
            </w:r>
          </w:p>
        </w:tc>
        <w:tc>
          <w:tcPr>
            <w:tcW w:w="567" w:type="dxa"/>
            <w:tcBorders>
              <w:top w:val="single" w:color="auto" w:sz="6" w:space="0"/>
              <w:left w:val="single" w:color="auto" w:sz="6" w:space="0"/>
              <w:bottom w:val="single" w:color="auto" w:sz="6" w:space="0"/>
              <w:right w:val="single" w:color="auto" w:sz="6" w:space="0"/>
            </w:tcBorders>
            <w:vAlign w:val="center"/>
          </w:tcPr>
          <w:p w14:paraId="1F2CF6D9">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个</w:t>
            </w:r>
          </w:p>
        </w:tc>
      </w:tr>
      <w:tr w14:paraId="37318260">
        <w:tblPrEx>
          <w:tblCellMar>
            <w:top w:w="0" w:type="dxa"/>
            <w:left w:w="10" w:type="dxa"/>
            <w:bottom w:w="0" w:type="dxa"/>
            <w:right w:w="10" w:type="dxa"/>
          </w:tblCellMar>
        </w:tblPrEx>
        <w:trPr>
          <w:trHeight w:val="707" w:hRule="atLeast"/>
        </w:trPr>
        <w:tc>
          <w:tcPr>
            <w:tcW w:w="500" w:type="dxa"/>
            <w:tcBorders>
              <w:top w:val="single" w:color="auto" w:sz="6" w:space="0"/>
              <w:left w:val="single" w:color="auto" w:sz="6" w:space="0"/>
              <w:bottom w:val="single" w:color="auto" w:sz="4" w:space="0"/>
              <w:right w:val="single" w:color="auto" w:sz="6" w:space="0"/>
            </w:tcBorders>
            <w:vAlign w:val="center"/>
          </w:tcPr>
          <w:p w14:paraId="5E7F17A3">
            <w:pPr>
              <w:pStyle w:val="22"/>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6</w:t>
            </w:r>
          </w:p>
        </w:tc>
        <w:tc>
          <w:tcPr>
            <w:tcW w:w="945" w:type="dxa"/>
            <w:tcBorders>
              <w:top w:val="single" w:color="auto" w:sz="6" w:space="0"/>
              <w:left w:val="nil"/>
              <w:bottom w:val="single" w:color="auto" w:sz="4" w:space="0"/>
              <w:right w:val="single" w:color="auto" w:sz="6" w:space="0"/>
            </w:tcBorders>
            <w:vAlign w:val="center"/>
          </w:tcPr>
          <w:p w14:paraId="1D1DD950">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窗帘控制器</w:t>
            </w:r>
          </w:p>
        </w:tc>
        <w:tc>
          <w:tcPr>
            <w:tcW w:w="6875" w:type="dxa"/>
            <w:tcBorders>
              <w:top w:val="single" w:color="auto" w:sz="6" w:space="0"/>
              <w:left w:val="nil"/>
              <w:bottom w:val="single" w:color="auto" w:sz="4" w:space="0"/>
              <w:right w:val="single" w:color="auto" w:sz="6" w:space="0"/>
            </w:tcBorders>
            <w:shd w:val="clear" w:color="auto" w:fill="auto"/>
            <w:vAlign w:val="center"/>
          </w:tcPr>
          <w:p w14:paraId="19065D07">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1.提供电动窗帘控制单元，远程控制窗帘开合；</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2.支持对4线/5线窗帘电机的控制，实现电机正/反转及暂停功能；</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3.满足BLEMesh广播通讯协议,支持与其他BLEMesh物联设备信号进行数据通讯；</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4.220V接口≥1,电机接线端子≥1，螺丝固定孔≥2；</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5.最大接入窗帘设备总功率≥1100W；</w:t>
            </w:r>
          </w:p>
        </w:tc>
        <w:tc>
          <w:tcPr>
            <w:tcW w:w="567" w:type="dxa"/>
            <w:tcBorders>
              <w:top w:val="single" w:color="auto" w:sz="6" w:space="0"/>
              <w:left w:val="single" w:color="auto" w:sz="6" w:space="0"/>
              <w:bottom w:val="single" w:color="auto" w:sz="4" w:space="0"/>
              <w:right w:val="single" w:color="auto" w:sz="6" w:space="0"/>
            </w:tcBorders>
            <w:vAlign w:val="center"/>
          </w:tcPr>
          <w:p w14:paraId="50BA9FCC">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7</w:t>
            </w:r>
          </w:p>
        </w:tc>
        <w:tc>
          <w:tcPr>
            <w:tcW w:w="567" w:type="dxa"/>
            <w:tcBorders>
              <w:top w:val="single" w:color="auto" w:sz="6" w:space="0"/>
              <w:left w:val="single" w:color="auto" w:sz="6" w:space="0"/>
              <w:bottom w:val="single" w:color="auto" w:sz="4" w:space="0"/>
              <w:right w:val="single" w:color="auto" w:sz="6" w:space="0"/>
            </w:tcBorders>
            <w:vAlign w:val="center"/>
          </w:tcPr>
          <w:p w14:paraId="06517FE7">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个</w:t>
            </w:r>
          </w:p>
        </w:tc>
      </w:tr>
      <w:tr w14:paraId="6782DF7F">
        <w:tblPrEx>
          <w:tblCellMar>
            <w:top w:w="0" w:type="dxa"/>
            <w:left w:w="10" w:type="dxa"/>
            <w:bottom w:w="0" w:type="dxa"/>
            <w:right w:w="10" w:type="dxa"/>
          </w:tblCellMar>
        </w:tblPrEx>
        <w:trPr>
          <w:trHeight w:val="552" w:hRule="atLeast"/>
        </w:trPr>
        <w:tc>
          <w:tcPr>
            <w:tcW w:w="500" w:type="dxa"/>
            <w:tcBorders>
              <w:top w:val="single" w:color="auto" w:sz="4" w:space="0"/>
              <w:left w:val="single" w:color="auto" w:sz="6" w:space="0"/>
              <w:bottom w:val="single" w:color="auto" w:sz="4" w:space="0"/>
              <w:right w:val="single" w:color="auto" w:sz="6" w:space="0"/>
            </w:tcBorders>
            <w:vAlign w:val="center"/>
          </w:tcPr>
          <w:p w14:paraId="57905B6F">
            <w:pPr>
              <w:pStyle w:val="22"/>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7</w:t>
            </w:r>
          </w:p>
        </w:tc>
        <w:tc>
          <w:tcPr>
            <w:tcW w:w="945" w:type="dxa"/>
            <w:tcBorders>
              <w:top w:val="single" w:color="auto" w:sz="4" w:space="0"/>
              <w:left w:val="nil"/>
              <w:bottom w:val="single" w:color="auto" w:sz="4" w:space="0"/>
              <w:right w:val="single" w:color="auto" w:sz="6" w:space="0"/>
            </w:tcBorders>
            <w:vAlign w:val="center"/>
          </w:tcPr>
          <w:p w14:paraId="3DA4B4D0">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窗帘电机</w:t>
            </w:r>
          </w:p>
        </w:tc>
        <w:tc>
          <w:tcPr>
            <w:tcW w:w="6875" w:type="dxa"/>
            <w:tcBorders>
              <w:top w:val="single" w:color="auto" w:sz="4" w:space="0"/>
              <w:left w:val="nil"/>
              <w:bottom w:val="single" w:color="auto" w:sz="4" w:space="0"/>
              <w:right w:val="single" w:color="auto" w:sz="6" w:space="0"/>
            </w:tcBorders>
            <w:shd w:val="clear" w:color="auto" w:fill="auto"/>
            <w:vAlign w:val="center"/>
          </w:tcPr>
          <w:p w14:paraId="56B89447">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1.支持轻开轻合、手拉启动、遇阻停止；</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2.支持控制方式：无线遥控，弱电开关，强电开关，RS485控制；</w:t>
            </w:r>
          </w:p>
        </w:tc>
        <w:tc>
          <w:tcPr>
            <w:tcW w:w="567" w:type="dxa"/>
            <w:tcBorders>
              <w:top w:val="single" w:color="auto" w:sz="4" w:space="0"/>
              <w:left w:val="single" w:color="auto" w:sz="6" w:space="0"/>
              <w:bottom w:val="single" w:color="auto" w:sz="4" w:space="0"/>
              <w:right w:val="single" w:color="auto" w:sz="6" w:space="0"/>
            </w:tcBorders>
            <w:vAlign w:val="center"/>
          </w:tcPr>
          <w:p w14:paraId="0F06252D">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7</w:t>
            </w:r>
          </w:p>
        </w:tc>
        <w:tc>
          <w:tcPr>
            <w:tcW w:w="567" w:type="dxa"/>
            <w:tcBorders>
              <w:top w:val="single" w:color="auto" w:sz="4" w:space="0"/>
              <w:left w:val="single" w:color="auto" w:sz="6" w:space="0"/>
              <w:bottom w:val="single" w:color="auto" w:sz="4" w:space="0"/>
              <w:right w:val="single" w:color="auto" w:sz="6" w:space="0"/>
            </w:tcBorders>
            <w:vAlign w:val="center"/>
          </w:tcPr>
          <w:p w14:paraId="27D32139">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台</w:t>
            </w:r>
          </w:p>
        </w:tc>
      </w:tr>
      <w:tr w14:paraId="0399B189">
        <w:tblPrEx>
          <w:tblCellMar>
            <w:top w:w="0" w:type="dxa"/>
            <w:left w:w="10" w:type="dxa"/>
            <w:bottom w:w="0" w:type="dxa"/>
            <w:right w:w="10" w:type="dxa"/>
          </w:tblCellMar>
        </w:tblPrEx>
        <w:trPr>
          <w:trHeight w:val="563" w:hRule="atLeast"/>
        </w:trPr>
        <w:tc>
          <w:tcPr>
            <w:tcW w:w="500" w:type="dxa"/>
            <w:tcBorders>
              <w:top w:val="single" w:color="auto" w:sz="4" w:space="0"/>
              <w:left w:val="single" w:color="auto" w:sz="6" w:space="0"/>
              <w:bottom w:val="single" w:color="auto" w:sz="4" w:space="0"/>
              <w:right w:val="single" w:color="auto" w:sz="6" w:space="0"/>
            </w:tcBorders>
            <w:vAlign w:val="center"/>
          </w:tcPr>
          <w:p w14:paraId="3439E772">
            <w:pPr>
              <w:pStyle w:val="22"/>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8</w:t>
            </w:r>
          </w:p>
        </w:tc>
        <w:tc>
          <w:tcPr>
            <w:tcW w:w="945" w:type="dxa"/>
            <w:tcBorders>
              <w:top w:val="single" w:color="auto" w:sz="4" w:space="0"/>
              <w:left w:val="nil"/>
              <w:bottom w:val="single" w:color="auto" w:sz="4" w:space="0"/>
              <w:right w:val="single" w:color="auto" w:sz="6" w:space="0"/>
            </w:tcBorders>
            <w:vAlign w:val="center"/>
          </w:tcPr>
          <w:p w14:paraId="5DA5F7C5">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窗帘轨道</w:t>
            </w:r>
          </w:p>
        </w:tc>
        <w:tc>
          <w:tcPr>
            <w:tcW w:w="6875" w:type="dxa"/>
            <w:tcBorders>
              <w:top w:val="single" w:color="auto" w:sz="4" w:space="0"/>
              <w:left w:val="nil"/>
              <w:bottom w:val="single" w:color="auto" w:sz="4" w:space="0"/>
              <w:right w:val="single" w:color="auto" w:sz="6" w:space="0"/>
            </w:tcBorders>
            <w:shd w:val="clear" w:color="auto" w:fill="auto"/>
            <w:vAlign w:val="center"/>
          </w:tcPr>
          <w:p w14:paraId="122BAEF7">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双开窗帘电机配套导轨：1米≤导轨≤6米</w:t>
            </w:r>
          </w:p>
        </w:tc>
        <w:tc>
          <w:tcPr>
            <w:tcW w:w="567" w:type="dxa"/>
            <w:tcBorders>
              <w:top w:val="single" w:color="auto" w:sz="4" w:space="0"/>
              <w:left w:val="single" w:color="auto" w:sz="6" w:space="0"/>
              <w:bottom w:val="single" w:color="auto" w:sz="4" w:space="0"/>
              <w:right w:val="single" w:color="auto" w:sz="6" w:space="0"/>
            </w:tcBorders>
            <w:vAlign w:val="center"/>
          </w:tcPr>
          <w:p w14:paraId="7242A534">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21</w:t>
            </w:r>
          </w:p>
        </w:tc>
        <w:tc>
          <w:tcPr>
            <w:tcW w:w="567" w:type="dxa"/>
            <w:tcBorders>
              <w:top w:val="single" w:color="auto" w:sz="4" w:space="0"/>
              <w:left w:val="single" w:color="auto" w:sz="6" w:space="0"/>
              <w:bottom w:val="single" w:color="auto" w:sz="4" w:space="0"/>
              <w:right w:val="single" w:color="auto" w:sz="6" w:space="0"/>
            </w:tcBorders>
            <w:vAlign w:val="center"/>
          </w:tcPr>
          <w:p w14:paraId="22881058">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米</w:t>
            </w:r>
          </w:p>
        </w:tc>
      </w:tr>
      <w:tr w14:paraId="1E5BC4F9">
        <w:tblPrEx>
          <w:tblCellMar>
            <w:top w:w="0" w:type="dxa"/>
            <w:left w:w="10" w:type="dxa"/>
            <w:bottom w:w="0" w:type="dxa"/>
            <w:right w:w="10" w:type="dxa"/>
          </w:tblCellMar>
        </w:tblPrEx>
        <w:trPr>
          <w:trHeight w:val="543" w:hRule="atLeast"/>
        </w:trPr>
        <w:tc>
          <w:tcPr>
            <w:tcW w:w="500" w:type="dxa"/>
            <w:tcBorders>
              <w:top w:val="single" w:color="auto" w:sz="4" w:space="0"/>
              <w:left w:val="single" w:color="auto" w:sz="6" w:space="0"/>
              <w:bottom w:val="single" w:color="auto" w:sz="4" w:space="0"/>
              <w:right w:val="single" w:color="auto" w:sz="6" w:space="0"/>
            </w:tcBorders>
            <w:vAlign w:val="center"/>
          </w:tcPr>
          <w:p w14:paraId="0912AF64">
            <w:pPr>
              <w:pStyle w:val="22"/>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9</w:t>
            </w:r>
          </w:p>
        </w:tc>
        <w:tc>
          <w:tcPr>
            <w:tcW w:w="945" w:type="dxa"/>
            <w:tcBorders>
              <w:top w:val="single" w:color="auto" w:sz="4" w:space="0"/>
              <w:left w:val="nil"/>
              <w:bottom w:val="single" w:color="auto" w:sz="4" w:space="0"/>
              <w:right w:val="single" w:color="auto" w:sz="6" w:space="0"/>
            </w:tcBorders>
            <w:vAlign w:val="center"/>
          </w:tcPr>
          <w:p w14:paraId="21BB3C26">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电源控制器</w:t>
            </w:r>
          </w:p>
        </w:tc>
        <w:tc>
          <w:tcPr>
            <w:tcW w:w="6875" w:type="dxa"/>
            <w:tcBorders>
              <w:top w:val="single" w:color="auto" w:sz="4" w:space="0"/>
              <w:left w:val="nil"/>
              <w:bottom w:val="single" w:color="auto" w:sz="4" w:space="0"/>
              <w:right w:val="single" w:color="auto" w:sz="6" w:space="0"/>
            </w:tcBorders>
            <w:shd w:val="clear" w:color="auto" w:fill="auto"/>
            <w:vAlign w:val="center"/>
          </w:tcPr>
          <w:p w14:paraId="44F38379">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1.支持≥4路电源控制，控制电源开关，单路电流≥50A，单路最大功率≥11000W；</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2.满足BLEMesh自组网技术，无需网关组网，支持Pad直连控制，可通过Pad直连控制≥4路电源开关；</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3.带≥4位手动控制开关，2路485接口，支持与RS485转换器进行有线数据通讯；</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4.采用磁保持继电器，继电器工作时不产生热量，稳定可靠；</w:t>
            </w:r>
          </w:p>
        </w:tc>
        <w:tc>
          <w:tcPr>
            <w:tcW w:w="567" w:type="dxa"/>
            <w:tcBorders>
              <w:top w:val="single" w:color="auto" w:sz="4" w:space="0"/>
              <w:left w:val="single" w:color="auto" w:sz="6" w:space="0"/>
              <w:bottom w:val="single" w:color="auto" w:sz="4" w:space="0"/>
              <w:right w:val="single" w:color="auto" w:sz="6" w:space="0"/>
            </w:tcBorders>
            <w:vAlign w:val="center"/>
          </w:tcPr>
          <w:p w14:paraId="6DBF211D">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w:t>
            </w:r>
          </w:p>
        </w:tc>
        <w:tc>
          <w:tcPr>
            <w:tcW w:w="567" w:type="dxa"/>
            <w:tcBorders>
              <w:top w:val="single" w:color="auto" w:sz="4" w:space="0"/>
              <w:left w:val="single" w:color="auto" w:sz="6" w:space="0"/>
              <w:bottom w:val="single" w:color="auto" w:sz="4" w:space="0"/>
              <w:right w:val="single" w:color="auto" w:sz="6" w:space="0"/>
            </w:tcBorders>
            <w:vAlign w:val="center"/>
          </w:tcPr>
          <w:p w14:paraId="6EC685ED">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台</w:t>
            </w:r>
          </w:p>
        </w:tc>
      </w:tr>
      <w:tr w14:paraId="171DEEE1">
        <w:tblPrEx>
          <w:tblCellMar>
            <w:top w:w="0" w:type="dxa"/>
            <w:left w:w="10" w:type="dxa"/>
            <w:bottom w:w="0" w:type="dxa"/>
            <w:right w:w="10" w:type="dxa"/>
          </w:tblCellMar>
        </w:tblPrEx>
        <w:trPr>
          <w:trHeight w:val="704" w:hRule="atLeast"/>
        </w:trPr>
        <w:tc>
          <w:tcPr>
            <w:tcW w:w="500" w:type="dxa"/>
            <w:tcBorders>
              <w:top w:val="single" w:color="auto" w:sz="4" w:space="0"/>
              <w:left w:val="single" w:color="auto" w:sz="6" w:space="0"/>
              <w:bottom w:val="single" w:color="auto" w:sz="4" w:space="0"/>
              <w:right w:val="single" w:color="auto" w:sz="6" w:space="0"/>
            </w:tcBorders>
            <w:vAlign w:val="center"/>
          </w:tcPr>
          <w:p w14:paraId="64D9F0AC">
            <w:pPr>
              <w:pStyle w:val="22"/>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10</w:t>
            </w:r>
          </w:p>
        </w:tc>
        <w:tc>
          <w:tcPr>
            <w:tcW w:w="945" w:type="dxa"/>
            <w:tcBorders>
              <w:top w:val="single" w:color="auto" w:sz="4" w:space="0"/>
              <w:left w:val="nil"/>
              <w:bottom w:val="single" w:color="auto" w:sz="4" w:space="0"/>
              <w:right w:val="single" w:color="auto" w:sz="6" w:space="0"/>
            </w:tcBorders>
            <w:vAlign w:val="center"/>
          </w:tcPr>
          <w:p w14:paraId="37AF87F5">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通用墙面插座</w:t>
            </w:r>
          </w:p>
        </w:tc>
        <w:tc>
          <w:tcPr>
            <w:tcW w:w="6875" w:type="dxa"/>
            <w:tcBorders>
              <w:top w:val="single" w:color="auto" w:sz="4" w:space="0"/>
              <w:left w:val="nil"/>
              <w:bottom w:val="single" w:color="auto" w:sz="4" w:space="0"/>
              <w:right w:val="single" w:color="auto" w:sz="6" w:space="0"/>
            </w:tcBorders>
            <w:vAlign w:val="center"/>
          </w:tcPr>
          <w:p w14:paraId="2491CCC2">
            <w:pP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1.标准86盒二三插智能墙插面板；</w:t>
            </w:r>
          </w:p>
          <w:p w14:paraId="0868EA59">
            <w:pP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2.输入AC100-240V50/60Hz；</w:t>
            </w:r>
          </w:p>
          <w:p w14:paraId="3BF310D4">
            <w:pP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3.负载功率:≥2200W；</w:t>
            </w:r>
          </w:p>
          <w:p w14:paraId="76D96D34">
            <w:pP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4.需带手动按键开关及开关状态指示灯；</w:t>
            </w:r>
          </w:p>
          <w:p w14:paraId="3D914135">
            <w:pP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5.满足BLEMesh自组网技术，无需网关组网，支持Pad直连控制，可通过Pad直连控制插座电源开关；</w:t>
            </w:r>
          </w:p>
        </w:tc>
        <w:tc>
          <w:tcPr>
            <w:tcW w:w="567" w:type="dxa"/>
            <w:tcBorders>
              <w:top w:val="single" w:color="auto" w:sz="4" w:space="0"/>
              <w:left w:val="single" w:color="auto" w:sz="6" w:space="0"/>
              <w:bottom w:val="single" w:color="auto" w:sz="4" w:space="0"/>
              <w:right w:val="single" w:color="auto" w:sz="6" w:space="0"/>
            </w:tcBorders>
            <w:vAlign w:val="center"/>
          </w:tcPr>
          <w:p w14:paraId="771587A5">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10</w:t>
            </w:r>
          </w:p>
        </w:tc>
        <w:tc>
          <w:tcPr>
            <w:tcW w:w="567" w:type="dxa"/>
            <w:tcBorders>
              <w:top w:val="single" w:color="auto" w:sz="4" w:space="0"/>
              <w:left w:val="single" w:color="auto" w:sz="6" w:space="0"/>
              <w:bottom w:val="single" w:color="auto" w:sz="4" w:space="0"/>
              <w:right w:val="single" w:color="auto" w:sz="6" w:space="0"/>
            </w:tcBorders>
            <w:vAlign w:val="center"/>
          </w:tcPr>
          <w:p w14:paraId="64F66EF8">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个</w:t>
            </w:r>
          </w:p>
        </w:tc>
      </w:tr>
      <w:tr w14:paraId="45095B9D">
        <w:tblPrEx>
          <w:tblCellMar>
            <w:top w:w="0" w:type="dxa"/>
            <w:left w:w="10" w:type="dxa"/>
            <w:bottom w:w="0" w:type="dxa"/>
            <w:right w:w="10" w:type="dxa"/>
          </w:tblCellMar>
        </w:tblPrEx>
        <w:trPr>
          <w:trHeight w:val="704" w:hRule="atLeast"/>
        </w:trPr>
        <w:tc>
          <w:tcPr>
            <w:tcW w:w="500" w:type="dxa"/>
            <w:tcBorders>
              <w:top w:val="single" w:color="auto" w:sz="4" w:space="0"/>
              <w:left w:val="single" w:color="auto" w:sz="6" w:space="0"/>
              <w:bottom w:val="single" w:color="auto" w:sz="4" w:space="0"/>
              <w:right w:val="single" w:color="auto" w:sz="6" w:space="0"/>
            </w:tcBorders>
            <w:vAlign w:val="center"/>
          </w:tcPr>
          <w:p w14:paraId="2F7CA351">
            <w:pPr>
              <w:pStyle w:val="22"/>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11</w:t>
            </w:r>
          </w:p>
        </w:tc>
        <w:tc>
          <w:tcPr>
            <w:tcW w:w="945" w:type="dxa"/>
            <w:tcBorders>
              <w:top w:val="single" w:color="auto" w:sz="4" w:space="0"/>
              <w:left w:val="nil"/>
              <w:bottom w:val="single" w:color="auto" w:sz="4" w:space="0"/>
              <w:right w:val="single" w:color="auto" w:sz="6" w:space="0"/>
            </w:tcBorders>
            <w:vAlign w:val="center"/>
          </w:tcPr>
          <w:p w14:paraId="7649FD7D">
            <w:pPr>
              <w:widowControl/>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电量监测器</w:t>
            </w:r>
          </w:p>
        </w:tc>
        <w:tc>
          <w:tcPr>
            <w:tcW w:w="6875" w:type="dxa"/>
            <w:tcBorders>
              <w:top w:val="single" w:color="auto" w:sz="4" w:space="0"/>
              <w:left w:val="nil"/>
              <w:bottom w:val="single" w:color="auto" w:sz="4" w:space="0"/>
              <w:right w:val="single" w:color="auto" w:sz="6" w:space="0"/>
            </w:tcBorders>
            <w:vAlign w:val="center"/>
          </w:tcPr>
          <w:p w14:paraId="4022FE10">
            <w:pP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1.≥4路电流电压监测预警设备，单路监测电流≥50A；</w:t>
            </w:r>
          </w:p>
          <w:p w14:paraId="197984C1">
            <w:pP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2.标配电量检测统计功能和电流预警功能；</w:t>
            </w:r>
          </w:p>
          <w:p w14:paraId="65E6AAE4">
            <w:pP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3.满足BLEMesh广播通讯协议,支持与其他BLEMesh物联设备信号进行数据通讯；</w:t>
            </w:r>
          </w:p>
          <w:p w14:paraId="7334A514">
            <w:pP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4.内置蜂鸣器，超过警戒电流现场蜂鸣报警；</w:t>
            </w:r>
          </w:p>
        </w:tc>
        <w:tc>
          <w:tcPr>
            <w:tcW w:w="567" w:type="dxa"/>
            <w:tcBorders>
              <w:top w:val="single" w:color="auto" w:sz="4" w:space="0"/>
              <w:left w:val="single" w:color="auto" w:sz="6" w:space="0"/>
              <w:bottom w:val="single" w:color="auto" w:sz="4" w:space="0"/>
              <w:right w:val="single" w:color="auto" w:sz="6" w:space="0"/>
            </w:tcBorders>
            <w:vAlign w:val="center"/>
          </w:tcPr>
          <w:p w14:paraId="20BB333B">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w:t>
            </w:r>
          </w:p>
        </w:tc>
        <w:tc>
          <w:tcPr>
            <w:tcW w:w="567" w:type="dxa"/>
            <w:tcBorders>
              <w:top w:val="single" w:color="auto" w:sz="4" w:space="0"/>
              <w:left w:val="single" w:color="auto" w:sz="6" w:space="0"/>
              <w:bottom w:val="single" w:color="auto" w:sz="4" w:space="0"/>
              <w:right w:val="single" w:color="auto" w:sz="6" w:space="0"/>
            </w:tcBorders>
            <w:vAlign w:val="center"/>
          </w:tcPr>
          <w:p w14:paraId="3E3D298E">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个</w:t>
            </w:r>
          </w:p>
        </w:tc>
      </w:tr>
      <w:tr w14:paraId="01FA951A">
        <w:tblPrEx>
          <w:tblCellMar>
            <w:top w:w="0" w:type="dxa"/>
            <w:left w:w="10" w:type="dxa"/>
            <w:bottom w:w="0" w:type="dxa"/>
            <w:right w:w="10" w:type="dxa"/>
          </w:tblCellMar>
        </w:tblPrEx>
        <w:trPr>
          <w:trHeight w:val="704" w:hRule="atLeast"/>
        </w:trPr>
        <w:tc>
          <w:tcPr>
            <w:tcW w:w="500" w:type="dxa"/>
            <w:tcBorders>
              <w:top w:val="single" w:color="auto" w:sz="4" w:space="0"/>
              <w:left w:val="single" w:color="auto" w:sz="6" w:space="0"/>
              <w:bottom w:val="single" w:color="auto" w:sz="4" w:space="0"/>
              <w:right w:val="single" w:color="auto" w:sz="6" w:space="0"/>
            </w:tcBorders>
            <w:vAlign w:val="center"/>
          </w:tcPr>
          <w:p w14:paraId="75E0615F">
            <w:pPr>
              <w:pStyle w:val="22"/>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12</w:t>
            </w:r>
          </w:p>
        </w:tc>
        <w:tc>
          <w:tcPr>
            <w:tcW w:w="945" w:type="dxa"/>
            <w:tcBorders>
              <w:top w:val="single" w:color="auto" w:sz="4" w:space="0"/>
              <w:left w:val="nil"/>
              <w:bottom w:val="single" w:color="auto" w:sz="4" w:space="0"/>
              <w:right w:val="single" w:color="auto" w:sz="6" w:space="0"/>
            </w:tcBorders>
            <w:vAlign w:val="center"/>
          </w:tcPr>
          <w:p w14:paraId="7AA8DFCE">
            <w:pPr>
              <w:widowControl/>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温湿度传感器</w:t>
            </w:r>
          </w:p>
        </w:tc>
        <w:tc>
          <w:tcPr>
            <w:tcW w:w="6875" w:type="dxa"/>
            <w:tcBorders>
              <w:top w:val="single" w:color="auto" w:sz="4" w:space="0"/>
              <w:left w:val="nil"/>
              <w:bottom w:val="single" w:color="auto" w:sz="4" w:space="0"/>
              <w:right w:val="single" w:color="auto" w:sz="6" w:space="0"/>
            </w:tcBorders>
            <w:vAlign w:val="center"/>
          </w:tcPr>
          <w:p w14:paraId="07F0F4E2">
            <w:pP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1.照度检测范围0-65535Lux（最大），紫外线强度0-15000uW/cm²；</w:t>
            </w:r>
          </w:p>
          <w:p w14:paraId="41EF2997">
            <w:pP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2.温度量程：-40-125℃摄氏度；</w:t>
            </w:r>
          </w:p>
          <w:p w14:paraId="0F1B5522">
            <w:pP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3.湿度量程：0-100RH%；</w:t>
            </w:r>
          </w:p>
          <w:p w14:paraId="63EE8814">
            <w:pP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4.满足BLEMesh广播通讯协议,支持与其他BLEMesh物联设备信号进行数据通讯；</w:t>
            </w:r>
          </w:p>
        </w:tc>
        <w:tc>
          <w:tcPr>
            <w:tcW w:w="567" w:type="dxa"/>
            <w:tcBorders>
              <w:top w:val="single" w:color="auto" w:sz="4" w:space="0"/>
              <w:left w:val="single" w:color="auto" w:sz="6" w:space="0"/>
              <w:bottom w:val="single" w:color="auto" w:sz="4" w:space="0"/>
              <w:right w:val="single" w:color="auto" w:sz="6" w:space="0"/>
            </w:tcBorders>
            <w:vAlign w:val="center"/>
          </w:tcPr>
          <w:p w14:paraId="4F104979">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w:t>
            </w:r>
          </w:p>
        </w:tc>
        <w:tc>
          <w:tcPr>
            <w:tcW w:w="567" w:type="dxa"/>
            <w:tcBorders>
              <w:top w:val="single" w:color="auto" w:sz="4" w:space="0"/>
              <w:left w:val="single" w:color="auto" w:sz="6" w:space="0"/>
              <w:bottom w:val="single" w:color="auto" w:sz="4" w:space="0"/>
              <w:right w:val="single" w:color="auto" w:sz="6" w:space="0"/>
            </w:tcBorders>
            <w:vAlign w:val="center"/>
          </w:tcPr>
          <w:p w14:paraId="61DB5510">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个</w:t>
            </w:r>
          </w:p>
        </w:tc>
      </w:tr>
      <w:tr w14:paraId="7F7CD9ED">
        <w:tblPrEx>
          <w:tblCellMar>
            <w:top w:w="0" w:type="dxa"/>
            <w:left w:w="10" w:type="dxa"/>
            <w:bottom w:w="0" w:type="dxa"/>
            <w:right w:w="10" w:type="dxa"/>
          </w:tblCellMar>
        </w:tblPrEx>
        <w:trPr>
          <w:trHeight w:val="704" w:hRule="atLeast"/>
        </w:trPr>
        <w:tc>
          <w:tcPr>
            <w:tcW w:w="500" w:type="dxa"/>
            <w:tcBorders>
              <w:top w:val="single" w:color="auto" w:sz="4" w:space="0"/>
              <w:left w:val="single" w:color="auto" w:sz="6" w:space="0"/>
              <w:bottom w:val="single" w:color="auto" w:sz="4" w:space="0"/>
              <w:right w:val="single" w:color="auto" w:sz="6" w:space="0"/>
            </w:tcBorders>
            <w:vAlign w:val="center"/>
          </w:tcPr>
          <w:p w14:paraId="019DEDF8">
            <w:pPr>
              <w:pStyle w:val="22"/>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13</w:t>
            </w:r>
          </w:p>
        </w:tc>
        <w:tc>
          <w:tcPr>
            <w:tcW w:w="945" w:type="dxa"/>
            <w:tcBorders>
              <w:top w:val="single" w:color="auto" w:sz="4" w:space="0"/>
              <w:left w:val="nil"/>
              <w:bottom w:val="single" w:color="auto" w:sz="4" w:space="0"/>
              <w:right w:val="single" w:color="auto" w:sz="6" w:space="0"/>
            </w:tcBorders>
            <w:vAlign w:val="center"/>
          </w:tcPr>
          <w:p w14:paraId="4629E4CA">
            <w:pPr>
              <w:widowControl/>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环境传感器</w:t>
            </w:r>
          </w:p>
        </w:tc>
        <w:tc>
          <w:tcPr>
            <w:tcW w:w="6875" w:type="dxa"/>
            <w:tcBorders>
              <w:top w:val="single" w:color="auto" w:sz="4" w:space="0"/>
              <w:left w:val="nil"/>
              <w:bottom w:val="single" w:color="auto" w:sz="4" w:space="0"/>
              <w:right w:val="single" w:color="auto" w:sz="6" w:space="0"/>
            </w:tcBorders>
            <w:vAlign w:val="center"/>
          </w:tcPr>
          <w:p w14:paraId="13E800DF">
            <w:pP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1.具备二氧化碳，PM2.5，TVOC,甲醛四合一检测一体化无线通信传感设备功能；</w:t>
            </w:r>
          </w:p>
          <w:p w14:paraId="46761486">
            <w:pP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2.满足eCO2测量分辨率1ppm,测量范围400~5000ppm；</w:t>
            </w:r>
          </w:p>
          <w:p w14:paraId="3AFE2448">
            <w:pP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3.满足PM2.5测量分辨率0.3ug/立方米，测量范围0~1000ug/立方米；</w:t>
            </w:r>
          </w:p>
          <w:p w14:paraId="42C2C28F">
            <w:pP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4.满足TVOC测量分辨率1ug/立方米，测量最大值不小于1230ug/立方米；</w:t>
            </w:r>
          </w:p>
          <w:p w14:paraId="44AED113">
            <w:pP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5.满足甲醛测量分辨率1ug/立方米，测量最大值不小于500ug/立方米；</w:t>
            </w:r>
          </w:p>
          <w:p w14:paraId="019799AD">
            <w:pP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6.温度量程：-40-100℃摄氏度，湿度量程：0-100RH%；</w:t>
            </w:r>
          </w:p>
          <w:p w14:paraId="7A201FEA">
            <w:pP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7.满足BLEMesh广播通讯协议,支持与其他蓝牙BLEMesh物联设备信号进行数据通讯；</w:t>
            </w:r>
          </w:p>
        </w:tc>
        <w:tc>
          <w:tcPr>
            <w:tcW w:w="567" w:type="dxa"/>
            <w:tcBorders>
              <w:top w:val="single" w:color="auto" w:sz="4" w:space="0"/>
              <w:left w:val="single" w:color="auto" w:sz="6" w:space="0"/>
              <w:bottom w:val="single" w:color="auto" w:sz="4" w:space="0"/>
              <w:right w:val="single" w:color="auto" w:sz="6" w:space="0"/>
            </w:tcBorders>
            <w:vAlign w:val="center"/>
          </w:tcPr>
          <w:p w14:paraId="6982E272">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w:t>
            </w:r>
          </w:p>
        </w:tc>
        <w:tc>
          <w:tcPr>
            <w:tcW w:w="567" w:type="dxa"/>
            <w:tcBorders>
              <w:top w:val="single" w:color="auto" w:sz="4" w:space="0"/>
              <w:left w:val="single" w:color="auto" w:sz="6" w:space="0"/>
              <w:bottom w:val="single" w:color="auto" w:sz="4" w:space="0"/>
              <w:right w:val="single" w:color="auto" w:sz="6" w:space="0"/>
            </w:tcBorders>
            <w:vAlign w:val="center"/>
          </w:tcPr>
          <w:p w14:paraId="3FB4C321">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个</w:t>
            </w:r>
          </w:p>
        </w:tc>
      </w:tr>
      <w:tr w14:paraId="5414D4EC">
        <w:tblPrEx>
          <w:tblCellMar>
            <w:top w:w="0" w:type="dxa"/>
            <w:left w:w="10" w:type="dxa"/>
            <w:bottom w:w="0" w:type="dxa"/>
            <w:right w:w="10" w:type="dxa"/>
          </w:tblCellMar>
        </w:tblPrEx>
        <w:trPr>
          <w:trHeight w:val="704" w:hRule="atLeast"/>
        </w:trPr>
        <w:tc>
          <w:tcPr>
            <w:tcW w:w="500" w:type="dxa"/>
            <w:tcBorders>
              <w:top w:val="single" w:color="auto" w:sz="4" w:space="0"/>
              <w:left w:val="single" w:color="auto" w:sz="6" w:space="0"/>
              <w:bottom w:val="single" w:color="auto" w:sz="4" w:space="0"/>
              <w:right w:val="single" w:color="auto" w:sz="6" w:space="0"/>
            </w:tcBorders>
            <w:vAlign w:val="center"/>
          </w:tcPr>
          <w:p w14:paraId="0F054DF5">
            <w:pPr>
              <w:pStyle w:val="22"/>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14</w:t>
            </w:r>
          </w:p>
        </w:tc>
        <w:tc>
          <w:tcPr>
            <w:tcW w:w="945" w:type="dxa"/>
            <w:tcBorders>
              <w:top w:val="single" w:color="auto" w:sz="4" w:space="0"/>
              <w:left w:val="nil"/>
              <w:bottom w:val="single" w:color="auto" w:sz="4" w:space="0"/>
              <w:right w:val="single" w:color="auto" w:sz="6" w:space="0"/>
            </w:tcBorders>
            <w:vAlign w:val="center"/>
          </w:tcPr>
          <w:p w14:paraId="4DFBEBB5">
            <w:pPr>
              <w:widowControl/>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空调墙面插座</w:t>
            </w:r>
          </w:p>
        </w:tc>
        <w:tc>
          <w:tcPr>
            <w:tcW w:w="6875" w:type="dxa"/>
            <w:tcBorders>
              <w:top w:val="single" w:color="auto" w:sz="4" w:space="0"/>
              <w:left w:val="nil"/>
              <w:bottom w:val="single" w:color="auto" w:sz="4" w:space="0"/>
              <w:right w:val="single" w:color="auto" w:sz="6" w:space="0"/>
            </w:tcBorders>
            <w:vAlign w:val="center"/>
          </w:tcPr>
          <w:p w14:paraId="370F9F1D">
            <w:pP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1.标准86盒三插智能空调专用墙插面板；</w:t>
            </w:r>
          </w:p>
          <w:p w14:paraId="6D57DE5E">
            <w:pP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2.输入AC100-240V50/60Hz；</w:t>
            </w:r>
          </w:p>
          <w:p w14:paraId="5EFABD40">
            <w:pP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3.负载功率:≥3500W；</w:t>
            </w:r>
          </w:p>
          <w:p w14:paraId="543B18E4">
            <w:pP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4.带手动按键开关及开关状态指示灯；</w:t>
            </w:r>
          </w:p>
          <w:p w14:paraId="580C78D9">
            <w:pP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5.BLEMesh自组网技术，无需网关组网，支持Pad直连控制，可通过Pad直连控制插座电源开关；</w:t>
            </w:r>
          </w:p>
        </w:tc>
        <w:tc>
          <w:tcPr>
            <w:tcW w:w="567" w:type="dxa"/>
            <w:tcBorders>
              <w:top w:val="single" w:color="auto" w:sz="4" w:space="0"/>
              <w:left w:val="single" w:color="auto" w:sz="6" w:space="0"/>
              <w:bottom w:val="single" w:color="auto" w:sz="4" w:space="0"/>
              <w:right w:val="single" w:color="auto" w:sz="6" w:space="0"/>
            </w:tcBorders>
            <w:vAlign w:val="center"/>
          </w:tcPr>
          <w:p w14:paraId="42E4D904">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3</w:t>
            </w:r>
          </w:p>
        </w:tc>
        <w:tc>
          <w:tcPr>
            <w:tcW w:w="567" w:type="dxa"/>
            <w:tcBorders>
              <w:top w:val="single" w:color="auto" w:sz="4" w:space="0"/>
              <w:left w:val="single" w:color="auto" w:sz="6" w:space="0"/>
              <w:bottom w:val="single" w:color="auto" w:sz="4" w:space="0"/>
              <w:right w:val="single" w:color="auto" w:sz="6" w:space="0"/>
            </w:tcBorders>
            <w:vAlign w:val="center"/>
          </w:tcPr>
          <w:p w14:paraId="133B170B">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个</w:t>
            </w:r>
          </w:p>
        </w:tc>
      </w:tr>
      <w:tr w14:paraId="714F20E6">
        <w:tblPrEx>
          <w:tblCellMar>
            <w:top w:w="0" w:type="dxa"/>
            <w:left w:w="10" w:type="dxa"/>
            <w:bottom w:w="0" w:type="dxa"/>
            <w:right w:w="10" w:type="dxa"/>
          </w:tblCellMar>
        </w:tblPrEx>
        <w:trPr>
          <w:trHeight w:val="704" w:hRule="atLeast"/>
        </w:trPr>
        <w:tc>
          <w:tcPr>
            <w:tcW w:w="500" w:type="dxa"/>
            <w:tcBorders>
              <w:top w:val="single" w:color="auto" w:sz="4" w:space="0"/>
              <w:left w:val="single" w:color="auto" w:sz="6" w:space="0"/>
              <w:bottom w:val="single" w:color="auto" w:sz="4" w:space="0"/>
              <w:right w:val="single" w:color="auto" w:sz="6" w:space="0"/>
            </w:tcBorders>
            <w:vAlign w:val="center"/>
          </w:tcPr>
          <w:p w14:paraId="6CF242DC">
            <w:pPr>
              <w:pStyle w:val="22"/>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15</w:t>
            </w:r>
          </w:p>
        </w:tc>
        <w:tc>
          <w:tcPr>
            <w:tcW w:w="945" w:type="dxa"/>
            <w:tcBorders>
              <w:top w:val="single" w:color="auto" w:sz="4" w:space="0"/>
              <w:left w:val="nil"/>
              <w:bottom w:val="single" w:color="auto" w:sz="4" w:space="0"/>
              <w:right w:val="single" w:color="auto" w:sz="6" w:space="0"/>
            </w:tcBorders>
            <w:vAlign w:val="center"/>
          </w:tcPr>
          <w:p w14:paraId="55055E27">
            <w:pPr>
              <w:widowControl/>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精品录播主机</w:t>
            </w:r>
          </w:p>
        </w:tc>
        <w:tc>
          <w:tcPr>
            <w:tcW w:w="6875" w:type="dxa"/>
            <w:tcBorders>
              <w:top w:val="single" w:color="auto" w:sz="4" w:space="0"/>
              <w:left w:val="nil"/>
              <w:bottom w:val="single" w:color="auto" w:sz="4" w:space="0"/>
              <w:right w:val="single" w:color="auto" w:sz="6" w:space="0"/>
            </w:tcBorders>
            <w:shd w:val="clear" w:color="auto" w:fill="auto"/>
          </w:tcPr>
          <w:p w14:paraId="1C3D4F8C">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主机架构：整体采用嵌入式设计、非PC与服务器工作站等架构，以保障系统运行稳定、安全。且为方便设备部署，避免屏幕动态变化影响学生课堂专注力的情况，主机需为标准1U机架式设计，机身非壁挂且不存在大面积显示屏；</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2.高度集成：主机需同时具备录制、直播、导播、自动跟踪、音频编码、视频编码、音频处理、视频处理、存储、点播、互动多功能于一体；</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3.优质性能：主机采用ARM架构处理器同时内置GPU与NPU协处理器，CPU核心数≥8，核心主频≥2.4GHz；</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4.工作噪声：主机在正常工作状态下的生产噪声不高于20dB(A)；</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5.工作功率：要求整机正常工作状态下功耗不超过50W；</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6.视频接口：数字视频接口D-Video（RJ45）≥4，HDMI 输入≥2，HDMI 输出≥2路，分辨率均支持1080P@30fps；</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7.音频接口：要求主机支持线性音频输入与数字音频输入，要求Line in接口≥2，Line out接口≥2，数字音频接口D-Mic（RJ45）≥6；</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8.网络接口：RJ45≥1，支持100/1000M网络自适应及IPv4、IPv6双协议栈；</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9.控制接口：RJ45≥2，支持RS232串行通信协议进行外接控制；</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10.外设接口：USB2.0≥2，可用于连接U盘等外设；</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11.系统存储≥2T，保障设备的正常运行与录制视频文件的本地存储；</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12.视频一线通：支持摄像机与主机之间仅通过一根双绞线即可同时实现供电、控制和视频信号的同步传输，不接受使用转接器的方式；</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13.音频一线通：支持麦克风与主机之间仅通过一根双绞线即可同时实现供电和音频信号的采集，实现音频信号的高品质、抗干扰稳定传输；</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14.视频录制：兼容标准H.264视频编解码能力，要求支持1080P@30fps、720P@30fps，以及AAC音频编解码协议标准且内置音频处理功能；</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15.视频传输技术：支持对同品牌高清摄像机实现基于RJ45双绞线的视频裸数据传输技术，支持摄像机到录播主机端的视频采集和传输过程无需编解码、无画质损耗并实现≤100ms的声画同步，保障录制视频效果；</w:t>
            </w:r>
          </w:p>
        </w:tc>
        <w:tc>
          <w:tcPr>
            <w:tcW w:w="567" w:type="dxa"/>
            <w:tcBorders>
              <w:top w:val="single" w:color="auto" w:sz="4" w:space="0"/>
              <w:left w:val="single" w:color="auto" w:sz="6" w:space="0"/>
              <w:bottom w:val="single" w:color="auto" w:sz="4" w:space="0"/>
              <w:right w:val="single" w:color="auto" w:sz="6" w:space="0"/>
            </w:tcBorders>
            <w:vAlign w:val="center"/>
          </w:tcPr>
          <w:p w14:paraId="09CA1490">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w:t>
            </w:r>
          </w:p>
        </w:tc>
        <w:tc>
          <w:tcPr>
            <w:tcW w:w="567" w:type="dxa"/>
            <w:tcBorders>
              <w:top w:val="single" w:color="auto" w:sz="4" w:space="0"/>
              <w:left w:val="single" w:color="auto" w:sz="6" w:space="0"/>
              <w:bottom w:val="single" w:color="auto" w:sz="4" w:space="0"/>
              <w:right w:val="single" w:color="auto" w:sz="6" w:space="0"/>
            </w:tcBorders>
            <w:vAlign w:val="center"/>
          </w:tcPr>
          <w:p w14:paraId="6C99FE57">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台</w:t>
            </w:r>
          </w:p>
        </w:tc>
      </w:tr>
      <w:tr w14:paraId="01201710">
        <w:tblPrEx>
          <w:tblCellMar>
            <w:top w:w="0" w:type="dxa"/>
            <w:left w:w="10" w:type="dxa"/>
            <w:bottom w:w="0" w:type="dxa"/>
            <w:right w:w="10" w:type="dxa"/>
          </w:tblCellMar>
        </w:tblPrEx>
        <w:trPr>
          <w:trHeight w:val="704" w:hRule="atLeast"/>
        </w:trPr>
        <w:tc>
          <w:tcPr>
            <w:tcW w:w="500" w:type="dxa"/>
            <w:tcBorders>
              <w:top w:val="single" w:color="auto" w:sz="4" w:space="0"/>
              <w:left w:val="single" w:color="auto" w:sz="6" w:space="0"/>
              <w:bottom w:val="single" w:color="auto" w:sz="4" w:space="0"/>
              <w:right w:val="single" w:color="auto" w:sz="6" w:space="0"/>
            </w:tcBorders>
            <w:vAlign w:val="center"/>
          </w:tcPr>
          <w:p w14:paraId="467B9EC6">
            <w:pPr>
              <w:pStyle w:val="22"/>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16</w:t>
            </w:r>
          </w:p>
        </w:tc>
        <w:tc>
          <w:tcPr>
            <w:tcW w:w="945" w:type="dxa"/>
            <w:tcBorders>
              <w:top w:val="single" w:color="auto" w:sz="4" w:space="0"/>
              <w:left w:val="nil"/>
              <w:bottom w:val="single" w:color="auto" w:sz="4" w:space="0"/>
              <w:right w:val="single" w:color="auto" w:sz="6" w:space="0"/>
            </w:tcBorders>
            <w:vAlign w:val="center"/>
          </w:tcPr>
          <w:p w14:paraId="57770A0F">
            <w:pPr>
              <w:widowControl/>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高清摄像机</w:t>
            </w:r>
          </w:p>
        </w:tc>
        <w:tc>
          <w:tcPr>
            <w:tcW w:w="6875" w:type="dxa"/>
            <w:tcBorders>
              <w:top w:val="single" w:color="auto" w:sz="4" w:space="0"/>
              <w:left w:val="nil"/>
              <w:bottom w:val="single" w:color="auto" w:sz="4" w:space="0"/>
              <w:right w:val="single" w:color="auto" w:sz="6" w:space="0"/>
            </w:tcBorders>
            <w:shd w:val="clear" w:color="auto" w:fill="auto"/>
            <w:vAlign w:val="center"/>
          </w:tcPr>
          <w:p w14:paraId="380A9372">
            <w:pPr>
              <w:widowControl/>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1.传感器：要求采用CMOS类型图像传感器，尺寸≥1/2.5英寸；</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2.像素：有效像素≥800万；</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3.变焦：要求支持自动和手动变焦，变焦倍数≥22倍；</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4.云台转动：要求具备机械云台可进行转动跟踪。水平转动速度范围不少于1.0°~ 94.2°/s，垂直转动速度范围不少于1.0°~ 74.8°/s；</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5.拍摄视场角：要求水平视场角度范围不少于72.0° ~ 6.1°，垂直视场角度范围不少于43.2° ~ 3.5°；</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6.视频编码：要求支持H.265、H.264高清视频编码协议；</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7.视频输出：要求具备数字视频输出口（RJ45）≥1，HDMI视频输出口≥1；</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8通讯接口：要求具备RS232/RS422≥1；</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9.网络接入：RJ45网络接口≥1，并支持100M/1000M自适应以太网接入与RTSP协议网络视频输出；</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10.音频接口：Line in输入口≥1；</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11.USB接口：要求具备USB Type-A≥1；</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12.控制协议：要求采用VISCA标准摄像机控制协议；</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13.一线通：要求与搭配的录播主机连接，可实现摄像机供电、控制以及视频信号传输；</w:t>
            </w:r>
          </w:p>
        </w:tc>
        <w:tc>
          <w:tcPr>
            <w:tcW w:w="567" w:type="dxa"/>
            <w:tcBorders>
              <w:top w:val="single" w:color="auto" w:sz="4" w:space="0"/>
              <w:left w:val="single" w:color="auto" w:sz="6" w:space="0"/>
              <w:bottom w:val="single" w:color="auto" w:sz="4" w:space="0"/>
              <w:right w:val="single" w:color="auto" w:sz="6" w:space="0"/>
            </w:tcBorders>
            <w:vAlign w:val="center"/>
          </w:tcPr>
          <w:p w14:paraId="7F899EDA">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6</w:t>
            </w:r>
          </w:p>
        </w:tc>
        <w:tc>
          <w:tcPr>
            <w:tcW w:w="567" w:type="dxa"/>
            <w:tcBorders>
              <w:top w:val="single" w:color="auto" w:sz="4" w:space="0"/>
              <w:left w:val="single" w:color="auto" w:sz="6" w:space="0"/>
              <w:bottom w:val="single" w:color="auto" w:sz="4" w:space="0"/>
              <w:right w:val="single" w:color="auto" w:sz="6" w:space="0"/>
            </w:tcBorders>
            <w:vAlign w:val="center"/>
          </w:tcPr>
          <w:p w14:paraId="36F421A9">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台</w:t>
            </w:r>
          </w:p>
        </w:tc>
      </w:tr>
      <w:tr w14:paraId="0B7B5086">
        <w:tblPrEx>
          <w:tblCellMar>
            <w:top w:w="0" w:type="dxa"/>
            <w:left w:w="10" w:type="dxa"/>
            <w:bottom w:w="0" w:type="dxa"/>
            <w:right w:w="10" w:type="dxa"/>
          </w:tblCellMar>
        </w:tblPrEx>
        <w:trPr>
          <w:trHeight w:val="704" w:hRule="atLeast"/>
        </w:trPr>
        <w:tc>
          <w:tcPr>
            <w:tcW w:w="500" w:type="dxa"/>
            <w:tcBorders>
              <w:top w:val="single" w:color="auto" w:sz="4" w:space="0"/>
              <w:left w:val="single" w:color="auto" w:sz="6" w:space="0"/>
              <w:bottom w:val="single" w:color="auto" w:sz="4" w:space="0"/>
              <w:right w:val="single" w:color="auto" w:sz="6" w:space="0"/>
            </w:tcBorders>
            <w:vAlign w:val="center"/>
          </w:tcPr>
          <w:p w14:paraId="0F328DC3">
            <w:pPr>
              <w:pStyle w:val="22"/>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17</w:t>
            </w:r>
          </w:p>
        </w:tc>
        <w:tc>
          <w:tcPr>
            <w:tcW w:w="945" w:type="dxa"/>
            <w:tcBorders>
              <w:top w:val="single" w:color="auto" w:sz="4" w:space="0"/>
              <w:left w:val="nil"/>
              <w:bottom w:val="single" w:color="auto" w:sz="4" w:space="0"/>
              <w:right w:val="single" w:color="auto" w:sz="6" w:space="0"/>
            </w:tcBorders>
            <w:vAlign w:val="center"/>
          </w:tcPr>
          <w:p w14:paraId="0B27A18B">
            <w:pPr>
              <w:widowControl/>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录制面板</w:t>
            </w:r>
          </w:p>
        </w:tc>
        <w:tc>
          <w:tcPr>
            <w:tcW w:w="6875" w:type="dxa"/>
            <w:tcBorders>
              <w:top w:val="single" w:color="auto" w:sz="4" w:space="0"/>
              <w:left w:val="nil"/>
              <w:bottom w:val="single" w:color="auto" w:sz="4" w:space="0"/>
              <w:right w:val="single" w:color="auto" w:sz="6" w:space="0"/>
            </w:tcBorders>
            <w:shd w:val="clear" w:color="auto" w:fill="auto"/>
            <w:vAlign w:val="center"/>
          </w:tcPr>
          <w:p w14:paraId="4ACAF563">
            <w:pPr>
              <w:widowControl/>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 安装方式：要求镶嵌式安装在讲台。</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2. 控制接口：要求支持RS232控制接口用以连接录播主机。</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3. 信号指示灯：要求具备信号指示灯。</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4. 支持一键式系统电源开关控制。</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5. 一键式录制、停止、锁定电脑信号。</w:t>
            </w:r>
          </w:p>
        </w:tc>
        <w:tc>
          <w:tcPr>
            <w:tcW w:w="567" w:type="dxa"/>
            <w:tcBorders>
              <w:top w:val="single" w:color="auto" w:sz="4" w:space="0"/>
              <w:left w:val="single" w:color="auto" w:sz="6" w:space="0"/>
              <w:bottom w:val="single" w:color="auto" w:sz="4" w:space="0"/>
              <w:right w:val="single" w:color="auto" w:sz="6" w:space="0"/>
            </w:tcBorders>
            <w:vAlign w:val="center"/>
          </w:tcPr>
          <w:p w14:paraId="7028DD53">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w:t>
            </w:r>
          </w:p>
        </w:tc>
        <w:tc>
          <w:tcPr>
            <w:tcW w:w="567" w:type="dxa"/>
            <w:tcBorders>
              <w:top w:val="single" w:color="auto" w:sz="4" w:space="0"/>
              <w:left w:val="single" w:color="auto" w:sz="6" w:space="0"/>
              <w:bottom w:val="single" w:color="auto" w:sz="4" w:space="0"/>
              <w:right w:val="single" w:color="auto" w:sz="6" w:space="0"/>
            </w:tcBorders>
            <w:vAlign w:val="center"/>
          </w:tcPr>
          <w:p w14:paraId="01BAAD4A">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台</w:t>
            </w:r>
          </w:p>
        </w:tc>
      </w:tr>
      <w:tr w14:paraId="36B39B90">
        <w:tblPrEx>
          <w:tblCellMar>
            <w:top w:w="0" w:type="dxa"/>
            <w:left w:w="10" w:type="dxa"/>
            <w:bottom w:w="0" w:type="dxa"/>
            <w:right w:w="10" w:type="dxa"/>
          </w:tblCellMar>
        </w:tblPrEx>
        <w:trPr>
          <w:trHeight w:val="704" w:hRule="atLeast"/>
        </w:trPr>
        <w:tc>
          <w:tcPr>
            <w:tcW w:w="500" w:type="dxa"/>
            <w:tcBorders>
              <w:top w:val="single" w:color="auto" w:sz="4" w:space="0"/>
              <w:left w:val="single" w:color="auto" w:sz="6" w:space="0"/>
              <w:bottom w:val="single" w:color="auto" w:sz="4" w:space="0"/>
              <w:right w:val="single" w:color="auto" w:sz="6" w:space="0"/>
            </w:tcBorders>
            <w:vAlign w:val="center"/>
          </w:tcPr>
          <w:p w14:paraId="0A8FD939">
            <w:pPr>
              <w:pStyle w:val="22"/>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18</w:t>
            </w:r>
          </w:p>
        </w:tc>
        <w:tc>
          <w:tcPr>
            <w:tcW w:w="945" w:type="dxa"/>
            <w:tcBorders>
              <w:top w:val="single" w:color="auto" w:sz="4" w:space="0"/>
              <w:left w:val="nil"/>
              <w:bottom w:val="single" w:color="auto" w:sz="4" w:space="0"/>
              <w:right w:val="single" w:color="auto" w:sz="6" w:space="0"/>
            </w:tcBorders>
            <w:vAlign w:val="center"/>
          </w:tcPr>
          <w:p w14:paraId="4D2AF259">
            <w:pPr>
              <w:widowControl/>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拾音话筒</w:t>
            </w:r>
          </w:p>
        </w:tc>
        <w:tc>
          <w:tcPr>
            <w:tcW w:w="6875" w:type="dxa"/>
            <w:tcBorders>
              <w:top w:val="single" w:color="auto" w:sz="4" w:space="0"/>
              <w:left w:val="nil"/>
              <w:bottom w:val="single" w:color="auto" w:sz="4" w:space="0"/>
              <w:right w:val="single" w:color="auto" w:sz="6" w:space="0"/>
            </w:tcBorders>
            <w:shd w:val="clear" w:color="auto" w:fill="auto"/>
            <w:vAlign w:val="center"/>
          </w:tcPr>
          <w:p w14:paraId="43CD4CE9">
            <w:pPr>
              <w:widowControl/>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1.指向性：超心型</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2.频率响应：40Hz—16kHz</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3.灵敏度≥-7dB±1dB</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4.最大声压级≥110dB</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5.信噪比≥62dB</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6.动态范围≥78.5dB</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7.使用电源：麦克风一线通供电</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8.输出接口：RJ45，数字音频接口</w:t>
            </w:r>
          </w:p>
        </w:tc>
        <w:tc>
          <w:tcPr>
            <w:tcW w:w="567" w:type="dxa"/>
            <w:tcBorders>
              <w:top w:val="single" w:color="auto" w:sz="4" w:space="0"/>
              <w:left w:val="single" w:color="auto" w:sz="6" w:space="0"/>
              <w:bottom w:val="single" w:color="auto" w:sz="4" w:space="0"/>
              <w:right w:val="single" w:color="auto" w:sz="6" w:space="0"/>
            </w:tcBorders>
            <w:vAlign w:val="center"/>
          </w:tcPr>
          <w:p w14:paraId="13DB1F50">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6</w:t>
            </w:r>
          </w:p>
        </w:tc>
        <w:tc>
          <w:tcPr>
            <w:tcW w:w="567" w:type="dxa"/>
            <w:tcBorders>
              <w:top w:val="single" w:color="auto" w:sz="4" w:space="0"/>
              <w:left w:val="single" w:color="auto" w:sz="6" w:space="0"/>
              <w:bottom w:val="single" w:color="auto" w:sz="4" w:space="0"/>
              <w:right w:val="single" w:color="auto" w:sz="6" w:space="0"/>
            </w:tcBorders>
            <w:vAlign w:val="center"/>
          </w:tcPr>
          <w:p w14:paraId="01803E19">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w:t>
            </w:r>
          </w:p>
        </w:tc>
      </w:tr>
      <w:tr w14:paraId="31FC2134">
        <w:tblPrEx>
          <w:tblCellMar>
            <w:top w:w="0" w:type="dxa"/>
            <w:left w:w="10" w:type="dxa"/>
            <w:bottom w:w="0" w:type="dxa"/>
            <w:right w:w="10" w:type="dxa"/>
          </w:tblCellMar>
        </w:tblPrEx>
        <w:trPr>
          <w:trHeight w:val="704" w:hRule="atLeast"/>
        </w:trPr>
        <w:tc>
          <w:tcPr>
            <w:tcW w:w="500" w:type="dxa"/>
            <w:tcBorders>
              <w:top w:val="single" w:color="auto" w:sz="4" w:space="0"/>
              <w:left w:val="single" w:color="auto" w:sz="6" w:space="0"/>
              <w:bottom w:val="single" w:color="auto" w:sz="4" w:space="0"/>
              <w:right w:val="single" w:color="auto" w:sz="6" w:space="0"/>
            </w:tcBorders>
            <w:vAlign w:val="center"/>
          </w:tcPr>
          <w:p w14:paraId="3A73B978">
            <w:pPr>
              <w:pStyle w:val="22"/>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19</w:t>
            </w:r>
          </w:p>
        </w:tc>
        <w:tc>
          <w:tcPr>
            <w:tcW w:w="945" w:type="dxa"/>
            <w:tcBorders>
              <w:top w:val="single" w:color="auto" w:sz="4" w:space="0"/>
              <w:left w:val="nil"/>
              <w:bottom w:val="single" w:color="auto" w:sz="4" w:space="0"/>
              <w:right w:val="single" w:color="auto" w:sz="6" w:space="0"/>
            </w:tcBorders>
            <w:vAlign w:val="center"/>
          </w:tcPr>
          <w:p w14:paraId="4FC22BD5">
            <w:pPr>
              <w:widowControl/>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电源管理器1</w:t>
            </w:r>
          </w:p>
        </w:tc>
        <w:tc>
          <w:tcPr>
            <w:tcW w:w="6875" w:type="dxa"/>
            <w:tcBorders>
              <w:top w:val="single" w:color="auto" w:sz="4" w:space="0"/>
              <w:left w:val="nil"/>
              <w:bottom w:val="single" w:color="auto" w:sz="4" w:space="0"/>
              <w:right w:val="single" w:color="auto" w:sz="6" w:space="0"/>
            </w:tcBorders>
            <w:shd w:val="clear" w:color="auto" w:fill="auto"/>
            <w:vAlign w:val="center"/>
          </w:tcPr>
          <w:p w14:paraId="6DA7D0D3">
            <w:pPr>
              <w:widowControl/>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 xml:space="preserve">1.向录播视频系统、音频系统、显示系统提供统一的、至少八路电源管理； </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2.支持对录播系统控制功能，实现通过录制面板一键启动录播系统相关设备的电源；</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3.支持时序电源控制功能，每路延迟一秒，可编程控制；</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4.具备内置光电隔离模块，保障负载运行安全；</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5.支持提供1路最大电流不低于10A的电源输出接口；</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6.支持RS-485/RS-422/RS-232 等控制协议。</w:t>
            </w:r>
          </w:p>
        </w:tc>
        <w:tc>
          <w:tcPr>
            <w:tcW w:w="567" w:type="dxa"/>
            <w:tcBorders>
              <w:top w:val="single" w:color="auto" w:sz="4" w:space="0"/>
              <w:left w:val="single" w:color="auto" w:sz="6" w:space="0"/>
              <w:bottom w:val="single" w:color="auto" w:sz="4" w:space="0"/>
              <w:right w:val="single" w:color="auto" w:sz="6" w:space="0"/>
            </w:tcBorders>
            <w:vAlign w:val="center"/>
          </w:tcPr>
          <w:p w14:paraId="02A354E1">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w:t>
            </w:r>
          </w:p>
        </w:tc>
        <w:tc>
          <w:tcPr>
            <w:tcW w:w="567" w:type="dxa"/>
            <w:tcBorders>
              <w:top w:val="single" w:color="auto" w:sz="4" w:space="0"/>
              <w:left w:val="single" w:color="auto" w:sz="6" w:space="0"/>
              <w:bottom w:val="single" w:color="auto" w:sz="4" w:space="0"/>
              <w:right w:val="single" w:color="auto" w:sz="6" w:space="0"/>
            </w:tcBorders>
            <w:vAlign w:val="center"/>
          </w:tcPr>
          <w:p w14:paraId="72474B81">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台</w:t>
            </w:r>
          </w:p>
        </w:tc>
      </w:tr>
      <w:tr w14:paraId="5D2046B3">
        <w:tblPrEx>
          <w:tblCellMar>
            <w:top w:w="0" w:type="dxa"/>
            <w:left w:w="10" w:type="dxa"/>
            <w:bottom w:w="0" w:type="dxa"/>
            <w:right w:w="10" w:type="dxa"/>
          </w:tblCellMar>
        </w:tblPrEx>
        <w:trPr>
          <w:trHeight w:val="704" w:hRule="atLeast"/>
        </w:trPr>
        <w:tc>
          <w:tcPr>
            <w:tcW w:w="500" w:type="dxa"/>
            <w:tcBorders>
              <w:top w:val="single" w:color="auto" w:sz="4" w:space="0"/>
              <w:left w:val="single" w:color="auto" w:sz="6" w:space="0"/>
              <w:bottom w:val="single" w:color="auto" w:sz="4" w:space="0"/>
              <w:right w:val="single" w:color="auto" w:sz="6" w:space="0"/>
            </w:tcBorders>
            <w:vAlign w:val="center"/>
          </w:tcPr>
          <w:p w14:paraId="69AED6D1">
            <w:pPr>
              <w:pStyle w:val="22"/>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20</w:t>
            </w:r>
          </w:p>
        </w:tc>
        <w:tc>
          <w:tcPr>
            <w:tcW w:w="945" w:type="dxa"/>
            <w:tcBorders>
              <w:top w:val="single" w:color="auto" w:sz="4" w:space="0"/>
              <w:left w:val="nil"/>
              <w:bottom w:val="single" w:color="auto" w:sz="4" w:space="0"/>
              <w:right w:val="single" w:color="auto" w:sz="6" w:space="0"/>
            </w:tcBorders>
            <w:vAlign w:val="center"/>
          </w:tcPr>
          <w:p w14:paraId="3DA1429F">
            <w:pPr>
              <w:widowControl/>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智慧考勤主机</w:t>
            </w:r>
          </w:p>
        </w:tc>
        <w:tc>
          <w:tcPr>
            <w:tcW w:w="6875" w:type="dxa"/>
            <w:tcBorders>
              <w:top w:val="single" w:color="auto" w:sz="4" w:space="0"/>
              <w:left w:val="nil"/>
              <w:bottom w:val="single" w:color="auto" w:sz="4" w:space="0"/>
              <w:right w:val="single" w:color="auto" w:sz="6" w:space="0"/>
            </w:tcBorders>
            <w:shd w:val="clear" w:color="auto" w:fill="auto"/>
            <w:vAlign w:val="center"/>
          </w:tcPr>
          <w:p w14:paraId="76DCDEBC">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1.硬件外观：标准1U机架式设备，便于安装部署；</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2.硬件结构：采用嵌入式架构设计，采用SOC解决方案，高稳定性、低功耗。采用内置NPU高端处理器，具备智能学习特性，充分保障AI处理能力。</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3.操作系统：Linux；</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4.内置存储：不低于1TB机械硬盘，7200rpm转速；</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5.网络：标准RJ45网络接口，10M/100M/1000M自适应LAN口x 1，要求支持IPv4、IPv6双协议栈。</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6.其他接口：USB2.0、HDMI；</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7.设备复位：支持一键Reset复位；</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8.工作电压：采用不高于DC 36V安全电压供电；</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9.功耗：节能环保，待机功率＜10W，满负荷工作功率＜50W；</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10.工作温度：10℃~35℃；</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11.工作湿度：20%～80%；</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12.协议标准：支持RTP/RTSP/RTMP/HTTP/TCP/UDP;</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13.编码标准：视频支持H.264 HP编解码协议；支持1080P@30fps、720P@30fps格式视频接入进行分析；</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14.分析能力：支持考勤分析能力，支持基于人脸特征进行人数统计，人数清点考勤；</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15.为确保系统兼容性，要求与录播系统为同一品牌。</w:t>
            </w:r>
          </w:p>
        </w:tc>
        <w:tc>
          <w:tcPr>
            <w:tcW w:w="567" w:type="dxa"/>
            <w:tcBorders>
              <w:top w:val="single" w:color="auto" w:sz="4" w:space="0"/>
              <w:left w:val="single" w:color="auto" w:sz="6" w:space="0"/>
              <w:bottom w:val="single" w:color="auto" w:sz="4" w:space="0"/>
              <w:right w:val="single" w:color="auto" w:sz="6" w:space="0"/>
            </w:tcBorders>
            <w:vAlign w:val="center"/>
          </w:tcPr>
          <w:p w14:paraId="62FF75EC">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w:t>
            </w:r>
          </w:p>
        </w:tc>
        <w:tc>
          <w:tcPr>
            <w:tcW w:w="567" w:type="dxa"/>
            <w:tcBorders>
              <w:top w:val="single" w:color="auto" w:sz="4" w:space="0"/>
              <w:left w:val="single" w:color="auto" w:sz="6" w:space="0"/>
              <w:bottom w:val="single" w:color="auto" w:sz="4" w:space="0"/>
              <w:right w:val="single" w:color="auto" w:sz="6" w:space="0"/>
            </w:tcBorders>
            <w:vAlign w:val="center"/>
          </w:tcPr>
          <w:p w14:paraId="57B0321C">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台</w:t>
            </w:r>
          </w:p>
        </w:tc>
      </w:tr>
      <w:tr w14:paraId="4A767E37">
        <w:tblPrEx>
          <w:tblCellMar>
            <w:top w:w="0" w:type="dxa"/>
            <w:left w:w="10" w:type="dxa"/>
            <w:bottom w:w="0" w:type="dxa"/>
            <w:right w:w="10" w:type="dxa"/>
          </w:tblCellMar>
        </w:tblPrEx>
        <w:trPr>
          <w:trHeight w:val="704" w:hRule="atLeast"/>
        </w:trPr>
        <w:tc>
          <w:tcPr>
            <w:tcW w:w="500" w:type="dxa"/>
            <w:tcBorders>
              <w:top w:val="single" w:color="auto" w:sz="4" w:space="0"/>
              <w:left w:val="single" w:color="auto" w:sz="6" w:space="0"/>
              <w:bottom w:val="single" w:color="auto" w:sz="4" w:space="0"/>
              <w:right w:val="single" w:color="auto" w:sz="6" w:space="0"/>
            </w:tcBorders>
            <w:vAlign w:val="center"/>
          </w:tcPr>
          <w:p w14:paraId="39E1FE95">
            <w:pPr>
              <w:pStyle w:val="22"/>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21</w:t>
            </w:r>
          </w:p>
        </w:tc>
        <w:tc>
          <w:tcPr>
            <w:tcW w:w="945" w:type="dxa"/>
            <w:tcBorders>
              <w:top w:val="single" w:color="auto" w:sz="4" w:space="0"/>
              <w:left w:val="nil"/>
              <w:bottom w:val="single" w:color="auto" w:sz="4" w:space="0"/>
              <w:right w:val="single" w:color="auto" w:sz="6" w:space="0"/>
            </w:tcBorders>
            <w:vAlign w:val="center"/>
          </w:tcPr>
          <w:p w14:paraId="646BF072">
            <w:pPr>
              <w:widowControl/>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室内全彩LED显示屏</w:t>
            </w:r>
          </w:p>
        </w:tc>
        <w:tc>
          <w:tcPr>
            <w:tcW w:w="6875" w:type="dxa"/>
            <w:tcBorders>
              <w:top w:val="single" w:color="auto" w:sz="4" w:space="0"/>
              <w:left w:val="nil"/>
              <w:bottom w:val="single" w:color="auto" w:sz="4" w:space="0"/>
              <w:right w:val="single" w:color="auto" w:sz="6" w:space="0"/>
            </w:tcBorders>
            <w:vAlign w:val="center"/>
          </w:tcPr>
          <w:p w14:paraId="3D749D57">
            <w:pP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屏幕尺寸长度不小于5.21米，高度不小于2.49米。</w:t>
            </w:r>
          </w:p>
          <w:p w14:paraId="038E3B53">
            <w:pP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1.像素点间距:≤1.538mm；</w:t>
            </w:r>
          </w:p>
          <w:p w14:paraId="02869661">
            <w:pP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2.像素密度≥422500点/㎡；</w:t>
            </w:r>
          </w:p>
          <w:p w14:paraId="0043B5B3">
            <w:pP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3.模组尺寸≥320mm×160mm；</w:t>
            </w:r>
          </w:p>
          <w:p w14:paraId="409E38D2">
            <w:pP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4.模组分辨率≥208*104；</w:t>
            </w:r>
          </w:p>
          <w:p w14:paraId="10F6A1E2">
            <w:pP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5.白平衡亮度(nit) ≥1000;</w:t>
            </w:r>
          </w:p>
          <w:p w14:paraId="60AD1D43">
            <w:pP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6.色温(k) 介于 2000～15000；</w:t>
            </w:r>
          </w:p>
          <w:p w14:paraId="6C487C16">
            <w:pP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7.水平/垂直视角 ≥160°；</w:t>
            </w:r>
          </w:p>
          <w:p w14:paraId="33CD55A6">
            <w:pP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8.亮度均匀性≥99.3%，色度均匀性介于±0.003 Cx,Cy内；</w:t>
            </w:r>
          </w:p>
          <w:p w14:paraId="675B8C4E">
            <w:pP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9.对比度≥10000:1；</w:t>
            </w:r>
          </w:p>
          <w:p w14:paraId="3E2285B8">
            <w:pP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10.可视距离：1m-50m；</w:t>
            </w:r>
          </w:p>
          <w:p w14:paraId="4D70C793">
            <w:pP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11.刷新率≥3840HZ;</w:t>
            </w:r>
          </w:p>
          <w:p w14:paraId="7AA5232C">
            <w:pP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12.换帧频率：60HZ;</w:t>
            </w:r>
          </w:p>
          <w:p w14:paraId="2C4347D8">
            <w:pP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13.功耗：峰值≤370W/㎡，平均：≤120W/㎡</w:t>
            </w:r>
          </w:p>
          <w:p w14:paraId="2C2802DC">
            <w:pP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14.使用寿命≥100000小时；</w:t>
            </w:r>
          </w:p>
          <w:p w14:paraId="16028026">
            <w:pP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15.像素坏点率≤1/100000，无连续失控点；</w:t>
            </w:r>
          </w:p>
          <w:p w14:paraId="08C2792E">
            <w:pP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16.画面延时≤0.5ms</w:t>
            </w:r>
          </w:p>
        </w:tc>
        <w:tc>
          <w:tcPr>
            <w:tcW w:w="567" w:type="dxa"/>
            <w:tcBorders>
              <w:top w:val="single" w:color="auto" w:sz="4" w:space="0"/>
              <w:left w:val="single" w:color="auto" w:sz="6" w:space="0"/>
              <w:bottom w:val="single" w:color="auto" w:sz="4" w:space="0"/>
              <w:right w:val="single" w:color="auto" w:sz="6" w:space="0"/>
            </w:tcBorders>
            <w:vAlign w:val="center"/>
          </w:tcPr>
          <w:p w14:paraId="46BBD218">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16.75</w:t>
            </w:r>
          </w:p>
        </w:tc>
        <w:tc>
          <w:tcPr>
            <w:tcW w:w="567" w:type="dxa"/>
            <w:tcBorders>
              <w:top w:val="single" w:color="auto" w:sz="4" w:space="0"/>
              <w:left w:val="single" w:color="auto" w:sz="6" w:space="0"/>
              <w:bottom w:val="single" w:color="auto" w:sz="4" w:space="0"/>
              <w:right w:val="single" w:color="auto" w:sz="6" w:space="0"/>
            </w:tcBorders>
            <w:vAlign w:val="center"/>
          </w:tcPr>
          <w:p w14:paraId="3496B256">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w:t>
            </w:r>
          </w:p>
        </w:tc>
      </w:tr>
      <w:tr w14:paraId="3C8DEFC8">
        <w:tblPrEx>
          <w:tblCellMar>
            <w:top w:w="0" w:type="dxa"/>
            <w:left w:w="10" w:type="dxa"/>
            <w:bottom w:w="0" w:type="dxa"/>
            <w:right w:w="10" w:type="dxa"/>
          </w:tblCellMar>
        </w:tblPrEx>
        <w:trPr>
          <w:trHeight w:val="704" w:hRule="atLeast"/>
        </w:trPr>
        <w:tc>
          <w:tcPr>
            <w:tcW w:w="500" w:type="dxa"/>
            <w:tcBorders>
              <w:top w:val="single" w:color="auto" w:sz="4" w:space="0"/>
              <w:left w:val="single" w:color="auto" w:sz="6" w:space="0"/>
              <w:bottom w:val="single" w:color="auto" w:sz="4" w:space="0"/>
              <w:right w:val="single" w:color="auto" w:sz="6" w:space="0"/>
            </w:tcBorders>
            <w:vAlign w:val="center"/>
          </w:tcPr>
          <w:p w14:paraId="70AAAE3E">
            <w:pPr>
              <w:pStyle w:val="22"/>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22</w:t>
            </w:r>
          </w:p>
        </w:tc>
        <w:tc>
          <w:tcPr>
            <w:tcW w:w="945" w:type="dxa"/>
            <w:tcBorders>
              <w:top w:val="single" w:color="auto" w:sz="4" w:space="0"/>
              <w:left w:val="nil"/>
              <w:bottom w:val="single" w:color="auto" w:sz="4" w:space="0"/>
              <w:right w:val="single" w:color="auto" w:sz="6" w:space="0"/>
            </w:tcBorders>
            <w:vAlign w:val="center"/>
          </w:tcPr>
          <w:p w14:paraId="5F23ABF3">
            <w:pPr>
              <w:jc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发送卡</w:t>
            </w:r>
          </w:p>
        </w:tc>
        <w:tc>
          <w:tcPr>
            <w:tcW w:w="6875" w:type="dxa"/>
            <w:tcBorders>
              <w:top w:val="single" w:color="auto" w:sz="4" w:space="0"/>
              <w:left w:val="nil"/>
              <w:bottom w:val="single" w:color="auto" w:sz="4" w:space="0"/>
              <w:right w:val="single" w:color="auto" w:sz="6" w:space="0"/>
            </w:tcBorders>
            <w:vAlign w:val="center"/>
          </w:tcPr>
          <w:p w14:paraId="622C897D">
            <w:pP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1、支持1路DVI视频输入，1路HDMI1.3输入</w:t>
            </w:r>
          </w:p>
          <w:p w14:paraId="61A36FC0">
            <w:pP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2、支持AUDIO音频输入</w:t>
            </w:r>
          </w:p>
          <w:p w14:paraId="560315CE">
            <w:pP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3、支持6路千兆网口输出，单路网口最大带载为65万像素点</w:t>
            </w:r>
          </w:p>
          <w:p w14:paraId="4F685FBE">
            <w:pP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4、支持USB接口控制，可级联多台进行统一控制</w:t>
            </w:r>
          </w:p>
          <w:p w14:paraId="26EE2483">
            <w:pP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5、支持逐点亮色度校正，对每个灯点的亮度和色度进行校正，有效消除色差，使整屏的亮度和色度达到高度均匀一致，提高显示屏的画质。</w:t>
            </w:r>
          </w:p>
        </w:tc>
        <w:tc>
          <w:tcPr>
            <w:tcW w:w="567" w:type="dxa"/>
            <w:tcBorders>
              <w:top w:val="single" w:color="auto" w:sz="4" w:space="0"/>
              <w:left w:val="single" w:color="auto" w:sz="6" w:space="0"/>
              <w:bottom w:val="single" w:color="auto" w:sz="4" w:space="0"/>
              <w:right w:val="single" w:color="auto" w:sz="6" w:space="0"/>
            </w:tcBorders>
            <w:vAlign w:val="center"/>
          </w:tcPr>
          <w:p w14:paraId="0EAB0E03">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4</w:t>
            </w:r>
          </w:p>
        </w:tc>
        <w:tc>
          <w:tcPr>
            <w:tcW w:w="567" w:type="dxa"/>
            <w:tcBorders>
              <w:top w:val="single" w:color="auto" w:sz="4" w:space="0"/>
              <w:left w:val="single" w:color="auto" w:sz="6" w:space="0"/>
              <w:bottom w:val="single" w:color="auto" w:sz="4" w:space="0"/>
              <w:right w:val="single" w:color="auto" w:sz="6" w:space="0"/>
            </w:tcBorders>
            <w:vAlign w:val="center"/>
          </w:tcPr>
          <w:p w14:paraId="05996020">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个</w:t>
            </w:r>
          </w:p>
        </w:tc>
      </w:tr>
      <w:tr w14:paraId="11BAA2C0">
        <w:tblPrEx>
          <w:tblCellMar>
            <w:top w:w="0" w:type="dxa"/>
            <w:left w:w="10" w:type="dxa"/>
            <w:bottom w:w="0" w:type="dxa"/>
            <w:right w:w="10" w:type="dxa"/>
          </w:tblCellMar>
        </w:tblPrEx>
        <w:trPr>
          <w:trHeight w:val="704" w:hRule="atLeast"/>
        </w:trPr>
        <w:tc>
          <w:tcPr>
            <w:tcW w:w="500" w:type="dxa"/>
            <w:tcBorders>
              <w:top w:val="single" w:color="auto" w:sz="4" w:space="0"/>
              <w:left w:val="single" w:color="auto" w:sz="6" w:space="0"/>
              <w:bottom w:val="single" w:color="auto" w:sz="4" w:space="0"/>
              <w:right w:val="single" w:color="auto" w:sz="6" w:space="0"/>
            </w:tcBorders>
            <w:vAlign w:val="center"/>
          </w:tcPr>
          <w:p w14:paraId="5D121F8F">
            <w:pPr>
              <w:pStyle w:val="22"/>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23</w:t>
            </w:r>
          </w:p>
        </w:tc>
        <w:tc>
          <w:tcPr>
            <w:tcW w:w="945" w:type="dxa"/>
            <w:tcBorders>
              <w:top w:val="single" w:color="auto" w:sz="4" w:space="0"/>
              <w:left w:val="nil"/>
              <w:bottom w:val="single" w:color="auto" w:sz="4" w:space="0"/>
              <w:right w:val="single" w:color="auto" w:sz="6" w:space="0"/>
            </w:tcBorders>
            <w:vAlign w:val="center"/>
          </w:tcPr>
          <w:p w14:paraId="042592DE">
            <w:pPr>
              <w:widowControl/>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视频拼接器</w:t>
            </w:r>
          </w:p>
        </w:tc>
        <w:tc>
          <w:tcPr>
            <w:tcW w:w="6875" w:type="dxa"/>
            <w:tcBorders>
              <w:top w:val="single" w:color="auto" w:sz="4" w:space="0"/>
              <w:left w:val="nil"/>
              <w:bottom w:val="single" w:color="auto" w:sz="4" w:space="0"/>
              <w:right w:val="single" w:color="auto" w:sz="6" w:space="0"/>
            </w:tcBorders>
            <w:vAlign w:val="center"/>
          </w:tcPr>
          <w:p w14:paraId="214CBDA3">
            <w:pP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1、采用金属结构机箱，外壳防护等级符合GB/T4208-2017中IP20的要求。</w:t>
            </w:r>
          </w:p>
          <w:p w14:paraId="1813E6EA">
            <w:pP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2、单台设备同时最大支持8张可插式输入板卡及8张可插式输出板卡；</w:t>
            </w:r>
          </w:p>
          <w:p w14:paraId="4E8E6A89">
            <w:pP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3、单台设备最大为16个输出接口，支持任意组合拼接，最大规格可达16个屏幕。</w:t>
            </w:r>
          </w:p>
          <w:p w14:paraId="4899E734">
            <w:pP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4、单台设备最多支持32个图层（2K×1K大小）；支持图层在输出接口间任意漫游。</w:t>
            </w:r>
          </w:p>
          <w:p w14:paraId="5347A323">
            <w:pP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5、支持对所有输入源同时预监；输出支持对所有屏幕进行回显</w:t>
            </w:r>
          </w:p>
          <w:p w14:paraId="7E4A491B">
            <w:pP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6、DVI和HDMI输出板卡2K视频输出接口输出视频宽度或高度最大支持1920X1080像素。</w:t>
            </w:r>
          </w:p>
          <w:p w14:paraId="6DD31336">
            <w:pP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7、单张DVI和HDMI输出板卡最大支持创建4个屏幕。</w:t>
            </w:r>
          </w:p>
        </w:tc>
        <w:tc>
          <w:tcPr>
            <w:tcW w:w="567" w:type="dxa"/>
            <w:tcBorders>
              <w:top w:val="single" w:color="auto" w:sz="4" w:space="0"/>
              <w:left w:val="single" w:color="auto" w:sz="6" w:space="0"/>
              <w:bottom w:val="single" w:color="auto" w:sz="4" w:space="0"/>
              <w:right w:val="single" w:color="auto" w:sz="6" w:space="0"/>
            </w:tcBorders>
            <w:vAlign w:val="center"/>
          </w:tcPr>
          <w:p w14:paraId="39BAD913">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w:t>
            </w:r>
          </w:p>
        </w:tc>
        <w:tc>
          <w:tcPr>
            <w:tcW w:w="567" w:type="dxa"/>
            <w:tcBorders>
              <w:top w:val="single" w:color="auto" w:sz="4" w:space="0"/>
              <w:left w:val="single" w:color="auto" w:sz="6" w:space="0"/>
              <w:bottom w:val="single" w:color="auto" w:sz="4" w:space="0"/>
              <w:right w:val="single" w:color="auto" w:sz="6" w:space="0"/>
            </w:tcBorders>
            <w:vAlign w:val="center"/>
          </w:tcPr>
          <w:p w14:paraId="2004828A">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台</w:t>
            </w:r>
          </w:p>
        </w:tc>
      </w:tr>
      <w:tr w14:paraId="13B5C446">
        <w:tblPrEx>
          <w:tblCellMar>
            <w:top w:w="0" w:type="dxa"/>
            <w:left w:w="10" w:type="dxa"/>
            <w:bottom w:w="0" w:type="dxa"/>
            <w:right w:w="10" w:type="dxa"/>
          </w:tblCellMar>
        </w:tblPrEx>
        <w:trPr>
          <w:trHeight w:val="704" w:hRule="atLeast"/>
        </w:trPr>
        <w:tc>
          <w:tcPr>
            <w:tcW w:w="500" w:type="dxa"/>
            <w:tcBorders>
              <w:top w:val="single" w:color="auto" w:sz="4" w:space="0"/>
              <w:left w:val="single" w:color="auto" w:sz="6" w:space="0"/>
              <w:bottom w:val="single" w:color="auto" w:sz="4" w:space="0"/>
              <w:right w:val="single" w:color="auto" w:sz="6" w:space="0"/>
            </w:tcBorders>
            <w:vAlign w:val="center"/>
          </w:tcPr>
          <w:p w14:paraId="59EF45A9">
            <w:pPr>
              <w:pStyle w:val="22"/>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24</w:t>
            </w:r>
          </w:p>
        </w:tc>
        <w:tc>
          <w:tcPr>
            <w:tcW w:w="945" w:type="dxa"/>
            <w:tcBorders>
              <w:top w:val="single" w:color="auto" w:sz="4" w:space="0"/>
              <w:left w:val="nil"/>
              <w:bottom w:val="single" w:color="auto" w:sz="4" w:space="0"/>
              <w:right w:val="single" w:color="auto" w:sz="6" w:space="0"/>
            </w:tcBorders>
            <w:vAlign w:val="center"/>
          </w:tcPr>
          <w:p w14:paraId="71EE80A3">
            <w:pPr>
              <w:widowControl/>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配电柜</w:t>
            </w:r>
          </w:p>
        </w:tc>
        <w:tc>
          <w:tcPr>
            <w:tcW w:w="6875" w:type="dxa"/>
            <w:tcBorders>
              <w:top w:val="single" w:color="auto" w:sz="4" w:space="0"/>
              <w:left w:val="nil"/>
              <w:bottom w:val="single" w:color="auto" w:sz="4" w:space="0"/>
              <w:right w:val="single" w:color="auto" w:sz="6" w:space="0"/>
            </w:tcBorders>
            <w:vAlign w:val="center"/>
          </w:tcPr>
          <w:p w14:paraId="6C3AD0BD">
            <w:pP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额定功率：≥20KW</w:t>
            </w:r>
          </w:p>
          <w:p w14:paraId="2766C8DD">
            <w:pP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主断路器电流：≥40A</w:t>
            </w:r>
          </w:p>
          <w:p w14:paraId="2D3496D6">
            <w:pP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额定输入电压：三项380VAC</w:t>
            </w:r>
          </w:p>
          <w:p w14:paraId="558B4D55">
            <w:pP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额定输出电压：220VAC</w:t>
            </w:r>
          </w:p>
          <w:p w14:paraId="5C229B8E">
            <w:pP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输出路数：1P*3</w:t>
            </w:r>
          </w:p>
          <w:p w14:paraId="36B68315">
            <w:pP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输出断路器电流：≥32A</w:t>
            </w:r>
          </w:p>
          <w:p w14:paraId="12CF9712">
            <w:pP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控制方式：开关直接控制，支持远程PLC一键启动。</w:t>
            </w:r>
          </w:p>
          <w:p w14:paraId="40E34A3B">
            <w:pP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功能介绍：短路保护、过载保护、漏电保护、过电压及欠压保护。</w:t>
            </w:r>
          </w:p>
          <w:p w14:paraId="6562EDED">
            <w:pP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防护等级：IP30</w:t>
            </w:r>
          </w:p>
        </w:tc>
        <w:tc>
          <w:tcPr>
            <w:tcW w:w="567" w:type="dxa"/>
            <w:tcBorders>
              <w:top w:val="single" w:color="auto" w:sz="4" w:space="0"/>
              <w:left w:val="single" w:color="auto" w:sz="6" w:space="0"/>
              <w:bottom w:val="single" w:color="auto" w:sz="4" w:space="0"/>
              <w:right w:val="single" w:color="auto" w:sz="6" w:space="0"/>
            </w:tcBorders>
            <w:vAlign w:val="center"/>
          </w:tcPr>
          <w:p w14:paraId="6907DB01">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w:t>
            </w:r>
          </w:p>
        </w:tc>
        <w:tc>
          <w:tcPr>
            <w:tcW w:w="567" w:type="dxa"/>
            <w:tcBorders>
              <w:top w:val="single" w:color="auto" w:sz="4" w:space="0"/>
              <w:left w:val="single" w:color="auto" w:sz="6" w:space="0"/>
              <w:bottom w:val="single" w:color="auto" w:sz="4" w:space="0"/>
              <w:right w:val="single" w:color="auto" w:sz="6" w:space="0"/>
            </w:tcBorders>
            <w:vAlign w:val="center"/>
          </w:tcPr>
          <w:p w14:paraId="43156451">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台</w:t>
            </w:r>
          </w:p>
        </w:tc>
      </w:tr>
      <w:tr w14:paraId="421F9D40">
        <w:tblPrEx>
          <w:tblCellMar>
            <w:top w:w="0" w:type="dxa"/>
            <w:left w:w="10" w:type="dxa"/>
            <w:bottom w:w="0" w:type="dxa"/>
            <w:right w:w="10" w:type="dxa"/>
          </w:tblCellMar>
        </w:tblPrEx>
        <w:trPr>
          <w:trHeight w:val="704" w:hRule="atLeast"/>
        </w:trPr>
        <w:tc>
          <w:tcPr>
            <w:tcW w:w="500" w:type="dxa"/>
            <w:tcBorders>
              <w:top w:val="single" w:color="auto" w:sz="4" w:space="0"/>
              <w:left w:val="single" w:color="auto" w:sz="6" w:space="0"/>
              <w:bottom w:val="single" w:color="auto" w:sz="4" w:space="0"/>
              <w:right w:val="single" w:color="auto" w:sz="6" w:space="0"/>
            </w:tcBorders>
            <w:vAlign w:val="center"/>
          </w:tcPr>
          <w:p w14:paraId="054068CE">
            <w:pPr>
              <w:pStyle w:val="22"/>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25</w:t>
            </w:r>
          </w:p>
        </w:tc>
        <w:tc>
          <w:tcPr>
            <w:tcW w:w="945" w:type="dxa"/>
            <w:tcBorders>
              <w:top w:val="single" w:color="auto" w:sz="4" w:space="0"/>
              <w:left w:val="nil"/>
              <w:bottom w:val="single" w:color="auto" w:sz="4" w:space="0"/>
              <w:right w:val="single" w:color="auto" w:sz="6" w:space="0"/>
            </w:tcBorders>
            <w:vAlign w:val="center"/>
          </w:tcPr>
          <w:p w14:paraId="5A9F9525">
            <w:pPr>
              <w:widowControl/>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电子班牌</w:t>
            </w:r>
          </w:p>
        </w:tc>
        <w:tc>
          <w:tcPr>
            <w:tcW w:w="6875" w:type="dxa"/>
            <w:tcBorders>
              <w:top w:val="single" w:color="auto" w:sz="4" w:space="0"/>
              <w:left w:val="nil"/>
              <w:bottom w:val="single" w:color="auto" w:sz="4" w:space="0"/>
              <w:right w:val="single" w:color="auto" w:sz="6" w:space="0"/>
            </w:tcBorders>
            <w:vAlign w:val="center"/>
          </w:tcPr>
          <w:p w14:paraId="11FF31F2">
            <w:pP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1、采用21.5英寸横屏和竖屏两种方式，电容显示屏，支持10点触控，屏幕分辨率≥1920*1080，显示比例16:9；屏幕亮度≥500cd/㎡。系统运行内存不低于2GB，存储容量不低于16GB。</w:t>
            </w:r>
          </w:p>
          <w:p w14:paraId="062BDEFE">
            <w:pP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2、整机CPU≥4核，最高主频≥1.9G，操作系统能够支持国产系统及适配国产服务器操作系统。</w:t>
            </w:r>
          </w:p>
          <w:p w14:paraId="5C167417">
            <w:pP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3、防护等级不低于IP65防护等级。</w:t>
            </w:r>
          </w:p>
          <w:p w14:paraId="64706A93">
            <w:pP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4、摄像头可拍摄不低于500W像素的照片，支持不少于5人同时进行人脸识别。</w:t>
            </w:r>
          </w:p>
          <w:p w14:paraId="47B56989">
            <w:pP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 xml:space="preserve">5、班牌具备本地人脸算法，并且能够提供的人脸算法不能少于三种。为保障学生人脸信息安全，不允许班牌本地储存学生照片，采用人脸特征库班牌本地比对认证方式，支持离线人脸识别； </w:t>
            </w:r>
          </w:p>
          <w:p w14:paraId="159E8856">
            <w:pP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6、整机采用防水防尘结构设计背部与墙面微距全贴合，背面与平整墙面间隙最大处≤2.5mm，整机最大厚度不大于29mm。</w:t>
            </w:r>
          </w:p>
          <w:p w14:paraId="7DE0FD5E">
            <w:pP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7、内置高灵敏度的全向麦克风，拾音半径不小于0.5m。内置2.0立体声道功放。</w:t>
            </w:r>
          </w:p>
          <w:p w14:paraId="3B64ECD8">
            <w:pP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8、刷卡器：具有内置IC卡刷卡器，支持14443协议。具备至少一路RJ45网络接口；具备不少于2路USB 2.0接口。</w:t>
            </w:r>
          </w:p>
          <w:p w14:paraId="29DEF150">
            <w:pP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9、整机支持自动感光调节屏幕亮度，采用内置天线设计，无任何天线外露。支持外接门禁控制。</w:t>
            </w:r>
          </w:p>
          <w:p w14:paraId="390EA92D">
            <w:pP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 xml:space="preserve">10、电子班牌与人脸识别分析计算单元必须为统一品牌； </w:t>
            </w:r>
          </w:p>
          <w:p w14:paraId="5F81723D">
            <w:pP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 xml:space="preserve">11、流媒体转码功能：支持mp4、mkv、wmv、mov、flv、RMVB、RM、AVI、VOB视频解码功能； </w:t>
            </w:r>
          </w:p>
        </w:tc>
        <w:tc>
          <w:tcPr>
            <w:tcW w:w="567" w:type="dxa"/>
            <w:tcBorders>
              <w:top w:val="single" w:color="auto" w:sz="4" w:space="0"/>
              <w:left w:val="single" w:color="auto" w:sz="6" w:space="0"/>
              <w:bottom w:val="single" w:color="auto" w:sz="4" w:space="0"/>
              <w:right w:val="single" w:color="auto" w:sz="6" w:space="0"/>
            </w:tcBorders>
            <w:vAlign w:val="center"/>
          </w:tcPr>
          <w:p w14:paraId="7A6FC8F6">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w:t>
            </w:r>
          </w:p>
        </w:tc>
        <w:tc>
          <w:tcPr>
            <w:tcW w:w="567" w:type="dxa"/>
            <w:tcBorders>
              <w:top w:val="single" w:color="auto" w:sz="4" w:space="0"/>
              <w:left w:val="single" w:color="auto" w:sz="6" w:space="0"/>
              <w:bottom w:val="single" w:color="auto" w:sz="4" w:space="0"/>
              <w:right w:val="single" w:color="auto" w:sz="6" w:space="0"/>
            </w:tcBorders>
            <w:vAlign w:val="center"/>
          </w:tcPr>
          <w:p w14:paraId="5B19A77E">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台</w:t>
            </w:r>
          </w:p>
        </w:tc>
      </w:tr>
      <w:tr w14:paraId="29DC8F18">
        <w:tblPrEx>
          <w:tblCellMar>
            <w:top w:w="0" w:type="dxa"/>
            <w:left w:w="10" w:type="dxa"/>
            <w:bottom w:w="0" w:type="dxa"/>
            <w:right w:w="10" w:type="dxa"/>
          </w:tblCellMar>
        </w:tblPrEx>
        <w:trPr>
          <w:trHeight w:val="704" w:hRule="atLeast"/>
        </w:trPr>
        <w:tc>
          <w:tcPr>
            <w:tcW w:w="500" w:type="dxa"/>
            <w:tcBorders>
              <w:top w:val="single" w:color="auto" w:sz="4" w:space="0"/>
              <w:left w:val="single" w:color="auto" w:sz="6" w:space="0"/>
              <w:bottom w:val="single" w:color="auto" w:sz="4" w:space="0"/>
              <w:right w:val="single" w:color="auto" w:sz="6" w:space="0"/>
            </w:tcBorders>
            <w:vAlign w:val="center"/>
          </w:tcPr>
          <w:p w14:paraId="779017D6">
            <w:pPr>
              <w:widowControl/>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26</w:t>
            </w:r>
          </w:p>
        </w:tc>
        <w:tc>
          <w:tcPr>
            <w:tcW w:w="945" w:type="dxa"/>
            <w:tcBorders>
              <w:top w:val="single" w:color="auto" w:sz="4" w:space="0"/>
              <w:left w:val="nil"/>
              <w:bottom w:val="single" w:color="auto" w:sz="4" w:space="0"/>
              <w:right w:val="single" w:color="auto" w:sz="6" w:space="0"/>
            </w:tcBorders>
            <w:vAlign w:val="center"/>
          </w:tcPr>
          <w:p w14:paraId="3A043857">
            <w:pPr>
              <w:widowControl/>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服务器</w:t>
            </w:r>
          </w:p>
        </w:tc>
        <w:tc>
          <w:tcPr>
            <w:tcW w:w="6875" w:type="dxa"/>
            <w:tcBorders>
              <w:top w:val="single" w:color="auto" w:sz="4" w:space="0"/>
              <w:left w:val="nil"/>
              <w:bottom w:val="single" w:color="auto" w:sz="4" w:space="0"/>
              <w:right w:val="single" w:color="auto" w:sz="6" w:space="0"/>
            </w:tcBorders>
            <w:vAlign w:val="center"/>
          </w:tcPr>
          <w:p w14:paraId="22FA79AA">
            <w:pPr>
              <w:jc w:val="left"/>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1.机架式服务器；</w:t>
            </w:r>
          </w:p>
          <w:p w14:paraId="7E1A3DF4">
            <w:pPr>
              <w:jc w:val="left"/>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2.CPU：2颗Intel Xeon银牌4310(2.1GHz/12-Core/18MB/120W)Ice lake处理器；</w:t>
            </w:r>
          </w:p>
          <w:p w14:paraId="4FC7B99E">
            <w:pPr>
              <w:jc w:val="left"/>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3.内存：2条32G/3200MT/s DDR4内存，16个内存插槽； 4.硬盘：1块480G SSD硬盘，3块4T SATA硬盘，12个硬盘位，支持多种不同的硬盘配置，硬盘支持热插拔;</w:t>
            </w:r>
          </w:p>
          <w:p w14:paraId="3C28C587">
            <w:pPr>
              <w:jc w:val="left"/>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5.RAID：Raid0/1/5/6/10/50/60-2G缓存，;</w:t>
            </w:r>
          </w:p>
          <w:p w14:paraId="032EB1CD">
            <w:pPr>
              <w:jc w:val="left"/>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 xml:space="preserve">6.网卡：2个千兆电口，2个万兆光口（含光模块）; </w:t>
            </w:r>
          </w:p>
          <w:p w14:paraId="3167AC36">
            <w:pPr>
              <w:jc w:val="left"/>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7.PCIe扩展：支持10个PCIe 4.0扩展插槽，支持多种应用；</w:t>
            </w:r>
          </w:p>
          <w:p w14:paraId="714669EF">
            <w:pPr>
              <w:jc w:val="left"/>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8.风扇：支持N+1冗余；</w:t>
            </w:r>
          </w:p>
          <w:p w14:paraId="355AF042">
            <w:pPr>
              <w:jc w:val="left"/>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9.电源：2个900W电源，支持1+1冗余；</w:t>
            </w:r>
          </w:p>
          <w:p w14:paraId="7CBFE652">
            <w:pPr>
              <w:jc w:val="left"/>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10.安装套件：含导轨；</w:t>
            </w:r>
          </w:p>
          <w:p w14:paraId="5F889C6D">
            <w:pPr>
              <w:jc w:val="left"/>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11.服务：原厂3年上门更换硬件。</w:t>
            </w:r>
          </w:p>
        </w:tc>
        <w:tc>
          <w:tcPr>
            <w:tcW w:w="567" w:type="dxa"/>
            <w:tcBorders>
              <w:top w:val="single" w:color="auto" w:sz="4" w:space="0"/>
              <w:left w:val="single" w:color="auto" w:sz="6" w:space="0"/>
              <w:bottom w:val="single" w:color="auto" w:sz="4" w:space="0"/>
              <w:right w:val="single" w:color="auto" w:sz="6" w:space="0"/>
            </w:tcBorders>
            <w:vAlign w:val="center"/>
          </w:tcPr>
          <w:p w14:paraId="464BD24E">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w:t>
            </w:r>
          </w:p>
        </w:tc>
        <w:tc>
          <w:tcPr>
            <w:tcW w:w="567" w:type="dxa"/>
            <w:tcBorders>
              <w:top w:val="single" w:color="auto" w:sz="4" w:space="0"/>
              <w:left w:val="single" w:color="auto" w:sz="6" w:space="0"/>
              <w:bottom w:val="single" w:color="auto" w:sz="4" w:space="0"/>
              <w:right w:val="single" w:color="auto" w:sz="6" w:space="0"/>
            </w:tcBorders>
            <w:vAlign w:val="center"/>
          </w:tcPr>
          <w:p w14:paraId="52768C85">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台</w:t>
            </w:r>
          </w:p>
        </w:tc>
      </w:tr>
      <w:tr w14:paraId="1C75B8BE">
        <w:tblPrEx>
          <w:tblCellMar>
            <w:top w:w="0" w:type="dxa"/>
            <w:left w:w="10" w:type="dxa"/>
            <w:bottom w:w="0" w:type="dxa"/>
            <w:right w:w="10" w:type="dxa"/>
          </w:tblCellMar>
        </w:tblPrEx>
        <w:trPr>
          <w:trHeight w:val="704" w:hRule="atLeast"/>
        </w:trPr>
        <w:tc>
          <w:tcPr>
            <w:tcW w:w="500" w:type="dxa"/>
            <w:tcBorders>
              <w:top w:val="single" w:color="auto" w:sz="4" w:space="0"/>
              <w:left w:val="single" w:color="auto" w:sz="6" w:space="0"/>
              <w:bottom w:val="single" w:color="auto" w:sz="4" w:space="0"/>
              <w:right w:val="single" w:color="auto" w:sz="6" w:space="0"/>
            </w:tcBorders>
            <w:vAlign w:val="center"/>
          </w:tcPr>
          <w:p w14:paraId="27D2D208">
            <w:pPr>
              <w:widowControl/>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27</w:t>
            </w:r>
          </w:p>
        </w:tc>
        <w:tc>
          <w:tcPr>
            <w:tcW w:w="945" w:type="dxa"/>
            <w:tcBorders>
              <w:top w:val="single" w:color="auto" w:sz="4" w:space="0"/>
              <w:left w:val="nil"/>
              <w:bottom w:val="single" w:color="auto" w:sz="4" w:space="0"/>
              <w:right w:val="single" w:color="auto" w:sz="6" w:space="0"/>
            </w:tcBorders>
            <w:vAlign w:val="center"/>
          </w:tcPr>
          <w:p w14:paraId="5AE6E707">
            <w:pPr>
              <w:widowControl/>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无线电子时钟</w:t>
            </w:r>
          </w:p>
        </w:tc>
        <w:tc>
          <w:tcPr>
            <w:tcW w:w="6875" w:type="dxa"/>
            <w:tcBorders>
              <w:top w:val="single" w:color="auto" w:sz="4" w:space="0"/>
              <w:left w:val="nil"/>
              <w:bottom w:val="single" w:color="auto" w:sz="4" w:space="0"/>
              <w:right w:val="single" w:color="auto" w:sz="6" w:space="0"/>
            </w:tcBorders>
            <w:vAlign w:val="center"/>
          </w:tcPr>
          <w:p w14:paraId="083A1A77">
            <w:pPr>
              <w:jc w:val="left"/>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1、通过2.4G无线通讯协议接入同品牌物联网关，自动同步系统平台时间，通过系统平台与互联网时间同步。实时显示年月日、星期、时、分、秒。</w:t>
            </w:r>
          </w:p>
          <w:p w14:paraId="3816068C">
            <w:pPr>
              <w:jc w:val="left"/>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2、内置高精度时钟芯片，单机运行误差小于3秒/周，自动校时误差小于2秒/周。</w:t>
            </w:r>
          </w:p>
          <w:p w14:paraId="4005EEFE">
            <w:pPr>
              <w:jc w:val="left"/>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3、外框尺寸：690mmx210mmx30mm。显示尺寸：640mmx160mm。外框采用黑色超薄铝合金材料，LED</w:t>
            </w:r>
          </w:p>
          <w:p w14:paraId="3EAE60B6">
            <w:pPr>
              <w:jc w:val="left"/>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采用SMD全彩灯珠。</w:t>
            </w:r>
          </w:p>
          <w:p w14:paraId="42C1092C">
            <w:pPr>
              <w:jc w:val="left"/>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4、配合系统平台可手动或定时息屏和亮屏。</w:t>
            </w:r>
          </w:p>
          <w:p w14:paraId="4636FC97">
            <w:pPr>
              <w:jc w:val="left"/>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5、供电方式：DC12V/3A。</w:t>
            </w:r>
          </w:p>
        </w:tc>
        <w:tc>
          <w:tcPr>
            <w:tcW w:w="567" w:type="dxa"/>
            <w:tcBorders>
              <w:top w:val="single" w:color="auto" w:sz="4" w:space="0"/>
              <w:left w:val="single" w:color="auto" w:sz="6" w:space="0"/>
              <w:bottom w:val="single" w:color="auto" w:sz="4" w:space="0"/>
              <w:right w:val="single" w:color="auto" w:sz="6" w:space="0"/>
            </w:tcBorders>
            <w:vAlign w:val="center"/>
          </w:tcPr>
          <w:p w14:paraId="6724F39D">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w:t>
            </w:r>
          </w:p>
        </w:tc>
        <w:tc>
          <w:tcPr>
            <w:tcW w:w="567" w:type="dxa"/>
            <w:tcBorders>
              <w:top w:val="single" w:color="auto" w:sz="4" w:space="0"/>
              <w:left w:val="single" w:color="auto" w:sz="6" w:space="0"/>
              <w:bottom w:val="single" w:color="auto" w:sz="4" w:space="0"/>
              <w:right w:val="single" w:color="auto" w:sz="6" w:space="0"/>
            </w:tcBorders>
            <w:vAlign w:val="center"/>
          </w:tcPr>
          <w:p w14:paraId="4D046A81">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台</w:t>
            </w:r>
          </w:p>
        </w:tc>
      </w:tr>
      <w:tr w14:paraId="3C84DA5F">
        <w:tblPrEx>
          <w:tblCellMar>
            <w:top w:w="0" w:type="dxa"/>
            <w:left w:w="10" w:type="dxa"/>
            <w:bottom w:w="0" w:type="dxa"/>
            <w:right w:w="10" w:type="dxa"/>
          </w:tblCellMar>
        </w:tblPrEx>
        <w:trPr>
          <w:trHeight w:val="704" w:hRule="atLeast"/>
        </w:trPr>
        <w:tc>
          <w:tcPr>
            <w:tcW w:w="500" w:type="dxa"/>
            <w:tcBorders>
              <w:top w:val="single" w:color="auto" w:sz="4" w:space="0"/>
              <w:left w:val="single" w:color="auto" w:sz="6" w:space="0"/>
              <w:bottom w:val="single" w:color="auto" w:sz="4" w:space="0"/>
              <w:right w:val="single" w:color="auto" w:sz="6" w:space="0"/>
            </w:tcBorders>
            <w:vAlign w:val="center"/>
          </w:tcPr>
          <w:p w14:paraId="33CD7892">
            <w:pPr>
              <w:widowControl/>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28</w:t>
            </w:r>
          </w:p>
        </w:tc>
        <w:tc>
          <w:tcPr>
            <w:tcW w:w="945" w:type="dxa"/>
            <w:tcBorders>
              <w:top w:val="single" w:color="auto" w:sz="4" w:space="0"/>
              <w:left w:val="nil"/>
              <w:bottom w:val="single" w:color="auto" w:sz="4" w:space="0"/>
              <w:right w:val="single" w:color="auto" w:sz="6" w:space="0"/>
            </w:tcBorders>
            <w:vAlign w:val="center"/>
          </w:tcPr>
          <w:p w14:paraId="4F075D91">
            <w:pPr>
              <w:widowControl/>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空调</w:t>
            </w:r>
          </w:p>
        </w:tc>
        <w:tc>
          <w:tcPr>
            <w:tcW w:w="6875" w:type="dxa"/>
            <w:tcBorders>
              <w:top w:val="single" w:color="auto" w:sz="4" w:space="0"/>
              <w:left w:val="nil"/>
              <w:bottom w:val="single" w:color="auto" w:sz="4" w:space="0"/>
              <w:right w:val="single" w:color="auto" w:sz="6" w:space="0"/>
            </w:tcBorders>
            <w:vAlign w:val="center"/>
          </w:tcPr>
          <w:p w14:paraId="534FC511">
            <w:pP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1、制冷量（kw）≥13.00</w:t>
            </w:r>
          </w:p>
          <w:p w14:paraId="3647F49E">
            <w:pP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2、制冷额定功率（kw）≥5.4</w:t>
            </w:r>
          </w:p>
          <w:p w14:paraId="01802A44">
            <w:pP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3、制冷最大输入功率（kw）≥5.7</w:t>
            </w:r>
          </w:p>
          <w:p w14:paraId="2CE23684">
            <w:pP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4、制热量（kw）≥13.85</w:t>
            </w:r>
          </w:p>
          <w:p w14:paraId="7D522830">
            <w:pP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5、制热额定功率（kw）≥4.2</w:t>
            </w:r>
          </w:p>
          <w:p w14:paraId="53DCB4A8">
            <w:pP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6、制热最大输入功率（kw）≥5.2</w:t>
            </w:r>
          </w:p>
          <w:p w14:paraId="550B72F6">
            <w:pP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7、电热功率（kw）≥2.6</w:t>
            </w:r>
          </w:p>
          <w:p w14:paraId="334630B8">
            <w:pP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8、电源：3N-380V-50Hz</w:t>
            </w:r>
          </w:p>
          <w:p w14:paraId="26C7C528">
            <w:pP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9、能效等级1</w:t>
            </w:r>
          </w:p>
          <w:p w14:paraId="6019C2ED">
            <w:pP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10、最大配管长度（m）：30</w:t>
            </w:r>
          </w:p>
          <w:p w14:paraId="5757E5A6">
            <w:pP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11、室内机室外机最大落差（m）：20</w:t>
            </w:r>
          </w:p>
          <w:p w14:paraId="699CEA21">
            <w:pP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12、标配控制器：遥控器</w:t>
            </w:r>
          </w:p>
        </w:tc>
        <w:tc>
          <w:tcPr>
            <w:tcW w:w="567" w:type="dxa"/>
            <w:tcBorders>
              <w:top w:val="single" w:color="auto" w:sz="4" w:space="0"/>
              <w:left w:val="single" w:color="auto" w:sz="6" w:space="0"/>
              <w:bottom w:val="single" w:color="auto" w:sz="4" w:space="0"/>
              <w:right w:val="single" w:color="auto" w:sz="6" w:space="0"/>
            </w:tcBorders>
            <w:vAlign w:val="center"/>
          </w:tcPr>
          <w:p w14:paraId="2254EDB7">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3</w:t>
            </w:r>
          </w:p>
        </w:tc>
        <w:tc>
          <w:tcPr>
            <w:tcW w:w="567" w:type="dxa"/>
            <w:tcBorders>
              <w:top w:val="single" w:color="auto" w:sz="4" w:space="0"/>
              <w:left w:val="single" w:color="auto" w:sz="6" w:space="0"/>
              <w:bottom w:val="single" w:color="auto" w:sz="4" w:space="0"/>
              <w:right w:val="single" w:color="auto" w:sz="6" w:space="0"/>
            </w:tcBorders>
            <w:vAlign w:val="center"/>
          </w:tcPr>
          <w:p w14:paraId="3CCFE15E">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台</w:t>
            </w:r>
          </w:p>
        </w:tc>
      </w:tr>
      <w:tr w14:paraId="561A93A1">
        <w:tblPrEx>
          <w:tblCellMar>
            <w:top w:w="0" w:type="dxa"/>
            <w:left w:w="10" w:type="dxa"/>
            <w:bottom w:w="0" w:type="dxa"/>
            <w:right w:w="10" w:type="dxa"/>
          </w:tblCellMar>
        </w:tblPrEx>
        <w:trPr>
          <w:trHeight w:val="704" w:hRule="atLeast"/>
        </w:trPr>
        <w:tc>
          <w:tcPr>
            <w:tcW w:w="500" w:type="dxa"/>
            <w:tcBorders>
              <w:top w:val="single" w:color="auto" w:sz="4" w:space="0"/>
              <w:left w:val="single" w:color="auto" w:sz="6" w:space="0"/>
              <w:bottom w:val="single" w:color="auto" w:sz="4" w:space="0"/>
              <w:right w:val="single" w:color="auto" w:sz="6" w:space="0"/>
            </w:tcBorders>
            <w:vAlign w:val="center"/>
          </w:tcPr>
          <w:p w14:paraId="1B42CB8B">
            <w:pPr>
              <w:widowControl/>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29</w:t>
            </w:r>
          </w:p>
        </w:tc>
        <w:tc>
          <w:tcPr>
            <w:tcW w:w="945" w:type="dxa"/>
            <w:tcBorders>
              <w:top w:val="single" w:color="auto" w:sz="4" w:space="0"/>
              <w:left w:val="nil"/>
              <w:bottom w:val="single" w:color="auto" w:sz="4" w:space="0"/>
              <w:right w:val="single" w:color="auto" w:sz="6" w:space="0"/>
            </w:tcBorders>
            <w:vAlign w:val="center"/>
          </w:tcPr>
          <w:p w14:paraId="08085A25">
            <w:pPr>
              <w:widowControl/>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专业音箱1</w:t>
            </w:r>
          </w:p>
        </w:tc>
        <w:tc>
          <w:tcPr>
            <w:tcW w:w="6875" w:type="dxa"/>
            <w:tcBorders>
              <w:top w:val="single" w:color="auto" w:sz="4" w:space="0"/>
              <w:left w:val="nil"/>
              <w:bottom w:val="single" w:color="auto" w:sz="4" w:space="0"/>
              <w:right w:val="single" w:color="auto" w:sz="6" w:space="0"/>
            </w:tcBorders>
            <w:vAlign w:val="center"/>
          </w:tcPr>
          <w:p w14:paraId="6839632E">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1.阻抗≤8Ω</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2.频响等同或优于55Hz~20KHz</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3.额定功率≥300W</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4.灵敏度≥98dB/W/M</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5.水平覆盖角≥80°，垂直覆盖角≥60°</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6.高音≥1.4"压缩高音单元×1</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7.低音≥10"低音×1</w:t>
            </w:r>
          </w:p>
        </w:tc>
        <w:tc>
          <w:tcPr>
            <w:tcW w:w="567" w:type="dxa"/>
            <w:tcBorders>
              <w:top w:val="single" w:color="auto" w:sz="4" w:space="0"/>
              <w:left w:val="single" w:color="auto" w:sz="6" w:space="0"/>
              <w:bottom w:val="single" w:color="auto" w:sz="4" w:space="0"/>
              <w:right w:val="single" w:color="auto" w:sz="6" w:space="0"/>
            </w:tcBorders>
            <w:vAlign w:val="center"/>
          </w:tcPr>
          <w:p w14:paraId="333F0D50">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w:t>
            </w:r>
          </w:p>
        </w:tc>
        <w:tc>
          <w:tcPr>
            <w:tcW w:w="567" w:type="dxa"/>
            <w:tcBorders>
              <w:top w:val="single" w:color="auto" w:sz="4" w:space="0"/>
              <w:left w:val="single" w:color="auto" w:sz="6" w:space="0"/>
              <w:bottom w:val="single" w:color="auto" w:sz="4" w:space="0"/>
              <w:right w:val="single" w:color="auto" w:sz="6" w:space="0"/>
            </w:tcBorders>
            <w:vAlign w:val="center"/>
          </w:tcPr>
          <w:p w14:paraId="6C70B855">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只</w:t>
            </w:r>
          </w:p>
        </w:tc>
      </w:tr>
      <w:tr w14:paraId="24B836A8">
        <w:tblPrEx>
          <w:tblCellMar>
            <w:top w:w="0" w:type="dxa"/>
            <w:left w:w="10" w:type="dxa"/>
            <w:bottom w:w="0" w:type="dxa"/>
            <w:right w:w="10" w:type="dxa"/>
          </w:tblCellMar>
        </w:tblPrEx>
        <w:trPr>
          <w:trHeight w:val="704" w:hRule="atLeast"/>
        </w:trPr>
        <w:tc>
          <w:tcPr>
            <w:tcW w:w="500" w:type="dxa"/>
            <w:tcBorders>
              <w:top w:val="single" w:color="auto" w:sz="4" w:space="0"/>
              <w:left w:val="single" w:color="auto" w:sz="6" w:space="0"/>
              <w:bottom w:val="single" w:color="auto" w:sz="4" w:space="0"/>
              <w:right w:val="single" w:color="auto" w:sz="6" w:space="0"/>
            </w:tcBorders>
            <w:vAlign w:val="center"/>
          </w:tcPr>
          <w:p w14:paraId="749EB542">
            <w:pPr>
              <w:widowControl/>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30</w:t>
            </w:r>
          </w:p>
        </w:tc>
        <w:tc>
          <w:tcPr>
            <w:tcW w:w="945" w:type="dxa"/>
            <w:tcBorders>
              <w:top w:val="single" w:color="auto" w:sz="4" w:space="0"/>
              <w:left w:val="nil"/>
              <w:bottom w:val="single" w:color="auto" w:sz="4" w:space="0"/>
              <w:right w:val="single" w:color="auto" w:sz="6" w:space="0"/>
            </w:tcBorders>
            <w:vAlign w:val="center"/>
          </w:tcPr>
          <w:p w14:paraId="415664A9">
            <w:pPr>
              <w:widowControl/>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支架1</w:t>
            </w:r>
          </w:p>
        </w:tc>
        <w:tc>
          <w:tcPr>
            <w:tcW w:w="6875" w:type="dxa"/>
            <w:tcBorders>
              <w:top w:val="single" w:color="auto" w:sz="4" w:space="0"/>
              <w:left w:val="nil"/>
              <w:bottom w:val="single" w:color="auto" w:sz="4" w:space="0"/>
              <w:right w:val="single" w:color="auto" w:sz="6" w:space="0"/>
            </w:tcBorders>
            <w:vAlign w:val="center"/>
          </w:tcPr>
          <w:p w14:paraId="0B757290">
            <w:pPr>
              <w:widowControl/>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1.固定面板尺寸（长*宽）:227mm*150mm±1mm</w:t>
            </w:r>
          </w:p>
          <w:p w14:paraId="33B8C712">
            <w:pPr>
              <w:widowControl/>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2.臂长：280mm至400mm（可调节）</w:t>
            </w:r>
          </w:p>
          <w:p w14:paraId="52B9BF53">
            <w:pPr>
              <w:widowControl/>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3.重量：2.56Kg</w:t>
            </w:r>
          </w:p>
          <w:p w14:paraId="13D31EEB">
            <w:pPr>
              <w:widowControl/>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4.类型：音箱支架</w:t>
            </w:r>
          </w:p>
        </w:tc>
        <w:tc>
          <w:tcPr>
            <w:tcW w:w="567" w:type="dxa"/>
            <w:tcBorders>
              <w:top w:val="single" w:color="auto" w:sz="4" w:space="0"/>
              <w:left w:val="single" w:color="auto" w:sz="6" w:space="0"/>
              <w:bottom w:val="single" w:color="auto" w:sz="4" w:space="0"/>
              <w:right w:val="single" w:color="auto" w:sz="6" w:space="0"/>
            </w:tcBorders>
            <w:vAlign w:val="center"/>
          </w:tcPr>
          <w:p w14:paraId="224716DF">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w:t>
            </w:r>
          </w:p>
        </w:tc>
        <w:tc>
          <w:tcPr>
            <w:tcW w:w="567" w:type="dxa"/>
            <w:tcBorders>
              <w:top w:val="single" w:color="auto" w:sz="4" w:space="0"/>
              <w:left w:val="single" w:color="auto" w:sz="6" w:space="0"/>
              <w:bottom w:val="single" w:color="auto" w:sz="4" w:space="0"/>
              <w:right w:val="single" w:color="auto" w:sz="6" w:space="0"/>
            </w:tcBorders>
            <w:vAlign w:val="center"/>
          </w:tcPr>
          <w:p w14:paraId="03D6A187">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个</w:t>
            </w:r>
          </w:p>
        </w:tc>
      </w:tr>
      <w:tr w14:paraId="1818F32A">
        <w:tblPrEx>
          <w:tblCellMar>
            <w:top w:w="0" w:type="dxa"/>
            <w:left w:w="10" w:type="dxa"/>
            <w:bottom w:w="0" w:type="dxa"/>
            <w:right w:w="10" w:type="dxa"/>
          </w:tblCellMar>
        </w:tblPrEx>
        <w:trPr>
          <w:trHeight w:val="704" w:hRule="atLeast"/>
        </w:trPr>
        <w:tc>
          <w:tcPr>
            <w:tcW w:w="500" w:type="dxa"/>
            <w:tcBorders>
              <w:top w:val="single" w:color="auto" w:sz="4" w:space="0"/>
              <w:left w:val="single" w:color="auto" w:sz="6" w:space="0"/>
              <w:bottom w:val="single" w:color="auto" w:sz="4" w:space="0"/>
              <w:right w:val="single" w:color="auto" w:sz="6" w:space="0"/>
            </w:tcBorders>
            <w:vAlign w:val="center"/>
          </w:tcPr>
          <w:p w14:paraId="571BED32">
            <w:pPr>
              <w:widowControl/>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31</w:t>
            </w:r>
          </w:p>
        </w:tc>
        <w:tc>
          <w:tcPr>
            <w:tcW w:w="945" w:type="dxa"/>
            <w:tcBorders>
              <w:top w:val="single" w:color="auto" w:sz="4" w:space="0"/>
              <w:left w:val="nil"/>
              <w:bottom w:val="single" w:color="auto" w:sz="4" w:space="0"/>
              <w:right w:val="single" w:color="auto" w:sz="6" w:space="0"/>
            </w:tcBorders>
            <w:vAlign w:val="center"/>
          </w:tcPr>
          <w:p w14:paraId="27C6EFF7">
            <w:pPr>
              <w:widowControl/>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专业功放1</w:t>
            </w:r>
          </w:p>
        </w:tc>
        <w:tc>
          <w:tcPr>
            <w:tcW w:w="6875" w:type="dxa"/>
            <w:tcBorders>
              <w:top w:val="single" w:color="auto" w:sz="4" w:space="0"/>
              <w:left w:val="nil"/>
              <w:bottom w:val="single" w:color="auto" w:sz="4" w:space="0"/>
              <w:right w:val="single" w:color="auto" w:sz="6" w:space="0"/>
            </w:tcBorders>
            <w:vAlign w:val="center"/>
          </w:tcPr>
          <w:p w14:paraId="4FE0DDFE">
            <w:pPr>
              <w:widowControl/>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1.1U机箱设计，采用D类数字功放设计方案。</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2.标准XLR输入接口，和LINK输出口。</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3.电源采用开关电源技术，效率高，有效的抑制电源谐波。</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 xml:space="preserve">4.内置智能削峰限幅器，支持开机软启动，防止开机时向电网吸收大电流，干扰其它用电设备。 </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5.具有：过压保护，欠压保护，过流保护，直流保护，输出短路保护，温控风扇等功能。</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6.输出功率：立体声@8Ω：≥500W×2；立体声@4Ω：≥850W×2；桥接@8Ω：≥1700W。</w:t>
            </w:r>
          </w:p>
        </w:tc>
        <w:tc>
          <w:tcPr>
            <w:tcW w:w="567" w:type="dxa"/>
            <w:tcBorders>
              <w:top w:val="single" w:color="auto" w:sz="4" w:space="0"/>
              <w:left w:val="single" w:color="auto" w:sz="6" w:space="0"/>
              <w:bottom w:val="single" w:color="auto" w:sz="4" w:space="0"/>
              <w:right w:val="single" w:color="auto" w:sz="6" w:space="0"/>
            </w:tcBorders>
            <w:vAlign w:val="center"/>
          </w:tcPr>
          <w:p w14:paraId="13F19485">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w:t>
            </w:r>
          </w:p>
        </w:tc>
        <w:tc>
          <w:tcPr>
            <w:tcW w:w="567" w:type="dxa"/>
            <w:tcBorders>
              <w:top w:val="single" w:color="auto" w:sz="4" w:space="0"/>
              <w:left w:val="single" w:color="auto" w:sz="6" w:space="0"/>
              <w:bottom w:val="single" w:color="auto" w:sz="4" w:space="0"/>
              <w:right w:val="single" w:color="auto" w:sz="6" w:space="0"/>
            </w:tcBorders>
            <w:vAlign w:val="center"/>
          </w:tcPr>
          <w:p w14:paraId="095BCB50">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台</w:t>
            </w:r>
          </w:p>
        </w:tc>
      </w:tr>
      <w:tr w14:paraId="1A55EC6B">
        <w:tblPrEx>
          <w:tblCellMar>
            <w:top w:w="0" w:type="dxa"/>
            <w:left w:w="10" w:type="dxa"/>
            <w:bottom w:w="0" w:type="dxa"/>
            <w:right w:w="10" w:type="dxa"/>
          </w:tblCellMar>
        </w:tblPrEx>
        <w:trPr>
          <w:trHeight w:val="704" w:hRule="atLeast"/>
        </w:trPr>
        <w:tc>
          <w:tcPr>
            <w:tcW w:w="500" w:type="dxa"/>
            <w:tcBorders>
              <w:top w:val="single" w:color="auto" w:sz="4" w:space="0"/>
              <w:left w:val="single" w:color="auto" w:sz="6" w:space="0"/>
              <w:bottom w:val="single" w:color="auto" w:sz="4" w:space="0"/>
              <w:right w:val="single" w:color="auto" w:sz="6" w:space="0"/>
            </w:tcBorders>
            <w:vAlign w:val="center"/>
          </w:tcPr>
          <w:p w14:paraId="3B5E5075">
            <w:pPr>
              <w:widowControl/>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32</w:t>
            </w:r>
          </w:p>
        </w:tc>
        <w:tc>
          <w:tcPr>
            <w:tcW w:w="945" w:type="dxa"/>
            <w:tcBorders>
              <w:top w:val="single" w:color="auto" w:sz="4" w:space="0"/>
              <w:left w:val="nil"/>
              <w:bottom w:val="single" w:color="auto" w:sz="4" w:space="0"/>
              <w:right w:val="single" w:color="auto" w:sz="6" w:space="0"/>
            </w:tcBorders>
            <w:vAlign w:val="center"/>
          </w:tcPr>
          <w:p w14:paraId="4C432BFB">
            <w:pPr>
              <w:widowControl/>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专业音箱2</w:t>
            </w:r>
          </w:p>
        </w:tc>
        <w:tc>
          <w:tcPr>
            <w:tcW w:w="6875" w:type="dxa"/>
            <w:tcBorders>
              <w:top w:val="single" w:color="auto" w:sz="4" w:space="0"/>
              <w:left w:val="nil"/>
              <w:bottom w:val="single" w:color="auto" w:sz="4" w:space="0"/>
              <w:right w:val="single" w:color="auto" w:sz="6" w:space="0"/>
            </w:tcBorders>
            <w:vAlign w:val="center"/>
          </w:tcPr>
          <w:p w14:paraId="1BE57ED7">
            <w:pPr>
              <w:widowControl/>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1.阻抗≤8Ω</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2.频响等同或优于60Hz~20KHz</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3.额定功率≥200W</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4.灵敏度≥96dB/W/M</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5.水平覆盖角≥80°，垂直覆盖角≥60°</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6.高音≥1.4"压缩高音单元×1</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7.低音≥8"低音×1</w:t>
            </w:r>
          </w:p>
        </w:tc>
        <w:tc>
          <w:tcPr>
            <w:tcW w:w="567" w:type="dxa"/>
            <w:tcBorders>
              <w:top w:val="single" w:color="auto" w:sz="4" w:space="0"/>
              <w:left w:val="single" w:color="auto" w:sz="6" w:space="0"/>
              <w:bottom w:val="single" w:color="auto" w:sz="4" w:space="0"/>
              <w:right w:val="single" w:color="auto" w:sz="6" w:space="0"/>
            </w:tcBorders>
            <w:vAlign w:val="center"/>
          </w:tcPr>
          <w:p w14:paraId="56DB1811">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w:t>
            </w:r>
          </w:p>
        </w:tc>
        <w:tc>
          <w:tcPr>
            <w:tcW w:w="567" w:type="dxa"/>
            <w:tcBorders>
              <w:top w:val="single" w:color="auto" w:sz="4" w:space="0"/>
              <w:left w:val="single" w:color="auto" w:sz="6" w:space="0"/>
              <w:bottom w:val="single" w:color="auto" w:sz="4" w:space="0"/>
              <w:right w:val="single" w:color="auto" w:sz="6" w:space="0"/>
            </w:tcBorders>
            <w:vAlign w:val="center"/>
          </w:tcPr>
          <w:p w14:paraId="1000C09C">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只</w:t>
            </w:r>
          </w:p>
        </w:tc>
      </w:tr>
      <w:tr w14:paraId="09502362">
        <w:tblPrEx>
          <w:tblCellMar>
            <w:top w:w="0" w:type="dxa"/>
            <w:left w:w="10" w:type="dxa"/>
            <w:bottom w:w="0" w:type="dxa"/>
            <w:right w:w="10" w:type="dxa"/>
          </w:tblCellMar>
        </w:tblPrEx>
        <w:trPr>
          <w:trHeight w:val="704" w:hRule="atLeast"/>
        </w:trPr>
        <w:tc>
          <w:tcPr>
            <w:tcW w:w="500" w:type="dxa"/>
            <w:tcBorders>
              <w:top w:val="single" w:color="auto" w:sz="4" w:space="0"/>
              <w:left w:val="single" w:color="auto" w:sz="6" w:space="0"/>
              <w:bottom w:val="single" w:color="auto" w:sz="4" w:space="0"/>
              <w:right w:val="single" w:color="auto" w:sz="6" w:space="0"/>
            </w:tcBorders>
            <w:vAlign w:val="center"/>
          </w:tcPr>
          <w:p w14:paraId="66464B1A">
            <w:pPr>
              <w:widowControl/>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33</w:t>
            </w:r>
          </w:p>
        </w:tc>
        <w:tc>
          <w:tcPr>
            <w:tcW w:w="945" w:type="dxa"/>
            <w:tcBorders>
              <w:top w:val="single" w:color="auto" w:sz="4" w:space="0"/>
              <w:left w:val="nil"/>
              <w:bottom w:val="single" w:color="auto" w:sz="4" w:space="0"/>
              <w:right w:val="single" w:color="auto" w:sz="6" w:space="0"/>
            </w:tcBorders>
            <w:vAlign w:val="center"/>
          </w:tcPr>
          <w:p w14:paraId="45B38161">
            <w:pPr>
              <w:widowControl/>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支架2</w:t>
            </w:r>
          </w:p>
        </w:tc>
        <w:tc>
          <w:tcPr>
            <w:tcW w:w="6875" w:type="dxa"/>
            <w:tcBorders>
              <w:top w:val="single" w:color="auto" w:sz="4" w:space="0"/>
              <w:left w:val="nil"/>
              <w:bottom w:val="single" w:color="auto" w:sz="4" w:space="0"/>
              <w:right w:val="single" w:color="auto" w:sz="6" w:space="0"/>
            </w:tcBorders>
            <w:vAlign w:val="center"/>
          </w:tcPr>
          <w:p w14:paraId="53EC88A0">
            <w:pPr>
              <w:widowControl/>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固定面板固定孔尺寸（长*宽）：34mm*34mm</w:t>
            </w:r>
          </w:p>
          <w:p w14:paraId="34425691">
            <w:pPr>
              <w:widowControl/>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箱体固定面板固定孔尺寸：110mm</w:t>
            </w:r>
          </w:p>
          <w:p w14:paraId="6FFFB67D">
            <w:pPr>
              <w:widowControl/>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重量：0.31Kg</w:t>
            </w:r>
          </w:p>
          <w:p w14:paraId="5710ABB2">
            <w:pPr>
              <w:widowControl/>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类型：音箱支架</w:t>
            </w:r>
          </w:p>
        </w:tc>
        <w:tc>
          <w:tcPr>
            <w:tcW w:w="567" w:type="dxa"/>
            <w:tcBorders>
              <w:top w:val="single" w:color="auto" w:sz="4" w:space="0"/>
              <w:left w:val="single" w:color="auto" w:sz="6" w:space="0"/>
              <w:bottom w:val="single" w:color="auto" w:sz="4" w:space="0"/>
              <w:right w:val="single" w:color="auto" w:sz="6" w:space="0"/>
            </w:tcBorders>
            <w:vAlign w:val="center"/>
          </w:tcPr>
          <w:p w14:paraId="65A1C7C0">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w:t>
            </w:r>
          </w:p>
        </w:tc>
        <w:tc>
          <w:tcPr>
            <w:tcW w:w="567" w:type="dxa"/>
            <w:tcBorders>
              <w:top w:val="single" w:color="auto" w:sz="4" w:space="0"/>
              <w:left w:val="single" w:color="auto" w:sz="6" w:space="0"/>
              <w:bottom w:val="single" w:color="auto" w:sz="4" w:space="0"/>
              <w:right w:val="single" w:color="auto" w:sz="6" w:space="0"/>
            </w:tcBorders>
            <w:vAlign w:val="center"/>
          </w:tcPr>
          <w:p w14:paraId="5A482367">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个</w:t>
            </w:r>
          </w:p>
        </w:tc>
      </w:tr>
      <w:tr w14:paraId="6D236F7C">
        <w:tblPrEx>
          <w:tblCellMar>
            <w:top w:w="0" w:type="dxa"/>
            <w:left w:w="10" w:type="dxa"/>
            <w:bottom w:w="0" w:type="dxa"/>
            <w:right w:w="10" w:type="dxa"/>
          </w:tblCellMar>
        </w:tblPrEx>
        <w:trPr>
          <w:trHeight w:val="704" w:hRule="atLeast"/>
        </w:trPr>
        <w:tc>
          <w:tcPr>
            <w:tcW w:w="500" w:type="dxa"/>
            <w:tcBorders>
              <w:top w:val="single" w:color="auto" w:sz="4" w:space="0"/>
              <w:left w:val="single" w:color="auto" w:sz="6" w:space="0"/>
              <w:bottom w:val="single" w:color="auto" w:sz="4" w:space="0"/>
              <w:right w:val="single" w:color="auto" w:sz="6" w:space="0"/>
            </w:tcBorders>
            <w:vAlign w:val="center"/>
          </w:tcPr>
          <w:p w14:paraId="7293F789">
            <w:pPr>
              <w:widowControl/>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34</w:t>
            </w:r>
          </w:p>
        </w:tc>
        <w:tc>
          <w:tcPr>
            <w:tcW w:w="945" w:type="dxa"/>
            <w:tcBorders>
              <w:top w:val="single" w:color="auto" w:sz="4" w:space="0"/>
              <w:left w:val="nil"/>
              <w:bottom w:val="single" w:color="auto" w:sz="4" w:space="0"/>
              <w:right w:val="single" w:color="auto" w:sz="6" w:space="0"/>
            </w:tcBorders>
            <w:vAlign w:val="center"/>
          </w:tcPr>
          <w:p w14:paraId="6B9BE4E4">
            <w:pPr>
              <w:widowControl/>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专业功放2</w:t>
            </w:r>
          </w:p>
        </w:tc>
        <w:tc>
          <w:tcPr>
            <w:tcW w:w="6875" w:type="dxa"/>
            <w:tcBorders>
              <w:top w:val="single" w:color="auto" w:sz="4" w:space="0"/>
              <w:left w:val="nil"/>
              <w:bottom w:val="single" w:color="auto" w:sz="4" w:space="0"/>
              <w:right w:val="single" w:color="auto" w:sz="6" w:space="0"/>
            </w:tcBorders>
            <w:vAlign w:val="center"/>
          </w:tcPr>
          <w:p w14:paraId="38D61F66">
            <w:pPr>
              <w:widowControl/>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1.1U机箱设计，采用D类数字功放设计方案。</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2.标准XLR输入接口，和LINK输出口。</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3.电源采用开关电源技术，效率高，有效的抑制电源谐波。</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 xml:space="preserve">4.内置智能削峰限幅器，支持开机软启动，防止开机时向电网吸收大电流，干扰其它用电设备。 </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5.具有：过压保护，欠压保护，过流保护，直流保护，输出短路保护，温控风扇等功能。</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6.输出功率：立体声@8Ω：≥350W×2；立体声@4Ω：≥600W×2。</w:t>
            </w:r>
          </w:p>
        </w:tc>
        <w:tc>
          <w:tcPr>
            <w:tcW w:w="567" w:type="dxa"/>
            <w:tcBorders>
              <w:top w:val="single" w:color="auto" w:sz="4" w:space="0"/>
              <w:left w:val="single" w:color="auto" w:sz="6" w:space="0"/>
              <w:bottom w:val="single" w:color="auto" w:sz="4" w:space="0"/>
              <w:right w:val="single" w:color="auto" w:sz="6" w:space="0"/>
            </w:tcBorders>
            <w:vAlign w:val="center"/>
          </w:tcPr>
          <w:p w14:paraId="43264713">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w:t>
            </w:r>
          </w:p>
        </w:tc>
        <w:tc>
          <w:tcPr>
            <w:tcW w:w="567" w:type="dxa"/>
            <w:tcBorders>
              <w:top w:val="single" w:color="auto" w:sz="4" w:space="0"/>
              <w:left w:val="single" w:color="auto" w:sz="6" w:space="0"/>
              <w:bottom w:val="single" w:color="auto" w:sz="4" w:space="0"/>
              <w:right w:val="single" w:color="auto" w:sz="6" w:space="0"/>
            </w:tcBorders>
            <w:vAlign w:val="center"/>
          </w:tcPr>
          <w:p w14:paraId="60B7552A">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台</w:t>
            </w:r>
          </w:p>
        </w:tc>
      </w:tr>
      <w:tr w14:paraId="58E8C0CA">
        <w:tblPrEx>
          <w:tblCellMar>
            <w:top w:w="0" w:type="dxa"/>
            <w:left w:w="10" w:type="dxa"/>
            <w:bottom w:w="0" w:type="dxa"/>
            <w:right w:w="10" w:type="dxa"/>
          </w:tblCellMar>
        </w:tblPrEx>
        <w:trPr>
          <w:trHeight w:val="704" w:hRule="atLeast"/>
        </w:trPr>
        <w:tc>
          <w:tcPr>
            <w:tcW w:w="500" w:type="dxa"/>
            <w:tcBorders>
              <w:top w:val="single" w:color="auto" w:sz="4" w:space="0"/>
              <w:left w:val="single" w:color="auto" w:sz="6" w:space="0"/>
              <w:bottom w:val="single" w:color="auto" w:sz="4" w:space="0"/>
              <w:right w:val="single" w:color="auto" w:sz="6" w:space="0"/>
            </w:tcBorders>
            <w:vAlign w:val="center"/>
          </w:tcPr>
          <w:p w14:paraId="1E324EF1">
            <w:pPr>
              <w:widowControl/>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35</w:t>
            </w:r>
          </w:p>
        </w:tc>
        <w:tc>
          <w:tcPr>
            <w:tcW w:w="945" w:type="dxa"/>
            <w:tcBorders>
              <w:top w:val="single" w:color="auto" w:sz="4" w:space="0"/>
              <w:left w:val="nil"/>
              <w:bottom w:val="single" w:color="auto" w:sz="4" w:space="0"/>
              <w:right w:val="single" w:color="auto" w:sz="6" w:space="0"/>
            </w:tcBorders>
            <w:vAlign w:val="center"/>
          </w:tcPr>
          <w:p w14:paraId="441D0045">
            <w:pPr>
              <w:widowControl/>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音频处理器</w:t>
            </w:r>
          </w:p>
        </w:tc>
        <w:tc>
          <w:tcPr>
            <w:tcW w:w="6875" w:type="dxa"/>
            <w:tcBorders>
              <w:top w:val="single" w:color="auto" w:sz="4" w:space="0"/>
              <w:left w:val="nil"/>
              <w:bottom w:val="single" w:color="auto" w:sz="4" w:space="0"/>
              <w:right w:val="single" w:color="auto" w:sz="6" w:space="0"/>
            </w:tcBorders>
            <w:vAlign w:val="center"/>
          </w:tcPr>
          <w:p w14:paraId="27FBF213">
            <w:pPr>
              <w:widowControl/>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1.数字音频处理器支持≥4路平衡式话筒/线路输入通道，采用裸线接口端子，平衡接法；支持≥4路平衡式线路输出，采用裸线接口端子，平衡接法。</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2.高性能专业DSP处理器，支持≥32bit/48kHz的声音，支持输入通道48V幻象供电。</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3.配置双向RS-232接口，可用于控制外部设备；配置RS-485接口，可实现自动摄像跟踪功能。配置≥8通道可编程GPIO控制接口（可自定义输入输出）。</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4.支持断电自动保护记忆功能。支持通道拷贝、粘贴、联控功能。管理控制软件可工作在Windows7、8、10等系统环境下。</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5.≥8个场景预设，支持场景信息导入、场景信息导出。</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6.提供在线服务小程序，可通过微信小程序提交售前、售中或售后问题，厂家客服人员在线或回电及时解答。                                                                                                         7.可提交的服务类型包括“维护”、“指导调试”、“指导安装”、“指导布线”、“远程调试”、“400电话”等类别可选。</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8.在线服务可以实时查询处理进度，具有“待处理”、“处理中”及“已处理”等版块。</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9.“已处理”版块具有历史记录功能，可通过联系电话搜索历史条目，条目信息记录申请人姓名、联系电话、申请时间、问题描述、处理状态、处理人、处理用时和处理后信息反馈。并且具有“再次申请”功能。</w:t>
            </w:r>
          </w:p>
        </w:tc>
        <w:tc>
          <w:tcPr>
            <w:tcW w:w="567" w:type="dxa"/>
            <w:tcBorders>
              <w:top w:val="single" w:color="auto" w:sz="4" w:space="0"/>
              <w:left w:val="single" w:color="auto" w:sz="6" w:space="0"/>
              <w:bottom w:val="single" w:color="auto" w:sz="4" w:space="0"/>
              <w:right w:val="single" w:color="auto" w:sz="6" w:space="0"/>
            </w:tcBorders>
            <w:vAlign w:val="center"/>
          </w:tcPr>
          <w:p w14:paraId="10640643">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w:t>
            </w:r>
          </w:p>
        </w:tc>
        <w:tc>
          <w:tcPr>
            <w:tcW w:w="567" w:type="dxa"/>
            <w:tcBorders>
              <w:top w:val="single" w:color="auto" w:sz="4" w:space="0"/>
              <w:left w:val="single" w:color="auto" w:sz="6" w:space="0"/>
              <w:bottom w:val="single" w:color="auto" w:sz="4" w:space="0"/>
              <w:right w:val="single" w:color="auto" w:sz="6" w:space="0"/>
            </w:tcBorders>
            <w:vAlign w:val="center"/>
          </w:tcPr>
          <w:p w14:paraId="2F075DEC">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台</w:t>
            </w:r>
          </w:p>
        </w:tc>
      </w:tr>
      <w:tr w14:paraId="64A106C1">
        <w:tblPrEx>
          <w:tblCellMar>
            <w:top w:w="0" w:type="dxa"/>
            <w:left w:w="10" w:type="dxa"/>
            <w:bottom w:w="0" w:type="dxa"/>
            <w:right w:w="10" w:type="dxa"/>
          </w:tblCellMar>
        </w:tblPrEx>
        <w:trPr>
          <w:trHeight w:val="704" w:hRule="atLeast"/>
        </w:trPr>
        <w:tc>
          <w:tcPr>
            <w:tcW w:w="500" w:type="dxa"/>
            <w:tcBorders>
              <w:top w:val="single" w:color="auto" w:sz="4" w:space="0"/>
              <w:left w:val="single" w:color="auto" w:sz="6" w:space="0"/>
              <w:bottom w:val="single" w:color="auto" w:sz="4" w:space="0"/>
              <w:right w:val="single" w:color="auto" w:sz="6" w:space="0"/>
            </w:tcBorders>
            <w:vAlign w:val="center"/>
          </w:tcPr>
          <w:p w14:paraId="35A27F51">
            <w:pPr>
              <w:widowControl/>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36</w:t>
            </w:r>
          </w:p>
        </w:tc>
        <w:tc>
          <w:tcPr>
            <w:tcW w:w="945" w:type="dxa"/>
            <w:tcBorders>
              <w:top w:val="single" w:color="auto" w:sz="4" w:space="0"/>
              <w:left w:val="nil"/>
              <w:bottom w:val="single" w:color="auto" w:sz="4" w:space="0"/>
              <w:right w:val="single" w:color="auto" w:sz="6" w:space="0"/>
            </w:tcBorders>
            <w:vAlign w:val="center"/>
          </w:tcPr>
          <w:p w14:paraId="6BC837CB">
            <w:pPr>
              <w:widowControl/>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无线话筒1</w:t>
            </w:r>
          </w:p>
        </w:tc>
        <w:tc>
          <w:tcPr>
            <w:tcW w:w="6875" w:type="dxa"/>
            <w:tcBorders>
              <w:top w:val="single" w:color="auto" w:sz="4" w:space="0"/>
              <w:left w:val="nil"/>
              <w:bottom w:val="single" w:color="auto" w:sz="4" w:space="0"/>
              <w:right w:val="single" w:color="auto" w:sz="6" w:space="0"/>
            </w:tcBorders>
            <w:vAlign w:val="center"/>
          </w:tcPr>
          <w:p w14:paraId="7291D2F7">
            <w:pPr>
              <w:widowControl/>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1.具有≥1台接收主机、≥2只桌面式鹅颈咪杆话筒；频率范围等同或优于540MHz-590MHz、640MHz-690MHz。</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2.接收机具有≥2路平衡输出、≥1路非平衡混音输出。</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3.具有自动频率扫描功能，可快速地给麦克风找到清晰的频率。</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4.支持混响调节功能，比例调节、延时调节、电平调节≥25个档位。</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5.支持麦克风均衡器调节功能，≥高、中、低音三种调节档位。</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6.接收机具有显示屏，用户可通过显示屏查看设备发射功率强度、音频加密状态、电池电量、频率数值。</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7.发射机≥1个3.5mm耳机孔，可通过3.5mm耳机孔输入音频。</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8.发射机支持通过Type-C口进行充电。</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9.发射机电池孔位≥4个，连续使用时长≥15小时；电池具有扩展性，连续使用时长可扩展至60小时。</w:t>
            </w:r>
          </w:p>
        </w:tc>
        <w:tc>
          <w:tcPr>
            <w:tcW w:w="567" w:type="dxa"/>
            <w:tcBorders>
              <w:top w:val="single" w:color="auto" w:sz="4" w:space="0"/>
              <w:left w:val="single" w:color="auto" w:sz="6" w:space="0"/>
              <w:bottom w:val="single" w:color="auto" w:sz="4" w:space="0"/>
              <w:right w:val="single" w:color="auto" w:sz="6" w:space="0"/>
            </w:tcBorders>
            <w:vAlign w:val="center"/>
          </w:tcPr>
          <w:p w14:paraId="5A3BFF7B">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5</w:t>
            </w:r>
          </w:p>
        </w:tc>
        <w:tc>
          <w:tcPr>
            <w:tcW w:w="567" w:type="dxa"/>
            <w:tcBorders>
              <w:top w:val="single" w:color="auto" w:sz="4" w:space="0"/>
              <w:left w:val="single" w:color="auto" w:sz="6" w:space="0"/>
              <w:bottom w:val="single" w:color="auto" w:sz="4" w:space="0"/>
              <w:right w:val="single" w:color="auto" w:sz="6" w:space="0"/>
            </w:tcBorders>
            <w:vAlign w:val="center"/>
          </w:tcPr>
          <w:p w14:paraId="51807BB6">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套</w:t>
            </w:r>
          </w:p>
        </w:tc>
      </w:tr>
      <w:tr w14:paraId="7338AFFA">
        <w:tblPrEx>
          <w:tblCellMar>
            <w:top w:w="0" w:type="dxa"/>
            <w:left w:w="10" w:type="dxa"/>
            <w:bottom w:w="0" w:type="dxa"/>
            <w:right w:w="10" w:type="dxa"/>
          </w:tblCellMar>
        </w:tblPrEx>
        <w:trPr>
          <w:trHeight w:val="704" w:hRule="atLeast"/>
        </w:trPr>
        <w:tc>
          <w:tcPr>
            <w:tcW w:w="500" w:type="dxa"/>
            <w:tcBorders>
              <w:top w:val="single" w:color="auto" w:sz="4" w:space="0"/>
              <w:left w:val="single" w:color="auto" w:sz="6" w:space="0"/>
              <w:bottom w:val="single" w:color="auto" w:sz="4" w:space="0"/>
              <w:right w:val="single" w:color="auto" w:sz="6" w:space="0"/>
            </w:tcBorders>
            <w:vAlign w:val="center"/>
          </w:tcPr>
          <w:p w14:paraId="35553354">
            <w:pPr>
              <w:widowControl/>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37</w:t>
            </w:r>
          </w:p>
        </w:tc>
        <w:tc>
          <w:tcPr>
            <w:tcW w:w="945" w:type="dxa"/>
            <w:tcBorders>
              <w:top w:val="single" w:color="auto" w:sz="4" w:space="0"/>
              <w:left w:val="nil"/>
              <w:bottom w:val="single" w:color="auto" w:sz="4" w:space="0"/>
              <w:right w:val="single" w:color="auto" w:sz="6" w:space="0"/>
            </w:tcBorders>
            <w:vAlign w:val="center"/>
          </w:tcPr>
          <w:p w14:paraId="6CC237D7">
            <w:pPr>
              <w:widowControl/>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无线话筒2</w:t>
            </w:r>
          </w:p>
        </w:tc>
        <w:tc>
          <w:tcPr>
            <w:tcW w:w="6875" w:type="dxa"/>
            <w:tcBorders>
              <w:top w:val="single" w:color="auto" w:sz="4" w:space="0"/>
              <w:left w:val="nil"/>
              <w:bottom w:val="single" w:color="auto" w:sz="4" w:space="0"/>
              <w:right w:val="single" w:color="auto" w:sz="6" w:space="0"/>
            </w:tcBorders>
            <w:shd w:val="clear" w:color="auto" w:fill="auto"/>
            <w:vAlign w:val="center"/>
          </w:tcPr>
          <w:p w14:paraId="6F4891C3">
            <w:pPr>
              <w:widowControl/>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1.频率范围等同或优于540MHz-590MHz、640MHz-690MHz。</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2.配套有≥1台接收主机和≥2个无线领夹话筒。</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3.采用独有数字U段传输技术，pi/4-DQPSK调制方式。</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4.采用独有的加密方式进行音频传输。</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5.采用独有的ID码导频技术，可防止出现串频干扰。</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6.具有混响、高中低音调节。</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7.具有≥2路平衡输出、≥1路非平衡混音输出。</w:t>
            </w:r>
          </w:p>
        </w:tc>
        <w:tc>
          <w:tcPr>
            <w:tcW w:w="567" w:type="dxa"/>
            <w:tcBorders>
              <w:top w:val="single" w:color="auto" w:sz="4" w:space="0"/>
              <w:left w:val="single" w:color="auto" w:sz="6" w:space="0"/>
              <w:bottom w:val="single" w:color="auto" w:sz="4" w:space="0"/>
              <w:right w:val="single" w:color="auto" w:sz="6" w:space="0"/>
            </w:tcBorders>
            <w:vAlign w:val="center"/>
          </w:tcPr>
          <w:p w14:paraId="07755C37">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w:t>
            </w:r>
          </w:p>
        </w:tc>
        <w:tc>
          <w:tcPr>
            <w:tcW w:w="567" w:type="dxa"/>
            <w:tcBorders>
              <w:top w:val="single" w:color="auto" w:sz="4" w:space="0"/>
              <w:left w:val="single" w:color="auto" w:sz="6" w:space="0"/>
              <w:bottom w:val="single" w:color="auto" w:sz="4" w:space="0"/>
              <w:right w:val="single" w:color="auto" w:sz="6" w:space="0"/>
            </w:tcBorders>
            <w:vAlign w:val="center"/>
          </w:tcPr>
          <w:p w14:paraId="2556D3FE">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套</w:t>
            </w:r>
          </w:p>
        </w:tc>
      </w:tr>
      <w:tr w14:paraId="41CCEC4A">
        <w:tblPrEx>
          <w:tblCellMar>
            <w:top w:w="0" w:type="dxa"/>
            <w:left w:w="10" w:type="dxa"/>
            <w:bottom w:w="0" w:type="dxa"/>
            <w:right w:w="10" w:type="dxa"/>
          </w:tblCellMar>
        </w:tblPrEx>
        <w:trPr>
          <w:trHeight w:val="704" w:hRule="atLeast"/>
        </w:trPr>
        <w:tc>
          <w:tcPr>
            <w:tcW w:w="500" w:type="dxa"/>
            <w:tcBorders>
              <w:top w:val="single" w:color="auto" w:sz="4" w:space="0"/>
              <w:left w:val="single" w:color="auto" w:sz="6" w:space="0"/>
              <w:bottom w:val="single" w:color="auto" w:sz="4" w:space="0"/>
              <w:right w:val="single" w:color="auto" w:sz="6" w:space="0"/>
            </w:tcBorders>
            <w:vAlign w:val="center"/>
          </w:tcPr>
          <w:p w14:paraId="466C8392">
            <w:pPr>
              <w:widowControl/>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38</w:t>
            </w:r>
          </w:p>
        </w:tc>
        <w:tc>
          <w:tcPr>
            <w:tcW w:w="945" w:type="dxa"/>
            <w:tcBorders>
              <w:top w:val="single" w:color="auto" w:sz="4" w:space="0"/>
              <w:left w:val="nil"/>
              <w:bottom w:val="single" w:color="auto" w:sz="4" w:space="0"/>
              <w:right w:val="single" w:color="auto" w:sz="6" w:space="0"/>
            </w:tcBorders>
            <w:vAlign w:val="center"/>
          </w:tcPr>
          <w:p w14:paraId="3E99F9C7">
            <w:pPr>
              <w:widowControl/>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无线话筒3</w:t>
            </w:r>
          </w:p>
        </w:tc>
        <w:tc>
          <w:tcPr>
            <w:tcW w:w="6875" w:type="dxa"/>
            <w:tcBorders>
              <w:top w:val="single" w:color="auto" w:sz="4" w:space="0"/>
              <w:left w:val="nil"/>
              <w:bottom w:val="single" w:color="auto" w:sz="4" w:space="0"/>
              <w:right w:val="single" w:color="auto" w:sz="6" w:space="0"/>
            </w:tcBorders>
            <w:shd w:val="clear" w:color="auto" w:fill="auto"/>
            <w:vAlign w:val="center"/>
          </w:tcPr>
          <w:p w14:paraId="78F3DF35">
            <w:pPr>
              <w:widowControl/>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1.具有≥1台接收主机、≥双手持发射机；频率范围等同或优于470-510MHz、540MHz-590MHz、640MHz-690MHz、807MHz-830MHz。</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2.接收机具有≥2路平衡输出、≥1路非平衡混音输出。</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3.具有自动频率扫描功能，可快速地给麦克风找到清晰的频率。</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4.支持混响调节功能，比例调节、延时调节、电平调节≥25个档位。</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5.支持麦克风均衡器调节功能，≥高、中、低音三种调节档位。</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6.接收机具有显示屏，用户可通过显示屏查看设备发射功率强度、音频加密状态、电池电量、频率数值、智能静音状态、静音标志。                                                                                              7.麦克风具有长时间静置自动关机功能，设备自动检测工作状态（使用状态、静置状态），静置时间≥8分钟后，设备自动关机。</w:t>
            </w:r>
          </w:p>
        </w:tc>
        <w:tc>
          <w:tcPr>
            <w:tcW w:w="567" w:type="dxa"/>
            <w:tcBorders>
              <w:top w:val="single" w:color="auto" w:sz="4" w:space="0"/>
              <w:left w:val="single" w:color="auto" w:sz="6" w:space="0"/>
              <w:bottom w:val="single" w:color="auto" w:sz="4" w:space="0"/>
              <w:right w:val="single" w:color="auto" w:sz="6" w:space="0"/>
            </w:tcBorders>
            <w:vAlign w:val="center"/>
          </w:tcPr>
          <w:p w14:paraId="0F1F204F">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w:t>
            </w:r>
          </w:p>
        </w:tc>
        <w:tc>
          <w:tcPr>
            <w:tcW w:w="567" w:type="dxa"/>
            <w:tcBorders>
              <w:top w:val="single" w:color="auto" w:sz="4" w:space="0"/>
              <w:left w:val="single" w:color="auto" w:sz="6" w:space="0"/>
              <w:bottom w:val="single" w:color="auto" w:sz="4" w:space="0"/>
              <w:right w:val="single" w:color="auto" w:sz="6" w:space="0"/>
            </w:tcBorders>
            <w:vAlign w:val="center"/>
          </w:tcPr>
          <w:p w14:paraId="7E8A099C">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套</w:t>
            </w:r>
          </w:p>
        </w:tc>
      </w:tr>
      <w:tr w14:paraId="4229BD1D">
        <w:tblPrEx>
          <w:tblCellMar>
            <w:top w:w="0" w:type="dxa"/>
            <w:left w:w="10" w:type="dxa"/>
            <w:bottom w:w="0" w:type="dxa"/>
            <w:right w:w="10" w:type="dxa"/>
          </w:tblCellMar>
        </w:tblPrEx>
        <w:trPr>
          <w:trHeight w:val="704" w:hRule="atLeast"/>
        </w:trPr>
        <w:tc>
          <w:tcPr>
            <w:tcW w:w="500" w:type="dxa"/>
            <w:tcBorders>
              <w:top w:val="single" w:color="auto" w:sz="4" w:space="0"/>
              <w:left w:val="single" w:color="auto" w:sz="6" w:space="0"/>
              <w:bottom w:val="single" w:color="auto" w:sz="4" w:space="0"/>
              <w:right w:val="single" w:color="auto" w:sz="6" w:space="0"/>
            </w:tcBorders>
            <w:vAlign w:val="center"/>
          </w:tcPr>
          <w:p w14:paraId="3609518F">
            <w:pPr>
              <w:widowControl/>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39</w:t>
            </w:r>
          </w:p>
        </w:tc>
        <w:tc>
          <w:tcPr>
            <w:tcW w:w="945" w:type="dxa"/>
            <w:tcBorders>
              <w:top w:val="single" w:color="auto" w:sz="4" w:space="0"/>
              <w:left w:val="nil"/>
              <w:bottom w:val="single" w:color="auto" w:sz="4" w:space="0"/>
              <w:right w:val="single" w:color="auto" w:sz="6" w:space="0"/>
            </w:tcBorders>
            <w:vAlign w:val="center"/>
          </w:tcPr>
          <w:p w14:paraId="1DE2413C">
            <w:pPr>
              <w:widowControl/>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智能混音器</w:t>
            </w:r>
          </w:p>
        </w:tc>
        <w:tc>
          <w:tcPr>
            <w:tcW w:w="6875" w:type="dxa"/>
            <w:tcBorders>
              <w:top w:val="single" w:color="auto" w:sz="4" w:space="0"/>
              <w:left w:val="nil"/>
              <w:bottom w:val="single" w:color="auto" w:sz="4" w:space="0"/>
              <w:right w:val="single" w:color="auto" w:sz="6" w:space="0"/>
            </w:tcBorders>
            <w:vAlign w:val="center"/>
          </w:tcPr>
          <w:p w14:paraId="2E31CB74">
            <w:pPr>
              <w:widowControl/>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1.输入通道：≥16路平衡式话筒/线路输入，采用裸线接口端子，平衡接法。支持麦克风输入和线路输入切换。每路输入带≥48V幻象电源，可通过PC软件单独配置。</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2.输出通道：≥4路平衡式线路输出，采用裸线接口端子，平衡接法。</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3.具有丰富的音频处理功能：闪避器、自动增益、均衡器、分频器、扩展器。</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4.具有自动混音功能，包括增益共享混音以及门限自动混音。</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5.输入具有≥10段图示均衡调节，输出具有≥31段图示均衡调节，参量全频段拖动可调。</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6.高、低通分频器全频段可调，具有贝塞尔、林克威治-瑞利、巴特沃斯三种滤波器可供选择。</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7.具有恢复出厂设置、设备定位、断电自动保护记忆。</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8.设备级联最大可扩展≥256个输入。</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9.极低系统延时，延时≤3ms。</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10.多场景切换：≥4个场景切换；支持通过后台管理软件导入、导出场景数据。</w:t>
            </w:r>
          </w:p>
        </w:tc>
        <w:tc>
          <w:tcPr>
            <w:tcW w:w="567" w:type="dxa"/>
            <w:tcBorders>
              <w:top w:val="single" w:color="auto" w:sz="4" w:space="0"/>
              <w:left w:val="single" w:color="auto" w:sz="6" w:space="0"/>
              <w:bottom w:val="single" w:color="auto" w:sz="4" w:space="0"/>
              <w:right w:val="single" w:color="auto" w:sz="6" w:space="0"/>
            </w:tcBorders>
            <w:vAlign w:val="center"/>
          </w:tcPr>
          <w:p w14:paraId="0D7AECF9">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w:t>
            </w:r>
          </w:p>
        </w:tc>
        <w:tc>
          <w:tcPr>
            <w:tcW w:w="567" w:type="dxa"/>
            <w:tcBorders>
              <w:top w:val="single" w:color="auto" w:sz="4" w:space="0"/>
              <w:left w:val="single" w:color="auto" w:sz="6" w:space="0"/>
              <w:bottom w:val="single" w:color="auto" w:sz="4" w:space="0"/>
              <w:right w:val="single" w:color="auto" w:sz="6" w:space="0"/>
            </w:tcBorders>
            <w:vAlign w:val="center"/>
          </w:tcPr>
          <w:p w14:paraId="1813BA01">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台</w:t>
            </w:r>
          </w:p>
        </w:tc>
      </w:tr>
      <w:tr w14:paraId="76E8D990">
        <w:tblPrEx>
          <w:tblCellMar>
            <w:top w:w="0" w:type="dxa"/>
            <w:left w:w="10" w:type="dxa"/>
            <w:bottom w:w="0" w:type="dxa"/>
            <w:right w:w="10" w:type="dxa"/>
          </w:tblCellMar>
        </w:tblPrEx>
        <w:trPr>
          <w:trHeight w:val="704" w:hRule="atLeast"/>
        </w:trPr>
        <w:tc>
          <w:tcPr>
            <w:tcW w:w="500" w:type="dxa"/>
            <w:tcBorders>
              <w:top w:val="single" w:color="auto" w:sz="4" w:space="0"/>
              <w:left w:val="single" w:color="auto" w:sz="6" w:space="0"/>
              <w:bottom w:val="single" w:color="auto" w:sz="4" w:space="0"/>
              <w:right w:val="single" w:color="auto" w:sz="6" w:space="0"/>
            </w:tcBorders>
            <w:vAlign w:val="center"/>
          </w:tcPr>
          <w:p w14:paraId="7D3B11AA">
            <w:pPr>
              <w:widowControl/>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40</w:t>
            </w:r>
          </w:p>
        </w:tc>
        <w:tc>
          <w:tcPr>
            <w:tcW w:w="945" w:type="dxa"/>
            <w:tcBorders>
              <w:top w:val="single" w:color="auto" w:sz="4" w:space="0"/>
              <w:left w:val="nil"/>
              <w:bottom w:val="single" w:color="auto" w:sz="4" w:space="0"/>
              <w:right w:val="single" w:color="auto" w:sz="6" w:space="0"/>
            </w:tcBorders>
            <w:vAlign w:val="center"/>
          </w:tcPr>
          <w:p w14:paraId="718758BC">
            <w:pPr>
              <w:widowControl/>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调音台</w:t>
            </w:r>
          </w:p>
        </w:tc>
        <w:tc>
          <w:tcPr>
            <w:tcW w:w="6875" w:type="dxa"/>
            <w:tcBorders>
              <w:top w:val="single" w:color="auto" w:sz="4" w:space="0"/>
              <w:left w:val="nil"/>
              <w:bottom w:val="single" w:color="auto" w:sz="4" w:space="0"/>
              <w:right w:val="single" w:color="auto" w:sz="6" w:space="0"/>
            </w:tcBorders>
            <w:vAlign w:val="center"/>
          </w:tcPr>
          <w:p w14:paraId="14F00226">
            <w:pPr>
              <w:widowControl/>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1.支持≥10路MIC输入兼容8路线路输入接口，支持≥2组立体声输入接口，≥4路RCA输入，话筒接口幻象电源：+48V。</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2.具有≥2组立体主输出、≥4路编组输出、≥4路辅助输出、≥1组立体声监听输出、≥1个耳机监听输出、≥1个效果输出、≥1组主混音断点插入、≥8个断点插入。（提供接口图佐证）</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3.内置≥24位DSP效果器，提供≥100种预设效果。</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4.具备≥15个60mm行程的高精密碳膜推子。</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 xml:space="preserve">5.提供在线服务小程序，可通过微信小程序提交售前、售中或售后问题，厂家客服人员在线或回电及时解答。 </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6.可提交的服务类型包括“维护”、“指导调试”、“指导安装”、“指导布线”、“远程调试”、“400电话”等类别可选。</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7.在线服务可以实时查询处理进度，具有“待处理”、“处理中”及“已处理”等版块。</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8.“已处理”版块具有历史记录功能，可通过联系电话搜索历史条目，条目信息记录申请人姓名、联系电话、申请时间、问题描述、处理状态、处理人、处理用时和处理后信息反馈。并且具有“再次申请”功能。</w:t>
            </w:r>
          </w:p>
        </w:tc>
        <w:tc>
          <w:tcPr>
            <w:tcW w:w="567" w:type="dxa"/>
            <w:tcBorders>
              <w:top w:val="single" w:color="auto" w:sz="4" w:space="0"/>
              <w:left w:val="single" w:color="auto" w:sz="6" w:space="0"/>
              <w:bottom w:val="single" w:color="auto" w:sz="4" w:space="0"/>
              <w:right w:val="single" w:color="auto" w:sz="6" w:space="0"/>
            </w:tcBorders>
            <w:vAlign w:val="center"/>
          </w:tcPr>
          <w:p w14:paraId="0B3F2253">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w:t>
            </w:r>
          </w:p>
        </w:tc>
        <w:tc>
          <w:tcPr>
            <w:tcW w:w="567" w:type="dxa"/>
            <w:tcBorders>
              <w:top w:val="single" w:color="auto" w:sz="4" w:space="0"/>
              <w:left w:val="single" w:color="auto" w:sz="6" w:space="0"/>
              <w:bottom w:val="single" w:color="auto" w:sz="4" w:space="0"/>
              <w:right w:val="single" w:color="auto" w:sz="6" w:space="0"/>
            </w:tcBorders>
            <w:vAlign w:val="center"/>
          </w:tcPr>
          <w:p w14:paraId="5053BEAF">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台</w:t>
            </w:r>
          </w:p>
        </w:tc>
      </w:tr>
      <w:tr w14:paraId="3CD6E6F5">
        <w:tblPrEx>
          <w:tblCellMar>
            <w:top w:w="0" w:type="dxa"/>
            <w:left w:w="10" w:type="dxa"/>
            <w:bottom w:w="0" w:type="dxa"/>
            <w:right w:w="10" w:type="dxa"/>
          </w:tblCellMar>
        </w:tblPrEx>
        <w:trPr>
          <w:trHeight w:val="704" w:hRule="atLeast"/>
        </w:trPr>
        <w:tc>
          <w:tcPr>
            <w:tcW w:w="500" w:type="dxa"/>
            <w:tcBorders>
              <w:top w:val="single" w:color="auto" w:sz="4" w:space="0"/>
              <w:left w:val="single" w:color="auto" w:sz="6" w:space="0"/>
              <w:bottom w:val="single" w:color="auto" w:sz="4" w:space="0"/>
              <w:right w:val="single" w:color="auto" w:sz="6" w:space="0"/>
            </w:tcBorders>
            <w:vAlign w:val="center"/>
          </w:tcPr>
          <w:p w14:paraId="008513FA">
            <w:pPr>
              <w:widowControl/>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41</w:t>
            </w:r>
          </w:p>
        </w:tc>
        <w:tc>
          <w:tcPr>
            <w:tcW w:w="945" w:type="dxa"/>
            <w:tcBorders>
              <w:top w:val="single" w:color="auto" w:sz="4" w:space="0"/>
              <w:left w:val="nil"/>
              <w:bottom w:val="single" w:color="auto" w:sz="4" w:space="0"/>
              <w:right w:val="single" w:color="auto" w:sz="6" w:space="0"/>
            </w:tcBorders>
            <w:vAlign w:val="center"/>
          </w:tcPr>
          <w:p w14:paraId="3DE330F9">
            <w:pPr>
              <w:widowControl/>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天线分配器</w:t>
            </w:r>
          </w:p>
        </w:tc>
        <w:tc>
          <w:tcPr>
            <w:tcW w:w="6875" w:type="dxa"/>
            <w:tcBorders>
              <w:top w:val="single" w:color="auto" w:sz="4" w:space="0"/>
              <w:left w:val="nil"/>
              <w:bottom w:val="single" w:color="auto" w:sz="4" w:space="0"/>
              <w:right w:val="single" w:color="auto" w:sz="6" w:space="0"/>
            </w:tcBorders>
            <w:vAlign w:val="center"/>
          </w:tcPr>
          <w:p w14:paraId="23FE3F50">
            <w:pPr>
              <w:widowControl/>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1.具有≥2个信号输入接口，支持接收天线信号，实现放大射频信号的效果。</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2.具有≥8个天线信号输出接口，可将一对天线分频至4台（一拖二）接收机达到扩展无线话筒系统的目的。</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3.具有≥2个天线级联接口；支持级联分配器，可实现放大射频信号扩展无线话筒天线的目的。</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4.具有≥4个直流电源接口，支持给4台接收机提供供电。</w:t>
            </w:r>
          </w:p>
        </w:tc>
        <w:tc>
          <w:tcPr>
            <w:tcW w:w="567" w:type="dxa"/>
            <w:tcBorders>
              <w:top w:val="single" w:color="auto" w:sz="4" w:space="0"/>
              <w:left w:val="single" w:color="auto" w:sz="6" w:space="0"/>
              <w:bottom w:val="single" w:color="auto" w:sz="4" w:space="0"/>
              <w:right w:val="single" w:color="auto" w:sz="6" w:space="0"/>
            </w:tcBorders>
            <w:vAlign w:val="center"/>
          </w:tcPr>
          <w:p w14:paraId="2F81D125">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w:t>
            </w:r>
          </w:p>
        </w:tc>
        <w:tc>
          <w:tcPr>
            <w:tcW w:w="567" w:type="dxa"/>
            <w:tcBorders>
              <w:top w:val="single" w:color="auto" w:sz="4" w:space="0"/>
              <w:left w:val="single" w:color="auto" w:sz="6" w:space="0"/>
              <w:bottom w:val="single" w:color="auto" w:sz="4" w:space="0"/>
              <w:right w:val="single" w:color="auto" w:sz="6" w:space="0"/>
            </w:tcBorders>
            <w:vAlign w:val="center"/>
          </w:tcPr>
          <w:p w14:paraId="06E6D574">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台</w:t>
            </w:r>
          </w:p>
        </w:tc>
      </w:tr>
      <w:tr w14:paraId="4874BCFD">
        <w:tblPrEx>
          <w:tblCellMar>
            <w:top w:w="0" w:type="dxa"/>
            <w:left w:w="10" w:type="dxa"/>
            <w:bottom w:w="0" w:type="dxa"/>
            <w:right w:w="10" w:type="dxa"/>
          </w:tblCellMar>
        </w:tblPrEx>
        <w:trPr>
          <w:trHeight w:val="704" w:hRule="atLeast"/>
        </w:trPr>
        <w:tc>
          <w:tcPr>
            <w:tcW w:w="500" w:type="dxa"/>
            <w:tcBorders>
              <w:top w:val="single" w:color="auto" w:sz="4" w:space="0"/>
              <w:left w:val="single" w:color="auto" w:sz="6" w:space="0"/>
              <w:bottom w:val="single" w:color="auto" w:sz="4" w:space="0"/>
              <w:right w:val="single" w:color="auto" w:sz="6" w:space="0"/>
            </w:tcBorders>
            <w:vAlign w:val="center"/>
          </w:tcPr>
          <w:p w14:paraId="77712DEA">
            <w:pPr>
              <w:widowControl/>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42</w:t>
            </w:r>
          </w:p>
        </w:tc>
        <w:tc>
          <w:tcPr>
            <w:tcW w:w="945" w:type="dxa"/>
            <w:tcBorders>
              <w:top w:val="single" w:color="auto" w:sz="4" w:space="0"/>
              <w:left w:val="nil"/>
              <w:bottom w:val="single" w:color="auto" w:sz="4" w:space="0"/>
              <w:right w:val="single" w:color="auto" w:sz="6" w:space="0"/>
            </w:tcBorders>
            <w:vAlign w:val="center"/>
          </w:tcPr>
          <w:p w14:paraId="447941BE">
            <w:pPr>
              <w:widowControl/>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电源管理器2</w:t>
            </w:r>
          </w:p>
        </w:tc>
        <w:tc>
          <w:tcPr>
            <w:tcW w:w="6875" w:type="dxa"/>
            <w:tcBorders>
              <w:top w:val="single" w:color="auto" w:sz="4" w:space="0"/>
              <w:left w:val="nil"/>
              <w:bottom w:val="single" w:color="auto" w:sz="4" w:space="0"/>
              <w:right w:val="single" w:color="auto" w:sz="6" w:space="0"/>
            </w:tcBorders>
            <w:shd w:val="clear" w:color="auto" w:fill="auto"/>
            <w:vAlign w:val="center"/>
          </w:tcPr>
          <w:p w14:paraId="7D6FCD71">
            <w:pPr>
              <w:widowControl/>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1.支持≥8通道电源时序打开/关闭，每路动作延时时间：≤1秒，支持远程控制（上电+24V直流信号）8通道电源时序打开/关闭—当电源开关处于off位置时有效。支持配置CH1和CH2通道为受控或不受控状态。</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2.当远程控制有效时同时控制后板ALARM（报警）端口导通以起到级联控制ALARM（报警）功能。</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3.单个通道最大负载功率≥2200W，所有通道负载总功率≥6000W。输出连接器：多用途电源插座。</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4.具有一路及以上USB输出接口。</w:t>
            </w:r>
          </w:p>
        </w:tc>
        <w:tc>
          <w:tcPr>
            <w:tcW w:w="567" w:type="dxa"/>
            <w:tcBorders>
              <w:top w:val="single" w:color="auto" w:sz="4" w:space="0"/>
              <w:left w:val="single" w:color="auto" w:sz="6" w:space="0"/>
              <w:bottom w:val="single" w:color="auto" w:sz="4" w:space="0"/>
              <w:right w:val="single" w:color="auto" w:sz="6" w:space="0"/>
            </w:tcBorders>
            <w:vAlign w:val="center"/>
          </w:tcPr>
          <w:p w14:paraId="43A6D095">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3</w:t>
            </w:r>
          </w:p>
        </w:tc>
        <w:tc>
          <w:tcPr>
            <w:tcW w:w="567" w:type="dxa"/>
            <w:tcBorders>
              <w:top w:val="single" w:color="auto" w:sz="4" w:space="0"/>
              <w:left w:val="single" w:color="auto" w:sz="6" w:space="0"/>
              <w:bottom w:val="single" w:color="auto" w:sz="4" w:space="0"/>
              <w:right w:val="single" w:color="auto" w:sz="6" w:space="0"/>
            </w:tcBorders>
            <w:vAlign w:val="center"/>
          </w:tcPr>
          <w:p w14:paraId="3E06974E">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台</w:t>
            </w:r>
          </w:p>
        </w:tc>
      </w:tr>
      <w:tr w14:paraId="4DBFF9B6">
        <w:tblPrEx>
          <w:tblCellMar>
            <w:top w:w="0" w:type="dxa"/>
            <w:left w:w="10" w:type="dxa"/>
            <w:bottom w:w="0" w:type="dxa"/>
            <w:right w:w="10" w:type="dxa"/>
          </w:tblCellMar>
        </w:tblPrEx>
        <w:trPr>
          <w:trHeight w:val="704" w:hRule="atLeast"/>
        </w:trPr>
        <w:tc>
          <w:tcPr>
            <w:tcW w:w="500" w:type="dxa"/>
            <w:tcBorders>
              <w:top w:val="single" w:color="auto" w:sz="4" w:space="0"/>
              <w:left w:val="single" w:color="auto" w:sz="6" w:space="0"/>
              <w:bottom w:val="single" w:color="auto" w:sz="4" w:space="0"/>
              <w:right w:val="single" w:color="auto" w:sz="6" w:space="0"/>
            </w:tcBorders>
            <w:vAlign w:val="center"/>
          </w:tcPr>
          <w:p w14:paraId="7CF1AD6C">
            <w:pPr>
              <w:widowControl/>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43</w:t>
            </w:r>
          </w:p>
        </w:tc>
        <w:tc>
          <w:tcPr>
            <w:tcW w:w="945" w:type="dxa"/>
            <w:tcBorders>
              <w:top w:val="single" w:color="auto" w:sz="4" w:space="0"/>
              <w:left w:val="nil"/>
              <w:bottom w:val="single" w:color="auto" w:sz="4" w:space="0"/>
              <w:right w:val="single" w:color="auto" w:sz="6" w:space="0"/>
            </w:tcBorders>
            <w:vAlign w:val="center"/>
          </w:tcPr>
          <w:p w14:paraId="7027CB2F">
            <w:pPr>
              <w:widowControl/>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语音转写主机</w:t>
            </w:r>
          </w:p>
        </w:tc>
        <w:tc>
          <w:tcPr>
            <w:tcW w:w="6875" w:type="dxa"/>
            <w:tcBorders>
              <w:top w:val="single" w:color="auto" w:sz="4" w:space="0"/>
              <w:left w:val="nil"/>
              <w:bottom w:val="single" w:color="auto" w:sz="4" w:space="0"/>
              <w:right w:val="single" w:color="auto" w:sz="6" w:space="0"/>
            </w:tcBorders>
            <w:shd w:val="clear" w:color="auto" w:fill="auto"/>
            <w:vAlign w:val="center"/>
          </w:tcPr>
          <w:p w14:paraId="54BB440F">
            <w:pPr>
              <w:widowControl/>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语音转写主机满足现代办公教学对节约环保及便捷需求等功能，运用大规模的语言模型，智能预测语境，提供智能断句和标点符号的预测，可对结果中出现数字、日期、时间等内容格式化成规整的文本，可在会议或教学过程中提供实时字幕，实现直播效果。</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2.具有硬件接口：≥1×HDMI、≥1×DP、≥2×USB2.0、≥2×USB3.0、≥1×MIC in、≥1×Line out。</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 xml:space="preserve">3.提供在线服务小程序，可通过微信小程序提交售前、售中或售后问题，厂家客服人员在线或回电及时解答。 </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4.可提交的服务类型包括“维护”、“指导调试”、“指导安装”、“指导布线”、“远程调试”、“400电话”等类别可选。</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5.在线服务可以实时查询处理进度，具有“待处理”、“处理中”及“已处理”等版块。</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6.“已处理”版块具有历史记录功能，可通过联系电话搜索历史条目，条目信息记录申请人姓名、联系电话、申请时间、问题描述、处理状态、处理人、处理用时和处理后信息反馈。并且具有“再次申请”功能。</w:t>
            </w:r>
          </w:p>
        </w:tc>
        <w:tc>
          <w:tcPr>
            <w:tcW w:w="567" w:type="dxa"/>
            <w:tcBorders>
              <w:top w:val="single" w:color="auto" w:sz="4" w:space="0"/>
              <w:left w:val="single" w:color="auto" w:sz="6" w:space="0"/>
              <w:bottom w:val="single" w:color="auto" w:sz="4" w:space="0"/>
              <w:right w:val="single" w:color="auto" w:sz="6" w:space="0"/>
            </w:tcBorders>
            <w:vAlign w:val="center"/>
          </w:tcPr>
          <w:p w14:paraId="3034AD77">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w:t>
            </w:r>
          </w:p>
        </w:tc>
        <w:tc>
          <w:tcPr>
            <w:tcW w:w="567" w:type="dxa"/>
            <w:tcBorders>
              <w:top w:val="single" w:color="auto" w:sz="4" w:space="0"/>
              <w:left w:val="single" w:color="auto" w:sz="6" w:space="0"/>
              <w:bottom w:val="single" w:color="auto" w:sz="4" w:space="0"/>
              <w:right w:val="single" w:color="auto" w:sz="6" w:space="0"/>
            </w:tcBorders>
            <w:vAlign w:val="center"/>
          </w:tcPr>
          <w:p w14:paraId="02D8939E">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台</w:t>
            </w:r>
          </w:p>
        </w:tc>
      </w:tr>
      <w:tr w14:paraId="1311ADC0">
        <w:tblPrEx>
          <w:tblCellMar>
            <w:top w:w="0" w:type="dxa"/>
            <w:left w:w="10" w:type="dxa"/>
            <w:bottom w:w="0" w:type="dxa"/>
            <w:right w:w="10" w:type="dxa"/>
          </w:tblCellMar>
        </w:tblPrEx>
        <w:trPr>
          <w:trHeight w:val="704" w:hRule="atLeast"/>
        </w:trPr>
        <w:tc>
          <w:tcPr>
            <w:tcW w:w="500" w:type="dxa"/>
            <w:tcBorders>
              <w:top w:val="single" w:color="auto" w:sz="4" w:space="0"/>
              <w:left w:val="single" w:color="auto" w:sz="6" w:space="0"/>
              <w:bottom w:val="single" w:color="auto" w:sz="4" w:space="0"/>
              <w:right w:val="single" w:color="auto" w:sz="6" w:space="0"/>
            </w:tcBorders>
            <w:vAlign w:val="center"/>
          </w:tcPr>
          <w:p w14:paraId="34B57ABE">
            <w:pPr>
              <w:widowControl/>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44</w:t>
            </w:r>
          </w:p>
        </w:tc>
        <w:tc>
          <w:tcPr>
            <w:tcW w:w="945" w:type="dxa"/>
            <w:tcBorders>
              <w:top w:val="single" w:color="auto" w:sz="4" w:space="0"/>
              <w:left w:val="nil"/>
              <w:bottom w:val="single" w:color="auto" w:sz="4" w:space="0"/>
              <w:right w:val="single" w:color="auto" w:sz="6" w:space="0"/>
            </w:tcBorders>
            <w:vAlign w:val="center"/>
          </w:tcPr>
          <w:p w14:paraId="01106052">
            <w:pPr>
              <w:widowControl/>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音频编码器</w:t>
            </w:r>
          </w:p>
        </w:tc>
        <w:tc>
          <w:tcPr>
            <w:tcW w:w="6875" w:type="dxa"/>
            <w:tcBorders>
              <w:top w:val="single" w:color="auto" w:sz="4" w:space="0"/>
              <w:left w:val="nil"/>
              <w:bottom w:val="single" w:color="auto" w:sz="4" w:space="0"/>
              <w:right w:val="single" w:color="auto" w:sz="6" w:space="0"/>
            </w:tcBorders>
            <w:shd w:val="clear" w:color="auto" w:fill="auto"/>
            <w:vAlign w:val="center"/>
          </w:tcPr>
          <w:p w14:paraId="77AAD49E">
            <w:pPr>
              <w:widowControl/>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1.支持各通道独立调节音量值配置。</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2.支持≥两种编码传输模式选择：FIFO模式/混音模式。</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3.支持配置各通道自动检测，自动采集音频上传服务器。</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4.采用嵌入式计算技术和DSP音频处理技术，启动时间＜1s。</w:t>
            </w:r>
          </w:p>
        </w:tc>
        <w:tc>
          <w:tcPr>
            <w:tcW w:w="567" w:type="dxa"/>
            <w:tcBorders>
              <w:top w:val="single" w:color="auto" w:sz="4" w:space="0"/>
              <w:left w:val="single" w:color="auto" w:sz="6" w:space="0"/>
              <w:bottom w:val="single" w:color="auto" w:sz="4" w:space="0"/>
              <w:right w:val="single" w:color="auto" w:sz="6" w:space="0"/>
            </w:tcBorders>
            <w:vAlign w:val="center"/>
          </w:tcPr>
          <w:p w14:paraId="60BFAB16">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w:t>
            </w:r>
          </w:p>
        </w:tc>
        <w:tc>
          <w:tcPr>
            <w:tcW w:w="567" w:type="dxa"/>
            <w:tcBorders>
              <w:top w:val="single" w:color="auto" w:sz="4" w:space="0"/>
              <w:left w:val="single" w:color="auto" w:sz="6" w:space="0"/>
              <w:bottom w:val="single" w:color="auto" w:sz="4" w:space="0"/>
              <w:right w:val="single" w:color="auto" w:sz="6" w:space="0"/>
            </w:tcBorders>
            <w:vAlign w:val="center"/>
          </w:tcPr>
          <w:p w14:paraId="14127737">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台</w:t>
            </w:r>
          </w:p>
        </w:tc>
      </w:tr>
      <w:tr w14:paraId="09ABA5BB">
        <w:tblPrEx>
          <w:tblCellMar>
            <w:top w:w="0" w:type="dxa"/>
            <w:left w:w="10" w:type="dxa"/>
            <w:bottom w:w="0" w:type="dxa"/>
            <w:right w:w="10" w:type="dxa"/>
          </w:tblCellMar>
        </w:tblPrEx>
        <w:trPr>
          <w:trHeight w:val="704" w:hRule="atLeast"/>
        </w:trPr>
        <w:tc>
          <w:tcPr>
            <w:tcW w:w="500" w:type="dxa"/>
            <w:tcBorders>
              <w:top w:val="single" w:color="auto" w:sz="4" w:space="0"/>
              <w:left w:val="single" w:color="auto" w:sz="6" w:space="0"/>
              <w:bottom w:val="single" w:color="auto" w:sz="4" w:space="0"/>
              <w:right w:val="single" w:color="auto" w:sz="6" w:space="0"/>
            </w:tcBorders>
            <w:vAlign w:val="center"/>
          </w:tcPr>
          <w:p w14:paraId="7E7BD491">
            <w:pPr>
              <w:widowControl/>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45</w:t>
            </w:r>
          </w:p>
        </w:tc>
        <w:tc>
          <w:tcPr>
            <w:tcW w:w="945" w:type="dxa"/>
            <w:tcBorders>
              <w:top w:val="single" w:color="auto" w:sz="4" w:space="0"/>
              <w:left w:val="nil"/>
              <w:bottom w:val="single" w:color="auto" w:sz="4" w:space="0"/>
              <w:right w:val="single" w:color="auto" w:sz="6" w:space="0"/>
            </w:tcBorders>
            <w:vAlign w:val="center"/>
          </w:tcPr>
          <w:p w14:paraId="396C58D5">
            <w:pPr>
              <w:widowControl/>
              <w:jc w:val="center"/>
              <w:textAlignment w:val="center"/>
              <w:rPr>
                <w:rFonts w:hint="eastAsia" w:ascii="宋体" w:hAnsi="宋体" w:eastAsia="宋体" w:cs="宋体"/>
                <w:color w:val="auto"/>
                <w:kern w:val="0"/>
                <w:sz w:val="21"/>
                <w:szCs w:val="21"/>
                <w:highlight w:val="yellow"/>
                <w:lang w:bidi="ar"/>
              </w:rPr>
            </w:pPr>
            <w:r>
              <w:rPr>
                <w:rFonts w:hint="eastAsia" w:ascii="宋体" w:hAnsi="宋体" w:eastAsia="宋体" w:cs="宋体"/>
                <w:color w:val="auto"/>
                <w:kern w:val="0"/>
                <w:sz w:val="21"/>
                <w:szCs w:val="21"/>
                <w:lang w:bidi="ar"/>
              </w:rPr>
              <w:t>智能交互书写终端</w:t>
            </w:r>
          </w:p>
        </w:tc>
        <w:tc>
          <w:tcPr>
            <w:tcW w:w="6875" w:type="dxa"/>
            <w:tcBorders>
              <w:top w:val="single" w:color="auto" w:sz="4" w:space="0"/>
              <w:left w:val="nil"/>
              <w:bottom w:val="single" w:color="auto" w:sz="4" w:space="0"/>
              <w:right w:val="single" w:color="auto" w:sz="6" w:space="0"/>
            </w:tcBorders>
            <w:vAlign w:val="center"/>
          </w:tcPr>
          <w:p w14:paraId="7FF17451">
            <w:pPr>
              <w:widowControl/>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1、智能书写终端采用主屏、辅屏与读卡器一体化设计；</w:t>
            </w:r>
          </w:p>
          <w:p w14:paraId="6D083A97">
            <w:pPr>
              <w:widowControl/>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2、主屏显示尺寸≥23.8英寸；分辨率≥1920x1080；显示比例16：9；对比度≥1000：1；</w:t>
            </w:r>
          </w:p>
          <w:p w14:paraId="6FBC93BC">
            <w:pPr>
              <w:widowControl/>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3、辅屏显示尺寸≥10.1英寸，分辨率不低于1200x1920；屏幕比例10：16；对比度≥1000：1；采用电容触摸技术；内置Android操作系统，四核1.8G主频处理器，16G存储，4G内存；</w:t>
            </w:r>
          </w:p>
          <w:p w14:paraId="307C8E41">
            <w:pPr>
              <w:widowControl/>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4、整机具备信号显示、书写白板、主屏辅屏互动、物联管控、一键呼叫等功能，满足老师教学时显示画面同步、快捷操作、板书书写、批注及多媒体设备智能控制，老师讲课无需转身背对学生，提高授课效率;</w:t>
            </w:r>
          </w:p>
          <w:p w14:paraId="356A304D">
            <w:pPr>
              <w:widowControl/>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5、1路HDMI、1路VGA输入接口；2路USB扩展接口，可接U盘及设备充电；</w:t>
            </w:r>
          </w:p>
          <w:p w14:paraId="45CBC7E6">
            <w:pPr>
              <w:widowControl/>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6、配置一支书写笔，采用电磁压感技术，响应快，笔触细腻，书写流畅；</w:t>
            </w:r>
          </w:p>
          <w:p w14:paraId="35C098CC">
            <w:pPr>
              <w:widowControl/>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7、书写主屏功能：</w:t>
            </w:r>
          </w:p>
          <w:p w14:paraId="38B2A692">
            <w:pPr>
              <w:widowControl/>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书写屏与交互控制面板大小屏交互，在交互控制面板上，可以对电脑上打开的程序进行预览，预览内容包括不限于WPS、office、浏览器、文本框、视频播放器等各类应用软件；预览区域可以滑屏翻页；一键可以将预览的内容切换至书写屏上；</w:t>
            </w:r>
          </w:p>
          <w:p w14:paraId="38AD0E6C">
            <w:pPr>
              <w:widowControl/>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(2)在交互控制面板上可以设置快捷按键，可以一键启动画板、一键启用聚光灯、一键返回桌面；一键截屏等功能；</w:t>
            </w:r>
          </w:p>
          <w:p w14:paraId="620F27D7">
            <w:pPr>
              <w:widowControl/>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(3)可调用PPT批注功能，将当前教学的重点内容进行批注；具备板书功能，老师在画板上可以自由进行涂画和书写，支持颜色、笔迹粗细设置，支持擦除、清空、保存板书等操作；</w:t>
            </w:r>
          </w:p>
          <w:p w14:paraId="7A783E71">
            <w:pPr>
              <w:widowControl/>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(4)具备聚光灯功能，教师授课时候可将重点内容通过聚光灯功能进行特殊强调，聚光灯可自由调大小；</w:t>
            </w:r>
          </w:p>
          <w:p w14:paraId="72005EFF">
            <w:pPr>
              <w:widowControl/>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(5)具备截屏、录屏功能，截屏、录屏自动保存到本地电脑指定文件目录，便于课后分享给学生；</w:t>
            </w:r>
          </w:p>
          <w:p w14:paraId="134956D9">
            <w:pPr>
              <w:widowControl/>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8、物联管控功能：</w:t>
            </w:r>
          </w:p>
          <w:p w14:paraId="7F958032">
            <w:pPr>
              <w:widowControl/>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(1)控制面板显示背景、操作界面和控制按键可根据用户需求自定义编程配置；支持网络远程配置，支持配置文件云端备份，支持网络云端下发配置和本地下发配置；</w:t>
            </w:r>
          </w:p>
          <w:p w14:paraId="2563F54D">
            <w:pPr>
              <w:widowControl/>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(2)支持IP语音对讲功能，具备拾音麦和喇叭；接入IP语音服务器后可实现各教室与控制室IP语音通话功能；</w:t>
            </w:r>
          </w:p>
          <w:p w14:paraId="06C65D9F">
            <w:pPr>
              <w:widowControl/>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(3)具备多功能刷卡器，支持 IC 卡、二维读取，可兼容学校一卡通IC卡，配合多媒体智能终端使用，实现刷卡或者刷码开启系统；</w:t>
            </w:r>
          </w:p>
          <w:p w14:paraId="03025DA7">
            <w:pPr>
              <w:widowControl/>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9、物联主机功能：</w:t>
            </w:r>
          </w:p>
          <w:p w14:paraId="0CCF8EB0">
            <w:pPr>
              <w:widowControl/>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（1）、标准机架式设计，带挂耳，可拆卸，适合各类机柜安装；</w:t>
            </w:r>
          </w:p>
          <w:p w14:paraId="11A1A034">
            <w:pPr>
              <w:widowControl/>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（2）、可跨校区、跨网段实现教室设备远程管理，包括：计算机重启、计算机远程桌面、音量调节、扩声音量调节、扩声静音、面板解锁/锁定等功能；支持 H5、APP、微信小程序控制 ；</w:t>
            </w:r>
          </w:p>
          <w:p w14:paraId="008BA016">
            <w:pPr>
              <w:widowControl/>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（3）、音视频接口需求：支持4K高清信号传输；≥1路3.5mm音频输入，≥2路3.5mm立体声音频输出（可输出给功放、录播主机）；接口必须为设备集成，不可外接模块扩展；</w:t>
            </w:r>
          </w:p>
          <w:p w14:paraId="07890EE0">
            <w:pPr>
              <w:widowControl/>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（4）、控制接口需求：≥1路RS485接口；≧1个Wiegand（韦根）协议读卡器通讯端口；</w:t>
            </w:r>
          </w:p>
          <w:p w14:paraId="300C5CEA">
            <w:pPr>
              <w:widowControl/>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（5）、电源接口需求：≥3路220V可控电源插座；≥2路220V幕布控制端口；电源输出≥10A；</w:t>
            </w:r>
          </w:p>
          <w:p w14:paraId="2EC03B86">
            <w:pPr>
              <w:widowControl/>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（6）、具备校园卡卡数据本地存储，≧5万张卡和≧3万条刷卡记录存储，支持断网运行 ；具备课表数据本地存储，支持≧180天每天16节次，可对接教务课表，数据自动同步，支持断网运行；</w:t>
            </w:r>
          </w:p>
        </w:tc>
        <w:tc>
          <w:tcPr>
            <w:tcW w:w="567" w:type="dxa"/>
            <w:tcBorders>
              <w:top w:val="single" w:color="auto" w:sz="4" w:space="0"/>
              <w:left w:val="single" w:color="auto" w:sz="6" w:space="0"/>
              <w:bottom w:val="single" w:color="auto" w:sz="4" w:space="0"/>
              <w:right w:val="single" w:color="auto" w:sz="6" w:space="0"/>
            </w:tcBorders>
            <w:vAlign w:val="center"/>
          </w:tcPr>
          <w:p w14:paraId="4D71D637">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w:t>
            </w:r>
          </w:p>
        </w:tc>
        <w:tc>
          <w:tcPr>
            <w:tcW w:w="567" w:type="dxa"/>
            <w:tcBorders>
              <w:top w:val="single" w:color="auto" w:sz="4" w:space="0"/>
              <w:left w:val="single" w:color="auto" w:sz="6" w:space="0"/>
              <w:bottom w:val="single" w:color="auto" w:sz="4" w:space="0"/>
              <w:right w:val="single" w:color="auto" w:sz="6" w:space="0"/>
            </w:tcBorders>
            <w:vAlign w:val="center"/>
          </w:tcPr>
          <w:p w14:paraId="40F0798B">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台</w:t>
            </w:r>
          </w:p>
        </w:tc>
      </w:tr>
      <w:tr w14:paraId="4A2F7C20">
        <w:tblPrEx>
          <w:tblCellMar>
            <w:top w:w="0" w:type="dxa"/>
            <w:left w:w="10" w:type="dxa"/>
            <w:bottom w:w="0" w:type="dxa"/>
            <w:right w:w="10" w:type="dxa"/>
          </w:tblCellMar>
        </w:tblPrEx>
        <w:trPr>
          <w:trHeight w:val="704" w:hRule="atLeast"/>
        </w:trPr>
        <w:tc>
          <w:tcPr>
            <w:tcW w:w="500" w:type="dxa"/>
            <w:tcBorders>
              <w:top w:val="single" w:color="auto" w:sz="4" w:space="0"/>
              <w:left w:val="single" w:color="auto" w:sz="6" w:space="0"/>
              <w:bottom w:val="single" w:color="auto" w:sz="4" w:space="0"/>
              <w:right w:val="single" w:color="auto" w:sz="6" w:space="0"/>
            </w:tcBorders>
            <w:vAlign w:val="center"/>
          </w:tcPr>
          <w:p w14:paraId="7B1C3E71">
            <w:pPr>
              <w:widowControl/>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46</w:t>
            </w:r>
          </w:p>
        </w:tc>
        <w:tc>
          <w:tcPr>
            <w:tcW w:w="945" w:type="dxa"/>
            <w:tcBorders>
              <w:top w:val="single" w:color="auto" w:sz="4" w:space="0"/>
              <w:left w:val="nil"/>
              <w:bottom w:val="single" w:color="auto" w:sz="4" w:space="0"/>
              <w:right w:val="single" w:color="auto" w:sz="6" w:space="0"/>
            </w:tcBorders>
            <w:vAlign w:val="center"/>
          </w:tcPr>
          <w:p w14:paraId="3CEA544B">
            <w:pPr>
              <w:widowControl/>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智能讲台</w:t>
            </w:r>
          </w:p>
        </w:tc>
        <w:tc>
          <w:tcPr>
            <w:tcW w:w="6875" w:type="dxa"/>
            <w:tcBorders>
              <w:top w:val="single" w:color="auto" w:sz="4" w:space="0"/>
              <w:left w:val="nil"/>
              <w:bottom w:val="single" w:color="auto" w:sz="4" w:space="0"/>
              <w:right w:val="single" w:color="auto" w:sz="6" w:space="0"/>
            </w:tcBorders>
            <w:shd w:val="clear" w:color="auto" w:fill="auto"/>
            <w:vAlign w:val="center"/>
          </w:tcPr>
          <w:p w14:paraId="13A03E2D">
            <w:pPr>
              <w:widowControl/>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 xml:space="preserve">1、采用三节双电机升降脚架，桌面高度电动可调，升降范围≥750～1250mm，柜体固定高度，不随桌面升降；带有自锁功能，负载拔电后24小时后无下滑；桌面升降控制器集成液晶屏显示桌面高度，支持多种高度预设模式；采用全包围设计看不到内部结构，可拉伸、压缩结构；触控显示屏嵌入讲桌，显示器四周采用软包后无缝隙，可电动调节俯仰角度。 </w:t>
            </w:r>
          </w:p>
          <w:p w14:paraId="56A6A691">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2、桌面采用环保人造板，厚度≥25mm；桌面板边都采用弧形设计，边缘采用弧形倒角设计；桌板前部具备纯实木高围挡设计，可防止桌面物品滚落；可以定制学校 LOGO。前、左、右挡板、机箱和机柜采用≥1.2mm 冷轧钢板，机柜内部带有标准机架和标准电脑主机空间，钣金部分采用高温、静电喷涂工艺；升降脚架采用SPCC 冷轧型钢，钢管厚度≥2mm，脚架安装采用内嵌式安装方式，外观无孔无油，脚架接地部分采用弧形设计。</w:t>
            </w:r>
          </w:p>
        </w:tc>
        <w:tc>
          <w:tcPr>
            <w:tcW w:w="567" w:type="dxa"/>
            <w:tcBorders>
              <w:top w:val="single" w:color="auto" w:sz="4" w:space="0"/>
              <w:left w:val="single" w:color="auto" w:sz="6" w:space="0"/>
              <w:bottom w:val="single" w:color="auto" w:sz="4" w:space="0"/>
              <w:right w:val="single" w:color="auto" w:sz="6" w:space="0"/>
            </w:tcBorders>
            <w:vAlign w:val="center"/>
          </w:tcPr>
          <w:p w14:paraId="40DEC8B6">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w:t>
            </w:r>
          </w:p>
        </w:tc>
        <w:tc>
          <w:tcPr>
            <w:tcW w:w="567" w:type="dxa"/>
            <w:tcBorders>
              <w:top w:val="single" w:color="auto" w:sz="4" w:space="0"/>
              <w:left w:val="single" w:color="auto" w:sz="6" w:space="0"/>
              <w:bottom w:val="single" w:color="auto" w:sz="4" w:space="0"/>
              <w:right w:val="single" w:color="auto" w:sz="6" w:space="0"/>
            </w:tcBorders>
            <w:vAlign w:val="center"/>
          </w:tcPr>
          <w:p w14:paraId="5BAFE862">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台</w:t>
            </w:r>
          </w:p>
        </w:tc>
      </w:tr>
      <w:tr w14:paraId="2062B727">
        <w:tblPrEx>
          <w:tblCellMar>
            <w:top w:w="0" w:type="dxa"/>
            <w:left w:w="10" w:type="dxa"/>
            <w:bottom w:w="0" w:type="dxa"/>
            <w:right w:w="10" w:type="dxa"/>
          </w:tblCellMar>
        </w:tblPrEx>
        <w:trPr>
          <w:trHeight w:val="704" w:hRule="atLeast"/>
        </w:trPr>
        <w:tc>
          <w:tcPr>
            <w:tcW w:w="500" w:type="dxa"/>
            <w:tcBorders>
              <w:top w:val="single" w:color="auto" w:sz="4" w:space="0"/>
              <w:left w:val="single" w:color="auto" w:sz="6" w:space="0"/>
              <w:bottom w:val="single" w:color="auto" w:sz="4" w:space="0"/>
              <w:right w:val="single" w:color="auto" w:sz="6" w:space="0"/>
            </w:tcBorders>
            <w:vAlign w:val="center"/>
          </w:tcPr>
          <w:p w14:paraId="51C9967A">
            <w:pPr>
              <w:widowControl/>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47</w:t>
            </w:r>
          </w:p>
        </w:tc>
        <w:tc>
          <w:tcPr>
            <w:tcW w:w="945" w:type="dxa"/>
            <w:tcBorders>
              <w:top w:val="single" w:color="auto" w:sz="4" w:space="0"/>
              <w:left w:val="nil"/>
              <w:bottom w:val="single" w:color="auto" w:sz="4" w:space="0"/>
              <w:right w:val="single" w:color="auto" w:sz="6" w:space="0"/>
            </w:tcBorders>
            <w:vAlign w:val="center"/>
          </w:tcPr>
          <w:p w14:paraId="612FBB08">
            <w:pPr>
              <w:widowControl/>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六类网线</w:t>
            </w:r>
          </w:p>
        </w:tc>
        <w:tc>
          <w:tcPr>
            <w:tcW w:w="6875" w:type="dxa"/>
            <w:tcBorders>
              <w:top w:val="single" w:color="auto" w:sz="4" w:space="0"/>
              <w:left w:val="nil"/>
              <w:bottom w:val="single" w:color="auto" w:sz="4" w:space="0"/>
              <w:right w:val="single" w:color="auto" w:sz="6" w:space="0"/>
            </w:tcBorders>
            <w:vAlign w:val="center"/>
          </w:tcPr>
          <w:p w14:paraId="2AFC32EB">
            <w:pPr>
              <w:widowControl/>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六类非屏蔽双绞线</w:t>
            </w:r>
          </w:p>
          <w:p w14:paraId="31E3D5A2">
            <w:pPr>
              <w:widowControl/>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导体材质：无氧铜，含铜量≥99.95%</w:t>
            </w:r>
          </w:p>
          <w:p w14:paraId="0C8772C9">
            <w:pPr>
              <w:widowControl/>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导体直径：0.55±0.004 mm，23AWG</w:t>
            </w:r>
          </w:p>
          <w:p w14:paraId="434B2EB5">
            <w:pPr>
              <w:widowControl/>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绝缘材质：高密度聚乙烯(HDPE)</w:t>
            </w:r>
          </w:p>
          <w:p w14:paraId="364BBD9B">
            <w:pPr>
              <w:widowControl/>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护套材质：环保聚乙烯(PE)</w:t>
            </w:r>
          </w:p>
          <w:p w14:paraId="12B5B3B6">
            <w:pPr>
              <w:widowControl/>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护套颜色:黑色、灰色、蓝色可任选</w:t>
            </w:r>
          </w:p>
          <w:p w14:paraId="5FBBFCC5">
            <w:pPr>
              <w:widowControl/>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屏蔽类型: U/UTP</w:t>
            </w:r>
          </w:p>
          <w:p w14:paraId="7C651612">
            <w:pPr>
              <w:widowControl/>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工作温度: -20~75℃</w:t>
            </w:r>
          </w:p>
        </w:tc>
        <w:tc>
          <w:tcPr>
            <w:tcW w:w="567" w:type="dxa"/>
            <w:tcBorders>
              <w:top w:val="single" w:color="auto" w:sz="4" w:space="0"/>
              <w:left w:val="single" w:color="auto" w:sz="6" w:space="0"/>
              <w:bottom w:val="single" w:color="auto" w:sz="4" w:space="0"/>
              <w:right w:val="single" w:color="auto" w:sz="6" w:space="0"/>
            </w:tcBorders>
            <w:vAlign w:val="center"/>
          </w:tcPr>
          <w:p w14:paraId="26E03D0C">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3</w:t>
            </w:r>
          </w:p>
        </w:tc>
        <w:tc>
          <w:tcPr>
            <w:tcW w:w="567" w:type="dxa"/>
            <w:tcBorders>
              <w:top w:val="single" w:color="auto" w:sz="4" w:space="0"/>
              <w:left w:val="single" w:color="auto" w:sz="6" w:space="0"/>
              <w:bottom w:val="single" w:color="auto" w:sz="4" w:space="0"/>
              <w:right w:val="single" w:color="auto" w:sz="6" w:space="0"/>
            </w:tcBorders>
            <w:vAlign w:val="center"/>
          </w:tcPr>
          <w:p w14:paraId="0021E163">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箱</w:t>
            </w:r>
          </w:p>
        </w:tc>
      </w:tr>
      <w:tr w14:paraId="270DE816">
        <w:tblPrEx>
          <w:tblCellMar>
            <w:top w:w="0" w:type="dxa"/>
            <w:left w:w="10" w:type="dxa"/>
            <w:bottom w:w="0" w:type="dxa"/>
            <w:right w:w="10" w:type="dxa"/>
          </w:tblCellMar>
        </w:tblPrEx>
        <w:trPr>
          <w:trHeight w:val="704" w:hRule="atLeast"/>
        </w:trPr>
        <w:tc>
          <w:tcPr>
            <w:tcW w:w="500" w:type="dxa"/>
            <w:tcBorders>
              <w:top w:val="single" w:color="auto" w:sz="4" w:space="0"/>
              <w:left w:val="single" w:color="auto" w:sz="6" w:space="0"/>
              <w:bottom w:val="single" w:color="auto" w:sz="4" w:space="0"/>
              <w:right w:val="single" w:color="auto" w:sz="6" w:space="0"/>
            </w:tcBorders>
            <w:vAlign w:val="center"/>
          </w:tcPr>
          <w:p w14:paraId="71AF126D">
            <w:pPr>
              <w:widowControl/>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48</w:t>
            </w:r>
          </w:p>
        </w:tc>
        <w:tc>
          <w:tcPr>
            <w:tcW w:w="945" w:type="dxa"/>
            <w:tcBorders>
              <w:top w:val="single" w:color="auto" w:sz="4" w:space="0"/>
              <w:left w:val="nil"/>
              <w:bottom w:val="single" w:color="auto" w:sz="4" w:space="0"/>
              <w:right w:val="single" w:color="auto" w:sz="6" w:space="0"/>
            </w:tcBorders>
            <w:vAlign w:val="center"/>
          </w:tcPr>
          <w:p w14:paraId="0A000A39">
            <w:pPr>
              <w:widowControl/>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24口交换机</w:t>
            </w:r>
          </w:p>
        </w:tc>
        <w:tc>
          <w:tcPr>
            <w:tcW w:w="6875" w:type="dxa"/>
            <w:tcBorders>
              <w:top w:val="single" w:color="auto" w:sz="4" w:space="0"/>
              <w:left w:val="nil"/>
              <w:bottom w:val="single" w:color="auto" w:sz="4" w:space="0"/>
              <w:right w:val="single" w:color="auto" w:sz="6" w:space="0"/>
            </w:tcBorders>
            <w:vAlign w:val="center"/>
          </w:tcPr>
          <w:p w14:paraId="37FA81D8">
            <w:pPr>
              <w:widowControl/>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交换容量≥ 336Gbps</w:t>
            </w:r>
          </w:p>
          <w:p w14:paraId="2054014E">
            <w:pPr>
              <w:widowControl/>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转发性能 &gt;=96Mpps，24个GE端口+4个千兆光口支持IPv4静态路由、RIP V1/V2、OSPF</w:t>
            </w:r>
          </w:p>
          <w:p w14:paraId="49B5E00F">
            <w:pPr>
              <w:widowControl/>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支持IPv6静态路由、RIPng</w:t>
            </w:r>
          </w:p>
        </w:tc>
        <w:tc>
          <w:tcPr>
            <w:tcW w:w="567" w:type="dxa"/>
            <w:tcBorders>
              <w:top w:val="single" w:color="auto" w:sz="4" w:space="0"/>
              <w:left w:val="single" w:color="auto" w:sz="6" w:space="0"/>
              <w:bottom w:val="single" w:color="auto" w:sz="4" w:space="0"/>
              <w:right w:val="single" w:color="auto" w:sz="6" w:space="0"/>
            </w:tcBorders>
            <w:vAlign w:val="center"/>
          </w:tcPr>
          <w:p w14:paraId="100583B8">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w:t>
            </w:r>
          </w:p>
        </w:tc>
        <w:tc>
          <w:tcPr>
            <w:tcW w:w="567" w:type="dxa"/>
            <w:tcBorders>
              <w:top w:val="single" w:color="auto" w:sz="4" w:space="0"/>
              <w:left w:val="single" w:color="auto" w:sz="6" w:space="0"/>
              <w:bottom w:val="single" w:color="auto" w:sz="4" w:space="0"/>
              <w:right w:val="single" w:color="auto" w:sz="6" w:space="0"/>
            </w:tcBorders>
            <w:vAlign w:val="center"/>
          </w:tcPr>
          <w:p w14:paraId="0BD8FCF4">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台</w:t>
            </w:r>
          </w:p>
        </w:tc>
      </w:tr>
      <w:tr w14:paraId="0C07A312">
        <w:tblPrEx>
          <w:tblCellMar>
            <w:top w:w="0" w:type="dxa"/>
            <w:left w:w="10" w:type="dxa"/>
            <w:bottom w:w="0" w:type="dxa"/>
            <w:right w:w="10" w:type="dxa"/>
          </w:tblCellMar>
        </w:tblPrEx>
        <w:trPr>
          <w:trHeight w:val="704" w:hRule="atLeast"/>
        </w:trPr>
        <w:tc>
          <w:tcPr>
            <w:tcW w:w="500" w:type="dxa"/>
            <w:tcBorders>
              <w:top w:val="single" w:color="auto" w:sz="4" w:space="0"/>
              <w:left w:val="single" w:color="auto" w:sz="6" w:space="0"/>
              <w:bottom w:val="single" w:color="auto" w:sz="4" w:space="0"/>
              <w:right w:val="single" w:color="auto" w:sz="6" w:space="0"/>
            </w:tcBorders>
            <w:vAlign w:val="center"/>
          </w:tcPr>
          <w:p w14:paraId="02545EC6">
            <w:pPr>
              <w:widowControl/>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49</w:t>
            </w:r>
          </w:p>
        </w:tc>
        <w:tc>
          <w:tcPr>
            <w:tcW w:w="945" w:type="dxa"/>
            <w:tcBorders>
              <w:top w:val="single" w:color="auto" w:sz="4" w:space="0"/>
              <w:left w:val="nil"/>
              <w:bottom w:val="single" w:color="auto" w:sz="4" w:space="0"/>
              <w:right w:val="single" w:color="auto" w:sz="6" w:space="0"/>
            </w:tcBorders>
            <w:vAlign w:val="center"/>
          </w:tcPr>
          <w:p w14:paraId="6FD23C17">
            <w:pPr>
              <w:widowControl/>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无线AP</w:t>
            </w:r>
          </w:p>
        </w:tc>
        <w:tc>
          <w:tcPr>
            <w:tcW w:w="6875" w:type="dxa"/>
            <w:tcBorders>
              <w:top w:val="single" w:color="auto" w:sz="4" w:space="0"/>
              <w:left w:val="nil"/>
              <w:bottom w:val="single" w:color="auto" w:sz="4" w:space="0"/>
              <w:right w:val="single" w:color="auto" w:sz="6" w:space="0"/>
            </w:tcBorders>
            <w:vAlign w:val="center"/>
          </w:tcPr>
          <w:p w14:paraId="5614EB28">
            <w:pPr>
              <w:widowControl/>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LAN 接口 1 个 GE 口</w:t>
            </w:r>
          </w:p>
          <w:p w14:paraId="7B8E4AD9">
            <w:pPr>
              <w:widowControl/>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LAN/WAN 接口 3 个 GE 口</w:t>
            </w:r>
          </w:p>
          <w:p w14:paraId="1CDA6790">
            <w:pPr>
              <w:widowControl/>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WAN 接口 1 个 GE 口</w:t>
            </w:r>
          </w:p>
          <w:p w14:paraId="01C3B531">
            <w:pPr>
              <w:widowControl/>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无线速率 ≥1000 Mbps</w:t>
            </w:r>
          </w:p>
          <w:p w14:paraId="4C0ABCEA">
            <w:pPr>
              <w:widowControl/>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工作频段</w:t>
            </w:r>
          </w:p>
          <w:p w14:paraId="52FE4BFA">
            <w:pPr>
              <w:widowControl/>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802.11ax、802.11n、802.11b/g：2.4GHz</w:t>
            </w:r>
          </w:p>
          <w:p w14:paraId="00B5A70B">
            <w:pPr>
              <w:widowControl/>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802.11ax、802.11ac、802.11a/n：5GHz</w:t>
            </w:r>
          </w:p>
          <w:p w14:paraId="53D5EFB7">
            <w:pPr>
              <w:widowControl/>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天线 外置 4 根高增益全向天线</w:t>
            </w:r>
          </w:p>
          <w:p w14:paraId="515A2B74">
            <w:pPr>
              <w:widowControl/>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电源适配器</w:t>
            </w:r>
          </w:p>
          <w:p w14:paraId="0B41DCA2">
            <w:pPr>
              <w:widowControl/>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输入：AC 100~240V</w:t>
            </w:r>
          </w:p>
          <w:p w14:paraId="78B9DE02">
            <w:pPr>
              <w:widowControl/>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输出：DC 12V/1.5A</w:t>
            </w:r>
          </w:p>
          <w:p w14:paraId="0AFA7F0B">
            <w:pPr>
              <w:widowControl/>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 xml:space="preserve">工作温度/存储温度 0ºC～40ºC/-40ºC～70ºC </w:t>
            </w:r>
          </w:p>
          <w:p w14:paraId="2F17D194">
            <w:pPr>
              <w:widowControl/>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工作湿度/存储湿度 5%~95%（非冷凝）</w:t>
            </w:r>
          </w:p>
        </w:tc>
        <w:tc>
          <w:tcPr>
            <w:tcW w:w="567" w:type="dxa"/>
            <w:tcBorders>
              <w:top w:val="single" w:color="auto" w:sz="4" w:space="0"/>
              <w:left w:val="single" w:color="auto" w:sz="6" w:space="0"/>
              <w:bottom w:val="single" w:color="auto" w:sz="4" w:space="0"/>
              <w:right w:val="single" w:color="auto" w:sz="6" w:space="0"/>
            </w:tcBorders>
            <w:vAlign w:val="center"/>
          </w:tcPr>
          <w:p w14:paraId="378970C4">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4</w:t>
            </w:r>
          </w:p>
        </w:tc>
        <w:tc>
          <w:tcPr>
            <w:tcW w:w="567" w:type="dxa"/>
            <w:tcBorders>
              <w:top w:val="single" w:color="auto" w:sz="4" w:space="0"/>
              <w:left w:val="single" w:color="auto" w:sz="6" w:space="0"/>
              <w:bottom w:val="single" w:color="auto" w:sz="4" w:space="0"/>
              <w:right w:val="single" w:color="auto" w:sz="6" w:space="0"/>
            </w:tcBorders>
            <w:vAlign w:val="center"/>
          </w:tcPr>
          <w:p w14:paraId="1196E077">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台</w:t>
            </w:r>
          </w:p>
        </w:tc>
      </w:tr>
      <w:tr w14:paraId="2CB5B9AF">
        <w:tblPrEx>
          <w:tblCellMar>
            <w:top w:w="0" w:type="dxa"/>
            <w:left w:w="10" w:type="dxa"/>
            <w:bottom w:w="0" w:type="dxa"/>
            <w:right w:w="10" w:type="dxa"/>
          </w:tblCellMar>
        </w:tblPrEx>
        <w:trPr>
          <w:trHeight w:val="704" w:hRule="atLeast"/>
        </w:trPr>
        <w:tc>
          <w:tcPr>
            <w:tcW w:w="500" w:type="dxa"/>
            <w:tcBorders>
              <w:top w:val="single" w:color="auto" w:sz="4" w:space="0"/>
              <w:left w:val="single" w:color="auto" w:sz="6" w:space="0"/>
              <w:bottom w:val="single" w:color="auto" w:sz="4" w:space="0"/>
              <w:right w:val="single" w:color="auto" w:sz="6" w:space="0"/>
            </w:tcBorders>
            <w:vAlign w:val="center"/>
          </w:tcPr>
          <w:p w14:paraId="06C845C6">
            <w:pPr>
              <w:widowControl/>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50</w:t>
            </w:r>
          </w:p>
        </w:tc>
        <w:tc>
          <w:tcPr>
            <w:tcW w:w="945" w:type="dxa"/>
            <w:tcBorders>
              <w:top w:val="single" w:color="auto" w:sz="4" w:space="0"/>
              <w:left w:val="nil"/>
              <w:bottom w:val="single" w:color="auto" w:sz="4" w:space="0"/>
              <w:right w:val="single" w:color="auto" w:sz="6" w:space="0"/>
            </w:tcBorders>
            <w:vAlign w:val="center"/>
          </w:tcPr>
          <w:p w14:paraId="1C74C4C5">
            <w:pPr>
              <w:widowControl/>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智能交互平板</w:t>
            </w:r>
          </w:p>
        </w:tc>
        <w:tc>
          <w:tcPr>
            <w:tcW w:w="6875" w:type="dxa"/>
            <w:tcBorders>
              <w:top w:val="single" w:color="auto" w:sz="4" w:space="0"/>
              <w:left w:val="nil"/>
              <w:bottom w:val="single" w:color="auto" w:sz="4" w:space="0"/>
              <w:right w:val="single" w:color="auto" w:sz="6" w:space="0"/>
            </w:tcBorders>
            <w:vAlign w:val="center"/>
          </w:tcPr>
          <w:p w14:paraId="082C4156">
            <w:pPr>
              <w:widowControl/>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一、基础参数</w:t>
            </w:r>
          </w:p>
          <w:p w14:paraId="49111F61">
            <w:pPr>
              <w:widowControl/>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highlight w:val="none"/>
                <w:lang w:bidi="ar"/>
              </w:rPr>
              <w:t>智能交互平板显示尺寸≥65英寸，分辨率：3840*2160 ，采用红外触控技术</w:t>
            </w:r>
            <w:r>
              <w:rPr>
                <w:rFonts w:hint="eastAsia" w:ascii="宋体" w:hAnsi="宋体" w:eastAsia="宋体" w:cs="宋体"/>
                <w:color w:val="auto"/>
                <w:kern w:val="0"/>
                <w:sz w:val="21"/>
                <w:szCs w:val="21"/>
                <w:highlight w:val="none"/>
                <w:lang w:eastAsia="zh-CN" w:bidi="ar"/>
              </w:rPr>
              <w:t>。</w:t>
            </w:r>
          </w:p>
          <w:p w14:paraId="727AAA3C">
            <w:pPr>
              <w:widowControl/>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智能交互平板前面板至少具备1路HDMI接口（非转接），2路USB3.0接口，1路USB Type-c接口。（提供第三方检测机构出具的检验报告复印件加盖投标人公章或官方网站功能截图加盖投标人公章）</w:t>
            </w:r>
          </w:p>
          <w:p w14:paraId="2770C5CB">
            <w:pPr>
              <w:widowControl/>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智能交互平板后置标配VGA输入≥1路， HDMI输入≥1路（提供第三方检测机构出具的检验报告复印件加盖投标人公章或官方网站功能截图加盖投标人公章）</w:t>
            </w:r>
          </w:p>
          <w:p w14:paraId="60EBDDAF">
            <w:pPr>
              <w:widowControl/>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智能交互平板具有通屏笔槽结构，可放置书写笔、粉笔、水性笔等。</w:t>
            </w:r>
          </w:p>
          <w:p w14:paraId="53A47417">
            <w:pPr>
              <w:widowControl/>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智能交互平板前置中文按键≥7个，可实现音量加减、窗口关闭、触控开关等功能，且每个按键具备不少于两种功能（提供第三方检测机构出具的检验报告复印件加盖投标人公章或官方网站功能截图加盖投标人公章）</w:t>
            </w:r>
          </w:p>
          <w:p w14:paraId="7E1C138C">
            <w:pPr>
              <w:widowControl/>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整机内置蓝牙Bluetooth 5.4模块，支持连接外部蓝牙音箱播放音频。</w:t>
            </w:r>
          </w:p>
          <w:p w14:paraId="1626D9BF">
            <w:pPr>
              <w:widowControl/>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无需打开智能交互平板背板，前置接口面板和前置按键面板支持单独前拆（提供第三方检测机构出具的检验报告复印件加盖投标人公章或官方网站功能截图加盖投标人公章）</w:t>
            </w:r>
          </w:p>
          <w:p w14:paraId="3F85D549">
            <w:pPr>
              <w:widowControl/>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采用针孔阵列发声设计，智能交互平板具有</w:t>
            </w:r>
            <w:r>
              <w:rPr>
                <w:rFonts w:hint="eastAsia" w:ascii="宋体" w:hAnsi="宋体" w:eastAsia="宋体" w:cs="宋体"/>
                <w:color w:val="auto"/>
                <w:kern w:val="0"/>
                <w:sz w:val="21"/>
                <w:szCs w:val="21"/>
                <w:lang w:val="en-US" w:eastAsia="zh-CN" w:bidi="ar"/>
              </w:rPr>
              <w:t>多</w:t>
            </w:r>
            <w:r>
              <w:rPr>
                <w:rFonts w:hint="eastAsia" w:ascii="宋体" w:hAnsi="宋体" w:eastAsia="宋体" w:cs="宋体"/>
                <w:color w:val="auto"/>
                <w:kern w:val="0"/>
                <w:sz w:val="21"/>
                <w:szCs w:val="21"/>
                <w:highlight w:val="none"/>
                <w:lang w:bidi="ar"/>
              </w:rPr>
              <w:t>个</w:t>
            </w:r>
            <w:r>
              <w:rPr>
                <w:rFonts w:hint="eastAsia" w:ascii="宋体" w:hAnsi="宋体" w:eastAsia="宋体" w:cs="宋体"/>
                <w:color w:val="auto"/>
                <w:kern w:val="0"/>
                <w:sz w:val="21"/>
                <w:szCs w:val="21"/>
                <w:lang w:bidi="ar"/>
              </w:rPr>
              <w:t>发声单元，总功率≥40W, 扬声器在100%音量下，1米处声压级≥90dB</w:t>
            </w:r>
            <w:r>
              <w:rPr>
                <w:rFonts w:hint="eastAsia" w:ascii="宋体" w:hAnsi="宋体" w:eastAsia="宋体" w:cs="宋体"/>
                <w:color w:val="auto"/>
                <w:kern w:val="0"/>
                <w:sz w:val="21"/>
                <w:szCs w:val="21"/>
                <w:lang w:eastAsia="zh-CN" w:bidi="ar"/>
              </w:rPr>
              <w:t>。</w:t>
            </w:r>
            <w:r>
              <w:rPr>
                <w:rFonts w:hint="eastAsia" w:ascii="宋体" w:hAnsi="宋体" w:eastAsia="宋体" w:cs="宋体"/>
                <w:color w:val="auto"/>
                <w:kern w:val="0"/>
                <w:sz w:val="21"/>
                <w:szCs w:val="21"/>
                <w:lang w:bidi="ar"/>
              </w:rPr>
              <w:t>（提供第三方检测机构出具的检验报告复印件加盖投标人公章或官方网站功能截图加盖投标人公章）</w:t>
            </w:r>
          </w:p>
          <w:p w14:paraId="55932C2A">
            <w:pPr>
              <w:widowControl/>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智能交互平板左右两侧可提供与教学应用密切相关的快捷键，数量各不少于15个，并支持自定义设置：时间，显示模式，单侧显示、双侧同时显示，该快捷键至少具有关闭窗口、展台、桌面、多屏互动等教学常用按键。</w:t>
            </w:r>
          </w:p>
          <w:p w14:paraId="4F9E81A8">
            <w:pPr>
              <w:widowControl/>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智能交互平板具有悬浮菜单，两指可快速移动悬浮菜单至按压位置，悬浮菜单可进行自定义分组，可添加AI互动软件等不少于30个应用。</w:t>
            </w:r>
          </w:p>
          <w:p w14:paraId="0EE0EA8B">
            <w:pPr>
              <w:widowControl/>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智能交互平板触摸支持动态压力模拟，支持无任何电子功能的普通书写笔，在交互平板上书写或点压时，整机能感应压力变化，书写或点压过程笔迹呈现不同粗细。</w:t>
            </w:r>
          </w:p>
          <w:p w14:paraId="4336B672">
            <w:pPr>
              <w:widowControl/>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安卓白板软件具备面积识别功能，通过接触交互设备的面积大小实现智能擦除、粗细笔迹书写。</w:t>
            </w:r>
          </w:p>
          <w:p w14:paraId="4F00B431">
            <w:pPr>
              <w:widowControl/>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智能交互平板全通道支持纸质护眼模式，可实现画面纹理的实时调整；支持纸质纹理：素描纸、宣纸、水彩纸；支持透明度调节与色温调节；显示画面各像素点灰度不规则，减少背景干扰。（提供第三方检测机构出具的检验报告复印件加盖投标人公章或官方网站功能截图加盖投标人公章）</w:t>
            </w:r>
          </w:p>
          <w:p w14:paraId="690D97E3">
            <w:pPr>
              <w:widowControl/>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通过五指抓取屏幕任意位置可调出多任务处理窗口，并对正在运行的应用进行浏览、快速切换或结束进程。</w:t>
            </w:r>
          </w:p>
          <w:p w14:paraId="1E95875D">
            <w:pPr>
              <w:widowControl/>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智能交互平板背光系统支持DC调光方式，多级亮度调节。（提供第三方检测机构出具的检验报告复印件加盖投标人公章或官方网站功能截图加盖投标人公章）</w:t>
            </w:r>
          </w:p>
          <w:p w14:paraId="6976ADE2">
            <w:pPr>
              <w:widowControl/>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在任意信号源下，从屏幕下方任意位置向上滑动，可调用快捷设置菜单；无需切换系统，可快速调节Windows 和Android 的设置，并支持拖拽到屏幕任意位置。</w:t>
            </w:r>
          </w:p>
          <w:p w14:paraId="70692A79">
            <w:pPr>
              <w:widowControl/>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智能交互平板采用OPS-C 标准的80pin针口设计</w:t>
            </w:r>
          </w:p>
          <w:p w14:paraId="14DA2E64">
            <w:pPr>
              <w:widowControl/>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二、内置电脑</w:t>
            </w:r>
          </w:p>
          <w:p w14:paraId="11327A30">
            <w:pPr>
              <w:widowControl/>
              <w:jc w:val="left"/>
              <w:textAlignment w:val="center"/>
              <w:rPr>
                <w:rFonts w:hint="eastAsia" w:ascii="宋体" w:hAnsi="宋体" w:eastAsia="宋体" w:cs="宋体"/>
                <w:color w:val="auto"/>
                <w:kern w:val="0"/>
                <w:sz w:val="21"/>
                <w:szCs w:val="21"/>
                <w:lang w:bidi="ar"/>
              </w:rPr>
            </w:pPr>
            <w:bookmarkStart w:id="32" w:name="_Hlk166234550"/>
            <w:r>
              <w:rPr>
                <w:rFonts w:hint="eastAsia" w:ascii="宋体" w:hAnsi="宋体" w:eastAsia="宋体" w:cs="宋体"/>
                <w:color w:val="auto"/>
                <w:kern w:val="0"/>
                <w:sz w:val="21"/>
                <w:szCs w:val="21"/>
                <w:lang w:bidi="ar"/>
              </w:rPr>
              <w:t>80pin Intel通用标准接口,即插即用，易于维护；</w:t>
            </w:r>
          </w:p>
          <w:p w14:paraId="58863E54">
            <w:pPr>
              <w:widowControl/>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酷睿I5处理器；</w:t>
            </w:r>
          </w:p>
          <w:p w14:paraId="311213E1">
            <w:pPr>
              <w:widowControl/>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内存：≥8G DDR4；</w:t>
            </w:r>
          </w:p>
          <w:p w14:paraId="1D915FC7">
            <w:pPr>
              <w:widowControl/>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 xml:space="preserve">硬盘：≥256G SSD固态硬盘； </w:t>
            </w:r>
          </w:p>
          <w:p w14:paraId="14D3F44D">
            <w:pPr>
              <w:widowControl/>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接口：整机非外扩展具备≥5个USB接口；具有独立非外扩展的视频输出接口：≥1路HDMI等；</w:t>
            </w:r>
            <w:bookmarkEnd w:id="32"/>
          </w:p>
          <w:p w14:paraId="298885C8">
            <w:pPr>
              <w:widowControl/>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三、教学专属系统</w:t>
            </w:r>
          </w:p>
          <w:p w14:paraId="758122E5">
            <w:pPr>
              <w:widowControl/>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提供符合教师授课场景的教学桌面教学系统。</w:t>
            </w:r>
          </w:p>
          <w:p w14:paraId="762491D7">
            <w:pPr>
              <w:widowControl/>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将教师授课常用应用放至主页，单击即可打开应用，方便教师快捷调用软件；</w:t>
            </w:r>
          </w:p>
          <w:p w14:paraId="73FBDF9C">
            <w:pPr>
              <w:widowControl/>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开机进入教学桌面，教师可按照自己使用习惯，更换常用软件、背景，形成教师的定制化桌面。可通过登录账户，在其他设备上同步展示教师定制化教学桌面；</w:t>
            </w:r>
          </w:p>
          <w:p w14:paraId="20BE6347">
            <w:pPr>
              <w:widowControl/>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U盘插入时，无需额外操作自动弹出U盘文件夹，方便教师直接选取U盘中内容；</w:t>
            </w:r>
          </w:p>
          <w:p w14:paraId="42F35B28">
            <w:pPr>
              <w:widowControl/>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支持手势操作，左右滑动方便教师快速切换主页、应用页及Windows桌面，下滑屏幕下移，方便教师点击大屏上方功能按钮，上滑调起系统设置，方便教师快捷设置系统；</w:t>
            </w:r>
          </w:p>
          <w:p w14:paraId="0CFCE87F">
            <w:pPr>
              <w:widowControl/>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支持三种（账号、扫码、U盘-key）登录方式，支持应用登录联动功能，教师登录系统后打开其他应用，可进行快捷登录，无需再次输入账户密码；</w:t>
            </w:r>
          </w:p>
          <w:p w14:paraId="01C7E4D8">
            <w:pPr>
              <w:widowControl/>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支持在任意界面下，通过前置物理按键返回教学桌面；同时支持一键调出多任务窗口，将所有运行中应用进行展示，方便教师快速切换应用；</w:t>
            </w:r>
          </w:p>
          <w:p w14:paraId="28BABA58">
            <w:pPr>
              <w:widowControl/>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应用页分类显示应用，包含课件制作、教学工具、管理辅助、数字资源等，方便教师快速找到相应应用；</w:t>
            </w:r>
          </w:p>
          <w:p w14:paraId="51F3E9D5">
            <w:pPr>
              <w:widowControl/>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四、教学应用软件</w:t>
            </w:r>
          </w:p>
          <w:p w14:paraId="155E66D9">
            <w:pPr>
              <w:widowControl/>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支持多端程序入口,支持PC端、交互设备、移动端及网页端；且均可快速生成、播放课件。</w:t>
            </w:r>
          </w:p>
          <w:p w14:paraId="619C5DD5">
            <w:pPr>
              <w:widowControl/>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不少于五种登录方式，包含U盘登录、账号密码直接登录、微信扫码登录、手机验证码快捷登录、书写登录等，支持免登录打开本地课件；其中书写登录可录入内容及笔迹，在任意设备进行书写登录软件；（提供第三方检测机构出具的检验报告复印件加盖投标人公章或官方网站功能截图加盖投标人公章）</w:t>
            </w:r>
          </w:p>
          <w:p w14:paraId="46C8ADC3">
            <w:pPr>
              <w:widowControl/>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教学软件至少包含，个人空间、回收站、我的班级、操作指南、个人设置等应用模块；</w:t>
            </w:r>
          </w:p>
          <w:p w14:paraId="1BBEF592">
            <w:pPr>
              <w:widowControl/>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回收站：教师可根据自身使用需求对已经创建好的课件进行修改或删除，删除后的课件可自行存放到回收站，默认情况下保存30天，30天后可自动清除，已经删除后的课件，可进行恢复或清除；回收站内的课件支持单个课件，或者全部课件一键清除；</w:t>
            </w:r>
          </w:p>
          <w:p w14:paraId="07DFB2D1">
            <w:pPr>
              <w:widowControl/>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（一）备课模式</w:t>
            </w:r>
          </w:p>
          <w:p w14:paraId="24CB20C4">
            <w:pPr>
              <w:widowControl/>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提供预置的课件素材，允许老师在网页端、移动端、电脑端进行内容的选择与组合，快速生成课件并浏览，所有制作的课件均实时保存至云端，老师只需登录即可查看。</w:t>
            </w:r>
          </w:p>
          <w:p w14:paraId="74695E9A">
            <w:pPr>
              <w:widowControl/>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软件支持单独PPT 导入功能，并支持导入进度条提示功能，可查看当前导入进度，上传完成后具有中文提供功能。</w:t>
            </w:r>
          </w:p>
          <w:p w14:paraId="5AB1B2BF">
            <w:pPr>
              <w:widowControl/>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可插入音频，支持对音频的剪辑，可拖动或输入音频的开始和结束位置。</w:t>
            </w:r>
          </w:p>
          <w:p w14:paraId="6E233163">
            <w:pPr>
              <w:widowControl/>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可插入表格，表格支持设置行列数，在表格上可以进行行列的添加、删除、合并和拆分，可编辑文字格式和表格格式。</w:t>
            </w:r>
          </w:p>
          <w:p w14:paraId="572A984D">
            <w:pPr>
              <w:widowControl/>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可插入思维导图，包括逻辑图和组织结构图，思维导图可添加同级节点、下级节点上级节点，可编辑文字格式和思维导图格式。</w:t>
            </w:r>
          </w:p>
          <w:p w14:paraId="584069D2">
            <w:pPr>
              <w:widowControl/>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（二）授课模式</w:t>
            </w:r>
          </w:p>
          <w:p w14:paraId="3A2875B5">
            <w:pPr>
              <w:widowControl/>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 xml:space="preserve">绿板状态支持显示文件、工具和应用的便捷入口，当开始批注且绿板上有笔迹时，自动隐藏便捷入口，清除笔迹时，自动恢复显示便捷入口； </w:t>
            </w:r>
          </w:p>
          <w:p w14:paraId="3D38611E">
            <w:pPr>
              <w:widowControl/>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支持单指长按屏幕任意空白区域呼出便捷入口（文件、工具、应用、一键收起）（提供第三方检测机构出具的检验报告复印件加盖投标人公章或官方网站功能截图加盖投标人公章）</w:t>
            </w:r>
          </w:p>
          <w:p w14:paraId="13926365">
            <w:pPr>
              <w:widowControl/>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文件入口支持拉起其他网盘，包含4种常用的三方网盘入口</w:t>
            </w:r>
          </w:p>
          <w:p w14:paraId="71FBDBA0">
            <w:pPr>
              <w:widowControl/>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工具条支持上下移动，支持收起/展开，工具条支持批注、清页、文件、工具、应用切换、更多；工具子菜单支持屏幕拖动（提供第三方检测机构出具的检验报告复印件加盖投标人公章或官方网站功能截图加盖投标人公章）</w:t>
            </w:r>
          </w:p>
          <w:p w14:paraId="66258355">
            <w:pPr>
              <w:widowControl/>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支持使用教辅工具，包含截图、时钟、放大镜、聚光灯、黑屏、随机数、骰子和大转盘8种；无论绿板状态、多文件全屏播放状态以及三方应用拉起状态均支持使用</w:t>
            </w:r>
          </w:p>
          <w:p w14:paraId="2EDBE3E9">
            <w:pPr>
              <w:widowControl/>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文件窗口之间可进行独立批注；当起笔落点在绿板上时，识别为绿板批注，当起笔落点在小窗口时，识别为小窗口文件批注；文件大小窗口批注同步，可实现翻页跟随；绿板批注可以跟随绿板漫游；</w:t>
            </w:r>
            <w:r>
              <w:rPr>
                <w:rFonts w:hint="eastAsia" w:ascii="宋体" w:hAnsi="宋体" w:eastAsia="宋体" w:cs="宋体"/>
                <w:color w:val="auto"/>
                <w:kern w:val="0"/>
                <w:sz w:val="21"/>
                <w:szCs w:val="21"/>
                <w:highlight w:val="none"/>
                <w:lang w:val="en-US" w:eastAsia="zh-CN" w:bidi="ar"/>
              </w:rPr>
              <w:t>不同</w:t>
            </w:r>
            <w:r>
              <w:rPr>
                <w:rFonts w:hint="eastAsia" w:ascii="宋体" w:hAnsi="宋体" w:eastAsia="宋体" w:cs="宋体"/>
                <w:color w:val="auto"/>
                <w:kern w:val="0"/>
                <w:sz w:val="21"/>
                <w:szCs w:val="21"/>
                <w:highlight w:val="none"/>
                <w:lang w:bidi="ar"/>
              </w:rPr>
              <w:t>种笔型，</w:t>
            </w:r>
            <w:r>
              <w:rPr>
                <w:rFonts w:hint="eastAsia" w:ascii="宋体" w:hAnsi="宋体" w:eastAsia="宋体" w:cs="宋体"/>
                <w:color w:val="auto"/>
                <w:kern w:val="0"/>
                <w:sz w:val="21"/>
                <w:szCs w:val="21"/>
                <w:highlight w:val="none"/>
                <w:lang w:val="en-US" w:eastAsia="zh-CN" w:bidi="ar"/>
              </w:rPr>
              <w:t>多</w:t>
            </w:r>
            <w:r>
              <w:rPr>
                <w:rFonts w:hint="eastAsia" w:ascii="宋体" w:hAnsi="宋体" w:eastAsia="宋体" w:cs="宋体"/>
                <w:color w:val="auto"/>
                <w:kern w:val="0"/>
                <w:sz w:val="21"/>
                <w:szCs w:val="21"/>
                <w:highlight w:val="none"/>
                <w:lang w:bidi="ar"/>
              </w:rPr>
              <w:t>种颜色可选（</w:t>
            </w:r>
            <w:r>
              <w:rPr>
                <w:rFonts w:hint="eastAsia" w:ascii="宋体" w:hAnsi="宋体" w:eastAsia="宋体" w:cs="宋体"/>
                <w:color w:val="auto"/>
                <w:kern w:val="0"/>
                <w:sz w:val="21"/>
                <w:szCs w:val="21"/>
                <w:lang w:bidi="ar"/>
              </w:rPr>
              <w:t>提供第三方检测机构出具的检验报告复印件加盖投标人公章或官方网站功能截图加盖投标人公章）</w:t>
            </w:r>
          </w:p>
          <w:p w14:paraId="0E3FBCDB">
            <w:pPr>
              <w:widowControl/>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支持展示当前打开的文件列表，按照打开的时间倒叙排序，点击可进行便捷进行文件切换</w:t>
            </w:r>
          </w:p>
          <w:p w14:paraId="41353978">
            <w:pPr>
              <w:widowControl/>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支持免登录打开离线课件，直接进入课件全屏播放状态；登录后，可返回备课编辑状态。可通过点击或触摸屏幕实现动画的显示和翻页，同时支持通过翻页笔翻页，还支持点击工具条进行课件的前翻页和后翻页，支持2-4指滑动上下翻页</w:t>
            </w:r>
          </w:p>
        </w:tc>
        <w:tc>
          <w:tcPr>
            <w:tcW w:w="567" w:type="dxa"/>
            <w:tcBorders>
              <w:top w:val="single" w:color="auto" w:sz="4" w:space="0"/>
              <w:left w:val="single" w:color="auto" w:sz="6" w:space="0"/>
              <w:bottom w:val="single" w:color="auto" w:sz="4" w:space="0"/>
              <w:right w:val="single" w:color="auto" w:sz="6" w:space="0"/>
            </w:tcBorders>
            <w:vAlign w:val="center"/>
          </w:tcPr>
          <w:p w14:paraId="1B8AD787">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4</w:t>
            </w:r>
          </w:p>
        </w:tc>
        <w:tc>
          <w:tcPr>
            <w:tcW w:w="567" w:type="dxa"/>
            <w:tcBorders>
              <w:top w:val="single" w:color="auto" w:sz="4" w:space="0"/>
              <w:left w:val="single" w:color="auto" w:sz="6" w:space="0"/>
              <w:bottom w:val="single" w:color="auto" w:sz="4" w:space="0"/>
              <w:right w:val="single" w:color="auto" w:sz="6" w:space="0"/>
            </w:tcBorders>
            <w:vAlign w:val="center"/>
          </w:tcPr>
          <w:p w14:paraId="2C3090C2">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台</w:t>
            </w:r>
          </w:p>
        </w:tc>
      </w:tr>
      <w:tr w14:paraId="30CE2EE4">
        <w:tblPrEx>
          <w:tblCellMar>
            <w:top w:w="0" w:type="dxa"/>
            <w:left w:w="10" w:type="dxa"/>
            <w:bottom w:w="0" w:type="dxa"/>
            <w:right w:w="10" w:type="dxa"/>
          </w:tblCellMar>
        </w:tblPrEx>
        <w:trPr>
          <w:trHeight w:val="704" w:hRule="atLeast"/>
        </w:trPr>
        <w:tc>
          <w:tcPr>
            <w:tcW w:w="500" w:type="dxa"/>
            <w:tcBorders>
              <w:top w:val="single" w:color="auto" w:sz="4" w:space="0"/>
              <w:left w:val="single" w:color="auto" w:sz="6" w:space="0"/>
              <w:bottom w:val="single" w:color="auto" w:sz="4" w:space="0"/>
              <w:right w:val="single" w:color="auto" w:sz="6" w:space="0"/>
            </w:tcBorders>
            <w:vAlign w:val="center"/>
          </w:tcPr>
          <w:p w14:paraId="6C7A71A4">
            <w:pPr>
              <w:widowControl/>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51</w:t>
            </w:r>
          </w:p>
        </w:tc>
        <w:tc>
          <w:tcPr>
            <w:tcW w:w="945" w:type="dxa"/>
            <w:tcBorders>
              <w:top w:val="single" w:color="auto" w:sz="4" w:space="0"/>
              <w:left w:val="nil"/>
              <w:bottom w:val="single" w:color="auto" w:sz="4" w:space="0"/>
              <w:right w:val="single" w:color="auto" w:sz="6" w:space="0"/>
            </w:tcBorders>
            <w:vAlign w:val="center"/>
          </w:tcPr>
          <w:p w14:paraId="384AC0E6">
            <w:pPr>
              <w:widowControl/>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无线投屏器</w:t>
            </w:r>
          </w:p>
        </w:tc>
        <w:tc>
          <w:tcPr>
            <w:tcW w:w="6875" w:type="dxa"/>
            <w:tcBorders>
              <w:top w:val="single" w:color="auto" w:sz="4" w:space="0"/>
              <w:left w:val="nil"/>
              <w:bottom w:val="single" w:color="auto" w:sz="4" w:space="0"/>
              <w:right w:val="single" w:color="auto" w:sz="6" w:space="0"/>
            </w:tcBorders>
            <w:vAlign w:val="center"/>
          </w:tcPr>
          <w:p w14:paraId="5C552970">
            <w:pPr>
              <w:widowControl/>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硬件参数：</w:t>
            </w:r>
          </w:p>
          <w:p w14:paraId="2ECAD6E1">
            <w:pPr>
              <w:widowControl/>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采用主流架构设计，嵌入式Android系统；</w:t>
            </w:r>
          </w:p>
          <w:p w14:paraId="0F258CEB">
            <w:pPr>
              <w:widowControl/>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CPU不低于双核心、双线程，主频≥1.8GHz，三级缓存不低2MB；</w:t>
            </w:r>
          </w:p>
          <w:p w14:paraId="17CD6E48">
            <w:pPr>
              <w:widowControl/>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设备内存容量8GB及以上，内置存储128GB及以上；</w:t>
            </w:r>
          </w:p>
          <w:p w14:paraId="4D6C99E4">
            <w:pPr>
              <w:widowControl/>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设备端具有电源按键、录制按键；支持通电后自启动，支持通电以后延时启动，可自定义延迟启动时间，最大可达到300秒的启动延迟。</w:t>
            </w:r>
          </w:p>
          <w:p w14:paraId="74E870D6">
            <w:pPr>
              <w:widowControl/>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高清视频接口，其中HDMI IN≥1，HDMI OUT≥1，支持多种输出显示分辨率，最高支持3840*2160分辨率；</w:t>
            </w:r>
          </w:p>
          <w:p w14:paraId="43510C05">
            <w:pPr>
              <w:widowControl/>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标准音频接口Line in≥1，Line out≥1；</w:t>
            </w:r>
          </w:p>
          <w:p w14:paraId="3B86DAE9">
            <w:pPr>
              <w:widowControl/>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I/O外设接口，USB 接口≥3；以太网RJ45接口≥3，支持100/1000Mbps自适应；</w:t>
            </w:r>
          </w:p>
          <w:p w14:paraId="312B5DCD">
            <w:pPr>
              <w:widowControl/>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wifi功能，内置天线，支持2.4GHz和5GHz频段；支持 802.11 a/b/g/n/ac多种协议模式，最大工作速率： 1300Mbps；</w:t>
            </w:r>
          </w:p>
          <w:p w14:paraId="0ED07118">
            <w:pPr>
              <w:widowControl/>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具备定时重启功能，支持设定每日定时重启，可自定义时间进行设备重启；</w:t>
            </w:r>
          </w:p>
          <w:p w14:paraId="64B2A90D">
            <w:pPr>
              <w:widowControl/>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软件参数：</w:t>
            </w:r>
          </w:p>
          <w:p w14:paraId="325E76EB">
            <w:pPr>
              <w:widowControl/>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中英文切换：系统支持简体中文和英文两种语言模式，可快速进行中英文的切换，满足双语教学的要求。</w:t>
            </w:r>
          </w:p>
          <w:p w14:paraId="274C5FD4">
            <w:pPr>
              <w:widowControl/>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屏幕工具条：用户可直接在触控显示屏上点击系统工具条，或通过鼠标点击工具条进行操作，工具条具有截屏、录制、布局、切屏、批注、白板等功能按钮，并显示时间、设备名称、网络IP等信息。用户可自定义系统工具条功能按钮，支持隐藏截屏、录制、广播、布局、切屏、批注、白板等功能按钮，可通过快捷方式设置自定义按钮。</w:t>
            </w:r>
          </w:p>
          <w:p w14:paraId="53640C5E">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为确保产品的操作便携性、易用性，以上功能参数要求必须为一个产品实现，不得通过多个产品组合拼凑。且系统支持连网自动检查更新，本地升级。</w:t>
            </w:r>
          </w:p>
        </w:tc>
        <w:tc>
          <w:tcPr>
            <w:tcW w:w="567" w:type="dxa"/>
            <w:tcBorders>
              <w:top w:val="single" w:color="auto" w:sz="4" w:space="0"/>
              <w:left w:val="single" w:color="auto" w:sz="6" w:space="0"/>
              <w:bottom w:val="single" w:color="auto" w:sz="4" w:space="0"/>
              <w:right w:val="single" w:color="auto" w:sz="6" w:space="0"/>
            </w:tcBorders>
            <w:vAlign w:val="center"/>
          </w:tcPr>
          <w:p w14:paraId="20B64B2D">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w:t>
            </w:r>
          </w:p>
        </w:tc>
        <w:tc>
          <w:tcPr>
            <w:tcW w:w="567" w:type="dxa"/>
            <w:tcBorders>
              <w:top w:val="single" w:color="auto" w:sz="4" w:space="0"/>
              <w:left w:val="single" w:color="auto" w:sz="6" w:space="0"/>
              <w:bottom w:val="single" w:color="auto" w:sz="4" w:space="0"/>
              <w:right w:val="single" w:color="auto" w:sz="6" w:space="0"/>
            </w:tcBorders>
            <w:vAlign w:val="center"/>
          </w:tcPr>
          <w:p w14:paraId="121CC9CC">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套</w:t>
            </w:r>
          </w:p>
        </w:tc>
      </w:tr>
      <w:tr w14:paraId="416AD580">
        <w:tblPrEx>
          <w:tblCellMar>
            <w:top w:w="0" w:type="dxa"/>
            <w:left w:w="10" w:type="dxa"/>
            <w:bottom w:w="0" w:type="dxa"/>
            <w:right w:w="10" w:type="dxa"/>
          </w:tblCellMar>
        </w:tblPrEx>
        <w:trPr>
          <w:trHeight w:val="704" w:hRule="atLeast"/>
        </w:trPr>
        <w:tc>
          <w:tcPr>
            <w:tcW w:w="500" w:type="dxa"/>
            <w:tcBorders>
              <w:top w:val="single" w:color="auto" w:sz="4" w:space="0"/>
              <w:left w:val="single" w:color="auto" w:sz="6" w:space="0"/>
              <w:bottom w:val="single" w:color="auto" w:sz="4" w:space="0"/>
              <w:right w:val="single" w:color="auto" w:sz="6" w:space="0"/>
            </w:tcBorders>
            <w:vAlign w:val="center"/>
          </w:tcPr>
          <w:p w14:paraId="09E024F2">
            <w:pPr>
              <w:widowControl/>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52</w:t>
            </w:r>
          </w:p>
        </w:tc>
        <w:tc>
          <w:tcPr>
            <w:tcW w:w="945" w:type="dxa"/>
            <w:tcBorders>
              <w:top w:val="single" w:color="auto" w:sz="4" w:space="0"/>
              <w:left w:val="nil"/>
              <w:bottom w:val="single" w:color="auto" w:sz="4" w:space="0"/>
              <w:right w:val="single" w:color="auto" w:sz="6" w:space="0"/>
            </w:tcBorders>
            <w:vAlign w:val="center"/>
          </w:tcPr>
          <w:p w14:paraId="770D7379">
            <w:pPr>
              <w:widowControl/>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拼合桌</w:t>
            </w:r>
          </w:p>
        </w:tc>
        <w:tc>
          <w:tcPr>
            <w:tcW w:w="6875" w:type="dxa"/>
            <w:tcBorders>
              <w:top w:val="single" w:color="auto" w:sz="4" w:space="0"/>
              <w:left w:val="nil"/>
              <w:bottom w:val="single" w:color="auto" w:sz="4" w:space="0"/>
              <w:right w:val="single" w:color="auto" w:sz="6" w:space="0"/>
            </w:tcBorders>
            <w:vAlign w:val="center"/>
          </w:tcPr>
          <w:p w14:paraId="442EE3A9">
            <w:pPr>
              <w:widowControl/>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产品基本要求：</w:t>
            </w:r>
          </w:p>
          <w:p w14:paraId="55E0B431">
            <w:pPr>
              <w:widowControl/>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1、面材：选用E1级环保板台面，经防潮、防腐、防虫处理，强度高，耐磨、耐刮、耐高温，不易变形；</w:t>
            </w:r>
          </w:p>
          <w:p w14:paraId="286DA7ED">
            <w:pPr>
              <w:widowControl/>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2、基材：采用环保型E1级环保基材，含水率9%；</w:t>
            </w:r>
          </w:p>
          <w:p w14:paraId="11CFE6B3">
            <w:pPr>
              <w:widowControl/>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3、封边：采用2毫米厚PVC封边；</w:t>
            </w:r>
          </w:p>
          <w:p w14:paraId="6FD20BF5">
            <w:pPr>
              <w:widowControl/>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4、五金配件：采用进口五金配件；</w:t>
            </w:r>
          </w:p>
          <w:p w14:paraId="6821B947">
            <w:pPr>
              <w:widowControl/>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5、环保标准：符合国家室内空气质量检测标准；</w:t>
            </w:r>
          </w:p>
          <w:p w14:paraId="66170B19">
            <w:pPr>
              <w:widowControl/>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6、脚架：采用优质金属脚架；</w:t>
            </w:r>
          </w:p>
          <w:p w14:paraId="4327CA11">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7、样式及颜色可根据采购方需求定制。</w:t>
            </w:r>
          </w:p>
        </w:tc>
        <w:tc>
          <w:tcPr>
            <w:tcW w:w="567" w:type="dxa"/>
            <w:tcBorders>
              <w:top w:val="single" w:color="auto" w:sz="4" w:space="0"/>
              <w:left w:val="single" w:color="auto" w:sz="6" w:space="0"/>
              <w:bottom w:val="single" w:color="auto" w:sz="4" w:space="0"/>
              <w:right w:val="single" w:color="auto" w:sz="6" w:space="0"/>
            </w:tcBorders>
            <w:vAlign w:val="center"/>
          </w:tcPr>
          <w:p w14:paraId="39DFC623">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72</w:t>
            </w:r>
          </w:p>
        </w:tc>
        <w:tc>
          <w:tcPr>
            <w:tcW w:w="567" w:type="dxa"/>
            <w:tcBorders>
              <w:top w:val="single" w:color="auto" w:sz="4" w:space="0"/>
              <w:left w:val="single" w:color="auto" w:sz="6" w:space="0"/>
              <w:bottom w:val="single" w:color="auto" w:sz="4" w:space="0"/>
              <w:right w:val="single" w:color="auto" w:sz="6" w:space="0"/>
            </w:tcBorders>
            <w:vAlign w:val="center"/>
          </w:tcPr>
          <w:p w14:paraId="69968F36">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人位</w:t>
            </w:r>
          </w:p>
        </w:tc>
      </w:tr>
      <w:tr w14:paraId="71C71FA5">
        <w:tblPrEx>
          <w:tblCellMar>
            <w:top w:w="0" w:type="dxa"/>
            <w:left w:w="10" w:type="dxa"/>
            <w:bottom w:w="0" w:type="dxa"/>
            <w:right w:w="10" w:type="dxa"/>
          </w:tblCellMar>
        </w:tblPrEx>
        <w:trPr>
          <w:trHeight w:val="704" w:hRule="atLeast"/>
        </w:trPr>
        <w:tc>
          <w:tcPr>
            <w:tcW w:w="500" w:type="dxa"/>
            <w:tcBorders>
              <w:top w:val="single" w:color="auto" w:sz="4" w:space="0"/>
              <w:left w:val="single" w:color="auto" w:sz="6" w:space="0"/>
              <w:bottom w:val="single" w:color="auto" w:sz="4" w:space="0"/>
              <w:right w:val="single" w:color="auto" w:sz="6" w:space="0"/>
            </w:tcBorders>
            <w:vAlign w:val="center"/>
          </w:tcPr>
          <w:p w14:paraId="79A76749">
            <w:pPr>
              <w:widowControl/>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53</w:t>
            </w:r>
          </w:p>
        </w:tc>
        <w:tc>
          <w:tcPr>
            <w:tcW w:w="945" w:type="dxa"/>
            <w:tcBorders>
              <w:top w:val="single" w:color="auto" w:sz="4" w:space="0"/>
              <w:left w:val="nil"/>
              <w:bottom w:val="single" w:color="auto" w:sz="4" w:space="0"/>
              <w:right w:val="single" w:color="auto" w:sz="6" w:space="0"/>
            </w:tcBorders>
            <w:vAlign w:val="center"/>
          </w:tcPr>
          <w:p w14:paraId="1EEFDD32">
            <w:pPr>
              <w:widowControl/>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培训椅</w:t>
            </w:r>
          </w:p>
        </w:tc>
        <w:tc>
          <w:tcPr>
            <w:tcW w:w="6875" w:type="dxa"/>
            <w:tcBorders>
              <w:top w:val="single" w:color="auto" w:sz="4" w:space="0"/>
              <w:left w:val="nil"/>
              <w:bottom w:val="single" w:color="auto" w:sz="4" w:space="0"/>
              <w:right w:val="single" w:color="auto" w:sz="6" w:space="0"/>
            </w:tcBorders>
            <w:vAlign w:val="center"/>
          </w:tcPr>
          <w:p w14:paraId="54F0BA7D">
            <w:pPr>
              <w:widowControl/>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产品基本要求：</w:t>
            </w:r>
          </w:p>
          <w:p w14:paraId="322F27ED">
            <w:pPr>
              <w:widowControl/>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1、尼龙加玻纤靠背；PP可翻转扶手 ·定型海绵；</w:t>
            </w:r>
          </w:p>
          <w:p w14:paraId="561B72C2">
            <w:pPr>
              <w:widowControl/>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2、1.8厚电镀或喷粉蛋型管 ，可拆装四脚椅架，以实心钢筋支撑座板，带铝合金活动链接件，座板可翻转；</w:t>
            </w:r>
          </w:p>
          <w:p w14:paraId="4914E950">
            <w:pPr>
              <w:widowControl/>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3、60mm黑色尼龙万向轮；</w:t>
            </w:r>
          </w:p>
          <w:p w14:paraId="5F4A410B">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4、样式及颜色可根据采购方需求定制。</w:t>
            </w:r>
          </w:p>
        </w:tc>
        <w:tc>
          <w:tcPr>
            <w:tcW w:w="567" w:type="dxa"/>
            <w:tcBorders>
              <w:top w:val="single" w:color="auto" w:sz="4" w:space="0"/>
              <w:left w:val="single" w:color="auto" w:sz="6" w:space="0"/>
              <w:bottom w:val="single" w:color="auto" w:sz="4" w:space="0"/>
              <w:right w:val="single" w:color="auto" w:sz="6" w:space="0"/>
            </w:tcBorders>
            <w:vAlign w:val="center"/>
          </w:tcPr>
          <w:p w14:paraId="1F368C95">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72</w:t>
            </w:r>
          </w:p>
        </w:tc>
        <w:tc>
          <w:tcPr>
            <w:tcW w:w="567" w:type="dxa"/>
            <w:tcBorders>
              <w:top w:val="single" w:color="auto" w:sz="4" w:space="0"/>
              <w:left w:val="single" w:color="auto" w:sz="6" w:space="0"/>
              <w:bottom w:val="single" w:color="auto" w:sz="4" w:space="0"/>
              <w:right w:val="single" w:color="auto" w:sz="6" w:space="0"/>
            </w:tcBorders>
            <w:vAlign w:val="center"/>
          </w:tcPr>
          <w:p w14:paraId="710A2FA9">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把</w:t>
            </w:r>
          </w:p>
        </w:tc>
      </w:tr>
      <w:tr w14:paraId="315693BC">
        <w:tblPrEx>
          <w:tblCellMar>
            <w:top w:w="0" w:type="dxa"/>
            <w:left w:w="10" w:type="dxa"/>
            <w:bottom w:w="0" w:type="dxa"/>
            <w:right w:w="10" w:type="dxa"/>
          </w:tblCellMar>
        </w:tblPrEx>
        <w:trPr>
          <w:trHeight w:val="704" w:hRule="atLeast"/>
        </w:trPr>
        <w:tc>
          <w:tcPr>
            <w:tcW w:w="500" w:type="dxa"/>
            <w:tcBorders>
              <w:top w:val="single" w:color="auto" w:sz="4" w:space="0"/>
              <w:left w:val="single" w:color="auto" w:sz="6" w:space="0"/>
              <w:bottom w:val="single" w:color="auto" w:sz="4" w:space="0"/>
              <w:right w:val="single" w:color="auto" w:sz="6" w:space="0"/>
            </w:tcBorders>
            <w:vAlign w:val="center"/>
          </w:tcPr>
          <w:p w14:paraId="56889170">
            <w:pPr>
              <w:widowControl/>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54</w:t>
            </w:r>
          </w:p>
        </w:tc>
        <w:tc>
          <w:tcPr>
            <w:tcW w:w="945" w:type="dxa"/>
            <w:tcBorders>
              <w:top w:val="single" w:color="auto" w:sz="4" w:space="0"/>
              <w:left w:val="nil"/>
              <w:bottom w:val="single" w:color="auto" w:sz="4" w:space="0"/>
              <w:right w:val="single" w:color="auto" w:sz="6" w:space="0"/>
            </w:tcBorders>
            <w:vAlign w:val="center"/>
          </w:tcPr>
          <w:p w14:paraId="3260DFE5">
            <w:pPr>
              <w:widowControl/>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线材辅料</w:t>
            </w:r>
          </w:p>
        </w:tc>
        <w:tc>
          <w:tcPr>
            <w:tcW w:w="6875" w:type="dxa"/>
            <w:tcBorders>
              <w:top w:val="single" w:color="auto" w:sz="4" w:space="0"/>
              <w:left w:val="nil"/>
              <w:bottom w:val="single" w:color="auto" w:sz="4" w:space="0"/>
              <w:right w:val="single" w:color="auto" w:sz="6" w:space="0"/>
            </w:tcBorders>
            <w:vAlign w:val="center"/>
          </w:tcPr>
          <w:p w14:paraId="3066CDCF">
            <w:pPr>
              <w:widowControl/>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基本要求：</w:t>
            </w:r>
          </w:p>
          <w:p w14:paraId="15A76037">
            <w:pPr>
              <w:widowControl/>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项目部署实施配套的相关配件、线材；（如、VGA转HDMI、VGA线、HDMI线、免焊串口接头、免焊莲花头、免焊3.5mm接头、3.5mm音频滤波器、成品网线跳线、音频线等；PVC线槽、阻燃管和吊杆等）。</w:t>
            </w:r>
          </w:p>
        </w:tc>
        <w:tc>
          <w:tcPr>
            <w:tcW w:w="567" w:type="dxa"/>
            <w:tcBorders>
              <w:top w:val="single" w:color="auto" w:sz="4" w:space="0"/>
              <w:left w:val="single" w:color="auto" w:sz="6" w:space="0"/>
              <w:bottom w:val="single" w:color="auto" w:sz="4" w:space="0"/>
              <w:right w:val="single" w:color="auto" w:sz="6" w:space="0"/>
            </w:tcBorders>
            <w:vAlign w:val="center"/>
          </w:tcPr>
          <w:p w14:paraId="6059EB2D">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w:t>
            </w:r>
          </w:p>
        </w:tc>
        <w:tc>
          <w:tcPr>
            <w:tcW w:w="567" w:type="dxa"/>
            <w:tcBorders>
              <w:top w:val="single" w:color="auto" w:sz="4" w:space="0"/>
              <w:left w:val="single" w:color="auto" w:sz="6" w:space="0"/>
              <w:bottom w:val="single" w:color="auto" w:sz="4" w:space="0"/>
              <w:right w:val="single" w:color="auto" w:sz="6" w:space="0"/>
            </w:tcBorders>
            <w:vAlign w:val="center"/>
          </w:tcPr>
          <w:p w14:paraId="6E3612F1">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批</w:t>
            </w:r>
          </w:p>
        </w:tc>
      </w:tr>
      <w:tr w14:paraId="76E07A67">
        <w:tblPrEx>
          <w:tblCellMar>
            <w:top w:w="0" w:type="dxa"/>
            <w:left w:w="10" w:type="dxa"/>
            <w:bottom w:w="0" w:type="dxa"/>
            <w:right w:w="10" w:type="dxa"/>
          </w:tblCellMar>
        </w:tblPrEx>
        <w:trPr>
          <w:trHeight w:val="704" w:hRule="atLeast"/>
        </w:trPr>
        <w:tc>
          <w:tcPr>
            <w:tcW w:w="500" w:type="dxa"/>
            <w:tcBorders>
              <w:top w:val="single" w:color="auto" w:sz="4" w:space="0"/>
              <w:left w:val="single" w:color="auto" w:sz="6" w:space="0"/>
              <w:bottom w:val="single" w:color="auto" w:sz="4" w:space="0"/>
              <w:right w:val="single" w:color="auto" w:sz="6" w:space="0"/>
            </w:tcBorders>
            <w:vAlign w:val="center"/>
          </w:tcPr>
          <w:p w14:paraId="4E6F11BC">
            <w:pPr>
              <w:widowControl/>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55</w:t>
            </w:r>
          </w:p>
        </w:tc>
        <w:tc>
          <w:tcPr>
            <w:tcW w:w="945" w:type="dxa"/>
            <w:tcBorders>
              <w:top w:val="single" w:color="auto" w:sz="4" w:space="0"/>
              <w:left w:val="nil"/>
              <w:bottom w:val="single" w:color="auto" w:sz="4" w:space="0"/>
              <w:right w:val="single" w:color="auto" w:sz="6" w:space="0"/>
            </w:tcBorders>
            <w:vAlign w:val="center"/>
          </w:tcPr>
          <w:p w14:paraId="54F81584">
            <w:pPr>
              <w:widowControl/>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技术服务</w:t>
            </w:r>
          </w:p>
        </w:tc>
        <w:tc>
          <w:tcPr>
            <w:tcW w:w="6875" w:type="dxa"/>
            <w:tcBorders>
              <w:top w:val="single" w:color="auto" w:sz="4" w:space="0"/>
              <w:left w:val="nil"/>
              <w:bottom w:val="single" w:color="auto" w:sz="4" w:space="0"/>
              <w:right w:val="single" w:color="auto" w:sz="6" w:space="0"/>
            </w:tcBorders>
            <w:shd w:val="clear" w:color="auto" w:fill="auto"/>
            <w:vAlign w:val="center"/>
          </w:tcPr>
          <w:p w14:paraId="67EC6832">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L</w:t>
            </w:r>
            <w:r>
              <w:rPr>
                <w:rFonts w:hint="eastAsia" w:ascii="宋体" w:hAnsi="宋体" w:eastAsia="宋体" w:cs="宋体"/>
                <w:color w:val="auto"/>
                <w:kern w:val="0"/>
                <w:sz w:val="21"/>
                <w:szCs w:val="21"/>
                <w:lang w:bidi="ar"/>
              </w:rPr>
              <w:t>ED屏幕与显示终端等联调、与学校现有1间智慧教室系统联调、录播系统联调、电子班牌系统联调、考勤系统数据采集及联调、物联网系统联调、教学系统联调、督导系统联调、服务器端平台联调等相关技术服务。</w:t>
            </w:r>
          </w:p>
        </w:tc>
        <w:tc>
          <w:tcPr>
            <w:tcW w:w="567" w:type="dxa"/>
            <w:tcBorders>
              <w:top w:val="single" w:color="auto" w:sz="4" w:space="0"/>
              <w:left w:val="single" w:color="auto" w:sz="6" w:space="0"/>
              <w:bottom w:val="single" w:color="auto" w:sz="4" w:space="0"/>
              <w:right w:val="single" w:color="auto" w:sz="6" w:space="0"/>
            </w:tcBorders>
            <w:vAlign w:val="center"/>
          </w:tcPr>
          <w:p w14:paraId="35575D73">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w:t>
            </w:r>
          </w:p>
        </w:tc>
        <w:tc>
          <w:tcPr>
            <w:tcW w:w="567" w:type="dxa"/>
            <w:tcBorders>
              <w:top w:val="single" w:color="auto" w:sz="4" w:space="0"/>
              <w:left w:val="single" w:color="auto" w:sz="6" w:space="0"/>
              <w:bottom w:val="single" w:color="auto" w:sz="4" w:space="0"/>
              <w:right w:val="single" w:color="auto" w:sz="6" w:space="0"/>
            </w:tcBorders>
            <w:vAlign w:val="center"/>
          </w:tcPr>
          <w:p w14:paraId="4F5FDF4D">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项</w:t>
            </w:r>
          </w:p>
        </w:tc>
      </w:tr>
      <w:tr w14:paraId="74625433">
        <w:tblPrEx>
          <w:tblCellMar>
            <w:top w:w="0" w:type="dxa"/>
            <w:left w:w="10" w:type="dxa"/>
            <w:bottom w:w="0" w:type="dxa"/>
            <w:right w:w="10" w:type="dxa"/>
          </w:tblCellMar>
        </w:tblPrEx>
        <w:trPr>
          <w:trHeight w:val="704" w:hRule="atLeast"/>
        </w:trPr>
        <w:tc>
          <w:tcPr>
            <w:tcW w:w="500" w:type="dxa"/>
            <w:tcBorders>
              <w:top w:val="single" w:color="auto" w:sz="4" w:space="0"/>
              <w:left w:val="single" w:color="auto" w:sz="6" w:space="0"/>
              <w:bottom w:val="single" w:color="auto" w:sz="4" w:space="0"/>
              <w:right w:val="single" w:color="auto" w:sz="6" w:space="0"/>
            </w:tcBorders>
            <w:vAlign w:val="center"/>
          </w:tcPr>
          <w:p w14:paraId="5D259704">
            <w:pPr>
              <w:widowControl/>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56</w:t>
            </w:r>
          </w:p>
        </w:tc>
        <w:tc>
          <w:tcPr>
            <w:tcW w:w="945" w:type="dxa"/>
            <w:tcBorders>
              <w:top w:val="single" w:color="auto" w:sz="4" w:space="0"/>
              <w:left w:val="nil"/>
              <w:bottom w:val="single" w:color="auto" w:sz="4" w:space="0"/>
              <w:right w:val="single" w:color="auto" w:sz="6" w:space="0"/>
            </w:tcBorders>
            <w:vAlign w:val="center"/>
          </w:tcPr>
          <w:p w14:paraId="5659F173">
            <w:pPr>
              <w:widowControl/>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装修服务</w:t>
            </w:r>
          </w:p>
        </w:tc>
        <w:tc>
          <w:tcPr>
            <w:tcW w:w="6875" w:type="dxa"/>
            <w:tcBorders>
              <w:top w:val="single" w:color="auto" w:sz="4" w:space="0"/>
              <w:left w:val="nil"/>
              <w:bottom w:val="single" w:color="auto" w:sz="4" w:space="0"/>
              <w:right w:val="single" w:color="auto" w:sz="6" w:space="0"/>
            </w:tcBorders>
            <w:vAlign w:val="center"/>
          </w:tcPr>
          <w:p w14:paraId="482E597A">
            <w:pPr>
              <w:widowControl/>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提供满足教室的环境重构，包括：棚面、墙面、地面及门窗的内部环境改造服务，具体按照施工前采购方确定后的装修效果图提供服务。装修效果图不在此次招标范围内。</w:t>
            </w:r>
          </w:p>
        </w:tc>
        <w:tc>
          <w:tcPr>
            <w:tcW w:w="567" w:type="dxa"/>
            <w:tcBorders>
              <w:top w:val="single" w:color="auto" w:sz="4" w:space="0"/>
              <w:left w:val="single" w:color="auto" w:sz="6" w:space="0"/>
              <w:bottom w:val="single" w:color="auto" w:sz="4" w:space="0"/>
              <w:right w:val="single" w:color="auto" w:sz="6" w:space="0"/>
            </w:tcBorders>
            <w:vAlign w:val="center"/>
          </w:tcPr>
          <w:p w14:paraId="2C291CA6">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170</w:t>
            </w:r>
          </w:p>
        </w:tc>
        <w:tc>
          <w:tcPr>
            <w:tcW w:w="567" w:type="dxa"/>
            <w:tcBorders>
              <w:top w:val="single" w:color="auto" w:sz="4" w:space="0"/>
              <w:left w:val="single" w:color="auto" w:sz="6" w:space="0"/>
              <w:bottom w:val="single" w:color="auto" w:sz="4" w:space="0"/>
              <w:right w:val="single" w:color="auto" w:sz="6" w:space="0"/>
            </w:tcBorders>
            <w:vAlign w:val="center"/>
          </w:tcPr>
          <w:p w14:paraId="280E2CE1">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w:t>
            </w:r>
          </w:p>
        </w:tc>
      </w:tr>
      <w:tr w14:paraId="6D2057B4">
        <w:tblPrEx>
          <w:tblCellMar>
            <w:top w:w="0" w:type="dxa"/>
            <w:left w:w="10" w:type="dxa"/>
            <w:bottom w:w="0" w:type="dxa"/>
            <w:right w:w="10" w:type="dxa"/>
          </w:tblCellMar>
        </w:tblPrEx>
        <w:trPr>
          <w:trHeight w:val="704" w:hRule="atLeast"/>
        </w:trPr>
        <w:tc>
          <w:tcPr>
            <w:tcW w:w="500" w:type="dxa"/>
            <w:tcBorders>
              <w:top w:val="single" w:color="auto" w:sz="4" w:space="0"/>
              <w:left w:val="single" w:color="auto" w:sz="6" w:space="0"/>
              <w:bottom w:val="single" w:color="auto" w:sz="4" w:space="0"/>
              <w:right w:val="single" w:color="auto" w:sz="6" w:space="0"/>
            </w:tcBorders>
            <w:vAlign w:val="center"/>
          </w:tcPr>
          <w:p w14:paraId="48E1B0E8">
            <w:pPr>
              <w:widowControl/>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57</w:t>
            </w:r>
          </w:p>
        </w:tc>
        <w:tc>
          <w:tcPr>
            <w:tcW w:w="945" w:type="dxa"/>
            <w:tcBorders>
              <w:top w:val="single" w:color="auto" w:sz="4" w:space="0"/>
              <w:left w:val="nil"/>
              <w:bottom w:val="single" w:color="auto" w:sz="4" w:space="0"/>
              <w:right w:val="single" w:color="auto" w:sz="6" w:space="0"/>
            </w:tcBorders>
            <w:vAlign w:val="center"/>
          </w:tcPr>
          <w:p w14:paraId="28A9B472">
            <w:pPr>
              <w:widowControl/>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运维服务</w:t>
            </w:r>
          </w:p>
        </w:tc>
        <w:tc>
          <w:tcPr>
            <w:tcW w:w="6875" w:type="dxa"/>
            <w:tcBorders>
              <w:top w:val="single" w:color="auto" w:sz="4" w:space="0"/>
              <w:left w:val="nil"/>
              <w:bottom w:val="single" w:color="auto" w:sz="4" w:space="0"/>
              <w:right w:val="single" w:color="auto" w:sz="6" w:space="0"/>
            </w:tcBorders>
            <w:vAlign w:val="center"/>
          </w:tcPr>
          <w:p w14:paraId="3CB9D1A5">
            <w:pP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派驻一名中级及以上计算机相关专业的工程师，对全校2间智慧教室进行日常维护，驻场工程师能够根据学校老师上下班时间在校工作，培训教师使用系统和保障教学应用，驻场运维服务周期为壹年。</w:t>
            </w:r>
          </w:p>
        </w:tc>
        <w:tc>
          <w:tcPr>
            <w:tcW w:w="567" w:type="dxa"/>
            <w:tcBorders>
              <w:top w:val="single" w:color="auto" w:sz="4" w:space="0"/>
              <w:left w:val="single" w:color="auto" w:sz="6" w:space="0"/>
              <w:bottom w:val="single" w:color="auto" w:sz="4" w:space="0"/>
              <w:right w:val="single" w:color="auto" w:sz="6" w:space="0"/>
            </w:tcBorders>
            <w:vAlign w:val="center"/>
          </w:tcPr>
          <w:p w14:paraId="2FDAD566">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w:t>
            </w:r>
          </w:p>
        </w:tc>
        <w:tc>
          <w:tcPr>
            <w:tcW w:w="567" w:type="dxa"/>
            <w:tcBorders>
              <w:top w:val="single" w:color="auto" w:sz="4" w:space="0"/>
              <w:left w:val="single" w:color="auto" w:sz="6" w:space="0"/>
              <w:bottom w:val="single" w:color="auto" w:sz="4" w:space="0"/>
              <w:right w:val="single" w:color="auto" w:sz="6" w:space="0"/>
            </w:tcBorders>
            <w:vAlign w:val="center"/>
          </w:tcPr>
          <w:p w14:paraId="712A835A">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项</w:t>
            </w:r>
          </w:p>
        </w:tc>
      </w:tr>
      <w:tr w14:paraId="40E3E60A">
        <w:tblPrEx>
          <w:tblCellMar>
            <w:top w:w="0" w:type="dxa"/>
            <w:left w:w="10" w:type="dxa"/>
            <w:bottom w:w="0" w:type="dxa"/>
            <w:right w:w="10" w:type="dxa"/>
          </w:tblCellMar>
        </w:tblPrEx>
        <w:trPr>
          <w:trHeight w:val="704" w:hRule="atLeast"/>
        </w:trPr>
        <w:tc>
          <w:tcPr>
            <w:tcW w:w="500" w:type="dxa"/>
            <w:tcBorders>
              <w:top w:val="single" w:color="auto" w:sz="4" w:space="0"/>
              <w:left w:val="single" w:color="auto" w:sz="6" w:space="0"/>
              <w:bottom w:val="single" w:color="auto" w:sz="4" w:space="0"/>
              <w:right w:val="single" w:color="auto" w:sz="6" w:space="0"/>
            </w:tcBorders>
            <w:vAlign w:val="center"/>
          </w:tcPr>
          <w:p w14:paraId="6C0C33F6">
            <w:pPr>
              <w:widowControl/>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58</w:t>
            </w:r>
          </w:p>
        </w:tc>
        <w:tc>
          <w:tcPr>
            <w:tcW w:w="945" w:type="dxa"/>
            <w:tcBorders>
              <w:top w:val="single" w:color="auto" w:sz="4" w:space="0"/>
              <w:left w:val="nil"/>
              <w:bottom w:val="single" w:color="auto" w:sz="4" w:space="0"/>
              <w:right w:val="single" w:color="auto" w:sz="6" w:space="0"/>
            </w:tcBorders>
            <w:vAlign w:val="center"/>
          </w:tcPr>
          <w:p w14:paraId="506C327D">
            <w:pPr>
              <w:widowControl/>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教室主机管理软件</w:t>
            </w:r>
          </w:p>
        </w:tc>
        <w:tc>
          <w:tcPr>
            <w:tcW w:w="6875" w:type="dxa"/>
            <w:tcBorders>
              <w:top w:val="single" w:color="auto" w:sz="4" w:space="0"/>
              <w:left w:val="nil"/>
              <w:bottom w:val="single" w:color="auto" w:sz="4" w:space="0"/>
              <w:right w:val="single" w:color="auto" w:sz="6" w:space="0"/>
            </w:tcBorders>
            <w:shd w:val="clear" w:color="auto" w:fill="auto"/>
            <w:vAlign w:val="center"/>
          </w:tcPr>
          <w:p w14:paraId="4CA3A25B">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1.支持把指定的视频流和外设音源合并为带声音的视频流输出；</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2.支持用户选择是否启动录制回顾视频；</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3.支持设置本地存储空间剩余警戒值，超过时新文件自动覆盖旧文件；</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4.支持录制桌面画面、教师全景、教师特写、学生全景、学生特写；</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5.支持录制单路画面或多路拼合画面；</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6.支持手动开启、暂停、停止录制；</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7.支持预览录制内容；</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8.支持查看录制的视频文件；</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9.支持录播窗口最小化为工具条；</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10.支持导出录制的视频文件；</w:t>
            </w:r>
          </w:p>
        </w:tc>
        <w:tc>
          <w:tcPr>
            <w:tcW w:w="567" w:type="dxa"/>
            <w:tcBorders>
              <w:top w:val="single" w:color="auto" w:sz="4" w:space="0"/>
              <w:left w:val="single" w:color="auto" w:sz="6" w:space="0"/>
              <w:bottom w:val="single" w:color="auto" w:sz="4" w:space="0"/>
              <w:right w:val="single" w:color="auto" w:sz="6" w:space="0"/>
            </w:tcBorders>
            <w:vAlign w:val="center"/>
          </w:tcPr>
          <w:p w14:paraId="2A820876">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w:t>
            </w:r>
          </w:p>
        </w:tc>
        <w:tc>
          <w:tcPr>
            <w:tcW w:w="567" w:type="dxa"/>
            <w:tcBorders>
              <w:top w:val="single" w:color="auto" w:sz="4" w:space="0"/>
              <w:left w:val="single" w:color="auto" w:sz="6" w:space="0"/>
              <w:bottom w:val="single" w:color="auto" w:sz="4" w:space="0"/>
              <w:right w:val="single" w:color="auto" w:sz="6" w:space="0"/>
            </w:tcBorders>
            <w:vAlign w:val="center"/>
          </w:tcPr>
          <w:p w14:paraId="350A6539">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套</w:t>
            </w:r>
          </w:p>
        </w:tc>
      </w:tr>
      <w:tr w14:paraId="63B5BFB6">
        <w:tblPrEx>
          <w:tblCellMar>
            <w:top w:w="0" w:type="dxa"/>
            <w:left w:w="10" w:type="dxa"/>
            <w:bottom w:w="0" w:type="dxa"/>
            <w:right w:w="10" w:type="dxa"/>
          </w:tblCellMar>
        </w:tblPrEx>
        <w:trPr>
          <w:trHeight w:val="704" w:hRule="atLeast"/>
        </w:trPr>
        <w:tc>
          <w:tcPr>
            <w:tcW w:w="500" w:type="dxa"/>
            <w:tcBorders>
              <w:top w:val="single" w:color="auto" w:sz="4" w:space="0"/>
              <w:left w:val="single" w:color="auto" w:sz="6" w:space="0"/>
              <w:bottom w:val="single" w:color="auto" w:sz="4" w:space="0"/>
              <w:right w:val="single" w:color="auto" w:sz="6" w:space="0"/>
            </w:tcBorders>
            <w:vAlign w:val="center"/>
          </w:tcPr>
          <w:p w14:paraId="6C873842">
            <w:pPr>
              <w:widowControl/>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59</w:t>
            </w:r>
          </w:p>
        </w:tc>
        <w:tc>
          <w:tcPr>
            <w:tcW w:w="945" w:type="dxa"/>
            <w:tcBorders>
              <w:top w:val="single" w:color="auto" w:sz="4" w:space="0"/>
              <w:left w:val="nil"/>
              <w:bottom w:val="single" w:color="auto" w:sz="4" w:space="0"/>
              <w:right w:val="single" w:color="auto" w:sz="6" w:space="0"/>
            </w:tcBorders>
            <w:vAlign w:val="center"/>
          </w:tcPr>
          <w:p w14:paraId="6209DDC4">
            <w:pPr>
              <w:widowControl/>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互动系统软件</w:t>
            </w:r>
          </w:p>
        </w:tc>
        <w:tc>
          <w:tcPr>
            <w:tcW w:w="6875" w:type="dxa"/>
            <w:tcBorders>
              <w:top w:val="single" w:color="auto" w:sz="4" w:space="0"/>
              <w:left w:val="nil"/>
              <w:bottom w:val="single" w:color="auto" w:sz="4" w:space="0"/>
              <w:right w:val="single" w:color="auto" w:sz="6" w:space="0"/>
            </w:tcBorders>
            <w:shd w:val="clear" w:color="auto" w:fill="auto"/>
            <w:vAlign w:val="center"/>
          </w:tcPr>
          <w:p w14:paraId="2EFDC516">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1.至少支持密码、短信验证码、微信扫码三种登录方式；</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2.开始课堂后，用户无需选择课堂，系统可自动调用默认课堂，所有的课堂内容将会保存在默认课堂中；</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3.支持在课堂过程中快速切换项目和课堂，调用不同课堂的多媒体资源；</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4.登录用户账号后自动开始课堂并可记录课堂时长；</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5.支持快速添加本地资源至课堂中，文件将同时上传至用户的云盘内；</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6.支持资源按照名称、大小、上传时间进行正/逆序排列；</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9.支持发起抽答互动，被抽中的用户信息将显示在画布中，信息包含头像、姓名；</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10.支持发起抢答互动，抢到名额的用户信息将显示在画布中；</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11.支持人员扫码签到，教师可实时查看已签到和未签到人员名单，支持引用网络空间预置的班级；</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12.支持实时展示学生发送的弹幕，字数不限制，多种颜色可选，匿名展示；</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13.支持在课堂中和课堂外通过扫描二维码方式反馈软件问题，支持文字录入和添加多张图片；</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14.支持移动端浏览当前资源窗口，资源类型至少包含：PPT、Word、PDF、图片等；</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15.支持发起无题干投票，支持设置投票选项个数；</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16.支持在课上使用之前设置好的固定分组，支持临时调整固定分组成员；</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17.支持设置随机分组，根据设定的组数将已签到的学生随机分组；</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18.支持手动分组，支持自由设置每个小组的成员；</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19.支持屏幕任意位置截图并作为题干推送给学生或指定小组；</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20.截图推题题型至少支持单选、多选、判断和简答题；</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21.截图推题支持在结束答题后设置客观题正确答案；</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22.支持推送题库内的题目给学生或指定小组；</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23.支持给每个小组设置组长，组长可代表小组提交答案；</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24.支持移动端一键最小化和还原大屏所有资源窗口，支持开始、暂停音视频，并可调节音视频音量；</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25.支持教师移动端查看本次课堂班级出勤情况，有开启人脸识别的教室支持查看人脸识别情况；</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26.学生端快速查看当前展示的所有资源窗口，窗口内容能随着主讲人的操作自动切换，可放大缩小查看窗口内容；</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27.支持学生课堂中向主讲人提问、发送弹幕操作，并查看提问记录，提问记录支持修改和撤回；</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28.支持移动端选择在线题库推送给学生并显示正确答案，统计答题情况，查看学生提交的问题，查看弹幕历史及开关弹幕；</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29.教师移动端支持专注模式。专注模式开启时，学生仅可通过个人移动端同步观看大屏当前窗口内容。专注模式关闭后，学生可通过个人移动端自由查看大屏上打开的所有窗口内容；</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30.教师向指定小组推送题目时，该小组成员移动端可同步收到题目，组长可代表小组回答，小组成员可实时查看作答情况；</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31.结束讲演后听众可对主讲人匿名评分并填写评语；</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32.支持多种设备投屏，包括苹果手机、安卓手机、windows设备、mac设备；</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33.支持多种方式投屏，包括自动/手动搜索、输入投屏码、输入设备IP、扫描投屏二维码、苹果设备AirPlay协议投屏；</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34.支持在投屏时选择投屏画面质量，最高支持4K分辨率；；</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35.支持多路投屏，可支持≥4台移动设备同时投屏；多路投屏时，支持单独设置每路投屏画面的全屏/正常显示效果；支持单独设置每路投屏声音的播放/静音效果；</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36.支持显示和修改接收端设备名称；</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37.支持查看即将开始的课程信息；</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38.支持查看课表信息，支持通过日历查询其他日期的排课信息；</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39.支持在课表查看对应课程的开课记录；</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40.支持画布打开其他应用程序：浏览器、系统计算器；</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41.支持将画布内打开的本地文件自动上传至用户个人云盘并关联课程；</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42.支持课堂签到码动态更新，防止学生签到作弊；</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43.主观题答题结束后支持自动生成答案关键词词云，可点击关键词查看关联的答案和答题的学生；</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44.支持开启智能识别图形模式，开启后可将手绘的方形、圆形、三角形和直线转换为标准图形；</w:t>
            </w:r>
          </w:p>
        </w:tc>
        <w:tc>
          <w:tcPr>
            <w:tcW w:w="567" w:type="dxa"/>
            <w:tcBorders>
              <w:top w:val="single" w:color="auto" w:sz="4" w:space="0"/>
              <w:left w:val="single" w:color="auto" w:sz="6" w:space="0"/>
              <w:bottom w:val="single" w:color="auto" w:sz="4" w:space="0"/>
              <w:right w:val="single" w:color="auto" w:sz="6" w:space="0"/>
            </w:tcBorders>
            <w:vAlign w:val="center"/>
          </w:tcPr>
          <w:p w14:paraId="2418298F">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w:t>
            </w:r>
          </w:p>
        </w:tc>
        <w:tc>
          <w:tcPr>
            <w:tcW w:w="567" w:type="dxa"/>
            <w:tcBorders>
              <w:top w:val="single" w:color="auto" w:sz="4" w:space="0"/>
              <w:left w:val="single" w:color="auto" w:sz="6" w:space="0"/>
              <w:bottom w:val="single" w:color="auto" w:sz="4" w:space="0"/>
              <w:right w:val="single" w:color="auto" w:sz="6" w:space="0"/>
            </w:tcBorders>
            <w:vAlign w:val="center"/>
          </w:tcPr>
          <w:p w14:paraId="6DA1A2D9">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套</w:t>
            </w:r>
          </w:p>
        </w:tc>
      </w:tr>
      <w:tr w14:paraId="7553E841">
        <w:tblPrEx>
          <w:tblCellMar>
            <w:top w:w="0" w:type="dxa"/>
            <w:left w:w="10" w:type="dxa"/>
            <w:bottom w:w="0" w:type="dxa"/>
            <w:right w:w="10" w:type="dxa"/>
          </w:tblCellMar>
        </w:tblPrEx>
        <w:trPr>
          <w:trHeight w:val="704" w:hRule="atLeast"/>
        </w:trPr>
        <w:tc>
          <w:tcPr>
            <w:tcW w:w="500" w:type="dxa"/>
            <w:tcBorders>
              <w:top w:val="single" w:color="auto" w:sz="4" w:space="0"/>
              <w:left w:val="single" w:color="auto" w:sz="6" w:space="0"/>
              <w:bottom w:val="single" w:color="auto" w:sz="4" w:space="0"/>
              <w:right w:val="single" w:color="auto" w:sz="6" w:space="0"/>
            </w:tcBorders>
            <w:vAlign w:val="center"/>
          </w:tcPr>
          <w:p w14:paraId="789563B3">
            <w:pPr>
              <w:widowControl/>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60</w:t>
            </w:r>
          </w:p>
        </w:tc>
        <w:tc>
          <w:tcPr>
            <w:tcW w:w="945" w:type="dxa"/>
            <w:tcBorders>
              <w:top w:val="single" w:color="auto" w:sz="4" w:space="0"/>
              <w:left w:val="nil"/>
              <w:bottom w:val="single" w:color="auto" w:sz="4" w:space="0"/>
              <w:right w:val="single" w:color="auto" w:sz="6" w:space="0"/>
            </w:tcBorders>
            <w:vAlign w:val="center"/>
          </w:tcPr>
          <w:p w14:paraId="49D3D300">
            <w:pPr>
              <w:widowControl/>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教室应用管理软件</w:t>
            </w:r>
          </w:p>
        </w:tc>
        <w:tc>
          <w:tcPr>
            <w:tcW w:w="6875" w:type="dxa"/>
            <w:tcBorders>
              <w:top w:val="single" w:color="auto" w:sz="4" w:space="0"/>
              <w:left w:val="nil"/>
              <w:bottom w:val="single" w:color="auto" w:sz="4" w:space="0"/>
              <w:right w:val="single" w:color="auto" w:sz="6" w:space="0"/>
            </w:tcBorders>
            <w:shd w:val="clear" w:color="auto" w:fill="auto"/>
            <w:vAlign w:val="center"/>
          </w:tcPr>
          <w:p w14:paraId="7D54D7D6">
            <w:pPr>
              <w:widowControl/>
              <w:jc w:val="left"/>
              <w:textAlignment w:val="center"/>
              <w:rPr>
                <w:rFonts w:hint="eastAsia" w:ascii="宋体" w:hAnsi="宋体" w:eastAsia="宋体" w:cs="宋体"/>
                <w:color w:val="auto"/>
                <w:sz w:val="21"/>
                <w:szCs w:val="21"/>
              </w:rPr>
            </w:pPr>
            <w:r>
              <w:rPr>
                <w:rStyle w:val="23"/>
                <w:rFonts w:hint="eastAsia" w:ascii="宋体" w:hAnsi="宋体" w:eastAsia="宋体" w:cs="宋体"/>
                <w:color w:val="auto"/>
                <w:sz w:val="21"/>
                <w:szCs w:val="21"/>
                <w:lang w:bidi="ar"/>
              </w:rPr>
              <w:t>1.</w:t>
            </w:r>
            <w:r>
              <w:rPr>
                <w:rStyle w:val="24"/>
                <w:rFonts w:hint="eastAsia" w:ascii="宋体" w:hAnsi="宋体" w:eastAsia="宋体" w:cs="宋体"/>
                <w:color w:val="auto"/>
                <w:sz w:val="21"/>
                <w:szCs w:val="21"/>
                <w:lang w:bidi="ar"/>
              </w:rPr>
              <w:t>与教学平台配套</w:t>
            </w:r>
            <w:r>
              <w:rPr>
                <w:rStyle w:val="23"/>
                <w:rFonts w:hint="eastAsia" w:ascii="宋体" w:hAnsi="宋体" w:eastAsia="宋体" w:cs="宋体"/>
                <w:color w:val="auto"/>
                <w:sz w:val="21"/>
                <w:szCs w:val="21"/>
                <w:lang w:bidi="ar"/>
              </w:rPr>
              <w:t>提供教学、管理相关业务。</w:t>
            </w:r>
            <w:r>
              <w:rPr>
                <w:rStyle w:val="23"/>
                <w:rFonts w:hint="eastAsia" w:ascii="宋体" w:hAnsi="宋体" w:eastAsia="宋体" w:cs="宋体"/>
                <w:color w:val="auto"/>
                <w:sz w:val="21"/>
                <w:szCs w:val="21"/>
                <w:lang w:bidi="ar"/>
              </w:rPr>
              <w:br w:type="textWrapping"/>
            </w:r>
            <w:r>
              <w:rPr>
                <w:rStyle w:val="23"/>
                <w:rFonts w:hint="eastAsia" w:ascii="宋体" w:hAnsi="宋体" w:eastAsia="宋体" w:cs="宋体"/>
                <w:color w:val="auto"/>
                <w:sz w:val="21"/>
                <w:szCs w:val="21"/>
                <w:lang w:bidi="ar"/>
              </w:rPr>
              <w:t>2.支持课堂教学与网络学习的联动，实现课堂教学过程的数字化，便于记录和回顾；</w:t>
            </w:r>
            <w:r>
              <w:rPr>
                <w:rStyle w:val="23"/>
                <w:rFonts w:hint="eastAsia" w:ascii="宋体" w:hAnsi="宋体" w:eastAsia="宋体" w:cs="宋体"/>
                <w:color w:val="auto"/>
                <w:sz w:val="21"/>
                <w:szCs w:val="21"/>
                <w:lang w:bidi="ar"/>
              </w:rPr>
              <w:br w:type="textWrapping"/>
            </w:r>
            <w:r>
              <w:rPr>
                <w:rStyle w:val="23"/>
                <w:rFonts w:hint="eastAsia" w:ascii="宋体" w:hAnsi="宋体" w:eastAsia="宋体" w:cs="宋体"/>
                <w:color w:val="auto"/>
                <w:sz w:val="21"/>
                <w:szCs w:val="21"/>
                <w:lang w:bidi="ar"/>
              </w:rPr>
              <w:t>3.支撑教室智能管控与维护，反馈教室设备状态及使用情况；</w:t>
            </w:r>
            <w:r>
              <w:rPr>
                <w:rStyle w:val="23"/>
                <w:rFonts w:hint="eastAsia" w:ascii="宋体" w:hAnsi="宋体" w:eastAsia="宋体" w:cs="宋体"/>
                <w:color w:val="auto"/>
                <w:sz w:val="21"/>
                <w:szCs w:val="21"/>
                <w:lang w:bidi="ar"/>
              </w:rPr>
              <w:br w:type="textWrapping"/>
            </w:r>
            <w:r>
              <w:rPr>
                <w:rStyle w:val="23"/>
                <w:rFonts w:hint="eastAsia" w:ascii="宋体" w:hAnsi="宋体" w:eastAsia="宋体" w:cs="宋体"/>
                <w:color w:val="auto"/>
                <w:sz w:val="21"/>
                <w:szCs w:val="21"/>
                <w:lang w:bidi="ar"/>
              </w:rPr>
              <w:t>4.实时推送教室授课动态，展示课堂整体情况，便于远程督导评价；</w:t>
            </w:r>
          </w:p>
        </w:tc>
        <w:tc>
          <w:tcPr>
            <w:tcW w:w="567" w:type="dxa"/>
            <w:tcBorders>
              <w:top w:val="single" w:color="auto" w:sz="4" w:space="0"/>
              <w:left w:val="single" w:color="auto" w:sz="6" w:space="0"/>
              <w:bottom w:val="single" w:color="auto" w:sz="4" w:space="0"/>
              <w:right w:val="single" w:color="auto" w:sz="6" w:space="0"/>
            </w:tcBorders>
            <w:vAlign w:val="center"/>
          </w:tcPr>
          <w:p w14:paraId="761E3137">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w:t>
            </w:r>
          </w:p>
        </w:tc>
        <w:tc>
          <w:tcPr>
            <w:tcW w:w="567" w:type="dxa"/>
            <w:tcBorders>
              <w:top w:val="single" w:color="auto" w:sz="4" w:space="0"/>
              <w:left w:val="single" w:color="auto" w:sz="6" w:space="0"/>
              <w:bottom w:val="single" w:color="auto" w:sz="4" w:space="0"/>
              <w:right w:val="single" w:color="auto" w:sz="6" w:space="0"/>
            </w:tcBorders>
            <w:vAlign w:val="center"/>
          </w:tcPr>
          <w:p w14:paraId="00AA9510">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套</w:t>
            </w:r>
          </w:p>
        </w:tc>
      </w:tr>
      <w:tr w14:paraId="690FA47E">
        <w:tblPrEx>
          <w:tblCellMar>
            <w:top w:w="0" w:type="dxa"/>
            <w:left w:w="10" w:type="dxa"/>
            <w:bottom w:w="0" w:type="dxa"/>
            <w:right w:w="10" w:type="dxa"/>
          </w:tblCellMar>
        </w:tblPrEx>
        <w:trPr>
          <w:trHeight w:val="704" w:hRule="atLeast"/>
        </w:trPr>
        <w:tc>
          <w:tcPr>
            <w:tcW w:w="500" w:type="dxa"/>
            <w:tcBorders>
              <w:top w:val="single" w:color="auto" w:sz="4" w:space="0"/>
              <w:left w:val="single" w:color="auto" w:sz="6" w:space="0"/>
              <w:bottom w:val="single" w:color="auto" w:sz="4" w:space="0"/>
              <w:right w:val="single" w:color="auto" w:sz="6" w:space="0"/>
            </w:tcBorders>
            <w:vAlign w:val="center"/>
          </w:tcPr>
          <w:p w14:paraId="58B66272">
            <w:pPr>
              <w:widowControl/>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61</w:t>
            </w:r>
          </w:p>
        </w:tc>
        <w:tc>
          <w:tcPr>
            <w:tcW w:w="945" w:type="dxa"/>
            <w:tcBorders>
              <w:top w:val="single" w:color="auto" w:sz="4" w:space="0"/>
              <w:left w:val="nil"/>
              <w:bottom w:val="single" w:color="auto" w:sz="4" w:space="0"/>
              <w:right w:val="single" w:color="auto" w:sz="6" w:space="0"/>
            </w:tcBorders>
            <w:vAlign w:val="center"/>
          </w:tcPr>
          <w:p w14:paraId="4E3F2F23">
            <w:pPr>
              <w:widowControl/>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小组互动软件</w:t>
            </w:r>
          </w:p>
        </w:tc>
        <w:tc>
          <w:tcPr>
            <w:tcW w:w="6875" w:type="dxa"/>
            <w:tcBorders>
              <w:top w:val="single" w:color="auto" w:sz="4" w:space="0"/>
              <w:left w:val="nil"/>
              <w:bottom w:val="single" w:color="auto" w:sz="4" w:space="0"/>
              <w:right w:val="single" w:color="auto" w:sz="6" w:space="0"/>
            </w:tcBorders>
            <w:shd w:val="clear" w:color="auto" w:fill="auto"/>
            <w:vAlign w:val="center"/>
          </w:tcPr>
          <w:p w14:paraId="2D559A6D">
            <w:pPr>
              <w:widowControl/>
              <w:jc w:val="left"/>
              <w:textAlignment w:val="center"/>
              <w:rPr>
                <w:rFonts w:hint="eastAsia" w:ascii="宋体" w:hAnsi="宋体" w:eastAsia="宋体" w:cs="宋体"/>
                <w:color w:val="auto"/>
                <w:sz w:val="21"/>
                <w:szCs w:val="21"/>
              </w:rPr>
            </w:pPr>
            <w:r>
              <w:rPr>
                <w:rStyle w:val="25"/>
                <w:rFonts w:hint="eastAsia" w:ascii="宋体" w:hAnsi="宋体" w:eastAsia="宋体" w:cs="宋体"/>
                <w:color w:val="auto"/>
                <w:sz w:val="21"/>
                <w:szCs w:val="21"/>
                <w:lang w:bidi="ar"/>
              </w:rPr>
              <w:t>1.支持密码、短信验证码、微信扫码等多种方式登录；</w:t>
            </w:r>
            <w:r>
              <w:rPr>
                <w:rStyle w:val="25"/>
                <w:rFonts w:hint="eastAsia" w:ascii="宋体" w:hAnsi="宋体" w:eastAsia="宋体" w:cs="宋体"/>
                <w:color w:val="auto"/>
                <w:sz w:val="21"/>
                <w:szCs w:val="21"/>
                <w:lang w:bidi="ar"/>
              </w:rPr>
              <w:br w:type="textWrapping"/>
            </w:r>
            <w:r>
              <w:rPr>
                <w:rStyle w:val="25"/>
                <w:rFonts w:hint="eastAsia" w:ascii="宋体" w:hAnsi="宋体" w:eastAsia="宋体" w:cs="宋体"/>
                <w:color w:val="auto"/>
                <w:sz w:val="21"/>
                <w:szCs w:val="21"/>
                <w:lang w:bidi="ar"/>
              </w:rPr>
              <w:t>2.课堂展示区域支持延展，可通过手势自由拖动、缩放，支持撤销和重做、一键清屏等操作；</w:t>
            </w:r>
            <w:r>
              <w:rPr>
                <w:rStyle w:val="25"/>
                <w:rFonts w:hint="eastAsia" w:ascii="宋体" w:hAnsi="宋体" w:eastAsia="宋体" w:cs="宋体"/>
                <w:color w:val="auto"/>
                <w:sz w:val="21"/>
                <w:szCs w:val="21"/>
                <w:lang w:bidi="ar"/>
              </w:rPr>
              <w:br w:type="textWrapping"/>
            </w:r>
            <w:r>
              <w:rPr>
                <w:rStyle w:val="25"/>
                <w:rFonts w:hint="eastAsia" w:ascii="宋体" w:hAnsi="宋体" w:eastAsia="宋体" w:cs="宋体"/>
                <w:color w:val="auto"/>
                <w:sz w:val="21"/>
                <w:szCs w:val="21"/>
                <w:lang w:bidi="ar"/>
              </w:rPr>
              <w:t>3.支持多用户切换快捷调用资源，资源以窗口形式呈现，可随意拖动、缩放、叠放；</w:t>
            </w:r>
            <w:r>
              <w:rPr>
                <w:rStyle w:val="25"/>
                <w:rFonts w:hint="eastAsia" w:ascii="宋体" w:hAnsi="宋体" w:eastAsia="宋体" w:cs="宋体"/>
                <w:color w:val="auto"/>
                <w:sz w:val="21"/>
                <w:szCs w:val="21"/>
                <w:lang w:bidi="ar"/>
              </w:rPr>
              <w:br w:type="textWrapping"/>
            </w:r>
            <w:r>
              <w:rPr>
                <w:rStyle w:val="25"/>
                <w:rFonts w:hint="eastAsia" w:ascii="宋体" w:hAnsi="宋体" w:eastAsia="宋体" w:cs="宋体"/>
                <w:color w:val="auto"/>
                <w:sz w:val="21"/>
                <w:szCs w:val="21"/>
                <w:lang w:bidi="ar"/>
              </w:rPr>
              <w:t>4.图片资源支持内容的缩放和拖动，批注、向左/向右旋转90度等操作；</w:t>
            </w:r>
            <w:r>
              <w:rPr>
                <w:rStyle w:val="25"/>
                <w:rFonts w:hint="eastAsia" w:ascii="宋体" w:hAnsi="宋体" w:eastAsia="宋体" w:cs="宋体"/>
                <w:color w:val="auto"/>
                <w:sz w:val="21"/>
                <w:szCs w:val="21"/>
                <w:lang w:bidi="ar"/>
              </w:rPr>
              <w:br w:type="textWrapping"/>
            </w:r>
            <w:r>
              <w:rPr>
                <w:rStyle w:val="25"/>
                <w:rFonts w:hint="eastAsia" w:ascii="宋体" w:hAnsi="宋体" w:eastAsia="宋体" w:cs="宋体"/>
                <w:color w:val="auto"/>
                <w:sz w:val="21"/>
                <w:szCs w:val="21"/>
                <w:lang w:bidi="ar"/>
              </w:rPr>
              <w:t>5.文档资源支持纵向拖动、翻页、缩放、批注等操作，支持根据文档的高度/宽度切换查看模式；</w:t>
            </w:r>
            <w:r>
              <w:rPr>
                <w:rStyle w:val="25"/>
                <w:rFonts w:hint="eastAsia" w:ascii="宋体" w:hAnsi="宋体" w:eastAsia="宋体" w:cs="宋体"/>
                <w:color w:val="auto"/>
                <w:sz w:val="21"/>
                <w:szCs w:val="21"/>
                <w:lang w:bidi="ar"/>
              </w:rPr>
              <w:br w:type="textWrapping"/>
            </w:r>
            <w:r>
              <w:rPr>
                <w:rStyle w:val="25"/>
                <w:rFonts w:hint="eastAsia" w:ascii="宋体" w:hAnsi="宋体" w:eastAsia="宋体" w:cs="宋体"/>
                <w:color w:val="auto"/>
                <w:sz w:val="21"/>
                <w:szCs w:val="21"/>
                <w:lang w:bidi="ar"/>
              </w:rPr>
              <w:t>6.PPT资源支持原生动画效果、支持大纲预览、批注、翻页等操作；</w:t>
            </w:r>
            <w:r>
              <w:rPr>
                <w:rStyle w:val="25"/>
                <w:rFonts w:hint="eastAsia" w:ascii="宋体" w:hAnsi="宋体" w:eastAsia="宋体" w:cs="宋体"/>
                <w:color w:val="auto"/>
                <w:sz w:val="21"/>
                <w:szCs w:val="21"/>
                <w:lang w:bidi="ar"/>
              </w:rPr>
              <w:br w:type="textWrapping"/>
            </w:r>
            <w:r>
              <w:rPr>
                <w:rStyle w:val="25"/>
                <w:rFonts w:hint="eastAsia" w:ascii="宋体" w:hAnsi="宋体" w:eastAsia="宋体" w:cs="宋体"/>
                <w:color w:val="auto"/>
                <w:sz w:val="21"/>
                <w:szCs w:val="21"/>
                <w:lang w:bidi="ar"/>
              </w:rPr>
              <w:t>7.音视频资源支持播放、暂停、音量调节、静音、快速定位进度等操作；</w:t>
            </w:r>
            <w:r>
              <w:rPr>
                <w:rStyle w:val="25"/>
                <w:rFonts w:hint="eastAsia" w:ascii="宋体" w:hAnsi="宋体" w:eastAsia="宋体" w:cs="宋体"/>
                <w:color w:val="auto"/>
                <w:sz w:val="21"/>
                <w:szCs w:val="21"/>
                <w:lang w:bidi="ar"/>
              </w:rPr>
              <w:br w:type="textWrapping"/>
            </w:r>
            <w:r>
              <w:rPr>
                <w:rStyle w:val="25"/>
                <w:rFonts w:hint="eastAsia" w:ascii="宋体" w:hAnsi="宋体" w:eastAsia="宋体" w:cs="宋体"/>
                <w:color w:val="auto"/>
                <w:sz w:val="21"/>
                <w:szCs w:val="21"/>
                <w:lang w:bidi="ar"/>
              </w:rPr>
              <w:t>8.支持一键快速和展开所有窗口，支持快速打开某个最小化窗口；</w:t>
            </w:r>
            <w:r>
              <w:rPr>
                <w:rStyle w:val="25"/>
                <w:rFonts w:hint="eastAsia" w:ascii="宋体" w:hAnsi="宋体" w:eastAsia="宋体" w:cs="宋体"/>
                <w:color w:val="auto"/>
                <w:sz w:val="21"/>
                <w:szCs w:val="21"/>
                <w:lang w:bidi="ar"/>
              </w:rPr>
              <w:br w:type="textWrapping"/>
            </w:r>
            <w:r>
              <w:rPr>
                <w:rStyle w:val="25"/>
                <w:rFonts w:hint="eastAsia" w:ascii="宋体" w:hAnsi="宋体" w:eastAsia="宋体" w:cs="宋体"/>
                <w:color w:val="auto"/>
                <w:sz w:val="21"/>
                <w:szCs w:val="21"/>
                <w:lang w:bidi="ar"/>
              </w:rPr>
              <w:t>9.支持通过窗口导航快速找到屏幕范围以外的窗口；</w:t>
            </w:r>
            <w:r>
              <w:rPr>
                <w:rStyle w:val="25"/>
                <w:rFonts w:hint="eastAsia" w:ascii="宋体" w:hAnsi="宋体" w:eastAsia="宋体" w:cs="宋体"/>
                <w:color w:val="auto"/>
                <w:sz w:val="21"/>
                <w:szCs w:val="21"/>
                <w:lang w:bidi="ar"/>
              </w:rPr>
              <w:br w:type="textWrapping"/>
            </w:r>
            <w:r>
              <w:rPr>
                <w:rStyle w:val="25"/>
                <w:rFonts w:hint="eastAsia" w:ascii="宋体" w:hAnsi="宋体" w:eastAsia="宋体" w:cs="宋体"/>
                <w:color w:val="auto"/>
                <w:sz w:val="21"/>
                <w:szCs w:val="21"/>
                <w:lang w:bidi="ar"/>
              </w:rPr>
              <w:t>11.支持主屏任意屏幕内容广播至小组屏；</w:t>
            </w:r>
            <w:r>
              <w:rPr>
                <w:rStyle w:val="25"/>
                <w:rFonts w:hint="eastAsia" w:ascii="宋体" w:hAnsi="宋体" w:eastAsia="宋体" w:cs="宋体"/>
                <w:color w:val="auto"/>
                <w:sz w:val="21"/>
                <w:szCs w:val="21"/>
                <w:lang w:bidi="ar"/>
              </w:rPr>
              <w:br w:type="textWrapping"/>
            </w:r>
            <w:r>
              <w:rPr>
                <w:rStyle w:val="25"/>
                <w:rFonts w:hint="eastAsia" w:ascii="宋体" w:hAnsi="宋体" w:eastAsia="宋体" w:cs="宋体"/>
                <w:color w:val="auto"/>
                <w:sz w:val="21"/>
                <w:szCs w:val="21"/>
                <w:lang w:bidi="ar"/>
              </w:rPr>
              <w:t>12.支</w:t>
            </w:r>
            <w:r>
              <w:rPr>
                <w:rFonts w:hint="eastAsia" w:ascii="宋体" w:hAnsi="宋体" w:eastAsia="宋体" w:cs="宋体"/>
                <w:color w:val="auto"/>
                <w:kern w:val="0"/>
                <w:sz w:val="21"/>
                <w:szCs w:val="21"/>
                <w:lang w:bidi="ar"/>
              </w:rPr>
              <w:t>持将小组屏的屏幕内容镜像汇聚至主屏；</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13.支持将小组屏的屏幕内容镜像至其他任意小组屏；</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14.支持学生按分组进行登录不同小组协作研讨，小组间可以实现资源共享投屏，每个小组的研讨过程可以录制下来，自动上传到每个小组成员的个人云盘空间；</w:t>
            </w:r>
            <w:r>
              <w:rPr>
                <w:rFonts w:hint="eastAsia" w:ascii="宋体" w:hAnsi="宋体" w:eastAsia="宋体" w:cs="宋体"/>
                <w:color w:val="auto"/>
                <w:kern w:val="0"/>
                <w:sz w:val="21"/>
                <w:szCs w:val="21"/>
                <w:lang w:bidi="ar"/>
              </w:rPr>
              <w:br w:type="textWrapping"/>
            </w:r>
            <w:r>
              <w:rPr>
                <w:rStyle w:val="25"/>
                <w:rFonts w:hint="eastAsia" w:ascii="宋体" w:hAnsi="宋体" w:eastAsia="宋体" w:cs="宋体"/>
                <w:color w:val="auto"/>
                <w:sz w:val="21"/>
                <w:szCs w:val="21"/>
                <w:lang w:bidi="ar"/>
              </w:rPr>
              <w:t>15.支持接受老师推送的题目，支持在小组画布中直接作答；</w:t>
            </w:r>
            <w:r>
              <w:rPr>
                <w:rStyle w:val="25"/>
                <w:rFonts w:hint="eastAsia" w:ascii="宋体" w:hAnsi="宋体" w:eastAsia="宋体" w:cs="宋体"/>
                <w:color w:val="auto"/>
                <w:sz w:val="21"/>
                <w:szCs w:val="21"/>
                <w:lang w:bidi="ar"/>
              </w:rPr>
              <w:br w:type="textWrapping"/>
            </w:r>
            <w:r>
              <w:rPr>
                <w:rStyle w:val="25"/>
                <w:rFonts w:hint="eastAsia" w:ascii="宋体" w:hAnsi="宋体" w:eastAsia="宋体" w:cs="宋体"/>
                <w:color w:val="auto"/>
                <w:sz w:val="21"/>
                <w:szCs w:val="21"/>
                <w:lang w:bidi="ar"/>
              </w:rPr>
              <w:t>16.支持简答题在小组画布上作答后截图作为答案提交；</w:t>
            </w:r>
          </w:p>
        </w:tc>
        <w:tc>
          <w:tcPr>
            <w:tcW w:w="567" w:type="dxa"/>
            <w:tcBorders>
              <w:top w:val="single" w:color="auto" w:sz="4" w:space="0"/>
              <w:left w:val="single" w:color="auto" w:sz="6" w:space="0"/>
              <w:bottom w:val="single" w:color="auto" w:sz="4" w:space="0"/>
              <w:right w:val="single" w:color="auto" w:sz="6" w:space="0"/>
            </w:tcBorders>
            <w:vAlign w:val="center"/>
          </w:tcPr>
          <w:p w14:paraId="06D7C746">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w:t>
            </w:r>
          </w:p>
        </w:tc>
        <w:tc>
          <w:tcPr>
            <w:tcW w:w="567" w:type="dxa"/>
            <w:tcBorders>
              <w:top w:val="single" w:color="auto" w:sz="4" w:space="0"/>
              <w:left w:val="single" w:color="auto" w:sz="6" w:space="0"/>
              <w:bottom w:val="single" w:color="auto" w:sz="4" w:space="0"/>
              <w:right w:val="single" w:color="auto" w:sz="6" w:space="0"/>
            </w:tcBorders>
            <w:vAlign w:val="center"/>
          </w:tcPr>
          <w:p w14:paraId="0224C7FA">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套</w:t>
            </w:r>
          </w:p>
        </w:tc>
      </w:tr>
      <w:tr w14:paraId="227C7C2C">
        <w:tblPrEx>
          <w:tblCellMar>
            <w:top w:w="0" w:type="dxa"/>
            <w:left w:w="10" w:type="dxa"/>
            <w:bottom w:w="0" w:type="dxa"/>
            <w:right w:w="10" w:type="dxa"/>
          </w:tblCellMar>
        </w:tblPrEx>
        <w:trPr>
          <w:trHeight w:val="704" w:hRule="atLeast"/>
        </w:trPr>
        <w:tc>
          <w:tcPr>
            <w:tcW w:w="500" w:type="dxa"/>
            <w:tcBorders>
              <w:top w:val="single" w:color="auto" w:sz="4" w:space="0"/>
              <w:left w:val="single" w:color="auto" w:sz="6" w:space="0"/>
              <w:bottom w:val="single" w:color="auto" w:sz="4" w:space="0"/>
              <w:right w:val="single" w:color="auto" w:sz="6" w:space="0"/>
            </w:tcBorders>
            <w:vAlign w:val="center"/>
          </w:tcPr>
          <w:p w14:paraId="45E86164">
            <w:pPr>
              <w:widowControl/>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62</w:t>
            </w:r>
          </w:p>
        </w:tc>
        <w:tc>
          <w:tcPr>
            <w:tcW w:w="945" w:type="dxa"/>
            <w:tcBorders>
              <w:top w:val="single" w:color="auto" w:sz="4" w:space="0"/>
              <w:left w:val="nil"/>
              <w:bottom w:val="single" w:color="auto" w:sz="4" w:space="0"/>
              <w:right w:val="single" w:color="auto" w:sz="6" w:space="0"/>
            </w:tcBorders>
            <w:vAlign w:val="center"/>
          </w:tcPr>
          <w:p w14:paraId="61BC4F85">
            <w:pPr>
              <w:widowControl/>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智能摄录与流媒体处理软件</w:t>
            </w:r>
          </w:p>
        </w:tc>
        <w:tc>
          <w:tcPr>
            <w:tcW w:w="6875" w:type="dxa"/>
            <w:tcBorders>
              <w:top w:val="single" w:color="auto" w:sz="4" w:space="0"/>
              <w:left w:val="nil"/>
              <w:bottom w:val="single" w:color="auto" w:sz="4" w:space="0"/>
              <w:right w:val="single" w:color="auto" w:sz="6" w:space="0"/>
            </w:tcBorders>
          </w:tcPr>
          <w:p w14:paraId="08B39B51">
            <w:pPr>
              <w:widowControl/>
              <w:jc w:val="left"/>
              <w:textAlignment w:val="center"/>
              <w:rPr>
                <w:rStyle w:val="25"/>
                <w:rFonts w:hint="eastAsia" w:ascii="宋体" w:hAnsi="宋体" w:eastAsia="宋体" w:cs="宋体"/>
                <w:color w:val="auto"/>
                <w:sz w:val="21"/>
                <w:szCs w:val="21"/>
                <w:lang w:bidi="ar"/>
              </w:rPr>
            </w:pPr>
            <w:r>
              <w:rPr>
                <w:rStyle w:val="25"/>
                <w:rFonts w:hint="eastAsia" w:ascii="宋体" w:hAnsi="宋体" w:eastAsia="宋体" w:cs="宋体"/>
                <w:color w:val="auto"/>
                <w:sz w:val="21"/>
                <w:szCs w:val="21"/>
                <w:lang w:bidi="ar"/>
              </w:rPr>
              <w:t>1.录制存储：采用H.264/H.265的视频编码格式和MP4的视频封装格式，支持在断网情况下也可以进行视频录制并存储于录播主机中，也支持在联网情况下通过FTP自动上传视频文件；</w:t>
            </w:r>
            <w:r>
              <w:rPr>
                <w:rStyle w:val="25"/>
                <w:rFonts w:hint="eastAsia" w:ascii="宋体" w:hAnsi="宋体" w:eastAsia="宋体" w:cs="宋体"/>
                <w:color w:val="auto"/>
                <w:sz w:val="21"/>
                <w:szCs w:val="21"/>
                <w:lang w:bidi="ar"/>
              </w:rPr>
              <w:br w:type="textWrapping"/>
            </w:r>
            <w:r>
              <w:rPr>
                <w:rStyle w:val="25"/>
                <w:rFonts w:hint="eastAsia" w:ascii="宋体" w:hAnsi="宋体" w:eastAsia="宋体" w:cs="宋体"/>
                <w:color w:val="auto"/>
                <w:sz w:val="21"/>
                <w:szCs w:val="21"/>
                <w:lang w:bidi="ar"/>
              </w:rPr>
              <w:t>2.同步录制：支持外接存储设备（如U盘），实现在视频录制的过程中，自动同步录制多一份并存储至U盘中；</w:t>
            </w:r>
            <w:r>
              <w:rPr>
                <w:rStyle w:val="25"/>
                <w:rFonts w:hint="eastAsia" w:ascii="宋体" w:hAnsi="宋体" w:eastAsia="宋体" w:cs="宋体"/>
                <w:color w:val="auto"/>
                <w:sz w:val="21"/>
                <w:szCs w:val="21"/>
                <w:lang w:bidi="ar"/>
              </w:rPr>
              <w:br w:type="textWrapping"/>
            </w:r>
            <w:r>
              <w:rPr>
                <w:rStyle w:val="25"/>
                <w:rFonts w:hint="eastAsia" w:ascii="宋体" w:hAnsi="宋体" w:eastAsia="宋体" w:cs="宋体"/>
                <w:color w:val="auto"/>
                <w:sz w:val="21"/>
                <w:szCs w:val="21"/>
                <w:lang w:bidi="ar"/>
              </w:rPr>
              <w:t>3.录制关联：支持在录制启动时自动关联开启直播和全自动跟踪模式；</w:t>
            </w:r>
            <w:r>
              <w:rPr>
                <w:rStyle w:val="25"/>
                <w:rFonts w:hint="eastAsia" w:ascii="宋体" w:hAnsi="宋体" w:eastAsia="宋体" w:cs="宋体"/>
                <w:color w:val="auto"/>
                <w:sz w:val="21"/>
                <w:szCs w:val="21"/>
                <w:lang w:bidi="ar"/>
              </w:rPr>
              <w:br w:type="textWrapping"/>
            </w:r>
            <w:r>
              <w:rPr>
                <w:rStyle w:val="25"/>
                <w:rFonts w:hint="eastAsia" w:ascii="宋体" w:hAnsi="宋体" w:eastAsia="宋体" w:cs="宋体"/>
                <w:color w:val="auto"/>
                <w:sz w:val="21"/>
                <w:szCs w:val="21"/>
                <w:lang w:bidi="ar"/>
              </w:rPr>
              <w:t>4.视频管理：支持查看已录制的视频文件，并可按录制时间进行排序和按关键字检索查看，也支持对视频文件进行在线播放、下载、删除和FTP上传；</w:t>
            </w:r>
            <w:r>
              <w:rPr>
                <w:rStyle w:val="25"/>
                <w:rFonts w:hint="eastAsia" w:ascii="宋体" w:hAnsi="宋体" w:eastAsia="宋体" w:cs="宋体"/>
                <w:color w:val="auto"/>
                <w:sz w:val="21"/>
                <w:szCs w:val="21"/>
                <w:lang w:bidi="ar"/>
              </w:rPr>
              <w:br w:type="textWrapping"/>
            </w:r>
            <w:r>
              <w:rPr>
                <w:rStyle w:val="25"/>
                <w:rFonts w:hint="eastAsia" w:ascii="宋体" w:hAnsi="宋体" w:eastAsia="宋体" w:cs="宋体"/>
                <w:color w:val="auto"/>
                <w:sz w:val="21"/>
                <w:szCs w:val="21"/>
                <w:lang w:bidi="ar"/>
              </w:rPr>
              <w:t>5.网络导播：支持通过浏览器即可访问并使用导播功能，而无需额外安装客户端或APP；</w:t>
            </w:r>
            <w:r>
              <w:rPr>
                <w:rStyle w:val="25"/>
                <w:rFonts w:hint="eastAsia" w:ascii="宋体" w:hAnsi="宋体" w:eastAsia="宋体" w:cs="宋体"/>
                <w:color w:val="auto"/>
                <w:sz w:val="21"/>
                <w:szCs w:val="21"/>
                <w:lang w:bidi="ar"/>
              </w:rPr>
              <w:br w:type="textWrapping"/>
            </w:r>
            <w:r>
              <w:rPr>
                <w:rStyle w:val="25"/>
                <w:rFonts w:hint="eastAsia" w:ascii="宋体" w:hAnsi="宋体" w:eastAsia="宋体" w:cs="宋体"/>
                <w:color w:val="auto"/>
                <w:sz w:val="21"/>
                <w:szCs w:val="21"/>
                <w:lang w:bidi="ar"/>
              </w:rPr>
              <w:t>6.导播模式：支持全自动、半自动、手动三种导播模式，且支持在录制、直播和互动过程中任意切换导播模式；</w:t>
            </w:r>
            <w:r>
              <w:rPr>
                <w:rStyle w:val="25"/>
                <w:rFonts w:hint="eastAsia" w:ascii="宋体" w:hAnsi="宋体" w:eastAsia="宋体" w:cs="宋体"/>
                <w:color w:val="auto"/>
                <w:sz w:val="21"/>
                <w:szCs w:val="21"/>
                <w:lang w:bidi="ar"/>
              </w:rPr>
              <w:br w:type="textWrapping"/>
            </w:r>
            <w:r>
              <w:rPr>
                <w:rStyle w:val="25"/>
                <w:rFonts w:hint="eastAsia" w:ascii="宋体" w:hAnsi="宋体" w:eastAsia="宋体" w:cs="宋体"/>
                <w:color w:val="auto"/>
                <w:sz w:val="21"/>
                <w:szCs w:val="21"/>
                <w:lang w:bidi="ar"/>
              </w:rPr>
              <w:t>7.导播预览：支持对接入的所有画面进行导播预览，包括教师特写、教师全景、学生全景、学生特写、电脑画面等，电脑画面包括两路HDMI画面可切换，并支持点击预览画面即可切换为导播输出画面；</w:t>
            </w:r>
            <w:r>
              <w:rPr>
                <w:rStyle w:val="25"/>
                <w:rFonts w:hint="eastAsia" w:ascii="宋体" w:hAnsi="宋体" w:eastAsia="宋体" w:cs="宋体"/>
                <w:color w:val="auto"/>
                <w:sz w:val="21"/>
                <w:szCs w:val="21"/>
                <w:lang w:bidi="ar"/>
              </w:rPr>
              <w:br w:type="textWrapping"/>
            </w:r>
            <w:r>
              <w:rPr>
                <w:rStyle w:val="25"/>
                <w:rFonts w:hint="eastAsia" w:ascii="宋体" w:hAnsi="宋体" w:eastAsia="宋体" w:cs="宋体"/>
                <w:color w:val="auto"/>
                <w:sz w:val="21"/>
                <w:szCs w:val="21"/>
                <w:lang w:bidi="ar"/>
              </w:rPr>
              <w:t>8.视频布局：支持二分屏、三分屏、画中画等布局，也支持自定义布局方式，且支持对布局内的每个画面窗口进行拖动、叠加、缩放和指定视频源的操作，实现灵活调整；</w:t>
            </w:r>
            <w:r>
              <w:rPr>
                <w:rStyle w:val="25"/>
                <w:rFonts w:hint="eastAsia" w:ascii="宋体" w:hAnsi="宋体" w:eastAsia="宋体" w:cs="宋体"/>
                <w:color w:val="auto"/>
                <w:sz w:val="21"/>
                <w:szCs w:val="21"/>
                <w:lang w:bidi="ar"/>
              </w:rPr>
              <w:br w:type="textWrapping"/>
            </w:r>
            <w:r>
              <w:rPr>
                <w:rStyle w:val="25"/>
                <w:rFonts w:hint="eastAsia" w:ascii="宋体" w:hAnsi="宋体" w:eastAsia="宋体" w:cs="宋体"/>
                <w:color w:val="auto"/>
                <w:sz w:val="21"/>
                <w:szCs w:val="21"/>
                <w:lang w:bidi="ar"/>
              </w:rPr>
              <w:t>9.台标字幕：需支持在导播预览界面添加Logo台标与字幕，可自主上传Logo图标、设置logo位置、编辑字幕内容、选择字幕字体颜色与是否滚动显示，且后台管理设置可预设字幕作为备选，方便灵活调整与切换；</w:t>
            </w:r>
            <w:r>
              <w:rPr>
                <w:rStyle w:val="25"/>
                <w:rFonts w:hint="eastAsia" w:ascii="宋体" w:hAnsi="宋体" w:eastAsia="宋体" w:cs="宋体"/>
                <w:color w:val="auto"/>
                <w:sz w:val="21"/>
                <w:szCs w:val="21"/>
                <w:lang w:bidi="ar"/>
              </w:rPr>
              <w:br w:type="textWrapping"/>
            </w:r>
            <w:r>
              <w:rPr>
                <w:rStyle w:val="25"/>
                <w:rFonts w:hint="eastAsia" w:ascii="宋体" w:hAnsi="宋体" w:eastAsia="宋体" w:cs="宋体"/>
                <w:color w:val="auto"/>
                <w:sz w:val="21"/>
                <w:szCs w:val="21"/>
                <w:lang w:bidi="ar"/>
              </w:rPr>
              <w:t>10.片头片尾：需支持片头片尾设置，可上传JPG格式图片作为录制默认的片头片尾画面，并可自定义片头片尾显示时长，支持片头片尾显示视频信息；</w:t>
            </w:r>
          </w:p>
        </w:tc>
        <w:tc>
          <w:tcPr>
            <w:tcW w:w="567" w:type="dxa"/>
            <w:tcBorders>
              <w:top w:val="single" w:color="auto" w:sz="4" w:space="0"/>
              <w:left w:val="single" w:color="auto" w:sz="6" w:space="0"/>
              <w:bottom w:val="single" w:color="auto" w:sz="4" w:space="0"/>
              <w:right w:val="single" w:color="auto" w:sz="6" w:space="0"/>
            </w:tcBorders>
            <w:vAlign w:val="center"/>
          </w:tcPr>
          <w:p w14:paraId="4B476E32">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w:t>
            </w:r>
          </w:p>
        </w:tc>
        <w:tc>
          <w:tcPr>
            <w:tcW w:w="567" w:type="dxa"/>
            <w:tcBorders>
              <w:top w:val="single" w:color="auto" w:sz="4" w:space="0"/>
              <w:left w:val="single" w:color="auto" w:sz="6" w:space="0"/>
              <w:bottom w:val="single" w:color="auto" w:sz="4" w:space="0"/>
              <w:right w:val="single" w:color="auto" w:sz="6" w:space="0"/>
            </w:tcBorders>
            <w:vAlign w:val="center"/>
          </w:tcPr>
          <w:p w14:paraId="75C177BF">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套</w:t>
            </w:r>
          </w:p>
        </w:tc>
      </w:tr>
      <w:tr w14:paraId="59F92E87">
        <w:tblPrEx>
          <w:tblCellMar>
            <w:top w:w="0" w:type="dxa"/>
            <w:left w:w="10" w:type="dxa"/>
            <w:bottom w:w="0" w:type="dxa"/>
            <w:right w:w="10" w:type="dxa"/>
          </w:tblCellMar>
        </w:tblPrEx>
        <w:trPr>
          <w:trHeight w:val="704" w:hRule="atLeast"/>
        </w:trPr>
        <w:tc>
          <w:tcPr>
            <w:tcW w:w="500" w:type="dxa"/>
            <w:tcBorders>
              <w:top w:val="single" w:color="auto" w:sz="4" w:space="0"/>
              <w:left w:val="single" w:color="auto" w:sz="6" w:space="0"/>
              <w:bottom w:val="single" w:color="auto" w:sz="4" w:space="0"/>
              <w:right w:val="single" w:color="auto" w:sz="6" w:space="0"/>
            </w:tcBorders>
            <w:vAlign w:val="center"/>
          </w:tcPr>
          <w:p w14:paraId="5995B6C0">
            <w:pPr>
              <w:widowControl/>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63</w:t>
            </w:r>
          </w:p>
        </w:tc>
        <w:tc>
          <w:tcPr>
            <w:tcW w:w="945" w:type="dxa"/>
            <w:tcBorders>
              <w:top w:val="single" w:color="auto" w:sz="4" w:space="0"/>
              <w:left w:val="nil"/>
              <w:bottom w:val="single" w:color="auto" w:sz="4" w:space="0"/>
              <w:right w:val="single" w:color="auto" w:sz="6" w:space="0"/>
            </w:tcBorders>
            <w:vAlign w:val="center"/>
          </w:tcPr>
          <w:p w14:paraId="3436F477">
            <w:pPr>
              <w:widowControl/>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智能板书识别提取与笔迹增强软件</w:t>
            </w:r>
          </w:p>
        </w:tc>
        <w:tc>
          <w:tcPr>
            <w:tcW w:w="6875" w:type="dxa"/>
            <w:tcBorders>
              <w:top w:val="single" w:color="auto" w:sz="4" w:space="0"/>
              <w:left w:val="nil"/>
              <w:bottom w:val="single" w:color="auto" w:sz="4" w:space="0"/>
              <w:right w:val="single" w:color="auto" w:sz="6" w:space="0"/>
            </w:tcBorders>
            <w:vAlign w:val="center"/>
          </w:tcPr>
          <w:p w14:paraId="50B9B661">
            <w:pPr>
              <w:widowControl/>
              <w:jc w:val="left"/>
              <w:textAlignment w:val="center"/>
              <w:rPr>
                <w:rStyle w:val="25"/>
                <w:rFonts w:hint="eastAsia" w:ascii="宋体" w:hAnsi="宋体" w:eastAsia="宋体" w:cs="宋体"/>
                <w:color w:val="auto"/>
                <w:sz w:val="21"/>
                <w:szCs w:val="21"/>
                <w:lang w:bidi="ar"/>
              </w:rPr>
            </w:pPr>
            <w:r>
              <w:rPr>
                <w:rStyle w:val="25"/>
                <w:rFonts w:hint="eastAsia" w:ascii="宋体" w:hAnsi="宋体" w:eastAsia="宋体" w:cs="宋体"/>
                <w:color w:val="auto"/>
                <w:sz w:val="21"/>
                <w:szCs w:val="21"/>
                <w:lang w:bidi="ar"/>
              </w:rPr>
              <w:t>1.人体识别：支持AI智能识别板书人物，锁定拍摄对象后，对该拍摄对象的板书内容进行智能识别与笔迹增强；</w:t>
            </w:r>
            <w:r>
              <w:rPr>
                <w:rStyle w:val="25"/>
                <w:rFonts w:hint="eastAsia" w:ascii="宋体" w:hAnsi="宋体" w:eastAsia="宋体" w:cs="宋体"/>
                <w:color w:val="auto"/>
                <w:sz w:val="21"/>
                <w:szCs w:val="21"/>
                <w:lang w:bidi="ar"/>
              </w:rPr>
              <w:br w:type="textWrapping"/>
            </w:r>
            <w:r>
              <w:rPr>
                <w:rStyle w:val="25"/>
                <w:rFonts w:hint="eastAsia" w:ascii="宋体" w:hAnsi="宋体" w:eastAsia="宋体" w:cs="宋体"/>
                <w:color w:val="auto"/>
                <w:sz w:val="21"/>
                <w:szCs w:val="21"/>
                <w:lang w:bidi="ar"/>
              </w:rPr>
              <w:t>2.笔迹电子化：基于AI技术，深度学习算法与图像处理能力，支持对教师在黑板上的板书内容实时识别进行电子化处理，并对书写笔迹实时增粗、增强。高精度数据采集能力，对于笔迹潦草与理工科公式画图均可以实现板书内容超清完整浮现；</w:t>
            </w:r>
            <w:r>
              <w:rPr>
                <w:rStyle w:val="25"/>
                <w:rFonts w:hint="eastAsia" w:ascii="宋体" w:hAnsi="宋体" w:eastAsia="宋体" w:cs="宋体"/>
                <w:color w:val="auto"/>
                <w:sz w:val="21"/>
                <w:szCs w:val="21"/>
                <w:lang w:bidi="ar"/>
              </w:rPr>
              <w:br w:type="textWrapping"/>
            </w:r>
            <w:r>
              <w:rPr>
                <w:rStyle w:val="25"/>
                <w:rFonts w:hint="eastAsia" w:ascii="宋体" w:hAnsi="宋体" w:eastAsia="宋体" w:cs="宋体"/>
                <w:color w:val="auto"/>
                <w:sz w:val="21"/>
                <w:szCs w:val="21"/>
                <w:lang w:bidi="ar"/>
              </w:rPr>
              <w:t>3.智能色彩增强：实现板书笔迹智能色彩增强处理，支持黄色、蓝色、红色、绿色等彩色笔迹色彩还原与笔迹增强。</w:t>
            </w:r>
            <w:r>
              <w:rPr>
                <w:rStyle w:val="25"/>
                <w:rFonts w:hint="eastAsia" w:ascii="宋体" w:hAnsi="宋体" w:eastAsia="宋体" w:cs="宋体"/>
                <w:color w:val="auto"/>
                <w:sz w:val="21"/>
                <w:szCs w:val="21"/>
                <w:lang w:bidi="ar"/>
              </w:rPr>
              <w:br w:type="textWrapping"/>
            </w:r>
            <w:r>
              <w:rPr>
                <w:rStyle w:val="25"/>
                <w:rFonts w:hint="eastAsia" w:ascii="宋体" w:hAnsi="宋体" w:eastAsia="宋体" w:cs="宋体"/>
                <w:color w:val="auto"/>
                <w:sz w:val="21"/>
                <w:szCs w:val="21"/>
                <w:lang w:bidi="ar"/>
              </w:rPr>
              <w:t>4.人物虚化:为保障板书笔迹增强后的观感，支持智能分析拍摄画面以及对黑板前人物书写完板书后的半透明化处理，使黑板前有人体遮挡也能复现完整的板书笔迹，不影响教师授课习惯。同时使书写笔迹浮现在实景画面上方，完整还原板书真实性、提升视频画面笔迹清晰度。</w:t>
            </w:r>
            <w:r>
              <w:rPr>
                <w:rStyle w:val="25"/>
                <w:rFonts w:hint="eastAsia" w:ascii="宋体" w:hAnsi="宋体" w:eastAsia="宋体" w:cs="宋体"/>
                <w:color w:val="auto"/>
                <w:sz w:val="21"/>
                <w:szCs w:val="21"/>
                <w:lang w:bidi="ar"/>
              </w:rPr>
              <w:br w:type="textWrapping"/>
            </w:r>
            <w:r>
              <w:rPr>
                <w:rStyle w:val="25"/>
                <w:rFonts w:hint="eastAsia" w:ascii="宋体" w:hAnsi="宋体" w:eastAsia="宋体" w:cs="宋体"/>
                <w:color w:val="auto"/>
                <w:sz w:val="21"/>
                <w:szCs w:val="21"/>
                <w:lang w:bidi="ar"/>
              </w:rPr>
              <w:t>5.智能消除：支持对教师的书写错误、或书写内容变化进行智能实时分析处理，对于教师在黑板上擦除的书写内容，原有的电子化笔迹增强将智能消除，如有新的板书内容，笔迹将会自动完成消除与新内容的电子化替换，保障多次书写笔迹不重合，播放画面干净规整；</w:t>
            </w:r>
            <w:r>
              <w:rPr>
                <w:rStyle w:val="25"/>
                <w:rFonts w:hint="eastAsia" w:ascii="宋体" w:hAnsi="宋体" w:eastAsia="宋体" w:cs="宋体"/>
                <w:color w:val="auto"/>
                <w:sz w:val="21"/>
                <w:szCs w:val="21"/>
                <w:lang w:bidi="ar"/>
              </w:rPr>
              <w:br w:type="textWrapping"/>
            </w:r>
            <w:r>
              <w:rPr>
                <w:rStyle w:val="25"/>
                <w:rFonts w:hint="eastAsia" w:ascii="宋体" w:hAnsi="宋体" w:eastAsia="宋体" w:cs="宋体"/>
                <w:color w:val="auto"/>
                <w:sz w:val="21"/>
                <w:szCs w:val="21"/>
                <w:lang w:bidi="ar"/>
              </w:rPr>
              <w:t>6.超清显示：支持处理并输出分辨率不低于3840*2160的板书增强画面，超清还原老师真实板书笔迹画面；</w:t>
            </w:r>
            <w:r>
              <w:rPr>
                <w:rStyle w:val="25"/>
                <w:rFonts w:hint="eastAsia" w:ascii="宋体" w:hAnsi="宋体" w:eastAsia="宋体" w:cs="宋体"/>
                <w:color w:val="auto"/>
                <w:sz w:val="21"/>
                <w:szCs w:val="21"/>
                <w:lang w:bidi="ar"/>
              </w:rPr>
              <w:br w:type="textWrapping"/>
            </w:r>
            <w:r>
              <w:rPr>
                <w:rStyle w:val="25"/>
                <w:rFonts w:hint="eastAsia" w:ascii="宋体" w:hAnsi="宋体" w:eastAsia="宋体" w:cs="宋体"/>
                <w:color w:val="auto"/>
                <w:sz w:val="21"/>
                <w:szCs w:val="21"/>
                <w:lang w:bidi="ar"/>
              </w:rPr>
              <w:t>7.正拍方式：摄像机采用教室后方正拍黑板安装方式，能够最大范围拍摄黑板全貌，无感采集书写笔迹，板书增强后字迹无变形扭曲。不支持摄像机在黑板上方吊装斜拍。</w:t>
            </w:r>
            <w:r>
              <w:rPr>
                <w:rStyle w:val="25"/>
                <w:rFonts w:hint="eastAsia" w:ascii="宋体" w:hAnsi="宋体" w:eastAsia="宋体" w:cs="宋体"/>
                <w:color w:val="auto"/>
                <w:sz w:val="21"/>
                <w:szCs w:val="21"/>
                <w:lang w:bidi="ar"/>
              </w:rPr>
              <w:br w:type="textWrapping"/>
            </w:r>
            <w:r>
              <w:rPr>
                <w:rStyle w:val="25"/>
                <w:rFonts w:hint="eastAsia" w:ascii="宋体" w:hAnsi="宋体" w:eastAsia="宋体" w:cs="宋体"/>
                <w:color w:val="auto"/>
                <w:sz w:val="21"/>
                <w:szCs w:val="21"/>
                <w:lang w:bidi="ar"/>
              </w:rPr>
              <w:t>8.兼容各类黑板：包括传统黑板/绿板、左右两侧分体式黑板、左右推拉式黑板、左右上下四面式推拉黑板等。板书增强功能适用于传统木质板面、木板或磨砂玻璃、新型材料复合板、磁性黑板、交互大屏电子黑板、智慧纳米黑板等各种类型黑板。</w:t>
            </w:r>
            <w:r>
              <w:rPr>
                <w:rStyle w:val="25"/>
                <w:rFonts w:hint="eastAsia" w:ascii="宋体" w:hAnsi="宋体" w:eastAsia="宋体" w:cs="宋体"/>
                <w:color w:val="auto"/>
                <w:sz w:val="21"/>
                <w:szCs w:val="21"/>
                <w:lang w:bidi="ar"/>
              </w:rPr>
              <w:br w:type="textWrapping"/>
            </w:r>
            <w:r>
              <w:rPr>
                <w:rStyle w:val="25"/>
                <w:rFonts w:hint="eastAsia" w:ascii="宋体" w:hAnsi="宋体" w:eastAsia="宋体" w:cs="宋体"/>
                <w:color w:val="auto"/>
                <w:sz w:val="21"/>
                <w:szCs w:val="21"/>
                <w:lang w:bidi="ar"/>
              </w:rPr>
              <w:t>9.屏蔽设置：支持通过自主配置调节识别区域大小与屏蔽区域大小，实现用户自定义需要实现AI板书笔迹增强的拍摄区域。</w:t>
            </w:r>
          </w:p>
        </w:tc>
        <w:tc>
          <w:tcPr>
            <w:tcW w:w="567" w:type="dxa"/>
            <w:tcBorders>
              <w:top w:val="single" w:color="auto" w:sz="4" w:space="0"/>
              <w:left w:val="single" w:color="auto" w:sz="6" w:space="0"/>
              <w:bottom w:val="single" w:color="auto" w:sz="4" w:space="0"/>
              <w:right w:val="single" w:color="auto" w:sz="6" w:space="0"/>
            </w:tcBorders>
            <w:vAlign w:val="center"/>
          </w:tcPr>
          <w:p w14:paraId="31629B67">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w:t>
            </w:r>
          </w:p>
        </w:tc>
        <w:tc>
          <w:tcPr>
            <w:tcW w:w="567" w:type="dxa"/>
            <w:tcBorders>
              <w:top w:val="single" w:color="auto" w:sz="4" w:space="0"/>
              <w:left w:val="single" w:color="auto" w:sz="6" w:space="0"/>
              <w:bottom w:val="single" w:color="auto" w:sz="4" w:space="0"/>
              <w:right w:val="single" w:color="auto" w:sz="6" w:space="0"/>
            </w:tcBorders>
            <w:vAlign w:val="center"/>
          </w:tcPr>
          <w:p w14:paraId="5A9773E8">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套</w:t>
            </w:r>
          </w:p>
        </w:tc>
      </w:tr>
      <w:tr w14:paraId="081287A2">
        <w:tblPrEx>
          <w:tblCellMar>
            <w:top w:w="0" w:type="dxa"/>
            <w:left w:w="10" w:type="dxa"/>
            <w:bottom w:w="0" w:type="dxa"/>
            <w:right w:w="10" w:type="dxa"/>
          </w:tblCellMar>
        </w:tblPrEx>
        <w:trPr>
          <w:trHeight w:val="704" w:hRule="atLeast"/>
        </w:trPr>
        <w:tc>
          <w:tcPr>
            <w:tcW w:w="500" w:type="dxa"/>
            <w:tcBorders>
              <w:top w:val="single" w:color="auto" w:sz="4" w:space="0"/>
              <w:left w:val="single" w:color="auto" w:sz="6" w:space="0"/>
              <w:bottom w:val="single" w:color="auto" w:sz="4" w:space="0"/>
              <w:right w:val="single" w:color="auto" w:sz="6" w:space="0"/>
            </w:tcBorders>
            <w:vAlign w:val="center"/>
          </w:tcPr>
          <w:p w14:paraId="5F6BF9B0">
            <w:pPr>
              <w:widowControl/>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64</w:t>
            </w:r>
          </w:p>
        </w:tc>
        <w:tc>
          <w:tcPr>
            <w:tcW w:w="945" w:type="dxa"/>
            <w:tcBorders>
              <w:top w:val="single" w:color="auto" w:sz="4" w:space="0"/>
              <w:left w:val="nil"/>
              <w:bottom w:val="single" w:color="auto" w:sz="4" w:space="0"/>
              <w:right w:val="single" w:color="auto" w:sz="6" w:space="0"/>
            </w:tcBorders>
            <w:vAlign w:val="center"/>
          </w:tcPr>
          <w:p w14:paraId="5DB79A4B">
            <w:pPr>
              <w:widowControl/>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智能跟踪数据分析处理软件</w:t>
            </w:r>
          </w:p>
        </w:tc>
        <w:tc>
          <w:tcPr>
            <w:tcW w:w="6875" w:type="dxa"/>
            <w:tcBorders>
              <w:top w:val="single" w:color="auto" w:sz="4" w:space="0"/>
              <w:left w:val="nil"/>
              <w:bottom w:val="single" w:color="auto" w:sz="4" w:space="0"/>
              <w:right w:val="single" w:color="auto" w:sz="6" w:space="0"/>
            </w:tcBorders>
            <w:vAlign w:val="center"/>
          </w:tcPr>
          <w:p w14:paraId="6958EF61">
            <w:pPr>
              <w:widowControl/>
              <w:jc w:val="left"/>
              <w:textAlignment w:val="center"/>
              <w:rPr>
                <w:rStyle w:val="25"/>
                <w:rFonts w:hint="eastAsia" w:ascii="宋体" w:hAnsi="宋体" w:eastAsia="宋体" w:cs="宋体"/>
                <w:color w:val="auto"/>
                <w:sz w:val="21"/>
                <w:szCs w:val="21"/>
                <w:lang w:bidi="ar"/>
              </w:rPr>
            </w:pPr>
            <w:r>
              <w:rPr>
                <w:rStyle w:val="25"/>
                <w:rFonts w:hint="eastAsia" w:ascii="宋体" w:hAnsi="宋体" w:eastAsia="宋体" w:cs="宋体"/>
                <w:color w:val="auto"/>
                <w:sz w:val="21"/>
                <w:szCs w:val="21"/>
                <w:lang w:bidi="ar"/>
              </w:rPr>
              <w:t>1.跟踪逻辑：支持智能识别接入摄像机的使用定位，并联动摄像机选用对应的跟踪逻辑，如教师跟踪、学生跟踪等；</w:t>
            </w:r>
            <w:r>
              <w:rPr>
                <w:rStyle w:val="25"/>
                <w:rFonts w:hint="eastAsia" w:ascii="宋体" w:hAnsi="宋体" w:eastAsia="宋体" w:cs="宋体"/>
                <w:color w:val="auto"/>
                <w:sz w:val="21"/>
                <w:szCs w:val="21"/>
                <w:lang w:bidi="ar"/>
              </w:rPr>
              <w:br w:type="textWrapping"/>
            </w:r>
            <w:r>
              <w:rPr>
                <w:rStyle w:val="25"/>
                <w:rFonts w:hint="eastAsia" w:ascii="宋体" w:hAnsi="宋体" w:eastAsia="宋体" w:cs="宋体"/>
                <w:color w:val="auto"/>
                <w:sz w:val="21"/>
                <w:szCs w:val="21"/>
                <w:lang w:bidi="ar"/>
              </w:rPr>
              <w:t>2.检测区域：支持对接入摄像机的AI跟踪检测区域设置，可基于实景拍摄画面框选跟踪区域，框选后只在区域中方能触发跟踪，所见所得方便操作；</w:t>
            </w:r>
            <w:r>
              <w:rPr>
                <w:rStyle w:val="25"/>
                <w:rFonts w:hint="eastAsia" w:ascii="宋体" w:hAnsi="宋体" w:eastAsia="宋体" w:cs="宋体"/>
                <w:color w:val="auto"/>
                <w:sz w:val="21"/>
                <w:szCs w:val="21"/>
                <w:lang w:bidi="ar"/>
              </w:rPr>
              <w:br w:type="textWrapping"/>
            </w:r>
            <w:r>
              <w:rPr>
                <w:rStyle w:val="25"/>
                <w:rFonts w:hint="eastAsia" w:ascii="宋体" w:hAnsi="宋体" w:eastAsia="宋体" w:cs="宋体"/>
                <w:color w:val="auto"/>
                <w:sz w:val="21"/>
                <w:szCs w:val="21"/>
                <w:lang w:bidi="ar"/>
              </w:rPr>
              <w:t>3.跟踪切换：支持根据设定的跟踪策略形成跟踪指令，实现多路接入摄像机的全自动AI跟踪画面切换；且支持自定义跟踪切换逻辑的画面布局，包含但不限于双分屏、画中画与自定义布局等；</w:t>
            </w:r>
            <w:r>
              <w:rPr>
                <w:rStyle w:val="25"/>
                <w:rFonts w:hint="eastAsia" w:ascii="宋体" w:hAnsi="宋体" w:eastAsia="宋体" w:cs="宋体"/>
                <w:color w:val="auto"/>
                <w:sz w:val="21"/>
                <w:szCs w:val="21"/>
                <w:lang w:bidi="ar"/>
              </w:rPr>
              <w:br w:type="textWrapping"/>
            </w:r>
            <w:r>
              <w:rPr>
                <w:rStyle w:val="25"/>
                <w:rFonts w:hint="eastAsia" w:ascii="宋体" w:hAnsi="宋体" w:eastAsia="宋体" w:cs="宋体"/>
                <w:color w:val="auto"/>
                <w:sz w:val="21"/>
                <w:szCs w:val="21"/>
                <w:lang w:bidi="ar"/>
              </w:rPr>
              <w:t>4.跟踪策略：支持对接入摄像机自定义设置AI跟踪目标更新周期时间，摄像机依据配置实现相应跟踪策略；</w:t>
            </w:r>
            <w:r>
              <w:rPr>
                <w:rStyle w:val="25"/>
                <w:rFonts w:hint="eastAsia" w:ascii="宋体" w:hAnsi="宋体" w:eastAsia="宋体" w:cs="宋体"/>
                <w:color w:val="auto"/>
                <w:sz w:val="21"/>
                <w:szCs w:val="21"/>
                <w:lang w:bidi="ar"/>
              </w:rPr>
              <w:br w:type="textWrapping"/>
            </w:r>
            <w:r>
              <w:rPr>
                <w:rStyle w:val="25"/>
                <w:rFonts w:hint="eastAsia" w:ascii="宋体" w:hAnsi="宋体" w:eastAsia="宋体" w:cs="宋体"/>
                <w:color w:val="auto"/>
                <w:sz w:val="21"/>
                <w:szCs w:val="21"/>
                <w:lang w:bidi="ar"/>
              </w:rPr>
              <w:t>5.智能构图：支持设置摄像机拍摄画面的智能构图模式，包含但不限于五分像、七分像、全身像等；</w:t>
            </w:r>
            <w:r>
              <w:rPr>
                <w:rStyle w:val="25"/>
                <w:rFonts w:hint="eastAsia" w:ascii="宋体" w:hAnsi="宋体" w:eastAsia="宋体" w:cs="宋体"/>
                <w:color w:val="auto"/>
                <w:sz w:val="21"/>
                <w:szCs w:val="21"/>
                <w:lang w:bidi="ar"/>
              </w:rPr>
              <w:br w:type="textWrapping"/>
            </w:r>
            <w:r>
              <w:rPr>
                <w:rStyle w:val="25"/>
                <w:rFonts w:hint="eastAsia" w:ascii="宋体" w:hAnsi="宋体" w:eastAsia="宋体" w:cs="宋体"/>
                <w:color w:val="auto"/>
                <w:sz w:val="21"/>
                <w:szCs w:val="21"/>
                <w:lang w:bidi="ar"/>
              </w:rPr>
              <w:t>6.全场景跟拍：要求支持基于计算机视觉CV技术的AI人工智能跟踪算法，实现教师识别、教师移动跟拍、教师轨迹识别以及学生上台识别、板书行为识别、单人与多人起立识别等教学焦点进行自动捕捉与切换；</w:t>
            </w:r>
          </w:p>
        </w:tc>
        <w:tc>
          <w:tcPr>
            <w:tcW w:w="567" w:type="dxa"/>
            <w:tcBorders>
              <w:top w:val="single" w:color="auto" w:sz="4" w:space="0"/>
              <w:left w:val="single" w:color="auto" w:sz="6" w:space="0"/>
              <w:bottom w:val="single" w:color="auto" w:sz="4" w:space="0"/>
              <w:right w:val="single" w:color="auto" w:sz="6" w:space="0"/>
            </w:tcBorders>
            <w:vAlign w:val="center"/>
          </w:tcPr>
          <w:p w14:paraId="1D1C0D51">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w:t>
            </w:r>
          </w:p>
        </w:tc>
        <w:tc>
          <w:tcPr>
            <w:tcW w:w="567" w:type="dxa"/>
            <w:tcBorders>
              <w:top w:val="single" w:color="auto" w:sz="4" w:space="0"/>
              <w:left w:val="single" w:color="auto" w:sz="6" w:space="0"/>
              <w:bottom w:val="single" w:color="auto" w:sz="4" w:space="0"/>
              <w:right w:val="single" w:color="auto" w:sz="6" w:space="0"/>
            </w:tcBorders>
            <w:vAlign w:val="center"/>
          </w:tcPr>
          <w:p w14:paraId="4BC87F9F">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套</w:t>
            </w:r>
          </w:p>
        </w:tc>
      </w:tr>
      <w:tr w14:paraId="20AD8B91">
        <w:tblPrEx>
          <w:tblCellMar>
            <w:top w:w="0" w:type="dxa"/>
            <w:left w:w="10" w:type="dxa"/>
            <w:bottom w:w="0" w:type="dxa"/>
            <w:right w:w="10" w:type="dxa"/>
          </w:tblCellMar>
        </w:tblPrEx>
        <w:trPr>
          <w:trHeight w:val="704" w:hRule="atLeast"/>
        </w:trPr>
        <w:tc>
          <w:tcPr>
            <w:tcW w:w="500" w:type="dxa"/>
            <w:tcBorders>
              <w:top w:val="single" w:color="auto" w:sz="4" w:space="0"/>
              <w:left w:val="single" w:color="auto" w:sz="6" w:space="0"/>
              <w:bottom w:val="single" w:color="auto" w:sz="4" w:space="0"/>
              <w:right w:val="single" w:color="auto" w:sz="6" w:space="0"/>
            </w:tcBorders>
            <w:vAlign w:val="center"/>
          </w:tcPr>
          <w:p w14:paraId="44518659">
            <w:pPr>
              <w:widowControl/>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65</w:t>
            </w:r>
          </w:p>
        </w:tc>
        <w:tc>
          <w:tcPr>
            <w:tcW w:w="945" w:type="dxa"/>
            <w:tcBorders>
              <w:top w:val="single" w:color="auto" w:sz="4" w:space="0"/>
              <w:left w:val="nil"/>
              <w:bottom w:val="single" w:color="auto" w:sz="4" w:space="0"/>
              <w:right w:val="single" w:color="auto" w:sz="6" w:space="0"/>
            </w:tcBorders>
            <w:vAlign w:val="center"/>
          </w:tcPr>
          <w:p w14:paraId="41FB7DB6">
            <w:pPr>
              <w:widowControl/>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智能语音分析软件</w:t>
            </w:r>
          </w:p>
        </w:tc>
        <w:tc>
          <w:tcPr>
            <w:tcW w:w="6875" w:type="dxa"/>
            <w:tcBorders>
              <w:top w:val="single" w:color="auto" w:sz="4" w:space="0"/>
              <w:left w:val="nil"/>
              <w:bottom w:val="single" w:color="auto" w:sz="4" w:space="0"/>
              <w:right w:val="single" w:color="auto" w:sz="6" w:space="0"/>
            </w:tcBorders>
            <w:shd w:val="clear" w:color="auto" w:fill="auto"/>
            <w:vAlign w:val="center"/>
          </w:tcPr>
          <w:p w14:paraId="28776044">
            <w:pPr>
              <w:widowControl/>
              <w:jc w:val="left"/>
              <w:textAlignment w:val="center"/>
              <w:rPr>
                <w:rStyle w:val="25"/>
                <w:rFonts w:hint="eastAsia" w:ascii="宋体" w:hAnsi="宋体" w:eastAsia="宋体" w:cs="宋体"/>
                <w:color w:val="auto"/>
                <w:sz w:val="21"/>
                <w:szCs w:val="21"/>
                <w:lang w:bidi="ar"/>
              </w:rPr>
            </w:pPr>
            <w:r>
              <w:rPr>
                <w:rStyle w:val="25"/>
                <w:rFonts w:hint="eastAsia" w:ascii="宋体" w:hAnsi="宋体" w:eastAsia="宋体" w:cs="宋体"/>
                <w:color w:val="auto"/>
                <w:sz w:val="21"/>
                <w:szCs w:val="21"/>
                <w:lang w:bidi="ar"/>
              </w:rPr>
              <w:t>1.教师提问情况分析：支持基于课堂语音识别能力进行教师课堂提问行为分析，从提问次数与高频时间段两个核心维度进行数据统计，实现课堂提问情况的清晰回顾。</w:t>
            </w:r>
            <w:r>
              <w:rPr>
                <w:rStyle w:val="25"/>
                <w:rFonts w:hint="eastAsia" w:ascii="宋体" w:hAnsi="宋体" w:eastAsia="宋体" w:cs="宋体"/>
                <w:color w:val="auto"/>
                <w:sz w:val="21"/>
                <w:szCs w:val="21"/>
                <w:lang w:bidi="ar"/>
              </w:rPr>
              <w:br w:type="textWrapping"/>
            </w:r>
            <w:r>
              <w:rPr>
                <w:rStyle w:val="25"/>
                <w:rFonts w:hint="eastAsia" w:ascii="宋体" w:hAnsi="宋体" w:eastAsia="宋体" w:cs="宋体"/>
                <w:color w:val="auto"/>
                <w:sz w:val="21"/>
                <w:szCs w:val="21"/>
                <w:lang w:bidi="ar"/>
              </w:rPr>
              <w:t>2.教师语速分析：支持通过语音识别能力进行教师课堂授课语速分析，呈现数据需包括教师课堂说话词数以及平均语速。</w:t>
            </w:r>
            <w:r>
              <w:rPr>
                <w:rStyle w:val="25"/>
                <w:rFonts w:hint="eastAsia" w:ascii="宋体" w:hAnsi="宋体" w:eastAsia="宋体" w:cs="宋体"/>
                <w:color w:val="auto"/>
                <w:sz w:val="21"/>
                <w:szCs w:val="21"/>
                <w:lang w:bidi="ar"/>
              </w:rPr>
              <w:br w:type="textWrapping"/>
            </w:r>
            <w:r>
              <w:rPr>
                <w:rStyle w:val="25"/>
                <w:rFonts w:hint="eastAsia" w:ascii="宋体" w:hAnsi="宋体" w:eastAsia="宋体" w:cs="宋体"/>
                <w:color w:val="auto"/>
                <w:sz w:val="21"/>
                <w:szCs w:val="21"/>
                <w:lang w:bidi="ar"/>
              </w:rPr>
              <w:t>3.课堂语音转写：要求基于语音语义识别完成课堂音频的文字转换，实现课堂教学过程语音全纪录，要求平台上可输出整节课的文字字幕。实现字幕与视频进度关联，通过点击字幕同步播放对应进度的视频。</w:t>
            </w:r>
            <w:r>
              <w:rPr>
                <w:rStyle w:val="25"/>
                <w:rFonts w:hint="eastAsia" w:ascii="宋体" w:hAnsi="宋体" w:eastAsia="宋体" w:cs="宋体"/>
                <w:color w:val="auto"/>
                <w:sz w:val="21"/>
                <w:szCs w:val="21"/>
                <w:lang w:bidi="ar"/>
              </w:rPr>
              <w:br w:type="textWrapping"/>
            </w:r>
            <w:r>
              <w:rPr>
                <w:rStyle w:val="25"/>
                <w:rFonts w:hint="eastAsia" w:ascii="宋体" w:hAnsi="宋体" w:eastAsia="宋体" w:cs="宋体"/>
                <w:color w:val="auto"/>
                <w:sz w:val="21"/>
                <w:szCs w:val="21"/>
                <w:lang w:bidi="ar"/>
              </w:rPr>
              <w:t>4.课堂关键词分析：支持通过AI语音识别能力，抓取统计提前设置好的课堂知识点关键词，统计各关键词出现的次数频率，并标注出现的时间点和显示所在的语句内容。</w:t>
            </w:r>
            <w:r>
              <w:rPr>
                <w:rStyle w:val="25"/>
                <w:rFonts w:hint="eastAsia" w:ascii="宋体" w:hAnsi="宋体" w:eastAsia="宋体" w:cs="宋体"/>
                <w:color w:val="auto"/>
                <w:sz w:val="21"/>
                <w:szCs w:val="21"/>
                <w:lang w:bidi="ar"/>
              </w:rPr>
              <w:br w:type="textWrapping"/>
            </w:r>
            <w:r>
              <w:rPr>
                <w:rStyle w:val="25"/>
                <w:rFonts w:hint="eastAsia" w:ascii="宋体" w:hAnsi="宋体" w:eastAsia="宋体" w:cs="宋体"/>
                <w:color w:val="auto"/>
                <w:sz w:val="21"/>
                <w:szCs w:val="21"/>
                <w:lang w:bidi="ar"/>
              </w:rPr>
              <w:t>5.课堂高频词分析：支持通过AI语音识别能力，抓取授课过程中出现的高频词汇，并统计出现频次，判断课堂教学重点；</w:t>
            </w:r>
            <w:r>
              <w:rPr>
                <w:rStyle w:val="25"/>
                <w:rFonts w:hint="eastAsia" w:ascii="宋体" w:hAnsi="宋体" w:eastAsia="宋体" w:cs="宋体"/>
                <w:color w:val="auto"/>
                <w:sz w:val="21"/>
                <w:szCs w:val="21"/>
                <w:lang w:bidi="ar"/>
              </w:rPr>
              <w:br w:type="textWrapping"/>
            </w:r>
            <w:r>
              <w:rPr>
                <w:rStyle w:val="25"/>
                <w:rFonts w:hint="eastAsia" w:ascii="宋体" w:hAnsi="宋体" w:eastAsia="宋体" w:cs="宋体"/>
                <w:color w:val="auto"/>
                <w:sz w:val="21"/>
                <w:szCs w:val="21"/>
                <w:lang w:bidi="ar"/>
              </w:rPr>
              <w:t>6.课堂语气词分析：支持通过进行课堂语音识别，判断老师教学过程中出现的常规语气词出现频次，如“呐”，“嘛”，等语气词，辅助老师调整教学过程中的不良习惯；</w:t>
            </w:r>
          </w:p>
        </w:tc>
        <w:tc>
          <w:tcPr>
            <w:tcW w:w="567" w:type="dxa"/>
            <w:tcBorders>
              <w:top w:val="single" w:color="auto" w:sz="4" w:space="0"/>
              <w:left w:val="single" w:color="auto" w:sz="6" w:space="0"/>
              <w:bottom w:val="single" w:color="auto" w:sz="4" w:space="0"/>
              <w:right w:val="single" w:color="auto" w:sz="6" w:space="0"/>
            </w:tcBorders>
            <w:vAlign w:val="center"/>
          </w:tcPr>
          <w:p w14:paraId="0A26BD7C">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w:t>
            </w:r>
          </w:p>
        </w:tc>
        <w:tc>
          <w:tcPr>
            <w:tcW w:w="567" w:type="dxa"/>
            <w:tcBorders>
              <w:top w:val="single" w:color="auto" w:sz="4" w:space="0"/>
              <w:left w:val="single" w:color="auto" w:sz="6" w:space="0"/>
              <w:bottom w:val="single" w:color="auto" w:sz="4" w:space="0"/>
              <w:right w:val="single" w:color="auto" w:sz="6" w:space="0"/>
            </w:tcBorders>
            <w:vAlign w:val="center"/>
          </w:tcPr>
          <w:p w14:paraId="73C7F8DF">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套</w:t>
            </w:r>
          </w:p>
        </w:tc>
      </w:tr>
      <w:tr w14:paraId="2396BFF2">
        <w:tblPrEx>
          <w:tblCellMar>
            <w:top w:w="0" w:type="dxa"/>
            <w:left w:w="10" w:type="dxa"/>
            <w:bottom w:w="0" w:type="dxa"/>
            <w:right w:w="10" w:type="dxa"/>
          </w:tblCellMar>
        </w:tblPrEx>
        <w:trPr>
          <w:trHeight w:val="704" w:hRule="atLeast"/>
        </w:trPr>
        <w:tc>
          <w:tcPr>
            <w:tcW w:w="500" w:type="dxa"/>
            <w:tcBorders>
              <w:top w:val="single" w:color="auto" w:sz="4" w:space="0"/>
              <w:left w:val="single" w:color="auto" w:sz="6" w:space="0"/>
              <w:bottom w:val="single" w:color="auto" w:sz="4" w:space="0"/>
              <w:right w:val="single" w:color="auto" w:sz="6" w:space="0"/>
            </w:tcBorders>
            <w:vAlign w:val="center"/>
          </w:tcPr>
          <w:p w14:paraId="615C4191">
            <w:pPr>
              <w:widowControl/>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66</w:t>
            </w:r>
          </w:p>
        </w:tc>
        <w:tc>
          <w:tcPr>
            <w:tcW w:w="945" w:type="dxa"/>
            <w:tcBorders>
              <w:top w:val="single" w:color="auto" w:sz="4" w:space="0"/>
              <w:left w:val="nil"/>
              <w:bottom w:val="single" w:color="auto" w:sz="4" w:space="0"/>
              <w:right w:val="single" w:color="auto" w:sz="6" w:space="0"/>
            </w:tcBorders>
            <w:vAlign w:val="center"/>
          </w:tcPr>
          <w:p w14:paraId="7AB20979">
            <w:pPr>
              <w:widowControl/>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智能考勤分析软件</w:t>
            </w:r>
          </w:p>
        </w:tc>
        <w:tc>
          <w:tcPr>
            <w:tcW w:w="6875" w:type="dxa"/>
            <w:tcBorders>
              <w:top w:val="single" w:color="auto" w:sz="4" w:space="0"/>
              <w:left w:val="nil"/>
              <w:bottom w:val="single" w:color="auto" w:sz="4" w:space="0"/>
              <w:right w:val="single" w:color="auto" w:sz="6" w:space="0"/>
            </w:tcBorders>
            <w:vAlign w:val="center"/>
          </w:tcPr>
          <w:p w14:paraId="317AB6E0">
            <w:pPr>
              <w:widowControl/>
              <w:jc w:val="left"/>
              <w:textAlignment w:val="center"/>
              <w:rPr>
                <w:rStyle w:val="25"/>
                <w:rFonts w:hint="eastAsia" w:ascii="宋体" w:hAnsi="宋体" w:eastAsia="宋体" w:cs="宋体"/>
                <w:color w:val="auto"/>
                <w:sz w:val="21"/>
                <w:szCs w:val="21"/>
                <w:lang w:bidi="ar"/>
              </w:rPr>
            </w:pPr>
            <w:r>
              <w:rPr>
                <w:rStyle w:val="25"/>
                <w:rFonts w:hint="eastAsia" w:ascii="宋体" w:hAnsi="宋体" w:eastAsia="宋体" w:cs="宋体"/>
                <w:color w:val="auto"/>
                <w:sz w:val="21"/>
                <w:szCs w:val="21"/>
                <w:lang w:bidi="ar"/>
              </w:rPr>
              <w:t>1.实时考勤分析：支持接收实时视频流媒体进行考勤分析，统计班级整体到课情况，并实时输出考勤数据；</w:t>
            </w:r>
          </w:p>
          <w:p w14:paraId="4BC6817F">
            <w:pPr>
              <w:widowControl/>
              <w:jc w:val="left"/>
              <w:textAlignment w:val="center"/>
              <w:rPr>
                <w:rStyle w:val="25"/>
                <w:rFonts w:hint="eastAsia" w:ascii="宋体" w:hAnsi="宋体" w:eastAsia="宋体" w:cs="宋体"/>
                <w:color w:val="auto"/>
                <w:sz w:val="21"/>
                <w:szCs w:val="21"/>
                <w:lang w:bidi="ar"/>
              </w:rPr>
            </w:pPr>
            <w:r>
              <w:rPr>
                <w:rStyle w:val="25"/>
                <w:rFonts w:hint="eastAsia" w:ascii="宋体" w:hAnsi="宋体" w:eastAsia="宋体" w:cs="宋体"/>
                <w:color w:val="auto"/>
                <w:sz w:val="21"/>
                <w:szCs w:val="21"/>
                <w:lang w:bidi="ar"/>
              </w:rPr>
              <w:t>2.考勤数据：支持统计班级整体人数，并根据课节时间/应到人数分析统计出迟到人数、早退人数等数据；</w:t>
            </w:r>
          </w:p>
          <w:p w14:paraId="1962C1FA">
            <w:pPr>
              <w:widowControl/>
              <w:jc w:val="left"/>
              <w:textAlignment w:val="center"/>
              <w:rPr>
                <w:rStyle w:val="25"/>
                <w:rFonts w:hint="eastAsia" w:ascii="宋体" w:hAnsi="宋体" w:eastAsia="宋体" w:cs="宋体"/>
                <w:color w:val="auto"/>
                <w:sz w:val="21"/>
                <w:szCs w:val="21"/>
                <w:lang w:bidi="ar"/>
              </w:rPr>
            </w:pPr>
            <w:r>
              <w:rPr>
                <w:rStyle w:val="25"/>
                <w:rFonts w:hint="eastAsia" w:ascii="宋体" w:hAnsi="宋体" w:eastAsia="宋体" w:cs="宋体"/>
                <w:color w:val="auto"/>
                <w:sz w:val="21"/>
                <w:szCs w:val="21"/>
                <w:lang w:bidi="ar"/>
              </w:rPr>
              <w:t>3.设备性能：要求单台设备支持不少于30个录播终端的并发接入考勤能力；</w:t>
            </w:r>
          </w:p>
          <w:p w14:paraId="7CB84951">
            <w:pPr>
              <w:widowControl/>
              <w:jc w:val="left"/>
              <w:textAlignment w:val="center"/>
              <w:rPr>
                <w:rStyle w:val="25"/>
                <w:rFonts w:hint="eastAsia" w:ascii="宋体" w:hAnsi="宋体" w:eastAsia="宋体" w:cs="宋体"/>
                <w:color w:val="auto"/>
                <w:sz w:val="21"/>
                <w:szCs w:val="21"/>
                <w:lang w:bidi="ar"/>
              </w:rPr>
            </w:pPr>
            <w:r>
              <w:rPr>
                <w:rStyle w:val="25"/>
                <w:rFonts w:hint="eastAsia" w:ascii="宋体" w:hAnsi="宋体" w:eastAsia="宋体" w:cs="宋体"/>
                <w:color w:val="auto"/>
                <w:sz w:val="21"/>
                <w:szCs w:val="21"/>
                <w:lang w:bidi="ar"/>
              </w:rPr>
              <w:t>4.识别保障：支持基于人脸特征识别人员并区分是否相同目标，课堂上人员暂离、短暂遮挡等情况下重新出现在画面中，仍能判别为同一人，保障识别准确性。</w:t>
            </w:r>
          </w:p>
          <w:p w14:paraId="44E19CCA">
            <w:pPr>
              <w:widowControl/>
              <w:jc w:val="left"/>
              <w:textAlignment w:val="center"/>
              <w:rPr>
                <w:rStyle w:val="25"/>
                <w:rFonts w:hint="eastAsia" w:ascii="宋体" w:hAnsi="宋体" w:eastAsia="宋体" w:cs="宋体"/>
                <w:color w:val="auto"/>
                <w:sz w:val="21"/>
                <w:szCs w:val="21"/>
                <w:lang w:bidi="ar"/>
              </w:rPr>
            </w:pPr>
            <w:r>
              <w:rPr>
                <w:rStyle w:val="25"/>
                <w:rFonts w:hint="eastAsia" w:ascii="宋体" w:hAnsi="宋体" w:eastAsia="宋体" w:cs="宋体"/>
                <w:color w:val="auto"/>
                <w:sz w:val="21"/>
                <w:szCs w:val="21"/>
                <w:lang w:bidi="ar"/>
              </w:rPr>
              <w:t>5.使用认证：要求支持录播终端的接入认证，认证后的录播主机方能进行考勤任务的支撑；</w:t>
            </w:r>
          </w:p>
          <w:p w14:paraId="1E48CEAC">
            <w:pPr>
              <w:widowControl/>
              <w:jc w:val="left"/>
              <w:textAlignment w:val="center"/>
              <w:rPr>
                <w:rStyle w:val="25"/>
                <w:rFonts w:hint="eastAsia" w:ascii="宋体" w:hAnsi="宋体" w:eastAsia="宋体" w:cs="宋体"/>
                <w:color w:val="auto"/>
                <w:sz w:val="21"/>
                <w:szCs w:val="21"/>
                <w:lang w:bidi="ar"/>
              </w:rPr>
            </w:pPr>
            <w:r>
              <w:rPr>
                <w:rStyle w:val="25"/>
                <w:rFonts w:hint="eastAsia" w:ascii="宋体" w:hAnsi="宋体" w:eastAsia="宋体" w:cs="宋体"/>
                <w:color w:val="auto"/>
                <w:sz w:val="21"/>
                <w:szCs w:val="21"/>
                <w:lang w:bidi="ar"/>
              </w:rPr>
              <w:t>6.人脸隐私：出于用户人脸隐私安全保护，要求考勤系统不涉及人脸与用户信息的识别匹配，仅完成整体人数统计考勤，无需上传学生人脸照片、不采集保存人脸信息库避免隐私侵犯及实现信息安全保护；</w:t>
            </w:r>
          </w:p>
          <w:p w14:paraId="69383CDC">
            <w:pPr>
              <w:widowControl/>
              <w:jc w:val="left"/>
              <w:textAlignment w:val="center"/>
              <w:rPr>
                <w:rStyle w:val="25"/>
                <w:rFonts w:hint="eastAsia" w:ascii="宋体" w:hAnsi="宋体" w:eastAsia="宋体" w:cs="宋体"/>
                <w:color w:val="auto"/>
                <w:sz w:val="21"/>
                <w:szCs w:val="21"/>
                <w:lang w:bidi="ar"/>
              </w:rPr>
            </w:pPr>
            <w:r>
              <w:rPr>
                <w:rStyle w:val="25"/>
                <w:rFonts w:hint="eastAsia" w:ascii="宋体" w:hAnsi="宋体" w:eastAsia="宋体" w:cs="宋体"/>
                <w:color w:val="auto"/>
                <w:sz w:val="21"/>
                <w:szCs w:val="21"/>
                <w:lang w:bidi="ar"/>
              </w:rPr>
              <w:t>7.系统对接：要求支持提供开放接口实现第三方系统对接，可将实时考勤数据同步输出至班牌、中控等第三方系统进行联动应用。</w:t>
            </w:r>
          </w:p>
        </w:tc>
        <w:tc>
          <w:tcPr>
            <w:tcW w:w="567" w:type="dxa"/>
            <w:tcBorders>
              <w:top w:val="single" w:color="auto" w:sz="4" w:space="0"/>
              <w:left w:val="single" w:color="auto" w:sz="6" w:space="0"/>
              <w:bottom w:val="single" w:color="auto" w:sz="4" w:space="0"/>
              <w:right w:val="single" w:color="auto" w:sz="6" w:space="0"/>
            </w:tcBorders>
            <w:vAlign w:val="center"/>
          </w:tcPr>
          <w:p w14:paraId="2E2D5931">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w:t>
            </w:r>
          </w:p>
        </w:tc>
        <w:tc>
          <w:tcPr>
            <w:tcW w:w="567" w:type="dxa"/>
            <w:tcBorders>
              <w:top w:val="single" w:color="auto" w:sz="4" w:space="0"/>
              <w:left w:val="single" w:color="auto" w:sz="6" w:space="0"/>
              <w:bottom w:val="single" w:color="auto" w:sz="4" w:space="0"/>
              <w:right w:val="single" w:color="auto" w:sz="6" w:space="0"/>
            </w:tcBorders>
            <w:vAlign w:val="center"/>
          </w:tcPr>
          <w:p w14:paraId="1EB887EA">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套</w:t>
            </w:r>
          </w:p>
        </w:tc>
      </w:tr>
      <w:tr w14:paraId="69F0504E">
        <w:tblPrEx>
          <w:tblCellMar>
            <w:top w:w="0" w:type="dxa"/>
            <w:left w:w="10" w:type="dxa"/>
            <w:bottom w:w="0" w:type="dxa"/>
            <w:right w:w="10" w:type="dxa"/>
          </w:tblCellMar>
        </w:tblPrEx>
        <w:trPr>
          <w:trHeight w:val="704" w:hRule="atLeast"/>
        </w:trPr>
        <w:tc>
          <w:tcPr>
            <w:tcW w:w="500" w:type="dxa"/>
            <w:tcBorders>
              <w:top w:val="single" w:color="auto" w:sz="4" w:space="0"/>
              <w:left w:val="single" w:color="auto" w:sz="6" w:space="0"/>
              <w:bottom w:val="single" w:color="auto" w:sz="4" w:space="0"/>
              <w:right w:val="single" w:color="auto" w:sz="6" w:space="0"/>
            </w:tcBorders>
            <w:vAlign w:val="center"/>
          </w:tcPr>
          <w:p w14:paraId="214D5405">
            <w:pPr>
              <w:widowControl/>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67</w:t>
            </w:r>
          </w:p>
        </w:tc>
        <w:tc>
          <w:tcPr>
            <w:tcW w:w="945" w:type="dxa"/>
            <w:tcBorders>
              <w:top w:val="single" w:color="auto" w:sz="4" w:space="0"/>
              <w:left w:val="nil"/>
              <w:bottom w:val="single" w:color="auto" w:sz="4" w:space="0"/>
              <w:right w:val="single" w:color="auto" w:sz="6" w:space="0"/>
            </w:tcBorders>
            <w:vAlign w:val="center"/>
          </w:tcPr>
          <w:p w14:paraId="1950D3C5">
            <w:pPr>
              <w:widowControl/>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智能跟踪拍摄软件</w:t>
            </w:r>
          </w:p>
        </w:tc>
        <w:tc>
          <w:tcPr>
            <w:tcW w:w="6875" w:type="dxa"/>
            <w:tcBorders>
              <w:top w:val="single" w:color="auto" w:sz="4" w:space="0"/>
              <w:left w:val="nil"/>
              <w:bottom w:val="single" w:color="auto" w:sz="4" w:space="0"/>
              <w:right w:val="single" w:color="auto" w:sz="6" w:space="0"/>
            </w:tcBorders>
            <w:shd w:val="clear" w:color="auto" w:fill="auto"/>
          </w:tcPr>
          <w:p w14:paraId="6D8723BD">
            <w:pPr>
              <w:widowControl/>
              <w:jc w:val="left"/>
              <w:textAlignment w:val="top"/>
              <w:rPr>
                <w:rFonts w:hint="eastAsia" w:ascii="宋体" w:hAnsi="宋体" w:eastAsia="宋体" w:cs="宋体"/>
                <w:color w:val="auto"/>
                <w:sz w:val="21"/>
                <w:szCs w:val="21"/>
              </w:rPr>
            </w:pPr>
            <w:r>
              <w:rPr>
                <w:rStyle w:val="25"/>
                <w:rFonts w:hint="eastAsia" w:ascii="宋体" w:hAnsi="宋体" w:eastAsia="宋体" w:cs="宋体"/>
                <w:color w:val="auto"/>
                <w:sz w:val="21"/>
                <w:szCs w:val="21"/>
                <w:lang w:bidi="ar"/>
              </w:rPr>
              <w:t>1.摄像机传输处理软件需采用B/S架构，支持通用浏览器直接访问进行管理；</w:t>
            </w:r>
            <w:r>
              <w:rPr>
                <w:rStyle w:val="25"/>
                <w:rFonts w:hint="eastAsia" w:ascii="宋体" w:hAnsi="宋体" w:eastAsia="宋体" w:cs="宋体"/>
                <w:color w:val="auto"/>
                <w:sz w:val="21"/>
                <w:szCs w:val="21"/>
                <w:lang w:bidi="ar"/>
              </w:rPr>
              <w:br w:type="textWrapping"/>
            </w:r>
            <w:r>
              <w:rPr>
                <w:rStyle w:val="25"/>
                <w:rFonts w:hint="eastAsia" w:ascii="宋体" w:hAnsi="宋体" w:eastAsia="宋体" w:cs="宋体"/>
                <w:color w:val="auto"/>
                <w:sz w:val="21"/>
                <w:szCs w:val="21"/>
                <w:lang w:bidi="ar"/>
              </w:rPr>
              <w:t>2.需支持曝光模式设置功能，包括自动、手动；</w:t>
            </w:r>
            <w:r>
              <w:rPr>
                <w:rStyle w:val="25"/>
                <w:rFonts w:hint="eastAsia" w:ascii="宋体" w:hAnsi="宋体" w:eastAsia="宋体" w:cs="宋体"/>
                <w:color w:val="auto"/>
                <w:sz w:val="21"/>
                <w:szCs w:val="21"/>
                <w:lang w:bidi="ar"/>
              </w:rPr>
              <w:br w:type="textWrapping"/>
            </w:r>
            <w:r>
              <w:rPr>
                <w:rStyle w:val="25"/>
                <w:rFonts w:hint="eastAsia" w:ascii="宋体" w:hAnsi="宋体" w:eastAsia="宋体" w:cs="宋体"/>
                <w:color w:val="auto"/>
                <w:sz w:val="21"/>
                <w:szCs w:val="21"/>
                <w:lang w:bidi="ar"/>
              </w:rPr>
              <w:t>3.需支持抗闪烁频率、动态范围、光圈、快门参数设置；</w:t>
            </w:r>
            <w:r>
              <w:rPr>
                <w:rStyle w:val="25"/>
                <w:rFonts w:hint="eastAsia" w:ascii="宋体" w:hAnsi="宋体" w:eastAsia="宋体" w:cs="宋体"/>
                <w:color w:val="auto"/>
                <w:sz w:val="21"/>
                <w:szCs w:val="21"/>
                <w:lang w:bidi="ar"/>
              </w:rPr>
              <w:br w:type="textWrapping"/>
            </w:r>
            <w:r>
              <w:rPr>
                <w:rStyle w:val="25"/>
                <w:rFonts w:hint="eastAsia" w:ascii="宋体" w:hAnsi="宋体" w:eastAsia="宋体" w:cs="宋体"/>
                <w:color w:val="auto"/>
                <w:sz w:val="21"/>
                <w:szCs w:val="21"/>
                <w:lang w:bidi="ar"/>
              </w:rPr>
              <w:t>4.需支持自动白平衡设置功能，红、蓝增益可调；</w:t>
            </w:r>
            <w:r>
              <w:rPr>
                <w:rStyle w:val="25"/>
                <w:rFonts w:hint="eastAsia" w:ascii="宋体" w:hAnsi="宋体" w:eastAsia="宋体" w:cs="宋体"/>
                <w:color w:val="auto"/>
                <w:sz w:val="21"/>
                <w:szCs w:val="21"/>
                <w:lang w:bidi="ar"/>
              </w:rPr>
              <w:br w:type="textWrapping"/>
            </w:r>
            <w:r>
              <w:rPr>
                <w:rStyle w:val="25"/>
                <w:rFonts w:hint="eastAsia" w:ascii="宋体" w:hAnsi="宋体" w:eastAsia="宋体" w:cs="宋体"/>
                <w:color w:val="auto"/>
                <w:sz w:val="21"/>
                <w:szCs w:val="21"/>
                <w:lang w:bidi="ar"/>
              </w:rPr>
              <w:t>5.需支持噪声抑制设置功能，支持2D、3D降噪；</w:t>
            </w:r>
            <w:r>
              <w:rPr>
                <w:rStyle w:val="25"/>
                <w:rFonts w:hint="eastAsia" w:ascii="宋体" w:hAnsi="宋体" w:eastAsia="宋体" w:cs="宋体"/>
                <w:color w:val="auto"/>
                <w:sz w:val="21"/>
                <w:szCs w:val="21"/>
                <w:lang w:bidi="ar"/>
              </w:rPr>
              <w:br w:type="textWrapping"/>
            </w:r>
            <w:r>
              <w:rPr>
                <w:rStyle w:val="25"/>
                <w:rFonts w:hint="eastAsia" w:ascii="宋体" w:hAnsi="宋体" w:eastAsia="宋体" w:cs="宋体"/>
                <w:color w:val="auto"/>
                <w:sz w:val="21"/>
                <w:szCs w:val="21"/>
                <w:lang w:bidi="ar"/>
              </w:rPr>
              <w:t>6.需支持摄像机图像质量调节功能，包括亮度、对比度、色调、饱和度；</w:t>
            </w:r>
          </w:p>
        </w:tc>
        <w:tc>
          <w:tcPr>
            <w:tcW w:w="567" w:type="dxa"/>
            <w:tcBorders>
              <w:top w:val="single" w:color="auto" w:sz="4" w:space="0"/>
              <w:left w:val="single" w:color="auto" w:sz="6" w:space="0"/>
              <w:bottom w:val="single" w:color="auto" w:sz="4" w:space="0"/>
              <w:right w:val="single" w:color="auto" w:sz="6" w:space="0"/>
            </w:tcBorders>
            <w:vAlign w:val="center"/>
          </w:tcPr>
          <w:p w14:paraId="6D317B10">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w:t>
            </w:r>
          </w:p>
        </w:tc>
        <w:tc>
          <w:tcPr>
            <w:tcW w:w="567" w:type="dxa"/>
            <w:tcBorders>
              <w:top w:val="single" w:color="auto" w:sz="4" w:space="0"/>
              <w:left w:val="single" w:color="auto" w:sz="6" w:space="0"/>
              <w:bottom w:val="single" w:color="auto" w:sz="4" w:space="0"/>
              <w:right w:val="single" w:color="auto" w:sz="6" w:space="0"/>
            </w:tcBorders>
            <w:vAlign w:val="center"/>
          </w:tcPr>
          <w:p w14:paraId="220CD67B">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套</w:t>
            </w:r>
          </w:p>
        </w:tc>
      </w:tr>
      <w:tr w14:paraId="4171373D">
        <w:tblPrEx>
          <w:tblCellMar>
            <w:top w:w="0" w:type="dxa"/>
            <w:left w:w="10" w:type="dxa"/>
            <w:bottom w:w="0" w:type="dxa"/>
            <w:right w:w="10" w:type="dxa"/>
          </w:tblCellMar>
        </w:tblPrEx>
        <w:trPr>
          <w:trHeight w:val="704" w:hRule="atLeast"/>
        </w:trPr>
        <w:tc>
          <w:tcPr>
            <w:tcW w:w="500" w:type="dxa"/>
            <w:tcBorders>
              <w:top w:val="single" w:color="auto" w:sz="4" w:space="0"/>
              <w:left w:val="single" w:color="auto" w:sz="6" w:space="0"/>
              <w:bottom w:val="single" w:color="auto" w:sz="4" w:space="0"/>
              <w:right w:val="single" w:color="auto" w:sz="6" w:space="0"/>
            </w:tcBorders>
            <w:vAlign w:val="center"/>
          </w:tcPr>
          <w:p w14:paraId="4E573608">
            <w:pPr>
              <w:widowControl/>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68</w:t>
            </w:r>
          </w:p>
        </w:tc>
        <w:tc>
          <w:tcPr>
            <w:tcW w:w="945" w:type="dxa"/>
            <w:tcBorders>
              <w:top w:val="single" w:color="auto" w:sz="4" w:space="0"/>
              <w:left w:val="nil"/>
              <w:bottom w:val="single" w:color="auto" w:sz="4" w:space="0"/>
              <w:right w:val="single" w:color="auto" w:sz="6" w:space="0"/>
            </w:tcBorders>
            <w:vAlign w:val="center"/>
          </w:tcPr>
          <w:p w14:paraId="4A5A9735">
            <w:pPr>
              <w:widowControl/>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智能考勤分析平台软件</w:t>
            </w:r>
          </w:p>
        </w:tc>
        <w:tc>
          <w:tcPr>
            <w:tcW w:w="6875" w:type="dxa"/>
            <w:tcBorders>
              <w:top w:val="single" w:color="auto" w:sz="4" w:space="0"/>
              <w:left w:val="nil"/>
              <w:bottom w:val="single" w:color="auto" w:sz="4" w:space="0"/>
              <w:right w:val="single" w:color="auto" w:sz="6" w:space="0"/>
            </w:tcBorders>
            <w:shd w:val="clear" w:color="auto" w:fill="auto"/>
            <w:vAlign w:val="center"/>
          </w:tcPr>
          <w:p w14:paraId="7E7927E7">
            <w:pPr>
              <w:widowControl/>
              <w:jc w:val="left"/>
              <w:textAlignment w:val="center"/>
              <w:rPr>
                <w:rFonts w:hint="eastAsia" w:ascii="宋体" w:hAnsi="宋体" w:eastAsia="宋体" w:cs="宋体"/>
                <w:color w:val="auto"/>
                <w:sz w:val="21"/>
                <w:szCs w:val="21"/>
              </w:rPr>
            </w:pPr>
            <w:r>
              <w:rPr>
                <w:rStyle w:val="25"/>
                <w:rFonts w:hint="eastAsia" w:ascii="宋体" w:hAnsi="宋体" w:eastAsia="宋体" w:cs="宋体"/>
                <w:color w:val="auto"/>
                <w:sz w:val="21"/>
                <w:szCs w:val="21"/>
                <w:lang w:bidi="ar"/>
              </w:rPr>
              <w:t>1.实时考勤分析：支持接收实时视频流媒体进行考勤分析，统计班级整体到课情况，并实时输出考勤数据；</w:t>
            </w:r>
            <w:r>
              <w:rPr>
                <w:rStyle w:val="25"/>
                <w:rFonts w:hint="eastAsia" w:ascii="宋体" w:hAnsi="宋体" w:eastAsia="宋体" w:cs="宋体"/>
                <w:color w:val="auto"/>
                <w:sz w:val="21"/>
                <w:szCs w:val="21"/>
                <w:lang w:bidi="ar"/>
              </w:rPr>
              <w:br w:type="textWrapping"/>
            </w:r>
            <w:r>
              <w:rPr>
                <w:rStyle w:val="25"/>
                <w:rFonts w:hint="eastAsia" w:ascii="宋体" w:hAnsi="宋体" w:eastAsia="宋体" w:cs="宋体"/>
                <w:color w:val="auto"/>
                <w:sz w:val="21"/>
                <w:szCs w:val="21"/>
                <w:lang w:bidi="ar"/>
              </w:rPr>
              <w:t>2.考勤数据：支持统计班级整体人数，并根据课节时间/应到人数分析统计出迟到人数、早退人数等数据；</w:t>
            </w:r>
            <w:r>
              <w:rPr>
                <w:rStyle w:val="25"/>
                <w:rFonts w:hint="eastAsia" w:ascii="宋体" w:hAnsi="宋体" w:eastAsia="宋体" w:cs="宋体"/>
                <w:color w:val="auto"/>
                <w:sz w:val="21"/>
                <w:szCs w:val="21"/>
                <w:lang w:bidi="ar"/>
              </w:rPr>
              <w:br w:type="textWrapping"/>
            </w:r>
            <w:r>
              <w:rPr>
                <w:rStyle w:val="25"/>
                <w:rFonts w:hint="eastAsia" w:ascii="宋体" w:hAnsi="宋体" w:eastAsia="宋体" w:cs="宋体"/>
                <w:color w:val="auto"/>
                <w:sz w:val="21"/>
                <w:szCs w:val="21"/>
                <w:lang w:bidi="ar"/>
              </w:rPr>
              <w:t>3.设备性能：要求单台设备支持不少于30个录播终端的并发接入考勤能力；</w:t>
            </w:r>
            <w:r>
              <w:rPr>
                <w:rStyle w:val="25"/>
                <w:rFonts w:hint="eastAsia" w:ascii="宋体" w:hAnsi="宋体" w:eastAsia="宋体" w:cs="宋体"/>
                <w:color w:val="auto"/>
                <w:sz w:val="21"/>
                <w:szCs w:val="21"/>
                <w:lang w:bidi="ar"/>
              </w:rPr>
              <w:br w:type="textWrapping"/>
            </w:r>
            <w:r>
              <w:rPr>
                <w:rStyle w:val="25"/>
                <w:rFonts w:hint="eastAsia" w:ascii="宋体" w:hAnsi="宋体" w:eastAsia="宋体" w:cs="宋体"/>
                <w:color w:val="auto"/>
                <w:sz w:val="21"/>
                <w:szCs w:val="21"/>
                <w:lang w:bidi="ar"/>
              </w:rPr>
              <w:t>4.识别保障：支持基于人脸特征识别人员并区分是否相同目标，课堂上人员暂离、短暂遮挡等情况下重新出现在画面中，仍能判别为同一人，保障识别准确性。</w:t>
            </w:r>
            <w:r>
              <w:rPr>
                <w:rStyle w:val="25"/>
                <w:rFonts w:hint="eastAsia" w:ascii="宋体" w:hAnsi="宋体" w:eastAsia="宋体" w:cs="宋体"/>
                <w:color w:val="auto"/>
                <w:sz w:val="21"/>
                <w:szCs w:val="21"/>
                <w:lang w:bidi="ar"/>
              </w:rPr>
              <w:br w:type="textWrapping"/>
            </w:r>
            <w:r>
              <w:rPr>
                <w:rStyle w:val="25"/>
                <w:rFonts w:hint="eastAsia" w:ascii="宋体" w:hAnsi="宋体" w:eastAsia="宋体" w:cs="宋体"/>
                <w:color w:val="auto"/>
                <w:sz w:val="21"/>
                <w:szCs w:val="21"/>
                <w:lang w:bidi="ar"/>
              </w:rPr>
              <w:t>5.使用认证：要求支持录播终端的接入认证，认证后的录播主机方能进行考勤任务的支撑；</w:t>
            </w:r>
            <w:r>
              <w:rPr>
                <w:rStyle w:val="25"/>
                <w:rFonts w:hint="eastAsia" w:ascii="宋体" w:hAnsi="宋体" w:eastAsia="宋体" w:cs="宋体"/>
                <w:color w:val="auto"/>
                <w:sz w:val="21"/>
                <w:szCs w:val="21"/>
                <w:lang w:bidi="ar"/>
              </w:rPr>
              <w:br w:type="textWrapping"/>
            </w:r>
            <w:r>
              <w:rPr>
                <w:rStyle w:val="25"/>
                <w:rFonts w:hint="eastAsia" w:ascii="宋体" w:hAnsi="宋体" w:eastAsia="宋体" w:cs="宋体"/>
                <w:color w:val="auto"/>
                <w:sz w:val="21"/>
                <w:szCs w:val="21"/>
                <w:lang w:bidi="ar"/>
              </w:rPr>
              <w:t>6.人脸隐私：出于用户人脸隐私安全保护，要求考勤系统不涉及人脸与用户信息的识别匹配，仅完成整体人数统计考勤，无需上传学生人脸照片、不采集保存人脸信息库避免隐私侵犯及实现信息安全保护；</w:t>
            </w:r>
            <w:r>
              <w:rPr>
                <w:rStyle w:val="25"/>
                <w:rFonts w:hint="eastAsia" w:ascii="宋体" w:hAnsi="宋体" w:eastAsia="宋体" w:cs="宋体"/>
                <w:color w:val="auto"/>
                <w:sz w:val="21"/>
                <w:szCs w:val="21"/>
                <w:lang w:bidi="ar"/>
              </w:rPr>
              <w:br w:type="textWrapping"/>
            </w:r>
            <w:r>
              <w:rPr>
                <w:rStyle w:val="25"/>
                <w:rFonts w:hint="eastAsia" w:ascii="宋体" w:hAnsi="宋体" w:eastAsia="宋体" w:cs="宋体"/>
                <w:color w:val="auto"/>
                <w:sz w:val="21"/>
                <w:szCs w:val="21"/>
                <w:lang w:bidi="ar"/>
              </w:rPr>
              <w:t>7.系统对接：要求支持提供开放接口实现第三方系统对接，可将实时考勤数据同步输出至班牌、中控等第三方系统进行联动应用。</w:t>
            </w:r>
          </w:p>
        </w:tc>
        <w:tc>
          <w:tcPr>
            <w:tcW w:w="567" w:type="dxa"/>
            <w:tcBorders>
              <w:top w:val="single" w:color="auto" w:sz="4" w:space="0"/>
              <w:left w:val="single" w:color="auto" w:sz="6" w:space="0"/>
              <w:bottom w:val="single" w:color="auto" w:sz="4" w:space="0"/>
              <w:right w:val="single" w:color="auto" w:sz="6" w:space="0"/>
            </w:tcBorders>
            <w:vAlign w:val="center"/>
          </w:tcPr>
          <w:p w14:paraId="4BA58CC8">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w:t>
            </w:r>
          </w:p>
        </w:tc>
        <w:tc>
          <w:tcPr>
            <w:tcW w:w="567" w:type="dxa"/>
            <w:tcBorders>
              <w:top w:val="single" w:color="auto" w:sz="4" w:space="0"/>
              <w:left w:val="single" w:color="auto" w:sz="6" w:space="0"/>
              <w:bottom w:val="single" w:color="auto" w:sz="4" w:space="0"/>
              <w:right w:val="single" w:color="auto" w:sz="6" w:space="0"/>
            </w:tcBorders>
            <w:vAlign w:val="center"/>
          </w:tcPr>
          <w:p w14:paraId="328F8E0D">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套</w:t>
            </w:r>
          </w:p>
        </w:tc>
      </w:tr>
      <w:tr w14:paraId="1DA4DF3B">
        <w:tblPrEx>
          <w:tblCellMar>
            <w:top w:w="0" w:type="dxa"/>
            <w:left w:w="10" w:type="dxa"/>
            <w:bottom w:w="0" w:type="dxa"/>
            <w:right w:w="10" w:type="dxa"/>
          </w:tblCellMar>
        </w:tblPrEx>
        <w:trPr>
          <w:trHeight w:val="704" w:hRule="atLeast"/>
        </w:trPr>
        <w:tc>
          <w:tcPr>
            <w:tcW w:w="500" w:type="dxa"/>
            <w:tcBorders>
              <w:top w:val="single" w:color="auto" w:sz="4" w:space="0"/>
              <w:left w:val="single" w:color="auto" w:sz="6" w:space="0"/>
              <w:bottom w:val="single" w:color="auto" w:sz="4" w:space="0"/>
              <w:right w:val="single" w:color="auto" w:sz="6" w:space="0"/>
            </w:tcBorders>
            <w:vAlign w:val="center"/>
          </w:tcPr>
          <w:p w14:paraId="56EDF859">
            <w:pPr>
              <w:widowControl/>
              <w:jc w:val="center"/>
              <w:textAlignment w:val="center"/>
              <w:rPr>
                <w:rFonts w:hint="eastAsia" w:ascii="宋体" w:hAnsi="宋体" w:eastAsia="宋体" w:cs="宋体"/>
                <w:b/>
                <w:bCs/>
                <w:color w:val="auto"/>
                <w:sz w:val="21"/>
                <w:szCs w:val="21"/>
                <w:highlight w:val="yellow"/>
              </w:rPr>
            </w:pPr>
            <w:r>
              <w:rPr>
                <w:rFonts w:hint="eastAsia" w:ascii="宋体" w:hAnsi="宋体" w:eastAsia="宋体" w:cs="宋体"/>
                <w:b/>
                <w:bCs/>
                <w:color w:val="auto"/>
                <w:sz w:val="21"/>
                <w:szCs w:val="21"/>
              </w:rPr>
              <w:t>69</w:t>
            </w:r>
          </w:p>
        </w:tc>
        <w:tc>
          <w:tcPr>
            <w:tcW w:w="945" w:type="dxa"/>
            <w:tcBorders>
              <w:top w:val="single" w:color="auto" w:sz="4" w:space="0"/>
              <w:left w:val="nil"/>
              <w:bottom w:val="single" w:color="auto" w:sz="4" w:space="0"/>
              <w:right w:val="single" w:color="auto" w:sz="6" w:space="0"/>
            </w:tcBorders>
            <w:vAlign w:val="center"/>
          </w:tcPr>
          <w:p w14:paraId="1F6BE2C6">
            <w:pPr>
              <w:widowControl/>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直播在线巡课系统</w:t>
            </w:r>
          </w:p>
        </w:tc>
        <w:tc>
          <w:tcPr>
            <w:tcW w:w="6875" w:type="dxa"/>
            <w:tcBorders>
              <w:top w:val="single" w:color="auto" w:sz="4" w:space="0"/>
              <w:left w:val="nil"/>
              <w:bottom w:val="single" w:color="auto" w:sz="4" w:space="0"/>
              <w:right w:val="single" w:color="auto" w:sz="6" w:space="0"/>
            </w:tcBorders>
            <w:shd w:val="clear" w:color="auto" w:fill="auto"/>
            <w:vAlign w:val="center"/>
          </w:tcPr>
          <w:p w14:paraId="31264A74">
            <w:pPr>
              <w:widowControl/>
              <w:jc w:val="left"/>
              <w:textAlignment w:val="center"/>
              <w:rPr>
                <w:rFonts w:hint="eastAsia" w:ascii="宋体" w:hAnsi="宋体" w:eastAsia="宋体" w:cs="宋体"/>
                <w:color w:val="auto"/>
                <w:sz w:val="21"/>
                <w:szCs w:val="21"/>
              </w:rPr>
            </w:pPr>
            <w:r>
              <w:rPr>
                <w:rStyle w:val="25"/>
                <w:rFonts w:hint="eastAsia" w:ascii="宋体" w:hAnsi="宋体" w:eastAsia="宋体" w:cs="宋体"/>
                <w:color w:val="auto"/>
                <w:sz w:val="21"/>
                <w:szCs w:val="21"/>
                <w:lang w:bidi="ar"/>
              </w:rPr>
              <w:t>一.整体设计</w:t>
            </w:r>
            <w:r>
              <w:rPr>
                <w:rStyle w:val="25"/>
                <w:rFonts w:hint="eastAsia" w:ascii="宋体" w:hAnsi="宋体" w:eastAsia="宋体" w:cs="宋体"/>
                <w:color w:val="auto"/>
                <w:sz w:val="21"/>
                <w:szCs w:val="21"/>
                <w:lang w:bidi="ar"/>
              </w:rPr>
              <w:br w:type="textWrapping"/>
            </w:r>
            <w:r>
              <w:rPr>
                <w:rStyle w:val="25"/>
                <w:rFonts w:hint="eastAsia" w:ascii="宋体" w:hAnsi="宋体" w:eastAsia="宋体" w:cs="宋体"/>
                <w:color w:val="auto"/>
                <w:sz w:val="21"/>
                <w:szCs w:val="21"/>
                <w:lang w:bidi="ar"/>
              </w:rPr>
              <w:t>1)要求平台使用B/S架构设计，支持Chrome、360等主流浏览器访问，方便用户进行平台使用管理。</w:t>
            </w:r>
            <w:r>
              <w:rPr>
                <w:rStyle w:val="25"/>
                <w:rFonts w:hint="eastAsia" w:ascii="宋体" w:hAnsi="宋体" w:eastAsia="宋体" w:cs="宋体"/>
                <w:color w:val="auto"/>
                <w:sz w:val="21"/>
                <w:szCs w:val="21"/>
                <w:lang w:bidi="ar"/>
              </w:rPr>
              <w:br w:type="textWrapping"/>
            </w:r>
            <w:r>
              <w:rPr>
                <w:rStyle w:val="25"/>
                <w:rFonts w:hint="eastAsia" w:ascii="宋体" w:hAnsi="宋体" w:eastAsia="宋体" w:cs="宋体"/>
                <w:color w:val="auto"/>
                <w:sz w:val="21"/>
                <w:szCs w:val="21"/>
                <w:lang w:bidi="ar"/>
              </w:rPr>
              <w:t>2) 为确保平台功能的切实有效应用，需提供落地教师培训服务，辅助教师信息化教学能力提升。</w:t>
            </w:r>
            <w:r>
              <w:rPr>
                <w:rStyle w:val="25"/>
                <w:rFonts w:hint="eastAsia" w:ascii="宋体" w:hAnsi="宋体" w:eastAsia="宋体" w:cs="宋体"/>
                <w:color w:val="auto"/>
                <w:sz w:val="21"/>
                <w:szCs w:val="21"/>
                <w:lang w:bidi="ar"/>
              </w:rPr>
              <w:br w:type="textWrapping"/>
            </w:r>
            <w:r>
              <w:rPr>
                <w:rStyle w:val="25"/>
                <w:rFonts w:hint="eastAsia" w:ascii="宋体" w:hAnsi="宋体" w:eastAsia="宋体" w:cs="宋体"/>
                <w:color w:val="auto"/>
                <w:sz w:val="21"/>
                <w:szCs w:val="21"/>
                <w:lang w:bidi="ar"/>
              </w:rPr>
              <w:t>二．平台功能要求</w:t>
            </w:r>
            <w:r>
              <w:rPr>
                <w:rStyle w:val="25"/>
                <w:rFonts w:hint="eastAsia" w:ascii="宋体" w:hAnsi="宋体" w:eastAsia="宋体" w:cs="宋体"/>
                <w:color w:val="auto"/>
                <w:sz w:val="21"/>
                <w:szCs w:val="21"/>
                <w:lang w:bidi="ar"/>
              </w:rPr>
              <w:br w:type="textWrapping"/>
            </w:r>
            <w:r>
              <w:rPr>
                <w:rStyle w:val="25"/>
                <w:rFonts w:hint="eastAsia" w:ascii="宋体" w:hAnsi="宋体" w:eastAsia="宋体" w:cs="宋体"/>
                <w:color w:val="auto"/>
                <w:sz w:val="21"/>
                <w:szCs w:val="21"/>
                <w:lang w:bidi="ar"/>
              </w:rPr>
              <w:t>1.在线课堂</w:t>
            </w:r>
            <w:r>
              <w:rPr>
                <w:rStyle w:val="25"/>
                <w:rFonts w:hint="eastAsia" w:ascii="宋体" w:hAnsi="宋体" w:eastAsia="宋体" w:cs="宋体"/>
                <w:color w:val="auto"/>
                <w:sz w:val="21"/>
                <w:szCs w:val="21"/>
                <w:lang w:bidi="ar"/>
              </w:rPr>
              <w:br w:type="textWrapping"/>
            </w:r>
            <w:r>
              <w:rPr>
                <w:rStyle w:val="25"/>
                <w:rFonts w:hint="eastAsia" w:ascii="宋体" w:hAnsi="宋体" w:eastAsia="宋体" w:cs="宋体"/>
                <w:color w:val="auto"/>
                <w:sz w:val="21"/>
                <w:szCs w:val="21"/>
                <w:lang w:bidi="ar"/>
              </w:rPr>
              <w:t>1)  直播信息：支持同步显示平台上所有直播课堂的信息，包括课堂名称、直播时间、授课教师、所属学院等，支持显示当前观看人数。</w:t>
            </w:r>
            <w:r>
              <w:rPr>
                <w:rStyle w:val="25"/>
                <w:rFonts w:hint="eastAsia" w:ascii="宋体" w:hAnsi="宋体" w:eastAsia="宋体" w:cs="宋体"/>
                <w:color w:val="auto"/>
                <w:sz w:val="21"/>
                <w:szCs w:val="21"/>
                <w:lang w:bidi="ar"/>
              </w:rPr>
              <w:br w:type="textWrapping"/>
            </w:r>
            <w:r>
              <w:rPr>
                <w:rStyle w:val="25"/>
                <w:rFonts w:hint="eastAsia" w:ascii="宋体" w:hAnsi="宋体" w:eastAsia="宋体" w:cs="宋体"/>
                <w:color w:val="auto"/>
                <w:sz w:val="21"/>
                <w:szCs w:val="21"/>
                <w:lang w:bidi="ar"/>
              </w:rPr>
              <w:t>2）直播检索：支持按教学楼、课室、日历、课程名称等进行搜索筛选。</w:t>
            </w:r>
            <w:r>
              <w:rPr>
                <w:rStyle w:val="25"/>
                <w:rFonts w:hint="eastAsia" w:ascii="宋体" w:hAnsi="宋体" w:eastAsia="宋体" w:cs="宋体"/>
                <w:color w:val="auto"/>
                <w:sz w:val="21"/>
                <w:szCs w:val="21"/>
                <w:lang w:bidi="ar"/>
              </w:rPr>
              <w:br w:type="textWrapping"/>
            </w:r>
            <w:r>
              <w:rPr>
                <w:rStyle w:val="25"/>
                <w:rFonts w:hint="eastAsia" w:ascii="宋体" w:hAnsi="宋体" w:eastAsia="宋体" w:cs="宋体"/>
                <w:color w:val="auto"/>
                <w:sz w:val="21"/>
                <w:szCs w:val="21"/>
                <w:lang w:bidi="ar"/>
              </w:rPr>
              <w:t>3)  多流画面：基于流媒体能力层提供多画面时间轴对齐功能，支持在同一视频播放器中将教室内教师画面、学生画面、板书画面和课件画面拼接同步播放，并且支持放大观看任意一路画面，实现多画面声画高度同步。</w:t>
            </w:r>
            <w:r>
              <w:rPr>
                <w:rStyle w:val="25"/>
                <w:rFonts w:hint="eastAsia" w:ascii="宋体" w:hAnsi="宋体" w:eastAsia="宋体" w:cs="宋体"/>
                <w:color w:val="auto"/>
                <w:sz w:val="21"/>
                <w:szCs w:val="21"/>
                <w:lang w:bidi="ar"/>
              </w:rPr>
              <w:br w:type="textWrapping"/>
            </w:r>
            <w:r>
              <w:rPr>
                <w:rStyle w:val="25"/>
                <w:rFonts w:hint="eastAsia" w:ascii="宋体" w:hAnsi="宋体" w:eastAsia="宋体" w:cs="宋体"/>
                <w:color w:val="auto"/>
                <w:sz w:val="21"/>
                <w:szCs w:val="21"/>
                <w:lang w:bidi="ar"/>
              </w:rPr>
              <w:t>4）观看画面控制：平台支持针对播放画面进行区域放大缩小操作；在播放多流画面时支持用户自主选择收起不观看的画面。</w:t>
            </w:r>
            <w:r>
              <w:rPr>
                <w:rStyle w:val="25"/>
                <w:rFonts w:hint="eastAsia" w:ascii="宋体" w:hAnsi="宋体" w:eastAsia="宋体" w:cs="宋体"/>
                <w:color w:val="auto"/>
                <w:sz w:val="21"/>
                <w:szCs w:val="21"/>
                <w:lang w:bidi="ar"/>
              </w:rPr>
              <w:br w:type="textWrapping"/>
            </w:r>
            <w:r>
              <w:rPr>
                <w:rStyle w:val="25"/>
                <w:rFonts w:hint="eastAsia" w:ascii="宋体" w:hAnsi="宋体" w:eastAsia="宋体" w:cs="宋体"/>
                <w:color w:val="auto"/>
                <w:sz w:val="21"/>
                <w:szCs w:val="21"/>
                <w:lang w:bidi="ar"/>
              </w:rPr>
              <w:t>5）课堂信息：支持查看当前课堂的基本信息，包括课堂名称、授课时间、教学班级、课堂简介等，同时支持下载课程附件。</w:t>
            </w:r>
            <w:r>
              <w:rPr>
                <w:rStyle w:val="25"/>
                <w:rFonts w:hint="eastAsia" w:ascii="宋体" w:hAnsi="宋体" w:eastAsia="宋体" w:cs="宋体"/>
                <w:color w:val="auto"/>
                <w:sz w:val="21"/>
                <w:szCs w:val="21"/>
                <w:lang w:bidi="ar"/>
              </w:rPr>
              <w:br w:type="textWrapping"/>
            </w:r>
            <w:r>
              <w:rPr>
                <w:rStyle w:val="25"/>
                <w:rFonts w:hint="eastAsia" w:ascii="宋体" w:hAnsi="宋体" w:eastAsia="宋体" w:cs="宋体"/>
                <w:color w:val="auto"/>
                <w:sz w:val="21"/>
                <w:szCs w:val="21"/>
                <w:lang w:bidi="ar"/>
              </w:rPr>
              <w:t>6）直播评论：支持观看直播时进行实时文字评论，在线交流观课体验。</w:t>
            </w:r>
            <w:r>
              <w:rPr>
                <w:rStyle w:val="25"/>
                <w:rFonts w:hint="eastAsia" w:ascii="宋体" w:hAnsi="宋体" w:eastAsia="宋体" w:cs="宋体"/>
                <w:color w:val="auto"/>
                <w:sz w:val="21"/>
                <w:szCs w:val="21"/>
                <w:lang w:bidi="ar"/>
              </w:rPr>
              <w:br w:type="textWrapping"/>
            </w:r>
            <w:r>
              <w:rPr>
                <w:rStyle w:val="25"/>
                <w:rFonts w:hint="eastAsia" w:ascii="宋体" w:hAnsi="宋体" w:eastAsia="宋体" w:cs="宋体"/>
                <w:color w:val="auto"/>
                <w:sz w:val="21"/>
                <w:szCs w:val="21"/>
                <w:lang w:bidi="ar"/>
              </w:rPr>
              <w:t>7）课程笔记：支持学生用户在观看课程直播时记录笔记内容，支持输入文字或上传图片，并支持添加笔记的时间驻点。</w:t>
            </w:r>
            <w:r>
              <w:rPr>
                <w:rStyle w:val="25"/>
                <w:rFonts w:hint="eastAsia" w:ascii="宋体" w:hAnsi="宋体" w:eastAsia="宋体" w:cs="宋体"/>
                <w:color w:val="auto"/>
                <w:sz w:val="21"/>
                <w:szCs w:val="21"/>
                <w:lang w:bidi="ar"/>
              </w:rPr>
              <w:br w:type="textWrapping"/>
            </w:r>
            <w:r>
              <w:rPr>
                <w:rStyle w:val="25"/>
                <w:rFonts w:hint="eastAsia" w:ascii="宋体" w:hAnsi="宋体" w:eastAsia="宋体" w:cs="宋体"/>
                <w:color w:val="auto"/>
                <w:sz w:val="21"/>
                <w:szCs w:val="21"/>
                <w:lang w:bidi="ar"/>
              </w:rPr>
              <w:t>8）课堂实录：支持同一堂课的课程直播视频归档，归档后可在课堂实录模块查看完整的课堂视频。</w:t>
            </w:r>
            <w:r>
              <w:rPr>
                <w:rStyle w:val="25"/>
                <w:rFonts w:hint="eastAsia" w:ascii="宋体" w:hAnsi="宋体" w:eastAsia="宋体" w:cs="宋体"/>
                <w:color w:val="auto"/>
                <w:sz w:val="21"/>
                <w:szCs w:val="21"/>
                <w:lang w:bidi="ar"/>
              </w:rPr>
              <w:br w:type="textWrapping"/>
            </w:r>
            <w:r>
              <w:rPr>
                <w:rStyle w:val="25"/>
                <w:rFonts w:hint="eastAsia" w:ascii="宋体" w:hAnsi="宋体" w:eastAsia="宋体" w:cs="宋体"/>
                <w:color w:val="auto"/>
                <w:sz w:val="21"/>
                <w:szCs w:val="21"/>
                <w:lang w:bidi="ar"/>
              </w:rPr>
              <w:t>9）AI监测：支持对直播归档的课程视频进行AI智能监测分析，可在AI监测模块查看该课程的出勤、课堂提问、高频词敏感词等详细信息。</w:t>
            </w:r>
            <w:r>
              <w:rPr>
                <w:rStyle w:val="25"/>
                <w:rFonts w:hint="eastAsia" w:ascii="宋体" w:hAnsi="宋体" w:eastAsia="宋体" w:cs="宋体"/>
                <w:color w:val="auto"/>
                <w:sz w:val="21"/>
                <w:szCs w:val="21"/>
                <w:lang w:bidi="ar"/>
              </w:rPr>
              <w:br w:type="textWrapping"/>
            </w:r>
            <w:r>
              <w:rPr>
                <w:rStyle w:val="25"/>
                <w:rFonts w:hint="eastAsia" w:ascii="宋体" w:hAnsi="宋体" w:eastAsia="宋体" w:cs="宋体"/>
                <w:color w:val="auto"/>
                <w:sz w:val="21"/>
                <w:szCs w:val="21"/>
                <w:lang w:bidi="ar"/>
              </w:rPr>
              <w:t>10）语音转写：支持对直播归档的课程视频进行语音转写，可显示完整的文字记录与字幕信息，支持点击跳转至对应的视频时间节点进行观看。</w:t>
            </w:r>
            <w:r>
              <w:rPr>
                <w:rStyle w:val="25"/>
                <w:rFonts w:hint="eastAsia" w:ascii="宋体" w:hAnsi="宋体" w:eastAsia="宋体" w:cs="宋体"/>
                <w:color w:val="auto"/>
                <w:sz w:val="21"/>
                <w:szCs w:val="21"/>
                <w:lang w:bidi="ar"/>
              </w:rPr>
              <w:br w:type="textWrapping"/>
            </w:r>
            <w:r>
              <w:rPr>
                <w:rStyle w:val="25"/>
                <w:rFonts w:hint="eastAsia" w:ascii="宋体" w:hAnsi="宋体" w:eastAsia="宋体" w:cs="宋体"/>
                <w:color w:val="auto"/>
                <w:sz w:val="21"/>
                <w:szCs w:val="21"/>
                <w:lang w:bidi="ar"/>
              </w:rPr>
              <w:t>11）AI监测报告：平台支持有权限的用户查阅并下载课堂的AI分析报告，报告包含数据反馈、参考价值、分析解读等内容。</w:t>
            </w:r>
            <w:r>
              <w:rPr>
                <w:rStyle w:val="25"/>
                <w:rFonts w:hint="eastAsia" w:ascii="宋体" w:hAnsi="宋体" w:eastAsia="宋体" w:cs="宋体"/>
                <w:color w:val="auto"/>
                <w:sz w:val="21"/>
                <w:szCs w:val="21"/>
                <w:lang w:bidi="ar"/>
              </w:rPr>
              <w:br w:type="textWrapping"/>
            </w:r>
            <w:r>
              <w:rPr>
                <w:rStyle w:val="25"/>
                <w:rFonts w:hint="eastAsia" w:ascii="宋体" w:hAnsi="宋体" w:eastAsia="宋体" w:cs="宋体"/>
                <w:color w:val="auto"/>
                <w:sz w:val="21"/>
                <w:szCs w:val="21"/>
                <w:lang w:bidi="ar"/>
              </w:rPr>
              <w:t>12）直播排课：支持与教务系统对接，关联生成学年学期课表数据，同时支持编辑课表课程、用户自主添加排课。编辑排课时支持设置课堂名称、授课教室授课时间、观看权限等基本信息，支持自定义排课周次来快速完成整个学期的排课计划。支持设置对应的教学班级与上传课程附件。附件上传后，在课程点播时支持同步下载。</w:t>
            </w:r>
            <w:r>
              <w:rPr>
                <w:rStyle w:val="25"/>
                <w:rFonts w:hint="eastAsia" w:ascii="宋体" w:hAnsi="宋体" w:eastAsia="宋体" w:cs="宋体"/>
                <w:color w:val="auto"/>
                <w:sz w:val="21"/>
                <w:szCs w:val="21"/>
                <w:lang w:bidi="ar"/>
              </w:rPr>
              <w:br w:type="textWrapping"/>
            </w:r>
            <w:r>
              <w:rPr>
                <w:rStyle w:val="25"/>
                <w:rFonts w:hint="eastAsia" w:ascii="宋体" w:hAnsi="宋体" w:eastAsia="宋体" w:cs="宋体"/>
                <w:color w:val="auto"/>
                <w:sz w:val="21"/>
                <w:szCs w:val="21"/>
                <w:lang w:bidi="ar"/>
              </w:rPr>
              <w:t>13）直播视频管理：支持对直播归档回来的课堂实录视频进行编辑管理，包括预览实录视频、编辑字幕、添加知识点，以及下载已有的实录视频和添加上传视频。</w:t>
            </w:r>
            <w:r>
              <w:rPr>
                <w:rStyle w:val="25"/>
                <w:rFonts w:hint="eastAsia" w:ascii="宋体" w:hAnsi="宋体" w:eastAsia="宋体" w:cs="宋体"/>
                <w:color w:val="auto"/>
                <w:sz w:val="21"/>
                <w:szCs w:val="21"/>
                <w:lang w:bidi="ar"/>
              </w:rPr>
              <w:br w:type="textWrapping"/>
            </w:r>
            <w:r>
              <w:rPr>
                <w:rStyle w:val="25"/>
                <w:rFonts w:hint="eastAsia" w:ascii="宋体" w:hAnsi="宋体" w:eastAsia="宋体" w:cs="宋体"/>
                <w:color w:val="auto"/>
                <w:sz w:val="21"/>
                <w:szCs w:val="21"/>
                <w:lang w:bidi="ar"/>
              </w:rPr>
              <w:t>14）云直播对接：平台支持与云直播授权对接，开启云直播后将默认消耗指定云直播项目下的流量。</w:t>
            </w:r>
            <w:r>
              <w:rPr>
                <w:rStyle w:val="25"/>
                <w:rFonts w:hint="eastAsia" w:ascii="宋体" w:hAnsi="宋体" w:eastAsia="宋体" w:cs="宋体"/>
                <w:color w:val="auto"/>
                <w:sz w:val="21"/>
                <w:szCs w:val="21"/>
                <w:lang w:bidi="ar"/>
              </w:rPr>
              <w:br w:type="textWrapping"/>
            </w:r>
            <w:r>
              <w:rPr>
                <w:rStyle w:val="25"/>
                <w:rFonts w:hint="eastAsia" w:ascii="宋体" w:hAnsi="宋体" w:eastAsia="宋体" w:cs="宋体"/>
                <w:color w:val="auto"/>
                <w:sz w:val="21"/>
                <w:szCs w:val="21"/>
                <w:lang w:bidi="ar"/>
              </w:rPr>
              <w:t>2.课程资源</w:t>
            </w:r>
            <w:r>
              <w:rPr>
                <w:rStyle w:val="25"/>
                <w:rFonts w:hint="eastAsia" w:ascii="宋体" w:hAnsi="宋体" w:eastAsia="宋体" w:cs="宋体"/>
                <w:color w:val="auto"/>
                <w:sz w:val="21"/>
                <w:szCs w:val="21"/>
                <w:lang w:bidi="ar"/>
              </w:rPr>
              <w:br w:type="textWrapping"/>
            </w:r>
            <w:r>
              <w:rPr>
                <w:rStyle w:val="25"/>
                <w:rFonts w:hint="eastAsia" w:ascii="宋体" w:hAnsi="宋体" w:eastAsia="宋体" w:cs="宋体"/>
                <w:color w:val="auto"/>
                <w:sz w:val="21"/>
                <w:szCs w:val="21"/>
                <w:lang w:bidi="ar"/>
              </w:rPr>
              <w:t>1）支持汇聚校内系列课程视频的直播点播，按学年学期、学院、课程类型分类归档。同时支持用户根据需求按“最新”/“最热”切换查看课程资源。</w:t>
            </w:r>
            <w:r>
              <w:rPr>
                <w:rStyle w:val="25"/>
                <w:rFonts w:hint="eastAsia" w:ascii="宋体" w:hAnsi="宋体" w:eastAsia="宋体" w:cs="宋体"/>
                <w:color w:val="auto"/>
                <w:sz w:val="21"/>
                <w:szCs w:val="21"/>
                <w:lang w:bidi="ar"/>
              </w:rPr>
              <w:br w:type="textWrapping"/>
            </w:r>
            <w:r>
              <w:rPr>
                <w:rStyle w:val="25"/>
                <w:rFonts w:hint="eastAsia" w:ascii="宋体" w:hAnsi="宋体" w:eastAsia="宋体" w:cs="宋体"/>
                <w:color w:val="auto"/>
                <w:sz w:val="21"/>
                <w:szCs w:val="21"/>
                <w:lang w:bidi="ar"/>
              </w:rPr>
              <w:t>2）视频检索：支持按学年学期、所属学院、课程类型、课程名称等进行搜索筛选。</w:t>
            </w:r>
            <w:r>
              <w:rPr>
                <w:rStyle w:val="25"/>
                <w:rFonts w:hint="eastAsia" w:ascii="宋体" w:hAnsi="宋体" w:eastAsia="宋体" w:cs="宋体"/>
                <w:color w:val="auto"/>
                <w:sz w:val="21"/>
                <w:szCs w:val="21"/>
                <w:lang w:bidi="ar"/>
              </w:rPr>
              <w:br w:type="textWrapping"/>
            </w:r>
            <w:r>
              <w:rPr>
                <w:rStyle w:val="25"/>
                <w:rFonts w:hint="eastAsia" w:ascii="宋体" w:hAnsi="宋体" w:eastAsia="宋体" w:cs="宋体"/>
                <w:color w:val="auto"/>
                <w:sz w:val="21"/>
                <w:szCs w:val="21"/>
                <w:lang w:bidi="ar"/>
              </w:rPr>
              <w:t>3）课程信息：支持显示每一门课程的基本信息，包括授课教师、教学班级、授课学期、所属学院、课程简介等。</w:t>
            </w:r>
            <w:r>
              <w:rPr>
                <w:rStyle w:val="25"/>
                <w:rFonts w:hint="eastAsia" w:ascii="宋体" w:hAnsi="宋体" w:eastAsia="宋体" w:cs="宋体"/>
                <w:color w:val="auto"/>
                <w:sz w:val="21"/>
                <w:szCs w:val="21"/>
                <w:lang w:bidi="ar"/>
              </w:rPr>
              <w:br w:type="textWrapping"/>
            </w:r>
            <w:r>
              <w:rPr>
                <w:rStyle w:val="25"/>
                <w:rFonts w:hint="eastAsia" w:ascii="宋体" w:hAnsi="宋体" w:eastAsia="宋体" w:cs="宋体"/>
                <w:color w:val="auto"/>
                <w:sz w:val="21"/>
                <w:szCs w:val="21"/>
                <w:lang w:bidi="ar"/>
              </w:rPr>
              <w:t>4）关联课表数据：支持关联当前学年学期课表直播数据，可直观查看该门课程的不同课节直播时间、状态。课堂直播后自动将视频归档到对应的课程下。可按直播名称或者开课时间进行课堂直播搜索。点播时支持显示课表数据，用户可根据自身学习进度选择相应课节视频进行点播学习。</w:t>
            </w:r>
            <w:r>
              <w:rPr>
                <w:rStyle w:val="25"/>
                <w:rFonts w:hint="eastAsia" w:ascii="宋体" w:hAnsi="宋体" w:eastAsia="宋体" w:cs="宋体"/>
                <w:color w:val="auto"/>
                <w:sz w:val="21"/>
                <w:szCs w:val="21"/>
                <w:lang w:bidi="ar"/>
              </w:rPr>
              <w:br w:type="textWrapping"/>
            </w:r>
            <w:r>
              <w:rPr>
                <w:rStyle w:val="25"/>
                <w:rFonts w:hint="eastAsia" w:ascii="宋体" w:hAnsi="宋体" w:eastAsia="宋体" w:cs="宋体"/>
                <w:color w:val="auto"/>
                <w:sz w:val="21"/>
                <w:szCs w:val="21"/>
                <w:lang w:bidi="ar"/>
              </w:rPr>
              <w:t>5)  视频列表：支持汇聚直播视频、手动上传多个视频形成系列课程，完整有效地帮助用户完成网络在线学习活动。点播时支持显示视频列表，用户可根据自身学习进度选择相应课节视频进行点播学习。</w:t>
            </w:r>
            <w:r>
              <w:rPr>
                <w:rStyle w:val="25"/>
                <w:rFonts w:hint="eastAsia" w:ascii="宋体" w:hAnsi="宋体" w:eastAsia="宋体" w:cs="宋体"/>
                <w:color w:val="auto"/>
                <w:sz w:val="21"/>
                <w:szCs w:val="21"/>
                <w:lang w:bidi="ar"/>
              </w:rPr>
              <w:br w:type="textWrapping"/>
            </w:r>
            <w:r>
              <w:rPr>
                <w:rStyle w:val="25"/>
                <w:rFonts w:hint="eastAsia" w:ascii="宋体" w:hAnsi="宋体" w:eastAsia="宋体" w:cs="宋体"/>
                <w:color w:val="auto"/>
                <w:sz w:val="21"/>
                <w:szCs w:val="21"/>
                <w:lang w:bidi="ar"/>
              </w:rPr>
              <w:t>6）课程点播：支持用户在线观看课程视频，查看课程信息、关联的课表数据、完整的视频列表和下载课程附件。若是查看直播归档回来的课堂视频，可查看多个信号源画面，还可在AI监测中提示的高频词、敏感词、课堂提问等信息，支持显示字幕、语音转写信息，点击句子可直接跳转至视频对应的时间点进行观看。</w:t>
            </w:r>
            <w:r>
              <w:rPr>
                <w:rStyle w:val="25"/>
                <w:rFonts w:hint="eastAsia" w:ascii="宋体" w:hAnsi="宋体" w:eastAsia="宋体" w:cs="宋体"/>
                <w:color w:val="auto"/>
                <w:sz w:val="21"/>
                <w:szCs w:val="21"/>
                <w:lang w:bidi="ar"/>
              </w:rPr>
              <w:br w:type="textWrapping"/>
            </w:r>
            <w:r>
              <w:rPr>
                <w:rStyle w:val="25"/>
                <w:rFonts w:hint="eastAsia" w:ascii="宋体" w:hAnsi="宋体" w:eastAsia="宋体" w:cs="宋体"/>
                <w:color w:val="auto"/>
                <w:sz w:val="21"/>
                <w:szCs w:val="21"/>
                <w:lang w:bidi="ar"/>
              </w:rPr>
              <w:t>7）课程笔记：支持学生用户在观看课程直播时记录笔记内容，支持输入文字或上传图片，并支持添加笔记的时间驻点。</w:t>
            </w:r>
            <w:r>
              <w:rPr>
                <w:rStyle w:val="25"/>
                <w:rFonts w:hint="eastAsia" w:ascii="宋体" w:hAnsi="宋体" w:eastAsia="宋体" w:cs="宋体"/>
                <w:color w:val="auto"/>
                <w:sz w:val="21"/>
                <w:szCs w:val="21"/>
                <w:lang w:bidi="ar"/>
              </w:rPr>
              <w:br w:type="textWrapping"/>
            </w:r>
            <w:r>
              <w:rPr>
                <w:rStyle w:val="25"/>
                <w:rFonts w:hint="eastAsia" w:ascii="宋体" w:hAnsi="宋体" w:eastAsia="宋体" w:cs="宋体"/>
                <w:color w:val="auto"/>
                <w:sz w:val="21"/>
                <w:szCs w:val="21"/>
                <w:lang w:bidi="ar"/>
              </w:rPr>
              <w:t>8）创建课程：支持用户自主创建教学课程，设置课程名称、所属教师、学年学期等基本信息，支持进行权限设置，包括添加对课程有管理权限的教师团队，选择观看的班级/学院范围。</w:t>
            </w:r>
            <w:r>
              <w:rPr>
                <w:rStyle w:val="25"/>
                <w:rFonts w:hint="eastAsia" w:ascii="宋体" w:hAnsi="宋体" w:eastAsia="宋体" w:cs="宋体"/>
                <w:color w:val="auto"/>
                <w:sz w:val="21"/>
                <w:szCs w:val="21"/>
                <w:lang w:bidi="ar"/>
              </w:rPr>
              <w:br w:type="textWrapping"/>
            </w:r>
            <w:r>
              <w:rPr>
                <w:rStyle w:val="25"/>
                <w:rFonts w:hint="eastAsia" w:ascii="宋体" w:hAnsi="宋体" w:eastAsia="宋体" w:cs="宋体"/>
                <w:color w:val="auto"/>
                <w:sz w:val="21"/>
                <w:szCs w:val="21"/>
                <w:lang w:bidi="ar"/>
              </w:rPr>
              <w:t>9）课程管理：支持显示课程列表，可按课程名称、学年学期、课程类型等进行筛选搜索。支持对已有的课程进行编辑管理、关联课表数据、添加课程视频文件，丰富课程内容。</w:t>
            </w:r>
            <w:r>
              <w:rPr>
                <w:rStyle w:val="25"/>
                <w:rFonts w:hint="eastAsia" w:ascii="宋体" w:hAnsi="宋体" w:eastAsia="宋体" w:cs="宋体"/>
                <w:color w:val="auto"/>
                <w:sz w:val="21"/>
                <w:szCs w:val="21"/>
                <w:lang w:bidi="ar"/>
              </w:rPr>
              <w:br w:type="textWrapping"/>
            </w:r>
            <w:r>
              <w:rPr>
                <w:rStyle w:val="25"/>
                <w:rFonts w:hint="eastAsia" w:ascii="宋体" w:hAnsi="宋体" w:eastAsia="宋体" w:cs="宋体"/>
                <w:color w:val="auto"/>
                <w:sz w:val="21"/>
                <w:szCs w:val="21"/>
                <w:lang w:bidi="ar"/>
              </w:rPr>
              <w:t>3.专辑资源</w:t>
            </w:r>
            <w:r>
              <w:rPr>
                <w:rStyle w:val="25"/>
                <w:rFonts w:hint="eastAsia" w:ascii="宋体" w:hAnsi="宋体" w:eastAsia="宋体" w:cs="宋体"/>
                <w:color w:val="auto"/>
                <w:sz w:val="21"/>
                <w:szCs w:val="21"/>
                <w:lang w:bidi="ar"/>
              </w:rPr>
              <w:br w:type="textWrapping"/>
            </w:r>
            <w:r>
              <w:rPr>
                <w:rStyle w:val="25"/>
                <w:rFonts w:hint="eastAsia" w:ascii="宋体" w:hAnsi="宋体" w:eastAsia="宋体" w:cs="宋体"/>
                <w:color w:val="auto"/>
                <w:sz w:val="21"/>
                <w:szCs w:val="21"/>
                <w:lang w:bidi="ar"/>
              </w:rPr>
              <w:t>1）点播资源颗粒度管理：支持将视频资源按类型等进行分类归档管理。支持用户自定义每个视频的简介和封面，以人性化方式呈现每个视频的个性化展示。</w:t>
            </w:r>
            <w:r>
              <w:rPr>
                <w:rStyle w:val="25"/>
                <w:rFonts w:hint="eastAsia" w:ascii="宋体" w:hAnsi="宋体" w:eastAsia="宋体" w:cs="宋体"/>
                <w:color w:val="auto"/>
                <w:sz w:val="21"/>
                <w:szCs w:val="21"/>
                <w:lang w:bidi="ar"/>
              </w:rPr>
              <w:br w:type="textWrapping"/>
            </w:r>
            <w:r>
              <w:rPr>
                <w:rStyle w:val="25"/>
                <w:rFonts w:hint="eastAsia" w:ascii="宋体" w:hAnsi="宋体" w:eastAsia="宋体" w:cs="宋体"/>
                <w:color w:val="auto"/>
                <w:sz w:val="21"/>
                <w:szCs w:val="21"/>
                <w:lang w:bidi="ar"/>
              </w:rPr>
              <w:t>2）专辑视频检索：支持按专辑类型、名称等进行快速检索，方便用户快速筛选所需视频进行点播学习。</w:t>
            </w:r>
            <w:r>
              <w:rPr>
                <w:rStyle w:val="25"/>
                <w:rFonts w:hint="eastAsia" w:ascii="宋体" w:hAnsi="宋体" w:eastAsia="宋体" w:cs="宋体"/>
                <w:color w:val="auto"/>
                <w:sz w:val="21"/>
                <w:szCs w:val="21"/>
                <w:lang w:bidi="ar"/>
              </w:rPr>
              <w:br w:type="textWrapping"/>
            </w:r>
            <w:r>
              <w:rPr>
                <w:rStyle w:val="25"/>
                <w:rFonts w:hint="eastAsia" w:ascii="宋体" w:hAnsi="宋体" w:eastAsia="宋体" w:cs="宋体"/>
                <w:color w:val="auto"/>
                <w:sz w:val="21"/>
                <w:szCs w:val="21"/>
                <w:lang w:bidi="ar"/>
              </w:rPr>
              <w:t>3）专辑视频点播：支持显示专辑基本名称、专辑简介等基本信息以及所包含的视频列表，用户可按需选取视频进行点播学习。</w:t>
            </w:r>
            <w:r>
              <w:rPr>
                <w:rStyle w:val="25"/>
                <w:rFonts w:hint="eastAsia" w:ascii="宋体" w:hAnsi="宋体" w:eastAsia="宋体" w:cs="宋体"/>
                <w:color w:val="auto"/>
                <w:sz w:val="21"/>
                <w:szCs w:val="21"/>
                <w:lang w:bidi="ar"/>
              </w:rPr>
              <w:br w:type="textWrapping"/>
            </w:r>
            <w:r>
              <w:rPr>
                <w:rStyle w:val="25"/>
                <w:rFonts w:hint="eastAsia" w:ascii="宋体" w:hAnsi="宋体" w:eastAsia="宋体" w:cs="宋体"/>
                <w:color w:val="auto"/>
                <w:sz w:val="21"/>
                <w:szCs w:val="21"/>
                <w:lang w:bidi="ar"/>
              </w:rPr>
              <w:t>4）专辑上传权限：支持用户在创建专辑时设置该专辑的上传权限，可设置“仅自己上传”、“指定上传人员”和“公开上传”。</w:t>
            </w:r>
            <w:r>
              <w:rPr>
                <w:rStyle w:val="25"/>
                <w:rFonts w:hint="eastAsia" w:ascii="宋体" w:hAnsi="宋体" w:eastAsia="宋体" w:cs="宋体"/>
                <w:color w:val="auto"/>
                <w:sz w:val="21"/>
                <w:szCs w:val="21"/>
                <w:lang w:bidi="ar"/>
              </w:rPr>
              <w:br w:type="textWrapping"/>
            </w:r>
            <w:r>
              <w:rPr>
                <w:rStyle w:val="25"/>
                <w:rFonts w:hint="eastAsia" w:ascii="宋体" w:hAnsi="宋体" w:eastAsia="宋体" w:cs="宋体"/>
                <w:color w:val="auto"/>
                <w:sz w:val="21"/>
                <w:szCs w:val="21"/>
                <w:lang w:bidi="ar"/>
              </w:rPr>
              <w:t>5）专辑协同管理：支持用户添加管理教师团队共同协作管理专辑资源。协作管理的教师可在个人中心中查看共同协作的专辑数据以及为该专辑添加相关视频。</w:t>
            </w:r>
            <w:r>
              <w:rPr>
                <w:rStyle w:val="25"/>
                <w:rFonts w:hint="eastAsia" w:ascii="宋体" w:hAnsi="宋体" w:eastAsia="宋体" w:cs="宋体"/>
                <w:color w:val="auto"/>
                <w:sz w:val="21"/>
                <w:szCs w:val="21"/>
                <w:lang w:bidi="ar"/>
              </w:rPr>
              <w:br w:type="textWrapping"/>
            </w:r>
            <w:r>
              <w:rPr>
                <w:rStyle w:val="25"/>
                <w:rFonts w:hint="eastAsia" w:ascii="宋体" w:hAnsi="宋体" w:eastAsia="宋体" w:cs="宋体"/>
                <w:color w:val="auto"/>
                <w:sz w:val="21"/>
                <w:szCs w:val="21"/>
                <w:lang w:bidi="ar"/>
              </w:rPr>
              <w:t>4.在线巡课</w:t>
            </w:r>
            <w:r>
              <w:rPr>
                <w:rStyle w:val="25"/>
                <w:rFonts w:hint="eastAsia" w:ascii="宋体" w:hAnsi="宋体" w:eastAsia="宋体" w:cs="宋体"/>
                <w:color w:val="auto"/>
                <w:sz w:val="21"/>
                <w:szCs w:val="21"/>
                <w:lang w:bidi="ar"/>
              </w:rPr>
              <w:br w:type="textWrapping"/>
            </w:r>
            <w:r>
              <w:rPr>
                <w:rStyle w:val="25"/>
                <w:rFonts w:hint="eastAsia" w:ascii="宋体" w:hAnsi="宋体" w:eastAsia="宋体" w:cs="宋体"/>
                <w:color w:val="auto"/>
                <w:sz w:val="21"/>
                <w:szCs w:val="21"/>
                <w:lang w:bidi="ar"/>
              </w:rPr>
              <w:t>1）巡课列表：支持按学校教学楼、教室、课表等分类呈现巡课列表，列表中支持显示当前教室或课程的授课状态，并可点击进入进行巡课。</w:t>
            </w:r>
            <w:r>
              <w:rPr>
                <w:rStyle w:val="25"/>
                <w:rFonts w:hint="eastAsia" w:ascii="宋体" w:hAnsi="宋体" w:eastAsia="宋体" w:cs="宋体"/>
                <w:color w:val="auto"/>
                <w:sz w:val="21"/>
                <w:szCs w:val="21"/>
                <w:lang w:bidi="ar"/>
              </w:rPr>
              <w:br w:type="textWrapping"/>
            </w:r>
            <w:r>
              <w:rPr>
                <w:rStyle w:val="25"/>
                <w:rFonts w:hint="eastAsia" w:ascii="宋体" w:hAnsi="宋体" w:eastAsia="宋体" w:cs="宋体"/>
                <w:color w:val="auto"/>
                <w:sz w:val="21"/>
                <w:szCs w:val="21"/>
                <w:lang w:bidi="ar"/>
              </w:rPr>
              <w:t>2）支持通过平台进行课程直播视频调取，远程观看开课现场画面。同时可支持授课教师、教学班级、授课时间等相关信息展示。</w:t>
            </w:r>
            <w:r>
              <w:rPr>
                <w:rStyle w:val="25"/>
                <w:rFonts w:hint="eastAsia" w:ascii="宋体" w:hAnsi="宋体" w:eastAsia="宋体" w:cs="宋体"/>
                <w:color w:val="auto"/>
                <w:sz w:val="21"/>
                <w:szCs w:val="21"/>
                <w:lang w:bidi="ar"/>
              </w:rPr>
              <w:br w:type="textWrapping"/>
            </w:r>
            <w:r>
              <w:rPr>
                <w:rStyle w:val="25"/>
                <w:rFonts w:hint="eastAsia" w:ascii="宋体" w:hAnsi="宋体" w:eastAsia="宋体" w:cs="宋体"/>
                <w:color w:val="auto"/>
                <w:sz w:val="21"/>
                <w:szCs w:val="21"/>
                <w:lang w:bidi="ar"/>
              </w:rPr>
              <w:t>3）巡课评价：支持具有巡课权限的教师对所巡课程进行多维度的课堂评分和评语填写。对于已提交的巡课评价，支持进行编辑修改。</w:t>
            </w:r>
            <w:r>
              <w:rPr>
                <w:rStyle w:val="25"/>
                <w:rFonts w:hint="eastAsia" w:ascii="宋体" w:hAnsi="宋体" w:eastAsia="宋体" w:cs="宋体"/>
                <w:color w:val="auto"/>
                <w:sz w:val="21"/>
                <w:szCs w:val="21"/>
                <w:lang w:bidi="ar"/>
              </w:rPr>
              <w:br w:type="textWrapping"/>
            </w:r>
            <w:r>
              <w:rPr>
                <w:rStyle w:val="25"/>
                <w:rFonts w:hint="eastAsia" w:ascii="宋体" w:hAnsi="宋体" w:eastAsia="宋体" w:cs="宋体"/>
                <w:color w:val="auto"/>
                <w:sz w:val="21"/>
                <w:szCs w:val="21"/>
                <w:lang w:bidi="ar"/>
              </w:rPr>
              <w:t>4）巡课拍照：巡课过程中支持截图拍照，并支持对截图添加文字描述、标签等信息，拍照记录支持编辑和删除。</w:t>
            </w:r>
            <w:r>
              <w:rPr>
                <w:rStyle w:val="25"/>
                <w:rFonts w:hint="eastAsia" w:ascii="宋体" w:hAnsi="宋体" w:eastAsia="宋体" w:cs="宋体"/>
                <w:color w:val="auto"/>
                <w:sz w:val="21"/>
                <w:szCs w:val="21"/>
                <w:lang w:bidi="ar"/>
              </w:rPr>
              <w:br w:type="textWrapping"/>
            </w:r>
            <w:r>
              <w:rPr>
                <w:rStyle w:val="25"/>
                <w:rFonts w:hint="eastAsia" w:ascii="宋体" w:hAnsi="宋体" w:eastAsia="宋体" w:cs="宋体"/>
                <w:color w:val="auto"/>
                <w:sz w:val="21"/>
                <w:szCs w:val="21"/>
                <w:lang w:bidi="ar"/>
              </w:rPr>
              <w:t>5) 多教室巡课：支持同时选择多个巡课教室画面，可选择不同的画面布局，从而实现对多个教室的远程直播巡课。对于有巡课任务的教室，支持显示评价标识，点击即可跳转至该教室直播页面进行巡课评价。</w:t>
            </w:r>
            <w:r>
              <w:rPr>
                <w:rStyle w:val="25"/>
                <w:rFonts w:hint="eastAsia" w:ascii="宋体" w:hAnsi="宋体" w:eastAsia="宋体" w:cs="宋体"/>
                <w:color w:val="auto"/>
                <w:sz w:val="21"/>
                <w:szCs w:val="21"/>
                <w:lang w:bidi="ar"/>
              </w:rPr>
              <w:br w:type="textWrapping"/>
            </w:r>
            <w:r>
              <w:rPr>
                <w:rStyle w:val="25"/>
                <w:rFonts w:hint="eastAsia" w:ascii="宋体" w:hAnsi="宋体" w:eastAsia="宋体" w:cs="宋体"/>
                <w:color w:val="auto"/>
                <w:sz w:val="21"/>
                <w:szCs w:val="21"/>
                <w:lang w:bidi="ar"/>
              </w:rPr>
              <w:t>6）巡课反馈：支持生成、导出课堂评价报告，包含课程基础信息、评价数据、敏感词次数、课堂评价评分、课堂评语和课堂拍照等内容。其中，可查看课堂评价评分的详细情况，显示评分细则与督导员打分等。</w:t>
            </w:r>
            <w:r>
              <w:rPr>
                <w:rStyle w:val="25"/>
                <w:rFonts w:hint="eastAsia" w:ascii="宋体" w:hAnsi="宋体" w:eastAsia="宋体" w:cs="宋体"/>
                <w:color w:val="auto"/>
                <w:sz w:val="21"/>
                <w:szCs w:val="21"/>
                <w:lang w:bidi="ar"/>
              </w:rPr>
              <w:br w:type="textWrapping"/>
            </w:r>
            <w:r>
              <w:rPr>
                <w:rStyle w:val="25"/>
                <w:rFonts w:hint="eastAsia" w:ascii="宋体" w:hAnsi="宋体" w:eastAsia="宋体" w:cs="宋体"/>
                <w:color w:val="auto"/>
                <w:sz w:val="21"/>
                <w:szCs w:val="21"/>
                <w:lang w:bidi="ar"/>
              </w:rPr>
              <w:t>7）巡课记录：支持查看巡课记录，包含已评价课堂数、督导评分均值数据、未评价课堂数等数据，以及已评价课堂的课程列表信息。其中，支持一键查看未评价课堂列表，点击“巡课”操作按钮即可跳转至该课堂巡课评价页面。</w:t>
            </w:r>
            <w:r>
              <w:rPr>
                <w:rStyle w:val="25"/>
                <w:rFonts w:hint="eastAsia" w:ascii="宋体" w:hAnsi="宋体" w:eastAsia="宋体" w:cs="宋体"/>
                <w:color w:val="auto"/>
                <w:sz w:val="21"/>
                <w:szCs w:val="21"/>
                <w:lang w:bidi="ar"/>
              </w:rPr>
              <w:br w:type="textWrapping"/>
            </w:r>
            <w:r>
              <w:rPr>
                <w:rStyle w:val="25"/>
                <w:rFonts w:hint="eastAsia" w:ascii="宋体" w:hAnsi="宋体" w:eastAsia="宋体" w:cs="宋体"/>
                <w:color w:val="auto"/>
                <w:sz w:val="21"/>
                <w:szCs w:val="21"/>
                <w:lang w:bidi="ar"/>
              </w:rPr>
              <w:t>8）评价模版：支持创建评价模版，可自定义添加评分项、评语项，可对已有评价模版进行编辑、删除。</w:t>
            </w:r>
            <w:r>
              <w:rPr>
                <w:rStyle w:val="25"/>
                <w:rFonts w:hint="eastAsia" w:ascii="宋体" w:hAnsi="宋体" w:eastAsia="宋体" w:cs="宋体"/>
                <w:color w:val="auto"/>
                <w:sz w:val="21"/>
                <w:szCs w:val="21"/>
                <w:lang w:bidi="ar"/>
              </w:rPr>
              <w:br w:type="textWrapping"/>
            </w:r>
            <w:r>
              <w:rPr>
                <w:rStyle w:val="25"/>
                <w:rFonts w:hint="eastAsia" w:ascii="宋体" w:hAnsi="宋体" w:eastAsia="宋体" w:cs="宋体"/>
                <w:color w:val="auto"/>
                <w:sz w:val="21"/>
                <w:szCs w:val="21"/>
                <w:lang w:bidi="ar"/>
              </w:rPr>
              <w:t>9）督导团队：支持添加、管理督导员信息，支持编辑督导员巡课范围。</w:t>
            </w:r>
            <w:r>
              <w:rPr>
                <w:rStyle w:val="25"/>
                <w:rFonts w:hint="eastAsia" w:ascii="宋体" w:hAnsi="宋体" w:eastAsia="宋体" w:cs="宋体"/>
                <w:color w:val="auto"/>
                <w:sz w:val="21"/>
                <w:szCs w:val="21"/>
                <w:lang w:bidi="ar"/>
              </w:rPr>
              <w:br w:type="textWrapping"/>
            </w:r>
            <w:r>
              <w:rPr>
                <w:rStyle w:val="25"/>
                <w:rFonts w:hint="eastAsia" w:ascii="宋体" w:hAnsi="宋体" w:eastAsia="宋体" w:cs="宋体"/>
                <w:color w:val="auto"/>
                <w:sz w:val="21"/>
                <w:szCs w:val="21"/>
                <w:lang w:bidi="ar"/>
              </w:rPr>
              <w:t>10）巡课创建：支持创建常态化巡课和任务式巡课两种类型的巡课任务，可根据不同的巡课模式选择对应的评价模版、评价范围，并设置是否开启匿名评价和推送报告等信息。支持添加、编辑需要巡课的课堂。</w:t>
            </w:r>
            <w:r>
              <w:rPr>
                <w:rStyle w:val="25"/>
                <w:rFonts w:hint="eastAsia" w:ascii="宋体" w:hAnsi="宋体" w:eastAsia="宋体" w:cs="宋体"/>
                <w:color w:val="auto"/>
                <w:sz w:val="21"/>
                <w:szCs w:val="21"/>
                <w:lang w:bidi="ar"/>
              </w:rPr>
              <w:br w:type="textWrapping"/>
            </w:r>
            <w:r>
              <w:rPr>
                <w:rStyle w:val="25"/>
                <w:rFonts w:hint="eastAsia" w:ascii="宋体" w:hAnsi="宋体" w:eastAsia="宋体" w:cs="宋体"/>
                <w:color w:val="auto"/>
                <w:sz w:val="21"/>
                <w:szCs w:val="21"/>
                <w:lang w:bidi="ar"/>
              </w:rPr>
              <w:t>11）巡课数据：支持按照总览、院系、督导员、课程、教师等多种维度查看已有的巡课数据，包括评价次数、AI监测课堂数等巡课成果数据，评分均值、评分内容等巡课评价数据以及敏感词监测数据表。支持设置临界值筛选条件，筛选需要的课堂评价数据列表。</w:t>
            </w:r>
            <w:r>
              <w:rPr>
                <w:rStyle w:val="25"/>
                <w:rFonts w:hint="eastAsia" w:ascii="宋体" w:hAnsi="宋体" w:eastAsia="宋体" w:cs="宋体"/>
                <w:color w:val="auto"/>
                <w:sz w:val="21"/>
                <w:szCs w:val="21"/>
                <w:lang w:bidi="ar"/>
              </w:rPr>
              <w:br w:type="textWrapping"/>
            </w:r>
            <w:r>
              <w:rPr>
                <w:rStyle w:val="25"/>
                <w:rFonts w:hint="eastAsia" w:ascii="宋体" w:hAnsi="宋体" w:eastAsia="宋体" w:cs="宋体"/>
                <w:color w:val="auto"/>
                <w:sz w:val="21"/>
                <w:szCs w:val="21"/>
                <w:lang w:bidi="ar"/>
              </w:rPr>
              <w:t>5.个人空间</w:t>
            </w:r>
            <w:r>
              <w:rPr>
                <w:rStyle w:val="25"/>
                <w:rFonts w:hint="eastAsia" w:ascii="宋体" w:hAnsi="宋体" w:eastAsia="宋体" w:cs="宋体"/>
                <w:color w:val="auto"/>
                <w:sz w:val="21"/>
                <w:szCs w:val="21"/>
                <w:lang w:bidi="ar"/>
              </w:rPr>
              <w:br w:type="textWrapping"/>
            </w:r>
            <w:r>
              <w:rPr>
                <w:rStyle w:val="25"/>
                <w:rFonts w:hint="eastAsia" w:ascii="宋体" w:hAnsi="宋体" w:eastAsia="宋体" w:cs="宋体"/>
                <w:color w:val="auto"/>
                <w:sz w:val="21"/>
                <w:szCs w:val="21"/>
                <w:lang w:bidi="ar"/>
              </w:rPr>
              <w:t>1）课表管理：提供课表管理功能，支持自主排课、编辑排课，支持查看课堂实录视频，并支持对课堂实录进行知识点编辑、字幕编辑，支持查看应用AI智能分析生成的课堂报告。</w:t>
            </w:r>
            <w:r>
              <w:rPr>
                <w:rStyle w:val="25"/>
                <w:rFonts w:hint="eastAsia" w:ascii="宋体" w:hAnsi="宋体" w:eastAsia="宋体" w:cs="宋体"/>
                <w:color w:val="auto"/>
                <w:sz w:val="21"/>
                <w:szCs w:val="21"/>
                <w:lang w:bidi="ar"/>
              </w:rPr>
              <w:br w:type="textWrapping"/>
            </w:r>
            <w:r>
              <w:rPr>
                <w:rStyle w:val="25"/>
                <w:rFonts w:hint="eastAsia" w:ascii="宋体" w:hAnsi="宋体" w:eastAsia="宋体" w:cs="宋体"/>
                <w:color w:val="auto"/>
                <w:sz w:val="21"/>
                <w:szCs w:val="21"/>
                <w:lang w:bidi="ar"/>
              </w:rPr>
              <w:t>2）视频管理：支持用户对已有的视频文件进行预览、编辑、下载及删除。支持手动上传新的视频文件，可在新上传的视频文件中添加视频附件，附件支持图片、word、ppt、pdf等格式，用户在观看视频时可直接下载使用。同时支持用户在上传的视频中添加、编辑知识点信息。</w:t>
            </w:r>
            <w:r>
              <w:rPr>
                <w:rStyle w:val="25"/>
                <w:rFonts w:hint="eastAsia" w:ascii="宋体" w:hAnsi="宋体" w:eastAsia="宋体" w:cs="宋体"/>
                <w:color w:val="auto"/>
                <w:sz w:val="21"/>
                <w:szCs w:val="21"/>
                <w:lang w:bidi="ar"/>
              </w:rPr>
              <w:br w:type="textWrapping"/>
            </w:r>
            <w:r>
              <w:rPr>
                <w:rStyle w:val="25"/>
                <w:rFonts w:hint="eastAsia" w:ascii="宋体" w:hAnsi="宋体" w:eastAsia="宋体" w:cs="宋体"/>
                <w:color w:val="auto"/>
                <w:sz w:val="21"/>
                <w:szCs w:val="21"/>
                <w:lang w:bidi="ar"/>
              </w:rPr>
              <w:t>3）公告管理：支持创建、删除及自定义编辑公告信息，方便用户快速发布通知公告；公告支持附件功能，用户浏览公告时可预览PDF和图片文件，或下载其他附件文档。</w:t>
            </w:r>
            <w:r>
              <w:rPr>
                <w:rStyle w:val="25"/>
                <w:rFonts w:hint="eastAsia" w:ascii="宋体" w:hAnsi="宋体" w:eastAsia="宋体" w:cs="宋体"/>
                <w:color w:val="auto"/>
                <w:sz w:val="21"/>
                <w:szCs w:val="21"/>
                <w:lang w:bidi="ar"/>
              </w:rPr>
              <w:br w:type="textWrapping"/>
            </w:r>
            <w:r>
              <w:rPr>
                <w:rStyle w:val="25"/>
                <w:rFonts w:hint="eastAsia" w:ascii="宋体" w:hAnsi="宋体" w:eastAsia="宋体" w:cs="宋体"/>
                <w:color w:val="auto"/>
                <w:sz w:val="21"/>
                <w:szCs w:val="21"/>
                <w:lang w:bidi="ar"/>
              </w:rPr>
              <w:t>4）足迹显示：支持汇集展示用户的访问记录，并带有明显的模块标签，方便用户快速浏览。</w:t>
            </w:r>
            <w:r>
              <w:rPr>
                <w:rStyle w:val="25"/>
                <w:rFonts w:hint="eastAsia" w:ascii="宋体" w:hAnsi="宋体" w:eastAsia="宋体" w:cs="宋体"/>
                <w:color w:val="auto"/>
                <w:sz w:val="21"/>
                <w:szCs w:val="21"/>
                <w:lang w:bidi="ar"/>
              </w:rPr>
              <w:br w:type="textWrapping"/>
            </w:r>
            <w:r>
              <w:rPr>
                <w:rStyle w:val="25"/>
                <w:rFonts w:hint="eastAsia" w:ascii="宋体" w:hAnsi="宋体" w:eastAsia="宋体" w:cs="宋体"/>
                <w:color w:val="auto"/>
                <w:sz w:val="21"/>
                <w:szCs w:val="21"/>
                <w:lang w:bidi="ar"/>
              </w:rPr>
              <w:t>5）课表日程显示：支持显示用户的课表日程信息，可按年份、月份、日期进行检索。</w:t>
            </w:r>
            <w:r>
              <w:rPr>
                <w:rStyle w:val="25"/>
                <w:rFonts w:hint="eastAsia" w:ascii="宋体" w:hAnsi="宋体" w:eastAsia="宋体" w:cs="宋体"/>
                <w:color w:val="auto"/>
                <w:sz w:val="21"/>
                <w:szCs w:val="21"/>
                <w:lang w:bidi="ar"/>
              </w:rPr>
              <w:br w:type="textWrapping"/>
            </w:r>
            <w:r>
              <w:rPr>
                <w:rStyle w:val="25"/>
                <w:rFonts w:hint="eastAsia" w:ascii="宋体" w:hAnsi="宋体" w:eastAsia="宋体" w:cs="宋体"/>
                <w:color w:val="auto"/>
                <w:sz w:val="21"/>
                <w:szCs w:val="21"/>
                <w:lang w:bidi="ar"/>
              </w:rPr>
              <w:t>6）个人信息：支持用户编辑修改个人信息及登录密码。</w:t>
            </w:r>
            <w:r>
              <w:rPr>
                <w:rStyle w:val="25"/>
                <w:rFonts w:hint="eastAsia" w:ascii="宋体" w:hAnsi="宋体" w:eastAsia="宋体" w:cs="宋体"/>
                <w:color w:val="auto"/>
                <w:sz w:val="21"/>
                <w:szCs w:val="21"/>
                <w:lang w:bidi="ar"/>
              </w:rPr>
              <w:br w:type="textWrapping"/>
            </w:r>
            <w:r>
              <w:rPr>
                <w:rStyle w:val="25"/>
                <w:rFonts w:hint="eastAsia" w:ascii="宋体" w:hAnsi="宋体" w:eastAsia="宋体" w:cs="宋体"/>
                <w:color w:val="auto"/>
                <w:sz w:val="21"/>
                <w:szCs w:val="21"/>
                <w:lang w:bidi="ar"/>
              </w:rPr>
              <w:t>6.移动端服务</w:t>
            </w:r>
            <w:r>
              <w:rPr>
                <w:rStyle w:val="25"/>
                <w:rFonts w:hint="eastAsia" w:ascii="宋体" w:hAnsi="宋体" w:eastAsia="宋体" w:cs="宋体"/>
                <w:color w:val="auto"/>
                <w:sz w:val="21"/>
                <w:szCs w:val="21"/>
                <w:lang w:bidi="ar"/>
              </w:rPr>
              <w:br w:type="textWrapping"/>
            </w:r>
            <w:r>
              <w:rPr>
                <w:rStyle w:val="25"/>
                <w:rFonts w:hint="eastAsia" w:ascii="宋体" w:hAnsi="宋体" w:eastAsia="宋体" w:cs="宋体"/>
                <w:color w:val="auto"/>
                <w:sz w:val="21"/>
                <w:szCs w:val="21"/>
                <w:lang w:bidi="ar"/>
              </w:rPr>
              <w:t>1）提供平台移动端服务，移动端涵盖完整的平台功能，包括课表、课程、巡课等，为用户提供便捷的使用体验。</w:t>
            </w:r>
            <w:r>
              <w:rPr>
                <w:rStyle w:val="25"/>
                <w:rFonts w:hint="eastAsia" w:ascii="宋体" w:hAnsi="宋体" w:eastAsia="宋体" w:cs="宋体"/>
                <w:color w:val="auto"/>
                <w:sz w:val="21"/>
                <w:szCs w:val="21"/>
                <w:lang w:bidi="ar"/>
              </w:rPr>
              <w:br w:type="textWrapping"/>
            </w:r>
            <w:r>
              <w:rPr>
                <w:rStyle w:val="25"/>
                <w:rFonts w:hint="eastAsia" w:ascii="宋体" w:hAnsi="宋体" w:eastAsia="宋体" w:cs="宋体"/>
                <w:color w:val="auto"/>
                <w:sz w:val="21"/>
                <w:szCs w:val="21"/>
                <w:lang w:bidi="ar"/>
              </w:rPr>
              <w:t>7.管理后台</w:t>
            </w:r>
            <w:r>
              <w:rPr>
                <w:rStyle w:val="25"/>
                <w:rFonts w:hint="eastAsia" w:ascii="宋体" w:hAnsi="宋体" w:eastAsia="宋体" w:cs="宋体"/>
                <w:color w:val="auto"/>
                <w:sz w:val="21"/>
                <w:szCs w:val="21"/>
                <w:lang w:bidi="ar"/>
              </w:rPr>
              <w:br w:type="textWrapping"/>
            </w:r>
            <w:r>
              <w:rPr>
                <w:rStyle w:val="25"/>
                <w:rFonts w:hint="eastAsia" w:ascii="宋体" w:hAnsi="宋体" w:eastAsia="宋体" w:cs="宋体"/>
                <w:color w:val="auto"/>
                <w:sz w:val="21"/>
                <w:szCs w:val="21"/>
                <w:lang w:bidi="ar"/>
              </w:rPr>
              <w:t>1）平台支持用户自主管理后台，可针对平台的业务功能和设备配置进行分权限分角色管理。</w:t>
            </w:r>
          </w:p>
        </w:tc>
        <w:tc>
          <w:tcPr>
            <w:tcW w:w="567" w:type="dxa"/>
            <w:tcBorders>
              <w:top w:val="single" w:color="auto" w:sz="4" w:space="0"/>
              <w:left w:val="single" w:color="auto" w:sz="6" w:space="0"/>
              <w:bottom w:val="single" w:color="auto" w:sz="4" w:space="0"/>
              <w:right w:val="single" w:color="auto" w:sz="6" w:space="0"/>
            </w:tcBorders>
            <w:vAlign w:val="center"/>
          </w:tcPr>
          <w:p w14:paraId="7F9391D1">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w:t>
            </w:r>
          </w:p>
        </w:tc>
        <w:tc>
          <w:tcPr>
            <w:tcW w:w="567" w:type="dxa"/>
            <w:tcBorders>
              <w:top w:val="single" w:color="auto" w:sz="4" w:space="0"/>
              <w:left w:val="single" w:color="auto" w:sz="6" w:space="0"/>
              <w:bottom w:val="single" w:color="auto" w:sz="4" w:space="0"/>
              <w:right w:val="single" w:color="auto" w:sz="6" w:space="0"/>
            </w:tcBorders>
            <w:vAlign w:val="center"/>
          </w:tcPr>
          <w:p w14:paraId="01CA8CE1">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套</w:t>
            </w:r>
          </w:p>
        </w:tc>
      </w:tr>
      <w:tr w14:paraId="7F33A4D3">
        <w:tblPrEx>
          <w:tblCellMar>
            <w:top w:w="0" w:type="dxa"/>
            <w:left w:w="10" w:type="dxa"/>
            <w:bottom w:w="0" w:type="dxa"/>
            <w:right w:w="10" w:type="dxa"/>
          </w:tblCellMar>
        </w:tblPrEx>
        <w:trPr>
          <w:trHeight w:val="704" w:hRule="atLeast"/>
        </w:trPr>
        <w:tc>
          <w:tcPr>
            <w:tcW w:w="500" w:type="dxa"/>
            <w:tcBorders>
              <w:top w:val="single" w:color="auto" w:sz="4" w:space="0"/>
              <w:left w:val="single" w:color="auto" w:sz="6" w:space="0"/>
              <w:bottom w:val="single" w:color="auto" w:sz="4" w:space="0"/>
              <w:right w:val="single" w:color="auto" w:sz="6" w:space="0"/>
            </w:tcBorders>
            <w:vAlign w:val="center"/>
          </w:tcPr>
          <w:p w14:paraId="5588D51C">
            <w:pPr>
              <w:widowControl/>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70</w:t>
            </w:r>
          </w:p>
        </w:tc>
        <w:tc>
          <w:tcPr>
            <w:tcW w:w="945" w:type="dxa"/>
            <w:tcBorders>
              <w:top w:val="single" w:color="auto" w:sz="4" w:space="0"/>
              <w:left w:val="nil"/>
              <w:bottom w:val="single" w:color="auto" w:sz="4" w:space="0"/>
              <w:right w:val="single" w:color="auto" w:sz="6" w:space="0"/>
            </w:tcBorders>
            <w:vAlign w:val="center"/>
          </w:tcPr>
          <w:p w14:paraId="4341F3E2">
            <w:pPr>
              <w:widowControl/>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话筒呼叫控制嵌入软件</w:t>
            </w:r>
          </w:p>
        </w:tc>
        <w:tc>
          <w:tcPr>
            <w:tcW w:w="6875" w:type="dxa"/>
            <w:tcBorders>
              <w:top w:val="single" w:color="auto" w:sz="4" w:space="0"/>
              <w:left w:val="nil"/>
              <w:bottom w:val="single" w:color="auto" w:sz="4" w:space="0"/>
              <w:right w:val="single" w:color="auto" w:sz="6" w:space="0"/>
            </w:tcBorders>
            <w:shd w:val="clear" w:color="auto" w:fill="auto"/>
            <w:vAlign w:val="center"/>
          </w:tcPr>
          <w:p w14:paraId="339F9521">
            <w:pPr>
              <w:widowControl/>
              <w:jc w:val="left"/>
              <w:textAlignment w:val="center"/>
              <w:rPr>
                <w:rFonts w:hint="eastAsia" w:ascii="宋体" w:hAnsi="宋体" w:eastAsia="宋体" w:cs="宋体"/>
                <w:color w:val="auto"/>
                <w:sz w:val="21"/>
                <w:szCs w:val="21"/>
              </w:rPr>
            </w:pPr>
            <w:r>
              <w:rPr>
                <w:rStyle w:val="25"/>
                <w:rFonts w:hint="eastAsia" w:ascii="宋体" w:hAnsi="宋体" w:eastAsia="宋体" w:cs="宋体"/>
                <w:color w:val="auto"/>
                <w:sz w:val="21"/>
                <w:szCs w:val="21"/>
                <w:lang w:bidi="ar"/>
              </w:rPr>
              <w:t>1.软件内嵌于无线话筒系统设备，话筒呼叫控制功能。</w:t>
            </w:r>
            <w:r>
              <w:rPr>
                <w:rStyle w:val="25"/>
                <w:rFonts w:hint="eastAsia" w:ascii="宋体" w:hAnsi="宋体" w:eastAsia="宋体" w:cs="宋体"/>
                <w:color w:val="auto"/>
                <w:sz w:val="21"/>
                <w:szCs w:val="21"/>
                <w:lang w:bidi="ar"/>
              </w:rPr>
              <w:br w:type="textWrapping"/>
            </w:r>
            <w:r>
              <w:rPr>
                <w:rStyle w:val="25"/>
                <w:rFonts w:hint="eastAsia" w:ascii="宋体" w:hAnsi="宋体" w:eastAsia="宋体" w:cs="宋体"/>
                <w:color w:val="auto"/>
                <w:sz w:val="21"/>
                <w:szCs w:val="21"/>
                <w:lang w:bidi="ar"/>
              </w:rPr>
              <w:t>2.采用UHF超高频段双真分集接收，并采用PLL锁相环多信道频率合成技术。</w:t>
            </w:r>
            <w:r>
              <w:rPr>
                <w:rStyle w:val="25"/>
                <w:rFonts w:hint="eastAsia" w:ascii="宋体" w:hAnsi="宋体" w:eastAsia="宋体" w:cs="宋体"/>
                <w:color w:val="auto"/>
                <w:sz w:val="21"/>
                <w:szCs w:val="21"/>
                <w:lang w:bidi="ar"/>
              </w:rPr>
              <w:br w:type="textWrapping"/>
            </w:r>
            <w:r>
              <w:rPr>
                <w:rStyle w:val="25"/>
                <w:rFonts w:hint="eastAsia" w:ascii="宋体" w:hAnsi="宋体" w:eastAsia="宋体" w:cs="宋体"/>
                <w:color w:val="auto"/>
                <w:sz w:val="21"/>
                <w:szCs w:val="21"/>
                <w:lang w:bidi="ar"/>
              </w:rPr>
              <w:t>3.支持自动选讯接收方式。</w:t>
            </w:r>
            <w:r>
              <w:rPr>
                <w:rStyle w:val="25"/>
                <w:rFonts w:hint="eastAsia" w:ascii="宋体" w:hAnsi="宋体" w:eastAsia="宋体" w:cs="宋体"/>
                <w:color w:val="auto"/>
                <w:sz w:val="21"/>
                <w:szCs w:val="21"/>
                <w:lang w:bidi="ar"/>
              </w:rPr>
              <w:br w:type="textWrapping"/>
            </w:r>
            <w:r>
              <w:rPr>
                <w:rStyle w:val="25"/>
                <w:rFonts w:hint="eastAsia" w:ascii="宋体" w:hAnsi="宋体" w:eastAsia="宋体" w:cs="宋体"/>
                <w:color w:val="auto"/>
                <w:sz w:val="21"/>
                <w:szCs w:val="21"/>
                <w:lang w:bidi="ar"/>
              </w:rPr>
              <w:t>4.支持信道选择、频率可调、可设置主机与话筒配对。</w:t>
            </w:r>
          </w:p>
        </w:tc>
        <w:tc>
          <w:tcPr>
            <w:tcW w:w="567" w:type="dxa"/>
            <w:tcBorders>
              <w:top w:val="single" w:color="auto" w:sz="4" w:space="0"/>
              <w:left w:val="single" w:color="auto" w:sz="6" w:space="0"/>
              <w:bottom w:val="single" w:color="auto" w:sz="4" w:space="0"/>
              <w:right w:val="single" w:color="auto" w:sz="6" w:space="0"/>
            </w:tcBorders>
            <w:vAlign w:val="center"/>
          </w:tcPr>
          <w:p w14:paraId="5397DE0D">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w:t>
            </w:r>
          </w:p>
        </w:tc>
        <w:tc>
          <w:tcPr>
            <w:tcW w:w="567" w:type="dxa"/>
            <w:tcBorders>
              <w:top w:val="single" w:color="auto" w:sz="4" w:space="0"/>
              <w:left w:val="single" w:color="auto" w:sz="6" w:space="0"/>
              <w:bottom w:val="single" w:color="auto" w:sz="4" w:space="0"/>
              <w:right w:val="single" w:color="auto" w:sz="6" w:space="0"/>
            </w:tcBorders>
            <w:vAlign w:val="center"/>
          </w:tcPr>
          <w:p w14:paraId="7C7E9FBC">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套</w:t>
            </w:r>
          </w:p>
        </w:tc>
      </w:tr>
      <w:tr w14:paraId="6078C085">
        <w:tblPrEx>
          <w:tblCellMar>
            <w:top w:w="0" w:type="dxa"/>
            <w:left w:w="10" w:type="dxa"/>
            <w:bottom w:w="0" w:type="dxa"/>
            <w:right w:w="10" w:type="dxa"/>
          </w:tblCellMar>
        </w:tblPrEx>
        <w:trPr>
          <w:trHeight w:val="704" w:hRule="atLeast"/>
        </w:trPr>
        <w:tc>
          <w:tcPr>
            <w:tcW w:w="500" w:type="dxa"/>
            <w:tcBorders>
              <w:top w:val="single" w:color="auto" w:sz="4" w:space="0"/>
              <w:left w:val="single" w:color="auto" w:sz="6" w:space="0"/>
              <w:bottom w:val="single" w:color="auto" w:sz="4" w:space="0"/>
              <w:right w:val="single" w:color="auto" w:sz="6" w:space="0"/>
            </w:tcBorders>
            <w:vAlign w:val="center"/>
          </w:tcPr>
          <w:p w14:paraId="1A50C765">
            <w:pPr>
              <w:widowControl/>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71</w:t>
            </w:r>
          </w:p>
        </w:tc>
        <w:tc>
          <w:tcPr>
            <w:tcW w:w="945" w:type="dxa"/>
            <w:tcBorders>
              <w:top w:val="single" w:color="auto" w:sz="4" w:space="0"/>
              <w:left w:val="nil"/>
              <w:bottom w:val="single" w:color="auto" w:sz="4" w:space="0"/>
              <w:right w:val="single" w:color="auto" w:sz="6" w:space="0"/>
            </w:tcBorders>
            <w:vAlign w:val="center"/>
          </w:tcPr>
          <w:p w14:paraId="09217C71">
            <w:pPr>
              <w:widowControl/>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统一管理平台</w:t>
            </w:r>
          </w:p>
        </w:tc>
        <w:tc>
          <w:tcPr>
            <w:tcW w:w="6875" w:type="dxa"/>
            <w:tcBorders>
              <w:top w:val="single" w:color="auto" w:sz="4" w:space="0"/>
              <w:left w:val="nil"/>
              <w:bottom w:val="single" w:color="auto" w:sz="4" w:space="0"/>
              <w:right w:val="single" w:color="auto" w:sz="6" w:space="0"/>
            </w:tcBorders>
            <w:shd w:val="clear" w:color="auto" w:fill="auto"/>
            <w:vAlign w:val="center"/>
          </w:tcPr>
          <w:p w14:paraId="6DFF33A1">
            <w:pPr>
              <w:widowControl/>
              <w:jc w:val="left"/>
              <w:textAlignment w:val="center"/>
              <w:rPr>
                <w:rStyle w:val="25"/>
                <w:rFonts w:hint="eastAsia" w:ascii="宋体" w:hAnsi="宋体" w:eastAsia="宋体" w:cs="宋体"/>
                <w:color w:val="auto"/>
                <w:sz w:val="21"/>
                <w:szCs w:val="21"/>
                <w:lang w:bidi="ar"/>
              </w:rPr>
            </w:pPr>
            <w:r>
              <w:rPr>
                <w:rStyle w:val="25"/>
                <w:rFonts w:hint="eastAsia" w:ascii="宋体" w:hAnsi="宋体" w:eastAsia="宋体" w:cs="宋体"/>
                <w:color w:val="auto"/>
                <w:sz w:val="21"/>
                <w:szCs w:val="21"/>
                <w:lang w:bidi="ar"/>
              </w:rPr>
              <w:t>1.至少支持密码、短信验证码、微信扫码三种登录方式；</w:t>
            </w:r>
            <w:r>
              <w:rPr>
                <w:rStyle w:val="25"/>
                <w:rFonts w:hint="eastAsia" w:ascii="宋体" w:hAnsi="宋体" w:eastAsia="宋体" w:cs="宋体"/>
                <w:color w:val="auto"/>
                <w:sz w:val="21"/>
                <w:szCs w:val="21"/>
                <w:lang w:bidi="ar"/>
              </w:rPr>
              <w:br w:type="textWrapping"/>
            </w:r>
            <w:r>
              <w:rPr>
                <w:rStyle w:val="25"/>
                <w:rFonts w:hint="eastAsia" w:ascii="宋体" w:hAnsi="宋体" w:eastAsia="宋体" w:cs="宋体"/>
                <w:color w:val="auto"/>
                <w:sz w:val="21"/>
                <w:szCs w:val="21"/>
                <w:lang w:bidi="ar"/>
              </w:rPr>
              <w:t>2.支持设置账号昵称，绑定/解绑微信；</w:t>
            </w:r>
            <w:r>
              <w:rPr>
                <w:rStyle w:val="25"/>
                <w:rFonts w:hint="eastAsia" w:ascii="宋体" w:hAnsi="宋体" w:eastAsia="宋体" w:cs="宋体"/>
                <w:color w:val="auto"/>
                <w:sz w:val="21"/>
                <w:szCs w:val="21"/>
                <w:lang w:bidi="ar"/>
              </w:rPr>
              <w:br w:type="textWrapping"/>
            </w:r>
            <w:r>
              <w:rPr>
                <w:rStyle w:val="25"/>
                <w:rFonts w:hint="eastAsia" w:ascii="宋体" w:hAnsi="宋体" w:eastAsia="宋体" w:cs="宋体"/>
                <w:color w:val="auto"/>
                <w:sz w:val="21"/>
                <w:szCs w:val="21"/>
                <w:lang w:bidi="ar"/>
              </w:rPr>
              <w:t>3.支持用户通过手机号自助注册；通过手机验证码找回密码；</w:t>
            </w:r>
            <w:r>
              <w:rPr>
                <w:rStyle w:val="25"/>
                <w:rFonts w:hint="eastAsia" w:ascii="宋体" w:hAnsi="宋体" w:eastAsia="宋体" w:cs="宋体"/>
                <w:color w:val="auto"/>
                <w:sz w:val="21"/>
                <w:szCs w:val="21"/>
                <w:lang w:bidi="ar"/>
              </w:rPr>
              <w:br w:type="textWrapping"/>
            </w:r>
            <w:r>
              <w:rPr>
                <w:rStyle w:val="25"/>
                <w:rFonts w:hint="eastAsia" w:ascii="宋体" w:hAnsi="宋体" w:eastAsia="宋体" w:cs="宋体"/>
                <w:color w:val="auto"/>
                <w:sz w:val="21"/>
                <w:szCs w:val="21"/>
                <w:lang w:bidi="ar"/>
              </w:rPr>
              <w:t>4.支持查看隐私政策和用户协议；</w:t>
            </w:r>
            <w:r>
              <w:rPr>
                <w:rStyle w:val="25"/>
                <w:rFonts w:hint="eastAsia" w:ascii="宋体" w:hAnsi="宋体" w:eastAsia="宋体" w:cs="宋体"/>
                <w:color w:val="auto"/>
                <w:sz w:val="21"/>
                <w:szCs w:val="21"/>
                <w:lang w:bidi="ar"/>
              </w:rPr>
              <w:br w:type="textWrapping"/>
            </w:r>
            <w:r>
              <w:rPr>
                <w:rStyle w:val="25"/>
                <w:rFonts w:hint="eastAsia" w:ascii="宋体" w:hAnsi="宋体" w:eastAsia="宋体" w:cs="宋体"/>
                <w:color w:val="auto"/>
                <w:sz w:val="21"/>
                <w:szCs w:val="21"/>
                <w:lang w:bidi="ar"/>
              </w:rPr>
              <w:t>5.至少支持查看机构基础信息，如名称、类型、区划、logo、管理员信息；</w:t>
            </w:r>
            <w:r>
              <w:rPr>
                <w:rStyle w:val="25"/>
                <w:rFonts w:hint="eastAsia" w:ascii="宋体" w:hAnsi="宋体" w:eastAsia="宋体" w:cs="宋体"/>
                <w:color w:val="auto"/>
                <w:sz w:val="21"/>
                <w:szCs w:val="21"/>
                <w:lang w:bidi="ar"/>
              </w:rPr>
              <w:br w:type="textWrapping"/>
            </w:r>
            <w:r>
              <w:rPr>
                <w:rStyle w:val="25"/>
                <w:rFonts w:hint="eastAsia" w:ascii="宋体" w:hAnsi="宋体" w:eastAsia="宋体" w:cs="宋体"/>
                <w:color w:val="auto"/>
                <w:sz w:val="21"/>
                <w:szCs w:val="21"/>
                <w:lang w:bidi="ar"/>
              </w:rPr>
              <w:t>6.支持查看机构的软件授权、激活码数量及使用情况；</w:t>
            </w:r>
            <w:r>
              <w:rPr>
                <w:rStyle w:val="25"/>
                <w:rFonts w:hint="eastAsia" w:ascii="宋体" w:hAnsi="宋体" w:eastAsia="宋体" w:cs="宋体"/>
                <w:color w:val="auto"/>
                <w:sz w:val="21"/>
                <w:szCs w:val="21"/>
                <w:lang w:bidi="ar"/>
              </w:rPr>
              <w:br w:type="textWrapping"/>
            </w:r>
            <w:r>
              <w:rPr>
                <w:rStyle w:val="25"/>
                <w:rFonts w:hint="eastAsia" w:ascii="宋体" w:hAnsi="宋体" w:eastAsia="宋体" w:cs="宋体"/>
                <w:color w:val="auto"/>
                <w:sz w:val="21"/>
                <w:szCs w:val="21"/>
                <w:lang w:bidi="ar"/>
              </w:rPr>
              <w:t>7.支持对机构的空间结构树管理；</w:t>
            </w:r>
            <w:r>
              <w:rPr>
                <w:rStyle w:val="25"/>
                <w:rFonts w:hint="eastAsia" w:ascii="宋体" w:hAnsi="宋体" w:eastAsia="宋体" w:cs="宋体"/>
                <w:color w:val="auto"/>
                <w:sz w:val="21"/>
                <w:szCs w:val="21"/>
                <w:lang w:bidi="ar"/>
              </w:rPr>
              <w:br w:type="textWrapping"/>
            </w:r>
            <w:r>
              <w:rPr>
                <w:rStyle w:val="25"/>
                <w:rFonts w:hint="eastAsia" w:ascii="宋体" w:hAnsi="宋体" w:eastAsia="宋体" w:cs="宋体"/>
                <w:color w:val="auto"/>
                <w:sz w:val="21"/>
                <w:szCs w:val="21"/>
                <w:lang w:bidi="ar"/>
              </w:rPr>
              <w:t>8.支持对机构内的组织架构进行自由构建，组织架构分为部门架构与班级架构，支持按节点路径批量导入，支持根据权限按全量或选择部分节点批量导出；</w:t>
            </w:r>
            <w:r>
              <w:rPr>
                <w:rStyle w:val="25"/>
                <w:rFonts w:hint="eastAsia" w:ascii="宋体" w:hAnsi="宋体" w:eastAsia="宋体" w:cs="宋体"/>
                <w:color w:val="auto"/>
                <w:sz w:val="21"/>
                <w:szCs w:val="21"/>
                <w:lang w:bidi="ar"/>
              </w:rPr>
              <w:br w:type="textWrapping"/>
            </w:r>
            <w:r>
              <w:rPr>
                <w:rStyle w:val="25"/>
                <w:rFonts w:hint="eastAsia" w:ascii="宋体" w:hAnsi="宋体" w:eastAsia="宋体" w:cs="宋体"/>
                <w:color w:val="auto"/>
                <w:sz w:val="21"/>
                <w:szCs w:val="21"/>
                <w:lang w:bidi="ar"/>
              </w:rPr>
              <w:t>9.支持对教职工及学生账号的单独、批量管理，支持批量导入用户，支持根据权限按全量或选择部分节点批量导出；</w:t>
            </w:r>
            <w:r>
              <w:rPr>
                <w:rStyle w:val="25"/>
                <w:rFonts w:hint="eastAsia" w:ascii="宋体" w:hAnsi="宋体" w:eastAsia="宋体" w:cs="宋体"/>
                <w:color w:val="auto"/>
                <w:sz w:val="21"/>
                <w:szCs w:val="21"/>
                <w:lang w:bidi="ar"/>
              </w:rPr>
              <w:br w:type="textWrapping"/>
            </w:r>
            <w:r>
              <w:rPr>
                <w:rStyle w:val="25"/>
                <w:rFonts w:hint="eastAsia" w:ascii="宋体" w:hAnsi="宋体" w:eastAsia="宋体" w:cs="宋体"/>
                <w:color w:val="auto"/>
                <w:sz w:val="21"/>
                <w:szCs w:val="21"/>
                <w:lang w:bidi="ar"/>
              </w:rPr>
              <w:t>10.支持对教职工用户自由分配角色和数据范围，支持对所有用户的启停用和重置密码；</w:t>
            </w:r>
            <w:r>
              <w:rPr>
                <w:rStyle w:val="25"/>
                <w:rFonts w:hint="eastAsia" w:ascii="宋体" w:hAnsi="宋体" w:eastAsia="宋体" w:cs="宋体"/>
                <w:color w:val="auto"/>
                <w:sz w:val="21"/>
                <w:szCs w:val="21"/>
                <w:lang w:bidi="ar"/>
              </w:rPr>
              <w:br w:type="textWrapping"/>
            </w:r>
            <w:r>
              <w:rPr>
                <w:rStyle w:val="25"/>
                <w:rFonts w:hint="eastAsia" w:ascii="宋体" w:hAnsi="宋体" w:eastAsia="宋体" w:cs="宋体"/>
                <w:color w:val="auto"/>
                <w:sz w:val="21"/>
                <w:szCs w:val="21"/>
                <w:lang w:bidi="ar"/>
              </w:rPr>
              <w:t>11.支持以姓名、手机号、学/工号、角色查找用户；</w:t>
            </w:r>
            <w:r>
              <w:rPr>
                <w:rStyle w:val="25"/>
                <w:rFonts w:hint="eastAsia" w:ascii="宋体" w:hAnsi="宋体" w:eastAsia="宋体" w:cs="宋体"/>
                <w:color w:val="auto"/>
                <w:sz w:val="21"/>
                <w:szCs w:val="21"/>
                <w:lang w:bidi="ar"/>
              </w:rPr>
              <w:br w:type="textWrapping"/>
            </w:r>
            <w:r>
              <w:rPr>
                <w:rStyle w:val="25"/>
                <w:rFonts w:hint="eastAsia" w:ascii="宋体" w:hAnsi="宋体" w:eastAsia="宋体" w:cs="宋体"/>
                <w:color w:val="auto"/>
                <w:sz w:val="21"/>
                <w:szCs w:val="21"/>
                <w:lang w:bidi="ar"/>
              </w:rPr>
              <w:t>12.支持对机构用户的人脸识别照片进行配套使用；</w:t>
            </w:r>
            <w:r>
              <w:rPr>
                <w:rStyle w:val="25"/>
                <w:rFonts w:hint="eastAsia" w:ascii="宋体" w:hAnsi="宋体" w:eastAsia="宋体" w:cs="宋体"/>
                <w:color w:val="auto"/>
                <w:sz w:val="21"/>
                <w:szCs w:val="21"/>
                <w:lang w:bidi="ar"/>
              </w:rPr>
              <w:br w:type="textWrapping"/>
            </w:r>
            <w:r>
              <w:rPr>
                <w:rStyle w:val="25"/>
                <w:rFonts w:hint="eastAsia" w:ascii="宋体" w:hAnsi="宋体" w:eastAsia="宋体" w:cs="宋体"/>
                <w:color w:val="auto"/>
                <w:sz w:val="21"/>
                <w:szCs w:val="21"/>
                <w:lang w:bidi="ar"/>
              </w:rPr>
              <w:t>13.支持对教室显示设备进行管理，可查看设备的详细状态，包含不限于开关机状态、开机时长、累计开机时长、CPU、内存、磁盘使用情况、运行温度；</w:t>
            </w:r>
            <w:r>
              <w:rPr>
                <w:rStyle w:val="25"/>
                <w:rFonts w:hint="eastAsia" w:ascii="宋体" w:hAnsi="宋体" w:eastAsia="宋体" w:cs="宋体"/>
                <w:color w:val="auto"/>
                <w:sz w:val="21"/>
                <w:szCs w:val="21"/>
                <w:lang w:bidi="ar"/>
              </w:rPr>
              <w:br w:type="textWrapping"/>
            </w:r>
            <w:r>
              <w:rPr>
                <w:rStyle w:val="25"/>
                <w:rFonts w:hint="eastAsia" w:ascii="宋体" w:hAnsi="宋体" w:eastAsia="宋体" w:cs="宋体"/>
                <w:color w:val="auto"/>
                <w:sz w:val="21"/>
                <w:szCs w:val="21"/>
                <w:lang w:bidi="ar"/>
              </w:rPr>
              <w:t>14.支持对录播的基础配置和录制策略进行配置，包括摄像机设置、录制画面设置；</w:t>
            </w:r>
            <w:r>
              <w:rPr>
                <w:rStyle w:val="25"/>
                <w:rFonts w:hint="eastAsia" w:ascii="宋体" w:hAnsi="宋体" w:eastAsia="宋体" w:cs="宋体"/>
                <w:color w:val="auto"/>
                <w:sz w:val="21"/>
                <w:szCs w:val="21"/>
                <w:lang w:bidi="ar"/>
              </w:rPr>
              <w:br w:type="textWrapping"/>
            </w:r>
            <w:r>
              <w:rPr>
                <w:rStyle w:val="25"/>
                <w:rFonts w:hint="eastAsia" w:ascii="宋体" w:hAnsi="宋体" w:eastAsia="宋体" w:cs="宋体"/>
                <w:color w:val="auto"/>
                <w:sz w:val="21"/>
                <w:szCs w:val="21"/>
                <w:lang w:bidi="ar"/>
              </w:rPr>
              <w:t>15.支持对回顾视频录制规则进行配置，包括剩余空间预警，自动清理策略；</w:t>
            </w:r>
            <w:r>
              <w:rPr>
                <w:rStyle w:val="25"/>
                <w:rFonts w:hint="eastAsia" w:ascii="宋体" w:hAnsi="宋体" w:eastAsia="宋体" w:cs="宋体"/>
                <w:color w:val="auto"/>
                <w:sz w:val="21"/>
                <w:szCs w:val="21"/>
                <w:lang w:bidi="ar"/>
              </w:rPr>
              <w:br w:type="textWrapping"/>
            </w:r>
            <w:r>
              <w:rPr>
                <w:rStyle w:val="25"/>
                <w:rFonts w:hint="eastAsia" w:ascii="宋体" w:hAnsi="宋体" w:eastAsia="宋体" w:cs="宋体"/>
                <w:color w:val="auto"/>
                <w:sz w:val="21"/>
                <w:szCs w:val="21"/>
                <w:lang w:bidi="ar"/>
              </w:rPr>
              <w:t>16.支持按需配置回顾视频自动录制；</w:t>
            </w:r>
            <w:r>
              <w:rPr>
                <w:rStyle w:val="25"/>
                <w:rFonts w:hint="eastAsia" w:ascii="宋体" w:hAnsi="宋体" w:eastAsia="宋体" w:cs="宋体"/>
                <w:color w:val="auto"/>
                <w:sz w:val="21"/>
                <w:szCs w:val="21"/>
                <w:lang w:bidi="ar"/>
              </w:rPr>
              <w:br w:type="textWrapping"/>
            </w:r>
            <w:r>
              <w:rPr>
                <w:rStyle w:val="25"/>
                <w:rFonts w:hint="eastAsia" w:ascii="宋体" w:hAnsi="宋体" w:eastAsia="宋体" w:cs="宋体"/>
                <w:color w:val="auto"/>
                <w:sz w:val="21"/>
                <w:szCs w:val="21"/>
                <w:lang w:bidi="ar"/>
              </w:rPr>
              <w:t>17.支持配置学生观看回顾视频的默认权限；</w:t>
            </w:r>
            <w:r>
              <w:rPr>
                <w:rStyle w:val="25"/>
                <w:rFonts w:hint="eastAsia" w:ascii="宋体" w:hAnsi="宋体" w:eastAsia="宋体" w:cs="宋体"/>
                <w:color w:val="auto"/>
                <w:sz w:val="21"/>
                <w:szCs w:val="21"/>
                <w:lang w:bidi="ar"/>
              </w:rPr>
              <w:br w:type="textWrapping"/>
            </w:r>
            <w:r>
              <w:rPr>
                <w:rStyle w:val="25"/>
                <w:rFonts w:hint="eastAsia" w:ascii="宋体" w:hAnsi="宋体" w:eastAsia="宋体" w:cs="宋体"/>
                <w:color w:val="auto"/>
                <w:sz w:val="21"/>
                <w:szCs w:val="21"/>
                <w:lang w:bidi="ar"/>
              </w:rPr>
              <w:t>18.支持对机构内使用的客户端软件进行管理，可实现软件的升级、安装功能；</w:t>
            </w:r>
            <w:r>
              <w:rPr>
                <w:rStyle w:val="25"/>
                <w:rFonts w:hint="eastAsia" w:ascii="宋体" w:hAnsi="宋体" w:eastAsia="宋体" w:cs="宋体"/>
                <w:color w:val="auto"/>
                <w:sz w:val="21"/>
                <w:szCs w:val="21"/>
                <w:lang w:bidi="ar"/>
              </w:rPr>
              <w:br w:type="textWrapping"/>
            </w:r>
            <w:r>
              <w:rPr>
                <w:rStyle w:val="25"/>
                <w:rFonts w:hint="eastAsia" w:ascii="宋体" w:hAnsi="宋体" w:eastAsia="宋体" w:cs="宋体"/>
                <w:color w:val="auto"/>
                <w:sz w:val="21"/>
                <w:szCs w:val="21"/>
                <w:lang w:bidi="ar"/>
              </w:rPr>
              <w:t>19.支持批量为用户配置角色以及权限范围；</w:t>
            </w:r>
            <w:r>
              <w:rPr>
                <w:rStyle w:val="25"/>
                <w:rFonts w:hint="eastAsia" w:ascii="宋体" w:hAnsi="宋体" w:eastAsia="宋体" w:cs="宋体"/>
                <w:color w:val="auto"/>
                <w:sz w:val="21"/>
                <w:szCs w:val="21"/>
                <w:lang w:bidi="ar"/>
              </w:rPr>
              <w:br w:type="textWrapping"/>
            </w:r>
            <w:r>
              <w:rPr>
                <w:rStyle w:val="25"/>
                <w:rFonts w:hint="eastAsia" w:ascii="宋体" w:hAnsi="宋体" w:eastAsia="宋体" w:cs="宋体"/>
                <w:color w:val="auto"/>
                <w:sz w:val="21"/>
                <w:szCs w:val="21"/>
                <w:lang w:bidi="ar"/>
              </w:rPr>
              <w:t>20.支持校园卡批量导入、导出以及用户与卡号的批量关联；</w:t>
            </w:r>
            <w:r>
              <w:rPr>
                <w:rStyle w:val="25"/>
                <w:rFonts w:hint="eastAsia" w:ascii="宋体" w:hAnsi="宋体" w:eastAsia="宋体" w:cs="宋体"/>
                <w:color w:val="auto"/>
                <w:sz w:val="21"/>
                <w:szCs w:val="21"/>
                <w:lang w:bidi="ar"/>
              </w:rPr>
              <w:br w:type="textWrapping"/>
            </w:r>
            <w:r>
              <w:rPr>
                <w:rStyle w:val="25"/>
                <w:rFonts w:hint="eastAsia" w:ascii="宋体" w:hAnsi="宋体" w:eastAsia="宋体" w:cs="宋体"/>
                <w:color w:val="auto"/>
                <w:sz w:val="21"/>
                <w:szCs w:val="21"/>
                <w:lang w:bidi="ar"/>
              </w:rPr>
              <w:t>21.支持查看、导出系统操作日志；</w:t>
            </w:r>
            <w:r>
              <w:rPr>
                <w:rStyle w:val="25"/>
                <w:rFonts w:hint="eastAsia" w:ascii="宋体" w:hAnsi="宋体" w:eastAsia="宋体" w:cs="宋体"/>
                <w:color w:val="auto"/>
                <w:sz w:val="21"/>
                <w:szCs w:val="21"/>
                <w:lang w:bidi="ar"/>
              </w:rPr>
              <w:br w:type="textWrapping"/>
            </w:r>
            <w:r>
              <w:rPr>
                <w:rStyle w:val="25"/>
                <w:rFonts w:hint="eastAsia" w:ascii="宋体" w:hAnsi="宋体" w:eastAsia="宋体" w:cs="宋体"/>
                <w:color w:val="auto"/>
                <w:sz w:val="21"/>
                <w:szCs w:val="21"/>
                <w:lang w:bidi="ar"/>
              </w:rPr>
              <w:t>22.支持通过操作类型及用户查询操作日志；</w:t>
            </w:r>
            <w:r>
              <w:rPr>
                <w:rStyle w:val="25"/>
                <w:rFonts w:hint="eastAsia" w:ascii="宋体" w:hAnsi="宋体" w:eastAsia="宋体" w:cs="宋体"/>
                <w:color w:val="auto"/>
                <w:sz w:val="21"/>
                <w:szCs w:val="21"/>
                <w:lang w:bidi="ar"/>
              </w:rPr>
              <w:br w:type="textWrapping"/>
            </w:r>
            <w:r>
              <w:rPr>
                <w:rStyle w:val="25"/>
                <w:rFonts w:hint="eastAsia" w:ascii="宋体" w:hAnsi="宋体" w:eastAsia="宋体" w:cs="宋体"/>
                <w:color w:val="auto"/>
                <w:sz w:val="21"/>
                <w:szCs w:val="21"/>
                <w:lang w:bidi="ar"/>
              </w:rPr>
              <w:t>23.支持进行设备类型的管理以及批量删除；</w:t>
            </w:r>
            <w:r>
              <w:rPr>
                <w:rStyle w:val="25"/>
                <w:rFonts w:hint="eastAsia" w:ascii="宋体" w:hAnsi="宋体" w:eastAsia="宋体" w:cs="宋体"/>
                <w:color w:val="auto"/>
                <w:sz w:val="21"/>
                <w:szCs w:val="21"/>
                <w:lang w:bidi="ar"/>
              </w:rPr>
              <w:br w:type="textWrapping"/>
            </w:r>
            <w:r>
              <w:rPr>
                <w:rStyle w:val="25"/>
                <w:rFonts w:hint="eastAsia" w:ascii="宋体" w:hAnsi="宋体" w:eastAsia="宋体" w:cs="宋体"/>
                <w:color w:val="auto"/>
                <w:sz w:val="21"/>
                <w:szCs w:val="21"/>
                <w:lang w:bidi="ar"/>
              </w:rPr>
              <w:t>24.支持进行故障类型的管理以及批量删除；</w:t>
            </w:r>
          </w:p>
        </w:tc>
        <w:tc>
          <w:tcPr>
            <w:tcW w:w="567" w:type="dxa"/>
            <w:tcBorders>
              <w:top w:val="single" w:color="auto" w:sz="4" w:space="0"/>
              <w:left w:val="single" w:color="auto" w:sz="6" w:space="0"/>
              <w:bottom w:val="single" w:color="auto" w:sz="4" w:space="0"/>
              <w:right w:val="single" w:color="auto" w:sz="6" w:space="0"/>
            </w:tcBorders>
            <w:vAlign w:val="center"/>
          </w:tcPr>
          <w:p w14:paraId="49E95185">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w:t>
            </w:r>
          </w:p>
        </w:tc>
        <w:tc>
          <w:tcPr>
            <w:tcW w:w="567" w:type="dxa"/>
            <w:tcBorders>
              <w:top w:val="single" w:color="auto" w:sz="4" w:space="0"/>
              <w:left w:val="single" w:color="auto" w:sz="6" w:space="0"/>
              <w:bottom w:val="single" w:color="auto" w:sz="4" w:space="0"/>
              <w:right w:val="single" w:color="auto" w:sz="6" w:space="0"/>
            </w:tcBorders>
            <w:vAlign w:val="center"/>
          </w:tcPr>
          <w:p w14:paraId="3ED7F6B5">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套</w:t>
            </w:r>
          </w:p>
        </w:tc>
      </w:tr>
      <w:tr w14:paraId="1C67F9EA">
        <w:tblPrEx>
          <w:tblCellMar>
            <w:top w:w="0" w:type="dxa"/>
            <w:left w:w="10" w:type="dxa"/>
            <w:bottom w:w="0" w:type="dxa"/>
            <w:right w:w="10" w:type="dxa"/>
          </w:tblCellMar>
        </w:tblPrEx>
        <w:trPr>
          <w:trHeight w:val="704" w:hRule="atLeast"/>
        </w:trPr>
        <w:tc>
          <w:tcPr>
            <w:tcW w:w="500" w:type="dxa"/>
            <w:tcBorders>
              <w:top w:val="single" w:color="auto" w:sz="4" w:space="0"/>
              <w:left w:val="single" w:color="auto" w:sz="6" w:space="0"/>
              <w:bottom w:val="single" w:color="auto" w:sz="4" w:space="0"/>
              <w:right w:val="single" w:color="auto" w:sz="6" w:space="0"/>
            </w:tcBorders>
            <w:vAlign w:val="center"/>
          </w:tcPr>
          <w:p w14:paraId="28F3A582">
            <w:pPr>
              <w:widowControl/>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72</w:t>
            </w:r>
          </w:p>
        </w:tc>
        <w:tc>
          <w:tcPr>
            <w:tcW w:w="945" w:type="dxa"/>
            <w:tcBorders>
              <w:top w:val="single" w:color="auto" w:sz="4" w:space="0"/>
              <w:left w:val="nil"/>
              <w:bottom w:val="single" w:color="auto" w:sz="4" w:space="0"/>
              <w:right w:val="single" w:color="auto" w:sz="6" w:space="0"/>
            </w:tcBorders>
            <w:vAlign w:val="center"/>
          </w:tcPr>
          <w:p w14:paraId="30A54005">
            <w:pPr>
              <w:widowControl/>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分布式直播系统</w:t>
            </w:r>
          </w:p>
        </w:tc>
        <w:tc>
          <w:tcPr>
            <w:tcW w:w="6875" w:type="dxa"/>
            <w:tcBorders>
              <w:top w:val="single" w:color="auto" w:sz="4" w:space="0"/>
              <w:left w:val="nil"/>
              <w:bottom w:val="single" w:color="auto" w:sz="4" w:space="0"/>
              <w:right w:val="single" w:color="auto" w:sz="6" w:space="0"/>
            </w:tcBorders>
            <w:shd w:val="clear" w:color="auto" w:fill="auto"/>
            <w:vAlign w:val="center"/>
          </w:tcPr>
          <w:p w14:paraId="67897139">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1.支持本地化直播，通过带宽及流媒体边缘计算单元，支持音视频及课件直播；</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2.支持兼容主流监控厂商摄像机；</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3.支持教室摄像头视频画面及屏幕画面的同步直播推送；</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4.支持≥5路音视频流同步显示；</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5.本地直播流媒体支持单机/集群方案部署；</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6.支持拉取RTSP摄像机直播流进行直播；</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7.支持多种协议直播流播放，如WebRTC,RTMP/HTTP-FLV协议等，可根据场景的不同需求适配合适的播放协议；</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8.提供基于WebRTC的超低延迟互动直播，支持音频AAC到OPUS的转码，实现视频H264+音频OPUS的超低延迟直播；</w:t>
            </w:r>
          </w:p>
        </w:tc>
        <w:tc>
          <w:tcPr>
            <w:tcW w:w="567" w:type="dxa"/>
            <w:tcBorders>
              <w:top w:val="single" w:color="auto" w:sz="4" w:space="0"/>
              <w:left w:val="single" w:color="auto" w:sz="6" w:space="0"/>
              <w:bottom w:val="single" w:color="auto" w:sz="4" w:space="0"/>
              <w:right w:val="single" w:color="auto" w:sz="6" w:space="0"/>
            </w:tcBorders>
            <w:vAlign w:val="center"/>
          </w:tcPr>
          <w:p w14:paraId="12432294">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w:t>
            </w:r>
          </w:p>
        </w:tc>
        <w:tc>
          <w:tcPr>
            <w:tcW w:w="567" w:type="dxa"/>
            <w:tcBorders>
              <w:top w:val="single" w:color="auto" w:sz="4" w:space="0"/>
              <w:left w:val="single" w:color="auto" w:sz="6" w:space="0"/>
              <w:bottom w:val="single" w:color="auto" w:sz="4" w:space="0"/>
              <w:right w:val="single" w:color="auto" w:sz="6" w:space="0"/>
            </w:tcBorders>
            <w:vAlign w:val="center"/>
          </w:tcPr>
          <w:p w14:paraId="05225363">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套</w:t>
            </w:r>
          </w:p>
        </w:tc>
      </w:tr>
      <w:tr w14:paraId="0EB21609">
        <w:tblPrEx>
          <w:tblCellMar>
            <w:top w:w="0" w:type="dxa"/>
            <w:left w:w="10" w:type="dxa"/>
            <w:bottom w:w="0" w:type="dxa"/>
            <w:right w:w="10" w:type="dxa"/>
          </w:tblCellMar>
        </w:tblPrEx>
        <w:trPr>
          <w:trHeight w:val="704" w:hRule="atLeast"/>
        </w:trPr>
        <w:tc>
          <w:tcPr>
            <w:tcW w:w="500" w:type="dxa"/>
            <w:tcBorders>
              <w:top w:val="single" w:color="auto" w:sz="4" w:space="0"/>
              <w:left w:val="single" w:color="auto" w:sz="6" w:space="0"/>
              <w:bottom w:val="single" w:color="auto" w:sz="4" w:space="0"/>
              <w:right w:val="single" w:color="auto" w:sz="6" w:space="0"/>
            </w:tcBorders>
            <w:vAlign w:val="center"/>
          </w:tcPr>
          <w:p w14:paraId="13E7EFC3">
            <w:pPr>
              <w:widowControl/>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73</w:t>
            </w:r>
          </w:p>
        </w:tc>
        <w:tc>
          <w:tcPr>
            <w:tcW w:w="945" w:type="dxa"/>
            <w:tcBorders>
              <w:top w:val="single" w:color="auto" w:sz="4" w:space="0"/>
              <w:left w:val="nil"/>
              <w:bottom w:val="single" w:color="auto" w:sz="4" w:space="0"/>
              <w:right w:val="single" w:color="auto" w:sz="6" w:space="0"/>
            </w:tcBorders>
            <w:vAlign w:val="center"/>
          </w:tcPr>
          <w:p w14:paraId="4614D370">
            <w:pPr>
              <w:widowControl/>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教学平台</w:t>
            </w:r>
          </w:p>
        </w:tc>
        <w:tc>
          <w:tcPr>
            <w:tcW w:w="6875" w:type="dxa"/>
            <w:tcBorders>
              <w:top w:val="single" w:color="auto" w:sz="4" w:space="0"/>
              <w:left w:val="nil"/>
              <w:bottom w:val="single" w:color="auto" w:sz="4" w:space="0"/>
              <w:right w:val="single" w:color="auto" w:sz="6" w:space="0"/>
            </w:tcBorders>
            <w:shd w:val="clear" w:color="auto" w:fill="auto"/>
            <w:vAlign w:val="center"/>
          </w:tcPr>
          <w:p w14:paraId="1252232A">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1.至少支持密码、短信验证码、微信扫码三种登录方式；</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2.支持对个人课程的管理，可对自己创建的课程进行包含不限于查看、修改、删除等操作，支持自定义课程封面；</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3.支持教师对个人课堂的管理，可对自己创建的课堂进行包含不限于查看、移动、修改、删除等操作，可将课堂与已维护的教学班进行关联；</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4.支持查看即将开始的课程信息；</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5.支持查看课表信息，支持通过日历查询其他日期的排课信息；</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6.支持在课表中查看对应课程的开课记录；</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7.支持查看我创建的课程的所有开课记录，并支持通过日期筛选；</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8.支持查看上课过程中的各类统计，至少包含考勤情况、互动情况、问答情况；</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9.支持自动生成上课过程的关键事件时间轴，至少包含书写、资源打开；</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10.支持查看用户参与过的课程和课堂回顾和课堂报告；</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11.支持查看我参与的开课记录列表；</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12.支持查看每条开课记录的关联任务、关联文件以及回顾视频数量；</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13.支持自定义设置视频回顾的学生查看权限与下载权限；</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14.支持学生给老师的评分和评语，可以自动统计并生成课堂各项行为数据图表，可支持老师在线回答学生提问；</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15.支持对教学班进行管理，支持按组织架构或工号/姓名快速查找学生，支持一键解散教学班；</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16.支持用户上传各类格式的多媒体资源，并可对资源进行管理，包含不限于查看、编辑、删除、下载、移动、替换操作；</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17.可实时查看个人云盘的空间使用情况；</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18.可以对班级内学员发布任务，并进行任务管理，支持提交任务回馈和添加附件，可以给任务评分和写批语；</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19.支持题目管理，题型至少包含单选题、多选题、判断题、简答题；</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20.支持对教学班内学员进行分组，支持创建小组；</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21.支持调整学生所在分组，可设置是否允许学生自行分组；</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22.支持老师课后查看每个分组上传的文件、答题情况和小组屏屏幕截图；</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23.支持学生课后查看自己所在组上传的文件、答题情况和屏幕截图；</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24.题库支持按照模版格式批量导入试题，批量导入后支持预览导入效果，支持在线修改后导入题库；</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25.支持课后导出学生签到情况；</w:t>
            </w:r>
          </w:p>
        </w:tc>
        <w:tc>
          <w:tcPr>
            <w:tcW w:w="567" w:type="dxa"/>
            <w:tcBorders>
              <w:top w:val="single" w:color="auto" w:sz="4" w:space="0"/>
              <w:left w:val="single" w:color="auto" w:sz="6" w:space="0"/>
              <w:bottom w:val="single" w:color="auto" w:sz="4" w:space="0"/>
              <w:right w:val="single" w:color="auto" w:sz="6" w:space="0"/>
            </w:tcBorders>
            <w:vAlign w:val="center"/>
          </w:tcPr>
          <w:p w14:paraId="49CBA9F8">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w:t>
            </w:r>
          </w:p>
        </w:tc>
        <w:tc>
          <w:tcPr>
            <w:tcW w:w="567" w:type="dxa"/>
            <w:tcBorders>
              <w:top w:val="single" w:color="auto" w:sz="4" w:space="0"/>
              <w:left w:val="single" w:color="auto" w:sz="6" w:space="0"/>
              <w:bottom w:val="single" w:color="auto" w:sz="4" w:space="0"/>
              <w:right w:val="single" w:color="auto" w:sz="6" w:space="0"/>
            </w:tcBorders>
            <w:vAlign w:val="center"/>
          </w:tcPr>
          <w:p w14:paraId="6F582163">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套</w:t>
            </w:r>
          </w:p>
        </w:tc>
      </w:tr>
      <w:tr w14:paraId="6F1A2A9A">
        <w:tblPrEx>
          <w:tblCellMar>
            <w:top w:w="0" w:type="dxa"/>
            <w:left w:w="10" w:type="dxa"/>
            <w:bottom w:w="0" w:type="dxa"/>
            <w:right w:w="10" w:type="dxa"/>
          </w:tblCellMar>
        </w:tblPrEx>
        <w:trPr>
          <w:trHeight w:val="704" w:hRule="atLeast"/>
        </w:trPr>
        <w:tc>
          <w:tcPr>
            <w:tcW w:w="500" w:type="dxa"/>
            <w:tcBorders>
              <w:top w:val="single" w:color="auto" w:sz="4" w:space="0"/>
              <w:left w:val="single" w:color="auto" w:sz="6" w:space="0"/>
              <w:bottom w:val="single" w:color="auto" w:sz="4" w:space="0"/>
              <w:right w:val="single" w:color="auto" w:sz="6" w:space="0"/>
            </w:tcBorders>
            <w:vAlign w:val="center"/>
          </w:tcPr>
          <w:p w14:paraId="13FA4E05">
            <w:pPr>
              <w:widowControl/>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74</w:t>
            </w:r>
          </w:p>
        </w:tc>
        <w:tc>
          <w:tcPr>
            <w:tcW w:w="945" w:type="dxa"/>
            <w:tcBorders>
              <w:top w:val="single" w:color="auto" w:sz="4" w:space="0"/>
              <w:left w:val="nil"/>
              <w:bottom w:val="single" w:color="auto" w:sz="4" w:space="0"/>
              <w:right w:val="single" w:color="auto" w:sz="6" w:space="0"/>
            </w:tcBorders>
            <w:vAlign w:val="center"/>
          </w:tcPr>
          <w:p w14:paraId="4CD3558D">
            <w:pPr>
              <w:widowControl/>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督导平台</w:t>
            </w:r>
          </w:p>
        </w:tc>
        <w:tc>
          <w:tcPr>
            <w:tcW w:w="6875" w:type="dxa"/>
            <w:tcBorders>
              <w:top w:val="single" w:color="auto" w:sz="4" w:space="0"/>
              <w:left w:val="nil"/>
              <w:bottom w:val="single" w:color="auto" w:sz="4" w:space="0"/>
              <w:right w:val="single" w:color="auto" w:sz="6" w:space="0"/>
            </w:tcBorders>
            <w:shd w:val="clear" w:color="auto" w:fill="auto"/>
            <w:vAlign w:val="center"/>
          </w:tcPr>
          <w:p w14:paraId="605F40FB">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1.支持实时巡课，可按院系/专业、上课地点、教师可查看当前上课的课堂情况，包括直播同步现场上课画面、声音；</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2.支持同时预览多个当前正在直播的教室；</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3.支持查看课堂互动统计数据：包括课堂提问、笔记、弹幕等；</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4.支持查看课堂行为数据：包括学生到课情况、课堂课件等；</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5.支持多种画面视图督导，包括大屏画面、教师画面、学生画面、全景画面、特写画面等；</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6.支持教师课堂督导评价模板设定，可自定义设置多元化评价的评分项及其对应分值；</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7.支持课堂回顾点播，支持通过时间轴的方式实时同步呈现课堂动态；</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8.截图评价：支持一键截图视频画面内容，并针对该画面进行评价；</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9.支持督导课堂收藏功能，可对需要评价的课程收藏，便于督导职能履行；</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10.支持评价记录查看，支持全部、个人督导记录统计，按课程维度导出督导记录；支持复制新建指标体系；</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11.支持督导回顾设备白名单设置，可关闭指定区域的直录播设备；</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12.支持添加不同督导人员组成督导组；</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13.支持按督导类型创建督导任务，如同行督导、专家督导、领导干部听课；</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14.支持自定义设定督导任务完成时间、评价指标体系；</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15.支持按院系添加督导课程范围至督导任务，并发布给督导人员或督导组；</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16.支持自定义设置课程督导评价的分数权重，自动实时计算课程最终评价得分；</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17.支持生成课程维的督导报告，支持报告打印、导出；</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18.支持AI智能识别课堂中每一时刻到课人数；</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19.支持AI语音转录并生成课堂对话文本时间轴，支持点击对话段落定位回顾课堂录播；</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20.支持AI提取知识点标签及课堂语音内容搜索；</w:t>
            </w:r>
          </w:p>
        </w:tc>
        <w:tc>
          <w:tcPr>
            <w:tcW w:w="567" w:type="dxa"/>
            <w:tcBorders>
              <w:top w:val="single" w:color="auto" w:sz="4" w:space="0"/>
              <w:left w:val="single" w:color="auto" w:sz="6" w:space="0"/>
              <w:bottom w:val="single" w:color="auto" w:sz="4" w:space="0"/>
              <w:right w:val="single" w:color="auto" w:sz="6" w:space="0"/>
            </w:tcBorders>
            <w:vAlign w:val="center"/>
          </w:tcPr>
          <w:p w14:paraId="597C061D">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w:t>
            </w:r>
          </w:p>
        </w:tc>
        <w:tc>
          <w:tcPr>
            <w:tcW w:w="567" w:type="dxa"/>
            <w:tcBorders>
              <w:top w:val="single" w:color="auto" w:sz="4" w:space="0"/>
              <w:left w:val="single" w:color="auto" w:sz="6" w:space="0"/>
              <w:bottom w:val="single" w:color="auto" w:sz="4" w:space="0"/>
              <w:right w:val="single" w:color="auto" w:sz="6" w:space="0"/>
            </w:tcBorders>
            <w:vAlign w:val="center"/>
          </w:tcPr>
          <w:p w14:paraId="4A4B40B1">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套</w:t>
            </w:r>
          </w:p>
        </w:tc>
      </w:tr>
      <w:tr w14:paraId="50F91098">
        <w:tblPrEx>
          <w:tblCellMar>
            <w:top w:w="0" w:type="dxa"/>
            <w:left w:w="10" w:type="dxa"/>
            <w:bottom w:w="0" w:type="dxa"/>
            <w:right w:w="10" w:type="dxa"/>
          </w:tblCellMar>
        </w:tblPrEx>
        <w:trPr>
          <w:trHeight w:val="704" w:hRule="atLeast"/>
        </w:trPr>
        <w:tc>
          <w:tcPr>
            <w:tcW w:w="500" w:type="dxa"/>
            <w:tcBorders>
              <w:top w:val="single" w:color="auto" w:sz="4" w:space="0"/>
              <w:left w:val="single" w:color="auto" w:sz="6" w:space="0"/>
              <w:bottom w:val="single" w:color="auto" w:sz="4" w:space="0"/>
              <w:right w:val="single" w:color="auto" w:sz="6" w:space="0"/>
            </w:tcBorders>
            <w:vAlign w:val="center"/>
          </w:tcPr>
          <w:p w14:paraId="69C26FE4">
            <w:pPr>
              <w:widowControl/>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75</w:t>
            </w:r>
          </w:p>
        </w:tc>
        <w:tc>
          <w:tcPr>
            <w:tcW w:w="945" w:type="dxa"/>
            <w:tcBorders>
              <w:top w:val="single" w:color="auto" w:sz="4" w:space="0"/>
              <w:left w:val="nil"/>
              <w:bottom w:val="single" w:color="auto" w:sz="4" w:space="0"/>
              <w:right w:val="single" w:color="auto" w:sz="6" w:space="0"/>
            </w:tcBorders>
            <w:vAlign w:val="center"/>
          </w:tcPr>
          <w:p w14:paraId="13137D2D">
            <w:pPr>
              <w:widowControl/>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教室管控中心软件</w:t>
            </w:r>
          </w:p>
        </w:tc>
        <w:tc>
          <w:tcPr>
            <w:tcW w:w="6875" w:type="dxa"/>
            <w:tcBorders>
              <w:top w:val="single" w:color="auto" w:sz="4" w:space="0"/>
              <w:left w:val="nil"/>
              <w:bottom w:val="single" w:color="auto" w:sz="4" w:space="0"/>
              <w:right w:val="single" w:color="auto" w:sz="6" w:space="0"/>
            </w:tcBorders>
            <w:vAlign w:val="center"/>
          </w:tcPr>
          <w:p w14:paraId="492CC57E">
            <w:pP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1.系统软件B/S构架，支持物理服务器/私有云/公有云部署，浏览器登录操作，支持多种主流浏览器；</w:t>
            </w:r>
          </w:p>
          <w:p w14:paraId="55A1535B">
            <w:pP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2.至少支持刷卡、扫描二维码两种方式验证用户操作权限，支持对用户操作权限进行自定义配置；</w:t>
            </w:r>
          </w:p>
          <w:p w14:paraId="2907A912">
            <w:pP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3.支持对教室内的设备进行单独控制，支持同时选取多间教室，对不同设备进行批量控制；</w:t>
            </w:r>
          </w:p>
          <w:p w14:paraId="25EDD74E">
            <w:pP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4.支持自定义教室应用场景，可对教室内的物联设备进行场景化管理，通过编辑设备指令组合一键控制多个设备的对应动作；</w:t>
            </w:r>
          </w:p>
          <w:p w14:paraId="306994EB">
            <w:pP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5.支持控制设备（智能插座、总电源、灯光、窗帘、一体机、投影、幕布、空调等）接入、支持传感设备（电量统计、温湿度传感器、空气质量传感器、人体存在检测传感器、光照传感器等）接入；</w:t>
            </w:r>
          </w:p>
          <w:p w14:paraId="5D82BD15">
            <w:pP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6.支持通过卡片形式展示智慧教室的设备安装情况，支持按教学楼和教室名称快速查找教室；</w:t>
            </w:r>
          </w:p>
          <w:p w14:paraId="7B9CB3EE">
            <w:pP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7.支持查看教室环境信息，包括温度、湿度、PM2.5、二氧化碳浓度、甲醛浓度、TVOC浓度、光照度等，支持即时反馈教室内各类型设备的运行情况；</w:t>
            </w:r>
          </w:p>
          <w:p w14:paraId="45AFA17B">
            <w:pP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8.支持查看教室内麦克风的充电状态；</w:t>
            </w:r>
          </w:p>
          <w:p w14:paraId="7DD2B46F">
            <w:pP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9.支持通过教室结构树快捷切换不同教室查看教室详情，支持在教室详情内查看教室监控画面，监控画面支持全屏查看；</w:t>
            </w:r>
          </w:p>
          <w:p w14:paraId="176114D7">
            <w:pP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10.支持对接课表，可查看教室当日和本周课程表；</w:t>
            </w:r>
          </w:p>
          <w:p w14:paraId="0269422B">
            <w:pP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11.支持同时可查看不少于6间教室的监控画面，支持切换等分和主次布局，支持监控画面轮播；</w:t>
            </w:r>
          </w:p>
          <w:p w14:paraId="1B1C18BB">
            <w:pP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12.支持自定义设置定时任务，包含日常任务和临时任务，根据设置对不同教室自动下发控制指令；</w:t>
            </w:r>
          </w:p>
          <w:p w14:paraId="1FED7EC0">
            <w:pP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13.支持自定义选择多间教室手动执行教室设备巡检，支持自定义设置巡检策略，定时对多间教室进行设备巡检；</w:t>
            </w:r>
          </w:p>
          <w:p w14:paraId="75245ACC">
            <w:pP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14.支持生成教室专属二维码用于用户操作权限校验、故障快捷报修:</w:t>
            </w:r>
          </w:p>
          <w:p w14:paraId="0EBC3627">
            <w:pP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15.支持使用微信小程序扫描教室专属二维码快速上报设备故障，管理员可在后台或小程序对工单进行处理；</w:t>
            </w:r>
          </w:p>
          <w:p w14:paraId="65763B53">
            <w:pP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16.支持查看设备控制的操作日志、巡检日志等；</w:t>
            </w:r>
          </w:p>
          <w:p w14:paraId="03CED219">
            <w:pP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17.支持查看设备控制的操作日志，教室巡检日志、用电和环境告警日志、面板刷卡记录；</w:t>
            </w:r>
          </w:p>
          <w:p w14:paraId="305EAE9F">
            <w:pP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18.支持设置联动策略，根据获取到的环境数据，达成触发条件后自动发送设备指令；</w:t>
            </w:r>
          </w:p>
          <w:p w14:paraId="3B5DE3AD">
            <w:pP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19.支持设置环境异常和用电异常告警阈值，超过阈值后发出异常告警；</w:t>
            </w:r>
          </w:p>
          <w:p w14:paraId="1BF43C7E">
            <w:pP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20.支持自定义环境等级的评价条件，根据获取到的环境数据进行教室环境等级评价，支持通过时间段筛选该时间段内的环境指标变化趋势；</w:t>
            </w:r>
          </w:p>
          <w:p w14:paraId="03C15CAF">
            <w:pP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21.支持通过微信小程序远程控制教室物联设备，支持查看每个教室的网关在线状态，支持批量控制多个教室的物联设备，支持对教室进行场景化控制；</w:t>
            </w:r>
          </w:p>
          <w:p w14:paraId="2C0D4DD0">
            <w:pP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22.支持设置教室类型，实时查看各类型教室座位的使用情况；</w:t>
            </w:r>
          </w:p>
          <w:p w14:paraId="156EECCC">
            <w:pP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23.支持对接课表后实现教室设备自动化开启和关闭；</w:t>
            </w:r>
          </w:p>
          <w:p w14:paraId="5B7F057B">
            <w:pP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24.支持通过平台统一修改控制面板解锁密码；</w:t>
            </w:r>
          </w:p>
          <w:p w14:paraId="33022271">
            <w:pP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25.支持通过平台统一设置面板解锁方式；</w:t>
            </w:r>
          </w:p>
          <w:p w14:paraId="73F00BF5">
            <w:pP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26.支持通过平台统一自定义面板布局；</w:t>
            </w:r>
          </w:p>
          <w:p w14:paraId="01546F9E">
            <w:pP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27. 支持有线中控接入，支持配置接入的有线周边设备自定义串口指令；</w:t>
            </w:r>
          </w:p>
        </w:tc>
        <w:tc>
          <w:tcPr>
            <w:tcW w:w="567" w:type="dxa"/>
            <w:tcBorders>
              <w:top w:val="single" w:color="auto" w:sz="4" w:space="0"/>
              <w:left w:val="single" w:color="auto" w:sz="6" w:space="0"/>
              <w:bottom w:val="single" w:color="auto" w:sz="4" w:space="0"/>
              <w:right w:val="single" w:color="auto" w:sz="6" w:space="0"/>
            </w:tcBorders>
            <w:vAlign w:val="center"/>
          </w:tcPr>
          <w:p w14:paraId="1BC3F460">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w:t>
            </w:r>
          </w:p>
        </w:tc>
        <w:tc>
          <w:tcPr>
            <w:tcW w:w="567" w:type="dxa"/>
            <w:tcBorders>
              <w:top w:val="single" w:color="auto" w:sz="4" w:space="0"/>
              <w:left w:val="single" w:color="auto" w:sz="6" w:space="0"/>
              <w:bottom w:val="single" w:color="auto" w:sz="4" w:space="0"/>
              <w:right w:val="single" w:color="auto" w:sz="6" w:space="0"/>
            </w:tcBorders>
            <w:vAlign w:val="center"/>
          </w:tcPr>
          <w:p w14:paraId="34AFC4CC">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套</w:t>
            </w:r>
          </w:p>
        </w:tc>
      </w:tr>
      <w:tr w14:paraId="09ED6E3B">
        <w:tblPrEx>
          <w:tblCellMar>
            <w:top w:w="0" w:type="dxa"/>
            <w:left w:w="10" w:type="dxa"/>
            <w:bottom w:w="0" w:type="dxa"/>
            <w:right w:w="10" w:type="dxa"/>
          </w:tblCellMar>
        </w:tblPrEx>
        <w:trPr>
          <w:trHeight w:val="704" w:hRule="atLeast"/>
        </w:trPr>
        <w:tc>
          <w:tcPr>
            <w:tcW w:w="500" w:type="dxa"/>
            <w:tcBorders>
              <w:top w:val="single" w:color="auto" w:sz="4" w:space="0"/>
              <w:left w:val="single" w:color="auto" w:sz="6" w:space="0"/>
              <w:bottom w:val="single" w:color="auto" w:sz="4" w:space="0"/>
              <w:right w:val="single" w:color="auto" w:sz="6" w:space="0"/>
            </w:tcBorders>
            <w:vAlign w:val="center"/>
          </w:tcPr>
          <w:p w14:paraId="7D956841">
            <w:pPr>
              <w:widowControl/>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76</w:t>
            </w:r>
          </w:p>
        </w:tc>
        <w:tc>
          <w:tcPr>
            <w:tcW w:w="945" w:type="dxa"/>
            <w:tcBorders>
              <w:top w:val="single" w:color="auto" w:sz="4" w:space="0"/>
              <w:left w:val="nil"/>
              <w:bottom w:val="single" w:color="auto" w:sz="4" w:space="0"/>
              <w:right w:val="single" w:color="auto" w:sz="6" w:space="0"/>
            </w:tcBorders>
            <w:vAlign w:val="center"/>
          </w:tcPr>
          <w:p w14:paraId="5CBBCB3B">
            <w:pPr>
              <w:widowControl/>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语音识别服务软件</w:t>
            </w:r>
          </w:p>
        </w:tc>
        <w:tc>
          <w:tcPr>
            <w:tcW w:w="6875" w:type="dxa"/>
            <w:tcBorders>
              <w:top w:val="single" w:color="auto" w:sz="4" w:space="0"/>
              <w:left w:val="nil"/>
              <w:bottom w:val="single" w:color="auto" w:sz="4" w:space="0"/>
              <w:right w:val="single" w:color="auto" w:sz="6" w:space="0"/>
            </w:tcBorders>
            <w:shd w:val="clear" w:color="auto" w:fill="auto"/>
            <w:vAlign w:val="center"/>
          </w:tcPr>
          <w:p w14:paraId="229239F8">
            <w:pPr>
              <w:widowControl/>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1.实时长语音识别：基于深度卷积神经网络架构，通过 WebSocket 协议，建立应用与语音识别引擎的长链接，对不限时长的音频流作实时识别，可以做到“边说话边同步输出文字”的效果，内置智能断句，可提供每句话开始结束时间，适用于实时直播字幕、实时会议记录、实时法庭庭审等场景。</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 xml:space="preserve">2.语音识别准确率：标准普通话转写准确率≥96%。(转写的准确率与普通话标准程度和发音清晰度有关) </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3.语音识别速度：依托语音转写技术，实时语音转写速度≤300毫秒。</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4.支持多种音频编解码格式：目前实时语音转写支持pcm格式音频编解码算法。非实时转写支持mp3、wav、wma、mp4、avi、pcm、m4a等格式音频。目前音频采样率仅支持16K和8K。</w:t>
            </w:r>
          </w:p>
        </w:tc>
        <w:tc>
          <w:tcPr>
            <w:tcW w:w="567" w:type="dxa"/>
            <w:tcBorders>
              <w:top w:val="single" w:color="auto" w:sz="4" w:space="0"/>
              <w:left w:val="single" w:color="auto" w:sz="6" w:space="0"/>
              <w:bottom w:val="single" w:color="auto" w:sz="4" w:space="0"/>
              <w:right w:val="single" w:color="auto" w:sz="6" w:space="0"/>
            </w:tcBorders>
            <w:vAlign w:val="center"/>
          </w:tcPr>
          <w:p w14:paraId="6B691E19">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w:t>
            </w:r>
          </w:p>
        </w:tc>
        <w:tc>
          <w:tcPr>
            <w:tcW w:w="567" w:type="dxa"/>
            <w:tcBorders>
              <w:top w:val="single" w:color="auto" w:sz="4" w:space="0"/>
              <w:left w:val="single" w:color="auto" w:sz="6" w:space="0"/>
              <w:bottom w:val="single" w:color="auto" w:sz="4" w:space="0"/>
              <w:right w:val="single" w:color="auto" w:sz="6" w:space="0"/>
            </w:tcBorders>
            <w:vAlign w:val="center"/>
          </w:tcPr>
          <w:p w14:paraId="79A11388">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套</w:t>
            </w:r>
          </w:p>
        </w:tc>
      </w:tr>
      <w:tr w14:paraId="373F2551">
        <w:tblPrEx>
          <w:tblCellMar>
            <w:top w:w="0" w:type="dxa"/>
            <w:left w:w="10" w:type="dxa"/>
            <w:bottom w:w="0" w:type="dxa"/>
            <w:right w:w="10" w:type="dxa"/>
          </w:tblCellMar>
        </w:tblPrEx>
        <w:trPr>
          <w:trHeight w:val="704" w:hRule="atLeast"/>
        </w:trPr>
        <w:tc>
          <w:tcPr>
            <w:tcW w:w="500" w:type="dxa"/>
            <w:tcBorders>
              <w:top w:val="single" w:color="auto" w:sz="4" w:space="0"/>
              <w:left w:val="single" w:color="auto" w:sz="6" w:space="0"/>
              <w:bottom w:val="single" w:color="auto" w:sz="4" w:space="0"/>
              <w:right w:val="single" w:color="auto" w:sz="6" w:space="0"/>
            </w:tcBorders>
            <w:vAlign w:val="center"/>
          </w:tcPr>
          <w:p w14:paraId="676F34E7">
            <w:pPr>
              <w:widowControl/>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77</w:t>
            </w:r>
          </w:p>
        </w:tc>
        <w:tc>
          <w:tcPr>
            <w:tcW w:w="945" w:type="dxa"/>
            <w:tcBorders>
              <w:top w:val="single" w:color="auto" w:sz="4" w:space="0"/>
              <w:left w:val="nil"/>
              <w:bottom w:val="single" w:color="auto" w:sz="4" w:space="0"/>
              <w:right w:val="single" w:color="auto" w:sz="6" w:space="0"/>
            </w:tcBorders>
            <w:vAlign w:val="center"/>
          </w:tcPr>
          <w:p w14:paraId="1B29A257">
            <w:pPr>
              <w:widowControl/>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语音转写会议后台服务软件</w:t>
            </w:r>
          </w:p>
        </w:tc>
        <w:tc>
          <w:tcPr>
            <w:tcW w:w="6875" w:type="dxa"/>
            <w:tcBorders>
              <w:top w:val="single" w:color="auto" w:sz="4" w:space="0"/>
              <w:left w:val="nil"/>
              <w:bottom w:val="single" w:color="auto" w:sz="4" w:space="0"/>
              <w:right w:val="single" w:color="auto" w:sz="6" w:space="0"/>
            </w:tcBorders>
            <w:vAlign w:val="center"/>
          </w:tcPr>
          <w:p w14:paraId="35151046">
            <w:pPr>
              <w:widowControl/>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支持将实时外部音频信号转换成文字文本，转写文本可按照发言人角色进行自动分离，内容更加清晰直观。支持设置自动分段、语气词过滤、禁忌词屏蔽以及添加系统热词，优化文本显示。支持对文本中重点或存疑内容进行标记，方便会后整理文稿。支持查找文本关键词、按发言人显示文本等功能。支持文本编辑，允许编辑单句，修改错别字。</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2.支持录制会议音频，可查看录制音频的名称、大小、音频长度、发言人以及时间等基本信息。音频支持选择不同发言人分别导出或按照整场会议全部导出，同时支持二维码分享的方式下载音频文件。文件支持wav、mp3等音频格式。</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3.支持批量导入 mp3、wav、wma、mp4、avi、pcm、m4a等多种格式的音频文件并快速转写成文字文本，可进行语言选择和语气词过滤设置；支持批量下载或二维码分享音频和转写文本文件，同时可对无效文件进行删除操作。可查看音频文件名称、文件大小、音频长度、上传时间、语音选择以及转写状态等信息。</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4.支持预先设置语气词。开启语气词过滤后，转写文本中的语气词将被删除，保证文稿更加顺畅。</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5.支持按照智能语义（仅支持中英文）、VAD+字数、VAD+关键字、关键字等多种方式进行自动分段，可自定义说话停顿时间以及字数。</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6.支持统计转写时长、文档数量、会议次数、参会人数等会议数据并支持以柱状图和折线图的方式呈现。支持按照周、月、年以及自定义时间段的方式查询并导出数据。</w:t>
            </w:r>
          </w:p>
        </w:tc>
        <w:tc>
          <w:tcPr>
            <w:tcW w:w="567" w:type="dxa"/>
            <w:tcBorders>
              <w:top w:val="single" w:color="auto" w:sz="4" w:space="0"/>
              <w:left w:val="single" w:color="auto" w:sz="6" w:space="0"/>
              <w:bottom w:val="single" w:color="auto" w:sz="4" w:space="0"/>
              <w:right w:val="single" w:color="auto" w:sz="6" w:space="0"/>
            </w:tcBorders>
            <w:vAlign w:val="center"/>
          </w:tcPr>
          <w:p w14:paraId="5ECB2661">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w:t>
            </w:r>
          </w:p>
        </w:tc>
        <w:tc>
          <w:tcPr>
            <w:tcW w:w="567" w:type="dxa"/>
            <w:tcBorders>
              <w:top w:val="single" w:color="auto" w:sz="4" w:space="0"/>
              <w:left w:val="single" w:color="auto" w:sz="6" w:space="0"/>
              <w:bottom w:val="single" w:color="auto" w:sz="4" w:space="0"/>
              <w:right w:val="single" w:color="auto" w:sz="6" w:space="0"/>
            </w:tcBorders>
            <w:vAlign w:val="center"/>
          </w:tcPr>
          <w:p w14:paraId="23530A42">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套</w:t>
            </w:r>
          </w:p>
        </w:tc>
      </w:tr>
      <w:tr w14:paraId="0B24E513">
        <w:tblPrEx>
          <w:tblCellMar>
            <w:top w:w="0" w:type="dxa"/>
            <w:left w:w="10" w:type="dxa"/>
            <w:bottom w:w="0" w:type="dxa"/>
            <w:right w:w="10" w:type="dxa"/>
          </w:tblCellMar>
        </w:tblPrEx>
        <w:trPr>
          <w:trHeight w:val="704" w:hRule="atLeast"/>
        </w:trPr>
        <w:tc>
          <w:tcPr>
            <w:tcW w:w="500" w:type="dxa"/>
            <w:tcBorders>
              <w:top w:val="single" w:color="auto" w:sz="4" w:space="0"/>
              <w:left w:val="single" w:color="auto" w:sz="6" w:space="0"/>
              <w:bottom w:val="single" w:color="auto" w:sz="4" w:space="0"/>
              <w:right w:val="single" w:color="auto" w:sz="6" w:space="0"/>
            </w:tcBorders>
            <w:vAlign w:val="center"/>
          </w:tcPr>
          <w:p w14:paraId="64B5FA76">
            <w:pPr>
              <w:widowControl/>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78</w:t>
            </w:r>
          </w:p>
        </w:tc>
        <w:tc>
          <w:tcPr>
            <w:tcW w:w="945" w:type="dxa"/>
            <w:tcBorders>
              <w:top w:val="single" w:color="auto" w:sz="4" w:space="0"/>
              <w:left w:val="nil"/>
              <w:bottom w:val="single" w:color="auto" w:sz="4" w:space="0"/>
              <w:right w:val="single" w:color="auto" w:sz="6" w:space="0"/>
            </w:tcBorders>
            <w:vAlign w:val="center"/>
          </w:tcPr>
          <w:p w14:paraId="3F23F3CA">
            <w:pPr>
              <w:widowControl/>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语音转写会议客户端软件</w:t>
            </w:r>
          </w:p>
        </w:tc>
        <w:tc>
          <w:tcPr>
            <w:tcW w:w="6875" w:type="dxa"/>
            <w:tcBorders>
              <w:top w:val="single" w:color="auto" w:sz="4" w:space="0"/>
              <w:left w:val="nil"/>
              <w:bottom w:val="single" w:color="auto" w:sz="4" w:space="0"/>
              <w:right w:val="single" w:color="auto" w:sz="6" w:space="0"/>
            </w:tcBorders>
            <w:vAlign w:val="center"/>
          </w:tcPr>
          <w:p w14:paraId="27EE359C">
            <w:pPr>
              <w:widowControl/>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支持将实时外部音频信号转换成文字文本，转写文本可按照发言人角色进行自动分离，内容更加清晰直观。支持设置自动分段、语气词过滤、禁忌词屏蔽以及添加系统热词，优化文本显示。支持对文本中重点或存疑内容进行标记，方便会后整理文稿。支持查找文本关键词、按发言人显示文本等功能。支持文本编辑，允许编辑单句，修改错别字。</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2.支持编辑会议纪要，对会议重要内容进行记录。纪要文本支持字体类型、字体大小、加粗、斜体、下划线等自定义设置。采用二分屏对照转写文本的方式，记录人员可直接将转写文本内容复制到纪要文本中，提升会议记录效率。支持二维码分享或下载纪要文件，并对会议纪要进行归档。</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3.支持实时显示转写字幕，支持对字幕进行logo、会议名称、字体大小、转写文字颜色和透明度、显示行数、停靠位置以及背景颜色和透明度进行设置。</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4.支持录制会议音频，可查看录制音频的名称、大小、音频长度、发言人以及时间等基本信息。音频支持选择不同发言人分别导出或按照整场会议全部导出，同时支持二维码分享的方式下载音频文件。文件支持wav、mp3等音频格式。</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5.支持批量导入 mp3、wav、wma、mp4、avi、pcm、m4a等多种格式的音频文件并快速转写成文字文本，可进行语言选择和语气词过滤设置；支持批量下载或二维码分享音频和转写文本文件，同时可对无效文件进行删除操作。可查看音频文件名称、文件大小、音频长度、上传时间、语音选择以及转写状态等信息。</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6.支持转写文本编辑，播放器、时间轴及文本区互相同步定位，方便用户对音频和文本进行对照修改。支持词汇替换，快速修改相同错误词汇。</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7.支持预先设置语气词。开启语气词过滤后，转写文本中的语气词将被删除，保证文稿更加顺畅。</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8.支持按照智能语义（仅支持中英文）、VAD+字数、VAD+关键字、关键字等多种方式进行自动分段，可自定义说话停顿时间以及字数。</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9.支持统计转写时长、文档数量、会议次数、参会人数等会议数据并支持以柱状图和折线图的方式呈现。支持按照周、月、年以及自定义时间段的方式查询并导出数据。</w:t>
            </w:r>
          </w:p>
        </w:tc>
        <w:tc>
          <w:tcPr>
            <w:tcW w:w="567" w:type="dxa"/>
            <w:tcBorders>
              <w:top w:val="single" w:color="auto" w:sz="4" w:space="0"/>
              <w:left w:val="single" w:color="auto" w:sz="6" w:space="0"/>
              <w:bottom w:val="single" w:color="auto" w:sz="4" w:space="0"/>
              <w:right w:val="single" w:color="auto" w:sz="6" w:space="0"/>
            </w:tcBorders>
            <w:vAlign w:val="center"/>
          </w:tcPr>
          <w:p w14:paraId="7B407467">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w:t>
            </w:r>
          </w:p>
        </w:tc>
        <w:tc>
          <w:tcPr>
            <w:tcW w:w="567" w:type="dxa"/>
            <w:tcBorders>
              <w:top w:val="single" w:color="auto" w:sz="4" w:space="0"/>
              <w:left w:val="single" w:color="auto" w:sz="6" w:space="0"/>
              <w:bottom w:val="single" w:color="auto" w:sz="4" w:space="0"/>
              <w:right w:val="single" w:color="auto" w:sz="6" w:space="0"/>
            </w:tcBorders>
            <w:vAlign w:val="center"/>
          </w:tcPr>
          <w:p w14:paraId="15181CED">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套</w:t>
            </w:r>
          </w:p>
        </w:tc>
      </w:tr>
      <w:tr w14:paraId="429EBF1E">
        <w:tblPrEx>
          <w:tblCellMar>
            <w:top w:w="0" w:type="dxa"/>
            <w:left w:w="10" w:type="dxa"/>
            <w:bottom w:w="0" w:type="dxa"/>
            <w:right w:w="10" w:type="dxa"/>
          </w:tblCellMar>
        </w:tblPrEx>
        <w:trPr>
          <w:trHeight w:val="704" w:hRule="atLeast"/>
        </w:trPr>
        <w:tc>
          <w:tcPr>
            <w:tcW w:w="500" w:type="dxa"/>
            <w:tcBorders>
              <w:top w:val="single" w:color="auto" w:sz="4" w:space="0"/>
              <w:left w:val="single" w:color="auto" w:sz="6" w:space="0"/>
              <w:bottom w:val="single" w:color="auto" w:sz="4" w:space="0"/>
              <w:right w:val="single" w:color="auto" w:sz="6" w:space="0"/>
            </w:tcBorders>
            <w:vAlign w:val="center"/>
          </w:tcPr>
          <w:p w14:paraId="30B62E4C">
            <w:pPr>
              <w:widowControl/>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79</w:t>
            </w:r>
          </w:p>
        </w:tc>
        <w:tc>
          <w:tcPr>
            <w:tcW w:w="945" w:type="dxa"/>
            <w:tcBorders>
              <w:top w:val="single" w:color="auto" w:sz="4" w:space="0"/>
              <w:left w:val="nil"/>
              <w:bottom w:val="single" w:color="auto" w:sz="4" w:space="0"/>
              <w:right w:val="single" w:color="auto" w:sz="6" w:space="0"/>
            </w:tcBorders>
            <w:vAlign w:val="center"/>
          </w:tcPr>
          <w:p w14:paraId="08C3908A">
            <w:pPr>
              <w:widowControl/>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语音转写会议大屏软件</w:t>
            </w:r>
          </w:p>
        </w:tc>
        <w:tc>
          <w:tcPr>
            <w:tcW w:w="6875" w:type="dxa"/>
            <w:tcBorders>
              <w:top w:val="single" w:color="auto" w:sz="4" w:space="0"/>
              <w:left w:val="nil"/>
              <w:bottom w:val="single" w:color="auto" w:sz="4" w:space="0"/>
              <w:right w:val="single" w:color="auto" w:sz="6" w:space="0"/>
            </w:tcBorders>
            <w:vAlign w:val="center"/>
          </w:tcPr>
          <w:p w14:paraId="79F3A4C2">
            <w:pPr>
              <w:widowControl/>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1.软件支持显示、切换多种字幕功能，包括实时发言转写字幕、实时发言翻译字幕、多语言转写双语字幕。</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2.支持自定义已转写文字、未转写和角色名文字的字体颜色和字体的透明度。</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3.支持自定义Logo图片，自定义Logo的显示与隐藏。</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4.支持字幕背景颜色和背景颜色的透明度调节；支持自定义全屏投屏背景颜色或背景图更换，支持自定义全屏背景的透明度设置。</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5.支持通过软件将历史会议纪要、录音文件生成二维码。</w:t>
            </w:r>
          </w:p>
        </w:tc>
        <w:tc>
          <w:tcPr>
            <w:tcW w:w="567" w:type="dxa"/>
            <w:tcBorders>
              <w:top w:val="single" w:color="auto" w:sz="4" w:space="0"/>
              <w:left w:val="single" w:color="auto" w:sz="6" w:space="0"/>
              <w:bottom w:val="single" w:color="auto" w:sz="4" w:space="0"/>
              <w:right w:val="single" w:color="auto" w:sz="6" w:space="0"/>
            </w:tcBorders>
            <w:vAlign w:val="center"/>
          </w:tcPr>
          <w:p w14:paraId="3747C8D9">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w:t>
            </w:r>
          </w:p>
        </w:tc>
        <w:tc>
          <w:tcPr>
            <w:tcW w:w="567" w:type="dxa"/>
            <w:tcBorders>
              <w:top w:val="single" w:color="auto" w:sz="4" w:space="0"/>
              <w:left w:val="single" w:color="auto" w:sz="6" w:space="0"/>
              <w:bottom w:val="single" w:color="auto" w:sz="4" w:space="0"/>
              <w:right w:val="single" w:color="auto" w:sz="6" w:space="0"/>
            </w:tcBorders>
            <w:vAlign w:val="center"/>
          </w:tcPr>
          <w:p w14:paraId="6B9FC06C">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套</w:t>
            </w:r>
          </w:p>
        </w:tc>
      </w:tr>
    </w:tbl>
    <w:p w14:paraId="097E3A50">
      <w:pPr>
        <w:rPr>
          <w:rFonts w:hint="eastAsia"/>
          <w:b/>
          <w:bCs w:val="0"/>
          <w:sz w:val="24"/>
          <w:szCs w:val="24"/>
          <w:highlight w:val="none"/>
        </w:rPr>
      </w:pPr>
      <w:r>
        <w:rPr>
          <w:rFonts w:hint="eastAsia"/>
          <w:b/>
          <w:bCs w:val="0"/>
          <w:sz w:val="24"/>
          <w:szCs w:val="24"/>
          <w:highlight w:val="none"/>
        </w:rPr>
        <w:t xml:space="preserve">   </w:t>
      </w:r>
      <w:r>
        <w:rPr>
          <w:rFonts w:hint="eastAsia"/>
          <w:b/>
          <w:bCs w:val="0"/>
          <w:sz w:val="24"/>
          <w:szCs w:val="24"/>
          <w:highlight w:val="none"/>
          <w:lang w:val="en-US" w:eastAsia="zh-CN"/>
        </w:rPr>
        <w:t xml:space="preserve">   </w:t>
      </w:r>
      <w:r>
        <w:rPr>
          <w:rFonts w:hint="eastAsia"/>
          <w:b/>
          <w:bCs w:val="0"/>
          <w:sz w:val="24"/>
          <w:szCs w:val="24"/>
          <w:highlight w:val="none"/>
        </w:rPr>
        <w:t xml:space="preserve"> </w:t>
      </w:r>
    </w:p>
    <w:p w14:paraId="583E2C85">
      <w:pPr>
        <w:rPr>
          <w:rFonts w:hint="eastAsia"/>
          <w:b/>
          <w:bCs w:val="0"/>
          <w:sz w:val="24"/>
          <w:szCs w:val="24"/>
          <w:highlight w:val="none"/>
        </w:rPr>
      </w:pPr>
      <w:r>
        <w:rPr>
          <w:rFonts w:hint="eastAsia"/>
          <w:b/>
          <w:bCs w:val="0"/>
          <w:sz w:val="24"/>
          <w:szCs w:val="24"/>
          <w:highlight w:val="none"/>
        </w:rPr>
        <w:br w:type="page"/>
      </w:r>
    </w:p>
    <w:p w14:paraId="3D60FB46">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b/>
          <w:bCs/>
          <w:sz w:val="28"/>
          <w:szCs w:val="28"/>
          <w:highlight w:val="none"/>
        </w:rPr>
      </w:pPr>
      <w:r>
        <w:rPr>
          <w:rFonts w:hint="eastAsia"/>
          <w:b/>
          <w:bCs/>
          <w:sz w:val="28"/>
          <w:szCs w:val="28"/>
          <w:highlight w:val="none"/>
        </w:rPr>
        <w:t>核心产品(适用于非单一产品采购）为：第</w:t>
      </w:r>
      <w:r>
        <w:rPr>
          <w:b/>
          <w:bCs/>
          <w:sz w:val="28"/>
          <w:szCs w:val="28"/>
          <w:highlight w:val="none"/>
        </w:rPr>
        <w:t xml:space="preserve"> 50 </w:t>
      </w:r>
      <w:r>
        <w:rPr>
          <w:rFonts w:hint="eastAsia"/>
          <w:b/>
          <w:bCs/>
          <w:sz w:val="28"/>
          <w:szCs w:val="28"/>
          <w:highlight w:val="none"/>
        </w:rPr>
        <w:t>项（智能交互平板</w:t>
      </w:r>
      <w:r>
        <w:rPr>
          <w:b/>
          <w:bCs/>
          <w:sz w:val="28"/>
          <w:szCs w:val="28"/>
          <w:highlight w:val="none"/>
        </w:rPr>
        <w:t xml:space="preserve"> </w:t>
      </w:r>
      <w:r>
        <w:rPr>
          <w:rFonts w:hint="eastAsia"/>
          <w:b/>
          <w:bCs/>
          <w:sz w:val="28"/>
          <w:szCs w:val="28"/>
          <w:highlight w:val="none"/>
        </w:rPr>
        <w:t xml:space="preserve">）。 </w:t>
      </w:r>
    </w:p>
    <w:p w14:paraId="2A1DE07E">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b/>
          <w:bCs/>
          <w:sz w:val="28"/>
          <w:szCs w:val="28"/>
          <w:highlight w:val="none"/>
        </w:rPr>
      </w:pPr>
      <w:r>
        <w:rPr>
          <w:rFonts w:hint="eastAsia"/>
          <w:b/>
          <w:bCs/>
          <w:sz w:val="28"/>
          <w:szCs w:val="28"/>
          <w:highlight w:val="none"/>
          <w:lang w:val="zh-CN"/>
        </w:rPr>
        <w:t>质量保证期：</w:t>
      </w:r>
      <w:r>
        <w:rPr>
          <w:b/>
          <w:bCs/>
          <w:sz w:val="28"/>
          <w:szCs w:val="28"/>
          <w:highlight w:val="none"/>
        </w:rPr>
        <w:t>1</w:t>
      </w:r>
      <w:r>
        <w:rPr>
          <w:rFonts w:hint="eastAsia"/>
          <w:b/>
          <w:bCs/>
          <w:sz w:val="28"/>
          <w:szCs w:val="28"/>
          <w:highlight w:val="none"/>
        </w:rPr>
        <w:t>年</w:t>
      </w:r>
    </w:p>
    <w:p w14:paraId="1AFEC84E">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b/>
          <w:bCs/>
          <w:sz w:val="28"/>
          <w:szCs w:val="28"/>
          <w:highlight w:val="none"/>
          <w:lang w:val="zh-CN"/>
        </w:rPr>
      </w:pPr>
      <w:r>
        <w:rPr>
          <w:rFonts w:hint="eastAsia"/>
          <w:b/>
          <w:bCs/>
          <w:sz w:val="28"/>
          <w:szCs w:val="28"/>
          <w:highlight w:val="none"/>
          <w:lang w:val="zh-CN"/>
        </w:rPr>
        <w:t>交货时间：自合同签订之日起</w:t>
      </w:r>
      <w:r>
        <w:rPr>
          <w:rFonts w:hint="eastAsia"/>
          <w:b/>
          <w:bCs/>
          <w:sz w:val="28"/>
          <w:szCs w:val="28"/>
          <w:highlight w:val="none"/>
          <w:lang w:val="zh-CN" w:eastAsia="zh-CN"/>
        </w:rPr>
        <w:t>30</w:t>
      </w:r>
      <w:r>
        <w:rPr>
          <w:rFonts w:hint="eastAsia"/>
          <w:b/>
          <w:bCs/>
          <w:sz w:val="28"/>
          <w:szCs w:val="28"/>
          <w:highlight w:val="none"/>
          <w:lang w:val="zh-CN"/>
        </w:rPr>
        <w:t>天内完成。</w:t>
      </w:r>
    </w:p>
    <w:p w14:paraId="1B58EF78">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b/>
          <w:bCs/>
          <w:sz w:val="28"/>
          <w:szCs w:val="28"/>
          <w:highlight w:val="none"/>
        </w:rPr>
      </w:pPr>
      <w:r>
        <w:rPr>
          <w:rFonts w:hint="eastAsia"/>
          <w:b/>
          <w:bCs/>
          <w:sz w:val="28"/>
          <w:szCs w:val="28"/>
          <w:highlight w:val="none"/>
          <w:lang w:val="zh-CN"/>
        </w:rPr>
        <w:t>交货地点：</w:t>
      </w:r>
      <w:r>
        <w:rPr>
          <w:rFonts w:hint="eastAsia"/>
          <w:b/>
          <w:bCs/>
          <w:sz w:val="28"/>
          <w:szCs w:val="28"/>
          <w:highlight w:val="none"/>
        </w:rPr>
        <w:t>吉林司法警官职业学院</w:t>
      </w:r>
    </w:p>
    <w:p w14:paraId="458C9A9A">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b/>
          <w:bCs/>
          <w:sz w:val="28"/>
          <w:szCs w:val="28"/>
          <w:highlight w:val="none"/>
          <w:lang w:val="zh-CN"/>
        </w:rPr>
      </w:pPr>
      <w:r>
        <w:rPr>
          <w:rFonts w:hint="eastAsia"/>
          <w:b/>
          <w:bCs/>
          <w:sz w:val="28"/>
          <w:szCs w:val="28"/>
          <w:highlight w:val="none"/>
          <w:lang w:val="zh-CN"/>
        </w:rPr>
        <w:t>交货方式：中标人负责将货物安全完好运抵交货地点、安装调试并保证验收合格。</w:t>
      </w:r>
    </w:p>
    <w:p w14:paraId="6CA48614">
      <w:pPr>
        <w:spacing w:line="360" w:lineRule="auto"/>
        <w:rPr>
          <w:rFonts w:hint="eastAsia"/>
          <w:b/>
          <w:bCs/>
          <w:sz w:val="28"/>
          <w:szCs w:val="28"/>
          <w:highlight w:val="none"/>
          <w:lang w:val="zh-CN"/>
        </w:rPr>
      </w:pPr>
      <w:r>
        <w:rPr>
          <w:rFonts w:hint="eastAsia"/>
          <w:b/>
          <w:bCs/>
          <w:sz w:val="28"/>
          <w:szCs w:val="28"/>
          <w:highlight w:val="none"/>
        </w:rPr>
        <w:t xml:space="preserve"> </w:t>
      </w:r>
      <w:r>
        <w:rPr>
          <w:rFonts w:hint="eastAsia"/>
          <w:b/>
          <w:bCs/>
          <w:sz w:val="28"/>
          <w:szCs w:val="28"/>
          <w:highlight w:val="none"/>
          <w:lang w:val="zh-CN"/>
        </w:rPr>
        <w:t>请投标人注意：</w:t>
      </w:r>
    </w:p>
    <w:p w14:paraId="202323C4">
      <w:pPr>
        <w:spacing w:line="360" w:lineRule="auto"/>
        <w:ind w:firstLine="562" w:firstLineChars="200"/>
        <w:rPr>
          <w:b/>
          <w:bCs w:val="0"/>
          <w:sz w:val="24"/>
          <w:szCs w:val="24"/>
          <w:highlight w:val="none"/>
        </w:rPr>
      </w:pPr>
      <w:r>
        <w:rPr>
          <w:rFonts w:hint="eastAsia"/>
          <w:b/>
          <w:bCs/>
          <w:sz w:val="28"/>
          <w:szCs w:val="28"/>
          <w:highlight w:val="none"/>
          <w:lang w:val="zh-CN"/>
        </w:rPr>
        <w:t>（</w:t>
      </w:r>
      <w:r>
        <w:rPr>
          <w:b/>
          <w:bCs/>
          <w:sz w:val="28"/>
          <w:szCs w:val="28"/>
          <w:highlight w:val="none"/>
          <w:lang w:val="zh-CN"/>
        </w:rPr>
        <w:t>1</w:t>
      </w:r>
      <w:r>
        <w:rPr>
          <w:rFonts w:hint="eastAsia"/>
          <w:b/>
          <w:bCs/>
          <w:sz w:val="28"/>
          <w:szCs w:val="28"/>
          <w:highlight w:val="none"/>
          <w:lang w:val="zh-CN"/>
        </w:rPr>
        <w:t>）投标文件对招标文件各种设备所要求的主要功能配置及其技术指标必须全部满足，不允许有缺项或者负偏离，如果不满足将导致废标</w:t>
      </w:r>
      <w:r>
        <w:rPr>
          <w:rFonts w:hint="eastAsia" w:ascii="宋体" w:cs="宋体"/>
          <w:b/>
          <w:bCs w:val="0"/>
          <w:color w:val="000000"/>
          <w:sz w:val="24"/>
          <w:szCs w:val="24"/>
          <w:highlight w:val="none"/>
          <w:lang w:val="zh-CN"/>
        </w:rPr>
        <w:t>。</w:t>
      </w:r>
    </w:p>
    <w:p w14:paraId="3234CC31">
      <w:pPr>
        <w:rPr>
          <w:b/>
          <w:bCs w:val="0"/>
          <w:highlight w:val="none"/>
        </w:rPr>
      </w:pPr>
    </w:p>
    <w:p w14:paraId="2EB18F79">
      <w:pPr>
        <w:rPr>
          <w:rFonts w:hint="eastAsia"/>
          <w:b/>
          <w:bCs w:val="0"/>
          <w:highlight w:val="none"/>
        </w:rPr>
      </w:pPr>
      <w:bookmarkStart w:id="33" w:name="_Toc19078"/>
      <w:r>
        <w:rPr>
          <w:rFonts w:hint="eastAsia"/>
          <w:b/>
          <w:bCs w:val="0"/>
          <w:highlight w:val="none"/>
        </w:rPr>
        <w:br w:type="page"/>
      </w:r>
    </w:p>
    <w:p w14:paraId="635E633E">
      <w:pPr>
        <w:keepNext w:val="0"/>
        <w:keepLines w:val="0"/>
        <w:pageBreakBefore w:val="0"/>
        <w:widowControl w:val="0"/>
        <w:kinsoku/>
        <w:wordWrap/>
        <w:overflowPunct/>
        <w:topLinePunct w:val="0"/>
        <w:autoSpaceDE/>
        <w:autoSpaceDN/>
        <w:bidi w:val="0"/>
        <w:adjustRightInd/>
        <w:snapToGrid/>
        <w:jc w:val="center"/>
        <w:textAlignment w:val="auto"/>
        <w:outlineLvl w:val="0"/>
        <w:rPr>
          <w:b/>
          <w:bCs/>
          <w:sz w:val="36"/>
          <w:szCs w:val="44"/>
        </w:rPr>
      </w:pPr>
      <w:r>
        <w:rPr>
          <w:rFonts w:hint="eastAsia"/>
          <w:b/>
          <w:bCs/>
          <w:sz w:val="36"/>
          <w:szCs w:val="44"/>
        </w:rPr>
        <w:t>第四章  评审</w:t>
      </w:r>
      <w:r>
        <w:rPr>
          <w:rFonts w:hint="eastAsia"/>
          <w:b/>
          <w:bCs/>
          <w:sz w:val="36"/>
          <w:szCs w:val="44"/>
          <w:lang w:eastAsia="zh-CN"/>
        </w:rPr>
        <w:t>办</w:t>
      </w:r>
      <w:r>
        <w:rPr>
          <w:rFonts w:hint="eastAsia"/>
          <w:b/>
          <w:bCs/>
          <w:sz w:val="36"/>
          <w:szCs w:val="44"/>
        </w:rPr>
        <w:t>法</w:t>
      </w:r>
      <w:bookmarkEnd w:id="28"/>
      <w:bookmarkEnd w:id="29"/>
      <w:bookmarkEnd w:id="30"/>
      <w:bookmarkEnd w:id="33"/>
    </w:p>
    <w:p w14:paraId="2D0BD025">
      <w:pPr>
        <w:ind w:firstLine="241" w:firstLineChars="100"/>
        <w:outlineLvl w:val="1"/>
        <w:rPr>
          <w:rFonts w:ascii="宋体" w:hAnsi="宋体" w:cs="宋体"/>
          <w:b/>
          <w:bCs/>
          <w:kern w:val="44"/>
          <w:sz w:val="24"/>
        </w:rPr>
      </w:pPr>
      <w:bookmarkStart w:id="34" w:name="_Toc22331"/>
      <w:r>
        <w:rPr>
          <w:rFonts w:hint="eastAsia" w:ascii="宋体" w:hAnsi="宋体" w:cs="宋体"/>
          <w:b/>
          <w:sz w:val="24"/>
        </w:rPr>
        <w:t>（一）资格性评审前附表</w:t>
      </w:r>
      <w:bookmarkEnd w:id="31"/>
      <w:bookmarkEnd w:id="34"/>
    </w:p>
    <w:tbl>
      <w:tblPr>
        <w:tblStyle w:val="15"/>
        <w:tblW w:w="9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912"/>
        <w:gridCol w:w="1550"/>
        <w:gridCol w:w="6054"/>
      </w:tblGrid>
      <w:tr w14:paraId="641E6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76" w:type="dxa"/>
            <w:gridSpan w:val="2"/>
            <w:shd w:val="clear" w:color="auto" w:fill="D7D7D7"/>
            <w:vAlign w:val="center"/>
          </w:tcPr>
          <w:p w14:paraId="3E8EB2B3">
            <w:pPr>
              <w:autoSpaceDE w:val="0"/>
              <w:autoSpaceDN w:val="0"/>
              <w:adjustRightInd w:val="0"/>
              <w:spacing w:line="360" w:lineRule="auto"/>
              <w:jc w:val="center"/>
              <w:rPr>
                <w:rFonts w:ascii="宋体" w:hAnsi="宋体" w:cs="宋体"/>
                <w:b/>
                <w:sz w:val="24"/>
                <w:szCs w:val="24"/>
                <w:lang w:val="zh-CN"/>
              </w:rPr>
            </w:pPr>
            <w:r>
              <w:rPr>
                <w:rFonts w:hint="eastAsia" w:ascii="宋体" w:hAnsi="宋体" w:cs="宋体"/>
                <w:b/>
                <w:sz w:val="24"/>
                <w:szCs w:val="24"/>
                <w:lang w:val="zh-CN"/>
              </w:rPr>
              <w:t>条款号</w:t>
            </w:r>
          </w:p>
        </w:tc>
        <w:tc>
          <w:tcPr>
            <w:tcW w:w="1550" w:type="dxa"/>
            <w:shd w:val="clear" w:color="auto" w:fill="D7D7D7"/>
            <w:vAlign w:val="center"/>
          </w:tcPr>
          <w:p w14:paraId="3D3A2E3F">
            <w:pPr>
              <w:autoSpaceDE w:val="0"/>
              <w:autoSpaceDN w:val="0"/>
              <w:adjustRightInd w:val="0"/>
              <w:spacing w:line="360" w:lineRule="auto"/>
              <w:jc w:val="center"/>
              <w:rPr>
                <w:rFonts w:ascii="宋体" w:hAnsi="宋体" w:cs="宋体"/>
                <w:b/>
                <w:sz w:val="24"/>
                <w:szCs w:val="24"/>
                <w:lang w:val="zh-CN"/>
              </w:rPr>
            </w:pPr>
            <w:r>
              <w:rPr>
                <w:rFonts w:hint="eastAsia" w:ascii="宋体" w:hAnsi="宋体" w:cs="宋体"/>
                <w:b/>
                <w:sz w:val="24"/>
                <w:szCs w:val="24"/>
                <w:lang w:val="zh-CN"/>
              </w:rPr>
              <w:t>评审因素</w:t>
            </w:r>
          </w:p>
        </w:tc>
        <w:tc>
          <w:tcPr>
            <w:tcW w:w="6054" w:type="dxa"/>
            <w:shd w:val="clear" w:color="auto" w:fill="D7D7D7"/>
            <w:vAlign w:val="center"/>
          </w:tcPr>
          <w:p w14:paraId="09203AE7">
            <w:pPr>
              <w:autoSpaceDE w:val="0"/>
              <w:autoSpaceDN w:val="0"/>
              <w:adjustRightInd w:val="0"/>
              <w:spacing w:line="360" w:lineRule="auto"/>
              <w:jc w:val="center"/>
              <w:rPr>
                <w:rFonts w:ascii="宋体" w:hAnsi="宋体" w:cs="宋体"/>
                <w:b/>
                <w:sz w:val="24"/>
                <w:szCs w:val="24"/>
                <w:lang w:val="zh-CN"/>
              </w:rPr>
            </w:pPr>
            <w:r>
              <w:rPr>
                <w:rFonts w:hint="eastAsia" w:ascii="宋体" w:hAnsi="宋体" w:cs="宋体"/>
                <w:b/>
                <w:sz w:val="24"/>
                <w:szCs w:val="24"/>
                <w:lang w:val="zh-CN"/>
              </w:rPr>
              <w:t>评审标准</w:t>
            </w:r>
          </w:p>
        </w:tc>
      </w:tr>
      <w:tr w14:paraId="29797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4" w:type="dxa"/>
            <w:vMerge w:val="restart"/>
            <w:vAlign w:val="center"/>
          </w:tcPr>
          <w:p w14:paraId="5113F044">
            <w:pPr>
              <w:autoSpaceDE w:val="0"/>
              <w:autoSpaceDN w:val="0"/>
              <w:adjustRightInd w:val="0"/>
              <w:spacing w:line="360" w:lineRule="auto"/>
              <w:jc w:val="center"/>
              <w:rPr>
                <w:rFonts w:hint="default" w:ascii="宋体" w:hAnsi="宋体" w:eastAsia="宋体" w:cs="宋体"/>
                <w:bCs/>
                <w:sz w:val="24"/>
                <w:szCs w:val="24"/>
                <w:lang w:val="en-US" w:eastAsia="zh-CN"/>
              </w:rPr>
            </w:pPr>
            <w:r>
              <w:rPr>
                <w:rFonts w:hint="eastAsia" w:ascii="宋体" w:hAnsi="宋体" w:cs="宋体"/>
                <w:bCs/>
                <w:sz w:val="24"/>
                <w:szCs w:val="24"/>
                <w:lang w:val="en-US" w:eastAsia="zh-CN"/>
              </w:rPr>
              <w:t>1.1</w:t>
            </w:r>
          </w:p>
        </w:tc>
        <w:tc>
          <w:tcPr>
            <w:tcW w:w="912" w:type="dxa"/>
            <w:vMerge w:val="restart"/>
            <w:vAlign w:val="center"/>
          </w:tcPr>
          <w:p w14:paraId="457BE70C">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资格评</w:t>
            </w:r>
          </w:p>
          <w:p w14:paraId="01DDCC9F">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审标准</w:t>
            </w:r>
          </w:p>
          <w:p w14:paraId="536C6DF9">
            <w:pPr>
              <w:autoSpaceDE w:val="0"/>
              <w:autoSpaceDN w:val="0"/>
              <w:adjustRightInd w:val="0"/>
              <w:spacing w:line="360" w:lineRule="auto"/>
              <w:jc w:val="center"/>
              <w:rPr>
                <w:rFonts w:ascii="宋体" w:hAnsi="宋体" w:cs="宋体"/>
                <w:bCs/>
                <w:sz w:val="24"/>
                <w:szCs w:val="24"/>
                <w:lang w:val="zh-CN"/>
              </w:rPr>
            </w:pPr>
          </w:p>
        </w:tc>
        <w:tc>
          <w:tcPr>
            <w:tcW w:w="1550" w:type="dxa"/>
            <w:vAlign w:val="center"/>
          </w:tcPr>
          <w:p w14:paraId="576C4E3C">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color w:val="auto"/>
                <w:sz w:val="24"/>
                <w:szCs w:val="24"/>
              </w:rPr>
              <w:t>营业执照等证明文件</w:t>
            </w:r>
          </w:p>
        </w:tc>
        <w:tc>
          <w:tcPr>
            <w:tcW w:w="6054" w:type="dxa"/>
            <w:vAlign w:val="center"/>
          </w:tcPr>
          <w:p w14:paraId="65817C3C">
            <w:pPr>
              <w:autoSpaceDE w:val="0"/>
              <w:autoSpaceDN w:val="0"/>
              <w:adjustRightInd w:val="0"/>
              <w:spacing w:line="360" w:lineRule="auto"/>
              <w:jc w:val="left"/>
              <w:rPr>
                <w:rFonts w:ascii="宋体" w:hAnsi="宋体" w:cs="宋体"/>
                <w:bCs/>
                <w:sz w:val="24"/>
                <w:szCs w:val="24"/>
                <w:lang w:val="zh-CN"/>
              </w:rPr>
            </w:pPr>
            <w:r>
              <w:rPr>
                <w:rFonts w:hint="eastAsia" w:ascii="宋体" w:hAnsi="宋体" w:eastAsia="宋体" w:cs="宋体"/>
                <w:sz w:val="24"/>
                <w:szCs w:val="24"/>
                <w:highlight w:val="none"/>
                <w:lang w:val="en-US" w:eastAsia="zh-CN"/>
              </w:rPr>
              <w:t>供应商</w:t>
            </w:r>
            <w:r>
              <w:rPr>
                <w:rFonts w:hint="eastAsia" w:ascii="宋体" w:hAnsi="宋体" w:cs="宋体"/>
                <w:color w:val="auto"/>
                <w:sz w:val="24"/>
                <w:szCs w:val="24"/>
              </w:rPr>
              <w:t>为企业的，提供有效的营业执照；</w:t>
            </w:r>
            <w:r>
              <w:rPr>
                <w:rFonts w:hint="eastAsia" w:ascii="宋体" w:hAnsi="宋体" w:eastAsia="宋体" w:cs="宋体"/>
                <w:sz w:val="24"/>
                <w:szCs w:val="24"/>
                <w:highlight w:val="none"/>
                <w:lang w:val="en-US" w:eastAsia="zh-CN"/>
              </w:rPr>
              <w:t>供应商</w:t>
            </w:r>
            <w:r>
              <w:rPr>
                <w:rFonts w:hint="eastAsia" w:ascii="宋体" w:hAnsi="宋体" w:cs="宋体"/>
                <w:color w:val="auto"/>
                <w:sz w:val="24"/>
                <w:szCs w:val="24"/>
              </w:rPr>
              <w:t>为事业单位的，提供有效的事业单位法人证书；</w:t>
            </w:r>
            <w:r>
              <w:rPr>
                <w:rFonts w:hint="eastAsia" w:ascii="宋体" w:hAnsi="宋体" w:eastAsia="宋体" w:cs="宋体"/>
                <w:sz w:val="24"/>
                <w:szCs w:val="24"/>
                <w:highlight w:val="none"/>
                <w:lang w:val="en-US" w:eastAsia="zh-CN"/>
              </w:rPr>
              <w:t>供应商</w:t>
            </w:r>
            <w:r>
              <w:rPr>
                <w:rFonts w:hint="eastAsia" w:ascii="宋体" w:hAnsi="宋体" w:cs="宋体"/>
                <w:color w:val="auto"/>
                <w:sz w:val="24"/>
                <w:szCs w:val="24"/>
              </w:rPr>
              <w:t>为社会团体的，提供有效的社会团体法人登记证书；</w:t>
            </w:r>
            <w:r>
              <w:rPr>
                <w:rFonts w:hint="eastAsia" w:ascii="宋体" w:hAnsi="宋体" w:eastAsia="宋体" w:cs="宋体"/>
                <w:sz w:val="24"/>
                <w:szCs w:val="24"/>
                <w:highlight w:val="none"/>
                <w:lang w:val="en-US" w:eastAsia="zh-CN"/>
              </w:rPr>
              <w:t>供应商</w:t>
            </w:r>
            <w:r>
              <w:rPr>
                <w:rFonts w:hint="eastAsia" w:ascii="宋体" w:hAnsi="宋体" w:cs="宋体"/>
                <w:color w:val="auto"/>
                <w:sz w:val="24"/>
                <w:szCs w:val="24"/>
              </w:rPr>
              <w:t>为合伙企业、个体工商户的，提供有效的营业执照；</w:t>
            </w:r>
            <w:r>
              <w:rPr>
                <w:rFonts w:hint="eastAsia" w:ascii="宋体" w:hAnsi="宋体" w:eastAsia="宋体" w:cs="宋体"/>
                <w:sz w:val="24"/>
                <w:szCs w:val="24"/>
                <w:highlight w:val="none"/>
                <w:lang w:val="en-US" w:eastAsia="zh-CN"/>
              </w:rPr>
              <w:t>供应商</w:t>
            </w:r>
            <w:r>
              <w:rPr>
                <w:rFonts w:hint="eastAsia" w:ascii="宋体" w:hAnsi="宋体" w:cs="宋体"/>
                <w:color w:val="auto"/>
                <w:sz w:val="24"/>
                <w:szCs w:val="24"/>
              </w:rPr>
              <w:t>为非企业专业服务机构的，提供有效的执业许可证等证明材料；</w:t>
            </w:r>
            <w:r>
              <w:rPr>
                <w:rFonts w:hint="eastAsia" w:ascii="宋体" w:hAnsi="宋体" w:eastAsia="宋体" w:cs="宋体"/>
                <w:sz w:val="24"/>
                <w:szCs w:val="24"/>
                <w:highlight w:val="none"/>
                <w:lang w:val="en-US" w:eastAsia="zh-CN"/>
              </w:rPr>
              <w:t>供应商</w:t>
            </w:r>
            <w:r>
              <w:rPr>
                <w:rFonts w:hint="eastAsia" w:ascii="宋体" w:hAnsi="宋体" w:cs="宋体"/>
                <w:color w:val="auto"/>
                <w:sz w:val="24"/>
                <w:szCs w:val="24"/>
              </w:rPr>
              <w:t>为自然人的，提供有效的自然人身份证件；其他</w:t>
            </w:r>
            <w:r>
              <w:rPr>
                <w:rFonts w:hint="eastAsia" w:ascii="宋体" w:hAnsi="宋体" w:eastAsia="宋体" w:cs="宋体"/>
                <w:sz w:val="24"/>
                <w:szCs w:val="24"/>
                <w:highlight w:val="none"/>
                <w:lang w:val="en-US" w:eastAsia="zh-CN"/>
              </w:rPr>
              <w:t>供应商</w:t>
            </w:r>
            <w:r>
              <w:rPr>
                <w:rFonts w:hint="eastAsia" w:ascii="宋体" w:hAnsi="宋体" w:cs="宋体"/>
                <w:color w:val="auto"/>
                <w:sz w:val="24"/>
                <w:szCs w:val="24"/>
              </w:rPr>
              <w:t>应按照有关法律、法规和规章规定，提供有效的相应具体证照。</w:t>
            </w:r>
          </w:p>
        </w:tc>
      </w:tr>
      <w:tr w14:paraId="7E28B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4" w:type="dxa"/>
            <w:vMerge w:val="continue"/>
            <w:vAlign w:val="center"/>
          </w:tcPr>
          <w:p w14:paraId="41C424E1">
            <w:pPr>
              <w:autoSpaceDE w:val="0"/>
              <w:autoSpaceDN w:val="0"/>
              <w:adjustRightInd w:val="0"/>
              <w:spacing w:line="360" w:lineRule="auto"/>
              <w:jc w:val="center"/>
              <w:rPr>
                <w:rFonts w:ascii="宋体" w:hAnsi="宋体" w:cs="宋体"/>
                <w:bCs/>
                <w:sz w:val="24"/>
                <w:szCs w:val="24"/>
                <w:lang w:val="zh-CN"/>
              </w:rPr>
            </w:pPr>
          </w:p>
        </w:tc>
        <w:tc>
          <w:tcPr>
            <w:tcW w:w="912" w:type="dxa"/>
            <w:vMerge w:val="continue"/>
          </w:tcPr>
          <w:p w14:paraId="6A48B73F">
            <w:pPr>
              <w:autoSpaceDE w:val="0"/>
              <w:autoSpaceDN w:val="0"/>
              <w:adjustRightInd w:val="0"/>
              <w:spacing w:line="360" w:lineRule="auto"/>
              <w:jc w:val="left"/>
              <w:rPr>
                <w:rFonts w:ascii="宋体" w:hAnsi="宋体" w:cs="宋体"/>
                <w:bCs/>
                <w:sz w:val="24"/>
                <w:szCs w:val="24"/>
                <w:lang w:val="zh-CN"/>
              </w:rPr>
            </w:pPr>
          </w:p>
        </w:tc>
        <w:tc>
          <w:tcPr>
            <w:tcW w:w="1550" w:type="dxa"/>
            <w:shd w:val="clear" w:color="auto" w:fill="auto"/>
            <w:vAlign w:val="center"/>
          </w:tcPr>
          <w:p w14:paraId="3EC2691D">
            <w:pPr>
              <w:wordWrap w:val="0"/>
              <w:spacing w:line="360" w:lineRule="auto"/>
              <w:jc w:val="center"/>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sz w:val="24"/>
                <w:szCs w:val="24"/>
                <w:lang w:val="en-US" w:eastAsia="zh-CN"/>
              </w:rPr>
              <w:t>财务状况</w:t>
            </w:r>
          </w:p>
        </w:tc>
        <w:tc>
          <w:tcPr>
            <w:tcW w:w="6054" w:type="dxa"/>
            <w:shd w:val="clear" w:color="auto" w:fill="auto"/>
            <w:vAlign w:val="center"/>
          </w:tcPr>
          <w:p w14:paraId="0F563135">
            <w:pPr>
              <w:wordWrap w:val="0"/>
              <w:spacing w:line="360" w:lineRule="auto"/>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满足第二章“投标人须知”规定的要求。</w:t>
            </w:r>
          </w:p>
          <w:p w14:paraId="50A6F062">
            <w:pPr>
              <w:wordWrap w:val="0"/>
              <w:spacing w:line="360" w:lineRule="auto"/>
              <w:jc w:val="left"/>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sz w:val="24"/>
                <w:szCs w:val="24"/>
                <w:lang w:val="en-US" w:eastAsia="zh-CN"/>
              </w:rPr>
              <w:t>供应商</w:t>
            </w:r>
            <w:r>
              <w:rPr>
                <w:rFonts w:hint="eastAsia" w:ascii="宋体" w:hAnsi="宋体" w:cs="宋体"/>
                <w:color w:val="auto"/>
                <w:sz w:val="24"/>
                <w:szCs w:val="24"/>
                <w:lang w:val="en-US" w:eastAsia="zh-CN"/>
              </w:rPr>
              <w:t>须</w:t>
            </w:r>
            <w:r>
              <w:rPr>
                <w:rFonts w:hint="eastAsia" w:ascii="宋体" w:hAnsi="宋体" w:eastAsia="宋体" w:cs="宋体"/>
                <w:color w:val="auto"/>
                <w:sz w:val="24"/>
                <w:szCs w:val="24"/>
                <w:lang w:val="en-US" w:eastAsia="zh-CN"/>
              </w:rPr>
              <w:t>提供由专业审计机构出具的近三年(2022-2024年)的财务审计报告(新成立不足三年的企业提供自成立之日起至2024年的财务审计报告,若供应商为2024年12月31日及以后注册成立的公司，提供财务状况良好承诺书)。</w:t>
            </w:r>
          </w:p>
        </w:tc>
      </w:tr>
      <w:tr w14:paraId="0B127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4" w:type="dxa"/>
            <w:vMerge w:val="continue"/>
            <w:vAlign w:val="center"/>
          </w:tcPr>
          <w:p w14:paraId="05A9F949">
            <w:pPr>
              <w:autoSpaceDE w:val="0"/>
              <w:autoSpaceDN w:val="0"/>
              <w:adjustRightInd w:val="0"/>
              <w:spacing w:line="360" w:lineRule="auto"/>
              <w:jc w:val="center"/>
              <w:rPr>
                <w:rFonts w:ascii="宋体" w:hAnsi="宋体" w:cs="宋体"/>
                <w:bCs/>
                <w:sz w:val="24"/>
                <w:szCs w:val="24"/>
                <w:lang w:val="zh-CN"/>
              </w:rPr>
            </w:pPr>
          </w:p>
        </w:tc>
        <w:tc>
          <w:tcPr>
            <w:tcW w:w="912" w:type="dxa"/>
            <w:vMerge w:val="continue"/>
          </w:tcPr>
          <w:p w14:paraId="328B9DAA">
            <w:pPr>
              <w:autoSpaceDE w:val="0"/>
              <w:autoSpaceDN w:val="0"/>
              <w:adjustRightInd w:val="0"/>
              <w:spacing w:line="360" w:lineRule="auto"/>
              <w:jc w:val="left"/>
              <w:rPr>
                <w:rFonts w:ascii="宋体" w:hAnsi="宋体" w:cs="宋体"/>
                <w:bCs/>
                <w:sz w:val="24"/>
                <w:szCs w:val="24"/>
                <w:lang w:val="zh-CN"/>
              </w:rPr>
            </w:pPr>
          </w:p>
        </w:tc>
        <w:tc>
          <w:tcPr>
            <w:tcW w:w="1550" w:type="dxa"/>
            <w:vAlign w:val="center"/>
          </w:tcPr>
          <w:p w14:paraId="7AC1101F">
            <w:pPr>
              <w:wordWrap w:val="0"/>
              <w:spacing w:line="360" w:lineRule="auto"/>
              <w:jc w:val="center"/>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依法缴纳税收证明材料</w:t>
            </w:r>
          </w:p>
        </w:tc>
        <w:tc>
          <w:tcPr>
            <w:tcW w:w="6054" w:type="dxa"/>
            <w:vAlign w:val="top"/>
          </w:tcPr>
          <w:p w14:paraId="1890DA3A">
            <w:pPr>
              <w:wordWrap w:val="0"/>
              <w:spacing w:line="360" w:lineRule="auto"/>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供应商提供的税收缴纳凭据应符合下列规定：a.投标截止时间前（不含投标截止时间的当月）已依法缴纳税收的</w:t>
            </w:r>
            <w:r>
              <w:rPr>
                <w:rFonts w:hint="eastAsia" w:ascii="宋体" w:hAnsi="宋体" w:cs="宋体"/>
                <w:color w:val="auto"/>
                <w:sz w:val="24"/>
                <w:szCs w:val="24"/>
                <w:lang w:val="en-US" w:eastAsia="zh-CN"/>
              </w:rPr>
              <w:t>供应商</w:t>
            </w:r>
            <w:r>
              <w:rPr>
                <w:rFonts w:hint="eastAsia" w:ascii="宋体" w:hAnsi="宋体" w:eastAsia="宋体" w:cs="宋体"/>
                <w:color w:val="auto"/>
                <w:sz w:val="24"/>
                <w:szCs w:val="24"/>
                <w:lang w:val="en-US" w:eastAsia="zh-CN"/>
              </w:rPr>
              <w:t>，提供投标截止时间前6个月（202</w:t>
            </w: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en-US" w:eastAsia="zh-CN"/>
              </w:rPr>
              <w:t>年</w:t>
            </w:r>
            <w:r>
              <w:rPr>
                <w:rFonts w:hint="eastAsia" w:ascii="宋体" w:hAnsi="宋体" w:cs="宋体"/>
                <w:color w:val="auto"/>
                <w:sz w:val="24"/>
                <w:szCs w:val="24"/>
                <w:lang w:val="en-US" w:eastAsia="zh-CN"/>
              </w:rPr>
              <w:t>01</w:t>
            </w:r>
            <w:r>
              <w:rPr>
                <w:rFonts w:hint="eastAsia" w:ascii="宋体" w:hAnsi="宋体" w:eastAsia="宋体" w:cs="宋体"/>
                <w:color w:val="auto"/>
                <w:sz w:val="24"/>
                <w:szCs w:val="24"/>
                <w:lang w:val="en-US" w:eastAsia="zh-CN"/>
              </w:rPr>
              <w:t>月至2025年0</w:t>
            </w:r>
            <w:r>
              <w:rPr>
                <w:rFonts w:hint="eastAsia" w:ascii="宋体" w:hAnsi="宋体" w:cs="宋体"/>
                <w:color w:val="auto"/>
                <w:sz w:val="24"/>
                <w:szCs w:val="24"/>
                <w:lang w:val="en-US" w:eastAsia="zh-CN"/>
              </w:rPr>
              <w:t>6</w:t>
            </w:r>
            <w:r>
              <w:rPr>
                <w:rFonts w:hint="eastAsia" w:ascii="宋体" w:hAnsi="宋体" w:eastAsia="宋体" w:cs="宋体"/>
                <w:color w:val="auto"/>
                <w:sz w:val="24"/>
                <w:szCs w:val="24"/>
                <w:lang w:val="en-US" w:eastAsia="zh-CN"/>
              </w:rPr>
              <w:t>月）中任一月份的税收缴纳凭据。b.投标截止时间的当月成立的</w:t>
            </w:r>
            <w:r>
              <w:rPr>
                <w:rFonts w:hint="eastAsia" w:ascii="宋体" w:hAnsi="宋体" w:cs="宋体"/>
                <w:color w:val="auto"/>
                <w:sz w:val="24"/>
                <w:szCs w:val="24"/>
                <w:lang w:val="en-US" w:eastAsia="zh-CN"/>
              </w:rPr>
              <w:t>供应商</w:t>
            </w:r>
            <w:r>
              <w:rPr>
                <w:rFonts w:hint="eastAsia" w:ascii="宋体" w:hAnsi="宋体" w:eastAsia="宋体" w:cs="宋体"/>
                <w:color w:val="auto"/>
                <w:sz w:val="24"/>
                <w:szCs w:val="24"/>
                <w:lang w:val="en-US" w:eastAsia="zh-CN"/>
              </w:rPr>
              <w:t>，视同满足本项资格条件要求。 c.若为依法免税范围的</w:t>
            </w:r>
            <w:r>
              <w:rPr>
                <w:rFonts w:hint="eastAsia" w:ascii="宋体" w:hAnsi="宋体" w:cs="宋体"/>
                <w:color w:val="auto"/>
                <w:sz w:val="24"/>
                <w:szCs w:val="24"/>
                <w:lang w:val="en-US" w:eastAsia="zh-CN"/>
              </w:rPr>
              <w:t>供应商</w:t>
            </w:r>
            <w:r>
              <w:rPr>
                <w:rFonts w:hint="eastAsia" w:ascii="宋体" w:hAnsi="宋体" w:eastAsia="宋体" w:cs="宋体"/>
                <w:color w:val="auto"/>
                <w:sz w:val="24"/>
                <w:szCs w:val="24"/>
                <w:lang w:val="en-US" w:eastAsia="zh-CN"/>
              </w:rPr>
              <w:t>，提供依法免税证明材料的，视同满足本项资格条件要求。</w:t>
            </w:r>
          </w:p>
        </w:tc>
      </w:tr>
      <w:tr w14:paraId="55BA7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4" w:type="dxa"/>
            <w:vMerge w:val="continue"/>
            <w:vAlign w:val="center"/>
          </w:tcPr>
          <w:p w14:paraId="36DE19B4">
            <w:pPr>
              <w:autoSpaceDE w:val="0"/>
              <w:autoSpaceDN w:val="0"/>
              <w:adjustRightInd w:val="0"/>
              <w:spacing w:line="360" w:lineRule="auto"/>
              <w:jc w:val="center"/>
              <w:rPr>
                <w:rFonts w:ascii="宋体" w:hAnsi="宋体" w:cs="宋体"/>
                <w:bCs/>
                <w:sz w:val="24"/>
                <w:szCs w:val="24"/>
                <w:lang w:val="zh-CN"/>
              </w:rPr>
            </w:pPr>
          </w:p>
        </w:tc>
        <w:tc>
          <w:tcPr>
            <w:tcW w:w="912" w:type="dxa"/>
            <w:vMerge w:val="continue"/>
          </w:tcPr>
          <w:p w14:paraId="7B9A26D1">
            <w:pPr>
              <w:autoSpaceDE w:val="0"/>
              <w:autoSpaceDN w:val="0"/>
              <w:adjustRightInd w:val="0"/>
              <w:spacing w:line="360" w:lineRule="auto"/>
              <w:jc w:val="left"/>
              <w:rPr>
                <w:rFonts w:ascii="宋体" w:hAnsi="宋体" w:cs="宋体"/>
                <w:bCs/>
                <w:sz w:val="24"/>
                <w:szCs w:val="24"/>
                <w:lang w:val="zh-CN"/>
              </w:rPr>
            </w:pPr>
          </w:p>
        </w:tc>
        <w:tc>
          <w:tcPr>
            <w:tcW w:w="1550" w:type="dxa"/>
            <w:vAlign w:val="center"/>
          </w:tcPr>
          <w:p w14:paraId="65F76BDE">
            <w:pPr>
              <w:wordWrap w:val="0"/>
              <w:spacing w:line="360" w:lineRule="auto"/>
              <w:jc w:val="center"/>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依法缴纳社会保障资金证明材料</w:t>
            </w:r>
          </w:p>
        </w:tc>
        <w:tc>
          <w:tcPr>
            <w:tcW w:w="6054" w:type="dxa"/>
            <w:vAlign w:val="top"/>
          </w:tcPr>
          <w:p w14:paraId="7F27A5D4">
            <w:pPr>
              <w:wordWrap w:val="0"/>
              <w:spacing w:line="360" w:lineRule="auto"/>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供应商提供的社会保障资金缴纳凭据应符合下列规定：a.投标截止时间前（不含投标截止时间的当月）已依法缴纳社会保障资金的投标人，提供近6个月（202</w:t>
            </w: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en-US" w:eastAsia="zh-CN"/>
              </w:rPr>
              <w:t>年</w:t>
            </w:r>
            <w:r>
              <w:rPr>
                <w:rFonts w:hint="eastAsia" w:ascii="宋体" w:hAnsi="宋体" w:cs="宋体"/>
                <w:color w:val="auto"/>
                <w:sz w:val="24"/>
                <w:szCs w:val="24"/>
                <w:lang w:val="en-US" w:eastAsia="zh-CN"/>
              </w:rPr>
              <w:t>01</w:t>
            </w:r>
            <w:r>
              <w:rPr>
                <w:rFonts w:hint="eastAsia" w:ascii="宋体" w:hAnsi="宋体" w:eastAsia="宋体" w:cs="宋体"/>
                <w:color w:val="auto"/>
                <w:sz w:val="24"/>
                <w:szCs w:val="24"/>
                <w:lang w:val="en-US" w:eastAsia="zh-CN"/>
              </w:rPr>
              <w:t>月至2025年0</w:t>
            </w:r>
            <w:r>
              <w:rPr>
                <w:rFonts w:hint="eastAsia" w:ascii="宋体" w:hAnsi="宋体" w:cs="宋体"/>
                <w:color w:val="auto"/>
                <w:sz w:val="24"/>
                <w:szCs w:val="24"/>
                <w:lang w:val="en-US" w:eastAsia="zh-CN"/>
              </w:rPr>
              <w:t>6</w:t>
            </w:r>
            <w:r>
              <w:rPr>
                <w:rFonts w:hint="eastAsia" w:ascii="宋体" w:hAnsi="宋体" w:eastAsia="宋体" w:cs="宋体"/>
                <w:color w:val="auto"/>
                <w:sz w:val="24"/>
                <w:szCs w:val="24"/>
                <w:lang w:val="en-US" w:eastAsia="zh-CN"/>
              </w:rPr>
              <w:t>月）任意一个月社保证明。b.投标截止时间的当月成立的</w:t>
            </w:r>
            <w:r>
              <w:rPr>
                <w:rFonts w:hint="eastAsia" w:ascii="宋体" w:hAnsi="宋体" w:cs="宋体"/>
                <w:color w:val="auto"/>
                <w:sz w:val="24"/>
                <w:szCs w:val="24"/>
                <w:lang w:val="en-US" w:eastAsia="zh-CN"/>
              </w:rPr>
              <w:t>供应商</w:t>
            </w:r>
            <w:r>
              <w:rPr>
                <w:rFonts w:hint="eastAsia" w:ascii="宋体" w:hAnsi="宋体" w:eastAsia="宋体" w:cs="宋体"/>
                <w:color w:val="auto"/>
                <w:sz w:val="24"/>
                <w:szCs w:val="24"/>
                <w:lang w:val="en-US" w:eastAsia="zh-CN"/>
              </w:rPr>
              <w:t>，视同满足本项资格条件要求。c.若为依法不需要缴纳或暂缓缴纳社会保障资金的供应商，提供依法不需要缴纳或暂缓缴纳社会保障资金证明材料的，视同满足本项资格条件要求。</w:t>
            </w:r>
          </w:p>
        </w:tc>
      </w:tr>
      <w:tr w14:paraId="6A7D2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4" w:type="dxa"/>
            <w:vMerge w:val="continue"/>
            <w:vAlign w:val="center"/>
          </w:tcPr>
          <w:p w14:paraId="56E5EFC3">
            <w:pPr>
              <w:autoSpaceDE w:val="0"/>
              <w:autoSpaceDN w:val="0"/>
              <w:adjustRightInd w:val="0"/>
              <w:spacing w:line="360" w:lineRule="auto"/>
              <w:jc w:val="center"/>
              <w:rPr>
                <w:rFonts w:ascii="宋体" w:hAnsi="宋体" w:cs="宋体"/>
                <w:bCs/>
                <w:sz w:val="24"/>
                <w:szCs w:val="24"/>
                <w:lang w:val="zh-CN"/>
              </w:rPr>
            </w:pPr>
          </w:p>
        </w:tc>
        <w:tc>
          <w:tcPr>
            <w:tcW w:w="912" w:type="dxa"/>
            <w:vMerge w:val="continue"/>
          </w:tcPr>
          <w:p w14:paraId="6E56FC92">
            <w:pPr>
              <w:autoSpaceDE w:val="0"/>
              <w:autoSpaceDN w:val="0"/>
              <w:adjustRightInd w:val="0"/>
              <w:spacing w:line="360" w:lineRule="auto"/>
              <w:jc w:val="left"/>
              <w:rPr>
                <w:rFonts w:ascii="宋体" w:hAnsi="宋体" w:cs="宋体"/>
                <w:bCs/>
                <w:sz w:val="24"/>
                <w:szCs w:val="24"/>
                <w:lang w:val="zh-CN"/>
              </w:rPr>
            </w:pPr>
          </w:p>
        </w:tc>
        <w:tc>
          <w:tcPr>
            <w:tcW w:w="1550" w:type="dxa"/>
            <w:vAlign w:val="top"/>
          </w:tcPr>
          <w:p w14:paraId="04EA4036">
            <w:pPr>
              <w:pStyle w:val="26"/>
              <w:spacing w:line="360" w:lineRule="auto"/>
              <w:jc w:val="center"/>
              <w:rPr>
                <w:rFonts w:hint="eastAsia" w:ascii="宋体" w:hAnsi="宋体" w:cs="宋体"/>
                <w:bCs/>
                <w:sz w:val="24"/>
                <w:szCs w:val="24"/>
                <w:lang w:val="zh-CN"/>
              </w:rPr>
            </w:pPr>
            <w:r>
              <w:rPr>
                <w:rFonts w:hint="eastAsia" w:ascii="宋体" w:hAnsi="宋体" w:eastAsia="宋体" w:cs="宋体"/>
                <w:color w:val="auto"/>
                <w:kern w:val="2"/>
                <w:sz w:val="24"/>
                <w:szCs w:val="24"/>
                <w:lang w:val="en-US" w:eastAsia="zh-CN" w:bidi="ar-SA"/>
              </w:rPr>
              <w:t>具备履行合同所必需设备和专业技术能力的声明函</w:t>
            </w:r>
          </w:p>
        </w:tc>
        <w:tc>
          <w:tcPr>
            <w:tcW w:w="6054" w:type="dxa"/>
            <w:vAlign w:val="center"/>
          </w:tcPr>
          <w:p w14:paraId="26582AC7">
            <w:pPr>
              <w:wordWrap w:val="0"/>
              <w:spacing w:line="360" w:lineRule="auto"/>
              <w:jc w:val="both"/>
              <w:rPr>
                <w:rFonts w:hint="eastAsia" w:ascii="宋体" w:hAnsi="宋体" w:cs="宋体"/>
                <w:bCs/>
                <w:sz w:val="24"/>
                <w:szCs w:val="24"/>
              </w:rPr>
            </w:pPr>
            <w:r>
              <w:rPr>
                <w:rFonts w:hint="eastAsia" w:ascii="宋体" w:hAnsi="宋体" w:eastAsia="宋体" w:cs="宋体"/>
                <w:color w:val="auto"/>
                <w:kern w:val="2"/>
                <w:sz w:val="24"/>
                <w:szCs w:val="24"/>
                <w:lang w:val="en-US" w:eastAsia="zh-CN" w:bidi="ar-SA"/>
              </w:rPr>
              <w:t>提供具备履行合同所必需的设备和专业技术能力证明材料或具备履行合同所必需设备和专业技术能力的声明函。</w:t>
            </w:r>
          </w:p>
        </w:tc>
      </w:tr>
      <w:tr w14:paraId="082F2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4" w:type="dxa"/>
            <w:vMerge w:val="continue"/>
            <w:vAlign w:val="center"/>
          </w:tcPr>
          <w:p w14:paraId="716C61A7">
            <w:pPr>
              <w:autoSpaceDE w:val="0"/>
              <w:autoSpaceDN w:val="0"/>
              <w:adjustRightInd w:val="0"/>
              <w:spacing w:line="360" w:lineRule="auto"/>
              <w:jc w:val="center"/>
              <w:rPr>
                <w:rFonts w:ascii="宋体" w:hAnsi="宋体" w:cs="宋体"/>
                <w:bCs/>
                <w:sz w:val="24"/>
                <w:szCs w:val="24"/>
                <w:lang w:val="zh-CN"/>
              </w:rPr>
            </w:pPr>
          </w:p>
        </w:tc>
        <w:tc>
          <w:tcPr>
            <w:tcW w:w="912" w:type="dxa"/>
            <w:vMerge w:val="continue"/>
          </w:tcPr>
          <w:p w14:paraId="3E2147D6">
            <w:pPr>
              <w:autoSpaceDE w:val="0"/>
              <w:autoSpaceDN w:val="0"/>
              <w:adjustRightInd w:val="0"/>
              <w:spacing w:line="360" w:lineRule="auto"/>
              <w:jc w:val="left"/>
              <w:rPr>
                <w:rFonts w:ascii="宋体" w:hAnsi="宋体" w:cs="宋体"/>
                <w:bCs/>
                <w:sz w:val="24"/>
                <w:szCs w:val="24"/>
                <w:lang w:val="zh-CN"/>
              </w:rPr>
            </w:pPr>
          </w:p>
        </w:tc>
        <w:tc>
          <w:tcPr>
            <w:tcW w:w="1550" w:type="dxa"/>
            <w:vAlign w:val="center"/>
          </w:tcPr>
          <w:p w14:paraId="74695227">
            <w:pPr>
              <w:spacing w:line="360" w:lineRule="auto"/>
              <w:jc w:val="center"/>
              <w:textAlignment w:val="baseline"/>
              <w:rPr>
                <w:rFonts w:ascii="宋体" w:hAnsi="宋体" w:cs="宋体"/>
                <w:bCs/>
                <w:sz w:val="24"/>
                <w:szCs w:val="24"/>
                <w:lang w:val="zh-CN"/>
              </w:rPr>
            </w:pPr>
            <w:r>
              <w:rPr>
                <w:rFonts w:hint="eastAsia" w:ascii="宋体" w:hAnsi="宋体" w:cs="宋体"/>
                <w:bCs/>
                <w:sz w:val="24"/>
                <w:szCs w:val="24"/>
                <w:lang w:val="zh-CN"/>
              </w:rPr>
              <w:t>信誉要求</w:t>
            </w:r>
          </w:p>
        </w:tc>
        <w:tc>
          <w:tcPr>
            <w:tcW w:w="6054" w:type="dxa"/>
            <w:vAlign w:val="center"/>
          </w:tcPr>
          <w:p w14:paraId="2B421EFE">
            <w:pPr>
              <w:wordWrap w:val="0"/>
              <w:spacing w:line="360" w:lineRule="auto"/>
              <w:jc w:val="left"/>
              <w:rPr>
                <w:rFonts w:hint="default" w:ascii="宋体" w:hAnsi="宋体" w:eastAsia="宋体" w:cs="宋体"/>
                <w:bCs/>
                <w:sz w:val="24"/>
                <w:szCs w:val="24"/>
                <w:lang w:val="en-US" w:eastAsia="zh-CN"/>
              </w:rPr>
            </w:pPr>
            <w:r>
              <w:rPr>
                <w:rFonts w:hint="eastAsia" w:ascii="宋体" w:hAnsi="宋体" w:cs="宋体"/>
                <w:bCs/>
                <w:sz w:val="24"/>
                <w:szCs w:val="24"/>
                <w:lang w:val="zh-CN"/>
              </w:rPr>
              <w:t>（1）不接受列入政府取消投标资格记录期间的企业或个人参加投标；参加政府采购活动前三年内，在经营活动中没有重大违法记录，附由法定代表人或其委托代理人签字并加盖投标单位公章的承诺书。</w:t>
            </w:r>
          </w:p>
          <w:p w14:paraId="2D694FB3">
            <w:pPr>
              <w:wordWrap w:val="0"/>
              <w:spacing w:line="360" w:lineRule="auto"/>
              <w:jc w:val="left"/>
              <w:rPr>
                <w:rFonts w:hint="eastAsia" w:ascii="宋体" w:hAnsi="宋体" w:cs="宋体"/>
                <w:bCs/>
                <w:sz w:val="24"/>
                <w:szCs w:val="24"/>
                <w:lang w:val="zh-CN"/>
              </w:rPr>
            </w:pPr>
            <w:r>
              <w:rPr>
                <w:rFonts w:hint="eastAsia" w:ascii="宋体" w:hAnsi="宋体" w:cs="宋体"/>
                <w:bCs/>
                <w:sz w:val="24"/>
                <w:szCs w:val="24"/>
                <w:lang w:val="zh-CN"/>
              </w:rPr>
              <w:t>（2）供应商不得为“信用中国”网站（www.creditchina.gov.cn）中列入失信被执行人和重大税收违法失信主体的供应商，不得为中国政府采购网（www.ccgp.gov.cn）政府采购严重违法失信行为记录名单中被财政部门禁止参加政府采购活动的供应商（详见财库【2016】125号文）（需在公告发布之后至投标截止期间在官方网站查询，并将查询截图加盖单位公章附在投标文件中）。</w:t>
            </w:r>
          </w:p>
          <w:p w14:paraId="1F439F28">
            <w:pPr>
              <w:wordWrap w:val="0"/>
              <w:spacing w:line="360" w:lineRule="auto"/>
              <w:jc w:val="left"/>
              <w:rPr>
                <w:rFonts w:ascii="宋体" w:hAnsi="宋体" w:cs="宋体"/>
                <w:bCs/>
                <w:sz w:val="24"/>
                <w:szCs w:val="24"/>
                <w:lang w:val="zh-CN"/>
              </w:rPr>
            </w:pPr>
            <w:r>
              <w:rPr>
                <w:rFonts w:hint="eastAsia" w:ascii="宋体" w:hAnsi="宋体" w:cs="宋体"/>
                <w:bCs/>
                <w:sz w:val="24"/>
                <w:szCs w:val="24"/>
                <w:lang w:val="zh-CN"/>
              </w:rPr>
              <w:t>（3）与采购人存在利害关系可能影响采购公正性的法人、其它组织或者个人，不得参加投标；单位负责人为同一人或者存在直接控股、管理关系的不同供应商，不得参加同一合同项下的政府采购活动。否则相关投标无效。</w:t>
            </w:r>
            <w:r>
              <w:rPr>
                <w:rFonts w:hint="eastAsia" w:ascii="宋体" w:hAnsi="宋体" w:eastAsia="宋体" w:cs="宋体"/>
                <w:b w:val="0"/>
                <w:bCs/>
                <w:caps w:val="0"/>
                <w:color w:val="000000" w:themeColor="text1"/>
                <w:sz w:val="24"/>
                <w:szCs w:val="24"/>
                <w:highlight w:val="none"/>
                <w:lang w:val="zh-CN"/>
                <w14:textFill>
                  <w14:solidFill>
                    <w14:schemeClr w14:val="tx1"/>
                  </w14:solidFill>
                </w14:textFill>
              </w:rPr>
              <w:t>附由法定代表人或其委托代理人签字并加盖投标单位公章的承诺书</w:t>
            </w:r>
          </w:p>
        </w:tc>
      </w:tr>
      <w:tr w14:paraId="4FD3B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4" w:type="dxa"/>
            <w:vMerge w:val="continue"/>
            <w:vAlign w:val="center"/>
          </w:tcPr>
          <w:p w14:paraId="39218CFE">
            <w:pPr>
              <w:autoSpaceDE w:val="0"/>
              <w:autoSpaceDN w:val="0"/>
              <w:adjustRightInd w:val="0"/>
              <w:spacing w:line="360" w:lineRule="auto"/>
              <w:jc w:val="center"/>
              <w:rPr>
                <w:rFonts w:ascii="宋体" w:hAnsi="宋体" w:cs="宋体"/>
                <w:bCs/>
                <w:sz w:val="24"/>
                <w:szCs w:val="24"/>
                <w:lang w:val="zh-CN"/>
              </w:rPr>
            </w:pPr>
          </w:p>
        </w:tc>
        <w:tc>
          <w:tcPr>
            <w:tcW w:w="912" w:type="dxa"/>
            <w:vMerge w:val="continue"/>
          </w:tcPr>
          <w:p w14:paraId="6DC8B4CB">
            <w:pPr>
              <w:autoSpaceDE w:val="0"/>
              <w:autoSpaceDN w:val="0"/>
              <w:adjustRightInd w:val="0"/>
              <w:spacing w:line="360" w:lineRule="auto"/>
              <w:jc w:val="left"/>
              <w:rPr>
                <w:rFonts w:ascii="宋体" w:hAnsi="宋体" w:cs="宋体"/>
                <w:bCs/>
                <w:sz w:val="24"/>
                <w:szCs w:val="24"/>
                <w:lang w:val="zh-CN"/>
              </w:rPr>
            </w:pPr>
          </w:p>
        </w:tc>
        <w:tc>
          <w:tcPr>
            <w:tcW w:w="1550" w:type="dxa"/>
            <w:vAlign w:val="center"/>
          </w:tcPr>
          <w:p w14:paraId="33FE939A">
            <w:pPr>
              <w:wordWrap w:val="0"/>
              <w:spacing w:line="360" w:lineRule="auto"/>
              <w:jc w:val="center"/>
              <w:rPr>
                <w:rFonts w:ascii="宋体" w:hAnsi="宋体" w:cs="宋体"/>
                <w:bCs/>
                <w:sz w:val="24"/>
                <w:szCs w:val="24"/>
                <w:lang w:val="zh-CN"/>
              </w:rPr>
            </w:pPr>
            <w:r>
              <w:rPr>
                <w:rFonts w:hint="eastAsia" w:ascii="宋体" w:hAnsi="宋体" w:cs="宋体"/>
                <w:color w:val="auto"/>
                <w:sz w:val="24"/>
                <w:szCs w:val="24"/>
              </w:rPr>
              <w:t>其它要求</w:t>
            </w:r>
          </w:p>
        </w:tc>
        <w:tc>
          <w:tcPr>
            <w:tcW w:w="6054" w:type="dxa"/>
            <w:vAlign w:val="center"/>
          </w:tcPr>
          <w:p w14:paraId="679B78CD">
            <w:pPr>
              <w:wordWrap w:val="0"/>
              <w:spacing w:line="360" w:lineRule="auto"/>
              <w:jc w:val="left"/>
              <w:rPr>
                <w:rFonts w:hint="eastAsia" w:ascii="宋体" w:hAnsi="宋体" w:eastAsia="宋体" w:cs="宋体"/>
                <w:bCs/>
                <w:sz w:val="24"/>
                <w:szCs w:val="24"/>
                <w:lang w:val="zh-CN"/>
              </w:rPr>
            </w:pPr>
            <w:r>
              <w:rPr>
                <w:rFonts w:hint="eastAsia" w:ascii="宋体" w:hAnsi="宋体" w:eastAsia="宋体" w:cs="宋体"/>
                <w:bCs/>
                <w:sz w:val="24"/>
                <w:szCs w:val="24"/>
                <w:lang w:val="zh-CN"/>
              </w:rPr>
              <w:t>1、对</w:t>
            </w:r>
            <w:r>
              <w:rPr>
                <w:rFonts w:hint="eastAsia" w:ascii="宋体" w:hAnsi="宋体" w:eastAsia="宋体" w:cs="宋体"/>
                <w:bCs/>
                <w:sz w:val="24"/>
                <w:szCs w:val="24"/>
                <w:lang w:val="zh-CN" w:eastAsia="zh-CN"/>
              </w:rPr>
              <w:t>谈判</w:t>
            </w:r>
            <w:r>
              <w:rPr>
                <w:rFonts w:hint="eastAsia" w:ascii="宋体" w:hAnsi="宋体" w:eastAsia="宋体" w:cs="宋体"/>
                <w:bCs/>
                <w:sz w:val="24"/>
                <w:szCs w:val="24"/>
                <w:lang w:val="zh-CN"/>
              </w:rPr>
              <w:t>文件的全部条款做出实质性响应；</w:t>
            </w:r>
          </w:p>
          <w:p w14:paraId="7B979E30">
            <w:pPr>
              <w:wordWrap w:val="0"/>
              <w:spacing w:line="360" w:lineRule="auto"/>
              <w:jc w:val="left"/>
              <w:rPr>
                <w:rFonts w:hint="eastAsia" w:ascii="宋体" w:hAnsi="宋体" w:eastAsia="宋体" w:cs="宋体"/>
                <w:bCs/>
                <w:sz w:val="24"/>
                <w:szCs w:val="24"/>
                <w:lang w:val="zh-CN"/>
              </w:rPr>
            </w:pPr>
            <w:r>
              <w:rPr>
                <w:rFonts w:hint="eastAsia" w:ascii="宋体" w:hAnsi="宋体" w:eastAsia="宋体" w:cs="宋体"/>
                <w:bCs/>
                <w:sz w:val="24"/>
                <w:szCs w:val="24"/>
                <w:lang w:val="zh-CN"/>
              </w:rPr>
              <w:t>2、本项目不接受联合体投标、不允许分包；</w:t>
            </w:r>
          </w:p>
          <w:p w14:paraId="288D791F">
            <w:pPr>
              <w:wordWrap w:val="0"/>
              <w:spacing w:line="360" w:lineRule="auto"/>
              <w:jc w:val="left"/>
              <w:rPr>
                <w:rFonts w:hint="eastAsia" w:ascii="宋体" w:hAnsi="宋体" w:eastAsia="宋体" w:cs="宋体"/>
                <w:bCs/>
                <w:sz w:val="24"/>
                <w:szCs w:val="24"/>
                <w:lang w:val="zh-CN"/>
              </w:rPr>
            </w:pPr>
            <w:r>
              <w:rPr>
                <w:rFonts w:hint="eastAsia" w:ascii="宋体" w:hAnsi="宋体" w:eastAsia="宋体" w:cs="宋体"/>
                <w:bCs/>
                <w:sz w:val="24"/>
                <w:szCs w:val="24"/>
                <w:lang w:val="zh-CN"/>
              </w:rPr>
              <w:t>3、不存在</w:t>
            </w:r>
            <w:r>
              <w:rPr>
                <w:rFonts w:hint="eastAsia" w:ascii="宋体" w:hAnsi="宋体" w:eastAsia="宋体" w:cs="宋体"/>
                <w:bCs/>
                <w:sz w:val="24"/>
                <w:szCs w:val="24"/>
                <w:lang w:val="zh-CN" w:eastAsia="zh-CN"/>
              </w:rPr>
              <w:t>谈判</w:t>
            </w:r>
            <w:r>
              <w:rPr>
                <w:rFonts w:hint="eastAsia" w:ascii="宋体" w:hAnsi="宋体" w:eastAsia="宋体" w:cs="宋体"/>
                <w:bCs/>
                <w:sz w:val="24"/>
                <w:szCs w:val="24"/>
                <w:lang w:val="zh-CN"/>
              </w:rPr>
              <w:t>文件要求的其他无效投标的情形；</w:t>
            </w:r>
          </w:p>
          <w:p w14:paraId="639AE39B">
            <w:pPr>
              <w:wordWrap w:val="0"/>
              <w:spacing w:line="360" w:lineRule="auto"/>
              <w:jc w:val="left"/>
              <w:rPr>
                <w:rFonts w:hint="eastAsia" w:ascii="宋体" w:hAnsi="宋体" w:eastAsia="宋体" w:cs="宋体"/>
                <w:bCs/>
                <w:sz w:val="24"/>
                <w:szCs w:val="24"/>
                <w:lang w:val="zh-CN"/>
              </w:rPr>
            </w:pPr>
            <w:r>
              <w:rPr>
                <w:rFonts w:hint="eastAsia" w:ascii="宋体" w:hAnsi="宋体" w:eastAsia="宋体" w:cs="宋体"/>
                <w:bCs/>
                <w:sz w:val="24"/>
                <w:szCs w:val="24"/>
                <w:lang w:val="zh-CN"/>
              </w:rPr>
              <w:t>4、不存在</w:t>
            </w:r>
            <w:r>
              <w:rPr>
                <w:rFonts w:hint="eastAsia" w:ascii="宋体" w:hAnsi="宋体" w:eastAsia="宋体" w:cs="宋体"/>
                <w:bCs/>
                <w:sz w:val="24"/>
                <w:szCs w:val="24"/>
                <w:lang w:val="zh-CN" w:eastAsia="zh-CN"/>
              </w:rPr>
              <w:t>谈判</w:t>
            </w:r>
            <w:r>
              <w:rPr>
                <w:rFonts w:hint="eastAsia" w:ascii="宋体" w:hAnsi="宋体" w:eastAsia="宋体" w:cs="宋体"/>
                <w:bCs/>
                <w:sz w:val="24"/>
                <w:szCs w:val="24"/>
                <w:lang w:val="zh-CN"/>
              </w:rPr>
              <w:t>文件中规定的其他废标条款。</w:t>
            </w:r>
          </w:p>
          <w:p w14:paraId="0BA3CC4B">
            <w:pPr>
              <w:wordWrap w:val="0"/>
              <w:spacing w:line="360" w:lineRule="auto"/>
              <w:jc w:val="left"/>
              <w:rPr>
                <w:rFonts w:ascii="宋体" w:hAnsi="宋体" w:cs="宋体"/>
                <w:bCs/>
                <w:sz w:val="24"/>
                <w:szCs w:val="24"/>
                <w:lang w:val="zh-CN"/>
              </w:rPr>
            </w:pPr>
            <w:r>
              <w:rPr>
                <w:rFonts w:hint="eastAsia" w:ascii="宋体" w:hAnsi="宋体" w:eastAsia="宋体" w:cs="宋体"/>
                <w:bCs/>
                <w:sz w:val="24"/>
                <w:szCs w:val="24"/>
                <w:lang w:val="zh-CN"/>
              </w:rPr>
              <w:t>满足</w:t>
            </w:r>
            <w:r>
              <w:rPr>
                <w:rFonts w:hint="eastAsia" w:ascii="宋体" w:hAnsi="宋体" w:eastAsia="宋体" w:cs="宋体"/>
                <w:bCs/>
                <w:sz w:val="24"/>
                <w:szCs w:val="24"/>
                <w:lang w:val="zh-CN" w:eastAsia="zh-CN"/>
              </w:rPr>
              <w:t>谈判</w:t>
            </w:r>
            <w:r>
              <w:rPr>
                <w:rFonts w:hint="eastAsia" w:ascii="宋体" w:hAnsi="宋体" w:eastAsia="宋体" w:cs="宋体"/>
                <w:bCs/>
                <w:sz w:val="24"/>
                <w:szCs w:val="24"/>
                <w:lang w:val="zh-CN"/>
              </w:rPr>
              <w:t>文件的要求为合格，否则为不合格。</w:t>
            </w:r>
          </w:p>
        </w:tc>
      </w:tr>
    </w:tbl>
    <w:p w14:paraId="11643105">
      <w:pPr>
        <w:rPr>
          <w:rFonts w:ascii="宋体" w:hAnsi="宋体" w:cs="宋体"/>
          <w:sz w:val="18"/>
          <w:szCs w:val="18"/>
        </w:rPr>
      </w:pPr>
    </w:p>
    <w:p w14:paraId="3E0588AD">
      <w:pPr>
        <w:ind w:firstLine="241" w:firstLineChars="100"/>
        <w:outlineLvl w:val="1"/>
        <w:rPr>
          <w:rFonts w:ascii="宋体" w:hAnsi="宋体" w:cs="宋体"/>
          <w:b/>
          <w:sz w:val="24"/>
        </w:rPr>
      </w:pPr>
    </w:p>
    <w:p w14:paraId="60207C8B">
      <w:pPr>
        <w:ind w:firstLine="241" w:firstLineChars="100"/>
        <w:outlineLvl w:val="1"/>
        <w:rPr>
          <w:rFonts w:ascii="宋体" w:hAnsi="宋体" w:cs="宋体"/>
          <w:b/>
          <w:sz w:val="24"/>
        </w:rPr>
      </w:pPr>
    </w:p>
    <w:p w14:paraId="3573150F">
      <w:pPr>
        <w:rPr>
          <w:rFonts w:hint="eastAsia" w:ascii="宋体" w:hAnsi="宋体" w:cs="宋体"/>
          <w:b/>
          <w:sz w:val="24"/>
        </w:rPr>
      </w:pPr>
      <w:r>
        <w:rPr>
          <w:rFonts w:hint="eastAsia" w:ascii="宋体" w:hAnsi="宋体" w:cs="宋体"/>
          <w:b/>
          <w:sz w:val="24"/>
        </w:rPr>
        <w:br w:type="page"/>
      </w:r>
    </w:p>
    <w:p w14:paraId="30F304A1">
      <w:pPr>
        <w:ind w:firstLine="241" w:firstLineChars="100"/>
        <w:outlineLvl w:val="1"/>
        <w:rPr>
          <w:rFonts w:ascii="宋体" w:hAnsi="宋体" w:cs="宋体"/>
          <w:b/>
          <w:bCs/>
          <w:kern w:val="44"/>
          <w:sz w:val="24"/>
        </w:rPr>
      </w:pPr>
      <w:bookmarkStart w:id="35" w:name="_Toc28388"/>
      <w:r>
        <w:rPr>
          <w:rFonts w:hint="eastAsia" w:ascii="宋体" w:hAnsi="宋体" w:cs="宋体"/>
          <w:b/>
          <w:sz w:val="24"/>
        </w:rPr>
        <w:t>（二）符合性评审前附表</w:t>
      </w:r>
      <w:bookmarkEnd w:id="35"/>
    </w:p>
    <w:tbl>
      <w:tblPr>
        <w:tblStyle w:val="15"/>
        <w:tblW w:w="9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912"/>
        <w:gridCol w:w="1550"/>
        <w:gridCol w:w="6054"/>
      </w:tblGrid>
      <w:tr w14:paraId="7B0BA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1676" w:type="dxa"/>
            <w:gridSpan w:val="2"/>
            <w:shd w:val="clear" w:color="auto" w:fill="D7D7D7"/>
            <w:vAlign w:val="center"/>
          </w:tcPr>
          <w:p w14:paraId="1B7A6DA7">
            <w:pPr>
              <w:autoSpaceDE w:val="0"/>
              <w:autoSpaceDN w:val="0"/>
              <w:adjustRightInd w:val="0"/>
              <w:spacing w:line="400" w:lineRule="exact"/>
              <w:jc w:val="center"/>
              <w:rPr>
                <w:rFonts w:ascii="宋体" w:hAnsi="宋体" w:cs="宋体"/>
                <w:b/>
                <w:szCs w:val="21"/>
                <w:lang w:val="zh-CN"/>
              </w:rPr>
            </w:pPr>
            <w:r>
              <w:rPr>
                <w:rFonts w:hint="eastAsia" w:ascii="宋体" w:hAnsi="宋体" w:cs="宋体"/>
                <w:b/>
                <w:szCs w:val="21"/>
                <w:lang w:val="zh-CN"/>
              </w:rPr>
              <w:t>条款号</w:t>
            </w:r>
          </w:p>
        </w:tc>
        <w:tc>
          <w:tcPr>
            <w:tcW w:w="1550" w:type="dxa"/>
            <w:shd w:val="clear" w:color="auto" w:fill="D7D7D7"/>
            <w:vAlign w:val="center"/>
          </w:tcPr>
          <w:p w14:paraId="449181A7">
            <w:pPr>
              <w:autoSpaceDE w:val="0"/>
              <w:autoSpaceDN w:val="0"/>
              <w:adjustRightInd w:val="0"/>
              <w:spacing w:line="400" w:lineRule="exact"/>
              <w:jc w:val="center"/>
              <w:rPr>
                <w:rFonts w:ascii="宋体" w:hAnsi="宋体" w:cs="宋体"/>
                <w:b/>
                <w:szCs w:val="21"/>
                <w:lang w:val="zh-CN"/>
              </w:rPr>
            </w:pPr>
            <w:r>
              <w:rPr>
                <w:rFonts w:hint="eastAsia" w:ascii="宋体" w:hAnsi="宋体" w:cs="宋体"/>
                <w:b/>
                <w:szCs w:val="21"/>
                <w:lang w:val="zh-CN"/>
              </w:rPr>
              <w:t>评审因素</w:t>
            </w:r>
          </w:p>
        </w:tc>
        <w:tc>
          <w:tcPr>
            <w:tcW w:w="6054" w:type="dxa"/>
            <w:shd w:val="clear" w:color="auto" w:fill="D7D7D7"/>
            <w:vAlign w:val="center"/>
          </w:tcPr>
          <w:p w14:paraId="1683B00B">
            <w:pPr>
              <w:autoSpaceDE w:val="0"/>
              <w:autoSpaceDN w:val="0"/>
              <w:adjustRightInd w:val="0"/>
              <w:spacing w:line="400" w:lineRule="exact"/>
              <w:jc w:val="center"/>
              <w:rPr>
                <w:rFonts w:ascii="宋体" w:hAnsi="宋体" w:cs="宋体"/>
                <w:b/>
                <w:szCs w:val="21"/>
                <w:lang w:val="zh-CN"/>
              </w:rPr>
            </w:pPr>
            <w:r>
              <w:rPr>
                <w:rFonts w:hint="eastAsia" w:ascii="宋体" w:hAnsi="宋体" w:cs="宋体"/>
                <w:b/>
                <w:szCs w:val="21"/>
                <w:lang w:val="zh-CN"/>
              </w:rPr>
              <w:t>评审标准</w:t>
            </w:r>
          </w:p>
        </w:tc>
      </w:tr>
      <w:tr w14:paraId="6783B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764" w:type="dxa"/>
            <w:vMerge w:val="restart"/>
            <w:vAlign w:val="center"/>
          </w:tcPr>
          <w:p w14:paraId="02D3F76C">
            <w:pPr>
              <w:autoSpaceDE w:val="0"/>
              <w:autoSpaceDN w:val="0"/>
              <w:adjustRightInd w:val="0"/>
              <w:spacing w:line="400" w:lineRule="exact"/>
              <w:jc w:val="center"/>
              <w:rPr>
                <w:rFonts w:hint="default" w:ascii="宋体" w:hAnsi="宋体" w:eastAsia="宋体" w:cs="宋体"/>
                <w:bCs/>
                <w:szCs w:val="21"/>
                <w:lang w:val="en-US" w:eastAsia="zh-CN"/>
              </w:rPr>
            </w:pPr>
            <w:r>
              <w:rPr>
                <w:rFonts w:hint="eastAsia" w:ascii="宋体" w:hAnsi="宋体" w:cs="宋体"/>
                <w:bCs/>
                <w:szCs w:val="21"/>
                <w:lang w:val="en-US" w:eastAsia="zh-CN"/>
              </w:rPr>
              <w:t>2.1</w:t>
            </w:r>
          </w:p>
        </w:tc>
        <w:tc>
          <w:tcPr>
            <w:tcW w:w="912" w:type="dxa"/>
            <w:vMerge w:val="restart"/>
            <w:vAlign w:val="center"/>
          </w:tcPr>
          <w:p w14:paraId="7B955127">
            <w:pPr>
              <w:autoSpaceDE w:val="0"/>
              <w:autoSpaceDN w:val="0"/>
              <w:adjustRightInd w:val="0"/>
              <w:spacing w:line="400" w:lineRule="exact"/>
              <w:jc w:val="center"/>
              <w:rPr>
                <w:rFonts w:ascii="宋体" w:hAnsi="宋体" w:cs="宋体"/>
                <w:bCs/>
                <w:szCs w:val="21"/>
                <w:lang w:val="zh-CN"/>
              </w:rPr>
            </w:pPr>
            <w:r>
              <w:rPr>
                <w:rFonts w:hint="eastAsia" w:ascii="宋体" w:hAnsi="宋体" w:cs="宋体"/>
                <w:bCs/>
                <w:szCs w:val="21"/>
              </w:rPr>
              <w:t>符合性</w:t>
            </w:r>
          </w:p>
          <w:p w14:paraId="1DAC6CBA">
            <w:pPr>
              <w:autoSpaceDE w:val="0"/>
              <w:autoSpaceDN w:val="0"/>
              <w:adjustRightInd w:val="0"/>
              <w:spacing w:line="400" w:lineRule="exact"/>
              <w:jc w:val="center"/>
              <w:rPr>
                <w:rFonts w:ascii="宋体" w:hAnsi="宋体" w:cs="宋体"/>
                <w:bCs/>
                <w:szCs w:val="21"/>
                <w:lang w:val="zh-CN"/>
              </w:rPr>
            </w:pPr>
            <w:r>
              <w:rPr>
                <w:rFonts w:hint="eastAsia" w:ascii="宋体" w:hAnsi="宋体" w:cs="宋体"/>
                <w:bCs/>
                <w:szCs w:val="21"/>
                <w:lang w:val="zh-CN"/>
              </w:rPr>
              <w:t>评审</w:t>
            </w:r>
          </w:p>
          <w:p w14:paraId="514CFFA7">
            <w:pPr>
              <w:autoSpaceDE w:val="0"/>
              <w:autoSpaceDN w:val="0"/>
              <w:adjustRightInd w:val="0"/>
              <w:spacing w:line="400" w:lineRule="exact"/>
              <w:jc w:val="center"/>
              <w:rPr>
                <w:rFonts w:ascii="宋体" w:hAnsi="宋体" w:cs="宋体"/>
                <w:bCs/>
                <w:szCs w:val="21"/>
                <w:lang w:val="zh-CN"/>
              </w:rPr>
            </w:pPr>
            <w:r>
              <w:rPr>
                <w:rFonts w:hint="eastAsia" w:ascii="宋体" w:hAnsi="宋体" w:cs="宋体"/>
                <w:bCs/>
                <w:szCs w:val="21"/>
                <w:lang w:val="zh-CN"/>
              </w:rPr>
              <w:t>标准</w:t>
            </w:r>
          </w:p>
          <w:p w14:paraId="09AB0D9D">
            <w:pPr>
              <w:autoSpaceDE w:val="0"/>
              <w:autoSpaceDN w:val="0"/>
              <w:adjustRightInd w:val="0"/>
              <w:spacing w:line="400" w:lineRule="exact"/>
              <w:jc w:val="center"/>
              <w:rPr>
                <w:rFonts w:ascii="宋体" w:hAnsi="宋体" w:cs="宋体"/>
                <w:bCs/>
                <w:szCs w:val="21"/>
                <w:lang w:val="zh-CN"/>
              </w:rPr>
            </w:pPr>
          </w:p>
        </w:tc>
        <w:tc>
          <w:tcPr>
            <w:tcW w:w="1550" w:type="dxa"/>
            <w:vAlign w:val="center"/>
          </w:tcPr>
          <w:p w14:paraId="04EF12C4">
            <w:pPr>
              <w:wordWrap w:val="0"/>
              <w:jc w:val="center"/>
              <w:rPr>
                <w:rFonts w:hint="eastAsia" w:ascii="宋体" w:hAnsi="宋体" w:cs="宋体"/>
                <w:color w:val="auto"/>
                <w:sz w:val="24"/>
                <w:szCs w:val="24"/>
                <w:lang w:val="zh-CN"/>
              </w:rPr>
            </w:pPr>
            <w:r>
              <w:rPr>
                <w:rFonts w:hint="eastAsia" w:ascii="宋体" w:hAnsi="宋体" w:cs="宋体"/>
                <w:color w:val="auto"/>
                <w:sz w:val="24"/>
                <w:szCs w:val="24"/>
                <w:lang w:val="zh-CN"/>
              </w:rPr>
              <w:t>投标内容</w:t>
            </w:r>
          </w:p>
        </w:tc>
        <w:tc>
          <w:tcPr>
            <w:tcW w:w="6054" w:type="dxa"/>
            <w:vAlign w:val="center"/>
          </w:tcPr>
          <w:p w14:paraId="681D9FC8">
            <w:pPr>
              <w:wordWrap w:val="0"/>
              <w:jc w:val="left"/>
              <w:rPr>
                <w:rFonts w:hint="eastAsia" w:ascii="宋体" w:hAnsi="宋体" w:cs="宋体"/>
                <w:color w:val="auto"/>
                <w:sz w:val="24"/>
                <w:szCs w:val="24"/>
                <w:lang w:val="zh-CN"/>
              </w:rPr>
            </w:pPr>
            <w:r>
              <w:rPr>
                <w:rFonts w:hint="eastAsia" w:ascii="宋体" w:hAnsi="宋体" w:cs="宋体"/>
                <w:color w:val="auto"/>
                <w:sz w:val="24"/>
                <w:szCs w:val="24"/>
                <w:lang w:val="zh-CN"/>
              </w:rPr>
              <w:t>符合谈判文件规定。</w:t>
            </w:r>
          </w:p>
        </w:tc>
      </w:tr>
      <w:tr w14:paraId="4B3E2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764" w:type="dxa"/>
            <w:vMerge w:val="continue"/>
          </w:tcPr>
          <w:p w14:paraId="5A9882BC">
            <w:pPr>
              <w:autoSpaceDE w:val="0"/>
              <w:autoSpaceDN w:val="0"/>
              <w:adjustRightInd w:val="0"/>
              <w:spacing w:line="400" w:lineRule="exact"/>
              <w:jc w:val="left"/>
              <w:rPr>
                <w:rFonts w:ascii="宋体" w:hAnsi="宋体" w:cs="宋体"/>
                <w:bCs/>
                <w:szCs w:val="21"/>
                <w:lang w:val="zh-CN"/>
              </w:rPr>
            </w:pPr>
          </w:p>
        </w:tc>
        <w:tc>
          <w:tcPr>
            <w:tcW w:w="912" w:type="dxa"/>
            <w:vMerge w:val="continue"/>
          </w:tcPr>
          <w:p w14:paraId="4F729EB4">
            <w:pPr>
              <w:autoSpaceDE w:val="0"/>
              <w:autoSpaceDN w:val="0"/>
              <w:adjustRightInd w:val="0"/>
              <w:spacing w:line="400" w:lineRule="exact"/>
              <w:jc w:val="left"/>
              <w:rPr>
                <w:rFonts w:ascii="宋体" w:hAnsi="宋体" w:cs="宋体"/>
                <w:bCs/>
                <w:szCs w:val="21"/>
                <w:lang w:val="zh-CN"/>
              </w:rPr>
            </w:pPr>
          </w:p>
        </w:tc>
        <w:tc>
          <w:tcPr>
            <w:tcW w:w="1550" w:type="dxa"/>
            <w:vAlign w:val="center"/>
          </w:tcPr>
          <w:p w14:paraId="03E6ED1E">
            <w:pPr>
              <w:pStyle w:val="9"/>
              <w:tabs>
                <w:tab w:val="clear" w:pos="4153"/>
                <w:tab w:val="clear" w:pos="8306"/>
              </w:tabs>
              <w:autoSpaceDE w:val="0"/>
              <w:autoSpaceDN w:val="0"/>
              <w:adjustRightInd w:val="0"/>
              <w:snapToGrid/>
              <w:spacing w:line="400" w:lineRule="exact"/>
              <w:jc w:val="center"/>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供</w:t>
            </w:r>
            <w:r>
              <w:rPr>
                <w:rFonts w:hint="eastAsia" w:ascii="宋体" w:hAnsi="宋体" w:eastAsia="宋体" w:cs="宋体"/>
                <w:color w:val="auto"/>
                <w:kern w:val="2"/>
                <w:sz w:val="24"/>
                <w:szCs w:val="24"/>
                <w:highlight w:val="none"/>
                <w:lang w:val="en-US" w:eastAsia="zh-CN" w:bidi="ar-SA"/>
              </w:rPr>
              <w:t xml:space="preserve"> </w:t>
            </w:r>
            <w:r>
              <w:rPr>
                <w:rFonts w:hint="eastAsia" w:ascii="宋体" w:hAnsi="宋体" w:eastAsia="宋体" w:cs="宋体"/>
                <w:color w:val="auto"/>
                <w:kern w:val="2"/>
                <w:sz w:val="24"/>
                <w:szCs w:val="24"/>
                <w:highlight w:val="none"/>
                <w:lang w:val="zh-CN" w:eastAsia="zh-CN" w:bidi="ar-SA"/>
              </w:rPr>
              <w:t>货</w:t>
            </w:r>
            <w:r>
              <w:rPr>
                <w:rFonts w:hint="eastAsia" w:ascii="宋体" w:hAnsi="宋体" w:eastAsia="宋体" w:cs="宋体"/>
                <w:color w:val="auto"/>
                <w:kern w:val="2"/>
                <w:sz w:val="24"/>
                <w:szCs w:val="24"/>
                <w:highlight w:val="none"/>
                <w:lang w:val="en-US" w:eastAsia="zh-CN" w:bidi="ar-SA"/>
              </w:rPr>
              <w:t xml:space="preserve"> </w:t>
            </w:r>
            <w:r>
              <w:rPr>
                <w:rFonts w:hint="eastAsia" w:ascii="宋体" w:hAnsi="宋体" w:eastAsia="宋体" w:cs="宋体"/>
                <w:color w:val="auto"/>
                <w:kern w:val="2"/>
                <w:sz w:val="24"/>
                <w:szCs w:val="24"/>
                <w:highlight w:val="none"/>
                <w:lang w:val="zh-CN" w:eastAsia="zh-CN" w:bidi="ar-SA"/>
              </w:rPr>
              <w:t>期</w:t>
            </w:r>
          </w:p>
        </w:tc>
        <w:tc>
          <w:tcPr>
            <w:tcW w:w="6054" w:type="dxa"/>
            <w:vAlign w:val="center"/>
          </w:tcPr>
          <w:p w14:paraId="1411E4B7">
            <w:pPr>
              <w:autoSpaceDE w:val="0"/>
              <w:autoSpaceDN w:val="0"/>
              <w:adjustRightInd w:val="0"/>
              <w:spacing w:line="400" w:lineRule="exact"/>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自合同签订之日起</w:t>
            </w:r>
            <w:r>
              <w:rPr>
                <w:rFonts w:hint="eastAsia" w:ascii="宋体" w:hAnsi="宋体" w:eastAsia="宋体" w:cs="宋体"/>
                <w:color w:val="auto"/>
                <w:kern w:val="2"/>
                <w:sz w:val="24"/>
                <w:szCs w:val="24"/>
                <w:highlight w:val="none"/>
                <w:lang w:val="zh-CN" w:eastAsia="zh-CN" w:bidi="ar-SA"/>
              </w:rPr>
              <w:t xml:space="preserve"> </w:t>
            </w:r>
            <w:r>
              <w:rPr>
                <w:rFonts w:hint="eastAsia" w:ascii="宋体" w:hAnsi="宋体" w:cs="宋体"/>
                <w:color w:val="auto"/>
                <w:kern w:val="2"/>
                <w:sz w:val="24"/>
                <w:szCs w:val="24"/>
                <w:highlight w:val="none"/>
                <w:lang w:val="en-US" w:eastAsia="zh-CN" w:bidi="ar-SA"/>
              </w:rPr>
              <w:t>30</w:t>
            </w:r>
            <w:r>
              <w:rPr>
                <w:rFonts w:hint="eastAsia" w:ascii="宋体" w:hAnsi="宋体" w:eastAsia="宋体" w:cs="宋体"/>
                <w:color w:val="auto"/>
                <w:kern w:val="2"/>
                <w:sz w:val="24"/>
                <w:szCs w:val="24"/>
                <w:highlight w:val="none"/>
                <w:lang w:val="zh-CN" w:eastAsia="zh-CN" w:bidi="ar-SA"/>
              </w:rPr>
              <w:t>天内完成。</w:t>
            </w:r>
          </w:p>
        </w:tc>
      </w:tr>
      <w:tr w14:paraId="2339E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64" w:type="dxa"/>
            <w:vMerge w:val="continue"/>
          </w:tcPr>
          <w:p w14:paraId="620E6348">
            <w:pPr>
              <w:autoSpaceDE w:val="0"/>
              <w:autoSpaceDN w:val="0"/>
              <w:adjustRightInd w:val="0"/>
              <w:spacing w:line="400" w:lineRule="exact"/>
              <w:jc w:val="left"/>
              <w:rPr>
                <w:rFonts w:ascii="宋体" w:hAnsi="宋体" w:cs="宋体"/>
                <w:bCs/>
                <w:szCs w:val="21"/>
                <w:lang w:val="zh-CN"/>
              </w:rPr>
            </w:pPr>
          </w:p>
        </w:tc>
        <w:tc>
          <w:tcPr>
            <w:tcW w:w="912" w:type="dxa"/>
            <w:vMerge w:val="continue"/>
          </w:tcPr>
          <w:p w14:paraId="2C92FE07">
            <w:pPr>
              <w:autoSpaceDE w:val="0"/>
              <w:autoSpaceDN w:val="0"/>
              <w:adjustRightInd w:val="0"/>
              <w:spacing w:line="400" w:lineRule="exact"/>
              <w:jc w:val="left"/>
              <w:rPr>
                <w:rFonts w:ascii="宋体" w:hAnsi="宋体" w:cs="宋体"/>
                <w:bCs/>
                <w:szCs w:val="21"/>
                <w:lang w:val="zh-CN"/>
              </w:rPr>
            </w:pPr>
          </w:p>
        </w:tc>
        <w:tc>
          <w:tcPr>
            <w:tcW w:w="1550" w:type="dxa"/>
            <w:vAlign w:val="center"/>
          </w:tcPr>
          <w:p w14:paraId="6E1CBCF5">
            <w:pPr>
              <w:pStyle w:val="9"/>
              <w:tabs>
                <w:tab w:val="clear" w:pos="4153"/>
                <w:tab w:val="clear" w:pos="8306"/>
              </w:tabs>
              <w:autoSpaceDE w:val="0"/>
              <w:autoSpaceDN w:val="0"/>
              <w:adjustRightInd w:val="0"/>
              <w:snapToGrid/>
              <w:spacing w:line="400" w:lineRule="exact"/>
              <w:jc w:val="center"/>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供货地点</w:t>
            </w:r>
          </w:p>
        </w:tc>
        <w:tc>
          <w:tcPr>
            <w:tcW w:w="6054" w:type="dxa"/>
            <w:vAlign w:val="center"/>
          </w:tcPr>
          <w:p w14:paraId="5530D356">
            <w:pPr>
              <w:pStyle w:val="9"/>
              <w:tabs>
                <w:tab w:val="clear" w:pos="4153"/>
                <w:tab w:val="clear" w:pos="8306"/>
              </w:tabs>
              <w:autoSpaceDE w:val="0"/>
              <w:autoSpaceDN w:val="0"/>
              <w:adjustRightInd w:val="0"/>
              <w:snapToGrid/>
              <w:spacing w:line="400" w:lineRule="exact"/>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吉林司法警官职业学院。</w:t>
            </w:r>
          </w:p>
        </w:tc>
      </w:tr>
      <w:tr w14:paraId="1FC41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64" w:type="dxa"/>
            <w:vMerge w:val="continue"/>
          </w:tcPr>
          <w:p w14:paraId="5F975D5C">
            <w:pPr>
              <w:autoSpaceDE w:val="0"/>
              <w:autoSpaceDN w:val="0"/>
              <w:adjustRightInd w:val="0"/>
              <w:spacing w:line="400" w:lineRule="exact"/>
              <w:jc w:val="left"/>
              <w:rPr>
                <w:rFonts w:ascii="宋体" w:hAnsi="宋体" w:cs="宋体"/>
                <w:bCs/>
                <w:szCs w:val="21"/>
                <w:lang w:val="zh-CN"/>
              </w:rPr>
            </w:pPr>
          </w:p>
        </w:tc>
        <w:tc>
          <w:tcPr>
            <w:tcW w:w="912" w:type="dxa"/>
            <w:vMerge w:val="continue"/>
          </w:tcPr>
          <w:p w14:paraId="4936CC22">
            <w:pPr>
              <w:autoSpaceDE w:val="0"/>
              <w:autoSpaceDN w:val="0"/>
              <w:adjustRightInd w:val="0"/>
              <w:spacing w:line="400" w:lineRule="exact"/>
              <w:jc w:val="left"/>
              <w:rPr>
                <w:rFonts w:ascii="宋体" w:hAnsi="宋体" w:cs="宋体"/>
                <w:bCs/>
                <w:szCs w:val="21"/>
                <w:lang w:val="zh-CN"/>
              </w:rPr>
            </w:pPr>
          </w:p>
        </w:tc>
        <w:tc>
          <w:tcPr>
            <w:tcW w:w="1550" w:type="dxa"/>
            <w:vAlign w:val="center"/>
          </w:tcPr>
          <w:p w14:paraId="63417165">
            <w:pPr>
              <w:wordWrap w:val="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谈判有效期</w:t>
            </w:r>
          </w:p>
        </w:tc>
        <w:tc>
          <w:tcPr>
            <w:tcW w:w="6054" w:type="dxa"/>
            <w:vAlign w:val="center"/>
          </w:tcPr>
          <w:p w14:paraId="1192257F">
            <w:pPr>
              <w:wordWrap w:val="0"/>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 响应文件截止之日后90</w:t>
            </w:r>
            <w:r>
              <w:rPr>
                <w:rFonts w:hint="eastAsia" w:ascii="宋体" w:hAnsi="宋体" w:eastAsia="宋体" w:cs="宋体"/>
                <w:color w:val="auto"/>
                <w:kern w:val="2"/>
                <w:sz w:val="24"/>
                <w:szCs w:val="24"/>
                <w:lang w:val="zh-CN" w:eastAsia="zh-CN" w:bidi="ar-SA"/>
              </w:rPr>
              <w:t>天（日历天）</w:t>
            </w:r>
          </w:p>
        </w:tc>
      </w:tr>
      <w:tr w14:paraId="2EE74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64" w:type="dxa"/>
            <w:vMerge w:val="continue"/>
          </w:tcPr>
          <w:p w14:paraId="5B5F1FE8">
            <w:pPr>
              <w:autoSpaceDE w:val="0"/>
              <w:autoSpaceDN w:val="0"/>
              <w:adjustRightInd w:val="0"/>
              <w:spacing w:line="400" w:lineRule="exact"/>
              <w:jc w:val="left"/>
              <w:rPr>
                <w:rFonts w:ascii="宋体" w:hAnsi="宋体" w:cs="宋体"/>
                <w:bCs/>
                <w:szCs w:val="21"/>
                <w:lang w:val="zh-CN"/>
              </w:rPr>
            </w:pPr>
          </w:p>
        </w:tc>
        <w:tc>
          <w:tcPr>
            <w:tcW w:w="912" w:type="dxa"/>
            <w:vMerge w:val="continue"/>
          </w:tcPr>
          <w:p w14:paraId="0C96668B">
            <w:pPr>
              <w:autoSpaceDE w:val="0"/>
              <w:autoSpaceDN w:val="0"/>
              <w:adjustRightInd w:val="0"/>
              <w:spacing w:line="400" w:lineRule="exact"/>
              <w:jc w:val="left"/>
              <w:rPr>
                <w:rFonts w:ascii="宋体" w:hAnsi="宋体" w:cs="宋体"/>
                <w:bCs/>
                <w:szCs w:val="21"/>
                <w:lang w:val="zh-CN"/>
              </w:rPr>
            </w:pPr>
          </w:p>
        </w:tc>
        <w:tc>
          <w:tcPr>
            <w:tcW w:w="1550" w:type="dxa"/>
            <w:vAlign w:val="center"/>
          </w:tcPr>
          <w:p w14:paraId="0CB62B02">
            <w:pPr>
              <w:wordWrap w:val="0"/>
              <w:jc w:val="center"/>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en-US" w:eastAsia="zh-CN" w:bidi="ar-SA"/>
              </w:rPr>
              <w:t>技术条款响应</w:t>
            </w:r>
          </w:p>
        </w:tc>
        <w:tc>
          <w:tcPr>
            <w:tcW w:w="6054" w:type="dxa"/>
            <w:vAlign w:val="center"/>
          </w:tcPr>
          <w:p w14:paraId="7CF7ADAF">
            <w:pPr>
              <w:pStyle w:val="5"/>
              <w:rPr>
                <w:rFonts w:hint="default"/>
                <w:highlight w:val="none"/>
                <w:lang w:val="en-US" w:eastAsia="zh-CN"/>
              </w:rPr>
            </w:pPr>
            <w:r>
              <w:rPr>
                <w:rFonts w:hint="eastAsia" w:ascii="宋体" w:hAnsi="宋体" w:cs="宋体"/>
                <w:color w:val="auto"/>
                <w:kern w:val="2"/>
                <w:sz w:val="24"/>
                <w:szCs w:val="24"/>
                <w:highlight w:val="none"/>
                <w:lang w:val="en-US" w:eastAsia="zh-CN" w:bidi="ar-SA"/>
              </w:rPr>
              <w:t>响应</w:t>
            </w:r>
            <w:r>
              <w:rPr>
                <w:rFonts w:hint="eastAsia" w:ascii="宋体" w:hAnsi="宋体" w:eastAsia="宋体" w:cs="宋体"/>
                <w:color w:val="auto"/>
                <w:kern w:val="2"/>
                <w:sz w:val="24"/>
                <w:szCs w:val="24"/>
                <w:highlight w:val="none"/>
                <w:lang w:val="en-US" w:eastAsia="zh-CN" w:bidi="ar-SA"/>
              </w:rPr>
              <w:t>文件满足</w:t>
            </w:r>
            <w:r>
              <w:rPr>
                <w:rFonts w:hint="eastAsia" w:ascii="宋体" w:hAnsi="宋体" w:cs="宋体"/>
                <w:color w:val="auto"/>
                <w:kern w:val="2"/>
                <w:sz w:val="24"/>
                <w:szCs w:val="24"/>
                <w:highlight w:val="none"/>
                <w:lang w:val="en-US" w:eastAsia="zh-CN" w:bidi="ar-SA"/>
              </w:rPr>
              <w:t>谈判</w:t>
            </w:r>
            <w:r>
              <w:rPr>
                <w:rFonts w:hint="eastAsia" w:ascii="宋体" w:hAnsi="宋体" w:eastAsia="宋体" w:cs="宋体"/>
                <w:color w:val="auto"/>
                <w:kern w:val="2"/>
                <w:sz w:val="24"/>
                <w:szCs w:val="24"/>
                <w:highlight w:val="none"/>
                <w:lang w:val="en-US" w:eastAsia="zh-CN" w:bidi="ar-SA"/>
              </w:rPr>
              <w:t>文件第二章项目需求中所有技术条款要求</w:t>
            </w:r>
            <w:bookmarkStart w:id="93" w:name="_GoBack"/>
            <w:bookmarkEnd w:id="93"/>
          </w:p>
        </w:tc>
      </w:tr>
      <w:tr w14:paraId="3120D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64" w:type="dxa"/>
            <w:vMerge w:val="continue"/>
          </w:tcPr>
          <w:p w14:paraId="178320A8">
            <w:pPr>
              <w:autoSpaceDE w:val="0"/>
              <w:autoSpaceDN w:val="0"/>
              <w:adjustRightInd w:val="0"/>
              <w:spacing w:line="400" w:lineRule="exact"/>
              <w:jc w:val="left"/>
              <w:rPr>
                <w:rFonts w:ascii="宋体" w:hAnsi="宋体" w:cs="宋体"/>
                <w:bCs/>
                <w:szCs w:val="21"/>
                <w:lang w:val="zh-CN"/>
              </w:rPr>
            </w:pPr>
          </w:p>
        </w:tc>
        <w:tc>
          <w:tcPr>
            <w:tcW w:w="912" w:type="dxa"/>
            <w:vMerge w:val="continue"/>
          </w:tcPr>
          <w:p w14:paraId="7338C4EB">
            <w:pPr>
              <w:autoSpaceDE w:val="0"/>
              <w:autoSpaceDN w:val="0"/>
              <w:adjustRightInd w:val="0"/>
              <w:spacing w:line="400" w:lineRule="exact"/>
              <w:jc w:val="left"/>
              <w:rPr>
                <w:rFonts w:ascii="宋体" w:hAnsi="宋体" w:cs="宋体"/>
                <w:bCs/>
                <w:szCs w:val="21"/>
                <w:lang w:val="zh-CN"/>
              </w:rPr>
            </w:pPr>
          </w:p>
        </w:tc>
        <w:tc>
          <w:tcPr>
            <w:tcW w:w="1550" w:type="dxa"/>
            <w:vAlign w:val="center"/>
          </w:tcPr>
          <w:p w14:paraId="5F96C693">
            <w:pPr>
              <w:wordWrap w:val="0"/>
              <w:jc w:val="center"/>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en-US" w:eastAsia="zh-CN" w:bidi="ar-SA"/>
              </w:rPr>
              <w:t>电子签字和盖章要求</w:t>
            </w:r>
          </w:p>
        </w:tc>
        <w:tc>
          <w:tcPr>
            <w:tcW w:w="6054" w:type="dxa"/>
            <w:vAlign w:val="center"/>
          </w:tcPr>
          <w:p w14:paraId="2EB366A6">
            <w:pPr>
              <w:wordWrap w:val="0"/>
              <w:jc w:val="left"/>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en-US" w:eastAsia="zh-CN" w:bidi="ar-SA"/>
              </w:rPr>
              <w:t>按照</w:t>
            </w:r>
            <w:r>
              <w:rPr>
                <w:rFonts w:hint="eastAsia" w:ascii="宋体" w:hAnsi="宋体" w:cs="宋体"/>
                <w:color w:val="auto"/>
                <w:kern w:val="2"/>
                <w:sz w:val="24"/>
                <w:szCs w:val="24"/>
                <w:lang w:val="en-US" w:eastAsia="zh-CN" w:bidi="ar-SA"/>
              </w:rPr>
              <w:t>谈判</w:t>
            </w:r>
            <w:r>
              <w:rPr>
                <w:rFonts w:hint="eastAsia" w:ascii="宋体" w:hAnsi="宋体" w:eastAsia="宋体" w:cs="宋体"/>
                <w:color w:val="auto"/>
                <w:kern w:val="2"/>
                <w:sz w:val="24"/>
                <w:szCs w:val="24"/>
                <w:lang w:val="en-US" w:eastAsia="zh-CN" w:bidi="ar-SA"/>
              </w:rPr>
              <w:t>文件规定的要求执行为合格，否则为不合格。</w:t>
            </w:r>
          </w:p>
        </w:tc>
      </w:tr>
      <w:tr w14:paraId="36FD1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64" w:type="dxa"/>
            <w:vMerge w:val="continue"/>
          </w:tcPr>
          <w:p w14:paraId="2C263682">
            <w:pPr>
              <w:autoSpaceDE w:val="0"/>
              <w:autoSpaceDN w:val="0"/>
              <w:adjustRightInd w:val="0"/>
              <w:spacing w:line="400" w:lineRule="exact"/>
              <w:jc w:val="left"/>
              <w:rPr>
                <w:rFonts w:ascii="宋体" w:hAnsi="宋体" w:cs="宋体"/>
                <w:bCs/>
                <w:szCs w:val="21"/>
                <w:lang w:val="zh-CN"/>
              </w:rPr>
            </w:pPr>
          </w:p>
        </w:tc>
        <w:tc>
          <w:tcPr>
            <w:tcW w:w="912" w:type="dxa"/>
            <w:vMerge w:val="continue"/>
          </w:tcPr>
          <w:p w14:paraId="4F649C31">
            <w:pPr>
              <w:autoSpaceDE w:val="0"/>
              <w:autoSpaceDN w:val="0"/>
              <w:adjustRightInd w:val="0"/>
              <w:spacing w:line="400" w:lineRule="exact"/>
              <w:jc w:val="left"/>
              <w:rPr>
                <w:rFonts w:ascii="宋体" w:hAnsi="宋体" w:cs="宋体"/>
                <w:bCs/>
                <w:szCs w:val="21"/>
                <w:lang w:val="zh-CN"/>
              </w:rPr>
            </w:pPr>
          </w:p>
        </w:tc>
        <w:tc>
          <w:tcPr>
            <w:tcW w:w="1550" w:type="dxa"/>
            <w:vAlign w:val="center"/>
          </w:tcPr>
          <w:p w14:paraId="04016411">
            <w:pPr>
              <w:wordWrap w:val="0"/>
              <w:jc w:val="center"/>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投标价格</w:t>
            </w:r>
          </w:p>
        </w:tc>
        <w:tc>
          <w:tcPr>
            <w:tcW w:w="6054" w:type="dxa"/>
            <w:vAlign w:val="center"/>
          </w:tcPr>
          <w:p w14:paraId="468B481D">
            <w:pPr>
              <w:wordWrap w:val="0"/>
              <w:jc w:val="left"/>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投标总价不高于招标控制价，且不低于成本。</w:t>
            </w:r>
          </w:p>
        </w:tc>
      </w:tr>
    </w:tbl>
    <w:p w14:paraId="7A8CD731">
      <w:pPr>
        <w:rPr>
          <w:rFonts w:ascii="宋体" w:hAnsi="宋体" w:cs="宋体"/>
          <w:sz w:val="18"/>
          <w:szCs w:val="18"/>
        </w:rPr>
      </w:pPr>
    </w:p>
    <w:p w14:paraId="6359132D">
      <w:pPr>
        <w:rPr>
          <w:rFonts w:ascii="宋体" w:hAnsi="宋体" w:cs="宋体"/>
          <w:b/>
          <w:bCs/>
          <w:szCs w:val="21"/>
        </w:rPr>
      </w:pPr>
      <w:r>
        <w:rPr>
          <w:rFonts w:hint="eastAsia" w:ascii="宋体" w:hAnsi="宋体" w:cs="宋体"/>
          <w:b/>
          <w:bCs/>
          <w:szCs w:val="21"/>
        </w:rPr>
        <w:t>注：评标委员会将依据上表标准对投标文件进行初步评审。有一项不符合评审标准的，评标委员会应当否决其投标。</w:t>
      </w:r>
    </w:p>
    <w:p w14:paraId="66352B02">
      <w:pPr>
        <w:rPr>
          <w:rFonts w:hint="eastAsia" w:hAnsi="宋体" w:cs="宋体"/>
          <w:b/>
          <w:bCs/>
          <w:szCs w:val="21"/>
        </w:rPr>
      </w:pPr>
      <w:r>
        <w:rPr>
          <w:rFonts w:hint="eastAsia" w:hAnsi="宋体" w:cs="宋体"/>
          <w:b/>
          <w:bCs/>
          <w:szCs w:val="21"/>
        </w:rPr>
        <w:br w:type="page"/>
      </w:r>
    </w:p>
    <w:p w14:paraId="00B3DBD4">
      <w:pPr>
        <w:pStyle w:val="7"/>
        <w:spacing w:line="360" w:lineRule="auto"/>
        <w:rPr>
          <w:rFonts w:hAnsi="宋体" w:cs="宋体"/>
          <w:b/>
          <w:bCs/>
          <w:sz w:val="24"/>
          <w:szCs w:val="24"/>
        </w:rPr>
      </w:pPr>
      <w:r>
        <w:rPr>
          <w:rFonts w:hint="eastAsia" w:hAnsi="宋体" w:cs="宋体"/>
          <w:b/>
          <w:bCs/>
          <w:sz w:val="24"/>
          <w:szCs w:val="24"/>
        </w:rPr>
        <w:t>一、评审依据</w:t>
      </w:r>
    </w:p>
    <w:p w14:paraId="0C3625D6">
      <w:pPr>
        <w:pStyle w:val="7"/>
        <w:spacing w:line="360" w:lineRule="auto"/>
        <w:ind w:firstLine="480" w:firstLineChars="200"/>
        <w:rPr>
          <w:rFonts w:hAnsi="宋体" w:cs="宋体"/>
          <w:bCs/>
          <w:sz w:val="24"/>
          <w:szCs w:val="22"/>
        </w:rPr>
      </w:pPr>
      <w:r>
        <w:rPr>
          <w:rFonts w:hint="eastAsia" w:hAnsi="宋体" w:cs="宋体"/>
          <w:bCs/>
          <w:sz w:val="24"/>
          <w:szCs w:val="22"/>
        </w:rPr>
        <w:t>1. 评审依据：谈判小组以谈判文件和响应文件为评审依据。</w:t>
      </w:r>
    </w:p>
    <w:p w14:paraId="3EAC12B6">
      <w:pPr>
        <w:pStyle w:val="7"/>
        <w:spacing w:line="360" w:lineRule="auto"/>
        <w:ind w:firstLine="480" w:firstLineChars="200"/>
        <w:rPr>
          <w:rFonts w:hAnsi="宋体" w:cs="宋体"/>
          <w:bCs/>
          <w:sz w:val="24"/>
          <w:szCs w:val="22"/>
        </w:rPr>
      </w:pPr>
      <w:r>
        <w:rPr>
          <w:rFonts w:hint="eastAsia" w:hAnsi="宋体" w:cs="宋体"/>
          <w:bCs/>
          <w:sz w:val="24"/>
          <w:szCs w:val="22"/>
        </w:rPr>
        <w:t>2. 根据财库〔2012〕69号文规定，采购人和采购代理机构、竞争性谈判小组成员要严格遵守政府采购相关法律制度，依法履行各自职责，公正、客观、审慎地组织和参与评审工作。</w:t>
      </w:r>
    </w:p>
    <w:p w14:paraId="48C1BC92">
      <w:pPr>
        <w:pStyle w:val="7"/>
        <w:spacing w:line="360" w:lineRule="auto"/>
        <w:ind w:firstLine="482" w:firstLineChars="200"/>
        <w:rPr>
          <w:rFonts w:hAnsi="宋体" w:cs="宋体"/>
          <w:b/>
          <w:bCs/>
          <w:sz w:val="24"/>
          <w:szCs w:val="24"/>
        </w:rPr>
      </w:pPr>
      <w:r>
        <w:rPr>
          <w:rFonts w:hint="eastAsia" w:hAnsi="宋体" w:cs="宋体"/>
          <w:b/>
          <w:bCs/>
          <w:sz w:val="24"/>
          <w:szCs w:val="24"/>
        </w:rPr>
        <w:t>二、评审办法</w:t>
      </w:r>
    </w:p>
    <w:p w14:paraId="678654DC">
      <w:pPr>
        <w:pStyle w:val="7"/>
        <w:spacing w:line="360" w:lineRule="auto"/>
        <w:ind w:firstLine="420"/>
        <w:rPr>
          <w:rFonts w:hAnsi="宋体" w:cs="宋体"/>
          <w:kern w:val="0"/>
          <w:sz w:val="24"/>
          <w:szCs w:val="24"/>
        </w:rPr>
      </w:pPr>
      <w:r>
        <w:rPr>
          <w:rFonts w:hint="eastAsia" w:hAnsi="宋体" w:cs="宋体"/>
          <w:kern w:val="0"/>
          <w:sz w:val="24"/>
          <w:szCs w:val="24"/>
        </w:rPr>
        <w:t>1. 谈判小组应当从质量和服务均能满足竞争性谈判文件全部实质性响应要求的供应商中，按照评审第二次有效报价由低到高顺序提出3名以上（含3名）成交候选人。</w:t>
      </w:r>
    </w:p>
    <w:p w14:paraId="120E5841">
      <w:pPr>
        <w:pStyle w:val="7"/>
        <w:spacing w:line="360" w:lineRule="auto"/>
        <w:ind w:firstLine="480" w:firstLineChars="200"/>
        <w:rPr>
          <w:rFonts w:hAnsi="宋体" w:cs="宋体"/>
          <w:kern w:val="0"/>
          <w:sz w:val="24"/>
          <w:szCs w:val="24"/>
        </w:rPr>
      </w:pPr>
      <w:r>
        <w:rPr>
          <w:rFonts w:hint="eastAsia" w:hAnsi="宋体" w:cs="宋体"/>
          <w:kern w:val="0"/>
          <w:sz w:val="24"/>
          <w:szCs w:val="24"/>
        </w:rPr>
        <w:t>2. 按照《政府采购促进中小企业发展管理办法》（财库[2020]46号）、《关于进一步加大政府采购支持中小企业力度的通知》（财库[2022] 19号）、《关于政府采购支持监狱企业发展有关问题的通知》（财库[2014] 68号）、《关于促进残疾人就业政府采购政策的通知》（财库[2017] 141号）等国家文件最新规定：</w:t>
      </w:r>
    </w:p>
    <w:p w14:paraId="4FDEC52C">
      <w:pPr>
        <w:pStyle w:val="7"/>
        <w:spacing w:line="360" w:lineRule="auto"/>
        <w:ind w:firstLine="480" w:firstLineChars="200"/>
        <w:rPr>
          <w:rFonts w:hAnsi="宋体" w:cs="宋体"/>
          <w:sz w:val="24"/>
          <w:szCs w:val="22"/>
        </w:rPr>
      </w:pPr>
      <w:r>
        <w:rPr>
          <w:rFonts w:hint="eastAsia" w:hAnsi="宋体" w:cs="宋体"/>
          <w:sz w:val="24"/>
          <w:szCs w:val="22"/>
        </w:rPr>
        <w:t>（1）评审报价=最后报价（第二次有效报价）。</w:t>
      </w:r>
    </w:p>
    <w:p w14:paraId="2B6602EE">
      <w:pPr>
        <w:pStyle w:val="7"/>
        <w:spacing w:line="360" w:lineRule="auto"/>
        <w:ind w:firstLine="480" w:firstLineChars="200"/>
        <w:rPr>
          <w:rFonts w:hint="eastAsia" w:hAnsi="宋体" w:eastAsia="宋体" w:cs="宋体"/>
          <w:bCs/>
          <w:sz w:val="24"/>
          <w:szCs w:val="22"/>
          <w:lang w:val="en-US" w:eastAsia="zh-CN"/>
        </w:rPr>
      </w:pPr>
      <w:r>
        <w:rPr>
          <w:rFonts w:hint="eastAsia" w:hAnsi="宋体" w:cs="宋体"/>
          <w:bCs/>
          <w:color w:val="auto"/>
          <w:sz w:val="24"/>
          <w:szCs w:val="22"/>
        </w:rPr>
        <w:t>注：①供应商</w:t>
      </w:r>
      <w:r>
        <w:rPr>
          <w:rFonts w:hint="eastAsia" w:hAnsi="宋体" w:cs="宋体"/>
          <w:bCs/>
          <w:color w:val="auto"/>
          <w:sz w:val="24"/>
          <w:szCs w:val="22"/>
          <w:lang w:eastAsia="zh-CN"/>
        </w:rPr>
        <w:t>为</w:t>
      </w:r>
      <w:r>
        <w:rPr>
          <w:rFonts w:hint="eastAsia" w:hAnsi="宋体" w:cs="宋体"/>
          <w:bCs/>
          <w:color w:val="auto"/>
          <w:sz w:val="24"/>
          <w:szCs w:val="22"/>
        </w:rPr>
        <w:t>小型、微型企业的，视同为中型企业。②</w:t>
      </w:r>
      <w:r>
        <w:rPr>
          <w:rFonts w:hint="eastAsia" w:hAnsi="宋体" w:cs="宋体"/>
          <w:bCs/>
          <w:color w:val="auto"/>
          <w:kern w:val="0"/>
          <w:sz w:val="24"/>
          <w:szCs w:val="24"/>
        </w:rPr>
        <w:t>谈判小组应当按扣除后的报价由低到高进行排序，该扣除后报价仅作为评审报价排序，不作为合同签订报价，合同将按实际最后报价签订</w:t>
      </w:r>
      <w:r>
        <w:rPr>
          <w:rFonts w:hint="eastAsia" w:hAnsi="宋体" w:cs="宋体"/>
          <w:bCs/>
          <w:color w:val="auto"/>
          <w:kern w:val="0"/>
          <w:sz w:val="24"/>
          <w:szCs w:val="24"/>
          <w:lang w:eastAsia="zh-CN"/>
        </w:rPr>
        <w:t>。</w:t>
      </w:r>
    </w:p>
    <w:p w14:paraId="6118CF42">
      <w:pPr>
        <w:pStyle w:val="7"/>
        <w:spacing w:line="360" w:lineRule="auto"/>
        <w:ind w:firstLine="470" w:firstLineChars="196"/>
        <w:rPr>
          <w:rFonts w:hAnsi="宋体" w:cs="宋体"/>
          <w:bCs/>
          <w:sz w:val="24"/>
          <w:szCs w:val="22"/>
        </w:rPr>
      </w:pPr>
      <w:r>
        <w:rPr>
          <w:rFonts w:hint="eastAsia" w:hAnsi="宋体" w:cs="宋体"/>
          <w:bCs/>
          <w:sz w:val="24"/>
          <w:szCs w:val="24"/>
          <w:lang w:val="en-US" w:eastAsia="zh-CN"/>
        </w:rPr>
        <w:t>3</w:t>
      </w:r>
      <w:r>
        <w:rPr>
          <w:rFonts w:hint="eastAsia" w:hAnsi="宋体" w:cs="宋体"/>
          <w:bCs/>
          <w:sz w:val="24"/>
          <w:szCs w:val="24"/>
        </w:rPr>
        <w:t>. 评审时，</w:t>
      </w:r>
      <w:r>
        <w:rPr>
          <w:rFonts w:hint="eastAsia" w:hAnsi="宋体" w:cs="宋体"/>
          <w:bCs/>
          <w:sz w:val="24"/>
          <w:szCs w:val="22"/>
        </w:rPr>
        <w:t>应当将通过资格性审查和符合性审查各供应商的评审报价，按照</w:t>
      </w:r>
      <w:r>
        <w:rPr>
          <w:rFonts w:hint="eastAsia" w:hAnsi="宋体" w:cs="宋体"/>
          <w:bCs/>
          <w:kern w:val="0"/>
          <w:sz w:val="24"/>
          <w:szCs w:val="24"/>
        </w:rPr>
        <w:t>由低到高顺序排序，</w:t>
      </w:r>
      <w:r>
        <w:rPr>
          <w:rFonts w:hint="eastAsia" w:hAnsi="宋体" w:cs="宋体"/>
          <w:bCs/>
          <w:sz w:val="24"/>
          <w:szCs w:val="22"/>
        </w:rPr>
        <w:t>当评审报价相同时，以最后第二次报价低的优先排序；当最后报价相同时，采用抽签方式决定排序。</w:t>
      </w:r>
    </w:p>
    <w:p w14:paraId="17D1C970">
      <w:pPr>
        <w:pStyle w:val="7"/>
        <w:spacing w:line="360" w:lineRule="auto"/>
        <w:ind w:firstLine="470" w:firstLineChars="196"/>
        <w:rPr>
          <w:rFonts w:hAnsi="宋体" w:cs="宋体"/>
          <w:bCs/>
          <w:sz w:val="24"/>
          <w:szCs w:val="22"/>
        </w:rPr>
      </w:pPr>
      <w:r>
        <w:rPr>
          <w:rFonts w:hint="eastAsia" w:hAnsi="宋体" w:cs="宋体"/>
          <w:bCs/>
          <w:sz w:val="24"/>
          <w:szCs w:val="22"/>
          <w:lang w:val="en-US" w:eastAsia="zh-CN"/>
        </w:rPr>
        <w:t>4</w:t>
      </w:r>
      <w:r>
        <w:rPr>
          <w:rFonts w:hint="eastAsia" w:hAnsi="宋体" w:cs="宋体"/>
          <w:bCs/>
          <w:sz w:val="24"/>
          <w:szCs w:val="22"/>
        </w:rPr>
        <w:t>、中华人民共和国财政部令第87号《政府采购货物和服务招标投标管理办法》，采用最低评标价法的采购项目，提供相同品牌产品的不同供应商参加同一合同项下投标的，以其中通过资格审查、符合性审查且报价最低的参加评标；报价相同的，由采购人或者采购人委托评标委员会按照</w:t>
      </w:r>
      <w:r>
        <w:rPr>
          <w:rFonts w:hint="eastAsia" w:hAnsi="宋体" w:cs="宋体"/>
          <w:bCs/>
          <w:sz w:val="24"/>
          <w:szCs w:val="22"/>
          <w:lang w:eastAsia="zh-CN"/>
        </w:rPr>
        <w:t>谈判</w:t>
      </w:r>
      <w:r>
        <w:rPr>
          <w:rFonts w:hint="eastAsia" w:hAnsi="宋体" w:cs="宋体"/>
          <w:bCs/>
          <w:sz w:val="24"/>
          <w:szCs w:val="22"/>
        </w:rPr>
        <w:t>文件规定的方式确定一个参加评标的供应商，</w:t>
      </w:r>
      <w:r>
        <w:rPr>
          <w:rFonts w:hint="eastAsia" w:hAnsi="宋体" w:cs="宋体"/>
          <w:bCs/>
          <w:sz w:val="24"/>
          <w:szCs w:val="22"/>
          <w:lang w:eastAsia="zh-CN"/>
        </w:rPr>
        <w:t>谈判</w:t>
      </w:r>
      <w:r>
        <w:rPr>
          <w:rFonts w:hint="eastAsia" w:hAnsi="宋体" w:cs="宋体"/>
          <w:bCs/>
          <w:sz w:val="24"/>
          <w:szCs w:val="22"/>
        </w:rPr>
        <w:t>文件未规定的采取随机抽取方式确定，其他投标无效。</w:t>
      </w:r>
    </w:p>
    <w:p w14:paraId="7FE185A8">
      <w:pPr>
        <w:pStyle w:val="7"/>
        <w:spacing w:line="360" w:lineRule="auto"/>
        <w:ind w:firstLine="480" w:firstLineChars="200"/>
        <w:rPr>
          <w:rFonts w:hAnsi="宋体" w:cs="宋体"/>
          <w:bCs/>
          <w:sz w:val="24"/>
          <w:szCs w:val="24"/>
        </w:rPr>
      </w:pPr>
      <w:r>
        <w:rPr>
          <w:rFonts w:hint="eastAsia" w:hAnsi="宋体" w:cs="宋体"/>
          <w:bCs/>
          <w:sz w:val="24"/>
          <w:szCs w:val="24"/>
        </w:rPr>
        <w:t>三、成交候选人推荐原则</w:t>
      </w:r>
    </w:p>
    <w:p w14:paraId="47074561">
      <w:pPr>
        <w:pStyle w:val="7"/>
        <w:tabs>
          <w:tab w:val="left" w:pos="4214"/>
        </w:tabs>
        <w:spacing w:line="360" w:lineRule="auto"/>
        <w:ind w:firstLine="480" w:firstLineChars="200"/>
        <w:rPr>
          <w:rFonts w:hAnsi="宋体" w:cs="宋体"/>
          <w:sz w:val="24"/>
          <w:szCs w:val="24"/>
        </w:rPr>
      </w:pPr>
      <w:r>
        <w:rPr>
          <w:rFonts w:hint="eastAsia" w:hAnsi="宋体" w:cs="宋体"/>
          <w:sz w:val="24"/>
          <w:szCs w:val="24"/>
        </w:rPr>
        <w:t>（1）采购单位应当确定谈判小组推荐排名第一的成交候选人为成交供应商。</w:t>
      </w:r>
    </w:p>
    <w:p w14:paraId="3D79DF1A">
      <w:pPr>
        <w:pStyle w:val="7"/>
        <w:spacing w:line="360" w:lineRule="auto"/>
        <w:ind w:firstLine="511" w:firstLineChars="213"/>
        <w:rPr>
          <w:rFonts w:hAnsi="宋体" w:cs="宋体"/>
          <w:sz w:val="24"/>
          <w:szCs w:val="24"/>
        </w:rPr>
      </w:pPr>
      <w:r>
        <w:rPr>
          <w:rFonts w:hint="eastAsia" w:hAnsi="宋体" w:cs="宋体"/>
          <w:sz w:val="24"/>
          <w:szCs w:val="24"/>
        </w:rPr>
        <w:t>（2）排名第一的成交候选人放弃成交、因不可抗力提出不能履行合同，或者竞争性谈判文件规定应当提交履约保证金而在规定的期限内未能提交的，采购单位可以确定排名第二的成交候选人为成交供应商。</w:t>
      </w:r>
    </w:p>
    <w:p w14:paraId="27151ACE">
      <w:pPr>
        <w:pStyle w:val="7"/>
        <w:spacing w:line="360" w:lineRule="auto"/>
        <w:ind w:firstLine="480" w:firstLineChars="200"/>
        <w:rPr>
          <w:rFonts w:hAnsi="宋体" w:cs="宋体"/>
          <w:sz w:val="24"/>
          <w:szCs w:val="24"/>
        </w:rPr>
      </w:pPr>
      <w:r>
        <w:rPr>
          <w:rFonts w:hint="eastAsia" w:hAnsi="宋体" w:cs="宋体"/>
          <w:sz w:val="24"/>
          <w:szCs w:val="24"/>
        </w:rPr>
        <w:t>（3）排名第二的成交候选人因前款规定的同样原因不能签订合同的，采购单位可以确定排名第三的成交候选人为成交供应商。</w:t>
      </w:r>
    </w:p>
    <w:p w14:paraId="488EABD0">
      <w:pPr>
        <w:pStyle w:val="4"/>
        <w:spacing w:line="360" w:lineRule="auto"/>
        <w:ind w:left="0" w:leftChars="0"/>
        <w:rPr>
          <w:rFonts w:ascii="宋体" w:hAnsi="宋体" w:cs="宋体"/>
          <w:sz w:val="24"/>
          <w:szCs w:val="24"/>
        </w:rPr>
      </w:pPr>
      <w:r>
        <w:rPr>
          <w:rFonts w:hint="eastAsia" w:ascii="宋体" w:hAnsi="宋体" w:cs="宋体"/>
          <w:sz w:val="24"/>
          <w:szCs w:val="24"/>
        </w:rPr>
        <w:t xml:space="preserve">     （4）采购人也可重新招标。</w:t>
      </w:r>
    </w:p>
    <w:p w14:paraId="050CBC41">
      <w:pPr>
        <w:pStyle w:val="7"/>
        <w:spacing w:line="360" w:lineRule="auto"/>
        <w:ind w:firstLine="482" w:firstLineChars="200"/>
        <w:rPr>
          <w:rFonts w:hAnsi="宋体" w:cs="宋体"/>
          <w:b/>
          <w:bCs/>
          <w:sz w:val="24"/>
          <w:szCs w:val="24"/>
        </w:rPr>
      </w:pPr>
      <w:r>
        <w:rPr>
          <w:rFonts w:hint="eastAsia" w:hAnsi="宋体" w:cs="宋体"/>
          <w:b/>
          <w:bCs/>
          <w:sz w:val="24"/>
          <w:szCs w:val="24"/>
        </w:rPr>
        <w:t>三、否绝投标</w:t>
      </w:r>
      <w:bookmarkStart w:id="36" w:name="_Toc231873587"/>
      <w:bookmarkStart w:id="37" w:name="_Toc252705915"/>
      <w:r>
        <w:rPr>
          <w:rFonts w:hint="eastAsia" w:hAnsi="宋体" w:cs="宋体"/>
          <w:b/>
          <w:bCs/>
          <w:sz w:val="24"/>
          <w:szCs w:val="24"/>
        </w:rPr>
        <w:t>情形</w:t>
      </w:r>
    </w:p>
    <w:bookmarkEnd w:id="36"/>
    <w:bookmarkEnd w:id="37"/>
    <w:p w14:paraId="59A6F5DE">
      <w:pPr>
        <w:spacing w:line="360" w:lineRule="auto"/>
        <w:ind w:firstLine="480" w:firstLineChars="200"/>
        <w:rPr>
          <w:rFonts w:ascii="宋体" w:hAnsi="宋体" w:cs="宋体"/>
          <w:sz w:val="24"/>
          <w:szCs w:val="36"/>
        </w:rPr>
      </w:pPr>
      <w:r>
        <w:rPr>
          <w:rFonts w:hint="eastAsia" w:ascii="宋体" w:hAnsi="宋体" w:cs="宋体"/>
          <w:sz w:val="24"/>
          <w:szCs w:val="36"/>
        </w:rPr>
        <w:t>3.1除谈判文件另有规定，供应商存在下列情况之一的，投标无效：</w:t>
      </w:r>
    </w:p>
    <w:p w14:paraId="1498EAA9">
      <w:pPr>
        <w:numPr>
          <w:ilvl w:val="0"/>
          <w:numId w:val="2"/>
        </w:numPr>
        <w:spacing w:line="360" w:lineRule="auto"/>
        <w:ind w:firstLine="480" w:firstLineChars="200"/>
        <w:rPr>
          <w:rFonts w:ascii="宋体" w:hAnsi="宋体" w:cs="宋体"/>
          <w:sz w:val="24"/>
          <w:szCs w:val="36"/>
        </w:rPr>
      </w:pPr>
      <w:r>
        <w:rPr>
          <w:rFonts w:hint="eastAsia" w:ascii="宋体" w:hAnsi="宋体" w:cs="宋体"/>
          <w:sz w:val="24"/>
          <w:szCs w:val="36"/>
        </w:rPr>
        <w:t>未按谈判文件编制要求进行编制响应文件和签字、盖章的；</w:t>
      </w:r>
    </w:p>
    <w:p w14:paraId="4A98B601">
      <w:pPr>
        <w:spacing w:line="360" w:lineRule="auto"/>
        <w:ind w:firstLine="480" w:firstLineChars="200"/>
        <w:rPr>
          <w:rFonts w:ascii="宋体" w:hAnsi="宋体" w:cs="宋体"/>
          <w:sz w:val="24"/>
          <w:szCs w:val="36"/>
        </w:rPr>
      </w:pPr>
      <w:r>
        <w:rPr>
          <w:rFonts w:hint="eastAsia" w:ascii="宋体" w:hAnsi="宋体" w:cs="宋体"/>
          <w:sz w:val="24"/>
          <w:szCs w:val="36"/>
        </w:rPr>
        <w:t>（2）响应文件未按谈判文件要求编制填写、签字盖章，或内容不全、字迹模糊、难以辨认的；</w:t>
      </w:r>
    </w:p>
    <w:p w14:paraId="7E3B17A7">
      <w:pPr>
        <w:spacing w:line="360" w:lineRule="auto"/>
        <w:ind w:firstLine="480" w:firstLineChars="200"/>
        <w:rPr>
          <w:rFonts w:ascii="宋体" w:hAnsi="宋体" w:cs="宋体"/>
          <w:sz w:val="24"/>
          <w:szCs w:val="36"/>
        </w:rPr>
      </w:pPr>
      <w:r>
        <w:rPr>
          <w:rFonts w:hint="eastAsia" w:ascii="宋体" w:hAnsi="宋体" w:cs="宋体"/>
          <w:sz w:val="24"/>
          <w:szCs w:val="36"/>
        </w:rPr>
        <w:t>（3）供应商不符合资格条件或未按谈判文件规定提供资格证明文件的；</w:t>
      </w:r>
    </w:p>
    <w:p w14:paraId="2C10BE15">
      <w:pPr>
        <w:spacing w:line="360" w:lineRule="auto"/>
        <w:ind w:firstLine="480" w:firstLineChars="200"/>
        <w:rPr>
          <w:rFonts w:ascii="宋体" w:hAnsi="宋体" w:cs="宋体"/>
          <w:sz w:val="24"/>
          <w:szCs w:val="36"/>
        </w:rPr>
      </w:pPr>
      <w:r>
        <w:rPr>
          <w:rFonts w:hint="eastAsia" w:ascii="宋体" w:hAnsi="宋体" w:cs="宋体"/>
          <w:sz w:val="24"/>
          <w:szCs w:val="36"/>
        </w:rPr>
        <w:t>（4）未能实质性响应谈判文件商务和技术要求的；</w:t>
      </w:r>
    </w:p>
    <w:p w14:paraId="3F3798D8">
      <w:pPr>
        <w:spacing w:line="360" w:lineRule="auto"/>
        <w:ind w:firstLine="480" w:firstLineChars="200"/>
        <w:rPr>
          <w:rFonts w:ascii="宋体" w:hAnsi="宋体" w:cs="宋体"/>
          <w:sz w:val="24"/>
          <w:szCs w:val="36"/>
        </w:rPr>
      </w:pPr>
      <w:r>
        <w:rPr>
          <w:rFonts w:hint="eastAsia" w:ascii="宋体" w:hAnsi="宋体" w:cs="宋体"/>
          <w:sz w:val="24"/>
          <w:szCs w:val="36"/>
        </w:rPr>
        <w:t>（5）投标有效期不足的或未响应的；</w:t>
      </w:r>
    </w:p>
    <w:p w14:paraId="7EBA9A6A">
      <w:pPr>
        <w:spacing w:line="360" w:lineRule="auto"/>
        <w:ind w:firstLine="480" w:firstLineChars="200"/>
        <w:rPr>
          <w:rFonts w:ascii="宋体" w:hAnsi="宋体" w:cs="宋体"/>
          <w:sz w:val="24"/>
          <w:szCs w:val="36"/>
        </w:rPr>
      </w:pPr>
      <w:r>
        <w:rPr>
          <w:rFonts w:hint="eastAsia" w:ascii="宋体" w:hAnsi="宋体" w:cs="宋体"/>
          <w:sz w:val="24"/>
          <w:szCs w:val="36"/>
        </w:rPr>
        <w:t>（6）报价货币不是人民币的;</w:t>
      </w:r>
    </w:p>
    <w:p w14:paraId="51392D9B">
      <w:pPr>
        <w:spacing w:line="360" w:lineRule="auto"/>
        <w:ind w:firstLine="480" w:firstLineChars="200"/>
        <w:rPr>
          <w:rFonts w:ascii="宋体" w:hAnsi="宋体" w:cs="宋体"/>
          <w:sz w:val="24"/>
          <w:szCs w:val="36"/>
        </w:rPr>
      </w:pPr>
      <w:r>
        <w:rPr>
          <w:rFonts w:hint="eastAsia" w:ascii="宋体" w:hAnsi="宋体" w:cs="宋体"/>
          <w:sz w:val="24"/>
          <w:szCs w:val="36"/>
        </w:rPr>
        <w:t>（7）报价超过谈判文件中规定的预算金额或者最高限价的；低于供应商成本价格；在规定时间内未作出说明和递交证明材料的；</w:t>
      </w:r>
    </w:p>
    <w:p w14:paraId="20761E5A">
      <w:pPr>
        <w:spacing w:line="360" w:lineRule="auto"/>
        <w:ind w:firstLine="480" w:firstLineChars="200"/>
        <w:rPr>
          <w:rFonts w:ascii="宋体" w:hAnsi="宋体" w:cs="宋体"/>
          <w:sz w:val="24"/>
          <w:szCs w:val="36"/>
        </w:rPr>
      </w:pPr>
      <w:r>
        <w:rPr>
          <w:rFonts w:hint="eastAsia" w:ascii="宋体" w:hAnsi="宋体" w:cs="宋体"/>
          <w:sz w:val="24"/>
          <w:szCs w:val="36"/>
        </w:rPr>
        <w:t>（8）串通投标或弄虚作假或有其他违法行为的；</w:t>
      </w:r>
    </w:p>
    <w:p w14:paraId="06387C26">
      <w:pPr>
        <w:spacing w:line="360" w:lineRule="auto"/>
        <w:ind w:firstLine="480" w:firstLineChars="200"/>
        <w:rPr>
          <w:rFonts w:ascii="宋体" w:hAnsi="宋体" w:cs="宋体"/>
          <w:sz w:val="24"/>
          <w:szCs w:val="36"/>
        </w:rPr>
      </w:pPr>
      <w:r>
        <w:rPr>
          <w:rFonts w:hint="eastAsia" w:ascii="宋体" w:hAnsi="宋体" w:cs="宋体"/>
          <w:sz w:val="24"/>
          <w:szCs w:val="36"/>
        </w:rPr>
        <w:t>（9）未按</w:t>
      </w:r>
      <w:r>
        <w:rPr>
          <w:rFonts w:hint="eastAsia" w:ascii="宋体" w:hAnsi="宋体" w:cs="宋体"/>
          <w:sz w:val="24"/>
          <w:szCs w:val="36"/>
          <w:lang w:eastAsia="zh-CN"/>
        </w:rPr>
        <w:t>谈判</w:t>
      </w:r>
      <w:r>
        <w:rPr>
          <w:rFonts w:hint="eastAsia" w:ascii="宋体" w:hAnsi="宋体" w:cs="宋体"/>
          <w:sz w:val="24"/>
          <w:szCs w:val="36"/>
        </w:rPr>
        <w:t>小组要求澄清、说明或补正的；</w:t>
      </w:r>
    </w:p>
    <w:p w14:paraId="1343F0A5">
      <w:pPr>
        <w:spacing w:line="360" w:lineRule="auto"/>
        <w:ind w:firstLine="480" w:firstLineChars="200"/>
        <w:rPr>
          <w:rFonts w:ascii="宋体" w:hAnsi="宋体" w:cs="宋体"/>
          <w:sz w:val="24"/>
          <w:szCs w:val="36"/>
        </w:rPr>
      </w:pPr>
      <w:r>
        <w:rPr>
          <w:rFonts w:hint="eastAsia" w:ascii="宋体" w:hAnsi="宋体" w:cs="宋体"/>
          <w:sz w:val="24"/>
          <w:szCs w:val="36"/>
        </w:rPr>
        <w:t>（10）未按谈判小组的要求在评审现场合理的时间内提供书面说明（必要时提交相关证明材料），或不能证明其报价合理性的；</w:t>
      </w:r>
    </w:p>
    <w:p w14:paraId="51544999">
      <w:pPr>
        <w:spacing w:line="360" w:lineRule="auto"/>
        <w:ind w:firstLine="480" w:firstLineChars="200"/>
        <w:rPr>
          <w:rFonts w:ascii="宋体" w:hAnsi="宋体" w:cs="宋体"/>
          <w:sz w:val="24"/>
          <w:szCs w:val="36"/>
        </w:rPr>
      </w:pPr>
      <w:r>
        <w:rPr>
          <w:rFonts w:hint="eastAsia" w:ascii="宋体" w:hAnsi="宋体" w:cs="宋体"/>
          <w:sz w:val="24"/>
          <w:szCs w:val="36"/>
        </w:rPr>
        <w:t>（11）未按谈判小组的要求确认修正后的报价的；</w:t>
      </w:r>
    </w:p>
    <w:p w14:paraId="56732C7B">
      <w:pPr>
        <w:spacing w:line="360" w:lineRule="auto"/>
        <w:ind w:firstLine="480" w:firstLineChars="200"/>
        <w:rPr>
          <w:rFonts w:ascii="宋体" w:hAnsi="宋体" w:cs="宋体"/>
          <w:sz w:val="24"/>
          <w:szCs w:val="36"/>
        </w:rPr>
      </w:pPr>
      <w:r>
        <w:rPr>
          <w:rFonts w:hint="eastAsia" w:ascii="宋体" w:hAnsi="宋体" w:cs="宋体"/>
          <w:sz w:val="24"/>
          <w:szCs w:val="36"/>
        </w:rPr>
        <w:t>（12）供应商符合第二章《供应商须知》第8.5.3条任何一种情形的；</w:t>
      </w:r>
    </w:p>
    <w:p w14:paraId="77C018BD">
      <w:pPr>
        <w:spacing w:line="360" w:lineRule="auto"/>
        <w:ind w:firstLine="480" w:firstLineChars="200"/>
        <w:rPr>
          <w:rFonts w:ascii="宋体" w:hAnsi="宋体" w:cs="宋体"/>
          <w:sz w:val="24"/>
          <w:szCs w:val="36"/>
        </w:rPr>
      </w:pPr>
      <w:r>
        <w:rPr>
          <w:rFonts w:hint="eastAsia" w:ascii="宋体" w:hAnsi="宋体" w:cs="宋体"/>
          <w:sz w:val="24"/>
          <w:szCs w:val="36"/>
        </w:rPr>
        <w:t>（13）响应文件含有采购人不能接受的附加条件的；</w:t>
      </w:r>
    </w:p>
    <w:p w14:paraId="01D4B959">
      <w:pPr>
        <w:spacing w:line="360" w:lineRule="auto"/>
        <w:ind w:firstLine="480" w:firstLineChars="200"/>
        <w:rPr>
          <w:rFonts w:ascii="宋体" w:hAnsi="宋体" w:cs="宋体"/>
          <w:sz w:val="24"/>
          <w:szCs w:val="36"/>
        </w:rPr>
      </w:pPr>
      <w:r>
        <w:rPr>
          <w:rFonts w:hint="eastAsia" w:ascii="宋体" w:hAnsi="宋体" w:cs="宋体"/>
          <w:sz w:val="24"/>
          <w:szCs w:val="36"/>
        </w:rPr>
        <w:t>（14）违反国家法律、法规和谈判文件规定的其他无效情形。</w:t>
      </w:r>
    </w:p>
    <w:p w14:paraId="3D497DF4">
      <w:pPr>
        <w:pStyle w:val="27"/>
        <w:spacing w:line="360" w:lineRule="auto"/>
        <w:rPr>
          <w:rFonts w:ascii="宋体" w:hAnsi="宋体" w:cs="宋体"/>
          <w:sz w:val="24"/>
          <w:szCs w:val="32"/>
        </w:rPr>
      </w:pPr>
      <w:r>
        <w:rPr>
          <w:rFonts w:hint="eastAsia" w:ascii="宋体" w:hAnsi="宋体" w:cs="宋体"/>
          <w:sz w:val="24"/>
          <w:szCs w:val="36"/>
        </w:rPr>
        <w:t>（15）谈判文件给出的“响应文件格式”中要求签字或盖章未响应的或随意更改响应文件格式的（包含签字处不允许盖章或盖章处不允许签字的情形）。</w:t>
      </w:r>
    </w:p>
    <w:p w14:paraId="7C711D69">
      <w:pPr>
        <w:spacing w:line="360" w:lineRule="auto"/>
        <w:ind w:firstLine="480" w:firstLineChars="200"/>
        <w:rPr>
          <w:rFonts w:ascii="宋体" w:hAnsi="宋体" w:cs="宋体"/>
          <w:sz w:val="24"/>
          <w:szCs w:val="36"/>
        </w:rPr>
      </w:pPr>
      <w:r>
        <w:rPr>
          <w:rFonts w:hint="eastAsia" w:ascii="宋体" w:hAnsi="宋体" w:cs="宋体"/>
          <w:sz w:val="24"/>
          <w:szCs w:val="36"/>
        </w:rPr>
        <w:t>3.2有下列情形之一的，视为供应商串通投标，其投标无效：</w:t>
      </w:r>
    </w:p>
    <w:p w14:paraId="5623A069">
      <w:pPr>
        <w:spacing w:line="360" w:lineRule="auto"/>
        <w:ind w:firstLine="480" w:firstLineChars="200"/>
        <w:rPr>
          <w:rFonts w:ascii="宋体" w:hAnsi="宋体" w:cs="宋体"/>
          <w:sz w:val="24"/>
          <w:szCs w:val="36"/>
        </w:rPr>
      </w:pPr>
      <w:r>
        <w:rPr>
          <w:rFonts w:hint="eastAsia" w:ascii="宋体" w:hAnsi="宋体" w:cs="宋体"/>
          <w:sz w:val="24"/>
          <w:szCs w:val="36"/>
        </w:rPr>
        <w:t>（1）不同供应商的响应文件由同一单位或者个人编制；</w:t>
      </w:r>
    </w:p>
    <w:p w14:paraId="57C37D09">
      <w:pPr>
        <w:spacing w:line="360" w:lineRule="auto"/>
        <w:ind w:firstLine="480" w:firstLineChars="200"/>
        <w:rPr>
          <w:rFonts w:ascii="宋体" w:hAnsi="宋体" w:cs="宋体"/>
          <w:sz w:val="24"/>
          <w:szCs w:val="36"/>
        </w:rPr>
      </w:pPr>
      <w:r>
        <w:rPr>
          <w:rFonts w:hint="eastAsia" w:ascii="宋体" w:hAnsi="宋体" w:cs="宋体"/>
          <w:sz w:val="24"/>
          <w:szCs w:val="36"/>
        </w:rPr>
        <w:t>（2）不同供应商委托同一单位或者个人办理投标事宜；</w:t>
      </w:r>
    </w:p>
    <w:p w14:paraId="0336F995">
      <w:pPr>
        <w:spacing w:line="360" w:lineRule="auto"/>
        <w:ind w:firstLine="480" w:firstLineChars="200"/>
        <w:rPr>
          <w:rFonts w:ascii="宋体" w:hAnsi="宋体" w:cs="宋体"/>
          <w:sz w:val="24"/>
          <w:szCs w:val="36"/>
        </w:rPr>
      </w:pPr>
      <w:r>
        <w:rPr>
          <w:rFonts w:hint="eastAsia" w:ascii="宋体" w:hAnsi="宋体" w:cs="宋体"/>
          <w:sz w:val="24"/>
          <w:szCs w:val="36"/>
        </w:rPr>
        <w:t>（3）不同供应商的响应文件载明的项目管理成员或者联系人员为同一人；</w:t>
      </w:r>
    </w:p>
    <w:p w14:paraId="064DC8D4">
      <w:pPr>
        <w:spacing w:line="360" w:lineRule="auto"/>
        <w:ind w:firstLine="480" w:firstLineChars="200"/>
        <w:rPr>
          <w:rFonts w:ascii="宋体" w:hAnsi="宋体" w:cs="宋体"/>
          <w:sz w:val="24"/>
          <w:szCs w:val="36"/>
        </w:rPr>
      </w:pPr>
      <w:r>
        <w:rPr>
          <w:rFonts w:hint="eastAsia" w:ascii="宋体" w:hAnsi="宋体" w:cs="宋体"/>
          <w:sz w:val="24"/>
          <w:szCs w:val="36"/>
        </w:rPr>
        <w:t>（4）不同供应商的响应文件异常一致或出现相同打印IP地址或报价呈规律性差异；</w:t>
      </w:r>
    </w:p>
    <w:p w14:paraId="5508674C">
      <w:pPr>
        <w:spacing w:line="360" w:lineRule="auto"/>
        <w:ind w:firstLine="480" w:firstLineChars="200"/>
        <w:rPr>
          <w:rFonts w:ascii="宋体" w:hAnsi="宋体" w:cs="宋体"/>
          <w:sz w:val="24"/>
          <w:szCs w:val="36"/>
        </w:rPr>
      </w:pPr>
      <w:r>
        <w:rPr>
          <w:rFonts w:hint="eastAsia" w:ascii="宋体" w:hAnsi="宋体" w:cs="宋体"/>
          <w:sz w:val="24"/>
          <w:szCs w:val="36"/>
        </w:rPr>
        <w:t>（5）不同供应商的响应文件相互混装；</w:t>
      </w:r>
    </w:p>
    <w:p w14:paraId="075815B2">
      <w:pPr>
        <w:spacing w:line="360" w:lineRule="auto"/>
        <w:ind w:firstLine="480" w:firstLineChars="200"/>
        <w:rPr>
          <w:rFonts w:ascii="宋体" w:hAnsi="宋体" w:cs="宋体"/>
          <w:sz w:val="24"/>
          <w:szCs w:val="36"/>
        </w:rPr>
      </w:pPr>
      <w:r>
        <w:rPr>
          <w:rFonts w:hint="eastAsia" w:ascii="宋体" w:hAnsi="宋体" w:cs="宋体"/>
          <w:sz w:val="24"/>
          <w:szCs w:val="36"/>
        </w:rPr>
        <w:t>（6）不同供应商的谈判保证金从同一单位或者个人的账户转出。</w:t>
      </w:r>
    </w:p>
    <w:p w14:paraId="1B33A9BD">
      <w:pPr>
        <w:spacing w:line="360" w:lineRule="auto"/>
        <w:rPr>
          <w:rFonts w:ascii="宋体" w:hAnsi="宋体" w:cs="宋体"/>
          <w:sz w:val="24"/>
          <w:szCs w:val="32"/>
        </w:rPr>
      </w:pPr>
    </w:p>
    <w:p w14:paraId="5CE208BB">
      <w:pPr>
        <w:pStyle w:val="7"/>
        <w:spacing w:line="360" w:lineRule="auto"/>
        <w:ind w:firstLine="480" w:firstLineChars="200"/>
        <w:rPr>
          <w:rFonts w:hAnsi="宋体" w:cs="宋体"/>
          <w:sz w:val="24"/>
          <w:szCs w:val="24"/>
        </w:rPr>
      </w:pPr>
    </w:p>
    <w:p w14:paraId="3C8BFE06">
      <w:pPr>
        <w:pStyle w:val="7"/>
        <w:spacing w:line="400" w:lineRule="exact"/>
        <w:ind w:left="309" w:leftChars="147"/>
        <w:rPr>
          <w:rFonts w:hAnsi="宋体" w:cs="宋体"/>
        </w:rPr>
      </w:pPr>
    </w:p>
    <w:p w14:paraId="3585DAF4">
      <w:pPr>
        <w:pStyle w:val="2"/>
        <w:numPr>
          <w:ilvl w:val="0"/>
          <w:numId w:val="1"/>
        </w:numPr>
        <w:spacing w:line="0" w:lineRule="atLeast"/>
        <w:ind w:left="0" w:leftChars="0" w:firstLine="0" w:firstLineChars="0"/>
        <w:jc w:val="center"/>
        <w:rPr>
          <w:rFonts w:hint="eastAsia" w:ascii="宋体" w:hAnsi="宋体" w:cs="宋体"/>
          <w:sz w:val="28"/>
          <w:szCs w:val="28"/>
        </w:rPr>
      </w:pPr>
      <w:bookmarkStart w:id="38" w:name="_Toc432264369"/>
      <w:bookmarkStart w:id="39" w:name="_Toc432277441"/>
      <w:r>
        <w:rPr>
          <w:rFonts w:hint="eastAsia" w:ascii="宋体" w:hAnsi="宋体" w:cs="宋体"/>
          <w:sz w:val="28"/>
          <w:szCs w:val="28"/>
        </w:rPr>
        <w:br w:type="page"/>
      </w:r>
      <w:bookmarkStart w:id="40" w:name="_Toc20340"/>
      <w:bookmarkStart w:id="41" w:name="_Toc455565645"/>
      <w:r>
        <w:rPr>
          <w:rFonts w:hint="eastAsia" w:ascii="宋体" w:hAnsi="宋体" w:cs="宋体"/>
          <w:sz w:val="28"/>
          <w:szCs w:val="28"/>
        </w:rPr>
        <w:t xml:space="preserve"> 合同主要条款及格式</w:t>
      </w:r>
      <w:bookmarkEnd w:id="38"/>
      <w:bookmarkEnd w:id="39"/>
      <w:bookmarkEnd w:id="40"/>
      <w:bookmarkEnd w:id="41"/>
    </w:p>
    <w:p w14:paraId="340E607D">
      <w:pPr>
        <w:numPr>
          <w:ilvl w:val="0"/>
          <w:numId w:val="0"/>
        </w:numPr>
        <w:ind w:leftChars="0"/>
        <w:rPr>
          <w:rFonts w:hint="default" w:eastAsia="宋体"/>
          <w:lang w:val="en-US" w:eastAsia="zh-CN"/>
        </w:rPr>
      </w:pPr>
      <w:r>
        <w:rPr>
          <w:rFonts w:hint="eastAsia"/>
          <w:lang w:val="en-US" w:eastAsia="zh-CN"/>
        </w:rPr>
        <w:t>以实际签订合同为准。</w:t>
      </w:r>
    </w:p>
    <w:p w14:paraId="611CF4AF">
      <w:pPr>
        <w:pStyle w:val="5"/>
        <w:spacing w:after="0"/>
        <w:jc w:val="center"/>
        <w:rPr>
          <w:rFonts w:ascii="宋体" w:hAnsi="宋体" w:cs="宋体"/>
          <w:b/>
          <w:bCs/>
          <w:spacing w:val="-20"/>
          <w:kern w:val="44"/>
          <w:sz w:val="48"/>
          <w:szCs w:val="48"/>
        </w:rPr>
      </w:pPr>
      <w:bookmarkStart w:id="42" w:name="_Toc3995"/>
    </w:p>
    <w:p w14:paraId="7C62071D">
      <w:pPr>
        <w:pStyle w:val="5"/>
        <w:spacing w:after="0"/>
        <w:jc w:val="center"/>
        <w:rPr>
          <w:rFonts w:ascii="宋体" w:hAnsi="宋体" w:cs="宋体"/>
          <w:b/>
          <w:bCs/>
          <w:spacing w:val="-20"/>
          <w:kern w:val="44"/>
          <w:sz w:val="48"/>
          <w:szCs w:val="48"/>
        </w:rPr>
      </w:pPr>
    </w:p>
    <w:bookmarkEnd w:id="42"/>
    <w:p w14:paraId="520AA604">
      <w:pPr>
        <w:spacing w:before="1" w:line="180" w:lineRule="exact"/>
        <w:ind w:left="935"/>
        <w:jc w:val="left"/>
        <w:rPr>
          <w:rFonts w:ascii="宋体" w:hAnsi="宋体" w:cs="宋体"/>
        </w:rPr>
      </w:pPr>
      <w:r>
        <w:rPr>
          <w:rStyle w:val="28"/>
          <w:rFonts w:hint="eastAsia" w:ascii="宋体" w:hAnsi="宋体" w:cs="宋体"/>
          <w:bCs/>
          <w:sz w:val="48"/>
          <w:szCs w:val="48"/>
        </w:rPr>
        <w:br w:type="page"/>
      </w:r>
      <w:bookmarkStart w:id="43" w:name="_Toc432264370"/>
      <w:bookmarkStart w:id="44" w:name="_Toc455565646"/>
      <w:bookmarkStart w:id="45" w:name="_Toc432277442"/>
    </w:p>
    <w:p w14:paraId="10348DC7">
      <w:pPr>
        <w:pStyle w:val="2"/>
        <w:spacing w:before="0" w:after="0" w:line="360" w:lineRule="auto"/>
        <w:jc w:val="center"/>
        <w:rPr>
          <w:rFonts w:ascii="宋体" w:hAnsi="宋体" w:cs="宋体"/>
          <w:b w:val="0"/>
          <w:sz w:val="32"/>
          <w:szCs w:val="32"/>
        </w:rPr>
      </w:pPr>
      <w:bookmarkStart w:id="46" w:name="_Toc13817"/>
      <w:r>
        <w:rPr>
          <w:rFonts w:hint="eastAsia" w:ascii="宋体" w:hAnsi="宋体" w:cs="宋体"/>
          <w:sz w:val="32"/>
          <w:szCs w:val="32"/>
        </w:rPr>
        <w:t>第六章  响应文件格式</w:t>
      </w:r>
      <w:bookmarkEnd w:id="43"/>
      <w:bookmarkEnd w:id="44"/>
      <w:bookmarkEnd w:id="45"/>
      <w:bookmarkEnd w:id="46"/>
    </w:p>
    <w:p w14:paraId="52D104C2">
      <w:pPr>
        <w:jc w:val="right"/>
        <w:rPr>
          <w:rFonts w:hint="eastAsia" w:ascii="宋体" w:hAnsi="宋体" w:eastAsia="宋体" w:cs="宋体"/>
          <w:sz w:val="36"/>
          <w:szCs w:val="36"/>
          <w:highlight w:val="none"/>
        </w:rPr>
      </w:pPr>
      <w:r>
        <w:rPr>
          <w:rFonts w:hint="eastAsia" w:hAnsi="宋体" w:cs="宋体"/>
          <w:b/>
          <w:sz w:val="30"/>
          <w:szCs w:val="30"/>
        </w:rPr>
        <w:br w:type="page"/>
      </w:r>
    </w:p>
    <w:p w14:paraId="2C89A5C0">
      <w:pPr>
        <w:jc w:val="right"/>
        <w:rPr>
          <w:rFonts w:hint="eastAsia" w:ascii="宋体" w:hAnsi="宋体" w:eastAsia="宋体" w:cs="宋体"/>
          <w:sz w:val="36"/>
          <w:szCs w:val="36"/>
          <w:highlight w:val="none"/>
        </w:rPr>
      </w:pPr>
      <w:r>
        <w:rPr>
          <w:rFonts w:hint="eastAsia" w:ascii="宋体" w:hAnsi="宋体" w:eastAsia="宋体" w:cs="宋体"/>
          <w:sz w:val="36"/>
          <w:szCs w:val="36"/>
          <w:highlight w:val="none"/>
        </w:rPr>
        <w:t>正本或副本</w:t>
      </w:r>
    </w:p>
    <w:p w14:paraId="0F34A121">
      <w:pPr>
        <w:rPr>
          <w:rFonts w:hint="eastAsia" w:ascii="宋体" w:hAnsi="宋体" w:eastAsia="宋体" w:cs="宋体"/>
          <w:sz w:val="32"/>
          <w:szCs w:val="32"/>
          <w:highlight w:val="none"/>
        </w:rPr>
      </w:pPr>
    </w:p>
    <w:p w14:paraId="0EC53AE7">
      <w:pPr>
        <w:jc w:val="center"/>
        <w:rPr>
          <w:rFonts w:hint="eastAsia" w:ascii="宋体" w:hAnsi="宋体" w:eastAsia="宋体" w:cs="宋体"/>
          <w:sz w:val="40"/>
          <w:szCs w:val="40"/>
          <w:highlight w:val="none"/>
        </w:rPr>
      </w:pPr>
    </w:p>
    <w:p w14:paraId="773D7750">
      <w:pPr>
        <w:jc w:val="center"/>
        <w:rPr>
          <w:rFonts w:hint="eastAsia" w:ascii="宋体" w:hAnsi="宋体" w:eastAsia="宋体" w:cs="宋体"/>
          <w:sz w:val="36"/>
          <w:szCs w:val="36"/>
          <w:highlight w:val="none"/>
          <w:u w:val="single"/>
        </w:rPr>
      </w:pPr>
    </w:p>
    <w:p w14:paraId="1EB563AD">
      <w:pPr>
        <w:jc w:val="center"/>
        <w:rPr>
          <w:rFonts w:hint="eastAsia" w:ascii="宋体" w:hAnsi="宋体" w:eastAsia="宋体" w:cs="宋体"/>
          <w:sz w:val="36"/>
          <w:szCs w:val="36"/>
          <w:highlight w:val="none"/>
        </w:rPr>
      </w:pPr>
      <w:r>
        <w:rPr>
          <w:rFonts w:hint="eastAsia" w:ascii="宋体" w:hAnsi="宋体" w:eastAsia="宋体" w:cs="宋体"/>
          <w:sz w:val="36"/>
          <w:szCs w:val="36"/>
          <w:highlight w:val="none"/>
          <w:u w:val="single"/>
        </w:rPr>
        <w:t xml:space="preserve">                 （项目名称）</w:t>
      </w:r>
    </w:p>
    <w:p w14:paraId="1AC2A8A9">
      <w:pPr>
        <w:jc w:val="center"/>
        <w:rPr>
          <w:rFonts w:hint="eastAsia" w:ascii="宋体" w:hAnsi="宋体" w:eastAsia="宋体" w:cs="宋体"/>
          <w:sz w:val="40"/>
          <w:szCs w:val="40"/>
          <w:highlight w:val="none"/>
        </w:rPr>
      </w:pPr>
      <w:r>
        <w:rPr>
          <w:rFonts w:hint="eastAsia" w:ascii="宋体" w:hAnsi="宋体" w:eastAsia="宋体" w:cs="宋体"/>
          <w:sz w:val="40"/>
          <w:szCs w:val="40"/>
          <w:highlight w:val="none"/>
        </w:rPr>
        <w:t>项目编号：</w:t>
      </w:r>
    </w:p>
    <w:p w14:paraId="2D2D0D0A">
      <w:pPr>
        <w:jc w:val="center"/>
        <w:rPr>
          <w:rFonts w:hint="eastAsia" w:ascii="宋体" w:hAnsi="宋体" w:eastAsia="宋体" w:cs="宋体"/>
          <w:sz w:val="40"/>
          <w:szCs w:val="40"/>
          <w:highlight w:val="none"/>
        </w:rPr>
      </w:pPr>
    </w:p>
    <w:p w14:paraId="3A5517F7">
      <w:pPr>
        <w:jc w:val="center"/>
        <w:rPr>
          <w:rFonts w:hint="eastAsia" w:ascii="宋体" w:hAnsi="宋体" w:eastAsia="宋体" w:cs="宋体"/>
          <w:sz w:val="40"/>
          <w:szCs w:val="40"/>
          <w:highlight w:val="none"/>
        </w:rPr>
      </w:pPr>
    </w:p>
    <w:p w14:paraId="59045E5C">
      <w:pPr>
        <w:jc w:val="center"/>
        <w:rPr>
          <w:rFonts w:hint="eastAsia" w:ascii="宋体" w:hAnsi="宋体" w:eastAsia="宋体" w:cs="宋体"/>
          <w:sz w:val="40"/>
          <w:szCs w:val="40"/>
          <w:highlight w:val="none"/>
        </w:rPr>
      </w:pPr>
    </w:p>
    <w:p w14:paraId="3FEACB6D">
      <w:pPr>
        <w:jc w:val="center"/>
        <w:rPr>
          <w:rFonts w:hint="eastAsia" w:ascii="宋体" w:hAnsi="宋体" w:eastAsia="宋体" w:cs="宋体"/>
          <w:sz w:val="40"/>
          <w:szCs w:val="40"/>
          <w:highlight w:val="none"/>
        </w:rPr>
      </w:pPr>
    </w:p>
    <w:p w14:paraId="767A8F77">
      <w:pPr>
        <w:jc w:val="center"/>
        <w:rPr>
          <w:rFonts w:hint="eastAsia" w:ascii="宋体" w:hAnsi="宋体" w:eastAsia="宋体" w:cs="宋体"/>
          <w:sz w:val="40"/>
          <w:szCs w:val="40"/>
          <w:highlight w:val="none"/>
        </w:rPr>
      </w:pPr>
    </w:p>
    <w:p w14:paraId="7ED7FEDD">
      <w:pPr>
        <w:jc w:val="center"/>
        <w:rPr>
          <w:rFonts w:hint="eastAsia" w:ascii="宋体" w:hAnsi="宋体" w:eastAsia="宋体" w:cs="宋体"/>
          <w:sz w:val="40"/>
          <w:szCs w:val="40"/>
          <w:highlight w:val="none"/>
        </w:rPr>
      </w:pPr>
      <w:r>
        <w:rPr>
          <w:rFonts w:hint="eastAsia" w:ascii="宋体" w:hAnsi="宋体" w:eastAsia="宋体" w:cs="宋体"/>
          <w:sz w:val="40"/>
          <w:szCs w:val="40"/>
          <w:highlight w:val="none"/>
        </w:rPr>
        <w:t>响应文件</w:t>
      </w:r>
    </w:p>
    <w:p w14:paraId="7E5C2724">
      <w:pPr>
        <w:pStyle w:val="29"/>
        <w:rPr>
          <w:rFonts w:hint="eastAsia" w:ascii="宋体" w:hAnsi="宋体" w:eastAsia="宋体" w:cs="宋体"/>
          <w:highlight w:val="none"/>
        </w:rPr>
      </w:pPr>
    </w:p>
    <w:p w14:paraId="063C50A7">
      <w:pPr>
        <w:pStyle w:val="29"/>
        <w:rPr>
          <w:rFonts w:hint="eastAsia" w:ascii="宋体" w:hAnsi="宋体" w:eastAsia="宋体" w:cs="宋体"/>
          <w:highlight w:val="none"/>
        </w:rPr>
      </w:pPr>
    </w:p>
    <w:p w14:paraId="7555DEC1">
      <w:pPr>
        <w:pStyle w:val="29"/>
        <w:rPr>
          <w:rFonts w:hint="eastAsia" w:ascii="宋体" w:hAnsi="宋体" w:eastAsia="宋体" w:cs="宋体"/>
          <w:highlight w:val="none"/>
        </w:rPr>
      </w:pPr>
    </w:p>
    <w:p w14:paraId="30CC5C08">
      <w:pPr>
        <w:jc w:val="center"/>
        <w:rPr>
          <w:rFonts w:hint="eastAsia" w:ascii="宋体" w:hAnsi="宋体" w:eastAsia="宋体" w:cs="宋体"/>
          <w:sz w:val="32"/>
          <w:szCs w:val="32"/>
          <w:highlight w:val="none"/>
        </w:rPr>
      </w:pPr>
    </w:p>
    <w:p w14:paraId="149864E0">
      <w:pPr>
        <w:jc w:val="center"/>
        <w:rPr>
          <w:rFonts w:hint="eastAsia" w:ascii="宋体" w:hAnsi="宋体" w:eastAsia="宋体" w:cs="宋体"/>
          <w:sz w:val="32"/>
          <w:szCs w:val="32"/>
          <w:highlight w:val="none"/>
        </w:rPr>
      </w:pPr>
    </w:p>
    <w:p w14:paraId="13AD9689">
      <w:pPr>
        <w:rPr>
          <w:rFonts w:hint="eastAsia" w:ascii="宋体" w:hAnsi="宋体" w:eastAsia="宋体" w:cs="宋体"/>
          <w:sz w:val="32"/>
          <w:szCs w:val="32"/>
          <w:highlight w:val="none"/>
        </w:rPr>
      </w:pPr>
    </w:p>
    <w:p w14:paraId="43BDAD76">
      <w:pPr>
        <w:jc w:val="center"/>
        <w:rPr>
          <w:rFonts w:hint="eastAsia" w:ascii="宋体" w:hAnsi="宋体" w:eastAsia="宋体" w:cs="宋体"/>
          <w:sz w:val="32"/>
          <w:szCs w:val="32"/>
          <w:highlight w:val="none"/>
        </w:rPr>
      </w:pPr>
    </w:p>
    <w:p w14:paraId="4B5EAA05">
      <w:pPr>
        <w:pStyle w:val="29"/>
        <w:rPr>
          <w:rFonts w:hint="eastAsia" w:ascii="宋体" w:hAnsi="宋体" w:eastAsia="宋体" w:cs="宋体"/>
          <w:highlight w:val="none"/>
        </w:rPr>
      </w:pPr>
    </w:p>
    <w:p w14:paraId="38C45C53">
      <w:pPr>
        <w:rPr>
          <w:rFonts w:hint="eastAsia" w:ascii="宋体" w:hAnsi="宋体" w:eastAsia="宋体" w:cs="宋体"/>
          <w:sz w:val="32"/>
          <w:szCs w:val="32"/>
          <w:highlight w:val="none"/>
        </w:rPr>
      </w:pPr>
    </w:p>
    <w:p w14:paraId="61F51518">
      <w:pPr>
        <w:spacing w:line="360" w:lineRule="auto"/>
        <w:ind w:firstLine="1120" w:firstLineChars="400"/>
        <w:jc w:val="both"/>
        <w:rPr>
          <w:rFonts w:hint="eastAsia" w:ascii="宋体" w:hAnsi="宋体" w:eastAsia="宋体" w:cs="宋体"/>
          <w:sz w:val="28"/>
          <w:szCs w:val="28"/>
          <w:highlight w:val="none"/>
          <w:lang w:eastAsia="zh-CN"/>
        </w:rPr>
      </w:pPr>
    </w:p>
    <w:p w14:paraId="2B16C0CB">
      <w:pPr>
        <w:spacing w:line="360" w:lineRule="auto"/>
        <w:ind w:firstLine="1120" w:firstLineChars="400"/>
        <w:jc w:val="both"/>
        <w:rPr>
          <w:rFonts w:hint="eastAsia" w:ascii="宋体" w:hAnsi="宋体" w:eastAsia="宋体" w:cs="宋体"/>
          <w:sz w:val="28"/>
          <w:szCs w:val="28"/>
          <w:highlight w:val="none"/>
          <w:lang w:eastAsia="zh-CN"/>
        </w:rPr>
      </w:pPr>
    </w:p>
    <w:p w14:paraId="1BA1A800">
      <w:pPr>
        <w:spacing w:line="360" w:lineRule="auto"/>
        <w:ind w:firstLine="1120" w:firstLineChars="400"/>
        <w:jc w:val="both"/>
        <w:rPr>
          <w:rFonts w:hint="eastAsia" w:ascii="宋体" w:hAnsi="宋体" w:eastAsia="宋体" w:cs="宋体"/>
          <w:sz w:val="28"/>
          <w:szCs w:val="28"/>
          <w:highlight w:val="none"/>
        </w:rPr>
      </w:pPr>
      <w:r>
        <w:rPr>
          <w:rFonts w:hint="eastAsia" w:ascii="宋体" w:hAnsi="宋体" w:eastAsia="宋体" w:cs="宋体"/>
          <w:sz w:val="28"/>
          <w:szCs w:val="28"/>
          <w:highlight w:val="none"/>
          <w:lang w:eastAsia="zh-CN"/>
        </w:rPr>
        <w:t>供应商</w:t>
      </w:r>
      <w:r>
        <w:rPr>
          <w:rFonts w:hint="eastAsia" w:ascii="宋体" w:hAnsi="宋体" w:eastAsia="宋体" w:cs="宋体"/>
          <w:sz w:val="28"/>
          <w:szCs w:val="28"/>
          <w:highlight w:val="none"/>
        </w:rPr>
        <w:t>：</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w:t>
      </w:r>
      <w:r>
        <w:rPr>
          <w:rFonts w:hint="eastAsia" w:ascii="宋体" w:hAnsi="宋体" w:cs="宋体"/>
          <w:sz w:val="28"/>
          <w:szCs w:val="28"/>
          <w:highlight w:val="none"/>
          <w:lang w:eastAsia="zh-CN"/>
        </w:rPr>
        <w:t>盖单位公章</w:t>
      </w:r>
      <w:r>
        <w:rPr>
          <w:rFonts w:hint="eastAsia" w:ascii="宋体" w:hAnsi="宋体" w:eastAsia="宋体" w:cs="宋体"/>
          <w:sz w:val="28"/>
          <w:szCs w:val="28"/>
          <w:highlight w:val="none"/>
        </w:rPr>
        <w:t>）</w:t>
      </w:r>
    </w:p>
    <w:p w14:paraId="3CB9FBA1">
      <w:pPr>
        <w:spacing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法定代表人或其委托代理人：</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（签字或签章）</w:t>
      </w:r>
    </w:p>
    <w:p w14:paraId="0AE8A5C0">
      <w:pPr>
        <w:jc w:val="center"/>
        <w:rPr>
          <w:rFonts w:hint="eastAsia" w:ascii="宋体" w:hAnsi="宋体" w:eastAsia="宋体" w:cs="宋体"/>
          <w:sz w:val="28"/>
          <w:szCs w:val="28"/>
          <w:highlight w:val="none"/>
        </w:rPr>
      </w:pPr>
    </w:p>
    <w:p w14:paraId="413D5CCB">
      <w:pPr>
        <w:jc w:val="center"/>
        <w:rPr>
          <w:rFonts w:hint="eastAsia" w:ascii="宋体" w:hAnsi="宋体" w:eastAsia="宋体" w:cs="宋体"/>
          <w:sz w:val="28"/>
          <w:szCs w:val="28"/>
          <w:highlight w:val="none"/>
        </w:rPr>
      </w:pPr>
    </w:p>
    <w:p w14:paraId="551C8F05">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年   月   日</w:t>
      </w:r>
    </w:p>
    <w:p w14:paraId="502C87AC">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br w:type="page"/>
      </w:r>
      <w:r>
        <w:rPr>
          <w:rFonts w:hint="eastAsia" w:ascii="宋体" w:hAnsi="宋体" w:eastAsia="宋体" w:cs="宋体"/>
          <w:sz w:val="28"/>
          <w:szCs w:val="28"/>
          <w:highlight w:val="none"/>
        </w:rPr>
        <w:t>目录</w:t>
      </w:r>
    </w:p>
    <w:p w14:paraId="031671A8">
      <w:pPr>
        <w:pStyle w:val="5"/>
        <w:rPr>
          <w:rFonts w:hint="eastAsia" w:ascii="宋体" w:hAnsi="宋体" w:eastAsia="宋体" w:cs="宋体"/>
          <w:sz w:val="28"/>
          <w:szCs w:val="28"/>
          <w:highlight w:val="none"/>
        </w:rPr>
      </w:pPr>
    </w:p>
    <w:p w14:paraId="5DEF2264">
      <w:pPr>
        <w:pStyle w:val="8"/>
        <w:rPr>
          <w:rFonts w:hint="eastAsia" w:ascii="宋体" w:hAnsi="宋体" w:eastAsia="宋体" w:cs="宋体"/>
          <w:highlight w:val="none"/>
        </w:rPr>
      </w:pPr>
    </w:p>
    <w:p w14:paraId="6259B1FB">
      <w:pPr>
        <w:pStyle w:val="5"/>
        <w:jc w:val="center"/>
        <w:rPr>
          <w:rFonts w:hint="eastAsia" w:ascii="宋体" w:hAnsi="宋体" w:eastAsia="宋体" w:cs="宋体"/>
          <w:highlight w:val="none"/>
        </w:rPr>
      </w:pPr>
      <w:r>
        <w:rPr>
          <w:rFonts w:hint="eastAsia" w:ascii="宋体" w:hAnsi="宋体" w:eastAsia="宋体" w:cs="宋体"/>
          <w:sz w:val="28"/>
          <w:szCs w:val="28"/>
          <w:highlight w:val="none"/>
        </w:rPr>
        <w:t>（格式自拟）</w:t>
      </w:r>
    </w:p>
    <w:p w14:paraId="3C92A345">
      <w:pPr>
        <w:rPr>
          <w:rFonts w:hint="eastAsia" w:ascii="宋体" w:hAnsi="宋体" w:eastAsia="宋体" w:cs="宋体"/>
          <w:highlight w:val="none"/>
        </w:rPr>
      </w:pPr>
    </w:p>
    <w:p w14:paraId="60C3CAC9">
      <w:pPr>
        <w:jc w:val="center"/>
        <w:rPr>
          <w:rFonts w:hint="eastAsia" w:ascii="宋体" w:hAnsi="宋体" w:eastAsia="宋体" w:cs="宋体"/>
          <w:b/>
          <w:bCs/>
          <w:sz w:val="30"/>
          <w:szCs w:val="30"/>
          <w:highlight w:val="none"/>
        </w:rPr>
      </w:pPr>
    </w:p>
    <w:p w14:paraId="7335EA20">
      <w:pPr>
        <w:jc w:val="center"/>
        <w:rPr>
          <w:rFonts w:hint="eastAsia" w:ascii="宋体" w:hAnsi="宋体" w:eastAsia="宋体" w:cs="宋体"/>
          <w:b/>
          <w:bCs/>
          <w:sz w:val="30"/>
          <w:szCs w:val="30"/>
          <w:highlight w:val="none"/>
        </w:rPr>
      </w:pPr>
    </w:p>
    <w:p w14:paraId="7ACE1B05">
      <w:pPr>
        <w:jc w:val="center"/>
        <w:rPr>
          <w:rFonts w:hint="eastAsia" w:ascii="宋体" w:hAnsi="宋体" w:eastAsia="宋体" w:cs="宋体"/>
          <w:b/>
          <w:bCs/>
          <w:sz w:val="30"/>
          <w:szCs w:val="30"/>
          <w:highlight w:val="none"/>
        </w:rPr>
      </w:pPr>
    </w:p>
    <w:p w14:paraId="6B88053D">
      <w:pPr>
        <w:jc w:val="center"/>
        <w:rPr>
          <w:rFonts w:hint="eastAsia" w:ascii="宋体" w:hAnsi="宋体" w:eastAsia="宋体" w:cs="宋体"/>
          <w:b/>
          <w:bCs/>
          <w:sz w:val="30"/>
          <w:szCs w:val="30"/>
          <w:highlight w:val="none"/>
        </w:rPr>
      </w:pPr>
    </w:p>
    <w:p w14:paraId="33B89C75">
      <w:pPr>
        <w:jc w:val="center"/>
        <w:rPr>
          <w:rFonts w:hint="eastAsia" w:ascii="宋体" w:hAnsi="宋体" w:eastAsia="宋体" w:cs="宋体"/>
          <w:b/>
          <w:bCs/>
          <w:sz w:val="30"/>
          <w:szCs w:val="30"/>
          <w:highlight w:val="none"/>
        </w:rPr>
      </w:pPr>
    </w:p>
    <w:p w14:paraId="4E2C73A4">
      <w:pPr>
        <w:spacing w:before="240" w:beforeLines="100" w:after="240" w:afterLines="100" w:line="480" w:lineRule="auto"/>
        <w:jc w:val="center"/>
        <w:rPr>
          <w:rFonts w:hint="eastAsia" w:ascii="宋体" w:hAnsi="宋体" w:eastAsia="宋体" w:cs="宋体"/>
          <w:b/>
          <w:bCs/>
          <w:sz w:val="44"/>
          <w:szCs w:val="44"/>
          <w:highlight w:val="none"/>
        </w:rPr>
      </w:pPr>
    </w:p>
    <w:p w14:paraId="534E34B7">
      <w:pPr>
        <w:rPr>
          <w:rFonts w:hint="eastAsia" w:ascii="宋体" w:hAnsi="宋体" w:eastAsia="宋体" w:cs="宋体"/>
          <w:highlight w:val="none"/>
        </w:rPr>
      </w:pPr>
    </w:p>
    <w:p w14:paraId="48A035FE">
      <w:pPr>
        <w:rPr>
          <w:rFonts w:hint="eastAsia" w:ascii="宋体" w:hAnsi="宋体" w:eastAsia="宋体" w:cs="宋体"/>
          <w:b/>
          <w:bCs/>
          <w:sz w:val="30"/>
          <w:szCs w:val="30"/>
          <w:highlight w:val="none"/>
        </w:rPr>
      </w:pPr>
    </w:p>
    <w:p w14:paraId="25DDC83E">
      <w:pPr>
        <w:rPr>
          <w:rFonts w:hint="eastAsia" w:ascii="宋体" w:hAnsi="宋体" w:eastAsia="宋体" w:cs="宋体"/>
          <w:highlight w:val="none"/>
        </w:rPr>
      </w:pPr>
    </w:p>
    <w:p w14:paraId="29622D0A">
      <w:pPr>
        <w:rPr>
          <w:rFonts w:hint="eastAsia" w:hAnsi="宋体" w:cs="宋体"/>
          <w:b/>
          <w:sz w:val="30"/>
          <w:szCs w:val="30"/>
        </w:rPr>
      </w:pPr>
      <w:r>
        <w:rPr>
          <w:rFonts w:hint="eastAsia" w:ascii="宋体" w:hAnsi="宋体" w:eastAsia="宋体" w:cs="宋体"/>
          <w:b/>
          <w:sz w:val="24"/>
          <w:szCs w:val="24"/>
          <w:highlight w:val="none"/>
        </w:rPr>
        <w:br w:type="page"/>
      </w:r>
    </w:p>
    <w:p w14:paraId="62004DB6">
      <w:pPr>
        <w:pStyle w:val="3"/>
        <w:numPr>
          <w:ilvl w:val="0"/>
          <w:numId w:val="3"/>
        </w:numPr>
        <w:bidi w:val="0"/>
        <w:jc w:val="center"/>
        <w:rPr>
          <w:rFonts w:hint="eastAsia"/>
          <w:lang w:eastAsia="zh-CN"/>
        </w:rPr>
      </w:pPr>
      <w:bookmarkStart w:id="47" w:name="_Toc29910"/>
      <w:r>
        <w:rPr>
          <w:rFonts w:hint="eastAsia"/>
        </w:rPr>
        <w:t>响应函</w:t>
      </w:r>
      <w:r>
        <w:rPr>
          <w:rFonts w:hint="eastAsia"/>
          <w:lang w:eastAsia="zh-CN"/>
        </w:rPr>
        <w:t>及响应函附表</w:t>
      </w:r>
      <w:bookmarkEnd w:id="47"/>
    </w:p>
    <w:p w14:paraId="048DF3ED">
      <w:pPr>
        <w:numPr>
          <w:ilvl w:val="0"/>
          <w:numId w:val="4"/>
        </w:numPr>
        <w:jc w:val="center"/>
        <w:rPr>
          <w:rFonts w:hint="eastAsia" w:ascii="宋体" w:hAnsi="宋体"/>
          <w:b/>
          <w:color w:val="auto"/>
          <w:sz w:val="32"/>
          <w:szCs w:val="32"/>
        </w:rPr>
      </w:pPr>
      <w:r>
        <w:rPr>
          <w:rFonts w:hint="eastAsia" w:ascii="宋体" w:hAnsi="宋体"/>
          <w:b/>
          <w:color w:val="auto"/>
          <w:sz w:val="32"/>
          <w:szCs w:val="32"/>
          <w:lang w:eastAsia="zh-CN"/>
        </w:rPr>
        <w:t>响应</w:t>
      </w:r>
      <w:r>
        <w:rPr>
          <w:rFonts w:hint="eastAsia" w:ascii="宋体" w:hAnsi="宋体"/>
          <w:b/>
          <w:color w:val="auto"/>
          <w:sz w:val="32"/>
          <w:szCs w:val="32"/>
        </w:rPr>
        <w:t>函</w:t>
      </w:r>
    </w:p>
    <w:p w14:paraId="7A1ECFFF">
      <w:pPr>
        <w:pStyle w:val="5"/>
        <w:numPr>
          <w:ilvl w:val="0"/>
          <w:numId w:val="0"/>
        </w:numPr>
        <w:rPr>
          <w:rFonts w:hint="eastAsia"/>
          <w:lang w:eastAsia="zh-CN"/>
        </w:rPr>
      </w:pPr>
    </w:p>
    <w:p w14:paraId="18F453B4">
      <w:pPr>
        <w:pStyle w:val="7"/>
        <w:snapToGrid w:val="0"/>
        <w:spacing w:line="360" w:lineRule="auto"/>
        <w:rPr>
          <w:rFonts w:hAnsi="宋体" w:cs="宋体"/>
        </w:rPr>
      </w:pPr>
      <w:r>
        <w:rPr>
          <w:rFonts w:hint="eastAsia" w:hAnsi="宋体" w:cs="宋体"/>
          <w:u w:val="single"/>
        </w:rPr>
        <w:t xml:space="preserve">               </w:t>
      </w:r>
      <w:r>
        <w:rPr>
          <w:rFonts w:hint="eastAsia" w:hAnsi="宋体" w:cs="宋体"/>
        </w:rPr>
        <w:t>（采购人名称）：</w:t>
      </w:r>
    </w:p>
    <w:p w14:paraId="46DA84CF">
      <w:pPr>
        <w:pStyle w:val="7"/>
        <w:snapToGrid w:val="0"/>
        <w:spacing w:line="360" w:lineRule="auto"/>
        <w:ind w:firstLine="420"/>
        <w:rPr>
          <w:rFonts w:hAnsi="宋体" w:cs="宋体"/>
        </w:rPr>
      </w:pPr>
      <w:r>
        <w:rPr>
          <w:rFonts w:hint="eastAsia" w:hAnsi="宋体" w:cs="宋体"/>
        </w:rPr>
        <w:t>1.我方已仔研究了</w:t>
      </w:r>
      <w:r>
        <w:rPr>
          <w:rFonts w:hint="eastAsia" w:hAnsi="宋体" w:cs="宋体"/>
          <w:u w:val="single"/>
        </w:rPr>
        <w:t xml:space="preserve">                             </w:t>
      </w:r>
      <w:r>
        <w:rPr>
          <w:rFonts w:hint="eastAsia" w:hAnsi="宋体" w:cs="宋体"/>
        </w:rPr>
        <w:t>（项目名称）谈判文件的全部内容，愿以人民币（大写）</w:t>
      </w:r>
      <w:r>
        <w:rPr>
          <w:rFonts w:hint="eastAsia" w:hAnsi="宋体" w:cs="宋体"/>
          <w:u w:val="single"/>
        </w:rPr>
        <w:t xml:space="preserve">          </w:t>
      </w:r>
      <w:r>
        <w:rPr>
          <w:rFonts w:hint="eastAsia" w:hAnsi="宋体" w:cs="宋体"/>
        </w:rPr>
        <w:t>（￥</w:t>
      </w:r>
      <w:r>
        <w:rPr>
          <w:rFonts w:hint="eastAsia" w:hAnsi="宋体" w:cs="宋体"/>
          <w:u w:val="single"/>
        </w:rPr>
        <w:t xml:space="preserve">           </w:t>
      </w:r>
      <w:r>
        <w:rPr>
          <w:rFonts w:hint="eastAsia" w:hAnsi="宋体" w:cs="宋体"/>
        </w:rPr>
        <w:t>）的投标总报价，并按合同约定履行义务。</w:t>
      </w:r>
    </w:p>
    <w:p w14:paraId="03219BCC">
      <w:pPr>
        <w:numPr>
          <w:ilvl w:val="0"/>
          <w:numId w:val="5"/>
        </w:numPr>
        <w:spacing w:line="360" w:lineRule="auto"/>
        <w:ind w:firstLine="438" w:firstLineChars="209"/>
        <w:jc w:val="left"/>
        <w:rPr>
          <w:rFonts w:ascii="宋体" w:hAnsi="宋体" w:cs="宋体"/>
          <w:color w:val="000000"/>
          <w:szCs w:val="21"/>
        </w:rPr>
      </w:pPr>
      <w:r>
        <w:rPr>
          <w:rFonts w:hint="eastAsia" w:ascii="宋体" w:hAnsi="宋体" w:cs="宋体"/>
          <w:color w:val="000000"/>
          <w:szCs w:val="21"/>
        </w:rPr>
        <w:t>我方的投标文件包括下列内容：</w:t>
      </w:r>
    </w:p>
    <w:p w14:paraId="01F16655">
      <w:pPr>
        <w:spacing w:line="360" w:lineRule="auto"/>
        <w:ind w:firstLine="438" w:firstLineChars="209"/>
        <w:jc w:val="left"/>
        <w:rPr>
          <w:rFonts w:ascii="宋体" w:hAnsi="宋体" w:cs="宋体"/>
          <w:color w:val="000000"/>
          <w:szCs w:val="21"/>
        </w:rPr>
      </w:pPr>
      <w:r>
        <w:rPr>
          <w:rFonts w:hint="eastAsia" w:ascii="宋体" w:hAnsi="宋体" w:cs="宋体"/>
          <w:color w:val="000000"/>
          <w:szCs w:val="21"/>
        </w:rPr>
        <w:t>（1）</w:t>
      </w:r>
      <w:r>
        <w:rPr>
          <w:rFonts w:hint="eastAsia" w:ascii="宋体" w:hAnsi="宋体" w:cs="宋体"/>
          <w:color w:val="000000"/>
          <w:szCs w:val="21"/>
          <w:lang w:eastAsia="zh-CN"/>
        </w:rPr>
        <w:t>响应</w:t>
      </w:r>
      <w:r>
        <w:rPr>
          <w:rFonts w:hint="eastAsia" w:ascii="宋体" w:hAnsi="宋体" w:cs="宋体"/>
          <w:color w:val="000000"/>
          <w:szCs w:val="21"/>
        </w:rPr>
        <w:t>函；</w:t>
      </w:r>
    </w:p>
    <w:p w14:paraId="616D4900">
      <w:pPr>
        <w:spacing w:line="360" w:lineRule="auto"/>
        <w:ind w:firstLine="438" w:firstLineChars="209"/>
        <w:jc w:val="left"/>
        <w:rPr>
          <w:rFonts w:ascii="宋体" w:hAnsi="宋体" w:cs="宋体"/>
          <w:color w:val="000000"/>
          <w:szCs w:val="21"/>
        </w:rPr>
      </w:pPr>
      <w:r>
        <w:rPr>
          <w:rFonts w:hint="eastAsia" w:ascii="宋体" w:hAnsi="宋体" w:cs="宋体"/>
          <w:color w:val="000000"/>
          <w:szCs w:val="21"/>
        </w:rPr>
        <w:t>（2）法定代表人身份证明或授权委托书；</w:t>
      </w:r>
    </w:p>
    <w:p w14:paraId="6309749C">
      <w:pPr>
        <w:spacing w:line="360" w:lineRule="auto"/>
        <w:ind w:firstLine="438" w:firstLineChars="209"/>
        <w:jc w:val="left"/>
        <w:rPr>
          <w:rFonts w:ascii="宋体" w:hAnsi="宋体" w:cs="宋体"/>
          <w:color w:val="000000"/>
          <w:szCs w:val="21"/>
        </w:rPr>
      </w:pPr>
      <w:r>
        <w:rPr>
          <w:rFonts w:hint="eastAsia" w:ascii="宋体" w:hAnsi="宋体" w:cs="宋体"/>
          <w:color w:val="000000"/>
          <w:szCs w:val="21"/>
        </w:rPr>
        <w:t>（3）联合体协议书（如有）；</w:t>
      </w:r>
    </w:p>
    <w:p w14:paraId="4E6DF707">
      <w:pPr>
        <w:spacing w:line="360" w:lineRule="auto"/>
        <w:ind w:firstLine="438" w:firstLineChars="209"/>
        <w:jc w:val="left"/>
        <w:rPr>
          <w:rFonts w:ascii="宋体" w:hAnsi="宋体" w:cs="宋体"/>
          <w:color w:val="000000"/>
          <w:szCs w:val="21"/>
        </w:rPr>
      </w:pPr>
      <w:r>
        <w:rPr>
          <w:rFonts w:hint="eastAsia" w:ascii="宋体" w:hAnsi="宋体" w:cs="宋体"/>
          <w:color w:val="000000"/>
          <w:szCs w:val="21"/>
        </w:rPr>
        <w:t>（4）………</w:t>
      </w:r>
    </w:p>
    <w:p w14:paraId="111A8CB2">
      <w:pPr>
        <w:spacing w:line="360" w:lineRule="auto"/>
        <w:ind w:firstLine="420" w:firstLineChars="200"/>
        <w:jc w:val="left"/>
        <w:rPr>
          <w:rFonts w:ascii="宋体" w:hAnsi="宋体" w:cs="宋体"/>
          <w:color w:val="000000"/>
          <w:szCs w:val="21"/>
        </w:rPr>
      </w:pPr>
      <w:r>
        <w:rPr>
          <w:rFonts w:hint="eastAsia" w:ascii="宋体" w:hAnsi="宋体" w:cs="宋体"/>
          <w:color w:val="000000"/>
          <w:szCs w:val="21"/>
        </w:rPr>
        <w:t>响应文件的上述组成部分如存在内容不一致的，以</w:t>
      </w:r>
      <w:r>
        <w:rPr>
          <w:rFonts w:hint="eastAsia" w:ascii="宋体" w:hAnsi="宋体" w:cs="宋体"/>
          <w:color w:val="000000"/>
          <w:szCs w:val="21"/>
          <w:lang w:eastAsia="zh-CN"/>
        </w:rPr>
        <w:t>响应函</w:t>
      </w:r>
      <w:r>
        <w:rPr>
          <w:rFonts w:hint="eastAsia" w:ascii="宋体" w:hAnsi="宋体" w:cs="宋体"/>
          <w:color w:val="000000"/>
          <w:szCs w:val="21"/>
        </w:rPr>
        <w:t>为准。</w:t>
      </w:r>
    </w:p>
    <w:p w14:paraId="26FEB8A1">
      <w:pPr>
        <w:spacing w:line="360" w:lineRule="auto"/>
        <w:ind w:firstLine="420" w:firstLineChars="200"/>
        <w:jc w:val="left"/>
        <w:rPr>
          <w:rFonts w:ascii="宋体" w:hAnsi="宋体" w:cs="宋体"/>
          <w:color w:val="000000"/>
          <w:szCs w:val="21"/>
        </w:rPr>
      </w:pPr>
      <w:r>
        <w:rPr>
          <w:rFonts w:hint="eastAsia" w:ascii="宋体" w:hAnsi="宋体" w:cs="宋体"/>
          <w:color w:val="000000"/>
          <w:szCs w:val="21"/>
        </w:rPr>
        <w:t>3．我方承诺除商务和技术偏差表列出的偏差外，我方响应谈判文件的全部要求。</w:t>
      </w:r>
    </w:p>
    <w:p w14:paraId="60FC411F">
      <w:pPr>
        <w:pStyle w:val="7"/>
        <w:numPr>
          <w:ilvl w:val="0"/>
          <w:numId w:val="6"/>
        </w:numPr>
        <w:snapToGrid w:val="0"/>
        <w:spacing w:line="360" w:lineRule="auto"/>
        <w:ind w:firstLine="420"/>
        <w:rPr>
          <w:rFonts w:hAnsi="宋体" w:cs="宋体"/>
          <w:color w:val="000000"/>
        </w:rPr>
      </w:pPr>
      <w:r>
        <w:rPr>
          <w:rFonts w:hint="eastAsia" w:hAnsi="宋体" w:cs="宋体"/>
          <w:color w:val="000000"/>
        </w:rPr>
        <w:t>我方承诺在谈判文件规定的</w:t>
      </w:r>
      <w:r>
        <w:rPr>
          <w:rFonts w:hint="eastAsia" w:hAnsi="宋体" w:cs="宋体"/>
          <w:color w:val="000000"/>
          <w:lang w:eastAsia="zh-CN"/>
        </w:rPr>
        <w:t>谈判</w:t>
      </w:r>
      <w:r>
        <w:rPr>
          <w:rFonts w:hint="eastAsia" w:hAnsi="宋体" w:cs="宋体"/>
          <w:color w:val="000000"/>
        </w:rPr>
        <w:t>有效期内不撤销响应文件。</w:t>
      </w:r>
    </w:p>
    <w:p w14:paraId="72380036">
      <w:pPr>
        <w:numPr>
          <w:ilvl w:val="0"/>
          <w:numId w:val="6"/>
        </w:numPr>
        <w:spacing w:line="360" w:lineRule="auto"/>
        <w:ind w:firstLine="420" w:firstLineChars="200"/>
        <w:jc w:val="left"/>
        <w:rPr>
          <w:rFonts w:ascii="宋体" w:hAnsi="宋体" w:cs="宋体"/>
          <w:color w:val="000000"/>
          <w:szCs w:val="21"/>
        </w:rPr>
      </w:pPr>
      <w:r>
        <w:rPr>
          <w:rFonts w:hint="eastAsia" w:ascii="宋体" w:hAnsi="宋体" w:cs="宋体"/>
          <w:color w:val="000000"/>
          <w:szCs w:val="21"/>
        </w:rPr>
        <w:t>如我方中标，我方承诺：</w:t>
      </w:r>
    </w:p>
    <w:p w14:paraId="5517D4AB">
      <w:pPr>
        <w:spacing w:line="360" w:lineRule="auto"/>
        <w:ind w:firstLine="420" w:firstLineChars="200"/>
        <w:jc w:val="left"/>
        <w:rPr>
          <w:rFonts w:ascii="宋体" w:hAnsi="宋体" w:cs="宋体"/>
          <w:color w:val="000000"/>
          <w:szCs w:val="21"/>
        </w:rPr>
      </w:pPr>
      <w:r>
        <w:rPr>
          <w:rFonts w:hint="eastAsia" w:ascii="宋体" w:hAnsi="宋体" w:cs="宋体"/>
          <w:color w:val="000000"/>
          <w:szCs w:val="21"/>
        </w:rPr>
        <w:t>（1）在收到</w:t>
      </w:r>
      <w:r>
        <w:rPr>
          <w:rFonts w:hint="eastAsia" w:ascii="宋体" w:hAnsi="宋体" w:cs="宋体"/>
          <w:color w:val="000000"/>
          <w:szCs w:val="21"/>
          <w:lang w:eastAsia="zh-CN"/>
        </w:rPr>
        <w:t>成交</w:t>
      </w:r>
      <w:r>
        <w:rPr>
          <w:rFonts w:hint="eastAsia" w:ascii="宋体" w:hAnsi="宋体" w:cs="宋体"/>
          <w:color w:val="000000"/>
          <w:szCs w:val="21"/>
        </w:rPr>
        <w:t>通知书后，在</w:t>
      </w:r>
      <w:r>
        <w:rPr>
          <w:rFonts w:hint="eastAsia" w:ascii="宋体" w:hAnsi="宋体" w:cs="宋体"/>
          <w:color w:val="000000"/>
          <w:szCs w:val="21"/>
          <w:lang w:eastAsia="zh-CN"/>
        </w:rPr>
        <w:t>成交通知书</w:t>
      </w:r>
      <w:r>
        <w:rPr>
          <w:rFonts w:hint="eastAsia" w:ascii="宋体" w:hAnsi="宋体" w:cs="宋体"/>
          <w:color w:val="000000"/>
          <w:szCs w:val="21"/>
        </w:rPr>
        <w:t>规定的期限内与你方签订合同；</w:t>
      </w:r>
    </w:p>
    <w:p w14:paraId="5249263B">
      <w:pPr>
        <w:spacing w:line="360" w:lineRule="auto"/>
        <w:ind w:firstLine="420" w:firstLineChars="200"/>
        <w:jc w:val="left"/>
        <w:rPr>
          <w:rFonts w:ascii="宋体" w:hAnsi="宋体" w:cs="宋体"/>
          <w:color w:val="000000"/>
          <w:szCs w:val="21"/>
        </w:rPr>
      </w:pPr>
      <w:r>
        <w:rPr>
          <w:rFonts w:hint="eastAsia" w:ascii="宋体" w:hAnsi="宋体" w:cs="宋体"/>
          <w:color w:val="000000"/>
          <w:szCs w:val="21"/>
        </w:rPr>
        <w:t>（2）在签订合同时不向你方提出附加条件；</w:t>
      </w:r>
    </w:p>
    <w:p w14:paraId="735FEB44">
      <w:pPr>
        <w:spacing w:line="360" w:lineRule="auto"/>
        <w:ind w:firstLine="420" w:firstLineChars="200"/>
        <w:jc w:val="left"/>
        <w:rPr>
          <w:rFonts w:ascii="宋体" w:hAnsi="宋体" w:cs="宋体"/>
          <w:color w:val="000000"/>
          <w:szCs w:val="21"/>
        </w:rPr>
      </w:pPr>
      <w:r>
        <w:rPr>
          <w:rFonts w:hint="eastAsia" w:ascii="宋体" w:hAnsi="宋体" w:cs="宋体"/>
          <w:color w:val="000000"/>
          <w:szCs w:val="21"/>
        </w:rPr>
        <w:t>（3）按照</w:t>
      </w:r>
      <w:r>
        <w:rPr>
          <w:rFonts w:hint="eastAsia" w:ascii="宋体" w:hAnsi="宋体" w:cs="宋体"/>
          <w:color w:val="000000"/>
          <w:szCs w:val="21"/>
          <w:lang w:eastAsia="zh-CN"/>
        </w:rPr>
        <w:t>谈判</w:t>
      </w:r>
      <w:r>
        <w:rPr>
          <w:rFonts w:hint="eastAsia" w:ascii="宋体" w:hAnsi="宋体" w:cs="宋体"/>
          <w:color w:val="000000"/>
          <w:szCs w:val="21"/>
        </w:rPr>
        <w:t>文件要求提交履约保证金；</w:t>
      </w:r>
    </w:p>
    <w:p w14:paraId="1AFB09CE">
      <w:pPr>
        <w:spacing w:line="360" w:lineRule="auto"/>
        <w:ind w:firstLine="420" w:firstLineChars="200"/>
        <w:jc w:val="left"/>
        <w:rPr>
          <w:rFonts w:ascii="宋体" w:hAnsi="宋体" w:cs="宋体"/>
          <w:color w:val="000000"/>
          <w:szCs w:val="21"/>
        </w:rPr>
      </w:pPr>
      <w:r>
        <w:rPr>
          <w:rFonts w:hint="eastAsia" w:ascii="宋体" w:hAnsi="宋体" w:cs="宋体"/>
          <w:color w:val="000000"/>
          <w:szCs w:val="21"/>
        </w:rPr>
        <w:t>（4）在合同约定的期限内完成合同规定的全部义务。</w:t>
      </w:r>
    </w:p>
    <w:p w14:paraId="211736C2">
      <w:pPr>
        <w:spacing w:line="360" w:lineRule="auto"/>
        <w:ind w:firstLine="420" w:firstLineChars="200"/>
        <w:jc w:val="left"/>
        <w:rPr>
          <w:rFonts w:ascii="宋体" w:hAnsi="宋体" w:cs="宋体"/>
          <w:color w:val="000000"/>
          <w:szCs w:val="21"/>
        </w:rPr>
      </w:pPr>
      <w:r>
        <w:rPr>
          <w:rFonts w:hint="eastAsia" w:ascii="宋体" w:hAnsi="宋体" w:cs="宋体"/>
          <w:color w:val="000000"/>
          <w:szCs w:val="21"/>
        </w:rPr>
        <w:t>6．我方在此声明，所递交的响应文件及有关资料内容完整、真实和准确，且不存在第二章“供应商须知”第</w:t>
      </w:r>
      <w:r>
        <w:rPr>
          <w:rFonts w:hint="eastAsia" w:ascii="宋体" w:hAnsi="宋体" w:cs="宋体"/>
          <w:color w:val="000000"/>
          <w:szCs w:val="21"/>
          <w:lang w:val="en-US" w:eastAsia="zh-CN"/>
        </w:rPr>
        <w:t>20</w:t>
      </w:r>
      <w:r>
        <w:rPr>
          <w:rFonts w:hint="eastAsia" w:ascii="宋体" w:hAnsi="宋体" w:cs="宋体"/>
          <w:color w:val="000000"/>
          <w:szCs w:val="21"/>
        </w:rPr>
        <w:t xml:space="preserve"> 项规定的任何一种情形。</w:t>
      </w:r>
    </w:p>
    <w:p w14:paraId="4C911D70">
      <w:pPr>
        <w:spacing w:line="360" w:lineRule="auto"/>
        <w:ind w:firstLine="420" w:firstLineChars="200"/>
        <w:jc w:val="left"/>
        <w:rPr>
          <w:rFonts w:ascii="宋体" w:hAnsi="宋体" w:cs="宋体"/>
          <w:color w:val="000000"/>
          <w:szCs w:val="21"/>
        </w:rPr>
      </w:pPr>
      <w:r>
        <w:rPr>
          <w:rFonts w:hint="eastAsia" w:ascii="宋体" w:hAnsi="宋体" w:cs="宋体"/>
          <w:color w:val="000000"/>
          <w:szCs w:val="21"/>
        </w:rPr>
        <w:t>7.</w:t>
      </w:r>
      <w:r>
        <w:rPr>
          <w:rFonts w:hint="eastAsia" w:ascii="宋体" w:hAnsi="宋体" w:cs="宋体"/>
          <w:color w:val="000000"/>
          <w:szCs w:val="21"/>
          <w:u w:val="single"/>
        </w:rPr>
        <w:t xml:space="preserve">                            （其他补充说明）</w:t>
      </w:r>
      <w:r>
        <w:rPr>
          <w:rFonts w:hint="eastAsia" w:ascii="宋体" w:hAnsi="宋体" w:cs="宋体"/>
          <w:color w:val="000000"/>
          <w:szCs w:val="21"/>
        </w:rPr>
        <w:t>。</w:t>
      </w:r>
    </w:p>
    <w:p w14:paraId="343FE8B1">
      <w:pPr>
        <w:pStyle w:val="7"/>
        <w:snapToGrid w:val="0"/>
        <w:spacing w:line="360" w:lineRule="auto"/>
        <w:ind w:firstLine="420"/>
        <w:rPr>
          <w:rFonts w:hAnsi="宋体" w:cs="宋体"/>
        </w:rPr>
      </w:pPr>
    </w:p>
    <w:p w14:paraId="74FB7F0E">
      <w:pPr>
        <w:pStyle w:val="7"/>
        <w:wordWrap w:val="0"/>
        <w:snapToGrid w:val="0"/>
        <w:spacing w:line="360" w:lineRule="auto"/>
        <w:ind w:firstLine="3578" w:firstLineChars="1704"/>
        <w:rPr>
          <w:rFonts w:hint="eastAsia" w:ascii="宋体" w:hAnsi="宋体" w:eastAsia="宋体" w:cs="宋体"/>
        </w:rPr>
      </w:pPr>
      <w:r>
        <w:rPr>
          <w:rFonts w:hint="eastAsia" w:ascii="宋体" w:hAnsi="宋体" w:eastAsia="宋体" w:cs="宋体"/>
        </w:rPr>
        <w:t>供应商名称：</w:t>
      </w:r>
      <w:r>
        <w:rPr>
          <w:rFonts w:hint="eastAsia" w:ascii="宋体" w:hAnsi="宋体" w:eastAsia="宋体" w:cs="宋体"/>
          <w:u w:val="single"/>
        </w:rPr>
        <w:t xml:space="preserve">                      </w:t>
      </w:r>
      <w:r>
        <w:rPr>
          <w:rFonts w:hint="eastAsia" w:ascii="宋体" w:hAnsi="宋体" w:eastAsia="宋体" w:cs="宋体"/>
        </w:rPr>
        <w:t>（</w:t>
      </w:r>
      <w:r>
        <w:rPr>
          <w:rFonts w:hint="eastAsia" w:ascii="宋体" w:hAnsi="宋体" w:eastAsia="宋体" w:cs="宋体"/>
          <w:lang w:eastAsia="zh-CN"/>
        </w:rPr>
        <w:t>盖单位公章</w:t>
      </w:r>
      <w:r>
        <w:rPr>
          <w:rFonts w:hint="eastAsia" w:ascii="宋体" w:hAnsi="宋体" w:eastAsia="宋体" w:cs="宋体"/>
        </w:rPr>
        <w:t>）</w:t>
      </w:r>
    </w:p>
    <w:p w14:paraId="05B864ED">
      <w:pPr>
        <w:pStyle w:val="7"/>
        <w:wordWrap w:val="0"/>
        <w:snapToGrid w:val="0"/>
        <w:spacing w:line="360" w:lineRule="auto"/>
        <w:ind w:firstLine="3578" w:firstLineChars="1704"/>
        <w:rPr>
          <w:rFonts w:hAnsi="宋体" w:cs="宋体"/>
          <w:u w:val="single"/>
        </w:rPr>
      </w:pPr>
      <w:r>
        <w:rPr>
          <w:rFonts w:hint="eastAsia" w:hAnsi="宋体" w:cs="宋体"/>
        </w:rPr>
        <w:t>法定代表人或其授权代理人：</w:t>
      </w:r>
      <w:r>
        <w:rPr>
          <w:rFonts w:hint="eastAsia" w:hAnsi="宋体" w:cs="宋体"/>
          <w:u w:val="single"/>
        </w:rPr>
        <w:t xml:space="preserve">        </w:t>
      </w:r>
      <w:r>
        <w:rPr>
          <w:rFonts w:hint="eastAsia" w:hAnsi="宋体" w:cs="宋体"/>
        </w:rPr>
        <w:t>（</w:t>
      </w:r>
      <w:r>
        <w:rPr>
          <w:rFonts w:hint="eastAsia" w:ascii="宋体" w:hAnsi="宋体" w:eastAsia="宋体" w:cs="宋体"/>
        </w:rPr>
        <w:t>签字或签章</w:t>
      </w:r>
      <w:r>
        <w:rPr>
          <w:rFonts w:hint="eastAsia" w:hAnsi="宋体" w:cs="宋体"/>
        </w:rPr>
        <w:t>）</w:t>
      </w:r>
    </w:p>
    <w:p w14:paraId="031D413D">
      <w:pPr>
        <w:pStyle w:val="7"/>
        <w:wordWrap w:val="0"/>
        <w:snapToGrid w:val="0"/>
        <w:spacing w:line="360" w:lineRule="auto"/>
        <w:ind w:firstLine="3578" w:firstLineChars="1704"/>
        <w:rPr>
          <w:rFonts w:hAnsi="宋体" w:cs="宋体"/>
          <w:u w:val="single"/>
        </w:rPr>
      </w:pPr>
      <w:r>
        <w:rPr>
          <w:rFonts w:hint="eastAsia" w:hAnsi="宋体" w:cs="宋体"/>
        </w:rPr>
        <w:t xml:space="preserve">地  址： </w:t>
      </w:r>
      <w:r>
        <w:rPr>
          <w:rFonts w:hint="eastAsia" w:hAnsi="宋体" w:cs="宋体"/>
          <w:u w:val="single"/>
        </w:rPr>
        <w:t xml:space="preserve">                          </w:t>
      </w:r>
    </w:p>
    <w:p w14:paraId="0DC793E4">
      <w:pPr>
        <w:pStyle w:val="7"/>
        <w:wordWrap w:val="0"/>
        <w:snapToGrid w:val="0"/>
        <w:spacing w:line="360" w:lineRule="auto"/>
        <w:ind w:firstLine="3578" w:firstLineChars="1704"/>
        <w:rPr>
          <w:rFonts w:hAnsi="宋体" w:cs="宋体"/>
          <w:u w:val="single"/>
        </w:rPr>
      </w:pPr>
      <w:r>
        <w:rPr>
          <w:rFonts w:hint="eastAsia" w:hAnsi="宋体" w:cs="宋体"/>
        </w:rPr>
        <w:t xml:space="preserve">网  址： </w:t>
      </w:r>
      <w:r>
        <w:rPr>
          <w:rFonts w:hint="eastAsia" w:hAnsi="宋体" w:cs="宋体"/>
          <w:u w:val="single"/>
        </w:rPr>
        <w:t xml:space="preserve">                          </w:t>
      </w:r>
    </w:p>
    <w:p w14:paraId="752F56D5">
      <w:pPr>
        <w:pStyle w:val="7"/>
        <w:wordWrap w:val="0"/>
        <w:snapToGrid w:val="0"/>
        <w:spacing w:line="360" w:lineRule="auto"/>
        <w:ind w:firstLine="3578" w:firstLineChars="1704"/>
        <w:rPr>
          <w:rFonts w:hAnsi="宋体" w:cs="宋体"/>
          <w:u w:val="single"/>
        </w:rPr>
      </w:pPr>
      <w:r>
        <w:rPr>
          <w:rFonts w:hint="eastAsia" w:hAnsi="宋体" w:cs="宋体"/>
        </w:rPr>
        <w:t>电  话：</w:t>
      </w:r>
      <w:r>
        <w:rPr>
          <w:rFonts w:hint="eastAsia" w:hAnsi="宋体" w:cs="宋体"/>
          <w:u w:val="single"/>
        </w:rPr>
        <w:t xml:space="preserve">                           </w:t>
      </w:r>
    </w:p>
    <w:p w14:paraId="0D1924EA">
      <w:pPr>
        <w:pStyle w:val="7"/>
        <w:wordWrap w:val="0"/>
        <w:snapToGrid w:val="0"/>
        <w:spacing w:line="360" w:lineRule="auto"/>
        <w:ind w:firstLine="3578" w:firstLineChars="1704"/>
        <w:rPr>
          <w:rFonts w:hAnsi="宋体" w:cs="宋体"/>
          <w:u w:val="single"/>
        </w:rPr>
      </w:pPr>
      <w:r>
        <w:rPr>
          <w:rFonts w:hint="eastAsia" w:hAnsi="宋体" w:cs="宋体"/>
        </w:rPr>
        <w:t>传  真：</w:t>
      </w:r>
      <w:r>
        <w:rPr>
          <w:rFonts w:hint="eastAsia" w:hAnsi="宋体" w:cs="宋体"/>
          <w:u w:val="single"/>
        </w:rPr>
        <w:t xml:space="preserve">                           </w:t>
      </w:r>
    </w:p>
    <w:p w14:paraId="5CA1E455">
      <w:pPr>
        <w:pStyle w:val="7"/>
        <w:wordWrap w:val="0"/>
        <w:snapToGrid w:val="0"/>
        <w:spacing w:line="360" w:lineRule="auto"/>
        <w:ind w:firstLine="3578" w:firstLineChars="1704"/>
        <w:rPr>
          <w:rFonts w:hAnsi="宋体" w:cs="宋体"/>
          <w:u w:val="single"/>
        </w:rPr>
      </w:pPr>
      <w:r>
        <w:rPr>
          <w:rFonts w:hint="eastAsia" w:hAnsi="宋体" w:cs="宋体"/>
        </w:rPr>
        <w:t>邮  编：</w:t>
      </w:r>
      <w:r>
        <w:rPr>
          <w:rFonts w:hint="eastAsia" w:hAnsi="宋体" w:cs="宋体"/>
          <w:u w:val="single"/>
        </w:rPr>
        <w:t xml:space="preserve">                           </w:t>
      </w:r>
    </w:p>
    <w:p w14:paraId="2FFFF34D">
      <w:pPr>
        <w:pStyle w:val="7"/>
        <w:wordWrap w:val="0"/>
        <w:snapToGrid w:val="0"/>
        <w:spacing w:line="360" w:lineRule="auto"/>
        <w:ind w:firstLine="4200" w:firstLineChars="2000"/>
        <w:jc w:val="left"/>
        <w:rPr>
          <w:rFonts w:hAnsi="宋体" w:cs="宋体"/>
        </w:rPr>
      </w:pPr>
      <w:r>
        <w:rPr>
          <w:rFonts w:hint="eastAsia" w:hAnsi="宋体" w:cs="宋体"/>
          <w:u w:val="single"/>
        </w:rPr>
        <w:t xml:space="preserve">       </w:t>
      </w:r>
      <w:r>
        <w:rPr>
          <w:rFonts w:hint="eastAsia" w:hAnsi="宋体" w:cs="宋体"/>
        </w:rPr>
        <w:t xml:space="preserve"> 年</w:t>
      </w:r>
      <w:r>
        <w:rPr>
          <w:rFonts w:hint="eastAsia" w:hAnsi="宋体" w:cs="宋体"/>
          <w:u w:val="single"/>
        </w:rPr>
        <w:t xml:space="preserve">        </w:t>
      </w:r>
      <w:r>
        <w:rPr>
          <w:rFonts w:hint="eastAsia" w:hAnsi="宋体" w:cs="宋体"/>
        </w:rPr>
        <w:t>月</w:t>
      </w:r>
      <w:r>
        <w:rPr>
          <w:rFonts w:hint="eastAsia" w:hAnsi="宋体" w:cs="宋体"/>
          <w:u w:val="single"/>
        </w:rPr>
        <w:t xml:space="preserve">       </w:t>
      </w:r>
      <w:r>
        <w:rPr>
          <w:rFonts w:hint="eastAsia" w:hAnsi="宋体" w:cs="宋体"/>
        </w:rPr>
        <w:t>日</w:t>
      </w:r>
    </w:p>
    <w:p w14:paraId="2059C6D7">
      <w:pPr>
        <w:spacing w:line="360" w:lineRule="auto"/>
        <w:rPr>
          <w:rFonts w:ascii="宋体" w:hAnsi="宋体" w:cs="宋体"/>
          <w:szCs w:val="21"/>
        </w:rPr>
      </w:pPr>
      <w:bookmarkStart w:id="48" w:name="_Toc238797663"/>
      <w:bookmarkStart w:id="49" w:name="_Toc262740154"/>
      <w:bookmarkStart w:id="50" w:name="_Toc144974860"/>
      <w:bookmarkStart w:id="51" w:name="_Toc152042580"/>
      <w:bookmarkStart w:id="52" w:name="_Toc238552301"/>
      <w:bookmarkStart w:id="53" w:name="_Toc285981645"/>
      <w:bookmarkStart w:id="54" w:name="_Toc152045791"/>
    </w:p>
    <w:p w14:paraId="5D244FE6">
      <w:pPr>
        <w:jc w:val="center"/>
        <w:rPr>
          <w:rFonts w:ascii="宋体" w:hAnsi="宋体"/>
          <w:b/>
          <w:color w:val="auto"/>
          <w:sz w:val="32"/>
          <w:szCs w:val="32"/>
        </w:rPr>
      </w:pPr>
      <w:bookmarkStart w:id="55" w:name="_Toc435802466"/>
      <w:bookmarkStart w:id="56" w:name="_Toc26075"/>
      <w:bookmarkStart w:id="57" w:name="_Toc28397"/>
      <w:r>
        <w:rPr>
          <w:rFonts w:hint="eastAsia" w:ascii="宋体" w:hAnsi="宋体"/>
          <w:b/>
          <w:color w:val="auto"/>
          <w:sz w:val="32"/>
          <w:szCs w:val="32"/>
        </w:rPr>
        <w:t>（2）</w:t>
      </w:r>
      <w:r>
        <w:rPr>
          <w:rFonts w:hint="eastAsia" w:ascii="宋体" w:hAnsi="宋体"/>
          <w:b/>
          <w:color w:val="auto"/>
          <w:sz w:val="32"/>
          <w:szCs w:val="32"/>
          <w:lang w:eastAsia="zh-CN"/>
        </w:rPr>
        <w:t>响应</w:t>
      </w:r>
      <w:r>
        <w:rPr>
          <w:rFonts w:hint="eastAsia" w:ascii="宋体" w:hAnsi="宋体"/>
          <w:b/>
          <w:color w:val="auto"/>
          <w:sz w:val="32"/>
          <w:szCs w:val="32"/>
        </w:rPr>
        <w:t>函附录</w:t>
      </w:r>
    </w:p>
    <w:p w14:paraId="023CB668">
      <w:pPr>
        <w:wordWrap w:val="0"/>
        <w:spacing w:line="360" w:lineRule="auto"/>
        <w:ind w:firstLine="480" w:firstLineChars="200"/>
        <w:rPr>
          <w:rFonts w:ascii="宋体" w:hAnsi="宋体"/>
          <w:color w:val="auto"/>
          <w:sz w:val="24"/>
        </w:rPr>
      </w:pPr>
      <w:r>
        <w:rPr>
          <w:rFonts w:hint="eastAsia" w:ascii="宋体" w:hAnsi="宋体"/>
          <w:color w:val="auto"/>
          <w:sz w:val="24"/>
        </w:rPr>
        <w:t>项目名称：</w:t>
      </w:r>
      <w:r>
        <w:rPr>
          <w:rFonts w:hint="eastAsia" w:ascii="宋体" w:hAnsi="宋体"/>
          <w:color w:val="auto"/>
          <w:sz w:val="24"/>
          <w:szCs w:val="21"/>
          <w:u w:val="single"/>
        </w:rPr>
        <w:t xml:space="preserve">              </w:t>
      </w:r>
    </w:p>
    <w:p w14:paraId="47F6EB92">
      <w:pPr>
        <w:wordWrap w:val="0"/>
        <w:spacing w:line="360" w:lineRule="auto"/>
        <w:ind w:firstLine="480" w:firstLineChars="200"/>
        <w:rPr>
          <w:rFonts w:ascii="宋体" w:hAnsi="宋体"/>
          <w:color w:val="auto"/>
          <w:sz w:val="24"/>
        </w:rPr>
      </w:pPr>
      <w:r>
        <w:rPr>
          <w:rFonts w:hint="eastAsia" w:ascii="宋体" w:hAnsi="宋体"/>
          <w:color w:val="auto"/>
          <w:sz w:val="24"/>
        </w:rPr>
        <w:t>项目编号：</w:t>
      </w:r>
      <w:r>
        <w:rPr>
          <w:rFonts w:hint="eastAsia" w:ascii="宋体" w:hAnsi="宋体"/>
          <w:color w:val="auto"/>
          <w:sz w:val="24"/>
          <w:szCs w:val="21"/>
          <w:u w:val="single"/>
        </w:rPr>
        <w:t xml:space="preserve">              </w:t>
      </w:r>
    </w:p>
    <w:tbl>
      <w:tblPr>
        <w:tblStyle w:val="15"/>
        <w:tblW w:w="68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6"/>
        <w:gridCol w:w="2047"/>
        <w:gridCol w:w="2256"/>
        <w:gridCol w:w="1554"/>
      </w:tblGrid>
      <w:tr w14:paraId="1331D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9" w:hRule="atLeast"/>
          <w:jc w:val="center"/>
        </w:trPr>
        <w:tc>
          <w:tcPr>
            <w:tcW w:w="1026" w:type="dxa"/>
            <w:noWrap w:val="0"/>
            <w:vAlign w:val="center"/>
          </w:tcPr>
          <w:p w14:paraId="1AF8CA0F">
            <w:pPr>
              <w:spacing w:line="440" w:lineRule="exact"/>
              <w:jc w:val="center"/>
              <w:rPr>
                <w:rFonts w:ascii="宋体" w:hAnsi="宋体"/>
                <w:b/>
                <w:color w:val="auto"/>
                <w:sz w:val="22"/>
                <w:szCs w:val="18"/>
              </w:rPr>
            </w:pPr>
            <w:r>
              <w:rPr>
                <w:rFonts w:hint="eastAsia" w:ascii="宋体" w:hAnsi="宋体" w:cs="宋体"/>
                <w:b/>
                <w:color w:val="auto"/>
                <w:sz w:val="24"/>
              </w:rPr>
              <w:t>序号</w:t>
            </w:r>
          </w:p>
        </w:tc>
        <w:tc>
          <w:tcPr>
            <w:tcW w:w="2047" w:type="dxa"/>
            <w:noWrap w:val="0"/>
            <w:vAlign w:val="center"/>
          </w:tcPr>
          <w:p w14:paraId="52C4A467">
            <w:pPr>
              <w:spacing w:line="440" w:lineRule="exact"/>
              <w:jc w:val="center"/>
              <w:rPr>
                <w:rFonts w:ascii="宋体" w:hAnsi="宋体"/>
                <w:b/>
                <w:color w:val="auto"/>
                <w:sz w:val="22"/>
                <w:szCs w:val="18"/>
              </w:rPr>
            </w:pPr>
            <w:r>
              <w:rPr>
                <w:rFonts w:hint="eastAsia" w:ascii="宋体" w:hAnsi="宋体" w:cs="宋体"/>
                <w:b/>
                <w:color w:val="auto"/>
                <w:sz w:val="24"/>
              </w:rPr>
              <w:t>名称</w:t>
            </w:r>
          </w:p>
        </w:tc>
        <w:tc>
          <w:tcPr>
            <w:tcW w:w="2256" w:type="dxa"/>
            <w:noWrap w:val="0"/>
            <w:vAlign w:val="center"/>
          </w:tcPr>
          <w:p w14:paraId="57FB112A">
            <w:pPr>
              <w:spacing w:line="440" w:lineRule="exact"/>
              <w:jc w:val="center"/>
              <w:rPr>
                <w:rFonts w:ascii="宋体" w:hAnsi="宋体"/>
                <w:b/>
                <w:color w:val="auto"/>
                <w:sz w:val="22"/>
                <w:szCs w:val="18"/>
              </w:rPr>
            </w:pPr>
            <w:r>
              <w:rPr>
                <w:rFonts w:hint="eastAsia" w:ascii="宋体" w:hAnsi="宋体" w:cs="宋体"/>
                <w:b/>
                <w:color w:val="auto"/>
                <w:sz w:val="24"/>
              </w:rPr>
              <w:t>内容</w:t>
            </w:r>
          </w:p>
        </w:tc>
        <w:tc>
          <w:tcPr>
            <w:tcW w:w="1554" w:type="dxa"/>
            <w:noWrap w:val="0"/>
            <w:vAlign w:val="center"/>
          </w:tcPr>
          <w:p w14:paraId="3BAF39DE">
            <w:pPr>
              <w:spacing w:line="440" w:lineRule="exact"/>
              <w:jc w:val="center"/>
              <w:rPr>
                <w:rFonts w:ascii="宋体" w:hAnsi="宋体"/>
                <w:b/>
                <w:color w:val="auto"/>
                <w:sz w:val="22"/>
                <w:szCs w:val="18"/>
              </w:rPr>
            </w:pPr>
            <w:r>
              <w:rPr>
                <w:rFonts w:hint="eastAsia" w:ascii="宋体" w:hAnsi="宋体" w:cs="宋体"/>
                <w:b/>
                <w:color w:val="auto"/>
                <w:sz w:val="24"/>
              </w:rPr>
              <w:t>备注</w:t>
            </w:r>
          </w:p>
        </w:tc>
      </w:tr>
      <w:tr w14:paraId="320C4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026" w:type="dxa"/>
            <w:noWrap w:val="0"/>
            <w:vAlign w:val="center"/>
          </w:tcPr>
          <w:p w14:paraId="012431C1">
            <w:pPr>
              <w:wordWrap w:val="0"/>
              <w:jc w:val="center"/>
              <w:rPr>
                <w:rFonts w:hint="eastAsia" w:ascii="宋体" w:hAnsi="宋体"/>
                <w:color w:val="auto"/>
                <w:sz w:val="22"/>
                <w:szCs w:val="18"/>
              </w:rPr>
            </w:pPr>
            <w:r>
              <w:rPr>
                <w:rFonts w:hint="eastAsia" w:ascii="宋体" w:hAnsi="宋体"/>
                <w:color w:val="auto"/>
                <w:sz w:val="22"/>
                <w:szCs w:val="18"/>
              </w:rPr>
              <w:t>1</w:t>
            </w:r>
          </w:p>
        </w:tc>
        <w:tc>
          <w:tcPr>
            <w:tcW w:w="2047" w:type="dxa"/>
            <w:noWrap w:val="0"/>
            <w:vAlign w:val="center"/>
          </w:tcPr>
          <w:p w14:paraId="08D2D8C8">
            <w:pPr>
              <w:wordWrap w:val="0"/>
              <w:jc w:val="center"/>
              <w:rPr>
                <w:rFonts w:ascii="宋体" w:hAnsi="宋体"/>
                <w:color w:val="auto"/>
                <w:sz w:val="22"/>
                <w:szCs w:val="18"/>
              </w:rPr>
            </w:pPr>
            <w:r>
              <w:rPr>
                <w:rFonts w:hint="eastAsia" w:ascii="宋体" w:hAnsi="宋体"/>
                <w:color w:val="auto"/>
                <w:sz w:val="22"/>
                <w:szCs w:val="18"/>
              </w:rPr>
              <w:t>项目负责人</w:t>
            </w:r>
          </w:p>
        </w:tc>
        <w:tc>
          <w:tcPr>
            <w:tcW w:w="2256" w:type="dxa"/>
            <w:noWrap w:val="0"/>
            <w:vAlign w:val="center"/>
          </w:tcPr>
          <w:p w14:paraId="5BF24AF9">
            <w:pPr>
              <w:wordWrap w:val="0"/>
              <w:jc w:val="left"/>
              <w:rPr>
                <w:rFonts w:ascii="宋体" w:hAnsi="宋体"/>
                <w:color w:val="auto"/>
                <w:sz w:val="22"/>
                <w:szCs w:val="18"/>
              </w:rPr>
            </w:pPr>
            <w:r>
              <w:rPr>
                <w:rFonts w:hint="eastAsia" w:ascii="宋体" w:hAnsi="宋体"/>
                <w:color w:val="auto"/>
                <w:sz w:val="22"/>
                <w:szCs w:val="18"/>
              </w:rPr>
              <w:t>姓名：</w:t>
            </w:r>
          </w:p>
        </w:tc>
        <w:tc>
          <w:tcPr>
            <w:tcW w:w="1554" w:type="dxa"/>
            <w:noWrap w:val="0"/>
            <w:vAlign w:val="center"/>
          </w:tcPr>
          <w:p w14:paraId="7120EC7A">
            <w:pPr>
              <w:wordWrap w:val="0"/>
              <w:jc w:val="center"/>
              <w:rPr>
                <w:rFonts w:ascii="宋体" w:hAnsi="宋体"/>
                <w:color w:val="auto"/>
                <w:sz w:val="22"/>
                <w:szCs w:val="18"/>
              </w:rPr>
            </w:pPr>
          </w:p>
        </w:tc>
      </w:tr>
      <w:tr w14:paraId="68714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026" w:type="dxa"/>
            <w:noWrap w:val="0"/>
            <w:vAlign w:val="center"/>
          </w:tcPr>
          <w:p w14:paraId="737DC27D">
            <w:pPr>
              <w:wordWrap w:val="0"/>
              <w:jc w:val="center"/>
              <w:rPr>
                <w:rFonts w:hint="eastAsia" w:ascii="宋体" w:hAnsi="宋体"/>
                <w:color w:val="auto"/>
                <w:sz w:val="22"/>
                <w:szCs w:val="18"/>
              </w:rPr>
            </w:pPr>
            <w:r>
              <w:rPr>
                <w:rFonts w:hint="eastAsia" w:ascii="宋体" w:hAnsi="宋体"/>
                <w:color w:val="auto"/>
                <w:sz w:val="22"/>
                <w:szCs w:val="18"/>
              </w:rPr>
              <w:t>2</w:t>
            </w:r>
          </w:p>
        </w:tc>
        <w:tc>
          <w:tcPr>
            <w:tcW w:w="2047" w:type="dxa"/>
            <w:noWrap w:val="0"/>
            <w:vAlign w:val="center"/>
          </w:tcPr>
          <w:p w14:paraId="0C8F92C3">
            <w:pPr>
              <w:wordWrap w:val="0"/>
              <w:jc w:val="center"/>
              <w:rPr>
                <w:rFonts w:hint="eastAsia" w:ascii="宋体" w:hAnsi="宋体" w:eastAsia="宋体"/>
                <w:color w:val="auto"/>
                <w:sz w:val="22"/>
                <w:szCs w:val="18"/>
                <w:lang w:eastAsia="zh-CN"/>
              </w:rPr>
            </w:pPr>
            <w:r>
              <w:rPr>
                <w:rFonts w:hint="eastAsia" w:ascii="宋体" w:hAnsi="宋体"/>
                <w:color w:val="auto"/>
                <w:sz w:val="22"/>
                <w:szCs w:val="18"/>
                <w:lang w:val="en-US" w:eastAsia="zh-CN"/>
              </w:rPr>
              <w:t>供货期</w:t>
            </w:r>
          </w:p>
        </w:tc>
        <w:tc>
          <w:tcPr>
            <w:tcW w:w="2256" w:type="dxa"/>
            <w:noWrap w:val="0"/>
            <w:vAlign w:val="center"/>
          </w:tcPr>
          <w:p w14:paraId="0921B8AE">
            <w:pPr>
              <w:wordWrap w:val="0"/>
              <w:ind w:firstLine="440" w:firstLineChars="200"/>
              <w:jc w:val="left"/>
              <w:rPr>
                <w:rFonts w:hint="eastAsia" w:ascii="宋体" w:hAnsi="宋体"/>
                <w:color w:val="auto"/>
                <w:sz w:val="22"/>
                <w:szCs w:val="18"/>
              </w:rPr>
            </w:pPr>
          </w:p>
        </w:tc>
        <w:tc>
          <w:tcPr>
            <w:tcW w:w="1554" w:type="dxa"/>
            <w:noWrap w:val="0"/>
            <w:vAlign w:val="center"/>
          </w:tcPr>
          <w:p w14:paraId="654CC345">
            <w:pPr>
              <w:wordWrap w:val="0"/>
              <w:jc w:val="center"/>
              <w:rPr>
                <w:rFonts w:ascii="宋体" w:hAnsi="宋体"/>
                <w:color w:val="auto"/>
                <w:sz w:val="22"/>
                <w:szCs w:val="18"/>
              </w:rPr>
            </w:pPr>
          </w:p>
        </w:tc>
      </w:tr>
      <w:tr w14:paraId="231AB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026" w:type="dxa"/>
            <w:noWrap w:val="0"/>
            <w:vAlign w:val="center"/>
          </w:tcPr>
          <w:p w14:paraId="52D27E95">
            <w:pPr>
              <w:wordWrap w:val="0"/>
              <w:jc w:val="center"/>
              <w:rPr>
                <w:rFonts w:ascii="宋体" w:hAnsi="宋体"/>
                <w:color w:val="auto"/>
                <w:sz w:val="22"/>
                <w:szCs w:val="18"/>
              </w:rPr>
            </w:pPr>
            <w:r>
              <w:rPr>
                <w:rFonts w:hint="eastAsia" w:ascii="宋体" w:hAnsi="宋体"/>
                <w:color w:val="auto"/>
                <w:sz w:val="22"/>
                <w:szCs w:val="18"/>
              </w:rPr>
              <w:t>3</w:t>
            </w:r>
          </w:p>
        </w:tc>
        <w:tc>
          <w:tcPr>
            <w:tcW w:w="2047" w:type="dxa"/>
            <w:noWrap w:val="0"/>
            <w:vAlign w:val="center"/>
          </w:tcPr>
          <w:p w14:paraId="483D2D19">
            <w:pPr>
              <w:wordWrap w:val="0"/>
              <w:jc w:val="center"/>
              <w:rPr>
                <w:rFonts w:hint="eastAsia" w:ascii="宋体" w:hAnsi="宋体" w:eastAsia="宋体"/>
                <w:color w:val="auto"/>
                <w:sz w:val="22"/>
                <w:szCs w:val="18"/>
                <w:lang w:eastAsia="zh-CN"/>
              </w:rPr>
            </w:pPr>
            <w:r>
              <w:rPr>
                <w:rFonts w:hint="eastAsia" w:ascii="宋体" w:hAnsi="宋体"/>
                <w:color w:val="auto"/>
                <w:sz w:val="22"/>
                <w:szCs w:val="18"/>
                <w:lang w:eastAsia="zh-CN"/>
              </w:rPr>
              <w:t>质量要求</w:t>
            </w:r>
          </w:p>
        </w:tc>
        <w:tc>
          <w:tcPr>
            <w:tcW w:w="2256" w:type="dxa"/>
            <w:noWrap w:val="0"/>
            <w:vAlign w:val="center"/>
          </w:tcPr>
          <w:p w14:paraId="24379BA4">
            <w:pPr>
              <w:wordWrap w:val="0"/>
              <w:jc w:val="left"/>
              <w:rPr>
                <w:rFonts w:ascii="宋体" w:hAnsi="宋体"/>
                <w:color w:val="auto"/>
                <w:sz w:val="22"/>
                <w:szCs w:val="18"/>
              </w:rPr>
            </w:pPr>
          </w:p>
        </w:tc>
        <w:tc>
          <w:tcPr>
            <w:tcW w:w="1554" w:type="dxa"/>
            <w:noWrap w:val="0"/>
            <w:vAlign w:val="center"/>
          </w:tcPr>
          <w:p w14:paraId="5545BE07">
            <w:pPr>
              <w:wordWrap w:val="0"/>
              <w:jc w:val="center"/>
              <w:rPr>
                <w:rFonts w:ascii="宋体" w:hAnsi="宋体"/>
                <w:color w:val="auto"/>
                <w:sz w:val="22"/>
                <w:szCs w:val="18"/>
              </w:rPr>
            </w:pPr>
          </w:p>
        </w:tc>
      </w:tr>
      <w:tr w14:paraId="0EA2C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026" w:type="dxa"/>
            <w:noWrap w:val="0"/>
            <w:vAlign w:val="center"/>
          </w:tcPr>
          <w:p w14:paraId="691AA9AB">
            <w:pPr>
              <w:wordWrap w:val="0"/>
              <w:jc w:val="center"/>
              <w:rPr>
                <w:rFonts w:hint="eastAsia" w:ascii="宋体" w:hAnsi="宋体"/>
                <w:color w:val="auto"/>
                <w:sz w:val="22"/>
                <w:szCs w:val="18"/>
              </w:rPr>
            </w:pPr>
          </w:p>
        </w:tc>
        <w:tc>
          <w:tcPr>
            <w:tcW w:w="2047" w:type="dxa"/>
            <w:noWrap w:val="0"/>
            <w:vAlign w:val="center"/>
          </w:tcPr>
          <w:p w14:paraId="53C2AE52">
            <w:pPr>
              <w:wordWrap w:val="0"/>
              <w:jc w:val="center"/>
              <w:rPr>
                <w:rFonts w:hint="eastAsia" w:ascii="宋体" w:hAnsi="宋体" w:eastAsia="宋体"/>
                <w:color w:val="auto"/>
                <w:sz w:val="22"/>
                <w:szCs w:val="18"/>
                <w:lang w:eastAsia="zh-CN"/>
              </w:rPr>
            </w:pPr>
            <w:r>
              <w:rPr>
                <w:rFonts w:hint="eastAsia" w:ascii="宋体" w:hAnsi="宋体"/>
                <w:color w:val="auto"/>
                <w:sz w:val="22"/>
                <w:szCs w:val="18"/>
                <w:lang w:eastAsia="zh-CN"/>
              </w:rPr>
              <w:t>供货地点</w:t>
            </w:r>
          </w:p>
        </w:tc>
        <w:tc>
          <w:tcPr>
            <w:tcW w:w="2256" w:type="dxa"/>
            <w:noWrap w:val="0"/>
            <w:vAlign w:val="center"/>
          </w:tcPr>
          <w:p w14:paraId="1BA01F70">
            <w:pPr>
              <w:wordWrap w:val="0"/>
              <w:jc w:val="left"/>
              <w:rPr>
                <w:rFonts w:hint="eastAsia" w:ascii="宋体" w:hAnsi="宋体"/>
                <w:color w:val="auto"/>
                <w:sz w:val="22"/>
                <w:szCs w:val="18"/>
              </w:rPr>
            </w:pPr>
          </w:p>
        </w:tc>
        <w:tc>
          <w:tcPr>
            <w:tcW w:w="1554" w:type="dxa"/>
            <w:noWrap w:val="0"/>
            <w:vAlign w:val="center"/>
          </w:tcPr>
          <w:p w14:paraId="6E399FE7">
            <w:pPr>
              <w:wordWrap w:val="0"/>
              <w:jc w:val="center"/>
              <w:rPr>
                <w:rFonts w:ascii="宋体" w:hAnsi="宋体"/>
                <w:color w:val="auto"/>
                <w:sz w:val="22"/>
                <w:szCs w:val="18"/>
              </w:rPr>
            </w:pPr>
          </w:p>
        </w:tc>
      </w:tr>
      <w:tr w14:paraId="07170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026" w:type="dxa"/>
            <w:noWrap w:val="0"/>
            <w:vAlign w:val="center"/>
          </w:tcPr>
          <w:p w14:paraId="22CC0199">
            <w:pPr>
              <w:wordWrap w:val="0"/>
              <w:jc w:val="center"/>
              <w:rPr>
                <w:rFonts w:ascii="宋体" w:hAnsi="宋体"/>
                <w:color w:val="auto"/>
                <w:sz w:val="22"/>
                <w:szCs w:val="18"/>
              </w:rPr>
            </w:pPr>
            <w:r>
              <w:rPr>
                <w:rFonts w:hint="eastAsia" w:ascii="宋体" w:hAnsi="宋体"/>
                <w:color w:val="auto"/>
                <w:sz w:val="22"/>
                <w:szCs w:val="18"/>
              </w:rPr>
              <w:t>4</w:t>
            </w:r>
          </w:p>
        </w:tc>
        <w:tc>
          <w:tcPr>
            <w:tcW w:w="2047" w:type="dxa"/>
            <w:noWrap w:val="0"/>
            <w:vAlign w:val="center"/>
          </w:tcPr>
          <w:p w14:paraId="4244F113">
            <w:pPr>
              <w:wordWrap w:val="0"/>
              <w:jc w:val="center"/>
              <w:rPr>
                <w:rFonts w:ascii="宋体" w:hAnsi="宋体"/>
                <w:color w:val="auto"/>
                <w:sz w:val="22"/>
                <w:szCs w:val="18"/>
              </w:rPr>
            </w:pPr>
            <w:r>
              <w:rPr>
                <w:rFonts w:hint="eastAsia" w:ascii="宋体" w:hAnsi="宋体"/>
                <w:color w:val="auto"/>
                <w:sz w:val="22"/>
                <w:szCs w:val="18"/>
              </w:rPr>
              <w:t>联合体投标</w:t>
            </w:r>
          </w:p>
        </w:tc>
        <w:tc>
          <w:tcPr>
            <w:tcW w:w="2256" w:type="dxa"/>
            <w:noWrap w:val="0"/>
            <w:vAlign w:val="center"/>
          </w:tcPr>
          <w:p w14:paraId="55C3D7D8">
            <w:pPr>
              <w:wordWrap w:val="0"/>
              <w:jc w:val="left"/>
              <w:rPr>
                <w:rFonts w:ascii="宋体" w:hAnsi="宋体"/>
                <w:color w:val="auto"/>
                <w:sz w:val="22"/>
                <w:szCs w:val="18"/>
              </w:rPr>
            </w:pPr>
            <w:r>
              <w:rPr>
                <w:rFonts w:hint="eastAsia" w:ascii="宋体" w:hAnsi="宋体"/>
                <w:color w:val="auto"/>
                <w:sz w:val="22"/>
                <w:szCs w:val="18"/>
              </w:rPr>
              <w:t>不接受</w:t>
            </w:r>
          </w:p>
        </w:tc>
        <w:tc>
          <w:tcPr>
            <w:tcW w:w="1554" w:type="dxa"/>
            <w:noWrap w:val="0"/>
            <w:vAlign w:val="center"/>
          </w:tcPr>
          <w:p w14:paraId="5A84DE57">
            <w:pPr>
              <w:wordWrap w:val="0"/>
              <w:jc w:val="center"/>
              <w:rPr>
                <w:rFonts w:ascii="宋体" w:hAnsi="宋体"/>
                <w:color w:val="auto"/>
                <w:sz w:val="22"/>
                <w:szCs w:val="18"/>
              </w:rPr>
            </w:pPr>
          </w:p>
        </w:tc>
      </w:tr>
      <w:tr w14:paraId="7DEDF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026" w:type="dxa"/>
            <w:noWrap w:val="0"/>
            <w:vAlign w:val="center"/>
          </w:tcPr>
          <w:p w14:paraId="4E64DC1F">
            <w:pPr>
              <w:wordWrap w:val="0"/>
              <w:jc w:val="center"/>
              <w:rPr>
                <w:rFonts w:ascii="宋体" w:hAnsi="宋体"/>
                <w:color w:val="auto"/>
                <w:sz w:val="22"/>
                <w:szCs w:val="18"/>
              </w:rPr>
            </w:pPr>
            <w:r>
              <w:rPr>
                <w:rFonts w:hint="eastAsia" w:ascii="宋体" w:hAnsi="宋体"/>
                <w:color w:val="auto"/>
                <w:sz w:val="22"/>
                <w:szCs w:val="18"/>
              </w:rPr>
              <w:t>5</w:t>
            </w:r>
          </w:p>
        </w:tc>
        <w:tc>
          <w:tcPr>
            <w:tcW w:w="2047" w:type="dxa"/>
            <w:noWrap w:val="0"/>
            <w:vAlign w:val="center"/>
          </w:tcPr>
          <w:p w14:paraId="1D328957">
            <w:pPr>
              <w:wordWrap w:val="0"/>
              <w:jc w:val="center"/>
              <w:rPr>
                <w:rFonts w:ascii="宋体" w:hAnsi="宋体"/>
                <w:color w:val="auto"/>
                <w:sz w:val="22"/>
                <w:szCs w:val="18"/>
              </w:rPr>
            </w:pPr>
            <w:r>
              <w:rPr>
                <w:rFonts w:hint="eastAsia" w:ascii="宋体" w:hAnsi="宋体"/>
                <w:color w:val="auto"/>
                <w:sz w:val="22"/>
                <w:szCs w:val="18"/>
              </w:rPr>
              <w:t>分包</w:t>
            </w:r>
          </w:p>
        </w:tc>
        <w:tc>
          <w:tcPr>
            <w:tcW w:w="2256" w:type="dxa"/>
            <w:noWrap w:val="0"/>
            <w:vAlign w:val="center"/>
          </w:tcPr>
          <w:p w14:paraId="2455DF29">
            <w:pPr>
              <w:wordWrap w:val="0"/>
              <w:jc w:val="left"/>
              <w:rPr>
                <w:rFonts w:ascii="宋体" w:hAnsi="宋体"/>
                <w:color w:val="auto"/>
                <w:sz w:val="22"/>
                <w:szCs w:val="18"/>
              </w:rPr>
            </w:pPr>
            <w:r>
              <w:rPr>
                <w:rFonts w:hint="eastAsia" w:ascii="宋体" w:hAnsi="宋体"/>
                <w:color w:val="auto"/>
                <w:sz w:val="22"/>
                <w:szCs w:val="18"/>
              </w:rPr>
              <w:t>不允许</w:t>
            </w:r>
          </w:p>
        </w:tc>
        <w:tc>
          <w:tcPr>
            <w:tcW w:w="1554" w:type="dxa"/>
            <w:noWrap w:val="0"/>
            <w:vAlign w:val="center"/>
          </w:tcPr>
          <w:p w14:paraId="43BC538D">
            <w:pPr>
              <w:wordWrap w:val="0"/>
              <w:jc w:val="center"/>
              <w:rPr>
                <w:rFonts w:ascii="宋体" w:hAnsi="宋体"/>
                <w:color w:val="auto"/>
                <w:sz w:val="22"/>
                <w:szCs w:val="18"/>
              </w:rPr>
            </w:pPr>
          </w:p>
        </w:tc>
      </w:tr>
      <w:tr w14:paraId="37A77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026" w:type="dxa"/>
            <w:noWrap w:val="0"/>
            <w:vAlign w:val="center"/>
          </w:tcPr>
          <w:p w14:paraId="0DC1778F">
            <w:pPr>
              <w:wordWrap w:val="0"/>
              <w:jc w:val="center"/>
              <w:rPr>
                <w:rFonts w:ascii="宋体" w:hAnsi="宋体"/>
                <w:color w:val="auto"/>
                <w:sz w:val="22"/>
                <w:szCs w:val="18"/>
              </w:rPr>
            </w:pPr>
            <w:r>
              <w:rPr>
                <w:rFonts w:hint="eastAsia" w:ascii="宋体" w:hAnsi="宋体"/>
                <w:color w:val="auto"/>
                <w:sz w:val="22"/>
                <w:szCs w:val="18"/>
              </w:rPr>
              <w:t>6</w:t>
            </w:r>
          </w:p>
        </w:tc>
        <w:tc>
          <w:tcPr>
            <w:tcW w:w="2047" w:type="dxa"/>
            <w:noWrap w:val="0"/>
            <w:vAlign w:val="center"/>
          </w:tcPr>
          <w:p w14:paraId="09E032AB">
            <w:pPr>
              <w:wordWrap w:val="0"/>
              <w:jc w:val="center"/>
              <w:rPr>
                <w:rFonts w:ascii="宋体" w:hAnsi="宋体"/>
                <w:color w:val="auto"/>
                <w:sz w:val="22"/>
                <w:szCs w:val="18"/>
              </w:rPr>
            </w:pPr>
            <w:r>
              <w:rPr>
                <w:rFonts w:hint="eastAsia" w:ascii="宋体" w:hAnsi="宋体"/>
                <w:color w:val="auto"/>
                <w:sz w:val="22"/>
                <w:szCs w:val="18"/>
                <w:lang w:eastAsia="zh-CN"/>
              </w:rPr>
              <w:t>谈判</w:t>
            </w:r>
            <w:r>
              <w:rPr>
                <w:rFonts w:hint="eastAsia" w:ascii="宋体" w:hAnsi="宋体"/>
                <w:color w:val="auto"/>
                <w:sz w:val="22"/>
                <w:szCs w:val="18"/>
              </w:rPr>
              <w:t>有效期</w:t>
            </w:r>
          </w:p>
        </w:tc>
        <w:tc>
          <w:tcPr>
            <w:tcW w:w="2256" w:type="dxa"/>
            <w:noWrap w:val="0"/>
            <w:vAlign w:val="center"/>
          </w:tcPr>
          <w:p w14:paraId="033981C1">
            <w:pPr>
              <w:wordWrap w:val="0"/>
              <w:jc w:val="left"/>
              <w:rPr>
                <w:rFonts w:ascii="宋体" w:hAnsi="宋体"/>
                <w:color w:val="auto"/>
                <w:sz w:val="22"/>
                <w:szCs w:val="18"/>
              </w:rPr>
            </w:pPr>
            <w:r>
              <w:rPr>
                <w:rFonts w:hint="eastAsia" w:ascii="宋体" w:hAnsi="宋体"/>
                <w:color w:val="auto"/>
                <w:sz w:val="22"/>
                <w:szCs w:val="18"/>
              </w:rPr>
              <w:t>响应文件截止之日后90天（日历天）</w:t>
            </w:r>
          </w:p>
        </w:tc>
        <w:tc>
          <w:tcPr>
            <w:tcW w:w="1554" w:type="dxa"/>
            <w:noWrap w:val="0"/>
            <w:vAlign w:val="center"/>
          </w:tcPr>
          <w:p w14:paraId="5F30CE61">
            <w:pPr>
              <w:wordWrap w:val="0"/>
              <w:jc w:val="center"/>
              <w:rPr>
                <w:rFonts w:ascii="宋体" w:hAnsi="宋体"/>
                <w:color w:val="auto"/>
                <w:sz w:val="22"/>
                <w:szCs w:val="18"/>
              </w:rPr>
            </w:pPr>
          </w:p>
        </w:tc>
      </w:tr>
      <w:tr w14:paraId="2F3FB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026" w:type="dxa"/>
            <w:noWrap w:val="0"/>
            <w:vAlign w:val="center"/>
          </w:tcPr>
          <w:p w14:paraId="6DF0AE78">
            <w:pPr>
              <w:wordWrap w:val="0"/>
              <w:jc w:val="center"/>
              <w:rPr>
                <w:rFonts w:hint="default" w:ascii="宋体" w:hAnsi="宋体" w:eastAsia="宋体"/>
                <w:color w:val="auto"/>
                <w:sz w:val="22"/>
                <w:szCs w:val="18"/>
                <w:lang w:val="en-US" w:eastAsia="zh-CN"/>
              </w:rPr>
            </w:pPr>
            <w:r>
              <w:rPr>
                <w:rFonts w:hint="eastAsia" w:ascii="宋体" w:hAnsi="宋体"/>
                <w:color w:val="auto"/>
                <w:sz w:val="22"/>
                <w:szCs w:val="18"/>
                <w:lang w:val="en-US" w:eastAsia="zh-CN"/>
              </w:rPr>
              <w:t>7</w:t>
            </w:r>
          </w:p>
        </w:tc>
        <w:tc>
          <w:tcPr>
            <w:tcW w:w="2047" w:type="dxa"/>
            <w:noWrap w:val="0"/>
            <w:vAlign w:val="center"/>
          </w:tcPr>
          <w:p w14:paraId="64750052">
            <w:pPr>
              <w:wordWrap w:val="0"/>
              <w:jc w:val="center"/>
              <w:rPr>
                <w:rFonts w:hint="eastAsia" w:ascii="宋体" w:hAnsi="宋体"/>
                <w:color w:val="auto"/>
                <w:sz w:val="22"/>
                <w:szCs w:val="18"/>
              </w:rPr>
            </w:pPr>
            <w:r>
              <w:rPr>
                <w:rFonts w:hint="eastAsia" w:ascii="宋体" w:hAnsi="宋体"/>
                <w:color w:val="auto"/>
                <w:sz w:val="22"/>
                <w:szCs w:val="18"/>
              </w:rPr>
              <w:t>权利义务</w:t>
            </w:r>
          </w:p>
        </w:tc>
        <w:tc>
          <w:tcPr>
            <w:tcW w:w="2256" w:type="dxa"/>
            <w:noWrap w:val="0"/>
            <w:vAlign w:val="center"/>
          </w:tcPr>
          <w:p w14:paraId="1E2B4293">
            <w:pPr>
              <w:wordWrap w:val="0"/>
              <w:jc w:val="left"/>
              <w:rPr>
                <w:rFonts w:hint="eastAsia" w:ascii="宋体" w:hAnsi="宋体"/>
                <w:color w:val="auto"/>
                <w:sz w:val="22"/>
                <w:szCs w:val="18"/>
              </w:rPr>
            </w:pPr>
            <w:r>
              <w:rPr>
                <w:rFonts w:hint="eastAsia" w:ascii="宋体" w:hAnsi="宋体"/>
                <w:color w:val="auto"/>
                <w:sz w:val="22"/>
                <w:szCs w:val="18"/>
              </w:rPr>
              <w:t>符合第</w:t>
            </w:r>
            <w:r>
              <w:rPr>
                <w:rFonts w:hint="eastAsia" w:ascii="宋体" w:hAnsi="宋体"/>
                <w:color w:val="auto"/>
                <w:sz w:val="22"/>
                <w:szCs w:val="18"/>
                <w:lang w:eastAsia="zh-CN"/>
              </w:rPr>
              <w:t>五</w:t>
            </w:r>
            <w:r>
              <w:rPr>
                <w:rFonts w:hint="eastAsia" w:ascii="宋体" w:hAnsi="宋体"/>
                <w:color w:val="auto"/>
                <w:sz w:val="22"/>
                <w:szCs w:val="18"/>
              </w:rPr>
              <w:t>章“合同</w:t>
            </w:r>
            <w:r>
              <w:rPr>
                <w:rFonts w:hint="eastAsia" w:ascii="宋体" w:hAnsi="宋体"/>
                <w:color w:val="auto"/>
                <w:sz w:val="22"/>
                <w:szCs w:val="18"/>
                <w:lang w:eastAsia="zh-CN"/>
              </w:rPr>
              <w:t>主要</w:t>
            </w:r>
            <w:r>
              <w:rPr>
                <w:rFonts w:hint="eastAsia" w:ascii="宋体" w:hAnsi="宋体"/>
                <w:color w:val="auto"/>
                <w:sz w:val="22"/>
                <w:szCs w:val="18"/>
              </w:rPr>
              <w:t>条款及格式”规定</w:t>
            </w:r>
          </w:p>
        </w:tc>
        <w:tc>
          <w:tcPr>
            <w:tcW w:w="1554" w:type="dxa"/>
            <w:noWrap w:val="0"/>
            <w:vAlign w:val="center"/>
          </w:tcPr>
          <w:p w14:paraId="36F62951">
            <w:pPr>
              <w:wordWrap w:val="0"/>
              <w:jc w:val="center"/>
              <w:rPr>
                <w:rFonts w:ascii="宋体" w:hAnsi="宋体"/>
                <w:color w:val="auto"/>
                <w:sz w:val="22"/>
                <w:szCs w:val="18"/>
              </w:rPr>
            </w:pPr>
          </w:p>
        </w:tc>
      </w:tr>
      <w:tr w14:paraId="28BC9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026" w:type="dxa"/>
            <w:noWrap w:val="0"/>
            <w:vAlign w:val="center"/>
          </w:tcPr>
          <w:p w14:paraId="04BAFBF7">
            <w:pPr>
              <w:wordWrap w:val="0"/>
              <w:jc w:val="center"/>
              <w:rPr>
                <w:rFonts w:ascii="宋体" w:hAnsi="宋体"/>
                <w:color w:val="auto"/>
                <w:sz w:val="22"/>
                <w:szCs w:val="18"/>
              </w:rPr>
            </w:pPr>
            <w:r>
              <w:rPr>
                <w:rFonts w:hint="eastAsia" w:ascii="宋体" w:hAnsi="宋体"/>
                <w:color w:val="auto"/>
                <w:sz w:val="22"/>
                <w:szCs w:val="18"/>
              </w:rPr>
              <w:t>……</w:t>
            </w:r>
          </w:p>
        </w:tc>
        <w:tc>
          <w:tcPr>
            <w:tcW w:w="2047" w:type="dxa"/>
            <w:noWrap w:val="0"/>
            <w:vAlign w:val="center"/>
          </w:tcPr>
          <w:p w14:paraId="57BC2CAE">
            <w:pPr>
              <w:wordWrap w:val="0"/>
              <w:jc w:val="center"/>
              <w:rPr>
                <w:rFonts w:ascii="宋体" w:hAnsi="宋体"/>
                <w:color w:val="auto"/>
                <w:sz w:val="22"/>
                <w:szCs w:val="18"/>
              </w:rPr>
            </w:pPr>
            <w:r>
              <w:rPr>
                <w:rFonts w:hint="eastAsia" w:ascii="宋体" w:hAnsi="宋体"/>
                <w:color w:val="auto"/>
                <w:sz w:val="22"/>
                <w:szCs w:val="18"/>
              </w:rPr>
              <w:t>……</w:t>
            </w:r>
          </w:p>
        </w:tc>
        <w:tc>
          <w:tcPr>
            <w:tcW w:w="2256" w:type="dxa"/>
            <w:noWrap w:val="0"/>
            <w:vAlign w:val="center"/>
          </w:tcPr>
          <w:p w14:paraId="4A89405C">
            <w:pPr>
              <w:wordWrap w:val="0"/>
              <w:jc w:val="center"/>
              <w:rPr>
                <w:rFonts w:ascii="宋体" w:hAnsi="宋体"/>
                <w:color w:val="auto"/>
                <w:sz w:val="22"/>
                <w:szCs w:val="18"/>
              </w:rPr>
            </w:pPr>
          </w:p>
        </w:tc>
        <w:tc>
          <w:tcPr>
            <w:tcW w:w="1554" w:type="dxa"/>
            <w:noWrap w:val="0"/>
            <w:vAlign w:val="center"/>
          </w:tcPr>
          <w:p w14:paraId="034C85D5">
            <w:pPr>
              <w:wordWrap w:val="0"/>
              <w:jc w:val="center"/>
              <w:rPr>
                <w:rFonts w:ascii="宋体" w:hAnsi="宋体"/>
                <w:color w:val="auto"/>
                <w:sz w:val="22"/>
                <w:szCs w:val="18"/>
              </w:rPr>
            </w:pPr>
          </w:p>
        </w:tc>
      </w:tr>
    </w:tbl>
    <w:p w14:paraId="67A3E2D2">
      <w:pPr>
        <w:wordWrap w:val="0"/>
        <w:spacing w:line="480" w:lineRule="auto"/>
        <w:ind w:firstLine="480" w:firstLineChars="200"/>
        <w:rPr>
          <w:rFonts w:hint="eastAsia" w:ascii="宋体" w:hAnsi="宋体"/>
          <w:color w:val="auto"/>
          <w:sz w:val="24"/>
        </w:rPr>
      </w:pPr>
    </w:p>
    <w:p w14:paraId="473CABF4">
      <w:pPr>
        <w:wordWrap w:val="0"/>
        <w:spacing w:line="480" w:lineRule="auto"/>
        <w:ind w:firstLine="480" w:firstLineChars="200"/>
        <w:rPr>
          <w:rFonts w:hint="eastAsia" w:ascii="宋体" w:hAnsi="宋体"/>
          <w:color w:val="auto"/>
          <w:sz w:val="24"/>
        </w:rPr>
      </w:pPr>
    </w:p>
    <w:p w14:paraId="03E3C4FA">
      <w:pPr>
        <w:wordWrap w:val="0"/>
        <w:spacing w:line="480" w:lineRule="auto"/>
        <w:ind w:firstLine="480" w:firstLineChars="200"/>
        <w:rPr>
          <w:rFonts w:hint="eastAsia" w:ascii="宋体" w:hAnsi="宋体"/>
          <w:color w:val="auto"/>
          <w:sz w:val="24"/>
        </w:rPr>
      </w:pPr>
    </w:p>
    <w:p w14:paraId="347C7CEA">
      <w:pPr>
        <w:wordWrap w:val="0"/>
        <w:spacing w:line="480" w:lineRule="auto"/>
        <w:ind w:firstLine="480" w:firstLineChars="200"/>
        <w:rPr>
          <w:rFonts w:hint="eastAsia" w:ascii="宋体" w:hAnsi="宋体"/>
          <w:color w:val="auto"/>
          <w:sz w:val="24"/>
        </w:rPr>
      </w:pPr>
    </w:p>
    <w:p w14:paraId="523AD68E">
      <w:pPr>
        <w:wordWrap w:val="0"/>
        <w:spacing w:line="480" w:lineRule="auto"/>
        <w:ind w:firstLine="480" w:firstLineChars="200"/>
        <w:rPr>
          <w:rFonts w:hint="eastAsia" w:ascii="宋体" w:hAnsi="宋体"/>
          <w:color w:val="auto"/>
          <w:sz w:val="24"/>
        </w:rPr>
      </w:pPr>
    </w:p>
    <w:p w14:paraId="39B05DFB">
      <w:pPr>
        <w:wordWrap w:val="0"/>
        <w:spacing w:line="480" w:lineRule="auto"/>
        <w:ind w:firstLine="480" w:firstLineChars="200"/>
        <w:rPr>
          <w:rFonts w:ascii="宋体" w:hAnsi="宋体"/>
          <w:color w:val="auto"/>
          <w:sz w:val="24"/>
        </w:rPr>
      </w:pPr>
      <w:r>
        <w:rPr>
          <w:rFonts w:hint="eastAsia" w:ascii="宋体" w:hAnsi="宋体"/>
          <w:color w:val="auto"/>
          <w:sz w:val="24"/>
        </w:rPr>
        <w:t>供应商名称：</w:t>
      </w:r>
      <w:r>
        <w:rPr>
          <w:rFonts w:hint="eastAsia" w:ascii="宋体" w:hAnsi="宋体"/>
          <w:color w:val="auto"/>
          <w:sz w:val="24"/>
          <w:szCs w:val="21"/>
          <w:u w:val="single"/>
        </w:rPr>
        <w:t xml:space="preserve">                                 </w:t>
      </w:r>
      <w:r>
        <w:rPr>
          <w:rFonts w:hint="eastAsia" w:ascii="宋体" w:hAnsi="宋体"/>
          <w:color w:val="auto"/>
          <w:sz w:val="24"/>
        </w:rPr>
        <w:t>（盖单位公章）</w:t>
      </w:r>
    </w:p>
    <w:p w14:paraId="71A9F314">
      <w:pPr>
        <w:wordWrap w:val="0"/>
        <w:spacing w:line="480" w:lineRule="auto"/>
        <w:ind w:firstLine="480" w:firstLineChars="200"/>
        <w:rPr>
          <w:rFonts w:ascii="宋体" w:hAnsi="宋体"/>
          <w:color w:val="auto"/>
          <w:sz w:val="24"/>
        </w:rPr>
      </w:pPr>
      <w:r>
        <w:rPr>
          <w:rFonts w:hint="eastAsia" w:ascii="宋体" w:hAnsi="宋体"/>
          <w:bCs/>
          <w:color w:val="auto"/>
          <w:sz w:val="24"/>
        </w:rPr>
        <w:t>法定代表人或委托代理人</w:t>
      </w:r>
      <w:r>
        <w:rPr>
          <w:rFonts w:hint="eastAsia" w:ascii="宋体" w:hAnsi="宋体"/>
          <w:color w:val="auto"/>
          <w:sz w:val="24"/>
        </w:rPr>
        <w:t>：</w:t>
      </w:r>
      <w:r>
        <w:rPr>
          <w:rFonts w:hint="eastAsia" w:ascii="宋体" w:hAnsi="宋体"/>
          <w:color w:val="auto"/>
          <w:sz w:val="24"/>
          <w:u w:val="single"/>
        </w:rPr>
        <w:t xml:space="preserve">                     </w:t>
      </w:r>
      <w:r>
        <w:rPr>
          <w:rFonts w:hint="eastAsia" w:ascii="宋体" w:hAnsi="宋体"/>
          <w:color w:val="auto"/>
          <w:sz w:val="24"/>
        </w:rPr>
        <w:t>（签字或签章）</w:t>
      </w:r>
    </w:p>
    <w:p w14:paraId="3E760484">
      <w:pPr>
        <w:wordWrap w:val="0"/>
        <w:spacing w:line="480" w:lineRule="auto"/>
        <w:ind w:firstLine="480" w:firstLineChars="200"/>
        <w:rPr>
          <w:rFonts w:ascii="宋体" w:hAnsi="宋体"/>
          <w:color w:val="auto"/>
          <w:sz w:val="24"/>
        </w:rPr>
      </w:pPr>
      <w:r>
        <w:rPr>
          <w:rFonts w:hint="eastAsia" w:ascii="宋体" w:hAnsi="宋体"/>
          <w:color w:val="auto"/>
          <w:sz w:val="24"/>
        </w:rPr>
        <w:t>日      期：</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w:t>
      </w:r>
    </w:p>
    <w:p w14:paraId="4A00F059">
      <w:pPr>
        <w:rPr>
          <w:rFonts w:hint="eastAsia" w:ascii="宋体" w:hAnsi="宋体" w:cs="宋体"/>
        </w:rPr>
      </w:pPr>
    </w:p>
    <w:p w14:paraId="286D887D">
      <w:pPr>
        <w:rPr>
          <w:rFonts w:hint="eastAsia" w:ascii="宋体" w:hAnsi="宋体" w:cs="宋体"/>
        </w:rPr>
      </w:pPr>
      <w:r>
        <w:rPr>
          <w:rFonts w:hint="eastAsia" w:ascii="宋体" w:hAnsi="宋体" w:cs="宋体"/>
        </w:rPr>
        <w:br w:type="page"/>
      </w:r>
    </w:p>
    <w:p w14:paraId="77CF33F8">
      <w:pPr>
        <w:pStyle w:val="3"/>
        <w:jc w:val="center"/>
        <w:rPr>
          <w:rFonts w:ascii="宋体" w:hAnsi="宋体" w:cs="宋体"/>
        </w:rPr>
      </w:pPr>
      <w:bookmarkStart w:id="58" w:name="_Toc14284"/>
      <w:r>
        <w:rPr>
          <w:rFonts w:hint="eastAsia" w:ascii="宋体" w:hAnsi="宋体" w:cs="宋体"/>
        </w:rPr>
        <w:t>二、法定代表人身份证明</w:t>
      </w:r>
      <w:bookmarkEnd w:id="48"/>
      <w:bookmarkEnd w:id="49"/>
      <w:bookmarkEnd w:id="50"/>
      <w:bookmarkEnd w:id="51"/>
      <w:bookmarkEnd w:id="52"/>
      <w:bookmarkEnd w:id="53"/>
      <w:bookmarkEnd w:id="54"/>
      <w:bookmarkEnd w:id="55"/>
      <w:bookmarkEnd w:id="56"/>
      <w:bookmarkEnd w:id="57"/>
      <w:bookmarkEnd w:id="58"/>
    </w:p>
    <w:p w14:paraId="1A6FFE71">
      <w:pPr>
        <w:spacing w:line="480" w:lineRule="auto"/>
        <w:ind w:firstLine="480" w:firstLineChars="200"/>
        <w:rPr>
          <w:rFonts w:ascii="宋体" w:hAnsi="宋体" w:cs="宋体"/>
          <w:szCs w:val="21"/>
          <w:u w:val="single"/>
        </w:rPr>
      </w:pPr>
      <w:r>
        <w:rPr>
          <w:rFonts w:hint="eastAsia" w:ascii="宋体" w:hAnsi="宋体"/>
          <w:color w:val="auto"/>
          <w:sz w:val="24"/>
          <w:szCs w:val="21"/>
        </w:rPr>
        <w:t>供应商名称</w:t>
      </w:r>
      <w:r>
        <w:rPr>
          <w:rFonts w:hint="eastAsia" w:ascii="宋体" w:hAnsi="宋体" w:cs="宋体"/>
          <w:szCs w:val="21"/>
        </w:rPr>
        <w:t>：</w:t>
      </w:r>
      <w:r>
        <w:rPr>
          <w:rFonts w:hint="eastAsia" w:ascii="宋体" w:hAnsi="宋体" w:cs="宋体"/>
          <w:szCs w:val="21"/>
          <w:u w:val="single"/>
        </w:rPr>
        <w:t xml:space="preserve">                             </w:t>
      </w:r>
    </w:p>
    <w:p w14:paraId="62360B09">
      <w:pPr>
        <w:tabs>
          <w:tab w:val="left" w:pos="1710"/>
        </w:tabs>
        <w:wordWrap w:val="0"/>
        <w:spacing w:line="480" w:lineRule="auto"/>
        <w:ind w:firstLine="480" w:firstLineChars="200"/>
        <w:rPr>
          <w:rFonts w:ascii="宋体" w:hAnsi="宋体"/>
          <w:color w:val="auto"/>
          <w:sz w:val="24"/>
          <w:szCs w:val="21"/>
        </w:rPr>
      </w:pPr>
      <w:bookmarkStart w:id="59" w:name="_Toc238797664"/>
      <w:bookmarkStart w:id="60" w:name="_Toc152042581"/>
      <w:bookmarkStart w:id="61" w:name="_Toc152045792"/>
      <w:bookmarkStart w:id="62" w:name="_Toc238552302"/>
      <w:bookmarkStart w:id="63" w:name="_Toc144974861"/>
      <w:bookmarkStart w:id="64" w:name="_Toc262740155"/>
      <w:r>
        <w:rPr>
          <w:rFonts w:hint="eastAsia" w:ascii="宋体" w:hAnsi="宋体"/>
          <w:color w:val="auto"/>
          <w:sz w:val="24"/>
          <w:szCs w:val="21"/>
        </w:rPr>
        <w:t>单位性质:</w:t>
      </w:r>
      <w:r>
        <w:rPr>
          <w:rFonts w:hint="eastAsia" w:ascii="宋体" w:hAnsi="宋体"/>
          <w:color w:val="auto"/>
          <w:sz w:val="24"/>
          <w:szCs w:val="21"/>
          <w:u w:val="single"/>
        </w:rPr>
        <w:t xml:space="preserve">                                            </w:t>
      </w:r>
    </w:p>
    <w:p w14:paraId="09B88FB0">
      <w:pPr>
        <w:tabs>
          <w:tab w:val="left" w:pos="1710"/>
        </w:tabs>
        <w:wordWrap w:val="0"/>
        <w:spacing w:line="480" w:lineRule="auto"/>
        <w:ind w:firstLine="480" w:firstLineChars="200"/>
        <w:rPr>
          <w:rFonts w:ascii="宋体" w:hAnsi="宋体"/>
          <w:color w:val="auto"/>
          <w:sz w:val="24"/>
          <w:szCs w:val="21"/>
        </w:rPr>
      </w:pPr>
      <w:r>
        <w:rPr>
          <w:rFonts w:hint="eastAsia" w:ascii="宋体" w:hAnsi="宋体"/>
          <w:color w:val="auto"/>
          <w:sz w:val="24"/>
          <w:szCs w:val="21"/>
        </w:rPr>
        <w:t>地    址：</w:t>
      </w:r>
      <w:r>
        <w:rPr>
          <w:rFonts w:hint="eastAsia" w:ascii="宋体" w:hAnsi="宋体"/>
          <w:color w:val="auto"/>
          <w:sz w:val="24"/>
          <w:szCs w:val="21"/>
          <w:u w:val="single"/>
        </w:rPr>
        <w:t xml:space="preserve">                                           </w:t>
      </w:r>
    </w:p>
    <w:p w14:paraId="13CA95DC">
      <w:pPr>
        <w:tabs>
          <w:tab w:val="left" w:pos="1710"/>
        </w:tabs>
        <w:wordWrap w:val="0"/>
        <w:spacing w:line="480" w:lineRule="auto"/>
        <w:ind w:firstLine="480" w:firstLineChars="200"/>
        <w:rPr>
          <w:rFonts w:ascii="宋体" w:hAnsi="宋体"/>
          <w:color w:val="auto"/>
          <w:sz w:val="24"/>
          <w:szCs w:val="21"/>
        </w:rPr>
      </w:pPr>
      <w:r>
        <w:rPr>
          <w:rFonts w:hint="eastAsia" w:ascii="宋体" w:hAnsi="宋体"/>
          <w:color w:val="auto"/>
          <w:sz w:val="24"/>
          <w:szCs w:val="21"/>
        </w:rPr>
        <w:t>成立时间：</w:t>
      </w:r>
      <w:r>
        <w:rPr>
          <w:rFonts w:hint="eastAsia" w:ascii="宋体" w:hAnsi="宋体"/>
          <w:color w:val="auto"/>
          <w:sz w:val="24"/>
          <w:szCs w:val="21"/>
          <w:u w:val="single"/>
        </w:rPr>
        <w:t xml:space="preserve">         </w:t>
      </w:r>
      <w:r>
        <w:rPr>
          <w:rFonts w:hint="eastAsia" w:ascii="宋体" w:hAnsi="宋体"/>
          <w:color w:val="auto"/>
          <w:sz w:val="24"/>
          <w:szCs w:val="21"/>
        </w:rPr>
        <w:t>年</w:t>
      </w:r>
      <w:r>
        <w:rPr>
          <w:rFonts w:hint="eastAsia" w:ascii="宋体" w:hAnsi="宋体"/>
          <w:color w:val="auto"/>
          <w:sz w:val="24"/>
          <w:szCs w:val="21"/>
          <w:u w:val="single"/>
        </w:rPr>
        <w:t xml:space="preserve">        </w:t>
      </w:r>
      <w:r>
        <w:rPr>
          <w:rFonts w:hint="eastAsia" w:ascii="宋体" w:hAnsi="宋体"/>
          <w:color w:val="auto"/>
          <w:sz w:val="24"/>
          <w:szCs w:val="21"/>
        </w:rPr>
        <w:t>月</w:t>
      </w:r>
      <w:r>
        <w:rPr>
          <w:rFonts w:hint="eastAsia" w:ascii="宋体" w:hAnsi="宋体"/>
          <w:color w:val="auto"/>
          <w:sz w:val="24"/>
          <w:szCs w:val="21"/>
          <w:u w:val="single"/>
        </w:rPr>
        <w:t xml:space="preserve">        </w:t>
      </w:r>
      <w:r>
        <w:rPr>
          <w:rFonts w:hint="eastAsia" w:ascii="宋体" w:hAnsi="宋体"/>
          <w:color w:val="auto"/>
          <w:sz w:val="24"/>
          <w:szCs w:val="21"/>
        </w:rPr>
        <w:t>日</w:t>
      </w:r>
    </w:p>
    <w:p w14:paraId="37D86F0C">
      <w:pPr>
        <w:tabs>
          <w:tab w:val="left" w:pos="1710"/>
        </w:tabs>
        <w:wordWrap w:val="0"/>
        <w:spacing w:line="480" w:lineRule="auto"/>
        <w:ind w:firstLine="480" w:firstLineChars="200"/>
        <w:rPr>
          <w:rFonts w:ascii="宋体" w:hAnsi="宋体"/>
          <w:color w:val="auto"/>
          <w:sz w:val="24"/>
          <w:szCs w:val="21"/>
        </w:rPr>
      </w:pPr>
      <w:r>
        <w:rPr>
          <w:rFonts w:hint="eastAsia" w:ascii="宋体" w:hAnsi="宋体"/>
          <w:color w:val="auto"/>
          <w:sz w:val="24"/>
          <w:szCs w:val="21"/>
        </w:rPr>
        <w:t>经营期限：</w:t>
      </w:r>
      <w:r>
        <w:rPr>
          <w:rFonts w:hint="eastAsia" w:ascii="宋体" w:hAnsi="宋体"/>
          <w:color w:val="auto"/>
          <w:sz w:val="24"/>
          <w:szCs w:val="21"/>
          <w:u w:val="single"/>
        </w:rPr>
        <w:t xml:space="preserve">                                           </w:t>
      </w:r>
    </w:p>
    <w:p w14:paraId="2CF35CA5">
      <w:pPr>
        <w:tabs>
          <w:tab w:val="left" w:pos="1710"/>
        </w:tabs>
        <w:wordWrap w:val="0"/>
        <w:spacing w:line="480" w:lineRule="auto"/>
        <w:ind w:firstLine="480" w:firstLineChars="200"/>
        <w:rPr>
          <w:rFonts w:ascii="宋体" w:hAnsi="宋体"/>
          <w:color w:val="auto"/>
          <w:sz w:val="24"/>
          <w:szCs w:val="21"/>
          <w:u w:val="single"/>
        </w:rPr>
      </w:pPr>
      <w:r>
        <w:rPr>
          <w:rFonts w:hint="eastAsia" w:ascii="宋体" w:hAnsi="宋体"/>
          <w:color w:val="auto"/>
          <w:sz w:val="24"/>
          <w:szCs w:val="21"/>
        </w:rPr>
        <w:t>姓    名：</w:t>
      </w:r>
      <w:r>
        <w:rPr>
          <w:rFonts w:hint="eastAsia" w:ascii="宋体" w:hAnsi="宋体"/>
          <w:color w:val="auto"/>
          <w:sz w:val="24"/>
          <w:szCs w:val="21"/>
          <w:u w:val="single"/>
        </w:rPr>
        <w:t xml:space="preserve">                 </w:t>
      </w:r>
      <w:r>
        <w:rPr>
          <w:rFonts w:hint="eastAsia" w:ascii="宋体" w:hAnsi="宋体"/>
          <w:color w:val="auto"/>
          <w:sz w:val="24"/>
          <w:szCs w:val="21"/>
        </w:rPr>
        <w:t>性     别：</w:t>
      </w:r>
      <w:r>
        <w:rPr>
          <w:rFonts w:hint="eastAsia" w:ascii="宋体" w:hAnsi="宋体"/>
          <w:color w:val="auto"/>
          <w:sz w:val="24"/>
          <w:szCs w:val="21"/>
          <w:u w:val="single"/>
        </w:rPr>
        <w:t xml:space="preserve">                </w:t>
      </w:r>
    </w:p>
    <w:p w14:paraId="3820229C">
      <w:pPr>
        <w:tabs>
          <w:tab w:val="left" w:pos="1710"/>
        </w:tabs>
        <w:wordWrap w:val="0"/>
        <w:spacing w:line="480" w:lineRule="auto"/>
        <w:ind w:firstLine="480" w:firstLineChars="200"/>
        <w:rPr>
          <w:rFonts w:ascii="宋体" w:hAnsi="宋体"/>
          <w:color w:val="auto"/>
          <w:sz w:val="24"/>
          <w:szCs w:val="21"/>
          <w:u w:val="single"/>
        </w:rPr>
      </w:pPr>
      <w:r>
        <w:rPr>
          <w:rFonts w:hint="eastAsia" w:ascii="宋体" w:hAnsi="宋体"/>
          <w:color w:val="auto"/>
          <w:sz w:val="24"/>
          <w:szCs w:val="21"/>
        </w:rPr>
        <w:t>年    龄：</w:t>
      </w:r>
      <w:r>
        <w:rPr>
          <w:rFonts w:hint="eastAsia" w:ascii="宋体" w:hAnsi="宋体"/>
          <w:color w:val="auto"/>
          <w:sz w:val="24"/>
          <w:szCs w:val="21"/>
          <w:u w:val="single"/>
        </w:rPr>
        <w:t xml:space="preserve">                 </w:t>
      </w:r>
      <w:r>
        <w:rPr>
          <w:rFonts w:hint="eastAsia" w:ascii="宋体" w:hAnsi="宋体"/>
          <w:color w:val="auto"/>
          <w:sz w:val="24"/>
          <w:szCs w:val="21"/>
        </w:rPr>
        <w:t>职     务：</w:t>
      </w:r>
      <w:r>
        <w:rPr>
          <w:rFonts w:hint="eastAsia" w:ascii="宋体" w:hAnsi="宋体"/>
          <w:color w:val="auto"/>
          <w:sz w:val="24"/>
          <w:szCs w:val="21"/>
          <w:u w:val="single"/>
        </w:rPr>
        <w:t xml:space="preserve">                </w:t>
      </w:r>
    </w:p>
    <w:p w14:paraId="1BC173D2">
      <w:pPr>
        <w:tabs>
          <w:tab w:val="left" w:pos="1710"/>
        </w:tabs>
        <w:wordWrap w:val="0"/>
        <w:spacing w:line="480" w:lineRule="auto"/>
        <w:ind w:firstLine="480" w:firstLineChars="200"/>
        <w:rPr>
          <w:rFonts w:ascii="宋体" w:hAnsi="宋体"/>
          <w:color w:val="auto"/>
          <w:sz w:val="24"/>
          <w:szCs w:val="21"/>
        </w:rPr>
      </w:pPr>
      <w:r>
        <w:rPr>
          <w:rFonts w:hint="eastAsia" w:ascii="宋体" w:hAnsi="宋体"/>
          <w:color w:val="auto"/>
          <w:sz w:val="24"/>
          <w:szCs w:val="21"/>
        </w:rPr>
        <w:t>系</w:t>
      </w:r>
      <w:r>
        <w:rPr>
          <w:rFonts w:hint="eastAsia" w:ascii="宋体" w:hAnsi="宋体"/>
          <w:color w:val="auto"/>
          <w:sz w:val="24"/>
          <w:szCs w:val="21"/>
          <w:u w:val="single"/>
        </w:rPr>
        <w:t xml:space="preserve">                                    </w:t>
      </w:r>
      <w:r>
        <w:rPr>
          <w:rFonts w:hint="eastAsia" w:ascii="宋体" w:hAnsi="宋体"/>
          <w:color w:val="auto"/>
          <w:sz w:val="24"/>
          <w:szCs w:val="21"/>
        </w:rPr>
        <w:t>（</w:t>
      </w:r>
      <w:r>
        <w:rPr>
          <w:rFonts w:hint="eastAsia" w:ascii="宋体" w:hAnsi="宋体" w:eastAsia="宋体" w:cs="宋体"/>
          <w:sz w:val="24"/>
          <w:szCs w:val="24"/>
          <w:highlight w:val="none"/>
          <w:lang w:val="en-US" w:eastAsia="zh-CN"/>
        </w:rPr>
        <w:t>供应商</w:t>
      </w:r>
      <w:r>
        <w:rPr>
          <w:rFonts w:hint="eastAsia" w:ascii="宋体" w:hAnsi="宋体" w:eastAsia="宋体" w:cs="宋体"/>
          <w:sz w:val="24"/>
          <w:szCs w:val="24"/>
          <w:highlight w:val="none"/>
        </w:rPr>
        <w:t>名称</w:t>
      </w:r>
      <w:r>
        <w:rPr>
          <w:rFonts w:hint="eastAsia" w:ascii="宋体" w:hAnsi="宋体"/>
          <w:color w:val="auto"/>
          <w:sz w:val="24"/>
          <w:szCs w:val="21"/>
        </w:rPr>
        <w:t>）的法定代表人。</w:t>
      </w:r>
    </w:p>
    <w:p w14:paraId="65093C13">
      <w:pPr>
        <w:tabs>
          <w:tab w:val="left" w:pos="1710"/>
        </w:tabs>
        <w:wordWrap w:val="0"/>
        <w:spacing w:line="480" w:lineRule="auto"/>
        <w:ind w:firstLine="480" w:firstLineChars="200"/>
        <w:rPr>
          <w:rFonts w:ascii="宋体" w:hAnsi="宋体"/>
          <w:color w:val="auto"/>
          <w:sz w:val="24"/>
          <w:szCs w:val="21"/>
        </w:rPr>
      </w:pPr>
      <w:r>
        <w:rPr>
          <w:rFonts w:hint="eastAsia" w:ascii="宋体" w:hAnsi="宋体"/>
          <w:color w:val="auto"/>
          <w:sz w:val="24"/>
          <w:szCs w:val="21"/>
        </w:rPr>
        <w:t>特此证明。</w:t>
      </w:r>
    </w:p>
    <w:tbl>
      <w:tblPr>
        <w:tblStyle w:val="15"/>
        <w:tblW w:w="0" w:type="auto"/>
        <w:tblInd w:w="1368"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6720"/>
      </w:tblGrid>
      <w:tr w14:paraId="7A54A2D5">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541" w:hRule="atLeast"/>
        </w:trPr>
        <w:tc>
          <w:tcPr>
            <w:tcW w:w="6720" w:type="dxa"/>
            <w:noWrap w:val="0"/>
            <w:vAlign w:val="center"/>
          </w:tcPr>
          <w:p w14:paraId="28365EA7">
            <w:pPr>
              <w:spacing w:line="360" w:lineRule="auto"/>
              <w:jc w:val="center"/>
              <w:rPr>
                <w:rFonts w:ascii="宋体" w:hAnsi="宋体"/>
                <w:b/>
                <w:color w:val="auto"/>
                <w:sz w:val="24"/>
              </w:rPr>
            </w:pPr>
            <w:r>
              <w:rPr>
                <w:rFonts w:ascii="宋体" w:hAnsi="宋体"/>
                <w:b/>
                <w:color w:val="auto"/>
                <w:sz w:val="24"/>
              </w:rPr>
              <w:t>法定代表人居民身份证复印件（正、反面）</w:t>
            </w:r>
          </w:p>
        </w:tc>
      </w:tr>
    </w:tbl>
    <w:p w14:paraId="1BD09C8B">
      <w:pPr>
        <w:wordWrap w:val="0"/>
        <w:spacing w:line="480" w:lineRule="auto"/>
        <w:ind w:firstLine="480" w:firstLineChars="200"/>
        <w:rPr>
          <w:rFonts w:hint="eastAsia" w:ascii="宋体" w:hAnsi="宋体"/>
          <w:color w:val="auto"/>
          <w:sz w:val="24"/>
        </w:rPr>
      </w:pPr>
    </w:p>
    <w:p w14:paraId="7470EAA9">
      <w:pPr>
        <w:wordWrap w:val="0"/>
        <w:spacing w:line="480" w:lineRule="auto"/>
        <w:ind w:firstLine="480" w:firstLineChars="200"/>
        <w:rPr>
          <w:rFonts w:ascii="宋体" w:hAnsi="宋体"/>
          <w:color w:val="auto"/>
          <w:sz w:val="24"/>
        </w:rPr>
      </w:pPr>
      <w:r>
        <w:rPr>
          <w:rFonts w:hint="eastAsia" w:ascii="宋体" w:hAnsi="宋体"/>
          <w:color w:val="auto"/>
          <w:sz w:val="24"/>
        </w:rPr>
        <w:t>供应商名称：</w:t>
      </w:r>
      <w:r>
        <w:rPr>
          <w:rFonts w:hint="eastAsia" w:ascii="宋体" w:hAnsi="宋体"/>
          <w:color w:val="auto"/>
          <w:sz w:val="24"/>
          <w:szCs w:val="21"/>
          <w:u w:val="single"/>
        </w:rPr>
        <w:t xml:space="preserve">                                </w:t>
      </w:r>
      <w:r>
        <w:rPr>
          <w:rFonts w:hint="eastAsia" w:ascii="宋体" w:hAnsi="宋体"/>
          <w:color w:val="auto"/>
          <w:sz w:val="24"/>
        </w:rPr>
        <w:t>（盖单位公章）</w:t>
      </w:r>
    </w:p>
    <w:p w14:paraId="10905A99">
      <w:pPr>
        <w:wordWrap w:val="0"/>
        <w:spacing w:line="480" w:lineRule="auto"/>
        <w:ind w:firstLine="480" w:firstLineChars="200"/>
        <w:rPr>
          <w:rFonts w:ascii="宋体" w:hAnsi="宋体"/>
          <w:color w:val="auto"/>
          <w:sz w:val="24"/>
        </w:rPr>
      </w:pPr>
      <w:r>
        <w:rPr>
          <w:rFonts w:hint="eastAsia" w:ascii="宋体" w:hAnsi="宋体"/>
          <w:color w:val="auto"/>
          <w:sz w:val="24"/>
        </w:rPr>
        <w:t>法定代表人：</w:t>
      </w:r>
      <w:r>
        <w:rPr>
          <w:rFonts w:hint="eastAsia" w:ascii="宋体" w:hAnsi="宋体"/>
          <w:color w:val="auto"/>
          <w:sz w:val="24"/>
          <w:szCs w:val="21"/>
          <w:u w:val="single"/>
        </w:rPr>
        <w:t xml:space="preserve">                                </w:t>
      </w:r>
      <w:r>
        <w:rPr>
          <w:rFonts w:hint="eastAsia" w:ascii="宋体" w:hAnsi="宋体"/>
          <w:color w:val="auto"/>
          <w:sz w:val="24"/>
        </w:rPr>
        <w:t>（签字或签章）</w:t>
      </w:r>
    </w:p>
    <w:p w14:paraId="139D15F8">
      <w:pPr>
        <w:wordWrap w:val="0"/>
        <w:spacing w:line="480" w:lineRule="auto"/>
        <w:ind w:firstLine="480" w:firstLineChars="200"/>
        <w:rPr>
          <w:rFonts w:ascii="宋体" w:hAnsi="宋体"/>
          <w:color w:val="auto"/>
          <w:sz w:val="24"/>
        </w:rPr>
      </w:pPr>
      <w:r>
        <w:rPr>
          <w:rFonts w:hint="eastAsia" w:ascii="宋体" w:hAnsi="宋体"/>
          <w:color w:val="auto"/>
          <w:sz w:val="24"/>
        </w:rPr>
        <w:t>日      期：</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w:t>
      </w:r>
    </w:p>
    <w:p w14:paraId="48888EF6">
      <w:pPr>
        <w:jc w:val="center"/>
        <w:rPr>
          <w:rFonts w:ascii="宋体" w:hAnsi="宋体" w:cs="宋体"/>
        </w:rPr>
      </w:pPr>
      <w:r>
        <w:rPr>
          <w:rFonts w:hint="eastAsia" w:ascii="宋体" w:hAnsi="宋体" w:cs="宋体"/>
        </w:rPr>
        <w:br w:type="page"/>
      </w:r>
      <w:bookmarkStart w:id="65" w:name="_Toc285981646"/>
    </w:p>
    <w:p w14:paraId="3E03A3ED">
      <w:pPr>
        <w:pStyle w:val="3"/>
        <w:jc w:val="center"/>
        <w:rPr>
          <w:rFonts w:hint="eastAsia" w:ascii="宋体" w:hAnsi="宋体" w:eastAsia="宋体" w:cs="宋体"/>
          <w:lang w:eastAsia="zh-CN"/>
        </w:rPr>
      </w:pPr>
      <w:bookmarkStart w:id="66" w:name="_Toc25608"/>
      <w:bookmarkStart w:id="67" w:name="_Toc6778"/>
      <w:bookmarkStart w:id="68" w:name="_Toc1643"/>
      <w:bookmarkStart w:id="69" w:name="_Toc435802467"/>
      <w:r>
        <w:rPr>
          <w:rFonts w:hint="eastAsia" w:ascii="宋体" w:hAnsi="宋体" w:cs="宋体"/>
        </w:rPr>
        <w:t>三、授权委托书</w:t>
      </w:r>
      <w:bookmarkEnd w:id="59"/>
      <w:bookmarkEnd w:id="60"/>
      <w:bookmarkEnd w:id="61"/>
      <w:bookmarkEnd w:id="62"/>
      <w:bookmarkEnd w:id="63"/>
      <w:bookmarkEnd w:id="64"/>
      <w:bookmarkEnd w:id="65"/>
      <w:bookmarkEnd w:id="66"/>
      <w:bookmarkEnd w:id="67"/>
      <w:bookmarkEnd w:id="68"/>
      <w:bookmarkEnd w:id="69"/>
      <w:r>
        <w:rPr>
          <w:rFonts w:hint="eastAsia" w:ascii="宋体" w:hAnsi="宋体" w:cs="宋体"/>
          <w:lang w:eastAsia="zh-CN"/>
        </w:rPr>
        <w:t>（</w:t>
      </w:r>
      <w:r>
        <w:rPr>
          <w:rFonts w:hint="eastAsia" w:ascii="宋体" w:hAnsi="宋体" w:cs="宋体"/>
          <w:lang w:val="en-US" w:eastAsia="zh-CN"/>
        </w:rPr>
        <w:t>无授权人可不填写</w:t>
      </w:r>
      <w:r>
        <w:rPr>
          <w:rFonts w:hint="eastAsia" w:ascii="宋体" w:hAnsi="宋体" w:cs="宋体"/>
          <w:lang w:eastAsia="zh-CN"/>
        </w:rPr>
        <w:t>）</w:t>
      </w:r>
    </w:p>
    <w:p w14:paraId="65E7E7D7">
      <w:pPr>
        <w:pStyle w:val="7"/>
        <w:snapToGrid w:val="0"/>
        <w:spacing w:line="480" w:lineRule="auto"/>
        <w:ind w:firstLine="840" w:firstLineChars="400"/>
        <w:rPr>
          <w:rFonts w:hAnsi="宋体" w:cs="宋体"/>
        </w:rPr>
      </w:pPr>
      <w:r>
        <w:rPr>
          <w:rFonts w:hint="eastAsia" w:hAnsi="宋体" w:cs="宋体"/>
        </w:rPr>
        <w:t xml:space="preserve">本人 </w:t>
      </w:r>
      <w:r>
        <w:rPr>
          <w:rFonts w:hint="eastAsia" w:hAnsi="宋体" w:cs="宋体"/>
          <w:u w:val="single"/>
        </w:rPr>
        <w:t xml:space="preserve">          </w:t>
      </w:r>
      <w:r>
        <w:rPr>
          <w:rFonts w:hint="eastAsia" w:hAnsi="宋体" w:cs="宋体"/>
        </w:rPr>
        <w:t>（姓名）系</w:t>
      </w:r>
      <w:r>
        <w:rPr>
          <w:rFonts w:hint="eastAsia" w:hAnsi="宋体" w:cs="宋体"/>
          <w:u w:val="single"/>
        </w:rPr>
        <w:t xml:space="preserve">                    </w:t>
      </w:r>
      <w:r>
        <w:rPr>
          <w:rFonts w:hint="eastAsia" w:hAnsi="宋体" w:cs="宋体"/>
        </w:rPr>
        <w:t>（</w:t>
      </w:r>
      <w:r>
        <w:rPr>
          <w:rFonts w:hint="eastAsia" w:hAnsi="宋体" w:cs="宋体"/>
          <w:szCs w:val="21"/>
        </w:rPr>
        <w:t>供应商</w:t>
      </w:r>
      <w:r>
        <w:rPr>
          <w:rFonts w:hint="eastAsia" w:hAnsi="宋体" w:cs="宋体"/>
        </w:rPr>
        <w:t>名称）的法定代表人，现委托</w:t>
      </w:r>
      <w:r>
        <w:rPr>
          <w:rFonts w:hint="eastAsia" w:hAnsi="宋体" w:cs="宋体"/>
          <w:u w:val="single"/>
        </w:rPr>
        <w:t xml:space="preserve">           </w:t>
      </w:r>
      <w:r>
        <w:rPr>
          <w:rFonts w:hint="eastAsia" w:hAnsi="宋体" w:cs="宋体"/>
        </w:rPr>
        <w:t>（姓名）为我方代理人。代理人根据授权，以我方名义签署、澄清确认、递交、撤回、修改</w:t>
      </w:r>
      <w:r>
        <w:rPr>
          <w:rFonts w:hint="eastAsia" w:hAnsi="宋体" w:cs="宋体"/>
          <w:u w:val="single"/>
        </w:rPr>
        <w:t>（</w:t>
      </w:r>
      <w:r>
        <w:rPr>
          <w:rFonts w:hint="eastAsia" w:hAnsi="宋体" w:cs="宋体"/>
          <w:u w:val="single"/>
          <w:lang w:eastAsia="zh-CN"/>
        </w:rPr>
        <w:t>谈判</w:t>
      </w:r>
      <w:r>
        <w:rPr>
          <w:rFonts w:hint="eastAsia" w:hAnsi="宋体" w:cs="宋体"/>
          <w:u w:val="single"/>
        </w:rPr>
        <w:t>项目名称）</w:t>
      </w:r>
      <w:r>
        <w:rPr>
          <w:rFonts w:hint="eastAsia" w:hAnsi="宋体" w:cs="宋体"/>
        </w:rPr>
        <w:t>招标项目响应文件、签订合同和处理有关事宜，其法律后果由我方承担。</w:t>
      </w:r>
    </w:p>
    <w:p w14:paraId="017906D0">
      <w:pPr>
        <w:pStyle w:val="7"/>
        <w:snapToGrid w:val="0"/>
        <w:spacing w:line="480" w:lineRule="auto"/>
        <w:ind w:firstLine="420"/>
        <w:rPr>
          <w:rFonts w:hAnsi="宋体" w:cs="宋体"/>
        </w:rPr>
      </w:pPr>
      <w:r>
        <w:rPr>
          <w:rFonts w:hint="eastAsia" w:hAnsi="宋体" w:cs="宋体"/>
        </w:rPr>
        <w:t>委托期限：</w:t>
      </w:r>
      <w:r>
        <w:rPr>
          <w:rFonts w:hint="eastAsia" w:hAnsi="宋体" w:cs="宋体"/>
          <w:u w:val="single"/>
        </w:rPr>
        <w:t xml:space="preserve">                     </w:t>
      </w:r>
      <w:r>
        <w:rPr>
          <w:rFonts w:hint="eastAsia" w:hAnsi="宋体" w:cs="宋体"/>
        </w:rPr>
        <w:t xml:space="preserve"> </w:t>
      </w:r>
    </w:p>
    <w:p w14:paraId="03DC6D9D">
      <w:pPr>
        <w:pStyle w:val="7"/>
        <w:snapToGrid w:val="0"/>
        <w:spacing w:line="480" w:lineRule="auto"/>
        <w:ind w:firstLine="420"/>
        <w:rPr>
          <w:rFonts w:hAnsi="宋体" w:cs="宋体"/>
        </w:rPr>
      </w:pPr>
      <w:r>
        <w:rPr>
          <w:rFonts w:hint="eastAsia" w:hAnsi="宋体" w:cs="宋体"/>
        </w:rPr>
        <w:t>代理人无转委托权。</w:t>
      </w:r>
    </w:p>
    <w:p w14:paraId="30FB110F">
      <w:pPr>
        <w:pStyle w:val="7"/>
        <w:snapToGrid w:val="0"/>
        <w:spacing w:line="480" w:lineRule="auto"/>
        <w:ind w:firstLine="420"/>
        <w:rPr>
          <w:rFonts w:hAnsi="宋体" w:cs="宋体"/>
        </w:rPr>
      </w:pPr>
      <w:r>
        <w:rPr>
          <w:rFonts w:hint="eastAsia" w:hAnsi="宋体" w:cs="宋体"/>
        </w:rPr>
        <w:t>附：法定代表人身份证复印件及委托代理人身份证复印件</w:t>
      </w:r>
    </w:p>
    <w:p w14:paraId="0E5B6B49">
      <w:pPr>
        <w:pStyle w:val="7"/>
        <w:snapToGrid w:val="0"/>
        <w:spacing w:line="480" w:lineRule="auto"/>
        <w:ind w:firstLine="420"/>
        <w:rPr>
          <w:rFonts w:hAnsi="宋体" w:cs="宋体"/>
        </w:rPr>
      </w:pPr>
      <w:r>
        <w:rPr>
          <w:rFonts w:hint="eastAsia" w:hAnsi="宋体" w:cs="宋体"/>
        </w:rPr>
        <w:t>注：本授权委托书需由供应商加盖单位公章并由其法定代表人和委托代理人签字</w:t>
      </w:r>
    </w:p>
    <w:p w14:paraId="023D72FF">
      <w:pPr>
        <w:pStyle w:val="7"/>
        <w:snapToGrid w:val="0"/>
        <w:spacing w:line="360" w:lineRule="auto"/>
        <w:ind w:firstLine="400"/>
        <w:rPr>
          <w:rFonts w:hAnsi="宋体" w:cs="宋体"/>
        </w:rPr>
      </w:pPr>
    </w:p>
    <w:p w14:paraId="226D95DD">
      <w:pPr>
        <w:pStyle w:val="7"/>
        <w:snapToGrid w:val="0"/>
        <w:spacing w:line="360" w:lineRule="auto"/>
        <w:ind w:firstLine="400"/>
        <w:rPr>
          <w:rFonts w:hAnsi="宋体" w:cs="宋体"/>
        </w:rPr>
      </w:pPr>
    </w:p>
    <w:p w14:paraId="1AFDABF0">
      <w:pPr>
        <w:pStyle w:val="7"/>
        <w:snapToGrid w:val="0"/>
        <w:spacing w:line="720" w:lineRule="auto"/>
        <w:ind w:firstLine="3120" w:firstLineChars="1300"/>
        <w:rPr>
          <w:rFonts w:hAnsi="宋体" w:cs="宋体"/>
        </w:rPr>
      </w:pPr>
      <w:r>
        <w:rPr>
          <w:rFonts w:hint="eastAsia" w:ascii="宋体" w:hAnsi="宋体"/>
          <w:color w:val="auto"/>
          <w:sz w:val="24"/>
        </w:rPr>
        <w:t>供应商名称</w:t>
      </w:r>
      <w:r>
        <w:rPr>
          <w:rFonts w:hint="eastAsia" w:hAnsi="宋体" w:cs="宋体"/>
        </w:rPr>
        <w:t>：</w:t>
      </w:r>
      <w:r>
        <w:rPr>
          <w:rFonts w:hint="eastAsia" w:hAnsi="宋体" w:cs="宋体"/>
          <w:u w:val="single"/>
        </w:rPr>
        <w:t xml:space="preserve">                      </w:t>
      </w:r>
      <w:r>
        <w:rPr>
          <w:rFonts w:hint="eastAsia" w:hAnsi="宋体" w:cs="宋体"/>
        </w:rPr>
        <w:t>（盖单位</w:t>
      </w:r>
      <w:r>
        <w:rPr>
          <w:rFonts w:hint="eastAsia" w:hAnsi="宋体" w:cs="宋体"/>
          <w:lang w:eastAsia="zh-CN"/>
        </w:rPr>
        <w:t>公</w:t>
      </w:r>
      <w:r>
        <w:rPr>
          <w:rFonts w:hint="eastAsia" w:hAnsi="宋体" w:cs="宋体"/>
        </w:rPr>
        <w:t>章）</w:t>
      </w:r>
    </w:p>
    <w:p w14:paraId="40761749">
      <w:pPr>
        <w:pStyle w:val="7"/>
        <w:snapToGrid w:val="0"/>
        <w:spacing w:line="720" w:lineRule="auto"/>
        <w:ind w:firstLine="3158" w:firstLineChars="1504"/>
        <w:rPr>
          <w:rFonts w:hAnsi="宋体" w:cs="宋体"/>
        </w:rPr>
      </w:pPr>
      <w:r>
        <w:rPr>
          <w:rFonts w:hint="eastAsia" w:hAnsi="宋体" w:cs="宋体"/>
        </w:rPr>
        <w:t>法定代表人：</w:t>
      </w:r>
      <w:r>
        <w:rPr>
          <w:rFonts w:hint="eastAsia" w:hAnsi="宋体" w:cs="宋体"/>
          <w:u w:val="single"/>
        </w:rPr>
        <w:t xml:space="preserve">                      </w:t>
      </w:r>
      <w:r>
        <w:rPr>
          <w:rFonts w:hint="eastAsia" w:hAnsi="宋体" w:cs="宋体"/>
        </w:rPr>
        <w:t>（</w:t>
      </w:r>
      <w:r>
        <w:rPr>
          <w:rFonts w:hint="eastAsia" w:ascii="宋体" w:hAnsi="宋体"/>
          <w:color w:val="auto"/>
          <w:sz w:val="24"/>
        </w:rPr>
        <w:t>签字或签章</w:t>
      </w:r>
      <w:r>
        <w:rPr>
          <w:rFonts w:hint="eastAsia" w:hAnsi="宋体" w:cs="宋体"/>
        </w:rPr>
        <w:t>）</w:t>
      </w:r>
    </w:p>
    <w:p w14:paraId="1BB0DD86">
      <w:pPr>
        <w:pStyle w:val="7"/>
        <w:snapToGrid w:val="0"/>
        <w:spacing w:line="720" w:lineRule="auto"/>
        <w:ind w:firstLine="3158" w:firstLineChars="1504"/>
        <w:rPr>
          <w:rFonts w:hAnsi="宋体" w:cs="宋体"/>
          <w:u w:val="single"/>
        </w:rPr>
      </w:pPr>
      <w:r>
        <w:rPr>
          <w:rFonts w:hint="eastAsia" w:hAnsi="宋体" w:cs="宋体"/>
        </w:rPr>
        <w:t>身份证号码：</w:t>
      </w:r>
      <w:r>
        <w:rPr>
          <w:rFonts w:hint="eastAsia" w:hAnsi="宋体" w:cs="宋体"/>
          <w:u w:val="single"/>
        </w:rPr>
        <w:t xml:space="preserve">                      </w:t>
      </w:r>
    </w:p>
    <w:p w14:paraId="6E2A5191">
      <w:pPr>
        <w:pStyle w:val="7"/>
        <w:snapToGrid w:val="0"/>
        <w:spacing w:line="720" w:lineRule="auto"/>
        <w:ind w:firstLine="3158" w:firstLineChars="1504"/>
        <w:rPr>
          <w:rFonts w:hAnsi="宋体" w:cs="宋体"/>
        </w:rPr>
      </w:pPr>
      <w:r>
        <w:rPr>
          <w:rFonts w:hint="eastAsia" w:hAnsi="宋体" w:cs="宋体"/>
        </w:rPr>
        <w:t>授权代理人：</w:t>
      </w:r>
      <w:r>
        <w:rPr>
          <w:rFonts w:hint="eastAsia" w:hAnsi="宋体" w:cs="宋体"/>
          <w:u w:val="single"/>
        </w:rPr>
        <w:t xml:space="preserve">                      </w:t>
      </w:r>
      <w:r>
        <w:rPr>
          <w:rFonts w:hint="eastAsia" w:hAnsi="宋体" w:cs="宋体"/>
        </w:rPr>
        <w:t>（签字）</w:t>
      </w:r>
    </w:p>
    <w:p w14:paraId="35D3F5B8">
      <w:pPr>
        <w:pStyle w:val="7"/>
        <w:snapToGrid w:val="0"/>
        <w:spacing w:line="720" w:lineRule="auto"/>
        <w:ind w:firstLine="3158" w:firstLineChars="1504"/>
        <w:rPr>
          <w:rFonts w:hAnsi="宋体" w:cs="宋体"/>
          <w:u w:val="single"/>
        </w:rPr>
      </w:pPr>
      <w:r>
        <w:rPr>
          <w:rFonts w:hint="eastAsia" w:hAnsi="宋体" w:cs="宋体"/>
        </w:rPr>
        <w:t>身份证号码：</w:t>
      </w:r>
      <w:r>
        <w:rPr>
          <w:rFonts w:hint="eastAsia" w:hAnsi="宋体" w:cs="宋体"/>
          <w:u w:val="single"/>
        </w:rPr>
        <w:t xml:space="preserve">                      </w:t>
      </w:r>
    </w:p>
    <w:p w14:paraId="703C90F3">
      <w:pPr>
        <w:spacing w:line="360" w:lineRule="auto"/>
        <w:ind w:firstLine="3998" w:firstLineChars="1904"/>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49BE6473">
      <w:pPr>
        <w:spacing w:line="319" w:lineRule="exact"/>
        <w:rPr>
          <w:rFonts w:ascii="宋体" w:hAnsi="宋体" w:cs="宋体"/>
          <w:color w:val="000000"/>
          <w:sz w:val="30"/>
        </w:rPr>
      </w:pPr>
    </w:p>
    <w:p w14:paraId="0D3DC8C6">
      <w:pPr>
        <w:spacing w:line="319" w:lineRule="exact"/>
        <w:rPr>
          <w:rFonts w:ascii="宋体" w:hAnsi="宋体" w:cs="宋体"/>
          <w:color w:val="000000"/>
          <w:sz w:val="30"/>
        </w:rPr>
      </w:pPr>
    </w:p>
    <w:p w14:paraId="644F5083">
      <w:pPr>
        <w:spacing w:line="319" w:lineRule="exact"/>
        <w:rPr>
          <w:rFonts w:ascii="宋体" w:hAnsi="宋体" w:cs="宋体"/>
          <w:color w:val="000000"/>
          <w:sz w:val="30"/>
        </w:rPr>
      </w:pPr>
    </w:p>
    <w:p w14:paraId="1548BF5F">
      <w:pPr>
        <w:spacing w:line="319" w:lineRule="exact"/>
        <w:rPr>
          <w:rFonts w:ascii="宋体" w:hAnsi="宋体" w:cs="宋体"/>
          <w:color w:val="000000"/>
          <w:sz w:val="30"/>
        </w:rPr>
      </w:pPr>
      <w:r>
        <w:rPr>
          <w:rFonts w:ascii="宋体" w:hAnsi="宋体" w:eastAsia="宋体"/>
          <w:color w:val="auto"/>
          <w:sz w:val="21"/>
          <w:szCs w:val="21"/>
        </w:rPr>
        <w:br w:type="page"/>
      </w:r>
    </w:p>
    <w:p w14:paraId="1ECB2A20">
      <w:pPr>
        <w:pStyle w:val="3"/>
        <w:bidi w:val="0"/>
        <w:jc w:val="center"/>
        <w:rPr>
          <w:rFonts w:hint="eastAsia"/>
          <w:lang w:val="en-US" w:eastAsia="zh-CN"/>
        </w:rPr>
      </w:pPr>
      <w:bookmarkStart w:id="70" w:name="_Toc14200"/>
      <w:r>
        <w:rPr>
          <w:rFonts w:hint="eastAsia"/>
          <w:lang w:val="en-US" w:eastAsia="zh-CN"/>
        </w:rPr>
        <w:t>四、首次报价一览表</w:t>
      </w:r>
      <w:bookmarkEnd w:id="70"/>
    </w:p>
    <w:p w14:paraId="4BFF37C0">
      <w:pPr>
        <w:widowControl/>
        <w:wordWrap w:val="0"/>
        <w:autoSpaceDE w:val="0"/>
        <w:autoSpaceDN w:val="0"/>
        <w:spacing w:line="360" w:lineRule="auto"/>
        <w:ind w:right="890"/>
        <w:textAlignment w:val="bottom"/>
        <w:rPr>
          <w:rFonts w:asciiTheme="minorEastAsia" w:hAnsiTheme="minorEastAsia" w:eastAsiaTheme="minorEastAsia" w:cstheme="minorEastAsia"/>
          <w:color w:val="auto"/>
          <w:highlight w:val="none"/>
          <w:lang w:eastAsia="zh-CN"/>
        </w:rPr>
      </w:pPr>
    </w:p>
    <w:p w14:paraId="73A24942">
      <w:pPr>
        <w:widowControl/>
        <w:wordWrap w:val="0"/>
        <w:autoSpaceDE w:val="0"/>
        <w:autoSpaceDN w:val="0"/>
        <w:spacing w:line="360" w:lineRule="auto"/>
        <w:textAlignment w:val="bottom"/>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项目名称：</w:t>
      </w:r>
      <w:r>
        <w:rPr>
          <w:rFonts w:hint="eastAsia" w:asciiTheme="minorEastAsia" w:hAnsiTheme="minorEastAsia" w:eastAsiaTheme="minorEastAsia" w:cstheme="minorEastAsia"/>
          <w:color w:val="auto"/>
          <w:sz w:val="24"/>
          <w:szCs w:val="24"/>
          <w:highlight w:val="none"/>
          <w:u w:val="single"/>
          <w:lang w:eastAsia="zh-CN"/>
        </w:rPr>
        <w:t xml:space="preserve">                    </w:t>
      </w:r>
      <w:r>
        <w:rPr>
          <w:rFonts w:hint="eastAsia" w:asciiTheme="minorEastAsia" w:hAnsiTheme="minorEastAsia" w:eastAsiaTheme="minorEastAsia" w:cstheme="minorEastAsia"/>
          <w:color w:val="auto"/>
          <w:sz w:val="24"/>
          <w:szCs w:val="24"/>
          <w:highlight w:val="none"/>
          <w:lang w:eastAsia="zh-CN"/>
        </w:rPr>
        <w:t xml:space="preserve">   </w:t>
      </w:r>
    </w:p>
    <w:p w14:paraId="08335E71">
      <w:pPr>
        <w:widowControl/>
        <w:wordWrap w:val="0"/>
        <w:autoSpaceDE w:val="0"/>
        <w:autoSpaceDN w:val="0"/>
        <w:spacing w:line="360" w:lineRule="auto"/>
        <w:textAlignment w:val="bottom"/>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项目</w:t>
      </w:r>
      <w:r>
        <w:rPr>
          <w:rFonts w:hint="eastAsia" w:asciiTheme="minorEastAsia" w:hAnsiTheme="minorEastAsia" w:eastAsiaTheme="minorEastAsia" w:cstheme="minorEastAsia"/>
          <w:color w:val="auto"/>
          <w:sz w:val="24"/>
          <w:szCs w:val="24"/>
          <w:highlight w:val="none"/>
        </w:rPr>
        <w:t>编号：</w:t>
      </w:r>
      <w:r>
        <w:rPr>
          <w:rFonts w:hint="eastAsia" w:asciiTheme="minorEastAsia" w:hAnsiTheme="minorEastAsia" w:eastAsiaTheme="minorEastAsia" w:cstheme="minorEastAsia"/>
          <w:color w:val="auto"/>
          <w:sz w:val="24"/>
          <w:szCs w:val="24"/>
          <w:highlight w:val="none"/>
          <w:u w:val="single"/>
        </w:rPr>
        <w:t xml:space="preserve">                    </w:t>
      </w:r>
    </w:p>
    <w:tbl>
      <w:tblPr>
        <w:tblStyle w:val="15"/>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1"/>
        <w:gridCol w:w="1493"/>
        <w:gridCol w:w="1915"/>
        <w:gridCol w:w="1017"/>
        <w:gridCol w:w="1297"/>
        <w:gridCol w:w="1298"/>
      </w:tblGrid>
      <w:tr w14:paraId="26F12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104" w:type="pct"/>
            <w:vAlign w:val="center"/>
          </w:tcPr>
          <w:p w14:paraId="320839A6">
            <w:pPr>
              <w:wordWrap w:val="0"/>
              <w:autoSpaceDE w:val="0"/>
              <w:autoSpaceDN w:val="0"/>
              <w:adjustRightInd w:val="0"/>
              <w:jc w:val="center"/>
              <w:rPr>
                <w:rFonts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eastAsia="zh-CN"/>
              </w:rPr>
              <w:t>供应商</w:t>
            </w:r>
            <w:r>
              <w:rPr>
                <w:rFonts w:hint="eastAsia" w:asciiTheme="minorEastAsia" w:hAnsiTheme="minorEastAsia" w:eastAsiaTheme="minorEastAsia" w:cstheme="minorEastAsia"/>
                <w:bCs/>
                <w:color w:val="auto"/>
                <w:sz w:val="24"/>
                <w:szCs w:val="24"/>
                <w:highlight w:val="none"/>
                <w:lang w:val="zh-CN"/>
              </w:rPr>
              <w:t>名称</w:t>
            </w:r>
          </w:p>
        </w:tc>
        <w:tc>
          <w:tcPr>
            <w:tcW w:w="828" w:type="pct"/>
            <w:vAlign w:val="center"/>
          </w:tcPr>
          <w:p w14:paraId="3FFCC6AA">
            <w:pPr>
              <w:wordWrap w:val="0"/>
              <w:autoSpaceDE w:val="0"/>
              <w:autoSpaceDN w:val="0"/>
              <w:adjustRightInd w:val="0"/>
              <w:jc w:val="center"/>
              <w:rPr>
                <w:rFonts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报价</w:t>
            </w:r>
          </w:p>
          <w:p w14:paraId="6D9ED770">
            <w:pPr>
              <w:wordWrap w:val="0"/>
              <w:autoSpaceDE w:val="0"/>
              <w:autoSpaceDN w:val="0"/>
              <w:adjustRightInd w:val="0"/>
              <w:jc w:val="center"/>
              <w:rPr>
                <w:rFonts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w:t>
            </w:r>
            <w:r>
              <w:rPr>
                <w:rFonts w:hint="eastAsia" w:asciiTheme="minorEastAsia" w:hAnsiTheme="minorEastAsia" w:eastAsiaTheme="minorEastAsia" w:cstheme="minorEastAsia"/>
                <w:bCs/>
                <w:color w:val="auto"/>
                <w:sz w:val="24"/>
                <w:szCs w:val="24"/>
                <w:highlight w:val="none"/>
                <w:lang w:eastAsia="zh-CN"/>
              </w:rPr>
              <w:t>元</w:t>
            </w:r>
            <w:r>
              <w:rPr>
                <w:rFonts w:hint="eastAsia" w:asciiTheme="minorEastAsia" w:hAnsiTheme="minorEastAsia" w:eastAsiaTheme="minorEastAsia" w:cstheme="minorEastAsia"/>
                <w:bCs/>
                <w:color w:val="auto"/>
                <w:sz w:val="24"/>
                <w:szCs w:val="24"/>
                <w:highlight w:val="none"/>
                <w:lang w:val="zh-CN"/>
              </w:rPr>
              <w:t>）</w:t>
            </w:r>
          </w:p>
        </w:tc>
        <w:tc>
          <w:tcPr>
            <w:tcW w:w="1062" w:type="pct"/>
            <w:vAlign w:val="center"/>
          </w:tcPr>
          <w:p w14:paraId="08CA2CD3">
            <w:pPr>
              <w:pStyle w:val="14"/>
              <w:spacing w:after="0"/>
              <w:ind w:left="0" w:leftChars="0" w:firstLine="0" w:firstLineChars="0"/>
              <w:jc w:val="center"/>
              <w:rPr>
                <w:color w:val="auto"/>
                <w:sz w:val="24"/>
                <w:highlight w:val="none"/>
                <w:lang w:val="zh-CN" w:eastAsia="zh-CN"/>
              </w:rPr>
            </w:pPr>
            <w:r>
              <w:rPr>
                <w:rFonts w:hint="eastAsia" w:asciiTheme="minorEastAsia" w:hAnsiTheme="minorEastAsia" w:eastAsiaTheme="minorEastAsia" w:cstheme="minorEastAsia"/>
                <w:bCs/>
                <w:color w:val="auto"/>
                <w:sz w:val="24"/>
                <w:highlight w:val="none"/>
                <w:lang w:val="zh-CN" w:eastAsia="zh-CN"/>
              </w:rPr>
              <w:t>（供货期）</w:t>
            </w:r>
          </w:p>
        </w:tc>
        <w:tc>
          <w:tcPr>
            <w:tcW w:w="564" w:type="pct"/>
            <w:vAlign w:val="center"/>
          </w:tcPr>
          <w:p w14:paraId="0471FC08">
            <w:pPr>
              <w:wordWrap w:val="0"/>
              <w:autoSpaceDE w:val="0"/>
              <w:autoSpaceDN w:val="0"/>
              <w:adjustRightInd w:val="0"/>
              <w:jc w:val="center"/>
              <w:rPr>
                <w:rFonts w:asciiTheme="minorEastAsia" w:hAnsiTheme="minorEastAsia" w:eastAsiaTheme="minorEastAsia" w:cstheme="minorEastAsia"/>
                <w:bCs/>
                <w:color w:val="auto"/>
                <w:sz w:val="24"/>
                <w:szCs w:val="24"/>
                <w:highlight w:val="none"/>
                <w:lang w:val="zh-CN" w:eastAsia="zh-CN"/>
              </w:rPr>
            </w:pPr>
            <w:r>
              <w:rPr>
                <w:rFonts w:hint="eastAsia" w:asciiTheme="minorEastAsia" w:hAnsiTheme="minorEastAsia" w:eastAsiaTheme="minorEastAsia" w:cstheme="minorEastAsia"/>
                <w:bCs/>
                <w:color w:val="auto"/>
                <w:sz w:val="24"/>
                <w:szCs w:val="24"/>
                <w:highlight w:val="none"/>
                <w:lang w:val="zh-CN" w:eastAsia="zh-CN"/>
              </w:rPr>
              <w:t>质量</w:t>
            </w:r>
          </w:p>
          <w:p w14:paraId="0A431BD7">
            <w:pPr>
              <w:wordWrap w:val="0"/>
              <w:autoSpaceDE w:val="0"/>
              <w:autoSpaceDN w:val="0"/>
              <w:adjustRightInd w:val="0"/>
              <w:jc w:val="center"/>
              <w:rPr>
                <w:rFonts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eastAsia="zh-CN"/>
              </w:rPr>
              <w:t>标准</w:t>
            </w:r>
          </w:p>
        </w:tc>
        <w:tc>
          <w:tcPr>
            <w:tcW w:w="719" w:type="pct"/>
            <w:vAlign w:val="center"/>
          </w:tcPr>
          <w:p w14:paraId="32EADA3E">
            <w:pPr>
              <w:wordWrap w:val="0"/>
              <w:autoSpaceDE w:val="0"/>
              <w:autoSpaceDN w:val="0"/>
              <w:adjustRightInd w:val="0"/>
              <w:jc w:val="center"/>
              <w:rPr>
                <w:rFonts w:hint="default"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投标保证金</w:t>
            </w:r>
          </w:p>
        </w:tc>
        <w:tc>
          <w:tcPr>
            <w:tcW w:w="720" w:type="pct"/>
            <w:vAlign w:val="center"/>
          </w:tcPr>
          <w:p w14:paraId="13C4BBE7">
            <w:pPr>
              <w:wordWrap w:val="0"/>
              <w:autoSpaceDE w:val="0"/>
              <w:autoSpaceDN w:val="0"/>
              <w:adjustRightInd w:val="0"/>
              <w:jc w:val="center"/>
              <w:rPr>
                <w:rFonts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lang w:eastAsia="zh-CN"/>
              </w:rPr>
              <w:t>备注</w:t>
            </w:r>
          </w:p>
        </w:tc>
      </w:tr>
      <w:tr w14:paraId="1ABAC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1" w:hRule="atLeast"/>
        </w:trPr>
        <w:tc>
          <w:tcPr>
            <w:tcW w:w="1104" w:type="pct"/>
            <w:vAlign w:val="center"/>
          </w:tcPr>
          <w:p w14:paraId="68411FD1">
            <w:pPr>
              <w:wordWrap w:val="0"/>
              <w:autoSpaceDE w:val="0"/>
              <w:autoSpaceDN w:val="0"/>
              <w:adjustRightInd w:val="0"/>
              <w:jc w:val="center"/>
              <w:rPr>
                <w:rFonts w:asciiTheme="minorEastAsia" w:hAnsiTheme="minorEastAsia" w:eastAsiaTheme="minorEastAsia" w:cstheme="minorEastAsia"/>
                <w:bCs/>
                <w:color w:val="auto"/>
                <w:sz w:val="24"/>
                <w:szCs w:val="24"/>
                <w:highlight w:val="none"/>
                <w:lang w:val="zh-CN"/>
              </w:rPr>
            </w:pPr>
          </w:p>
        </w:tc>
        <w:tc>
          <w:tcPr>
            <w:tcW w:w="828" w:type="pct"/>
            <w:vAlign w:val="center"/>
          </w:tcPr>
          <w:p w14:paraId="7F962AEB">
            <w:pPr>
              <w:wordWrap w:val="0"/>
              <w:autoSpaceDE w:val="0"/>
              <w:autoSpaceDN w:val="0"/>
              <w:adjustRightInd w:val="0"/>
              <w:jc w:val="center"/>
              <w:rPr>
                <w:rFonts w:asciiTheme="minorEastAsia" w:hAnsiTheme="minorEastAsia" w:eastAsiaTheme="minorEastAsia" w:cstheme="minorEastAsia"/>
                <w:bCs/>
                <w:color w:val="auto"/>
                <w:sz w:val="24"/>
                <w:szCs w:val="24"/>
                <w:highlight w:val="none"/>
                <w:lang w:val="zh-CN"/>
              </w:rPr>
            </w:pPr>
          </w:p>
        </w:tc>
        <w:tc>
          <w:tcPr>
            <w:tcW w:w="1062" w:type="pct"/>
            <w:vAlign w:val="center"/>
          </w:tcPr>
          <w:p w14:paraId="37FDEC70">
            <w:pPr>
              <w:wordWrap w:val="0"/>
              <w:autoSpaceDE w:val="0"/>
              <w:autoSpaceDN w:val="0"/>
              <w:adjustRightInd w:val="0"/>
              <w:jc w:val="center"/>
              <w:rPr>
                <w:rFonts w:asciiTheme="minorEastAsia" w:hAnsiTheme="minorEastAsia" w:eastAsiaTheme="minorEastAsia" w:cstheme="minorEastAsia"/>
                <w:bCs/>
                <w:color w:val="auto"/>
                <w:sz w:val="24"/>
                <w:szCs w:val="24"/>
                <w:highlight w:val="none"/>
                <w:lang w:val="zh-CN" w:eastAsia="zh-CN"/>
              </w:rPr>
            </w:pPr>
          </w:p>
        </w:tc>
        <w:tc>
          <w:tcPr>
            <w:tcW w:w="564" w:type="pct"/>
            <w:vAlign w:val="center"/>
          </w:tcPr>
          <w:p w14:paraId="1E6C14E5">
            <w:pPr>
              <w:wordWrap w:val="0"/>
              <w:autoSpaceDE w:val="0"/>
              <w:autoSpaceDN w:val="0"/>
              <w:adjustRightInd w:val="0"/>
              <w:jc w:val="center"/>
              <w:rPr>
                <w:rFonts w:asciiTheme="minorEastAsia" w:hAnsiTheme="minorEastAsia" w:eastAsiaTheme="minorEastAsia" w:cstheme="minorEastAsia"/>
                <w:bCs/>
                <w:color w:val="auto"/>
                <w:sz w:val="24"/>
                <w:szCs w:val="24"/>
                <w:highlight w:val="none"/>
                <w:lang w:val="zh-CN" w:eastAsia="zh-CN"/>
              </w:rPr>
            </w:pPr>
          </w:p>
        </w:tc>
        <w:tc>
          <w:tcPr>
            <w:tcW w:w="719" w:type="pct"/>
            <w:vAlign w:val="center"/>
          </w:tcPr>
          <w:p w14:paraId="571A128D">
            <w:pPr>
              <w:wordWrap w:val="0"/>
              <w:autoSpaceDE w:val="0"/>
              <w:autoSpaceDN w:val="0"/>
              <w:adjustRightInd w:val="0"/>
              <w:jc w:val="center"/>
              <w:rPr>
                <w:rFonts w:asciiTheme="minorEastAsia" w:hAnsiTheme="minorEastAsia" w:eastAsiaTheme="minorEastAsia" w:cstheme="minorEastAsia"/>
                <w:bCs/>
                <w:color w:val="auto"/>
                <w:sz w:val="24"/>
                <w:szCs w:val="24"/>
                <w:highlight w:val="none"/>
                <w:lang w:val="zh-CN" w:eastAsia="zh-CN"/>
              </w:rPr>
            </w:pPr>
            <w:r>
              <w:rPr>
                <w:rFonts w:hint="eastAsia"/>
                <w:color w:val="auto"/>
                <w:sz w:val="24"/>
                <w:szCs w:val="24"/>
                <w:highlight w:val="none"/>
              </w:rPr>
              <w:t>（有/无）</w:t>
            </w:r>
          </w:p>
        </w:tc>
        <w:tc>
          <w:tcPr>
            <w:tcW w:w="720" w:type="pct"/>
            <w:vAlign w:val="center"/>
          </w:tcPr>
          <w:p w14:paraId="59C1EBF1">
            <w:pPr>
              <w:wordWrap w:val="0"/>
              <w:autoSpaceDE w:val="0"/>
              <w:autoSpaceDN w:val="0"/>
              <w:adjustRightInd w:val="0"/>
              <w:jc w:val="center"/>
              <w:rPr>
                <w:rFonts w:asciiTheme="minorEastAsia" w:hAnsiTheme="minorEastAsia" w:eastAsiaTheme="minorEastAsia" w:cstheme="minorEastAsia"/>
                <w:bCs/>
                <w:color w:val="auto"/>
                <w:sz w:val="24"/>
                <w:szCs w:val="24"/>
                <w:highlight w:val="none"/>
                <w:lang w:val="zh-CN" w:eastAsia="zh-CN"/>
              </w:rPr>
            </w:pPr>
          </w:p>
        </w:tc>
      </w:tr>
    </w:tbl>
    <w:p w14:paraId="1CFAB751">
      <w:pPr>
        <w:widowControl/>
        <w:wordWrap w:val="0"/>
        <w:autoSpaceDE w:val="0"/>
        <w:autoSpaceDN w:val="0"/>
        <w:spacing w:line="360" w:lineRule="auto"/>
        <w:ind w:right="893"/>
        <w:textAlignment w:val="bottom"/>
        <w:rPr>
          <w:rFonts w:asciiTheme="minorEastAsia" w:hAnsiTheme="minorEastAsia" w:eastAsiaTheme="minorEastAsia" w:cstheme="minorEastAsia"/>
          <w:color w:val="auto"/>
          <w:sz w:val="24"/>
          <w:szCs w:val="24"/>
          <w:highlight w:val="none"/>
          <w:u w:val="single"/>
          <w:lang w:eastAsia="zh-CN"/>
        </w:rPr>
      </w:pPr>
    </w:p>
    <w:p w14:paraId="467BAAD5">
      <w:pPr>
        <w:widowControl/>
        <w:wordWrap w:val="0"/>
        <w:autoSpaceDE w:val="0"/>
        <w:autoSpaceDN w:val="0"/>
        <w:spacing w:line="360" w:lineRule="auto"/>
        <w:ind w:right="893"/>
        <w:textAlignment w:val="bottom"/>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注：</w:t>
      </w:r>
    </w:p>
    <w:p w14:paraId="486C7D7F">
      <w:pPr>
        <w:widowControl/>
        <w:numPr>
          <w:ilvl w:val="3"/>
          <w:numId w:val="7"/>
        </w:numPr>
        <w:tabs>
          <w:tab w:val="left" w:pos="525"/>
        </w:tabs>
        <w:wordWrap w:val="0"/>
        <w:autoSpaceDE w:val="0"/>
        <w:autoSpaceDN w:val="0"/>
        <w:spacing w:line="360" w:lineRule="auto"/>
        <w:ind w:left="527" w:right="893" w:hanging="527"/>
        <w:textAlignment w:val="bottom"/>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具体格式以政采云系统为准；</w:t>
      </w:r>
    </w:p>
    <w:p w14:paraId="6943F7C9">
      <w:pPr>
        <w:widowControl/>
        <w:numPr>
          <w:ilvl w:val="3"/>
          <w:numId w:val="7"/>
        </w:numPr>
        <w:tabs>
          <w:tab w:val="left" w:pos="525"/>
        </w:tabs>
        <w:wordWrap w:val="0"/>
        <w:autoSpaceDE w:val="0"/>
        <w:autoSpaceDN w:val="0"/>
        <w:spacing w:line="360" w:lineRule="auto"/>
        <w:ind w:left="527" w:right="893" w:hanging="527"/>
        <w:textAlignment w:val="bottom"/>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货币</w:t>
      </w:r>
      <w:r>
        <w:rPr>
          <w:rFonts w:hint="eastAsia" w:asciiTheme="minorEastAsia" w:hAnsiTheme="minorEastAsia" w:eastAsiaTheme="minorEastAsia" w:cstheme="minorEastAsia"/>
          <w:color w:val="auto"/>
          <w:sz w:val="24"/>
          <w:szCs w:val="24"/>
          <w:highlight w:val="none"/>
        </w:rPr>
        <w:t>为人民币</w:t>
      </w:r>
      <w:r>
        <w:rPr>
          <w:rFonts w:hint="eastAsia" w:asciiTheme="minorEastAsia" w:hAnsiTheme="minorEastAsia" w:eastAsiaTheme="minorEastAsia" w:cstheme="minorEastAsia"/>
          <w:color w:val="auto"/>
          <w:sz w:val="24"/>
          <w:szCs w:val="24"/>
          <w:highlight w:val="none"/>
          <w:lang w:eastAsia="zh-CN"/>
        </w:rPr>
        <w:t>，报价保留小数点后两位</w:t>
      </w:r>
      <w:r>
        <w:rPr>
          <w:rFonts w:hint="eastAsia" w:asciiTheme="minorEastAsia" w:hAnsiTheme="minorEastAsia" w:eastAsiaTheme="minorEastAsia" w:cstheme="minorEastAsia"/>
          <w:color w:val="auto"/>
          <w:sz w:val="24"/>
          <w:szCs w:val="24"/>
          <w:highlight w:val="none"/>
        </w:rPr>
        <w:t>；</w:t>
      </w:r>
    </w:p>
    <w:p w14:paraId="12972D49">
      <w:pPr>
        <w:widowControl/>
        <w:wordWrap w:val="0"/>
        <w:autoSpaceDE w:val="0"/>
        <w:autoSpaceDN w:val="0"/>
        <w:spacing w:line="360" w:lineRule="auto"/>
        <w:ind w:right="893"/>
        <w:textAlignment w:val="bottom"/>
        <w:rPr>
          <w:rFonts w:asciiTheme="minorEastAsia" w:hAnsiTheme="minorEastAsia" w:eastAsiaTheme="minorEastAsia" w:cstheme="minorEastAsia"/>
          <w:color w:val="auto"/>
          <w:sz w:val="24"/>
          <w:szCs w:val="24"/>
          <w:highlight w:val="none"/>
          <w:lang w:eastAsia="zh-CN"/>
        </w:rPr>
      </w:pPr>
    </w:p>
    <w:p w14:paraId="1B7C05DD">
      <w:pPr>
        <w:pStyle w:val="5"/>
        <w:tabs>
          <w:tab w:val="left" w:pos="7321"/>
        </w:tabs>
        <w:wordWrap w:val="0"/>
        <w:spacing w:before="36"/>
        <w:ind w:left="2701"/>
        <w:rPr>
          <w:rFonts w:asciiTheme="minorEastAsia" w:hAnsiTheme="minorEastAsia" w:eastAsiaTheme="minorEastAsia" w:cstheme="minorEastAsia"/>
          <w:color w:val="auto"/>
          <w:sz w:val="24"/>
          <w:szCs w:val="24"/>
          <w:highlight w:val="none"/>
          <w:lang w:eastAsia="zh-CN"/>
        </w:rPr>
      </w:pPr>
      <w:r>
        <w:rPr>
          <w:rFonts w:hint="eastAsia" w:ascii="宋体" w:hAnsi="宋体"/>
          <w:color w:val="auto"/>
          <w:sz w:val="24"/>
        </w:rPr>
        <w:t>供应商名称</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u w:val="single"/>
          <w:lang w:eastAsia="zh-CN"/>
        </w:rPr>
        <w:t xml:space="preserve">                        </w:t>
      </w:r>
      <w:r>
        <w:rPr>
          <w:rFonts w:hint="eastAsia" w:asciiTheme="minorEastAsia" w:hAnsiTheme="minorEastAsia" w:eastAsiaTheme="minorEastAsia" w:cstheme="minorEastAsia"/>
          <w:color w:val="auto"/>
          <w:sz w:val="24"/>
          <w:szCs w:val="24"/>
          <w:highlight w:val="none"/>
          <w:lang w:eastAsia="zh-CN"/>
        </w:rPr>
        <w:t>（盖单位公章）</w:t>
      </w:r>
    </w:p>
    <w:p w14:paraId="479A5272">
      <w:pPr>
        <w:pStyle w:val="5"/>
        <w:wordWrap w:val="0"/>
        <w:spacing w:before="12"/>
        <w:rPr>
          <w:rFonts w:asciiTheme="minorEastAsia" w:hAnsiTheme="minorEastAsia" w:eastAsiaTheme="minorEastAsia" w:cstheme="minorEastAsia"/>
          <w:color w:val="auto"/>
          <w:sz w:val="24"/>
          <w:szCs w:val="24"/>
          <w:highlight w:val="none"/>
          <w:lang w:eastAsia="zh-CN"/>
        </w:rPr>
      </w:pPr>
    </w:p>
    <w:p w14:paraId="3996087A">
      <w:pPr>
        <w:pStyle w:val="5"/>
        <w:tabs>
          <w:tab w:val="left" w:pos="6481"/>
        </w:tabs>
        <w:wordWrap w:val="0"/>
        <w:spacing w:before="37"/>
        <w:ind w:left="2701"/>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法定代表人或其委托代理人：</w:t>
      </w:r>
      <w:r>
        <w:rPr>
          <w:rFonts w:hint="eastAsia" w:asciiTheme="minorEastAsia" w:hAnsiTheme="minorEastAsia" w:eastAsiaTheme="minorEastAsia" w:cstheme="minorEastAsia"/>
          <w:color w:val="auto"/>
          <w:sz w:val="24"/>
          <w:szCs w:val="24"/>
          <w:highlight w:val="none"/>
          <w:u w:val="single"/>
          <w:lang w:eastAsia="zh-CN"/>
        </w:rPr>
        <w:t xml:space="preserve"> </w:t>
      </w:r>
      <w:r>
        <w:rPr>
          <w:rFonts w:hint="eastAsia" w:asciiTheme="minorEastAsia" w:hAnsiTheme="minorEastAsia" w:eastAsiaTheme="minorEastAsia" w:cstheme="minorEastAsia"/>
          <w:color w:val="auto"/>
          <w:sz w:val="24"/>
          <w:szCs w:val="24"/>
          <w:highlight w:val="none"/>
          <w:u w:val="single"/>
          <w:lang w:eastAsia="zh-CN"/>
        </w:rPr>
        <w:tab/>
      </w:r>
      <w:r>
        <w:rPr>
          <w:rFonts w:hint="eastAsia" w:asciiTheme="minorEastAsia" w:hAnsiTheme="minorEastAsia" w:eastAsiaTheme="minorEastAsia" w:cstheme="minorEastAsia"/>
          <w:color w:val="auto"/>
          <w:sz w:val="24"/>
          <w:szCs w:val="24"/>
          <w:highlight w:val="none"/>
          <w:lang w:eastAsia="zh-CN"/>
        </w:rPr>
        <w:t>（</w:t>
      </w:r>
      <w:r>
        <w:rPr>
          <w:rFonts w:hint="eastAsia" w:ascii="宋体" w:hAnsi="宋体"/>
          <w:color w:val="auto"/>
          <w:sz w:val="24"/>
        </w:rPr>
        <w:t>签字或签章</w:t>
      </w:r>
      <w:r>
        <w:rPr>
          <w:rFonts w:hint="eastAsia" w:asciiTheme="minorEastAsia" w:hAnsiTheme="minorEastAsia" w:eastAsiaTheme="minorEastAsia" w:cstheme="minorEastAsia"/>
          <w:color w:val="auto"/>
          <w:sz w:val="24"/>
          <w:szCs w:val="24"/>
          <w:highlight w:val="none"/>
          <w:lang w:eastAsia="zh-CN"/>
        </w:rPr>
        <w:t>）</w:t>
      </w:r>
    </w:p>
    <w:p w14:paraId="51CD1D02">
      <w:pPr>
        <w:pStyle w:val="5"/>
        <w:wordWrap w:val="0"/>
        <w:spacing w:before="10"/>
        <w:rPr>
          <w:rFonts w:asciiTheme="minorEastAsia" w:hAnsiTheme="minorEastAsia" w:eastAsiaTheme="minorEastAsia" w:cstheme="minorEastAsia"/>
          <w:color w:val="auto"/>
          <w:sz w:val="24"/>
          <w:szCs w:val="24"/>
          <w:highlight w:val="none"/>
          <w:lang w:eastAsia="zh-CN"/>
        </w:rPr>
      </w:pPr>
    </w:p>
    <w:p w14:paraId="2B73F86C">
      <w:pPr>
        <w:wordWrap w:val="0"/>
        <w:jc w:val="right"/>
        <w:rPr>
          <w:rFonts w:asciiTheme="minorEastAsia" w:hAnsiTheme="minorEastAsia" w:eastAsiaTheme="minorEastAsia" w:cstheme="minorEastAsia"/>
          <w:color w:val="auto"/>
          <w:sz w:val="24"/>
          <w:szCs w:val="24"/>
          <w:highlight w:val="none"/>
          <w:u w:val="single"/>
          <w:lang w:eastAsia="zh-CN"/>
        </w:rPr>
      </w:pPr>
    </w:p>
    <w:p w14:paraId="1748A595">
      <w:pPr>
        <w:wordWrap w:val="0"/>
        <w:jc w:val="righ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u w:val="single"/>
          <w:lang w:eastAsia="zh-CN"/>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lang w:eastAsia="zh-CN"/>
        </w:rPr>
        <w:tab/>
      </w:r>
      <w:r>
        <w:rPr>
          <w:rFonts w:hint="eastAsia" w:asciiTheme="minorEastAsia" w:hAnsiTheme="minorEastAsia" w:eastAsiaTheme="minorEastAsia" w:cstheme="minorEastAsia"/>
          <w:color w:val="auto"/>
          <w:sz w:val="24"/>
          <w:szCs w:val="24"/>
          <w:highlight w:val="none"/>
          <w:lang w:eastAsia="zh-CN"/>
        </w:rPr>
        <w:t>年</w:t>
      </w:r>
      <w:r>
        <w:rPr>
          <w:rFonts w:hint="eastAsia" w:asciiTheme="minorEastAsia" w:hAnsiTheme="minorEastAsia" w:eastAsiaTheme="minorEastAsia" w:cstheme="minorEastAsia"/>
          <w:color w:val="auto"/>
          <w:sz w:val="24"/>
          <w:szCs w:val="24"/>
          <w:highlight w:val="none"/>
          <w:u w:val="single"/>
          <w:lang w:eastAsia="zh-CN"/>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lang w:eastAsia="zh-CN"/>
        </w:rPr>
        <w:tab/>
      </w:r>
      <w:r>
        <w:rPr>
          <w:rFonts w:hint="eastAsia" w:asciiTheme="minorEastAsia" w:hAnsiTheme="minorEastAsia" w:eastAsiaTheme="minorEastAsia" w:cstheme="minorEastAsia"/>
          <w:color w:val="auto"/>
          <w:sz w:val="24"/>
          <w:szCs w:val="24"/>
          <w:highlight w:val="none"/>
          <w:lang w:eastAsia="zh-CN"/>
        </w:rPr>
        <w:t>月</w:t>
      </w:r>
      <w:r>
        <w:rPr>
          <w:rFonts w:hint="eastAsia" w:asciiTheme="minorEastAsia" w:hAnsiTheme="minorEastAsia" w:eastAsiaTheme="minorEastAsia" w:cstheme="minorEastAsia"/>
          <w:color w:val="auto"/>
          <w:sz w:val="24"/>
          <w:szCs w:val="24"/>
          <w:highlight w:val="none"/>
          <w:u w:val="single"/>
          <w:lang w:eastAsia="zh-CN"/>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lang w:eastAsia="zh-CN"/>
        </w:rPr>
        <w:tab/>
      </w:r>
      <w:r>
        <w:rPr>
          <w:rFonts w:hint="eastAsia" w:asciiTheme="minorEastAsia" w:hAnsiTheme="minorEastAsia" w:eastAsiaTheme="minorEastAsia" w:cstheme="minorEastAsia"/>
          <w:color w:val="auto"/>
          <w:sz w:val="24"/>
          <w:szCs w:val="24"/>
          <w:highlight w:val="none"/>
          <w:lang w:eastAsia="zh-CN"/>
        </w:rPr>
        <w:t>日</w:t>
      </w:r>
    </w:p>
    <w:p w14:paraId="3806A3FC">
      <w:pP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br w:type="page"/>
      </w:r>
    </w:p>
    <w:p w14:paraId="6FA1D006">
      <w:pPr>
        <w:spacing w:line="360" w:lineRule="auto"/>
        <w:jc w:val="center"/>
        <w:rPr>
          <w:rFonts w:ascii="宋体" w:hAnsi="宋体" w:cs="宋体"/>
          <w:b/>
          <w:kern w:val="0"/>
          <w:sz w:val="32"/>
          <w:szCs w:val="32"/>
          <w:lang w:eastAsia="en-US"/>
        </w:rPr>
      </w:pPr>
      <w:r>
        <w:rPr>
          <w:rFonts w:hint="eastAsia" w:ascii="宋体" w:hAnsi="宋体" w:cs="宋体"/>
          <w:b/>
          <w:kern w:val="0"/>
          <w:sz w:val="32"/>
          <w:szCs w:val="32"/>
        </w:rPr>
        <w:t>报价明细表</w:t>
      </w:r>
    </w:p>
    <w:tbl>
      <w:tblPr>
        <w:tblStyle w:val="15"/>
        <w:tblW w:w="9276" w:type="dxa"/>
        <w:tblInd w:w="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2281"/>
        <w:gridCol w:w="728"/>
        <w:gridCol w:w="788"/>
        <w:gridCol w:w="739"/>
        <w:gridCol w:w="1623"/>
        <w:gridCol w:w="2249"/>
      </w:tblGrid>
      <w:tr w14:paraId="69720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9276" w:type="dxa"/>
            <w:gridSpan w:val="7"/>
            <w:noWrap w:val="0"/>
            <w:vAlign w:val="center"/>
          </w:tcPr>
          <w:p w14:paraId="23F03F19">
            <w:pPr>
              <w:spacing w:line="288" w:lineRule="auto"/>
              <w:jc w:val="left"/>
              <w:rPr>
                <w:rFonts w:ascii="宋体" w:hAnsi="宋体" w:cs="宋体"/>
                <w:b/>
                <w:kern w:val="0"/>
                <w:sz w:val="24"/>
              </w:rPr>
            </w:pPr>
            <w:r>
              <w:rPr>
                <w:rFonts w:hint="eastAsia" w:ascii="宋体" w:hAnsi="宋体" w:cs="宋体"/>
                <w:b/>
                <w:bCs/>
                <w:kern w:val="0"/>
                <w:sz w:val="24"/>
              </w:rPr>
              <w:t xml:space="preserve">项目名称：                                         </w:t>
            </w:r>
            <w:r>
              <w:rPr>
                <w:rFonts w:hint="eastAsia" w:ascii="宋体" w:hAnsi="宋体" w:cs="宋体"/>
                <w:b/>
                <w:kern w:val="0"/>
                <w:sz w:val="24"/>
              </w:rPr>
              <w:t>项目编号：</w:t>
            </w:r>
          </w:p>
        </w:tc>
      </w:tr>
      <w:tr w14:paraId="34B76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9276" w:type="dxa"/>
            <w:gridSpan w:val="7"/>
            <w:noWrap w:val="0"/>
            <w:vAlign w:val="center"/>
          </w:tcPr>
          <w:p w14:paraId="56E38AFC">
            <w:pPr>
              <w:spacing w:line="288" w:lineRule="auto"/>
              <w:jc w:val="left"/>
              <w:rPr>
                <w:rFonts w:ascii="宋体" w:hAnsi="宋体" w:cs="宋体"/>
                <w:kern w:val="0"/>
                <w:sz w:val="24"/>
              </w:rPr>
            </w:pPr>
            <w:r>
              <w:rPr>
                <w:rFonts w:hint="eastAsia" w:ascii="宋体" w:hAnsi="宋体" w:cs="宋体"/>
                <w:kern w:val="0"/>
                <w:sz w:val="24"/>
              </w:rPr>
              <w:t>货物明细表：（单位：元）</w:t>
            </w:r>
          </w:p>
        </w:tc>
      </w:tr>
      <w:tr w14:paraId="401B0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868" w:type="dxa"/>
            <w:noWrap w:val="0"/>
            <w:vAlign w:val="center"/>
          </w:tcPr>
          <w:p w14:paraId="26F62AD1">
            <w:pPr>
              <w:spacing w:line="288" w:lineRule="auto"/>
              <w:jc w:val="center"/>
              <w:rPr>
                <w:rFonts w:ascii="宋体" w:hAnsi="宋体" w:cs="宋体"/>
                <w:kern w:val="0"/>
                <w:sz w:val="24"/>
                <w:lang w:eastAsia="en-US"/>
              </w:rPr>
            </w:pPr>
            <w:r>
              <w:rPr>
                <w:rFonts w:hint="eastAsia" w:ascii="宋体" w:hAnsi="宋体" w:cs="宋体"/>
                <w:kern w:val="0"/>
                <w:sz w:val="24"/>
                <w:lang w:eastAsia="en-US"/>
              </w:rPr>
              <w:t>序号</w:t>
            </w:r>
          </w:p>
        </w:tc>
        <w:tc>
          <w:tcPr>
            <w:tcW w:w="2281" w:type="dxa"/>
            <w:noWrap w:val="0"/>
            <w:vAlign w:val="center"/>
          </w:tcPr>
          <w:p w14:paraId="352F204B">
            <w:pPr>
              <w:spacing w:line="288" w:lineRule="auto"/>
              <w:jc w:val="center"/>
              <w:rPr>
                <w:rFonts w:ascii="宋体" w:hAnsi="宋体" w:cs="宋体"/>
                <w:kern w:val="0"/>
                <w:sz w:val="24"/>
                <w:lang w:eastAsia="en-US"/>
              </w:rPr>
            </w:pPr>
            <w:r>
              <w:rPr>
                <w:rFonts w:hint="eastAsia" w:ascii="宋体" w:hAnsi="宋体" w:cs="宋体"/>
                <w:kern w:val="0"/>
                <w:sz w:val="24"/>
                <w:lang w:eastAsia="en-US"/>
              </w:rPr>
              <w:t>货物名称</w:t>
            </w:r>
          </w:p>
        </w:tc>
        <w:tc>
          <w:tcPr>
            <w:tcW w:w="728" w:type="dxa"/>
            <w:noWrap w:val="0"/>
            <w:vAlign w:val="center"/>
          </w:tcPr>
          <w:p w14:paraId="1A7C88F0">
            <w:pPr>
              <w:spacing w:line="288" w:lineRule="auto"/>
              <w:jc w:val="center"/>
              <w:rPr>
                <w:rFonts w:ascii="宋体" w:hAnsi="宋体" w:cs="宋体"/>
                <w:kern w:val="0"/>
                <w:sz w:val="24"/>
                <w:lang w:eastAsia="en-US"/>
              </w:rPr>
            </w:pPr>
            <w:r>
              <w:rPr>
                <w:rFonts w:hint="eastAsia" w:ascii="宋体" w:hAnsi="宋体" w:cs="宋体"/>
                <w:kern w:val="0"/>
                <w:sz w:val="24"/>
                <w:lang w:eastAsia="en-US"/>
              </w:rPr>
              <w:t>制造厂商</w:t>
            </w:r>
          </w:p>
        </w:tc>
        <w:tc>
          <w:tcPr>
            <w:tcW w:w="788" w:type="dxa"/>
            <w:noWrap w:val="0"/>
            <w:vAlign w:val="center"/>
          </w:tcPr>
          <w:p w14:paraId="69E58B06">
            <w:pPr>
              <w:spacing w:line="288" w:lineRule="auto"/>
              <w:jc w:val="center"/>
              <w:rPr>
                <w:rFonts w:ascii="宋体" w:hAnsi="宋体" w:cs="宋体"/>
                <w:kern w:val="0"/>
                <w:sz w:val="24"/>
                <w:lang w:eastAsia="en-US"/>
              </w:rPr>
            </w:pPr>
            <w:r>
              <w:rPr>
                <w:rFonts w:hint="eastAsia" w:ascii="宋体" w:hAnsi="宋体" w:cs="宋体"/>
                <w:kern w:val="0"/>
                <w:sz w:val="24"/>
                <w:lang w:eastAsia="en-US"/>
              </w:rPr>
              <w:t>品牌型号</w:t>
            </w:r>
          </w:p>
        </w:tc>
        <w:tc>
          <w:tcPr>
            <w:tcW w:w="739" w:type="dxa"/>
            <w:noWrap w:val="0"/>
            <w:vAlign w:val="center"/>
          </w:tcPr>
          <w:p w14:paraId="1FB742A0">
            <w:pPr>
              <w:spacing w:line="288" w:lineRule="auto"/>
              <w:jc w:val="center"/>
              <w:rPr>
                <w:rFonts w:ascii="宋体" w:hAnsi="宋体" w:cs="宋体"/>
                <w:kern w:val="0"/>
                <w:sz w:val="24"/>
                <w:lang w:eastAsia="en-US"/>
              </w:rPr>
            </w:pPr>
            <w:r>
              <w:rPr>
                <w:rFonts w:hint="eastAsia" w:ascii="宋体" w:hAnsi="宋体" w:cs="宋体"/>
                <w:kern w:val="0"/>
                <w:sz w:val="24"/>
                <w:lang w:eastAsia="en-US"/>
              </w:rPr>
              <w:t>数量</w:t>
            </w:r>
          </w:p>
        </w:tc>
        <w:tc>
          <w:tcPr>
            <w:tcW w:w="1623" w:type="dxa"/>
            <w:noWrap w:val="0"/>
            <w:vAlign w:val="center"/>
          </w:tcPr>
          <w:p w14:paraId="4DAF4BA9">
            <w:pPr>
              <w:spacing w:line="288" w:lineRule="auto"/>
              <w:jc w:val="center"/>
              <w:rPr>
                <w:rFonts w:ascii="宋体" w:hAnsi="宋体" w:cs="宋体"/>
                <w:kern w:val="0"/>
                <w:sz w:val="24"/>
                <w:lang w:eastAsia="en-US"/>
              </w:rPr>
            </w:pPr>
            <w:r>
              <w:rPr>
                <w:rFonts w:hint="eastAsia" w:ascii="宋体" w:hAnsi="宋体" w:cs="宋体"/>
                <w:kern w:val="0"/>
                <w:sz w:val="24"/>
                <w:lang w:eastAsia="en-US"/>
              </w:rPr>
              <w:t>单价</w:t>
            </w:r>
          </w:p>
        </w:tc>
        <w:tc>
          <w:tcPr>
            <w:tcW w:w="2249" w:type="dxa"/>
            <w:noWrap w:val="0"/>
            <w:vAlign w:val="center"/>
          </w:tcPr>
          <w:p w14:paraId="277924B4">
            <w:pPr>
              <w:spacing w:line="288" w:lineRule="auto"/>
              <w:jc w:val="center"/>
              <w:rPr>
                <w:rFonts w:ascii="宋体" w:hAnsi="宋体" w:cs="宋体"/>
                <w:kern w:val="0"/>
                <w:sz w:val="24"/>
                <w:lang w:eastAsia="en-US"/>
              </w:rPr>
            </w:pPr>
            <w:r>
              <w:rPr>
                <w:rFonts w:hint="eastAsia" w:ascii="宋体" w:hAnsi="宋体" w:cs="宋体"/>
                <w:kern w:val="0"/>
                <w:sz w:val="24"/>
                <w:lang w:eastAsia="en-US"/>
              </w:rPr>
              <w:t>分项总价</w:t>
            </w:r>
          </w:p>
        </w:tc>
      </w:tr>
      <w:tr w14:paraId="07101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868" w:type="dxa"/>
            <w:noWrap w:val="0"/>
            <w:vAlign w:val="center"/>
          </w:tcPr>
          <w:p w14:paraId="69F95E69">
            <w:pPr>
              <w:spacing w:line="288" w:lineRule="auto"/>
              <w:jc w:val="center"/>
              <w:rPr>
                <w:rFonts w:ascii="宋体" w:hAnsi="宋体" w:cs="宋体"/>
                <w:kern w:val="0"/>
                <w:sz w:val="24"/>
                <w:lang w:eastAsia="en-US"/>
              </w:rPr>
            </w:pPr>
          </w:p>
        </w:tc>
        <w:tc>
          <w:tcPr>
            <w:tcW w:w="2281" w:type="dxa"/>
            <w:noWrap w:val="0"/>
            <w:vAlign w:val="center"/>
          </w:tcPr>
          <w:p w14:paraId="0116C425">
            <w:pPr>
              <w:spacing w:line="288" w:lineRule="auto"/>
              <w:jc w:val="center"/>
              <w:rPr>
                <w:rFonts w:ascii="宋体" w:hAnsi="宋体" w:cs="宋体"/>
                <w:kern w:val="0"/>
                <w:sz w:val="24"/>
                <w:lang w:eastAsia="en-US"/>
              </w:rPr>
            </w:pPr>
          </w:p>
        </w:tc>
        <w:tc>
          <w:tcPr>
            <w:tcW w:w="728" w:type="dxa"/>
            <w:noWrap w:val="0"/>
            <w:vAlign w:val="center"/>
          </w:tcPr>
          <w:p w14:paraId="657A50DB">
            <w:pPr>
              <w:spacing w:line="288" w:lineRule="auto"/>
              <w:jc w:val="center"/>
              <w:rPr>
                <w:rFonts w:ascii="宋体" w:hAnsi="宋体" w:cs="宋体"/>
                <w:kern w:val="0"/>
                <w:sz w:val="24"/>
                <w:lang w:eastAsia="en-US"/>
              </w:rPr>
            </w:pPr>
          </w:p>
        </w:tc>
        <w:tc>
          <w:tcPr>
            <w:tcW w:w="788" w:type="dxa"/>
            <w:noWrap w:val="0"/>
            <w:vAlign w:val="center"/>
          </w:tcPr>
          <w:p w14:paraId="32CF48ED">
            <w:pPr>
              <w:spacing w:line="288" w:lineRule="auto"/>
              <w:jc w:val="center"/>
              <w:rPr>
                <w:rFonts w:ascii="宋体" w:hAnsi="宋体" w:cs="宋体"/>
                <w:kern w:val="0"/>
                <w:sz w:val="24"/>
                <w:lang w:eastAsia="en-US"/>
              </w:rPr>
            </w:pPr>
          </w:p>
        </w:tc>
        <w:tc>
          <w:tcPr>
            <w:tcW w:w="739" w:type="dxa"/>
            <w:noWrap w:val="0"/>
            <w:vAlign w:val="center"/>
          </w:tcPr>
          <w:p w14:paraId="5E5EB4ED">
            <w:pPr>
              <w:spacing w:line="288" w:lineRule="auto"/>
              <w:jc w:val="center"/>
              <w:rPr>
                <w:rFonts w:ascii="宋体" w:hAnsi="宋体" w:cs="宋体"/>
                <w:kern w:val="0"/>
                <w:sz w:val="24"/>
                <w:lang w:eastAsia="en-US"/>
              </w:rPr>
            </w:pPr>
          </w:p>
        </w:tc>
        <w:tc>
          <w:tcPr>
            <w:tcW w:w="1623" w:type="dxa"/>
            <w:noWrap w:val="0"/>
            <w:vAlign w:val="center"/>
          </w:tcPr>
          <w:p w14:paraId="3B1DB476">
            <w:pPr>
              <w:spacing w:line="288" w:lineRule="auto"/>
              <w:jc w:val="center"/>
              <w:rPr>
                <w:rFonts w:ascii="宋体" w:hAnsi="宋体" w:cs="宋体"/>
                <w:kern w:val="0"/>
                <w:sz w:val="24"/>
                <w:lang w:eastAsia="en-US"/>
              </w:rPr>
            </w:pPr>
          </w:p>
        </w:tc>
        <w:tc>
          <w:tcPr>
            <w:tcW w:w="2249" w:type="dxa"/>
            <w:noWrap w:val="0"/>
            <w:vAlign w:val="center"/>
          </w:tcPr>
          <w:p w14:paraId="09C59682">
            <w:pPr>
              <w:spacing w:line="288" w:lineRule="auto"/>
              <w:jc w:val="center"/>
              <w:rPr>
                <w:rFonts w:ascii="宋体" w:hAnsi="宋体" w:cs="宋体"/>
                <w:kern w:val="0"/>
                <w:sz w:val="24"/>
                <w:lang w:eastAsia="en-US"/>
              </w:rPr>
            </w:pPr>
          </w:p>
        </w:tc>
      </w:tr>
      <w:tr w14:paraId="6C356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868" w:type="dxa"/>
            <w:noWrap w:val="0"/>
            <w:vAlign w:val="center"/>
          </w:tcPr>
          <w:p w14:paraId="367174B5">
            <w:pPr>
              <w:spacing w:line="288" w:lineRule="auto"/>
              <w:jc w:val="center"/>
              <w:rPr>
                <w:rFonts w:ascii="宋体" w:hAnsi="宋体" w:cs="宋体"/>
                <w:kern w:val="0"/>
                <w:sz w:val="24"/>
                <w:lang w:eastAsia="en-US"/>
              </w:rPr>
            </w:pPr>
            <w:r>
              <w:rPr>
                <w:rFonts w:hint="eastAsia" w:ascii="宋体" w:hAnsi="宋体" w:cs="宋体"/>
                <w:kern w:val="0"/>
                <w:sz w:val="24"/>
                <w:lang w:eastAsia="en-US"/>
              </w:rPr>
              <w:t>…</w:t>
            </w:r>
          </w:p>
        </w:tc>
        <w:tc>
          <w:tcPr>
            <w:tcW w:w="2281" w:type="dxa"/>
            <w:noWrap w:val="0"/>
            <w:vAlign w:val="center"/>
          </w:tcPr>
          <w:p w14:paraId="3F941476">
            <w:pPr>
              <w:spacing w:line="288" w:lineRule="auto"/>
              <w:jc w:val="center"/>
              <w:rPr>
                <w:rFonts w:ascii="宋体" w:hAnsi="宋体" w:cs="宋体"/>
                <w:kern w:val="0"/>
                <w:sz w:val="24"/>
                <w:lang w:eastAsia="en-US"/>
              </w:rPr>
            </w:pPr>
          </w:p>
        </w:tc>
        <w:tc>
          <w:tcPr>
            <w:tcW w:w="728" w:type="dxa"/>
            <w:noWrap w:val="0"/>
            <w:vAlign w:val="center"/>
          </w:tcPr>
          <w:p w14:paraId="1D752A0B">
            <w:pPr>
              <w:spacing w:line="288" w:lineRule="auto"/>
              <w:jc w:val="center"/>
              <w:rPr>
                <w:rFonts w:ascii="宋体" w:hAnsi="宋体" w:cs="宋体"/>
                <w:kern w:val="0"/>
                <w:sz w:val="24"/>
                <w:lang w:eastAsia="en-US"/>
              </w:rPr>
            </w:pPr>
          </w:p>
        </w:tc>
        <w:tc>
          <w:tcPr>
            <w:tcW w:w="788" w:type="dxa"/>
            <w:noWrap w:val="0"/>
            <w:vAlign w:val="center"/>
          </w:tcPr>
          <w:p w14:paraId="55E90CBF">
            <w:pPr>
              <w:spacing w:line="288" w:lineRule="auto"/>
              <w:jc w:val="center"/>
              <w:rPr>
                <w:rFonts w:ascii="宋体" w:hAnsi="宋体" w:cs="宋体"/>
                <w:kern w:val="0"/>
                <w:sz w:val="24"/>
                <w:lang w:eastAsia="en-US"/>
              </w:rPr>
            </w:pPr>
          </w:p>
        </w:tc>
        <w:tc>
          <w:tcPr>
            <w:tcW w:w="739" w:type="dxa"/>
            <w:noWrap w:val="0"/>
            <w:vAlign w:val="center"/>
          </w:tcPr>
          <w:p w14:paraId="29E85EAA">
            <w:pPr>
              <w:spacing w:line="288" w:lineRule="auto"/>
              <w:jc w:val="center"/>
              <w:rPr>
                <w:rFonts w:ascii="宋体" w:hAnsi="宋体" w:cs="宋体"/>
                <w:kern w:val="0"/>
                <w:sz w:val="24"/>
                <w:lang w:eastAsia="en-US"/>
              </w:rPr>
            </w:pPr>
          </w:p>
        </w:tc>
        <w:tc>
          <w:tcPr>
            <w:tcW w:w="1623" w:type="dxa"/>
            <w:noWrap w:val="0"/>
            <w:vAlign w:val="center"/>
          </w:tcPr>
          <w:p w14:paraId="6B078C17">
            <w:pPr>
              <w:spacing w:line="288" w:lineRule="auto"/>
              <w:jc w:val="center"/>
              <w:rPr>
                <w:rFonts w:ascii="宋体" w:hAnsi="宋体" w:cs="宋体"/>
                <w:kern w:val="0"/>
                <w:sz w:val="24"/>
                <w:lang w:eastAsia="en-US"/>
              </w:rPr>
            </w:pPr>
          </w:p>
        </w:tc>
        <w:tc>
          <w:tcPr>
            <w:tcW w:w="2249" w:type="dxa"/>
            <w:noWrap w:val="0"/>
            <w:vAlign w:val="center"/>
          </w:tcPr>
          <w:p w14:paraId="535AC6D9">
            <w:pPr>
              <w:spacing w:line="288" w:lineRule="auto"/>
              <w:jc w:val="center"/>
              <w:rPr>
                <w:rFonts w:ascii="宋体" w:hAnsi="宋体" w:cs="宋体"/>
                <w:kern w:val="0"/>
                <w:sz w:val="24"/>
                <w:lang w:eastAsia="en-US"/>
              </w:rPr>
            </w:pPr>
          </w:p>
        </w:tc>
      </w:tr>
      <w:tr w14:paraId="132A9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868" w:type="dxa"/>
            <w:noWrap w:val="0"/>
            <w:vAlign w:val="center"/>
          </w:tcPr>
          <w:p w14:paraId="1ECAA3C5">
            <w:pPr>
              <w:spacing w:line="288" w:lineRule="auto"/>
              <w:jc w:val="center"/>
              <w:rPr>
                <w:rFonts w:ascii="宋体" w:hAnsi="宋体" w:cs="宋体"/>
                <w:kern w:val="0"/>
                <w:sz w:val="24"/>
                <w:lang w:eastAsia="en-US"/>
              </w:rPr>
            </w:pPr>
          </w:p>
        </w:tc>
        <w:tc>
          <w:tcPr>
            <w:tcW w:w="2281" w:type="dxa"/>
            <w:noWrap w:val="0"/>
            <w:vAlign w:val="center"/>
          </w:tcPr>
          <w:p w14:paraId="5F86845F">
            <w:pPr>
              <w:spacing w:line="288" w:lineRule="auto"/>
              <w:jc w:val="center"/>
              <w:rPr>
                <w:rFonts w:ascii="宋体" w:hAnsi="宋体" w:cs="宋体"/>
                <w:kern w:val="0"/>
                <w:sz w:val="24"/>
                <w:lang w:eastAsia="en-US"/>
              </w:rPr>
            </w:pPr>
            <w:r>
              <w:rPr>
                <w:rFonts w:hint="eastAsia" w:ascii="宋体" w:hAnsi="宋体" w:cs="宋体"/>
                <w:kern w:val="0"/>
                <w:sz w:val="24"/>
                <w:lang w:eastAsia="en-US"/>
              </w:rPr>
              <w:t>合计</w:t>
            </w:r>
          </w:p>
        </w:tc>
        <w:tc>
          <w:tcPr>
            <w:tcW w:w="728" w:type="dxa"/>
            <w:noWrap w:val="0"/>
            <w:vAlign w:val="center"/>
          </w:tcPr>
          <w:p w14:paraId="231ED07F">
            <w:pPr>
              <w:spacing w:line="288" w:lineRule="auto"/>
              <w:jc w:val="center"/>
              <w:rPr>
                <w:rFonts w:ascii="宋体" w:hAnsi="宋体" w:cs="宋体"/>
                <w:kern w:val="0"/>
                <w:sz w:val="24"/>
                <w:lang w:eastAsia="en-US"/>
              </w:rPr>
            </w:pPr>
          </w:p>
        </w:tc>
        <w:tc>
          <w:tcPr>
            <w:tcW w:w="788" w:type="dxa"/>
            <w:noWrap w:val="0"/>
            <w:vAlign w:val="center"/>
          </w:tcPr>
          <w:p w14:paraId="52970559">
            <w:pPr>
              <w:spacing w:line="288" w:lineRule="auto"/>
              <w:jc w:val="center"/>
              <w:rPr>
                <w:rFonts w:ascii="宋体" w:hAnsi="宋体" w:cs="宋体"/>
                <w:kern w:val="0"/>
                <w:sz w:val="24"/>
                <w:lang w:eastAsia="en-US"/>
              </w:rPr>
            </w:pPr>
          </w:p>
        </w:tc>
        <w:tc>
          <w:tcPr>
            <w:tcW w:w="739" w:type="dxa"/>
            <w:noWrap w:val="0"/>
            <w:vAlign w:val="center"/>
          </w:tcPr>
          <w:p w14:paraId="55688171">
            <w:pPr>
              <w:spacing w:line="288" w:lineRule="auto"/>
              <w:jc w:val="center"/>
              <w:rPr>
                <w:rFonts w:ascii="宋体" w:hAnsi="宋体" w:cs="宋体"/>
                <w:kern w:val="0"/>
                <w:sz w:val="24"/>
                <w:lang w:eastAsia="en-US"/>
              </w:rPr>
            </w:pPr>
          </w:p>
        </w:tc>
        <w:tc>
          <w:tcPr>
            <w:tcW w:w="1623" w:type="dxa"/>
            <w:noWrap w:val="0"/>
            <w:vAlign w:val="center"/>
          </w:tcPr>
          <w:p w14:paraId="58327038">
            <w:pPr>
              <w:spacing w:line="288" w:lineRule="auto"/>
              <w:jc w:val="center"/>
              <w:rPr>
                <w:rFonts w:ascii="宋体" w:hAnsi="宋体" w:cs="宋体"/>
                <w:kern w:val="0"/>
                <w:sz w:val="24"/>
                <w:lang w:eastAsia="en-US"/>
              </w:rPr>
            </w:pPr>
          </w:p>
        </w:tc>
        <w:tc>
          <w:tcPr>
            <w:tcW w:w="2249" w:type="dxa"/>
            <w:noWrap w:val="0"/>
            <w:vAlign w:val="center"/>
          </w:tcPr>
          <w:p w14:paraId="6156D40D">
            <w:pPr>
              <w:spacing w:line="288" w:lineRule="auto"/>
              <w:jc w:val="center"/>
              <w:rPr>
                <w:rFonts w:ascii="宋体" w:hAnsi="宋体" w:cs="宋体"/>
                <w:kern w:val="0"/>
                <w:sz w:val="24"/>
                <w:lang w:eastAsia="en-US"/>
              </w:rPr>
            </w:pPr>
          </w:p>
        </w:tc>
      </w:tr>
      <w:tr w14:paraId="5CE89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9276" w:type="dxa"/>
            <w:gridSpan w:val="7"/>
            <w:noWrap w:val="0"/>
            <w:vAlign w:val="center"/>
          </w:tcPr>
          <w:p w14:paraId="68ADEA3D">
            <w:pPr>
              <w:spacing w:line="288" w:lineRule="auto"/>
              <w:jc w:val="left"/>
              <w:rPr>
                <w:rFonts w:ascii="宋体" w:hAnsi="宋体" w:cs="宋体"/>
                <w:kern w:val="0"/>
                <w:sz w:val="24"/>
                <w:lang w:eastAsia="en-US"/>
              </w:rPr>
            </w:pPr>
            <w:r>
              <w:rPr>
                <w:rFonts w:hint="eastAsia" w:ascii="宋体" w:hAnsi="宋体" w:cs="宋体"/>
                <w:kern w:val="0"/>
                <w:sz w:val="24"/>
                <w:lang w:eastAsia="en-US"/>
              </w:rPr>
              <w:t>其他费用明细表：</w:t>
            </w:r>
          </w:p>
        </w:tc>
      </w:tr>
      <w:tr w14:paraId="75157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68" w:type="dxa"/>
            <w:noWrap w:val="0"/>
            <w:vAlign w:val="center"/>
          </w:tcPr>
          <w:p w14:paraId="67DD4A22">
            <w:pPr>
              <w:spacing w:line="288" w:lineRule="auto"/>
              <w:jc w:val="center"/>
              <w:rPr>
                <w:rFonts w:ascii="宋体" w:hAnsi="宋体" w:cs="宋体"/>
                <w:kern w:val="0"/>
                <w:sz w:val="24"/>
                <w:lang w:eastAsia="en-US"/>
              </w:rPr>
            </w:pPr>
            <w:r>
              <w:rPr>
                <w:rFonts w:hint="eastAsia" w:ascii="宋体" w:hAnsi="宋体" w:cs="宋体"/>
                <w:kern w:val="0"/>
                <w:sz w:val="24"/>
                <w:lang w:eastAsia="en-US"/>
              </w:rPr>
              <w:t>序号</w:t>
            </w:r>
          </w:p>
        </w:tc>
        <w:tc>
          <w:tcPr>
            <w:tcW w:w="2281" w:type="dxa"/>
            <w:noWrap w:val="0"/>
            <w:vAlign w:val="center"/>
          </w:tcPr>
          <w:p w14:paraId="0F229B72">
            <w:pPr>
              <w:spacing w:line="288" w:lineRule="auto"/>
              <w:jc w:val="center"/>
              <w:rPr>
                <w:rFonts w:ascii="宋体" w:hAnsi="宋体" w:cs="宋体"/>
                <w:kern w:val="0"/>
                <w:sz w:val="24"/>
                <w:lang w:eastAsia="en-US"/>
              </w:rPr>
            </w:pPr>
            <w:r>
              <w:rPr>
                <w:rFonts w:hint="eastAsia" w:ascii="宋体" w:hAnsi="宋体" w:cs="宋体"/>
                <w:kern w:val="0"/>
                <w:sz w:val="24"/>
                <w:lang w:eastAsia="en-US"/>
              </w:rPr>
              <w:t>项目</w:t>
            </w:r>
          </w:p>
        </w:tc>
        <w:tc>
          <w:tcPr>
            <w:tcW w:w="2255" w:type="dxa"/>
            <w:gridSpan w:val="3"/>
            <w:noWrap w:val="0"/>
            <w:vAlign w:val="center"/>
          </w:tcPr>
          <w:p w14:paraId="6ADF2E2D">
            <w:pPr>
              <w:spacing w:line="288" w:lineRule="auto"/>
              <w:jc w:val="center"/>
              <w:rPr>
                <w:rFonts w:ascii="宋体" w:hAnsi="宋体" w:cs="宋体"/>
                <w:kern w:val="0"/>
                <w:sz w:val="24"/>
                <w:lang w:eastAsia="en-US"/>
              </w:rPr>
            </w:pPr>
            <w:r>
              <w:rPr>
                <w:rFonts w:hint="eastAsia" w:ascii="宋体" w:hAnsi="宋体" w:cs="宋体"/>
                <w:kern w:val="0"/>
                <w:sz w:val="24"/>
                <w:lang w:eastAsia="en-US"/>
              </w:rPr>
              <w:t>内容和标准</w:t>
            </w:r>
          </w:p>
        </w:tc>
        <w:tc>
          <w:tcPr>
            <w:tcW w:w="1623" w:type="dxa"/>
            <w:noWrap w:val="0"/>
            <w:vAlign w:val="center"/>
          </w:tcPr>
          <w:p w14:paraId="54A85D29">
            <w:pPr>
              <w:spacing w:line="288" w:lineRule="auto"/>
              <w:jc w:val="center"/>
              <w:rPr>
                <w:rFonts w:ascii="宋体" w:hAnsi="宋体" w:cs="宋体"/>
                <w:kern w:val="0"/>
                <w:sz w:val="24"/>
                <w:lang w:eastAsia="en-US"/>
              </w:rPr>
            </w:pPr>
            <w:r>
              <w:rPr>
                <w:rFonts w:hint="eastAsia" w:ascii="宋体" w:hAnsi="宋体" w:cs="宋体"/>
                <w:kern w:val="0"/>
                <w:sz w:val="24"/>
                <w:lang w:eastAsia="en-US"/>
              </w:rPr>
              <w:t>报价</w:t>
            </w:r>
          </w:p>
        </w:tc>
        <w:tc>
          <w:tcPr>
            <w:tcW w:w="2249" w:type="dxa"/>
            <w:noWrap w:val="0"/>
            <w:vAlign w:val="center"/>
          </w:tcPr>
          <w:p w14:paraId="7627EAD3">
            <w:pPr>
              <w:spacing w:line="288" w:lineRule="auto"/>
              <w:jc w:val="center"/>
              <w:rPr>
                <w:rFonts w:ascii="宋体" w:hAnsi="宋体" w:cs="宋体"/>
                <w:kern w:val="0"/>
                <w:sz w:val="24"/>
                <w:lang w:eastAsia="en-US"/>
              </w:rPr>
            </w:pPr>
            <w:r>
              <w:rPr>
                <w:rFonts w:hint="eastAsia" w:ascii="宋体" w:hAnsi="宋体" w:cs="宋体"/>
                <w:kern w:val="0"/>
                <w:sz w:val="24"/>
                <w:lang w:eastAsia="en-US"/>
              </w:rPr>
              <w:t>备注</w:t>
            </w:r>
          </w:p>
        </w:tc>
      </w:tr>
      <w:tr w14:paraId="7A01F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868" w:type="dxa"/>
            <w:noWrap w:val="0"/>
            <w:vAlign w:val="center"/>
          </w:tcPr>
          <w:p w14:paraId="69F3A789">
            <w:pPr>
              <w:spacing w:line="288" w:lineRule="auto"/>
              <w:jc w:val="center"/>
              <w:rPr>
                <w:rFonts w:ascii="宋体" w:hAnsi="宋体" w:cs="宋体"/>
                <w:kern w:val="0"/>
                <w:sz w:val="24"/>
                <w:lang w:eastAsia="en-US"/>
              </w:rPr>
            </w:pPr>
          </w:p>
        </w:tc>
        <w:tc>
          <w:tcPr>
            <w:tcW w:w="2281" w:type="dxa"/>
            <w:noWrap w:val="0"/>
            <w:vAlign w:val="center"/>
          </w:tcPr>
          <w:p w14:paraId="4D71279A">
            <w:pPr>
              <w:spacing w:line="288" w:lineRule="auto"/>
              <w:jc w:val="center"/>
              <w:rPr>
                <w:rFonts w:ascii="宋体" w:hAnsi="宋体" w:cs="宋体"/>
                <w:kern w:val="0"/>
                <w:sz w:val="24"/>
                <w:lang w:eastAsia="en-US"/>
              </w:rPr>
            </w:pPr>
          </w:p>
        </w:tc>
        <w:tc>
          <w:tcPr>
            <w:tcW w:w="2255" w:type="dxa"/>
            <w:gridSpan w:val="3"/>
            <w:noWrap w:val="0"/>
            <w:vAlign w:val="center"/>
          </w:tcPr>
          <w:p w14:paraId="13964487">
            <w:pPr>
              <w:spacing w:line="288" w:lineRule="auto"/>
              <w:jc w:val="center"/>
              <w:rPr>
                <w:rFonts w:ascii="宋体" w:hAnsi="宋体" w:cs="宋体"/>
                <w:kern w:val="0"/>
                <w:sz w:val="24"/>
                <w:lang w:eastAsia="en-US"/>
              </w:rPr>
            </w:pPr>
          </w:p>
        </w:tc>
        <w:tc>
          <w:tcPr>
            <w:tcW w:w="1623" w:type="dxa"/>
            <w:noWrap w:val="0"/>
            <w:vAlign w:val="center"/>
          </w:tcPr>
          <w:p w14:paraId="585F1B68">
            <w:pPr>
              <w:spacing w:line="288" w:lineRule="auto"/>
              <w:jc w:val="center"/>
              <w:rPr>
                <w:rFonts w:ascii="宋体" w:hAnsi="宋体" w:cs="宋体"/>
                <w:kern w:val="0"/>
                <w:sz w:val="24"/>
                <w:lang w:eastAsia="en-US"/>
              </w:rPr>
            </w:pPr>
          </w:p>
        </w:tc>
        <w:tc>
          <w:tcPr>
            <w:tcW w:w="2249" w:type="dxa"/>
            <w:noWrap w:val="0"/>
            <w:vAlign w:val="center"/>
          </w:tcPr>
          <w:p w14:paraId="0C5DB9F0">
            <w:pPr>
              <w:spacing w:line="288" w:lineRule="auto"/>
              <w:jc w:val="center"/>
              <w:rPr>
                <w:rFonts w:ascii="宋体" w:hAnsi="宋体" w:cs="宋体"/>
                <w:kern w:val="0"/>
                <w:sz w:val="24"/>
                <w:lang w:eastAsia="en-US"/>
              </w:rPr>
            </w:pPr>
          </w:p>
        </w:tc>
      </w:tr>
      <w:tr w14:paraId="70AD6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868" w:type="dxa"/>
            <w:noWrap w:val="0"/>
            <w:vAlign w:val="center"/>
          </w:tcPr>
          <w:p w14:paraId="4AC5564B">
            <w:pPr>
              <w:spacing w:line="288" w:lineRule="auto"/>
              <w:jc w:val="center"/>
              <w:rPr>
                <w:rFonts w:ascii="宋体" w:hAnsi="宋体" w:cs="宋体"/>
                <w:kern w:val="0"/>
                <w:sz w:val="24"/>
                <w:lang w:eastAsia="en-US"/>
              </w:rPr>
            </w:pPr>
            <w:r>
              <w:rPr>
                <w:rFonts w:hint="eastAsia" w:ascii="宋体" w:hAnsi="宋体" w:cs="宋体"/>
                <w:kern w:val="0"/>
                <w:sz w:val="24"/>
                <w:lang w:eastAsia="en-US"/>
              </w:rPr>
              <w:t>…</w:t>
            </w:r>
          </w:p>
        </w:tc>
        <w:tc>
          <w:tcPr>
            <w:tcW w:w="2281" w:type="dxa"/>
            <w:noWrap w:val="0"/>
            <w:vAlign w:val="center"/>
          </w:tcPr>
          <w:p w14:paraId="4B54B61F">
            <w:pPr>
              <w:spacing w:line="288" w:lineRule="auto"/>
              <w:jc w:val="center"/>
              <w:rPr>
                <w:rFonts w:ascii="宋体" w:hAnsi="宋体" w:cs="宋体"/>
                <w:kern w:val="0"/>
                <w:sz w:val="24"/>
                <w:lang w:eastAsia="en-US"/>
              </w:rPr>
            </w:pPr>
          </w:p>
        </w:tc>
        <w:tc>
          <w:tcPr>
            <w:tcW w:w="2255" w:type="dxa"/>
            <w:gridSpan w:val="3"/>
            <w:noWrap w:val="0"/>
            <w:vAlign w:val="center"/>
          </w:tcPr>
          <w:p w14:paraId="40A76F09">
            <w:pPr>
              <w:spacing w:line="288" w:lineRule="auto"/>
              <w:jc w:val="center"/>
              <w:rPr>
                <w:rFonts w:ascii="宋体" w:hAnsi="宋体" w:cs="宋体"/>
                <w:kern w:val="0"/>
                <w:sz w:val="24"/>
                <w:lang w:eastAsia="en-US"/>
              </w:rPr>
            </w:pPr>
          </w:p>
        </w:tc>
        <w:tc>
          <w:tcPr>
            <w:tcW w:w="1623" w:type="dxa"/>
            <w:noWrap w:val="0"/>
            <w:vAlign w:val="center"/>
          </w:tcPr>
          <w:p w14:paraId="0BBE5AA6">
            <w:pPr>
              <w:spacing w:line="288" w:lineRule="auto"/>
              <w:jc w:val="center"/>
              <w:rPr>
                <w:rFonts w:ascii="宋体" w:hAnsi="宋体" w:cs="宋体"/>
                <w:kern w:val="0"/>
                <w:sz w:val="24"/>
                <w:lang w:eastAsia="en-US"/>
              </w:rPr>
            </w:pPr>
          </w:p>
        </w:tc>
        <w:tc>
          <w:tcPr>
            <w:tcW w:w="2249" w:type="dxa"/>
            <w:noWrap w:val="0"/>
            <w:vAlign w:val="center"/>
          </w:tcPr>
          <w:p w14:paraId="0338F746">
            <w:pPr>
              <w:spacing w:line="288" w:lineRule="auto"/>
              <w:jc w:val="center"/>
              <w:rPr>
                <w:rFonts w:ascii="宋体" w:hAnsi="宋体" w:cs="宋体"/>
                <w:kern w:val="0"/>
                <w:sz w:val="24"/>
                <w:lang w:eastAsia="en-US"/>
              </w:rPr>
            </w:pPr>
          </w:p>
        </w:tc>
      </w:tr>
      <w:tr w14:paraId="0DBC8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9276" w:type="dxa"/>
            <w:gridSpan w:val="7"/>
            <w:noWrap w:val="0"/>
            <w:vAlign w:val="center"/>
          </w:tcPr>
          <w:p w14:paraId="74CD0712">
            <w:pPr>
              <w:spacing w:line="288" w:lineRule="auto"/>
              <w:jc w:val="left"/>
              <w:rPr>
                <w:rFonts w:ascii="宋体" w:hAnsi="宋体" w:cs="宋体"/>
                <w:kern w:val="0"/>
                <w:sz w:val="24"/>
                <w:lang w:eastAsia="en-US"/>
              </w:rPr>
            </w:pPr>
            <w:r>
              <w:rPr>
                <w:rFonts w:hint="eastAsia" w:ascii="宋体" w:hAnsi="宋体" w:cs="宋体"/>
                <w:kern w:val="0"/>
                <w:sz w:val="24"/>
                <w:lang w:eastAsia="en-US"/>
              </w:rPr>
              <w:t>明细报价汇总表：</w:t>
            </w:r>
          </w:p>
        </w:tc>
      </w:tr>
      <w:tr w14:paraId="2C87F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5404" w:type="dxa"/>
            <w:gridSpan w:val="5"/>
            <w:noWrap w:val="0"/>
            <w:vAlign w:val="center"/>
          </w:tcPr>
          <w:p w14:paraId="4F73C7CC">
            <w:pPr>
              <w:spacing w:line="288" w:lineRule="auto"/>
              <w:jc w:val="center"/>
              <w:rPr>
                <w:rFonts w:ascii="宋体" w:hAnsi="宋体" w:cs="宋体"/>
                <w:kern w:val="0"/>
                <w:sz w:val="24"/>
              </w:rPr>
            </w:pPr>
            <w:r>
              <w:rPr>
                <w:rFonts w:hint="eastAsia" w:ascii="宋体" w:hAnsi="宋体" w:cs="宋体"/>
                <w:kern w:val="0"/>
                <w:sz w:val="24"/>
              </w:rPr>
              <w:t>报价总计（货物报价合计+其他费用合计）</w:t>
            </w:r>
          </w:p>
        </w:tc>
        <w:tc>
          <w:tcPr>
            <w:tcW w:w="3872" w:type="dxa"/>
            <w:gridSpan w:val="2"/>
            <w:noWrap w:val="0"/>
            <w:vAlign w:val="center"/>
          </w:tcPr>
          <w:p w14:paraId="354ED6D7">
            <w:pPr>
              <w:spacing w:line="288" w:lineRule="auto"/>
              <w:jc w:val="left"/>
              <w:rPr>
                <w:rFonts w:ascii="宋体" w:hAnsi="宋体" w:cs="宋体"/>
                <w:kern w:val="0"/>
                <w:sz w:val="24"/>
              </w:rPr>
            </w:pPr>
            <w:r>
              <w:rPr>
                <w:rFonts w:hint="eastAsia" w:ascii="宋体" w:hAnsi="宋体" w:cs="宋体"/>
                <w:kern w:val="0"/>
                <w:sz w:val="24"/>
              </w:rPr>
              <w:t>大写：人民币</w:t>
            </w:r>
            <w:r>
              <w:rPr>
                <w:rFonts w:hint="eastAsia" w:ascii="宋体" w:hAnsi="宋体" w:cs="宋体"/>
                <w:kern w:val="0"/>
                <w:sz w:val="24"/>
                <w:u w:val="single"/>
              </w:rPr>
              <w:t xml:space="preserve">          元</w:t>
            </w:r>
          </w:p>
          <w:p w14:paraId="017D20D9">
            <w:pPr>
              <w:spacing w:line="288" w:lineRule="auto"/>
              <w:jc w:val="left"/>
              <w:rPr>
                <w:rFonts w:ascii="宋体" w:hAnsi="宋体" w:cs="宋体"/>
                <w:kern w:val="0"/>
                <w:sz w:val="24"/>
                <w:u w:val="single"/>
              </w:rPr>
            </w:pPr>
            <w:r>
              <w:rPr>
                <w:rFonts w:hint="eastAsia" w:ascii="宋体" w:hAnsi="宋体" w:cs="宋体"/>
                <w:kern w:val="0"/>
                <w:sz w:val="24"/>
              </w:rPr>
              <w:t xml:space="preserve">小写：￥ </w:t>
            </w:r>
            <w:r>
              <w:rPr>
                <w:rFonts w:hint="eastAsia" w:ascii="宋体" w:hAnsi="宋体" w:cs="宋体"/>
                <w:kern w:val="0"/>
                <w:sz w:val="24"/>
                <w:u w:val="single"/>
              </w:rPr>
              <w:t xml:space="preserve">             元</w:t>
            </w:r>
          </w:p>
        </w:tc>
      </w:tr>
    </w:tbl>
    <w:p w14:paraId="16DC3DD0">
      <w:pPr>
        <w:spacing w:before="240" w:beforeLines="100" w:line="288" w:lineRule="auto"/>
        <w:jc w:val="left"/>
        <w:rPr>
          <w:rFonts w:ascii="宋体" w:hAnsi="宋体" w:cs="宋体"/>
          <w:kern w:val="0"/>
          <w:sz w:val="24"/>
          <w:lang w:eastAsia="en-US"/>
        </w:rPr>
      </w:pPr>
      <w:r>
        <w:rPr>
          <w:rFonts w:hint="eastAsia" w:ascii="宋体" w:hAnsi="宋体" w:cs="宋体"/>
          <w:kern w:val="0"/>
          <w:sz w:val="24"/>
          <w:lang w:eastAsia="en-US"/>
        </w:rPr>
        <w:t>注明：</w:t>
      </w:r>
    </w:p>
    <w:p w14:paraId="36826DC1">
      <w:pPr>
        <w:numPr>
          <w:ilvl w:val="0"/>
          <w:numId w:val="8"/>
        </w:numPr>
        <w:spacing w:line="288" w:lineRule="auto"/>
        <w:rPr>
          <w:rFonts w:ascii="宋体" w:hAnsi="宋体" w:cs="宋体"/>
          <w:sz w:val="24"/>
        </w:rPr>
      </w:pPr>
      <w:r>
        <w:rPr>
          <w:rFonts w:hint="eastAsia" w:ascii="宋体" w:hAnsi="宋体" w:cs="宋体"/>
          <w:sz w:val="24"/>
        </w:rPr>
        <w:t>此表为报价总表的明细表。</w:t>
      </w:r>
    </w:p>
    <w:p w14:paraId="61AE228D">
      <w:pPr>
        <w:numPr>
          <w:ilvl w:val="0"/>
          <w:numId w:val="8"/>
        </w:numPr>
        <w:spacing w:line="288" w:lineRule="auto"/>
        <w:rPr>
          <w:rFonts w:ascii="宋体" w:hAnsi="宋体" w:cs="宋体"/>
          <w:sz w:val="24"/>
        </w:rPr>
      </w:pPr>
      <w:r>
        <w:rPr>
          <w:rFonts w:hint="eastAsia" w:ascii="宋体" w:hAnsi="宋体" w:cs="宋体"/>
          <w:sz w:val="24"/>
        </w:rPr>
        <w:t>如果单价和总价不符时，以单价为准，修正总价。</w:t>
      </w:r>
    </w:p>
    <w:p w14:paraId="1E11CD07">
      <w:pPr>
        <w:numPr>
          <w:ilvl w:val="0"/>
          <w:numId w:val="8"/>
        </w:numPr>
        <w:spacing w:line="288" w:lineRule="auto"/>
        <w:rPr>
          <w:rFonts w:ascii="宋体" w:hAnsi="宋体" w:cs="宋体"/>
          <w:sz w:val="24"/>
        </w:rPr>
      </w:pPr>
      <w:r>
        <w:rPr>
          <w:rFonts w:hint="eastAsia" w:ascii="宋体" w:hAnsi="宋体" w:cs="宋体"/>
          <w:sz w:val="24"/>
        </w:rPr>
        <w:t>供应商应列明按“采购需求”所要求提供的所有报价项的价格明细。</w:t>
      </w:r>
    </w:p>
    <w:p w14:paraId="51F5A181">
      <w:pPr>
        <w:numPr>
          <w:ilvl w:val="0"/>
          <w:numId w:val="8"/>
        </w:numPr>
        <w:spacing w:line="288" w:lineRule="auto"/>
        <w:rPr>
          <w:rFonts w:ascii="宋体" w:hAnsi="宋体" w:cs="宋体"/>
          <w:sz w:val="24"/>
        </w:rPr>
      </w:pPr>
      <w:r>
        <w:rPr>
          <w:rFonts w:hint="eastAsia" w:ascii="宋体" w:hAnsi="宋体" w:cs="宋体"/>
          <w:sz w:val="24"/>
        </w:rPr>
        <w:t>货物名称与产品注册证登记名称保持一致。</w:t>
      </w:r>
    </w:p>
    <w:p w14:paraId="26DD2A30">
      <w:pPr>
        <w:spacing w:line="288" w:lineRule="auto"/>
        <w:jc w:val="left"/>
        <w:rPr>
          <w:rFonts w:ascii="宋体" w:hAnsi="宋体" w:cs="宋体"/>
          <w:kern w:val="0"/>
          <w:sz w:val="24"/>
        </w:rPr>
      </w:pPr>
    </w:p>
    <w:tbl>
      <w:tblPr>
        <w:tblStyle w:val="15"/>
        <w:tblW w:w="9345" w:type="dxa"/>
        <w:tblInd w:w="0" w:type="dxa"/>
        <w:tblLayout w:type="fixed"/>
        <w:tblCellMar>
          <w:top w:w="0" w:type="dxa"/>
          <w:left w:w="108" w:type="dxa"/>
          <w:bottom w:w="0" w:type="dxa"/>
          <w:right w:w="108" w:type="dxa"/>
        </w:tblCellMar>
      </w:tblPr>
      <w:tblGrid>
        <w:gridCol w:w="5353"/>
        <w:gridCol w:w="3992"/>
      </w:tblGrid>
      <w:tr w14:paraId="5F8470F1">
        <w:tblPrEx>
          <w:tblCellMar>
            <w:top w:w="0" w:type="dxa"/>
            <w:left w:w="108" w:type="dxa"/>
            <w:bottom w:w="0" w:type="dxa"/>
            <w:right w:w="108" w:type="dxa"/>
          </w:tblCellMar>
        </w:tblPrEx>
        <w:tc>
          <w:tcPr>
            <w:tcW w:w="5353" w:type="dxa"/>
            <w:noWrap w:val="0"/>
            <w:vAlign w:val="top"/>
          </w:tcPr>
          <w:p w14:paraId="0118848F">
            <w:pPr>
              <w:overflowPunct w:val="0"/>
              <w:adjustRightInd w:val="0"/>
              <w:spacing w:line="288" w:lineRule="auto"/>
              <w:jc w:val="left"/>
              <w:rPr>
                <w:rFonts w:ascii="宋体" w:hAnsi="宋体" w:cs="宋体"/>
                <w:kern w:val="0"/>
                <w:sz w:val="24"/>
              </w:rPr>
            </w:pPr>
            <w:r>
              <w:rPr>
                <w:rFonts w:hint="eastAsia" w:ascii="宋体" w:hAnsi="宋体" w:cs="宋体"/>
                <w:kern w:val="0"/>
                <w:sz w:val="24"/>
              </w:rPr>
              <w:t>供应商名称（加盖公章）：</w:t>
            </w:r>
          </w:p>
        </w:tc>
        <w:tc>
          <w:tcPr>
            <w:tcW w:w="3992" w:type="dxa"/>
            <w:noWrap w:val="0"/>
            <w:vAlign w:val="top"/>
          </w:tcPr>
          <w:p w14:paraId="35E06385">
            <w:pPr>
              <w:spacing w:line="288" w:lineRule="auto"/>
              <w:jc w:val="left"/>
              <w:rPr>
                <w:rFonts w:ascii="宋体" w:hAnsi="宋体" w:cs="宋体"/>
                <w:kern w:val="0"/>
                <w:sz w:val="24"/>
              </w:rPr>
            </w:pPr>
          </w:p>
        </w:tc>
      </w:tr>
      <w:tr w14:paraId="7D9302A3">
        <w:tblPrEx>
          <w:tblCellMar>
            <w:top w:w="0" w:type="dxa"/>
            <w:left w:w="108" w:type="dxa"/>
            <w:bottom w:w="0" w:type="dxa"/>
            <w:right w:w="108" w:type="dxa"/>
          </w:tblCellMar>
        </w:tblPrEx>
        <w:tc>
          <w:tcPr>
            <w:tcW w:w="5353" w:type="dxa"/>
            <w:noWrap w:val="0"/>
            <w:vAlign w:val="top"/>
          </w:tcPr>
          <w:p w14:paraId="50598272">
            <w:pPr>
              <w:spacing w:line="288" w:lineRule="auto"/>
              <w:jc w:val="left"/>
              <w:rPr>
                <w:rFonts w:ascii="宋体" w:hAnsi="宋体" w:cs="宋体"/>
                <w:kern w:val="0"/>
                <w:sz w:val="24"/>
              </w:rPr>
            </w:pPr>
          </w:p>
          <w:p w14:paraId="313D17D1">
            <w:pPr>
              <w:spacing w:line="288" w:lineRule="auto"/>
              <w:jc w:val="left"/>
              <w:rPr>
                <w:rFonts w:ascii="宋体" w:hAnsi="宋体" w:cs="宋体"/>
                <w:kern w:val="0"/>
                <w:sz w:val="24"/>
                <w:lang w:eastAsia="en-US"/>
              </w:rPr>
            </w:pPr>
            <w:r>
              <w:rPr>
                <w:rFonts w:hint="eastAsia" w:ascii="宋体" w:hAnsi="宋体" w:cs="宋体"/>
                <w:kern w:val="0"/>
                <w:sz w:val="24"/>
                <w:lang w:eastAsia="en-US"/>
              </w:rPr>
              <w:t>日期：         年         月          日</w:t>
            </w:r>
          </w:p>
        </w:tc>
        <w:tc>
          <w:tcPr>
            <w:tcW w:w="3992" w:type="dxa"/>
            <w:noWrap w:val="0"/>
            <w:vAlign w:val="top"/>
          </w:tcPr>
          <w:p w14:paraId="35EB2672">
            <w:pPr>
              <w:spacing w:line="288" w:lineRule="auto"/>
              <w:jc w:val="left"/>
              <w:rPr>
                <w:rFonts w:ascii="宋体" w:hAnsi="宋体" w:cs="宋体"/>
                <w:kern w:val="0"/>
                <w:sz w:val="24"/>
                <w:lang w:eastAsia="en-US"/>
              </w:rPr>
            </w:pPr>
          </w:p>
        </w:tc>
      </w:tr>
    </w:tbl>
    <w:p w14:paraId="7721D54C">
      <w:pPr>
        <w:autoSpaceDE w:val="0"/>
        <w:autoSpaceDN w:val="0"/>
        <w:adjustRightInd w:val="0"/>
        <w:spacing w:before="120" w:beforeLines="50" w:after="120" w:afterLines="50" w:line="288" w:lineRule="auto"/>
        <w:jc w:val="center"/>
        <w:rPr>
          <w:rFonts w:ascii="宋体" w:hAnsi="宋体" w:cs="宋体"/>
          <w:b/>
          <w:kern w:val="0"/>
          <w:sz w:val="24"/>
          <w:lang w:eastAsia="en-US"/>
        </w:rPr>
      </w:pPr>
    </w:p>
    <w:p w14:paraId="649F4325">
      <w:pPr>
        <w:wordWrap w:val="0"/>
        <w:jc w:val="right"/>
        <w:rPr>
          <w:rFonts w:hint="eastAsia" w:asciiTheme="minorEastAsia" w:hAnsiTheme="minorEastAsia" w:eastAsiaTheme="minorEastAsia" w:cstheme="minorEastAsia"/>
          <w:color w:val="auto"/>
          <w:sz w:val="24"/>
          <w:szCs w:val="24"/>
          <w:highlight w:val="none"/>
          <w:lang w:eastAsia="zh-CN"/>
        </w:rPr>
      </w:pPr>
    </w:p>
    <w:p w14:paraId="719A773F">
      <w:pPr>
        <w:spacing w:line="319" w:lineRule="exact"/>
        <w:rPr>
          <w:rFonts w:ascii="宋体" w:hAnsi="宋体" w:cs="宋体"/>
          <w:color w:val="000000"/>
          <w:sz w:val="30"/>
        </w:rPr>
      </w:pPr>
    </w:p>
    <w:p w14:paraId="7A414129">
      <w:pPr>
        <w:rPr>
          <w:rFonts w:hint="eastAsia" w:ascii="宋体" w:hAnsi="宋体" w:eastAsia="宋体"/>
          <w:b/>
          <w:bCs/>
          <w:color w:val="auto"/>
          <w:sz w:val="32"/>
          <w:szCs w:val="32"/>
          <w:lang w:eastAsia="zh-CN"/>
        </w:rPr>
      </w:pPr>
      <w:r>
        <w:rPr>
          <w:rFonts w:hint="eastAsia" w:ascii="宋体" w:hAnsi="宋体" w:eastAsia="宋体"/>
          <w:b/>
          <w:bCs/>
          <w:color w:val="auto"/>
          <w:sz w:val="32"/>
          <w:szCs w:val="32"/>
          <w:lang w:eastAsia="zh-CN"/>
        </w:rPr>
        <w:br w:type="page"/>
      </w:r>
    </w:p>
    <w:p w14:paraId="5E77B5EC">
      <w:pPr>
        <w:jc w:val="center"/>
        <w:rPr>
          <w:rFonts w:ascii="宋体" w:hAnsi="宋体"/>
          <w:b/>
          <w:color w:val="auto"/>
          <w:sz w:val="32"/>
          <w:szCs w:val="32"/>
        </w:rPr>
      </w:pPr>
      <w:r>
        <w:rPr>
          <w:rFonts w:hint="eastAsia" w:ascii="宋体" w:hAnsi="宋体"/>
          <w:b/>
          <w:bCs/>
          <w:color w:val="auto"/>
          <w:sz w:val="32"/>
          <w:szCs w:val="32"/>
          <w:lang w:eastAsia="zh-CN"/>
        </w:rPr>
        <w:t>五</w:t>
      </w:r>
      <w:r>
        <w:rPr>
          <w:rFonts w:hint="eastAsia" w:ascii="宋体" w:hAnsi="宋体" w:eastAsia="宋体"/>
          <w:b/>
          <w:bCs/>
          <w:color w:val="auto"/>
          <w:sz w:val="32"/>
          <w:szCs w:val="32"/>
          <w:lang w:eastAsia="zh-CN"/>
        </w:rPr>
        <w:t>、</w:t>
      </w:r>
      <w:r>
        <w:rPr>
          <w:rFonts w:hint="eastAsia" w:ascii="宋体" w:hAnsi="宋体"/>
          <w:b/>
          <w:bCs/>
          <w:color w:val="auto"/>
          <w:sz w:val="32"/>
          <w:szCs w:val="32"/>
        </w:rPr>
        <w:t>投标保证金</w:t>
      </w:r>
    </w:p>
    <w:p w14:paraId="4685E85D">
      <w:pPr>
        <w:rPr>
          <w:rFonts w:hint="eastAsia" w:ascii="宋体" w:hAnsi="宋体" w:cs="宋体"/>
          <w:color w:val="auto"/>
          <w:sz w:val="24"/>
        </w:rPr>
      </w:pPr>
      <w:r>
        <w:rPr>
          <w:rFonts w:hint="eastAsia" w:ascii="宋体" w:hAnsi="宋体" w:cs="宋体"/>
          <w:color w:val="auto"/>
          <w:sz w:val="24"/>
        </w:rPr>
        <w:t>致：</w:t>
      </w:r>
      <w:r>
        <w:rPr>
          <w:rFonts w:hint="eastAsia" w:ascii="宋体" w:hAnsi="宋体" w:cs="宋体"/>
          <w:color w:val="auto"/>
          <w:sz w:val="24"/>
          <w:u w:val="single"/>
        </w:rPr>
        <w:t xml:space="preserve">     {</w:t>
      </w:r>
      <w:r>
        <w:rPr>
          <w:rFonts w:hint="eastAsia" w:ascii="宋体" w:hAnsi="宋体" w:cs="宋体"/>
          <w:color w:val="auto"/>
          <w:sz w:val="24"/>
          <w:u w:val="single"/>
          <w:lang w:eastAsia="zh-CN"/>
        </w:rPr>
        <w:t>采购</w:t>
      </w:r>
      <w:r>
        <w:rPr>
          <w:rFonts w:hint="eastAsia" w:ascii="宋体" w:hAnsi="宋体" w:cs="宋体"/>
          <w:color w:val="auto"/>
          <w:sz w:val="24"/>
          <w:u w:val="single"/>
        </w:rPr>
        <w:t>人名称}</w:t>
      </w:r>
      <w:r>
        <w:rPr>
          <w:rFonts w:hint="eastAsia" w:ascii="宋体" w:hAnsi="宋体" w:cs="宋体"/>
          <w:color w:val="auto"/>
          <w:sz w:val="24"/>
          <w:u w:val="single"/>
        </w:rPr>
        <w:tab/>
      </w:r>
      <w:r>
        <w:rPr>
          <w:rFonts w:hint="eastAsia" w:ascii="宋体" w:hAnsi="宋体" w:cs="宋体"/>
          <w:color w:val="auto"/>
          <w:sz w:val="24"/>
          <w:u w:val="single"/>
        </w:rPr>
        <w:tab/>
      </w:r>
    </w:p>
    <w:p w14:paraId="0384A567">
      <w:pPr>
        <w:rPr>
          <w:rFonts w:hint="eastAsia" w:ascii="宋体" w:hAnsi="宋体" w:cs="宋体"/>
          <w:color w:val="auto"/>
          <w:sz w:val="24"/>
        </w:rPr>
      </w:pPr>
    </w:p>
    <w:p w14:paraId="2F355859">
      <w:pPr>
        <w:spacing w:line="360" w:lineRule="auto"/>
        <w:rPr>
          <w:rFonts w:hint="eastAsia" w:ascii="宋体" w:hAnsi="宋体" w:cs="宋体"/>
          <w:color w:val="auto"/>
          <w:sz w:val="24"/>
        </w:rPr>
      </w:pPr>
      <w:r>
        <w:rPr>
          <w:rFonts w:hint="eastAsia" w:ascii="宋体" w:hAnsi="宋体" w:cs="宋体"/>
          <w:color w:val="auto"/>
          <w:sz w:val="24"/>
          <w:u w:val="single"/>
        </w:rPr>
        <w:t xml:space="preserve">     （</w:t>
      </w:r>
      <w:r>
        <w:rPr>
          <w:rFonts w:hint="eastAsia" w:ascii="宋体" w:hAnsi="宋体" w:cs="宋体"/>
          <w:color w:val="auto"/>
          <w:sz w:val="24"/>
          <w:u w:val="single"/>
          <w:lang w:eastAsia="zh-CN"/>
        </w:rPr>
        <w:t>供应商</w:t>
      </w:r>
      <w:r>
        <w:rPr>
          <w:rFonts w:hint="eastAsia" w:ascii="宋体" w:hAnsi="宋体" w:cs="宋体"/>
          <w:color w:val="auto"/>
          <w:sz w:val="24"/>
          <w:u w:val="single"/>
        </w:rPr>
        <w:t>名称）</w:t>
      </w:r>
      <w:r>
        <w:rPr>
          <w:rFonts w:hint="eastAsia" w:ascii="宋体" w:hAnsi="宋体" w:cs="宋体"/>
          <w:color w:val="auto"/>
          <w:sz w:val="24"/>
        </w:rPr>
        <w:t>（以下称“</w:t>
      </w:r>
      <w:r>
        <w:rPr>
          <w:rFonts w:hint="eastAsia" w:ascii="宋体" w:hAnsi="宋体" w:cs="宋体"/>
          <w:color w:val="auto"/>
          <w:sz w:val="24"/>
          <w:lang w:eastAsia="zh-CN"/>
        </w:rPr>
        <w:t>供应商</w:t>
      </w:r>
      <w:r>
        <w:rPr>
          <w:rFonts w:hint="eastAsia" w:ascii="宋体" w:hAnsi="宋体" w:cs="宋体"/>
          <w:color w:val="auto"/>
          <w:sz w:val="24"/>
        </w:rPr>
        <w:t>”）于年月日递交了</w:t>
      </w:r>
      <w:r>
        <w:rPr>
          <w:rFonts w:hint="eastAsia" w:ascii="宋体" w:hAnsi="宋体" w:cs="宋体"/>
          <w:color w:val="auto"/>
          <w:sz w:val="24"/>
          <w:u w:val="single"/>
        </w:rPr>
        <w:t xml:space="preserve">    {</w:t>
      </w:r>
      <w:r>
        <w:rPr>
          <w:rFonts w:hint="eastAsia" w:ascii="宋体" w:hAnsi="宋体" w:cs="宋体"/>
          <w:color w:val="auto"/>
          <w:sz w:val="24"/>
          <w:u w:val="single"/>
          <w:lang w:eastAsia="zh-CN"/>
        </w:rPr>
        <w:t>谈判</w:t>
      </w:r>
      <w:r>
        <w:rPr>
          <w:rFonts w:hint="eastAsia" w:ascii="宋体" w:hAnsi="宋体" w:cs="宋体"/>
          <w:color w:val="auto"/>
          <w:sz w:val="24"/>
          <w:u w:val="single"/>
        </w:rPr>
        <w:t xml:space="preserve">项目名称、项目编号}    </w:t>
      </w:r>
      <w:r>
        <w:rPr>
          <w:rFonts w:hint="eastAsia" w:ascii="宋体" w:hAnsi="宋体" w:cs="宋体"/>
          <w:color w:val="auto"/>
          <w:sz w:val="24"/>
        </w:rPr>
        <w:t>的投标保证金人民币</w:t>
      </w:r>
      <w:r>
        <w:rPr>
          <w:rFonts w:hint="eastAsia" w:ascii="宋体" w:hAnsi="宋体" w:cs="宋体"/>
          <w:color w:val="auto"/>
          <w:sz w:val="24"/>
          <w:lang w:eastAsia="zh-CN"/>
        </w:rPr>
        <w:t>（</w:t>
      </w:r>
      <w:r>
        <w:rPr>
          <w:rFonts w:hint="eastAsia" w:ascii="宋体" w:hAnsi="宋体" w:cs="宋体"/>
          <w:color w:val="auto"/>
          <w:sz w:val="24"/>
          <w:lang w:val="en-US" w:eastAsia="zh-CN"/>
        </w:rPr>
        <w:t>小写</w:t>
      </w:r>
      <w:r>
        <w:rPr>
          <w:rFonts w:hint="eastAsia" w:ascii="宋体" w:hAnsi="宋体" w:cs="宋体"/>
          <w:color w:val="auto"/>
          <w:sz w:val="24"/>
          <w:lang w:eastAsia="zh-CN"/>
        </w:rPr>
        <w:t>）</w:t>
      </w:r>
      <w:r>
        <w:rPr>
          <w:rFonts w:hint="eastAsia" w:ascii="宋体" w:hAnsi="宋体" w:cs="宋体"/>
          <w:color w:val="auto"/>
          <w:sz w:val="24"/>
          <w:u w:val="single"/>
        </w:rPr>
        <w:t xml:space="preserve">           </w:t>
      </w:r>
      <w:r>
        <w:rPr>
          <w:rFonts w:hint="eastAsia" w:ascii="宋体" w:hAnsi="宋体" w:cs="宋体"/>
          <w:color w:val="auto"/>
          <w:sz w:val="24"/>
        </w:rPr>
        <w:t>元；</w:t>
      </w:r>
    </w:p>
    <w:p w14:paraId="1B377EFE">
      <w:pPr>
        <w:spacing w:line="360" w:lineRule="auto"/>
        <w:jc w:val="center"/>
        <w:rPr>
          <w:rFonts w:hint="eastAsia" w:ascii="宋体" w:hAnsi="宋体" w:cs="宋体"/>
          <w:color w:val="auto"/>
          <w:sz w:val="24"/>
        </w:rPr>
      </w:pPr>
    </w:p>
    <w:p w14:paraId="17D701DF">
      <w:pPr>
        <w:spacing w:line="360" w:lineRule="auto"/>
        <w:ind w:firstLine="240" w:firstLineChars="100"/>
        <w:rPr>
          <w:rFonts w:hint="eastAsia" w:ascii="宋体" w:hAnsi="宋体" w:cs="宋体"/>
          <w:color w:val="auto"/>
          <w:sz w:val="24"/>
        </w:rPr>
      </w:pPr>
      <w:r>
        <w:rPr>
          <w:rFonts w:hint="eastAsia" w:ascii="宋体" w:hAnsi="宋体" w:cs="宋体"/>
          <w:color w:val="auto"/>
          <w:sz w:val="24"/>
        </w:rPr>
        <w:t>如果我方在投标有效期内收到你方的</w:t>
      </w:r>
      <w:r>
        <w:rPr>
          <w:rFonts w:hint="eastAsia" w:ascii="宋体" w:hAnsi="宋体" w:cs="宋体"/>
          <w:color w:val="auto"/>
          <w:sz w:val="24"/>
          <w:lang w:eastAsia="zh-CN"/>
        </w:rPr>
        <w:t>成交通知书</w:t>
      </w:r>
      <w:r>
        <w:rPr>
          <w:rFonts w:hint="eastAsia" w:ascii="宋体" w:hAnsi="宋体" w:cs="宋体"/>
          <w:color w:val="auto"/>
          <w:sz w:val="24"/>
        </w:rPr>
        <w:t>后</w:t>
      </w:r>
    </w:p>
    <w:p w14:paraId="02FAD27F">
      <w:pPr>
        <w:spacing w:line="360" w:lineRule="auto"/>
        <w:ind w:firstLine="240" w:firstLineChars="100"/>
        <w:rPr>
          <w:rFonts w:hint="eastAsia" w:ascii="宋体" w:hAnsi="宋体" w:cs="宋体"/>
          <w:color w:val="auto"/>
          <w:sz w:val="24"/>
        </w:rPr>
      </w:pPr>
      <w:r>
        <w:rPr>
          <w:rFonts w:hint="eastAsia" w:ascii="宋体" w:hAnsi="宋体" w:cs="宋体"/>
          <w:color w:val="auto"/>
          <w:sz w:val="24"/>
        </w:rPr>
        <w:t>1、不能或拒绝按投标须知的要求签署合同协议书；</w:t>
      </w:r>
    </w:p>
    <w:p w14:paraId="327E7852">
      <w:pPr>
        <w:spacing w:line="360" w:lineRule="auto"/>
        <w:ind w:firstLine="240" w:firstLineChars="100"/>
        <w:rPr>
          <w:rFonts w:hint="eastAsia" w:ascii="宋体" w:hAnsi="宋体" w:cs="宋体"/>
          <w:color w:val="auto"/>
          <w:sz w:val="24"/>
        </w:rPr>
      </w:pPr>
      <w:r>
        <w:rPr>
          <w:rFonts w:hint="eastAsia" w:ascii="宋体" w:hAnsi="宋体" w:cs="宋体"/>
          <w:color w:val="auto"/>
          <w:sz w:val="24"/>
        </w:rPr>
        <w:t>2、不能在</w:t>
      </w:r>
      <w:r>
        <w:rPr>
          <w:rFonts w:hint="eastAsia" w:ascii="宋体" w:hAnsi="宋体" w:cs="宋体"/>
          <w:color w:val="auto"/>
          <w:sz w:val="24"/>
          <w:lang w:eastAsia="zh-CN"/>
        </w:rPr>
        <w:t>谈判</w:t>
      </w:r>
      <w:r>
        <w:rPr>
          <w:rFonts w:hint="eastAsia" w:ascii="宋体" w:hAnsi="宋体" w:cs="宋体"/>
          <w:color w:val="auto"/>
          <w:sz w:val="24"/>
        </w:rPr>
        <w:t>有效期内撤回</w:t>
      </w:r>
      <w:r>
        <w:rPr>
          <w:rFonts w:hint="eastAsia" w:ascii="宋体" w:hAnsi="宋体" w:cs="宋体"/>
          <w:color w:val="auto"/>
          <w:sz w:val="24"/>
          <w:lang w:eastAsia="zh-CN"/>
        </w:rPr>
        <w:t>响应</w:t>
      </w:r>
      <w:r>
        <w:rPr>
          <w:rFonts w:hint="eastAsia" w:ascii="宋体" w:hAnsi="宋体" w:cs="宋体"/>
          <w:color w:val="auto"/>
          <w:sz w:val="24"/>
        </w:rPr>
        <w:t>文件。</w:t>
      </w:r>
    </w:p>
    <w:p w14:paraId="53E95333">
      <w:pPr>
        <w:spacing w:line="360" w:lineRule="auto"/>
        <w:ind w:firstLine="240" w:firstLineChars="100"/>
        <w:rPr>
          <w:rFonts w:hint="eastAsia" w:ascii="宋体" w:hAnsi="宋体" w:cs="宋体"/>
          <w:color w:val="auto"/>
          <w:sz w:val="24"/>
        </w:rPr>
      </w:pPr>
      <w:r>
        <w:rPr>
          <w:rFonts w:hint="eastAsia" w:ascii="宋体" w:hAnsi="宋体" w:cs="宋体"/>
          <w:color w:val="auto"/>
          <w:sz w:val="24"/>
        </w:rPr>
        <w:t>否则你方有权没收我方的投标保证金。</w:t>
      </w:r>
    </w:p>
    <w:p w14:paraId="123B4E12">
      <w:pPr>
        <w:spacing w:line="360" w:lineRule="auto"/>
        <w:ind w:firstLine="240" w:firstLineChars="100"/>
        <w:rPr>
          <w:rFonts w:hint="eastAsia" w:ascii="宋体" w:hAnsi="宋体" w:cs="宋体"/>
          <w:color w:val="auto"/>
          <w:sz w:val="24"/>
        </w:rPr>
      </w:pPr>
      <w:r>
        <w:rPr>
          <w:rFonts w:hint="eastAsia" w:ascii="宋体" w:hAnsi="宋体" w:cs="宋体"/>
          <w:color w:val="auto"/>
          <w:sz w:val="24"/>
        </w:rPr>
        <w:t>我方同意</w:t>
      </w:r>
      <w:r>
        <w:rPr>
          <w:rFonts w:hint="eastAsia" w:ascii="宋体" w:hAnsi="宋体" w:cs="宋体"/>
          <w:color w:val="auto"/>
          <w:sz w:val="24"/>
          <w:lang w:eastAsia="zh-CN"/>
        </w:rPr>
        <w:t>谈判</w:t>
      </w:r>
      <w:r>
        <w:rPr>
          <w:rFonts w:hint="eastAsia" w:ascii="宋体" w:hAnsi="宋体" w:cs="宋体"/>
          <w:color w:val="auto"/>
          <w:sz w:val="24"/>
        </w:rPr>
        <w:t>文件有关投标保证金规定，并对我方有约束力。</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6"/>
      </w:tblGrid>
      <w:tr w14:paraId="3FD62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7" w:hRule="atLeast"/>
        </w:trPr>
        <w:tc>
          <w:tcPr>
            <w:tcW w:w="8916" w:type="dxa"/>
            <w:noWrap/>
            <w:vAlign w:val="top"/>
          </w:tcPr>
          <w:p w14:paraId="4E6A9581">
            <w:pPr>
              <w:rPr>
                <w:rFonts w:hint="eastAsia" w:ascii="宋体" w:hAnsi="宋体" w:cs="宋体"/>
                <w:b/>
                <w:color w:val="auto"/>
              </w:rPr>
            </w:pPr>
          </w:p>
          <w:p w14:paraId="0DC2112A">
            <w:pPr>
              <w:rPr>
                <w:rFonts w:hint="eastAsia" w:ascii="宋体" w:hAnsi="宋体" w:cs="宋体"/>
                <w:color w:val="auto"/>
              </w:rPr>
            </w:pPr>
            <w:r>
              <w:rPr>
                <w:rFonts w:hint="eastAsia" w:ascii="宋体" w:hAnsi="宋体" w:cs="宋体"/>
                <w:b/>
                <w:color w:val="auto"/>
              </w:rPr>
              <w:t>附:投标保证金到账证明</w:t>
            </w:r>
          </w:p>
          <w:p w14:paraId="4E50140C">
            <w:pPr>
              <w:rPr>
                <w:rFonts w:hint="eastAsia" w:ascii="宋体" w:hAnsi="宋体" w:cs="宋体"/>
                <w:color w:val="auto"/>
              </w:rPr>
            </w:pPr>
          </w:p>
          <w:p w14:paraId="7EB0F492">
            <w:pPr>
              <w:rPr>
                <w:rFonts w:hint="eastAsia" w:ascii="宋体" w:hAnsi="宋体" w:cs="宋体"/>
                <w:color w:val="auto"/>
              </w:rPr>
            </w:pPr>
          </w:p>
          <w:p w14:paraId="276C4924">
            <w:pPr>
              <w:rPr>
                <w:rFonts w:hint="eastAsia" w:ascii="宋体" w:hAnsi="宋体" w:cs="宋体"/>
                <w:b/>
                <w:color w:val="auto"/>
              </w:rPr>
            </w:pPr>
            <w:r>
              <w:rPr>
                <w:rFonts w:hint="eastAsia" w:ascii="宋体" w:hAnsi="宋体" w:cs="宋体"/>
                <w:b/>
                <w:color w:val="auto"/>
              </w:rPr>
              <w:t>附：基本账户开户许可证复印件（加盖公章）</w:t>
            </w:r>
          </w:p>
          <w:p w14:paraId="399C94E1">
            <w:pPr>
              <w:rPr>
                <w:rFonts w:hint="eastAsia" w:ascii="宋体" w:hAnsi="宋体" w:cs="宋体"/>
                <w:color w:val="auto"/>
              </w:rPr>
            </w:pPr>
          </w:p>
          <w:p w14:paraId="51210496">
            <w:pPr>
              <w:rPr>
                <w:rFonts w:hint="eastAsia" w:ascii="宋体" w:hAnsi="宋体" w:cs="宋体"/>
                <w:color w:val="auto"/>
              </w:rPr>
            </w:pPr>
          </w:p>
          <w:p w14:paraId="38B59D16">
            <w:pPr>
              <w:rPr>
                <w:rFonts w:hint="eastAsia" w:ascii="宋体" w:hAnsi="宋体" w:cs="宋体"/>
                <w:color w:val="auto"/>
              </w:rPr>
            </w:pPr>
          </w:p>
        </w:tc>
      </w:tr>
    </w:tbl>
    <w:p w14:paraId="4829995E">
      <w:pPr>
        <w:rPr>
          <w:rFonts w:hint="eastAsia" w:ascii="宋体" w:hAnsi="宋体" w:cs="宋体"/>
          <w:color w:val="auto"/>
        </w:rPr>
      </w:pPr>
    </w:p>
    <w:p w14:paraId="5ECD303D">
      <w:pPr>
        <w:rPr>
          <w:rFonts w:hint="eastAsia" w:ascii="宋体" w:hAnsi="宋体" w:cs="宋体"/>
          <w:color w:val="auto"/>
          <w:sz w:val="24"/>
        </w:rPr>
      </w:pPr>
    </w:p>
    <w:p w14:paraId="72BE821F">
      <w:pPr>
        <w:tabs>
          <w:tab w:val="left" w:pos="1365"/>
        </w:tabs>
        <w:wordWrap w:val="0"/>
        <w:spacing w:line="360" w:lineRule="auto"/>
        <w:ind w:firstLine="480" w:firstLineChars="200"/>
        <w:rPr>
          <w:rFonts w:ascii="宋体" w:hAnsi="宋体"/>
          <w:color w:val="auto"/>
          <w:sz w:val="24"/>
        </w:rPr>
      </w:pPr>
      <w:r>
        <w:rPr>
          <w:rFonts w:hint="eastAsia" w:ascii="宋体" w:hAnsi="宋体"/>
          <w:color w:val="auto"/>
          <w:sz w:val="24"/>
          <w:lang w:eastAsia="zh-CN"/>
        </w:rPr>
        <w:t>供应商名称</w:t>
      </w:r>
      <w:r>
        <w:rPr>
          <w:rFonts w:hint="eastAsia" w:ascii="宋体" w:hAnsi="宋体"/>
          <w:color w:val="auto"/>
          <w:sz w:val="24"/>
        </w:rPr>
        <w:t>：</w:t>
      </w:r>
      <w:r>
        <w:rPr>
          <w:rFonts w:hint="eastAsia" w:ascii="宋体" w:hAnsi="宋体"/>
          <w:color w:val="auto"/>
          <w:sz w:val="24"/>
          <w:u w:val="single"/>
        </w:rPr>
        <w:t xml:space="preserve">                                 </w:t>
      </w:r>
      <w:r>
        <w:rPr>
          <w:rFonts w:hint="eastAsia" w:ascii="宋体" w:hAnsi="宋体"/>
          <w:color w:val="auto"/>
          <w:sz w:val="24"/>
        </w:rPr>
        <w:t>（盖单位公章）</w:t>
      </w:r>
    </w:p>
    <w:p w14:paraId="797A7E81">
      <w:pPr>
        <w:tabs>
          <w:tab w:val="left" w:pos="1365"/>
        </w:tabs>
        <w:wordWrap w:val="0"/>
        <w:spacing w:line="360" w:lineRule="auto"/>
        <w:ind w:firstLine="480" w:firstLineChars="200"/>
        <w:rPr>
          <w:rFonts w:ascii="宋体" w:hAnsi="宋体"/>
          <w:color w:val="auto"/>
          <w:sz w:val="24"/>
        </w:rPr>
      </w:pPr>
      <w:r>
        <w:rPr>
          <w:rFonts w:hint="eastAsia" w:ascii="宋体" w:hAnsi="宋体"/>
          <w:bCs/>
          <w:color w:val="auto"/>
          <w:sz w:val="24"/>
        </w:rPr>
        <w:t>法定代表人或委托代理人</w:t>
      </w:r>
      <w:r>
        <w:rPr>
          <w:rFonts w:hint="eastAsia" w:ascii="宋体" w:hAnsi="宋体"/>
          <w:color w:val="auto"/>
          <w:sz w:val="24"/>
        </w:rPr>
        <w:t>：</w:t>
      </w:r>
      <w:r>
        <w:rPr>
          <w:rFonts w:hint="eastAsia" w:ascii="宋体" w:hAnsi="宋体"/>
          <w:color w:val="auto"/>
          <w:sz w:val="24"/>
          <w:u w:val="single"/>
        </w:rPr>
        <w:t xml:space="preserve">                     </w:t>
      </w:r>
      <w:r>
        <w:rPr>
          <w:rFonts w:hint="eastAsia" w:ascii="宋体" w:hAnsi="宋体"/>
          <w:color w:val="auto"/>
          <w:sz w:val="24"/>
        </w:rPr>
        <w:t>（签字或签章）</w:t>
      </w:r>
    </w:p>
    <w:p w14:paraId="270010FF">
      <w:pPr>
        <w:tabs>
          <w:tab w:val="left" w:pos="1365"/>
        </w:tabs>
        <w:wordWrap w:val="0"/>
        <w:spacing w:line="360" w:lineRule="auto"/>
        <w:ind w:firstLine="480" w:firstLineChars="200"/>
        <w:rPr>
          <w:rFonts w:ascii="宋体" w:hAnsi="宋体"/>
          <w:color w:val="auto"/>
          <w:sz w:val="24"/>
        </w:rPr>
      </w:pPr>
      <w:r>
        <w:rPr>
          <w:rFonts w:hint="eastAsia" w:ascii="宋体" w:hAnsi="宋体"/>
          <w:color w:val="auto"/>
          <w:sz w:val="24"/>
        </w:rPr>
        <w:t>日      期：</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w:t>
      </w:r>
    </w:p>
    <w:p w14:paraId="730EE9A1">
      <w:pPr>
        <w:pStyle w:val="4"/>
        <w:ind w:left="2940"/>
        <w:rPr>
          <w:rFonts w:ascii="宋体" w:hAnsi="宋体" w:cs="宋体"/>
        </w:rPr>
      </w:pPr>
    </w:p>
    <w:p w14:paraId="0E3AFBFF">
      <w:pPr>
        <w:rPr>
          <w:rFonts w:ascii="宋体" w:hAnsi="宋体" w:cs="宋体"/>
        </w:rPr>
      </w:pPr>
    </w:p>
    <w:p w14:paraId="774053E0">
      <w:pPr>
        <w:rPr>
          <w:rFonts w:ascii="宋体" w:hAnsi="宋体" w:cs="宋体"/>
        </w:rPr>
      </w:pPr>
      <w:r>
        <w:rPr>
          <w:rFonts w:ascii="宋体" w:hAnsi="宋体" w:cs="宋体"/>
        </w:rPr>
        <w:br w:type="page"/>
      </w:r>
    </w:p>
    <w:p w14:paraId="73C98526">
      <w:pPr>
        <w:pStyle w:val="3"/>
        <w:bidi w:val="0"/>
        <w:jc w:val="center"/>
        <w:rPr>
          <w:rFonts w:hint="eastAsia"/>
          <w:lang w:val="zh-CN"/>
        </w:rPr>
      </w:pPr>
      <w:bookmarkStart w:id="71" w:name="_Toc25412"/>
      <w:r>
        <w:rPr>
          <w:rFonts w:hint="eastAsia" w:ascii="宋体" w:hAnsi="宋体" w:eastAsia="宋体" w:cs="Times New Roman"/>
          <w:b/>
          <w:bCs/>
          <w:color w:val="auto"/>
          <w:kern w:val="2"/>
          <w:sz w:val="32"/>
          <w:szCs w:val="32"/>
          <w:lang w:val="zh-CN" w:eastAsia="zh-CN" w:bidi="ar-SA"/>
        </w:rPr>
        <w:t>六、商务条款偏离表</w:t>
      </w:r>
      <w:bookmarkEnd w:id="71"/>
    </w:p>
    <w:p w14:paraId="00FD501C">
      <w:pPr>
        <w:snapToGrid w:val="0"/>
        <w:spacing w:line="300" w:lineRule="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项目名称：</w:t>
      </w:r>
    </w:p>
    <w:p w14:paraId="42F9FB7B">
      <w:pPr>
        <w:snapToGrid w:val="0"/>
        <w:spacing w:line="30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项目编号：                          </w:t>
      </w:r>
    </w:p>
    <w:tbl>
      <w:tblPr>
        <w:tblStyle w:val="15"/>
        <w:tblW w:w="9953"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062"/>
        <w:gridCol w:w="3050"/>
        <w:gridCol w:w="3060"/>
        <w:gridCol w:w="1390"/>
        <w:gridCol w:w="1391"/>
      </w:tblGrid>
      <w:tr w14:paraId="0FF8CB0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607" w:hRule="atLeast"/>
          <w:jc w:val="center"/>
        </w:trPr>
        <w:tc>
          <w:tcPr>
            <w:tcW w:w="1062" w:type="dxa"/>
            <w:noWrap w:val="0"/>
            <w:tcMar>
              <w:top w:w="15" w:type="dxa"/>
              <w:left w:w="15" w:type="dxa"/>
              <w:bottom w:w="0" w:type="dxa"/>
              <w:right w:w="15" w:type="dxa"/>
            </w:tcMar>
            <w:vAlign w:val="center"/>
          </w:tcPr>
          <w:p w14:paraId="5C357260">
            <w:pPr>
              <w:snapToGrid w:val="0"/>
              <w:spacing w:line="30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3050" w:type="dxa"/>
            <w:noWrap w:val="0"/>
            <w:tcMar>
              <w:top w:w="15" w:type="dxa"/>
              <w:left w:w="15" w:type="dxa"/>
              <w:bottom w:w="0" w:type="dxa"/>
              <w:right w:w="15" w:type="dxa"/>
            </w:tcMar>
            <w:vAlign w:val="center"/>
          </w:tcPr>
          <w:p w14:paraId="2BCD4F70">
            <w:pPr>
              <w:snapToGrid w:val="0"/>
              <w:spacing w:line="30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采购文件</w:t>
            </w:r>
            <w:r>
              <w:rPr>
                <w:rFonts w:hint="eastAsia" w:ascii="宋体" w:hAnsi="宋体" w:eastAsia="宋体" w:cs="宋体"/>
                <w:sz w:val="24"/>
                <w:szCs w:val="24"/>
                <w:highlight w:val="none"/>
              </w:rPr>
              <w:t>商务条款内容</w:t>
            </w:r>
          </w:p>
        </w:tc>
        <w:tc>
          <w:tcPr>
            <w:tcW w:w="3060" w:type="dxa"/>
            <w:noWrap w:val="0"/>
            <w:tcMar>
              <w:top w:w="15" w:type="dxa"/>
              <w:left w:w="15" w:type="dxa"/>
              <w:bottom w:w="0" w:type="dxa"/>
              <w:right w:w="15" w:type="dxa"/>
            </w:tcMar>
            <w:vAlign w:val="center"/>
          </w:tcPr>
          <w:p w14:paraId="6F82ACCE">
            <w:pPr>
              <w:snapToGrid w:val="0"/>
              <w:spacing w:line="30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响应文件</w:t>
            </w:r>
            <w:r>
              <w:rPr>
                <w:rFonts w:hint="eastAsia" w:ascii="宋体" w:hAnsi="宋体" w:eastAsia="宋体" w:cs="宋体"/>
                <w:sz w:val="24"/>
                <w:szCs w:val="24"/>
                <w:highlight w:val="none"/>
              </w:rPr>
              <w:t>商务条款应答</w:t>
            </w:r>
          </w:p>
        </w:tc>
        <w:tc>
          <w:tcPr>
            <w:tcW w:w="1390" w:type="dxa"/>
            <w:noWrap w:val="0"/>
            <w:tcMar>
              <w:top w:w="15" w:type="dxa"/>
              <w:left w:w="15" w:type="dxa"/>
              <w:bottom w:w="0" w:type="dxa"/>
              <w:right w:w="15" w:type="dxa"/>
            </w:tcMar>
            <w:vAlign w:val="center"/>
          </w:tcPr>
          <w:p w14:paraId="4DAF2C2D">
            <w:pPr>
              <w:snapToGrid w:val="0"/>
              <w:spacing w:line="30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偏离情况</w:t>
            </w:r>
          </w:p>
        </w:tc>
        <w:tc>
          <w:tcPr>
            <w:tcW w:w="1391" w:type="dxa"/>
            <w:noWrap w:val="0"/>
            <w:vAlign w:val="center"/>
          </w:tcPr>
          <w:p w14:paraId="409786F8">
            <w:pPr>
              <w:snapToGrid w:val="0"/>
              <w:spacing w:line="30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说明</w:t>
            </w:r>
          </w:p>
        </w:tc>
      </w:tr>
      <w:tr w14:paraId="19E9A8B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331" w:hRule="atLeast"/>
          <w:jc w:val="center"/>
        </w:trPr>
        <w:tc>
          <w:tcPr>
            <w:tcW w:w="1062" w:type="dxa"/>
            <w:noWrap w:val="0"/>
            <w:tcMar>
              <w:top w:w="15" w:type="dxa"/>
              <w:left w:w="15" w:type="dxa"/>
              <w:bottom w:w="0" w:type="dxa"/>
              <w:right w:w="15" w:type="dxa"/>
            </w:tcMar>
            <w:vAlign w:val="center"/>
          </w:tcPr>
          <w:p w14:paraId="555AC688">
            <w:pPr>
              <w:snapToGrid w:val="0"/>
              <w:spacing w:line="30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3050" w:type="dxa"/>
            <w:noWrap w:val="0"/>
            <w:tcMar>
              <w:top w:w="15" w:type="dxa"/>
              <w:left w:w="15" w:type="dxa"/>
              <w:bottom w:w="0" w:type="dxa"/>
              <w:right w:w="15" w:type="dxa"/>
            </w:tcMar>
            <w:vAlign w:val="center"/>
          </w:tcPr>
          <w:p w14:paraId="6EDAAA64">
            <w:pPr>
              <w:snapToGrid w:val="0"/>
              <w:spacing w:line="30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供货期</w:t>
            </w:r>
          </w:p>
        </w:tc>
        <w:tc>
          <w:tcPr>
            <w:tcW w:w="3060" w:type="dxa"/>
            <w:noWrap w:val="0"/>
            <w:tcMar>
              <w:top w:w="15" w:type="dxa"/>
              <w:left w:w="15" w:type="dxa"/>
              <w:bottom w:w="0" w:type="dxa"/>
              <w:right w:w="15" w:type="dxa"/>
            </w:tcMar>
            <w:vAlign w:val="center"/>
          </w:tcPr>
          <w:p w14:paraId="26AA1E83">
            <w:pPr>
              <w:jc w:val="center"/>
              <w:rPr>
                <w:rFonts w:hint="eastAsia" w:ascii="宋体" w:hAnsi="宋体" w:eastAsia="宋体" w:cs="宋体"/>
                <w:sz w:val="24"/>
                <w:szCs w:val="24"/>
                <w:highlight w:val="none"/>
              </w:rPr>
            </w:pPr>
          </w:p>
        </w:tc>
        <w:tc>
          <w:tcPr>
            <w:tcW w:w="1390" w:type="dxa"/>
            <w:noWrap w:val="0"/>
            <w:tcMar>
              <w:top w:w="15" w:type="dxa"/>
              <w:left w:w="15" w:type="dxa"/>
              <w:bottom w:w="0" w:type="dxa"/>
              <w:right w:w="15" w:type="dxa"/>
            </w:tcMar>
            <w:vAlign w:val="top"/>
          </w:tcPr>
          <w:p w14:paraId="50A62039">
            <w:pPr>
              <w:snapToGrid w:val="0"/>
              <w:spacing w:line="300" w:lineRule="auto"/>
              <w:jc w:val="center"/>
              <w:rPr>
                <w:rFonts w:hint="eastAsia" w:ascii="宋体" w:hAnsi="宋体" w:eastAsia="宋体" w:cs="宋体"/>
                <w:sz w:val="24"/>
                <w:szCs w:val="24"/>
                <w:highlight w:val="none"/>
              </w:rPr>
            </w:pPr>
          </w:p>
        </w:tc>
        <w:tc>
          <w:tcPr>
            <w:tcW w:w="1391" w:type="dxa"/>
            <w:noWrap w:val="0"/>
            <w:vAlign w:val="top"/>
          </w:tcPr>
          <w:p w14:paraId="4D2B36BE">
            <w:pPr>
              <w:snapToGrid w:val="0"/>
              <w:spacing w:line="300" w:lineRule="auto"/>
              <w:jc w:val="center"/>
              <w:rPr>
                <w:rFonts w:hint="eastAsia" w:ascii="宋体" w:hAnsi="宋体" w:eastAsia="宋体" w:cs="宋体"/>
                <w:sz w:val="24"/>
                <w:szCs w:val="24"/>
                <w:highlight w:val="none"/>
              </w:rPr>
            </w:pPr>
          </w:p>
        </w:tc>
      </w:tr>
      <w:tr w14:paraId="0CC5AD0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446" w:hRule="atLeast"/>
          <w:jc w:val="center"/>
        </w:trPr>
        <w:tc>
          <w:tcPr>
            <w:tcW w:w="1062" w:type="dxa"/>
            <w:noWrap w:val="0"/>
            <w:tcMar>
              <w:top w:w="15" w:type="dxa"/>
              <w:left w:w="15" w:type="dxa"/>
              <w:bottom w:w="0" w:type="dxa"/>
              <w:right w:w="15" w:type="dxa"/>
            </w:tcMar>
            <w:vAlign w:val="center"/>
          </w:tcPr>
          <w:p w14:paraId="73218475">
            <w:pPr>
              <w:snapToGrid w:val="0"/>
              <w:spacing w:line="30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3050" w:type="dxa"/>
            <w:noWrap w:val="0"/>
            <w:tcMar>
              <w:top w:w="15" w:type="dxa"/>
              <w:left w:w="15" w:type="dxa"/>
              <w:bottom w:w="0" w:type="dxa"/>
              <w:right w:w="15" w:type="dxa"/>
            </w:tcMar>
            <w:vAlign w:val="center"/>
          </w:tcPr>
          <w:p w14:paraId="6833F9AB">
            <w:pPr>
              <w:snapToGrid w:val="0"/>
              <w:spacing w:line="30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质量要求</w:t>
            </w:r>
          </w:p>
        </w:tc>
        <w:tc>
          <w:tcPr>
            <w:tcW w:w="3060" w:type="dxa"/>
            <w:noWrap w:val="0"/>
            <w:tcMar>
              <w:top w:w="15" w:type="dxa"/>
              <w:left w:w="15" w:type="dxa"/>
              <w:bottom w:w="0" w:type="dxa"/>
              <w:right w:w="15" w:type="dxa"/>
            </w:tcMar>
            <w:vAlign w:val="center"/>
          </w:tcPr>
          <w:p w14:paraId="207822F5">
            <w:pPr>
              <w:jc w:val="center"/>
              <w:rPr>
                <w:rFonts w:hint="eastAsia" w:ascii="宋体" w:hAnsi="宋体" w:eastAsia="宋体" w:cs="宋体"/>
                <w:sz w:val="24"/>
                <w:szCs w:val="24"/>
                <w:highlight w:val="none"/>
              </w:rPr>
            </w:pPr>
          </w:p>
        </w:tc>
        <w:tc>
          <w:tcPr>
            <w:tcW w:w="1390" w:type="dxa"/>
            <w:noWrap w:val="0"/>
            <w:tcMar>
              <w:top w:w="15" w:type="dxa"/>
              <w:left w:w="15" w:type="dxa"/>
              <w:bottom w:w="0" w:type="dxa"/>
              <w:right w:w="15" w:type="dxa"/>
            </w:tcMar>
            <w:vAlign w:val="top"/>
          </w:tcPr>
          <w:p w14:paraId="0728E3D8">
            <w:pPr>
              <w:snapToGrid w:val="0"/>
              <w:spacing w:line="300" w:lineRule="auto"/>
              <w:jc w:val="center"/>
              <w:rPr>
                <w:rFonts w:hint="eastAsia" w:ascii="宋体" w:hAnsi="宋体" w:eastAsia="宋体" w:cs="宋体"/>
                <w:sz w:val="24"/>
                <w:szCs w:val="24"/>
                <w:highlight w:val="none"/>
              </w:rPr>
            </w:pPr>
          </w:p>
        </w:tc>
        <w:tc>
          <w:tcPr>
            <w:tcW w:w="1391" w:type="dxa"/>
            <w:noWrap w:val="0"/>
            <w:vAlign w:val="top"/>
          </w:tcPr>
          <w:p w14:paraId="0F0FD474">
            <w:pPr>
              <w:snapToGrid w:val="0"/>
              <w:spacing w:line="300" w:lineRule="auto"/>
              <w:jc w:val="center"/>
              <w:rPr>
                <w:rFonts w:hint="eastAsia" w:ascii="宋体" w:hAnsi="宋体" w:eastAsia="宋体" w:cs="宋体"/>
                <w:sz w:val="24"/>
                <w:szCs w:val="24"/>
                <w:highlight w:val="none"/>
              </w:rPr>
            </w:pPr>
          </w:p>
        </w:tc>
      </w:tr>
      <w:tr w14:paraId="16BD82C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446" w:hRule="atLeast"/>
          <w:jc w:val="center"/>
        </w:trPr>
        <w:tc>
          <w:tcPr>
            <w:tcW w:w="1062" w:type="dxa"/>
            <w:noWrap w:val="0"/>
            <w:tcMar>
              <w:top w:w="15" w:type="dxa"/>
              <w:left w:w="15" w:type="dxa"/>
              <w:bottom w:w="0" w:type="dxa"/>
              <w:right w:w="15" w:type="dxa"/>
            </w:tcMar>
            <w:vAlign w:val="center"/>
          </w:tcPr>
          <w:p w14:paraId="1DBA6806">
            <w:pPr>
              <w:snapToGrid w:val="0"/>
              <w:spacing w:line="30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3050" w:type="dxa"/>
            <w:noWrap w:val="0"/>
            <w:tcMar>
              <w:top w:w="15" w:type="dxa"/>
              <w:left w:w="15" w:type="dxa"/>
              <w:bottom w:w="0" w:type="dxa"/>
              <w:right w:w="15" w:type="dxa"/>
            </w:tcMar>
            <w:vAlign w:val="center"/>
          </w:tcPr>
          <w:p w14:paraId="08365C95">
            <w:pPr>
              <w:spacing w:line="288"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3060" w:type="dxa"/>
            <w:noWrap w:val="0"/>
            <w:tcMar>
              <w:top w:w="15" w:type="dxa"/>
              <w:left w:w="15" w:type="dxa"/>
              <w:bottom w:w="0" w:type="dxa"/>
              <w:right w:w="15" w:type="dxa"/>
            </w:tcMar>
            <w:vAlign w:val="center"/>
          </w:tcPr>
          <w:p w14:paraId="29D50823">
            <w:pPr>
              <w:jc w:val="center"/>
              <w:rPr>
                <w:rFonts w:hint="eastAsia" w:ascii="宋体" w:hAnsi="宋体" w:eastAsia="宋体" w:cs="宋体"/>
                <w:sz w:val="24"/>
                <w:szCs w:val="24"/>
                <w:highlight w:val="none"/>
              </w:rPr>
            </w:pPr>
          </w:p>
        </w:tc>
        <w:tc>
          <w:tcPr>
            <w:tcW w:w="1390" w:type="dxa"/>
            <w:noWrap w:val="0"/>
            <w:tcMar>
              <w:top w:w="15" w:type="dxa"/>
              <w:left w:w="15" w:type="dxa"/>
              <w:bottom w:w="0" w:type="dxa"/>
              <w:right w:w="15" w:type="dxa"/>
            </w:tcMar>
            <w:vAlign w:val="center"/>
          </w:tcPr>
          <w:p w14:paraId="10739C15">
            <w:pPr>
              <w:snapToGrid w:val="0"/>
              <w:spacing w:line="300" w:lineRule="auto"/>
              <w:jc w:val="center"/>
              <w:rPr>
                <w:rFonts w:hint="eastAsia" w:ascii="宋体" w:hAnsi="宋体" w:eastAsia="宋体" w:cs="宋体"/>
                <w:sz w:val="24"/>
                <w:szCs w:val="24"/>
                <w:highlight w:val="none"/>
              </w:rPr>
            </w:pPr>
          </w:p>
        </w:tc>
        <w:tc>
          <w:tcPr>
            <w:tcW w:w="1391" w:type="dxa"/>
            <w:noWrap w:val="0"/>
            <w:vAlign w:val="center"/>
          </w:tcPr>
          <w:p w14:paraId="6D6C1217">
            <w:pPr>
              <w:snapToGrid w:val="0"/>
              <w:spacing w:line="300" w:lineRule="auto"/>
              <w:jc w:val="center"/>
              <w:rPr>
                <w:rFonts w:hint="eastAsia" w:ascii="宋体" w:hAnsi="宋体" w:eastAsia="宋体" w:cs="宋体"/>
                <w:sz w:val="24"/>
                <w:szCs w:val="24"/>
                <w:highlight w:val="none"/>
              </w:rPr>
            </w:pPr>
          </w:p>
        </w:tc>
      </w:tr>
      <w:tr w14:paraId="514753C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446" w:hRule="atLeast"/>
          <w:jc w:val="center"/>
        </w:trPr>
        <w:tc>
          <w:tcPr>
            <w:tcW w:w="1062" w:type="dxa"/>
            <w:noWrap w:val="0"/>
            <w:tcMar>
              <w:top w:w="15" w:type="dxa"/>
              <w:left w:w="15" w:type="dxa"/>
              <w:bottom w:w="0" w:type="dxa"/>
              <w:right w:w="15" w:type="dxa"/>
            </w:tcMar>
            <w:vAlign w:val="center"/>
          </w:tcPr>
          <w:p w14:paraId="5D91B270">
            <w:pPr>
              <w:snapToGrid w:val="0"/>
              <w:spacing w:line="30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3050" w:type="dxa"/>
            <w:noWrap w:val="0"/>
            <w:tcMar>
              <w:top w:w="15" w:type="dxa"/>
              <w:left w:w="15" w:type="dxa"/>
              <w:bottom w:w="0" w:type="dxa"/>
              <w:right w:w="15" w:type="dxa"/>
            </w:tcMar>
            <w:vAlign w:val="center"/>
          </w:tcPr>
          <w:p w14:paraId="5332E623">
            <w:pPr>
              <w:spacing w:line="288"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3060" w:type="dxa"/>
            <w:noWrap w:val="0"/>
            <w:tcMar>
              <w:top w:w="15" w:type="dxa"/>
              <w:left w:w="15" w:type="dxa"/>
              <w:bottom w:w="0" w:type="dxa"/>
              <w:right w:w="15" w:type="dxa"/>
            </w:tcMar>
            <w:vAlign w:val="center"/>
          </w:tcPr>
          <w:p w14:paraId="06876700">
            <w:pPr>
              <w:jc w:val="center"/>
              <w:rPr>
                <w:rFonts w:hint="eastAsia" w:ascii="宋体" w:hAnsi="宋体" w:eastAsia="宋体" w:cs="宋体"/>
                <w:sz w:val="24"/>
                <w:szCs w:val="24"/>
                <w:highlight w:val="none"/>
              </w:rPr>
            </w:pPr>
          </w:p>
        </w:tc>
        <w:tc>
          <w:tcPr>
            <w:tcW w:w="1390" w:type="dxa"/>
            <w:noWrap w:val="0"/>
            <w:tcMar>
              <w:top w:w="15" w:type="dxa"/>
              <w:left w:w="15" w:type="dxa"/>
              <w:bottom w:w="0" w:type="dxa"/>
              <w:right w:w="15" w:type="dxa"/>
            </w:tcMar>
            <w:vAlign w:val="center"/>
          </w:tcPr>
          <w:p w14:paraId="1B0A5257">
            <w:pPr>
              <w:snapToGrid w:val="0"/>
              <w:spacing w:line="300" w:lineRule="auto"/>
              <w:jc w:val="center"/>
              <w:rPr>
                <w:rFonts w:hint="eastAsia" w:ascii="宋体" w:hAnsi="宋体" w:eastAsia="宋体" w:cs="宋体"/>
                <w:sz w:val="24"/>
                <w:szCs w:val="24"/>
                <w:highlight w:val="none"/>
              </w:rPr>
            </w:pPr>
          </w:p>
        </w:tc>
        <w:tc>
          <w:tcPr>
            <w:tcW w:w="1391" w:type="dxa"/>
            <w:noWrap w:val="0"/>
            <w:vAlign w:val="center"/>
          </w:tcPr>
          <w:p w14:paraId="437B4C16">
            <w:pPr>
              <w:snapToGrid w:val="0"/>
              <w:spacing w:line="300" w:lineRule="auto"/>
              <w:jc w:val="center"/>
              <w:rPr>
                <w:rFonts w:hint="eastAsia" w:ascii="宋体" w:hAnsi="宋体" w:eastAsia="宋体" w:cs="宋体"/>
                <w:sz w:val="24"/>
                <w:szCs w:val="24"/>
                <w:highlight w:val="none"/>
              </w:rPr>
            </w:pPr>
          </w:p>
        </w:tc>
      </w:tr>
      <w:tr w14:paraId="1BDE1CE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446" w:hRule="atLeast"/>
          <w:jc w:val="center"/>
        </w:trPr>
        <w:tc>
          <w:tcPr>
            <w:tcW w:w="1062" w:type="dxa"/>
            <w:noWrap w:val="0"/>
            <w:tcMar>
              <w:top w:w="15" w:type="dxa"/>
              <w:left w:w="15" w:type="dxa"/>
              <w:bottom w:w="0" w:type="dxa"/>
              <w:right w:w="15" w:type="dxa"/>
            </w:tcMar>
            <w:vAlign w:val="center"/>
          </w:tcPr>
          <w:p w14:paraId="20D0E7D3">
            <w:pPr>
              <w:snapToGrid w:val="0"/>
              <w:spacing w:line="30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c>
          <w:tcPr>
            <w:tcW w:w="3050" w:type="dxa"/>
            <w:noWrap w:val="0"/>
            <w:tcMar>
              <w:top w:w="15" w:type="dxa"/>
              <w:left w:w="15" w:type="dxa"/>
              <w:bottom w:w="0" w:type="dxa"/>
              <w:right w:w="15" w:type="dxa"/>
            </w:tcMar>
            <w:vAlign w:val="center"/>
          </w:tcPr>
          <w:p w14:paraId="151455B5">
            <w:pPr>
              <w:snapToGrid w:val="0"/>
              <w:spacing w:line="30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3060" w:type="dxa"/>
            <w:noWrap w:val="0"/>
            <w:tcMar>
              <w:top w:w="15" w:type="dxa"/>
              <w:left w:w="15" w:type="dxa"/>
              <w:bottom w:w="0" w:type="dxa"/>
              <w:right w:w="15" w:type="dxa"/>
            </w:tcMar>
            <w:vAlign w:val="center"/>
          </w:tcPr>
          <w:p w14:paraId="4D750DB5">
            <w:pPr>
              <w:jc w:val="center"/>
              <w:rPr>
                <w:rFonts w:hint="eastAsia" w:ascii="宋体" w:hAnsi="宋体" w:eastAsia="宋体" w:cs="宋体"/>
                <w:sz w:val="24"/>
                <w:szCs w:val="24"/>
                <w:highlight w:val="none"/>
              </w:rPr>
            </w:pPr>
          </w:p>
        </w:tc>
        <w:tc>
          <w:tcPr>
            <w:tcW w:w="1390" w:type="dxa"/>
            <w:noWrap w:val="0"/>
            <w:tcMar>
              <w:top w:w="15" w:type="dxa"/>
              <w:left w:w="15" w:type="dxa"/>
              <w:bottom w:w="0" w:type="dxa"/>
              <w:right w:w="15" w:type="dxa"/>
            </w:tcMar>
            <w:vAlign w:val="center"/>
          </w:tcPr>
          <w:p w14:paraId="65C2CFF2">
            <w:pPr>
              <w:snapToGrid w:val="0"/>
              <w:spacing w:line="300" w:lineRule="auto"/>
              <w:jc w:val="center"/>
              <w:rPr>
                <w:rFonts w:hint="eastAsia" w:ascii="宋体" w:hAnsi="宋体" w:eastAsia="宋体" w:cs="宋体"/>
                <w:sz w:val="24"/>
                <w:szCs w:val="24"/>
                <w:highlight w:val="none"/>
              </w:rPr>
            </w:pPr>
          </w:p>
        </w:tc>
        <w:tc>
          <w:tcPr>
            <w:tcW w:w="1391" w:type="dxa"/>
            <w:noWrap w:val="0"/>
            <w:vAlign w:val="center"/>
          </w:tcPr>
          <w:p w14:paraId="77F945AB">
            <w:pPr>
              <w:snapToGrid w:val="0"/>
              <w:spacing w:line="300" w:lineRule="auto"/>
              <w:jc w:val="center"/>
              <w:rPr>
                <w:rFonts w:hint="eastAsia" w:ascii="宋体" w:hAnsi="宋体" w:eastAsia="宋体" w:cs="宋体"/>
                <w:sz w:val="24"/>
                <w:szCs w:val="24"/>
                <w:highlight w:val="none"/>
              </w:rPr>
            </w:pPr>
          </w:p>
        </w:tc>
      </w:tr>
      <w:tr w14:paraId="7401472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446" w:hRule="atLeast"/>
          <w:jc w:val="center"/>
        </w:trPr>
        <w:tc>
          <w:tcPr>
            <w:tcW w:w="1062" w:type="dxa"/>
            <w:noWrap w:val="0"/>
            <w:tcMar>
              <w:top w:w="15" w:type="dxa"/>
              <w:left w:w="15" w:type="dxa"/>
              <w:bottom w:w="0" w:type="dxa"/>
              <w:right w:w="15" w:type="dxa"/>
            </w:tcMar>
            <w:vAlign w:val="center"/>
          </w:tcPr>
          <w:p w14:paraId="12116BD2">
            <w:pPr>
              <w:snapToGrid w:val="0"/>
              <w:spacing w:line="300" w:lineRule="auto"/>
              <w:jc w:val="center"/>
              <w:rPr>
                <w:rFonts w:hint="eastAsia" w:ascii="宋体" w:hAnsi="宋体" w:eastAsia="宋体" w:cs="宋体"/>
                <w:sz w:val="24"/>
                <w:szCs w:val="24"/>
                <w:highlight w:val="none"/>
              </w:rPr>
            </w:pPr>
          </w:p>
        </w:tc>
        <w:tc>
          <w:tcPr>
            <w:tcW w:w="3050" w:type="dxa"/>
            <w:noWrap w:val="0"/>
            <w:tcMar>
              <w:top w:w="15" w:type="dxa"/>
              <w:left w:w="15" w:type="dxa"/>
              <w:bottom w:w="0" w:type="dxa"/>
              <w:right w:w="15" w:type="dxa"/>
            </w:tcMar>
            <w:vAlign w:val="center"/>
          </w:tcPr>
          <w:p w14:paraId="0B3A45B1">
            <w:pPr>
              <w:jc w:val="center"/>
              <w:rPr>
                <w:rFonts w:hint="eastAsia" w:ascii="宋体" w:hAnsi="宋体" w:eastAsia="宋体" w:cs="宋体"/>
                <w:sz w:val="24"/>
                <w:szCs w:val="24"/>
                <w:highlight w:val="none"/>
              </w:rPr>
            </w:pPr>
          </w:p>
        </w:tc>
        <w:tc>
          <w:tcPr>
            <w:tcW w:w="3060" w:type="dxa"/>
            <w:noWrap w:val="0"/>
            <w:tcMar>
              <w:top w:w="15" w:type="dxa"/>
              <w:left w:w="15" w:type="dxa"/>
              <w:bottom w:w="0" w:type="dxa"/>
              <w:right w:w="15" w:type="dxa"/>
            </w:tcMar>
            <w:vAlign w:val="center"/>
          </w:tcPr>
          <w:p w14:paraId="7AB1268F">
            <w:pPr>
              <w:jc w:val="center"/>
              <w:rPr>
                <w:rFonts w:hint="eastAsia" w:ascii="宋体" w:hAnsi="宋体" w:eastAsia="宋体" w:cs="宋体"/>
                <w:sz w:val="24"/>
                <w:szCs w:val="24"/>
                <w:highlight w:val="none"/>
              </w:rPr>
            </w:pPr>
          </w:p>
        </w:tc>
        <w:tc>
          <w:tcPr>
            <w:tcW w:w="1390" w:type="dxa"/>
            <w:noWrap w:val="0"/>
            <w:tcMar>
              <w:top w:w="15" w:type="dxa"/>
              <w:left w:w="15" w:type="dxa"/>
              <w:bottom w:w="0" w:type="dxa"/>
              <w:right w:w="15" w:type="dxa"/>
            </w:tcMar>
            <w:vAlign w:val="center"/>
          </w:tcPr>
          <w:p w14:paraId="1AC5AA2E">
            <w:pPr>
              <w:snapToGrid w:val="0"/>
              <w:spacing w:line="300" w:lineRule="auto"/>
              <w:jc w:val="center"/>
              <w:rPr>
                <w:rFonts w:hint="eastAsia" w:ascii="宋体" w:hAnsi="宋体" w:eastAsia="宋体" w:cs="宋体"/>
                <w:sz w:val="24"/>
                <w:szCs w:val="24"/>
                <w:highlight w:val="none"/>
              </w:rPr>
            </w:pPr>
          </w:p>
        </w:tc>
        <w:tc>
          <w:tcPr>
            <w:tcW w:w="1391" w:type="dxa"/>
            <w:noWrap w:val="0"/>
            <w:vAlign w:val="center"/>
          </w:tcPr>
          <w:p w14:paraId="241BD799">
            <w:pPr>
              <w:snapToGrid w:val="0"/>
              <w:spacing w:line="300" w:lineRule="auto"/>
              <w:jc w:val="center"/>
              <w:rPr>
                <w:rFonts w:hint="eastAsia" w:ascii="宋体" w:hAnsi="宋体" w:eastAsia="宋体" w:cs="宋体"/>
                <w:sz w:val="24"/>
                <w:szCs w:val="24"/>
                <w:highlight w:val="none"/>
              </w:rPr>
            </w:pPr>
          </w:p>
        </w:tc>
      </w:tr>
      <w:tr w14:paraId="6739274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446" w:hRule="atLeast"/>
          <w:jc w:val="center"/>
        </w:trPr>
        <w:tc>
          <w:tcPr>
            <w:tcW w:w="1062" w:type="dxa"/>
            <w:noWrap w:val="0"/>
            <w:tcMar>
              <w:top w:w="15" w:type="dxa"/>
              <w:left w:w="15" w:type="dxa"/>
              <w:bottom w:w="0" w:type="dxa"/>
              <w:right w:w="15" w:type="dxa"/>
            </w:tcMar>
            <w:vAlign w:val="center"/>
          </w:tcPr>
          <w:p w14:paraId="417FF25A">
            <w:pPr>
              <w:snapToGrid w:val="0"/>
              <w:spacing w:line="300" w:lineRule="auto"/>
              <w:jc w:val="center"/>
              <w:rPr>
                <w:rFonts w:hint="eastAsia" w:ascii="宋体" w:hAnsi="宋体" w:eastAsia="宋体" w:cs="宋体"/>
                <w:sz w:val="24"/>
                <w:szCs w:val="24"/>
                <w:highlight w:val="none"/>
              </w:rPr>
            </w:pPr>
          </w:p>
        </w:tc>
        <w:tc>
          <w:tcPr>
            <w:tcW w:w="3050" w:type="dxa"/>
            <w:noWrap w:val="0"/>
            <w:tcMar>
              <w:top w:w="15" w:type="dxa"/>
              <w:left w:w="15" w:type="dxa"/>
              <w:bottom w:w="0" w:type="dxa"/>
              <w:right w:w="15" w:type="dxa"/>
            </w:tcMar>
            <w:vAlign w:val="center"/>
          </w:tcPr>
          <w:p w14:paraId="392B0FD7">
            <w:pPr>
              <w:jc w:val="center"/>
              <w:rPr>
                <w:rFonts w:hint="eastAsia" w:ascii="宋体" w:hAnsi="宋体" w:eastAsia="宋体" w:cs="宋体"/>
                <w:sz w:val="24"/>
                <w:szCs w:val="24"/>
                <w:highlight w:val="none"/>
              </w:rPr>
            </w:pPr>
          </w:p>
        </w:tc>
        <w:tc>
          <w:tcPr>
            <w:tcW w:w="3060" w:type="dxa"/>
            <w:noWrap w:val="0"/>
            <w:tcMar>
              <w:top w:w="15" w:type="dxa"/>
              <w:left w:w="15" w:type="dxa"/>
              <w:bottom w:w="0" w:type="dxa"/>
              <w:right w:w="15" w:type="dxa"/>
            </w:tcMar>
            <w:vAlign w:val="center"/>
          </w:tcPr>
          <w:p w14:paraId="788B48D9">
            <w:pPr>
              <w:jc w:val="center"/>
              <w:rPr>
                <w:rFonts w:hint="eastAsia" w:ascii="宋体" w:hAnsi="宋体" w:eastAsia="宋体" w:cs="宋体"/>
                <w:sz w:val="24"/>
                <w:szCs w:val="24"/>
                <w:highlight w:val="none"/>
              </w:rPr>
            </w:pPr>
          </w:p>
        </w:tc>
        <w:tc>
          <w:tcPr>
            <w:tcW w:w="1390" w:type="dxa"/>
            <w:noWrap w:val="0"/>
            <w:tcMar>
              <w:top w:w="15" w:type="dxa"/>
              <w:left w:w="15" w:type="dxa"/>
              <w:bottom w:w="0" w:type="dxa"/>
              <w:right w:w="15" w:type="dxa"/>
            </w:tcMar>
            <w:vAlign w:val="center"/>
          </w:tcPr>
          <w:p w14:paraId="50B0C989">
            <w:pPr>
              <w:snapToGrid w:val="0"/>
              <w:spacing w:line="300" w:lineRule="auto"/>
              <w:jc w:val="center"/>
              <w:rPr>
                <w:rFonts w:hint="eastAsia" w:ascii="宋体" w:hAnsi="宋体" w:eastAsia="宋体" w:cs="宋体"/>
                <w:sz w:val="24"/>
                <w:szCs w:val="24"/>
                <w:highlight w:val="none"/>
              </w:rPr>
            </w:pPr>
          </w:p>
        </w:tc>
        <w:tc>
          <w:tcPr>
            <w:tcW w:w="1391" w:type="dxa"/>
            <w:noWrap w:val="0"/>
            <w:vAlign w:val="center"/>
          </w:tcPr>
          <w:p w14:paraId="37FD96A1">
            <w:pPr>
              <w:snapToGrid w:val="0"/>
              <w:spacing w:line="300" w:lineRule="auto"/>
              <w:jc w:val="center"/>
              <w:rPr>
                <w:rFonts w:hint="eastAsia" w:ascii="宋体" w:hAnsi="宋体" w:eastAsia="宋体" w:cs="宋体"/>
                <w:sz w:val="24"/>
                <w:szCs w:val="24"/>
                <w:highlight w:val="none"/>
              </w:rPr>
            </w:pPr>
          </w:p>
        </w:tc>
      </w:tr>
      <w:tr w14:paraId="771BF47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451" w:hRule="atLeast"/>
          <w:jc w:val="center"/>
        </w:trPr>
        <w:tc>
          <w:tcPr>
            <w:tcW w:w="1062" w:type="dxa"/>
            <w:noWrap w:val="0"/>
            <w:tcMar>
              <w:top w:w="15" w:type="dxa"/>
              <w:left w:w="15" w:type="dxa"/>
              <w:bottom w:w="0" w:type="dxa"/>
              <w:right w:w="15" w:type="dxa"/>
            </w:tcMar>
            <w:vAlign w:val="center"/>
          </w:tcPr>
          <w:p w14:paraId="4B04AEDC">
            <w:pPr>
              <w:snapToGrid w:val="0"/>
              <w:spacing w:line="300" w:lineRule="auto"/>
              <w:jc w:val="center"/>
              <w:rPr>
                <w:rFonts w:hint="eastAsia" w:ascii="宋体" w:hAnsi="宋体" w:eastAsia="宋体" w:cs="宋体"/>
                <w:sz w:val="24"/>
                <w:szCs w:val="24"/>
                <w:highlight w:val="none"/>
              </w:rPr>
            </w:pPr>
          </w:p>
        </w:tc>
        <w:tc>
          <w:tcPr>
            <w:tcW w:w="3050" w:type="dxa"/>
            <w:noWrap w:val="0"/>
            <w:tcMar>
              <w:top w:w="15" w:type="dxa"/>
              <w:left w:w="15" w:type="dxa"/>
              <w:bottom w:w="0" w:type="dxa"/>
              <w:right w:w="15" w:type="dxa"/>
            </w:tcMar>
            <w:vAlign w:val="center"/>
          </w:tcPr>
          <w:p w14:paraId="6A92D216">
            <w:pPr>
              <w:jc w:val="center"/>
              <w:rPr>
                <w:rFonts w:hint="eastAsia" w:ascii="宋体" w:hAnsi="宋体" w:eastAsia="宋体" w:cs="宋体"/>
                <w:sz w:val="24"/>
                <w:szCs w:val="24"/>
                <w:highlight w:val="none"/>
              </w:rPr>
            </w:pPr>
          </w:p>
        </w:tc>
        <w:tc>
          <w:tcPr>
            <w:tcW w:w="3060" w:type="dxa"/>
            <w:noWrap w:val="0"/>
            <w:tcMar>
              <w:top w:w="15" w:type="dxa"/>
              <w:left w:w="15" w:type="dxa"/>
              <w:bottom w:w="0" w:type="dxa"/>
              <w:right w:w="15" w:type="dxa"/>
            </w:tcMar>
            <w:vAlign w:val="center"/>
          </w:tcPr>
          <w:p w14:paraId="3AA3C819">
            <w:pPr>
              <w:jc w:val="center"/>
              <w:rPr>
                <w:rFonts w:hint="eastAsia" w:ascii="宋体" w:hAnsi="宋体" w:eastAsia="宋体" w:cs="宋体"/>
                <w:sz w:val="24"/>
                <w:szCs w:val="24"/>
                <w:highlight w:val="none"/>
              </w:rPr>
            </w:pPr>
          </w:p>
        </w:tc>
        <w:tc>
          <w:tcPr>
            <w:tcW w:w="1390" w:type="dxa"/>
            <w:noWrap w:val="0"/>
            <w:tcMar>
              <w:top w:w="15" w:type="dxa"/>
              <w:left w:w="15" w:type="dxa"/>
              <w:bottom w:w="0" w:type="dxa"/>
              <w:right w:w="15" w:type="dxa"/>
            </w:tcMar>
            <w:vAlign w:val="center"/>
          </w:tcPr>
          <w:p w14:paraId="295673FA">
            <w:pPr>
              <w:snapToGrid w:val="0"/>
              <w:spacing w:line="300" w:lineRule="auto"/>
              <w:jc w:val="center"/>
              <w:rPr>
                <w:rFonts w:hint="eastAsia" w:ascii="宋体" w:hAnsi="宋体" w:eastAsia="宋体" w:cs="宋体"/>
                <w:sz w:val="24"/>
                <w:szCs w:val="24"/>
                <w:highlight w:val="none"/>
              </w:rPr>
            </w:pPr>
          </w:p>
        </w:tc>
        <w:tc>
          <w:tcPr>
            <w:tcW w:w="1391" w:type="dxa"/>
            <w:noWrap w:val="0"/>
            <w:vAlign w:val="center"/>
          </w:tcPr>
          <w:p w14:paraId="337CBDEB">
            <w:pPr>
              <w:snapToGrid w:val="0"/>
              <w:spacing w:line="300" w:lineRule="auto"/>
              <w:jc w:val="center"/>
              <w:rPr>
                <w:rFonts w:hint="eastAsia" w:ascii="宋体" w:hAnsi="宋体" w:eastAsia="宋体" w:cs="宋体"/>
                <w:sz w:val="24"/>
                <w:szCs w:val="24"/>
                <w:highlight w:val="none"/>
              </w:rPr>
            </w:pPr>
          </w:p>
        </w:tc>
      </w:tr>
    </w:tbl>
    <w:p w14:paraId="0A64D2B7">
      <w:pPr>
        <w:pStyle w:val="30"/>
        <w:spacing w:line="360" w:lineRule="auto"/>
        <w:ind w:left="-181" w:firstLine="181"/>
        <w:rPr>
          <w:rFonts w:hint="eastAsia" w:ascii="宋体" w:hAnsi="宋体" w:eastAsia="宋体" w:cs="宋体"/>
          <w:b/>
          <w:bCs/>
          <w:snapToGrid w:val="0"/>
          <w:kern w:val="0"/>
          <w:sz w:val="24"/>
          <w:szCs w:val="24"/>
          <w:highlight w:val="none"/>
        </w:rPr>
      </w:pPr>
    </w:p>
    <w:p w14:paraId="4627E560">
      <w:pPr>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注：1.本部分内容均为实质性条款，供应商的投标(响应)必须完全满足，</w:t>
      </w:r>
      <w:r>
        <w:rPr>
          <w:rFonts w:hint="eastAsia" w:ascii="宋体" w:hAnsi="宋体" w:eastAsia="宋体" w:cs="宋体"/>
          <w:sz w:val="24"/>
          <w:szCs w:val="24"/>
          <w:highlight w:val="none"/>
          <w:lang w:eastAsia="zh-CN"/>
        </w:rPr>
        <w:t>无负偏离</w:t>
      </w:r>
      <w:r>
        <w:rPr>
          <w:rFonts w:hint="eastAsia" w:ascii="宋体" w:hAnsi="宋体" w:eastAsia="宋体" w:cs="宋体"/>
          <w:sz w:val="24"/>
          <w:szCs w:val="24"/>
          <w:highlight w:val="none"/>
        </w:rPr>
        <w:t>，否则按照投标(响应)无效处理；</w:t>
      </w:r>
    </w:p>
    <w:p w14:paraId="528B760E">
      <w:pPr>
        <w:pStyle w:val="14"/>
        <w:rPr>
          <w:rFonts w:hint="eastAsia" w:ascii="宋体" w:hAnsi="宋体" w:eastAsia="宋体" w:cs="宋体"/>
          <w:sz w:val="24"/>
          <w:szCs w:val="24"/>
          <w:highlight w:val="none"/>
        </w:rPr>
      </w:pPr>
      <w:r>
        <w:rPr>
          <w:rFonts w:hint="eastAsia" w:ascii="宋体" w:hAnsi="宋体" w:eastAsia="宋体" w:cs="宋体"/>
          <w:sz w:val="24"/>
          <w:szCs w:val="24"/>
          <w:highlight w:val="none"/>
        </w:rPr>
        <w:t>2.供应商如实填写“</w:t>
      </w:r>
      <w:r>
        <w:rPr>
          <w:rFonts w:hint="eastAsia" w:ascii="宋体" w:hAnsi="宋体" w:eastAsia="宋体" w:cs="宋体"/>
          <w:sz w:val="24"/>
          <w:szCs w:val="24"/>
          <w:highlight w:val="none"/>
          <w:lang w:eastAsia="zh-CN"/>
        </w:rPr>
        <w:t>响应文件</w:t>
      </w:r>
      <w:r>
        <w:rPr>
          <w:rFonts w:hint="eastAsia" w:ascii="宋体" w:hAnsi="宋体" w:eastAsia="宋体" w:cs="宋体"/>
          <w:sz w:val="24"/>
          <w:szCs w:val="24"/>
          <w:highlight w:val="none"/>
        </w:rPr>
        <w:t>商务条款应答”内容，可优于</w:t>
      </w:r>
      <w:r>
        <w:rPr>
          <w:rFonts w:hint="eastAsia" w:ascii="宋体" w:hAnsi="宋体" w:eastAsia="宋体" w:cs="宋体"/>
          <w:sz w:val="24"/>
          <w:szCs w:val="24"/>
          <w:highlight w:val="none"/>
          <w:lang w:eastAsia="zh-CN"/>
        </w:rPr>
        <w:t>采购文件</w:t>
      </w:r>
      <w:r>
        <w:rPr>
          <w:rFonts w:hint="eastAsia" w:ascii="宋体" w:hAnsi="宋体" w:eastAsia="宋体" w:cs="宋体"/>
          <w:sz w:val="24"/>
          <w:szCs w:val="24"/>
          <w:highlight w:val="none"/>
        </w:rPr>
        <w:t>规定，视为正偏离；</w:t>
      </w:r>
    </w:p>
    <w:p w14:paraId="323F5A54">
      <w:pPr>
        <w:pStyle w:val="14"/>
        <w:rPr>
          <w:rFonts w:hint="eastAsia" w:ascii="宋体" w:hAnsi="宋体" w:eastAsia="宋体" w:cs="宋体"/>
          <w:sz w:val="24"/>
          <w:szCs w:val="24"/>
          <w:highlight w:val="none"/>
        </w:rPr>
      </w:pPr>
      <w:r>
        <w:rPr>
          <w:rFonts w:hint="eastAsia" w:ascii="宋体" w:hAnsi="宋体" w:eastAsia="宋体" w:cs="宋体"/>
          <w:sz w:val="24"/>
          <w:szCs w:val="24"/>
          <w:highlight w:val="none"/>
        </w:rPr>
        <w:t>3.“偏离情况”一栏中必须如实并按照商务要求的内容逐项填写“正偏离”、“负偏离”或“无偏离”；</w:t>
      </w:r>
    </w:p>
    <w:p w14:paraId="0B069800">
      <w:pPr>
        <w:pStyle w:val="14"/>
        <w:rPr>
          <w:rFonts w:hint="eastAsia" w:ascii="宋体" w:hAnsi="宋体" w:eastAsia="宋体" w:cs="宋体"/>
          <w:sz w:val="24"/>
          <w:szCs w:val="24"/>
          <w:highlight w:val="none"/>
        </w:rPr>
      </w:pPr>
      <w:r>
        <w:rPr>
          <w:rFonts w:hint="eastAsia" w:ascii="宋体" w:hAnsi="宋体" w:eastAsia="宋体" w:cs="宋体"/>
          <w:sz w:val="24"/>
          <w:szCs w:val="24"/>
          <w:highlight w:val="none"/>
        </w:rPr>
        <w:t>4.“说明”一栏中为除以上所述内容外，</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认为本表格需要提供的其他内容自行填写。</w:t>
      </w:r>
    </w:p>
    <w:p w14:paraId="0224E00B">
      <w:pPr>
        <w:pStyle w:val="14"/>
        <w:rPr>
          <w:rFonts w:hint="eastAsia" w:ascii="宋体" w:hAnsi="宋体" w:eastAsia="宋体" w:cs="宋体"/>
          <w:sz w:val="24"/>
          <w:szCs w:val="24"/>
          <w:highlight w:val="none"/>
        </w:rPr>
      </w:pPr>
    </w:p>
    <w:p w14:paraId="4E9B89C9">
      <w:pPr>
        <w:rPr>
          <w:rFonts w:hint="eastAsia" w:ascii="宋体" w:hAnsi="宋体" w:eastAsia="宋体" w:cs="宋体"/>
          <w:snapToGrid w:val="0"/>
          <w:sz w:val="24"/>
          <w:szCs w:val="24"/>
          <w:highlight w:val="none"/>
        </w:rPr>
      </w:pPr>
    </w:p>
    <w:p w14:paraId="2392682D">
      <w:pPr>
        <w:rPr>
          <w:rFonts w:hint="eastAsia" w:ascii="宋体" w:hAnsi="宋体" w:eastAsia="宋体" w:cs="宋体"/>
          <w:snapToGrid w:val="0"/>
          <w:sz w:val="24"/>
          <w:szCs w:val="24"/>
          <w:highlight w:val="none"/>
        </w:rPr>
      </w:pPr>
    </w:p>
    <w:p w14:paraId="637FF298">
      <w:pPr>
        <w:spacing w:line="360" w:lineRule="auto"/>
        <w:jc w:val="right"/>
        <w:rPr>
          <w:rFonts w:hint="eastAsia" w:ascii="宋体" w:hAnsi="宋体" w:eastAsia="宋体" w:cs="宋体"/>
          <w:bCs/>
          <w:sz w:val="24"/>
          <w:szCs w:val="24"/>
          <w:highlight w:val="none"/>
        </w:rPr>
      </w:pPr>
      <w:r>
        <w:rPr>
          <w:rFonts w:hint="eastAsia" w:ascii="宋体" w:hAnsi="宋体" w:eastAsia="宋体" w:cs="宋体"/>
          <w:sz w:val="24"/>
          <w:szCs w:val="24"/>
          <w:highlight w:val="none"/>
          <w:lang w:val="zh-CN"/>
        </w:rPr>
        <w:t xml:space="preserve">                             </w:t>
      </w:r>
      <w:r>
        <w:rPr>
          <w:rFonts w:hint="eastAsia" w:ascii="宋体" w:hAnsi="宋体"/>
          <w:color w:val="auto"/>
          <w:sz w:val="24"/>
          <w:lang w:eastAsia="zh-CN"/>
        </w:rPr>
        <w:t>供应商名称</w:t>
      </w:r>
      <w:r>
        <w:rPr>
          <w:rFonts w:hint="eastAsia" w:ascii="宋体" w:hAnsi="宋体" w:eastAsia="宋体" w:cs="宋体"/>
          <w:bCs/>
          <w:sz w:val="24"/>
          <w:szCs w:val="24"/>
          <w:highlight w:val="none"/>
          <w:lang w:val="zh-CN"/>
        </w:rPr>
        <w:t>：</w:t>
      </w:r>
      <w:r>
        <w:rPr>
          <w:rFonts w:hint="eastAsia" w:ascii="宋体" w:hAnsi="宋体" w:eastAsia="宋体" w:cs="宋体"/>
          <w:bCs/>
          <w:sz w:val="24"/>
          <w:szCs w:val="24"/>
          <w:highlight w:val="none"/>
          <w:u w:val="single"/>
          <w:lang w:val="zh-CN"/>
        </w:rPr>
        <w:t xml:space="preserve">                    </w:t>
      </w:r>
      <w:r>
        <w:rPr>
          <w:rFonts w:hint="eastAsia" w:ascii="宋体" w:hAnsi="宋体" w:eastAsia="宋体" w:cs="宋体"/>
          <w:bCs/>
          <w:sz w:val="24"/>
          <w:szCs w:val="24"/>
          <w:highlight w:val="none"/>
          <w:lang w:val="zh-CN"/>
        </w:rPr>
        <w:t>(盖单位公章)</w:t>
      </w:r>
    </w:p>
    <w:p w14:paraId="3730FAD2">
      <w:pPr>
        <w:spacing w:line="480" w:lineRule="auto"/>
        <w:ind w:right="-1"/>
        <w:jc w:val="right"/>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法定代表人或授权委托代理人：</w:t>
      </w:r>
      <w:r>
        <w:rPr>
          <w:rFonts w:hint="eastAsia" w:ascii="宋体" w:hAnsi="宋体" w:eastAsia="宋体" w:cs="宋体"/>
          <w:sz w:val="24"/>
          <w:szCs w:val="24"/>
          <w:highlight w:val="none"/>
          <w:u w:val="single"/>
          <w:lang w:val="zh-CN"/>
        </w:rPr>
        <w:t xml:space="preserve">                 </w:t>
      </w:r>
      <w:r>
        <w:rPr>
          <w:rFonts w:hint="eastAsia" w:ascii="宋体" w:hAnsi="宋体" w:eastAsia="宋体" w:cs="宋体"/>
          <w:sz w:val="24"/>
          <w:szCs w:val="24"/>
          <w:highlight w:val="none"/>
          <w:lang w:val="zh-CN"/>
        </w:rPr>
        <w:t>(</w:t>
      </w:r>
      <w:r>
        <w:rPr>
          <w:rFonts w:hint="eastAsia" w:ascii="宋体" w:hAnsi="宋体"/>
          <w:color w:val="auto"/>
          <w:sz w:val="24"/>
        </w:rPr>
        <w:t>签字或签章</w:t>
      </w:r>
      <w:r>
        <w:rPr>
          <w:rFonts w:hint="eastAsia" w:ascii="宋体" w:hAnsi="宋体" w:eastAsia="宋体" w:cs="宋体"/>
          <w:sz w:val="24"/>
          <w:szCs w:val="24"/>
          <w:highlight w:val="none"/>
          <w:lang w:val="zh-CN"/>
        </w:rPr>
        <w:t>)</w:t>
      </w:r>
    </w:p>
    <w:p w14:paraId="61E3967E">
      <w:pPr>
        <w:jc w:val="right"/>
        <w:rPr>
          <w:rFonts w:hint="eastAsia" w:ascii="宋体" w:hAnsi="宋体" w:eastAsia="宋体" w:cs="宋体"/>
          <w:sz w:val="24"/>
          <w:szCs w:val="24"/>
          <w:highlight w:val="none"/>
        </w:rPr>
      </w:pPr>
    </w:p>
    <w:p w14:paraId="2EA8595D">
      <w:pPr>
        <w:spacing w:line="480" w:lineRule="exact"/>
        <w:ind w:firstLine="480" w:firstLineChars="200"/>
        <w:jc w:val="right"/>
        <w:rPr>
          <w:rFonts w:hint="eastAsia" w:ascii="宋体" w:hAnsi="宋体" w:eastAsia="宋体" w:cs="宋体"/>
          <w:b/>
          <w:highlight w:val="none"/>
        </w:rPr>
      </w:pPr>
      <w:r>
        <w:rPr>
          <w:rFonts w:hint="eastAsia" w:ascii="宋体" w:hAnsi="宋体" w:eastAsia="宋体" w:cs="宋体"/>
          <w:bCs/>
          <w:sz w:val="24"/>
          <w:szCs w:val="24"/>
          <w:highlight w:val="none"/>
        </w:rPr>
        <w:t xml:space="preserve">                           日期</w:t>
      </w:r>
      <w:r>
        <w:rPr>
          <w:rFonts w:hint="eastAsia" w:ascii="宋体" w:hAnsi="宋体" w:eastAsia="宋体" w:cs="宋体"/>
          <w:b/>
          <w:sz w:val="24"/>
          <w:szCs w:val="24"/>
          <w:highlight w:val="none"/>
        </w:rPr>
        <w:t>：</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77F0C7B5">
      <w:pPr>
        <w:pStyle w:val="3"/>
        <w:bidi w:val="0"/>
        <w:jc w:val="center"/>
        <w:rPr>
          <w:rFonts w:hint="eastAsia" w:ascii="宋体" w:hAnsi="宋体" w:eastAsia="宋体" w:cs="宋体"/>
          <w:b/>
          <w:szCs w:val="32"/>
          <w:highlight w:val="none"/>
          <w:lang w:val="zh-CN"/>
        </w:rPr>
      </w:pPr>
      <w:r>
        <w:rPr>
          <w:rFonts w:hint="eastAsia" w:ascii="宋体" w:hAnsi="宋体" w:eastAsia="宋体" w:cs="宋体"/>
          <w:b/>
          <w:bCs/>
          <w:highlight w:val="none"/>
        </w:rPr>
        <w:br w:type="page"/>
      </w:r>
      <w:bookmarkStart w:id="72" w:name="_Toc8694"/>
      <w:r>
        <w:rPr>
          <w:rFonts w:hint="eastAsia"/>
          <w:lang w:val="zh-CN"/>
        </w:rPr>
        <w:t>七、技术规格偏离表</w:t>
      </w:r>
      <w:bookmarkEnd w:id="72"/>
    </w:p>
    <w:p w14:paraId="3D323ADE">
      <w:pPr>
        <w:rPr>
          <w:rFonts w:hint="eastAsia" w:ascii="宋体" w:hAnsi="宋体" w:eastAsia="宋体" w:cs="宋体"/>
          <w:highlight w:val="none"/>
        </w:rPr>
      </w:pPr>
    </w:p>
    <w:p w14:paraId="6819A70B">
      <w:pPr>
        <w:spacing w:line="360" w:lineRule="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 xml:space="preserve">项目名称： </w:t>
      </w:r>
      <w:r>
        <w:rPr>
          <w:rFonts w:hint="eastAsia" w:ascii="宋体" w:hAnsi="宋体" w:eastAsia="宋体" w:cs="宋体"/>
          <w:sz w:val="24"/>
          <w:szCs w:val="24"/>
          <w:highlight w:val="none"/>
          <w:u w:val="single"/>
        </w:rPr>
        <w:t xml:space="preserve">                       </w:t>
      </w:r>
    </w:p>
    <w:p w14:paraId="5DD1AA6D">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项目编号：</w:t>
      </w:r>
      <w:r>
        <w:rPr>
          <w:rFonts w:hint="eastAsia" w:ascii="宋体" w:hAnsi="宋体" w:eastAsia="宋体" w:cs="宋体"/>
          <w:i/>
          <w:iCs/>
          <w:sz w:val="24"/>
          <w:szCs w:val="24"/>
          <w:highlight w:val="none"/>
        </w:rPr>
        <w:t xml:space="preserve"> </w:t>
      </w:r>
      <w:r>
        <w:rPr>
          <w:rFonts w:hint="eastAsia" w:ascii="宋体" w:hAnsi="宋体" w:eastAsia="宋体" w:cs="宋体"/>
          <w:sz w:val="24"/>
          <w:szCs w:val="24"/>
          <w:highlight w:val="none"/>
          <w:u w:val="single"/>
        </w:rPr>
        <w:t xml:space="preserve">                       </w:t>
      </w:r>
    </w:p>
    <w:tbl>
      <w:tblPr>
        <w:tblStyle w:val="15"/>
        <w:tblW w:w="1018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1028"/>
        <w:gridCol w:w="2449"/>
        <w:gridCol w:w="1980"/>
        <w:gridCol w:w="2223"/>
        <w:gridCol w:w="1253"/>
        <w:gridCol w:w="1253"/>
      </w:tblGrid>
      <w:tr w14:paraId="092FA7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28" w:hRule="atLeast"/>
          <w:jc w:val="center"/>
        </w:trPr>
        <w:tc>
          <w:tcPr>
            <w:tcW w:w="1028" w:type="dxa"/>
            <w:tcBorders>
              <w:top w:val="single" w:color="auto" w:sz="12" w:space="0"/>
            </w:tcBorders>
            <w:noWrap w:val="0"/>
            <w:tcMar>
              <w:top w:w="15" w:type="dxa"/>
              <w:left w:w="15" w:type="dxa"/>
              <w:bottom w:w="0" w:type="dxa"/>
              <w:right w:w="15" w:type="dxa"/>
            </w:tcMar>
            <w:vAlign w:val="center"/>
          </w:tcPr>
          <w:p w14:paraId="073C8B6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2449" w:type="dxa"/>
            <w:tcBorders>
              <w:top w:val="single" w:color="auto" w:sz="12" w:space="0"/>
            </w:tcBorders>
            <w:noWrap w:val="0"/>
            <w:tcMar>
              <w:top w:w="15" w:type="dxa"/>
              <w:left w:w="15" w:type="dxa"/>
              <w:bottom w:w="0" w:type="dxa"/>
              <w:right w:w="15" w:type="dxa"/>
            </w:tcMar>
            <w:vAlign w:val="center"/>
          </w:tcPr>
          <w:p w14:paraId="7E27622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货物名称</w:t>
            </w:r>
          </w:p>
        </w:tc>
        <w:tc>
          <w:tcPr>
            <w:tcW w:w="1980" w:type="dxa"/>
            <w:tcBorders>
              <w:top w:val="single" w:color="auto" w:sz="12" w:space="0"/>
            </w:tcBorders>
            <w:noWrap w:val="0"/>
            <w:tcMar>
              <w:top w:w="15" w:type="dxa"/>
              <w:left w:w="15" w:type="dxa"/>
              <w:bottom w:w="0" w:type="dxa"/>
              <w:right w:w="15" w:type="dxa"/>
            </w:tcMar>
            <w:vAlign w:val="center"/>
          </w:tcPr>
          <w:p w14:paraId="639646A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采购文件</w:t>
            </w:r>
            <w:r>
              <w:rPr>
                <w:rFonts w:hint="eastAsia" w:ascii="宋体" w:hAnsi="宋体" w:eastAsia="宋体" w:cs="宋体"/>
                <w:sz w:val="24"/>
                <w:szCs w:val="24"/>
                <w:highlight w:val="none"/>
              </w:rPr>
              <w:t>技术参数</w:t>
            </w:r>
          </w:p>
          <w:p w14:paraId="4F2378D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要求</w:t>
            </w:r>
          </w:p>
        </w:tc>
        <w:tc>
          <w:tcPr>
            <w:tcW w:w="2223" w:type="dxa"/>
            <w:tcBorders>
              <w:top w:val="single" w:color="auto" w:sz="12" w:space="0"/>
              <w:right w:val="single" w:color="auto" w:sz="4" w:space="0"/>
            </w:tcBorders>
            <w:noWrap w:val="0"/>
            <w:tcMar>
              <w:top w:w="15" w:type="dxa"/>
              <w:left w:w="15" w:type="dxa"/>
              <w:bottom w:w="0" w:type="dxa"/>
              <w:right w:w="15" w:type="dxa"/>
            </w:tcMar>
            <w:vAlign w:val="center"/>
          </w:tcPr>
          <w:p w14:paraId="4D554C6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响应文件</w:t>
            </w:r>
            <w:r>
              <w:rPr>
                <w:rFonts w:hint="eastAsia" w:ascii="宋体" w:hAnsi="宋体" w:eastAsia="宋体" w:cs="宋体"/>
                <w:sz w:val="24"/>
                <w:szCs w:val="24"/>
                <w:highlight w:val="none"/>
              </w:rPr>
              <w:t>对应技术参数</w:t>
            </w:r>
          </w:p>
        </w:tc>
        <w:tc>
          <w:tcPr>
            <w:tcW w:w="1253" w:type="dxa"/>
            <w:tcBorders>
              <w:top w:val="single" w:color="auto" w:sz="12" w:space="0"/>
            </w:tcBorders>
            <w:noWrap w:val="0"/>
            <w:tcMar>
              <w:top w:w="15" w:type="dxa"/>
              <w:left w:w="15" w:type="dxa"/>
              <w:bottom w:w="0" w:type="dxa"/>
              <w:right w:w="15" w:type="dxa"/>
            </w:tcMar>
            <w:vAlign w:val="center"/>
          </w:tcPr>
          <w:p w14:paraId="262DF42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偏离情况</w:t>
            </w:r>
          </w:p>
        </w:tc>
        <w:tc>
          <w:tcPr>
            <w:tcW w:w="1253" w:type="dxa"/>
            <w:tcBorders>
              <w:top w:val="single" w:color="auto" w:sz="12" w:space="0"/>
            </w:tcBorders>
            <w:noWrap w:val="0"/>
            <w:tcMar>
              <w:top w:w="15" w:type="dxa"/>
              <w:left w:w="15" w:type="dxa"/>
              <w:bottom w:w="0" w:type="dxa"/>
              <w:right w:w="15" w:type="dxa"/>
            </w:tcMar>
            <w:vAlign w:val="center"/>
          </w:tcPr>
          <w:p w14:paraId="1DD0295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说明</w:t>
            </w:r>
          </w:p>
        </w:tc>
      </w:tr>
      <w:tr w14:paraId="068BD0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1" w:hRule="atLeast"/>
          <w:jc w:val="center"/>
        </w:trPr>
        <w:tc>
          <w:tcPr>
            <w:tcW w:w="1028" w:type="dxa"/>
            <w:noWrap w:val="0"/>
            <w:tcMar>
              <w:top w:w="15" w:type="dxa"/>
              <w:left w:w="15" w:type="dxa"/>
              <w:bottom w:w="0" w:type="dxa"/>
              <w:right w:w="15" w:type="dxa"/>
            </w:tcMar>
            <w:vAlign w:val="center"/>
          </w:tcPr>
          <w:p w14:paraId="76F9C4FF">
            <w:pPr>
              <w:keepNext w:val="0"/>
              <w:keepLines w:val="0"/>
              <w:pageBreakBefore w:val="0"/>
              <w:widowControl w:val="0"/>
              <w:kinsoku/>
              <w:wordWrap/>
              <w:overflowPunct/>
              <w:topLinePunct w:val="0"/>
              <w:autoSpaceDE/>
              <w:autoSpaceDN/>
              <w:bidi w:val="0"/>
              <w:adjustRightInd/>
              <w:snapToGrid/>
              <w:spacing w:line="240" w:lineRule="auto"/>
              <w:ind w:firstLine="38" w:firstLineChars="16"/>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2449" w:type="dxa"/>
            <w:noWrap w:val="0"/>
            <w:tcMar>
              <w:top w:w="15" w:type="dxa"/>
              <w:left w:w="15" w:type="dxa"/>
              <w:bottom w:w="0" w:type="dxa"/>
              <w:right w:w="15" w:type="dxa"/>
            </w:tcMar>
            <w:vAlign w:val="center"/>
          </w:tcPr>
          <w:p w14:paraId="2A4B452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rPr>
            </w:pPr>
          </w:p>
        </w:tc>
        <w:tc>
          <w:tcPr>
            <w:tcW w:w="1980" w:type="dxa"/>
            <w:noWrap w:val="0"/>
            <w:tcMar>
              <w:top w:w="15" w:type="dxa"/>
              <w:left w:w="15" w:type="dxa"/>
              <w:bottom w:w="0" w:type="dxa"/>
              <w:right w:w="15" w:type="dxa"/>
            </w:tcMar>
            <w:vAlign w:val="center"/>
          </w:tcPr>
          <w:p w14:paraId="6F27073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w:t>
            </w:r>
          </w:p>
        </w:tc>
        <w:tc>
          <w:tcPr>
            <w:tcW w:w="2223" w:type="dxa"/>
            <w:tcBorders>
              <w:right w:val="single" w:color="auto" w:sz="4" w:space="0"/>
            </w:tcBorders>
            <w:noWrap w:val="0"/>
            <w:tcMar>
              <w:top w:w="15" w:type="dxa"/>
              <w:left w:w="15" w:type="dxa"/>
              <w:bottom w:w="0" w:type="dxa"/>
              <w:right w:w="15" w:type="dxa"/>
            </w:tcMar>
            <w:vAlign w:val="center"/>
          </w:tcPr>
          <w:p w14:paraId="278B293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w:t>
            </w:r>
          </w:p>
        </w:tc>
        <w:tc>
          <w:tcPr>
            <w:tcW w:w="1253" w:type="dxa"/>
            <w:noWrap w:val="0"/>
            <w:tcMar>
              <w:top w:w="15" w:type="dxa"/>
              <w:left w:w="15" w:type="dxa"/>
              <w:bottom w:w="0" w:type="dxa"/>
              <w:right w:w="15" w:type="dxa"/>
            </w:tcMar>
            <w:vAlign w:val="center"/>
          </w:tcPr>
          <w:p w14:paraId="1769ADE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highlight w:val="none"/>
              </w:rPr>
            </w:pPr>
          </w:p>
        </w:tc>
        <w:tc>
          <w:tcPr>
            <w:tcW w:w="1253" w:type="dxa"/>
            <w:noWrap w:val="0"/>
            <w:tcMar>
              <w:top w:w="15" w:type="dxa"/>
              <w:left w:w="15" w:type="dxa"/>
              <w:bottom w:w="0" w:type="dxa"/>
              <w:right w:w="15" w:type="dxa"/>
            </w:tcMar>
            <w:vAlign w:val="center"/>
          </w:tcPr>
          <w:p w14:paraId="4E411C2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w:t>
            </w:r>
          </w:p>
        </w:tc>
      </w:tr>
      <w:tr w14:paraId="156A96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766" w:hRule="atLeast"/>
          <w:jc w:val="center"/>
        </w:trPr>
        <w:tc>
          <w:tcPr>
            <w:tcW w:w="1028" w:type="dxa"/>
            <w:noWrap w:val="0"/>
            <w:tcMar>
              <w:top w:w="15" w:type="dxa"/>
              <w:left w:w="15" w:type="dxa"/>
              <w:bottom w:w="0" w:type="dxa"/>
              <w:right w:w="15" w:type="dxa"/>
            </w:tcMar>
            <w:vAlign w:val="center"/>
          </w:tcPr>
          <w:p w14:paraId="4A9E8317">
            <w:pPr>
              <w:keepNext w:val="0"/>
              <w:keepLines w:val="0"/>
              <w:pageBreakBefore w:val="0"/>
              <w:widowControl w:val="0"/>
              <w:kinsoku/>
              <w:wordWrap/>
              <w:overflowPunct/>
              <w:topLinePunct w:val="0"/>
              <w:autoSpaceDE/>
              <w:autoSpaceDN/>
              <w:bidi w:val="0"/>
              <w:adjustRightInd/>
              <w:snapToGrid/>
              <w:spacing w:line="240" w:lineRule="auto"/>
              <w:ind w:firstLine="38" w:firstLineChars="16"/>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2449" w:type="dxa"/>
            <w:noWrap w:val="0"/>
            <w:tcMar>
              <w:top w:w="15" w:type="dxa"/>
              <w:left w:w="15" w:type="dxa"/>
              <w:bottom w:w="0" w:type="dxa"/>
              <w:right w:w="15" w:type="dxa"/>
            </w:tcMar>
            <w:vAlign w:val="center"/>
          </w:tcPr>
          <w:p w14:paraId="5698806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rPr>
            </w:pPr>
          </w:p>
        </w:tc>
        <w:tc>
          <w:tcPr>
            <w:tcW w:w="1980" w:type="dxa"/>
            <w:noWrap w:val="0"/>
            <w:tcMar>
              <w:top w:w="15" w:type="dxa"/>
              <w:left w:w="15" w:type="dxa"/>
              <w:bottom w:w="0" w:type="dxa"/>
              <w:right w:w="15" w:type="dxa"/>
            </w:tcMar>
            <w:vAlign w:val="center"/>
          </w:tcPr>
          <w:p w14:paraId="1ABF80F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w:t>
            </w:r>
          </w:p>
        </w:tc>
        <w:tc>
          <w:tcPr>
            <w:tcW w:w="2223" w:type="dxa"/>
            <w:tcBorders>
              <w:right w:val="single" w:color="auto" w:sz="4" w:space="0"/>
            </w:tcBorders>
            <w:noWrap w:val="0"/>
            <w:tcMar>
              <w:top w:w="15" w:type="dxa"/>
              <w:left w:w="15" w:type="dxa"/>
              <w:bottom w:w="0" w:type="dxa"/>
              <w:right w:w="15" w:type="dxa"/>
            </w:tcMar>
            <w:vAlign w:val="center"/>
          </w:tcPr>
          <w:p w14:paraId="355732C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w:t>
            </w:r>
          </w:p>
        </w:tc>
        <w:tc>
          <w:tcPr>
            <w:tcW w:w="1253" w:type="dxa"/>
            <w:noWrap w:val="0"/>
            <w:tcMar>
              <w:top w:w="15" w:type="dxa"/>
              <w:left w:w="15" w:type="dxa"/>
              <w:bottom w:w="0" w:type="dxa"/>
              <w:right w:w="15" w:type="dxa"/>
            </w:tcMar>
            <w:vAlign w:val="center"/>
          </w:tcPr>
          <w:p w14:paraId="016E592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highlight w:val="none"/>
              </w:rPr>
            </w:pPr>
          </w:p>
        </w:tc>
        <w:tc>
          <w:tcPr>
            <w:tcW w:w="1253" w:type="dxa"/>
            <w:noWrap w:val="0"/>
            <w:tcMar>
              <w:top w:w="15" w:type="dxa"/>
              <w:left w:w="15" w:type="dxa"/>
              <w:bottom w:w="0" w:type="dxa"/>
              <w:right w:w="15" w:type="dxa"/>
            </w:tcMar>
            <w:vAlign w:val="center"/>
          </w:tcPr>
          <w:p w14:paraId="4613346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w:t>
            </w:r>
          </w:p>
        </w:tc>
      </w:tr>
      <w:tr w14:paraId="65823A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1" w:hRule="atLeast"/>
          <w:jc w:val="center"/>
        </w:trPr>
        <w:tc>
          <w:tcPr>
            <w:tcW w:w="1028" w:type="dxa"/>
            <w:noWrap w:val="0"/>
            <w:tcMar>
              <w:top w:w="15" w:type="dxa"/>
              <w:left w:w="15" w:type="dxa"/>
              <w:bottom w:w="0" w:type="dxa"/>
              <w:right w:w="15" w:type="dxa"/>
            </w:tcMar>
            <w:vAlign w:val="center"/>
          </w:tcPr>
          <w:p w14:paraId="122F4AA3">
            <w:pPr>
              <w:keepNext w:val="0"/>
              <w:keepLines w:val="0"/>
              <w:pageBreakBefore w:val="0"/>
              <w:widowControl w:val="0"/>
              <w:kinsoku/>
              <w:wordWrap/>
              <w:overflowPunct/>
              <w:topLinePunct w:val="0"/>
              <w:autoSpaceDE/>
              <w:autoSpaceDN/>
              <w:bidi w:val="0"/>
              <w:adjustRightInd/>
              <w:snapToGrid/>
              <w:spacing w:line="240" w:lineRule="auto"/>
              <w:ind w:firstLine="38" w:firstLineChars="16"/>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2449" w:type="dxa"/>
            <w:noWrap w:val="0"/>
            <w:tcMar>
              <w:top w:w="15" w:type="dxa"/>
              <w:left w:w="15" w:type="dxa"/>
              <w:bottom w:w="0" w:type="dxa"/>
              <w:right w:w="15" w:type="dxa"/>
            </w:tcMar>
            <w:vAlign w:val="center"/>
          </w:tcPr>
          <w:p w14:paraId="232379C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Cs/>
                <w:sz w:val="24"/>
                <w:szCs w:val="24"/>
                <w:highlight w:val="none"/>
              </w:rPr>
            </w:pPr>
          </w:p>
        </w:tc>
        <w:tc>
          <w:tcPr>
            <w:tcW w:w="1980" w:type="dxa"/>
            <w:noWrap w:val="0"/>
            <w:tcMar>
              <w:top w:w="15" w:type="dxa"/>
              <w:left w:w="15" w:type="dxa"/>
              <w:bottom w:w="0" w:type="dxa"/>
              <w:right w:w="15" w:type="dxa"/>
            </w:tcMar>
            <w:vAlign w:val="center"/>
          </w:tcPr>
          <w:p w14:paraId="07C87AD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w:t>
            </w:r>
          </w:p>
        </w:tc>
        <w:tc>
          <w:tcPr>
            <w:tcW w:w="2223" w:type="dxa"/>
            <w:tcBorders>
              <w:right w:val="single" w:color="auto" w:sz="4" w:space="0"/>
            </w:tcBorders>
            <w:noWrap w:val="0"/>
            <w:tcMar>
              <w:top w:w="15" w:type="dxa"/>
              <w:left w:w="15" w:type="dxa"/>
              <w:bottom w:w="0" w:type="dxa"/>
              <w:right w:w="15" w:type="dxa"/>
            </w:tcMar>
            <w:vAlign w:val="center"/>
          </w:tcPr>
          <w:p w14:paraId="3A27E27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w:t>
            </w:r>
          </w:p>
        </w:tc>
        <w:tc>
          <w:tcPr>
            <w:tcW w:w="1253" w:type="dxa"/>
            <w:noWrap w:val="0"/>
            <w:tcMar>
              <w:top w:w="15" w:type="dxa"/>
              <w:left w:w="15" w:type="dxa"/>
              <w:bottom w:w="0" w:type="dxa"/>
              <w:right w:w="15" w:type="dxa"/>
            </w:tcMar>
            <w:vAlign w:val="center"/>
          </w:tcPr>
          <w:p w14:paraId="61BA34A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highlight w:val="none"/>
              </w:rPr>
            </w:pPr>
          </w:p>
        </w:tc>
        <w:tc>
          <w:tcPr>
            <w:tcW w:w="1253" w:type="dxa"/>
            <w:noWrap w:val="0"/>
            <w:tcMar>
              <w:top w:w="15" w:type="dxa"/>
              <w:left w:w="15" w:type="dxa"/>
              <w:bottom w:w="0" w:type="dxa"/>
              <w:right w:w="15" w:type="dxa"/>
            </w:tcMar>
            <w:vAlign w:val="center"/>
          </w:tcPr>
          <w:p w14:paraId="6ED803D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w:t>
            </w:r>
          </w:p>
        </w:tc>
      </w:tr>
      <w:tr w14:paraId="44855F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1" w:hRule="atLeast"/>
          <w:jc w:val="center"/>
        </w:trPr>
        <w:tc>
          <w:tcPr>
            <w:tcW w:w="1028" w:type="dxa"/>
            <w:noWrap w:val="0"/>
            <w:tcMar>
              <w:top w:w="15" w:type="dxa"/>
              <w:left w:w="15" w:type="dxa"/>
              <w:bottom w:w="0" w:type="dxa"/>
              <w:right w:w="15" w:type="dxa"/>
            </w:tcMar>
            <w:vAlign w:val="center"/>
          </w:tcPr>
          <w:p w14:paraId="266F4B6B">
            <w:pPr>
              <w:keepNext w:val="0"/>
              <w:keepLines w:val="0"/>
              <w:pageBreakBefore w:val="0"/>
              <w:widowControl w:val="0"/>
              <w:kinsoku/>
              <w:wordWrap/>
              <w:overflowPunct/>
              <w:topLinePunct w:val="0"/>
              <w:autoSpaceDE/>
              <w:autoSpaceDN/>
              <w:bidi w:val="0"/>
              <w:adjustRightInd/>
              <w:snapToGrid/>
              <w:spacing w:line="240" w:lineRule="auto"/>
              <w:ind w:firstLine="38" w:firstLineChars="16"/>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2449" w:type="dxa"/>
            <w:noWrap w:val="0"/>
            <w:tcMar>
              <w:top w:w="15" w:type="dxa"/>
              <w:left w:w="15" w:type="dxa"/>
              <w:bottom w:w="0" w:type="dxa"/>
              <w:right w:w="15" w:type="dxa"/>
            </w:tcMar>
            <w:vAlign w:val="center"/>
          </w:tcPr>
          <w:p w14:paraId="0AC2A35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1980" w:type="dxa"/>
            <w:noWrap w:val="0"/>
            <w:tcMar>
              <w:top w:w="15" w:type="dxa"/>
              <w:left w:w="15" w:type="dxa"/>
              <w:bottom w:w="0" w:type="dxa"/>
              <w:right w:w="15" w:type="dxa"/>
            </w:tcMar>
            <w:vAlign w:val="center"/>
          </w:tcPr>
          <w:p w14:paraId="45E91A8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w:t>
            </w:r>
          </w:p>
        </w:tc>
        <w:tc>
          <w:tcPr>
            <w:tcW w:w="2223" w:type="dxa"/>
            <w:tcBorders>
              <w:right w:val="single" w:color="auto" w:sz="4" w:space="0"/>
            </w:tcBorders>
            <w:noWrap w:val="0"/>
            <w:tcMar>
              <w:top w:w="15" w:type="dxa"/>
              <w:left w:w="15" w:type="dxa"/>
              <w:bottom w:w="0" w:type="dxa"/>
              <w:right w:w="15" w:type="dxa"/>
            </w:tcMar>
            <w:vAlign w:val="center"/>
          </w:tcPr>
          <w:p w14:paraId="269ACF4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w:t>
            </w:r>
          </w:p>
        </w:tc>
        <w:tc>
          <w:tcPr>
            <w:tcW w:w="1253" w:type="dxa"/>
            <w:noWrap w:val="0"/>
            <w:tcMar>
              <w:top w:w="15" w:type="dxa"/>
              <w:left w:w="15" w:type="dxa"/>
              <w:bottom w:w="0" w:type="dxa"/>
              <w:right w:w="15" w:type="dxa"/>
            </w:tcMar>
            <w:vAlign w:val="center"/>
          </w:tcPr>
          <w:p w14:paraId="56DDF01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highlight w:val="none"/>
              </w:rPr>
            </w:pPr>
          </w:p>
        </w:tc>
        <w:tc>
          <w:tcPr>
            <w:tcW w:w="1253" w:type="dxa"/>
            <w:noWrap w:val="0"/>
            <w:tcMar>
              <w:top w:w="15" w:type="dxa"/>
              <w:left w:w="15" w:type="dxa"/>
              <w:bottom w:w="0" w:type="dxa"/>
              <w:right w:w="15" w:type="dxa"/>
            </w:tcMar>
            <w:vAlign w:val="center"/>
          </w:tcPr>
          <w:p w14:paraId="07D6D23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w:t>
            </w:r>
          </w:p>
        </w:tc>
      </w:tr>
      <w:tr w14:paraId="4619CA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1" w:hRule="atLeast"/>
          <w:jc w:val="center"/>
        </w:trPr>
        <w:tc>
          <w:tcPr>
            <w:tcW w:w="1028" w:type="dxa"/>
            <w:noWrap w:val="0"/>
            <w:tcMar>
              <w:top w:w="15" w:type="dxa"/>
              <w:left w:w="15" w:type="dxa"/>
              <w:bottom w:w="0" w:type="dxa"/>
              <w:right w:w="15" w:type="dxa"/>
            </w:tcMar>
            <w:vAlign w:val="center"/>
          </w:tcPr>
          <w:p w14:paraId="6376EBFB">
            <w:pPr>
              <w:spacing w:line="360" w:lineRule="auto"/>
              <w:ind w:firstLine="38" w:firstLineChars="16"/>
              <w:jc w:val="center"/>
              <w:rPr>
                <w:rFonts w:hint="eastAsia" w:ascii="宋体" w:hAnsi="宋体" w:eastAsia="宋体" w:cs="宋体"/>
                <w:sz w:val="24"/>
                <w:szCs w:val="24"/>
                <w:highlight w:val="none"/>
              </w:rPr>
            </w:pPr>
          </w:p>
        </w:tc>
        <w:tc>
          <w:tcPr>
            <w:tcW w:w="2449" w:type="dxa"/>
            <w:noWrap w:val="0"/>
            <w:tcMar>
              <w:top w:w="15" w:type="dxa"/>
              <w:left w:w="15" w:type="dxa"/>
              <w:bottom w:w="0" w:type="dxa"/>
              <w:right w:w="15" w:type="dxa"/>
            </w:tcMar>
            <w:vAlign w:val="center"/>
          </w:tcPr>
          <w:p w14:paraId="60C67547">
            <w:pPr>
              <w:spacing w:line="360" w:lineRule="auto"/>
              <w:rPr>
                <w:rFonts w:hint="eastAsia" w:ascii="宋体" w:hAnsi="宋体" w:eastAsia="宋体" w:cs="宋体"/>
                <w:sz w:val="24"/>
                <w:szCs w:val="24"/>
                <w:highlight w:val="none"/>
              </w:rPr>
            </w:pPr>
          </w:p>
        </w:tc>
        <w:tc>
          <w:tcPr>
            <w:tcW w:w="1980" w:type="dxa"/>
            <w:noWrap w:val="0"/>
            <w:tcMar>
              <w:top w:w="15" w:type="dxa"/>
              <w:left w:w="15" w:type="dxa"/>
              <w:bottom w:w="0" w:type="dxa"/>
              <w:right w:w="15" w:type="dxa"/>
            </w:tcMar>
            <w:vAlign w:val="center"/>
          </w:tcPr>
          <w:p w14:paraId="701BC199">
            <w:pPr>
              <w:spacing w:line="360" w:lineRule="auto"/>
              <w:rPr>
                <w:rFonts w:hint="eastAsia" w:ascii="宋体" w:hAnsi="宋体" w:eastAsia="宋体" w:cs="宋体"/>
                <w:sz w:val="24"/>
                <w:szCs w:val="24"/>
                <w:highlight w:val="none"/>
              </w:rPr>
            </w:pPr>
          </w:p>
        </w:tc>
        <w:tc>
          <w:tcPr>
            <w:tcW w:w="2223" w:type="dxa"/>
            <w:tcBorders>
              <w:right w:val="single" w:color="auto" w:sz="4" w:space="0"/>
            </w:tcBorders>
            <w:noWrap w:val="0"/>
            <w:tcMar>
              <w:top w:w="15" w:type="dxa"/>
              <w:left w:w="15" w:type="dxa"/>
              <w:bottom w:w="0" w:type="dxa"/>
              <w:right w:w="15" w:type="dxa"/>
            </w:tcMar>
            <w:vAlign w:val="center"/>
          </w:tcPr>
          <w:p w14:paraId="2F6F6A8B">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w:t>
            </w:r>
          </w:p>
        </w:tc>
        <w:tc>
          <w:tcPr>
            <w:tcW w:w="1253" w:type="dxa"/>
            <w:noWrap w:val="0"/>
            <w:tcMar>
              <w:top w:w="15" w:type="dxa"/>
              <w:left w:w="15" w:type="dxa"/>
              <w:bottom w:w="0" w:type="dxa"/>
              <w:right w:w="15" w:type="dxa"/>
            </w:tcMar>
            <w:vAlign w:val="center"/>
          </w:tcPr>
          <w:p w14:paraId="465FCB57">
            <w:pPr>
              <w:spacing w:line="360" w:lineRule="auto"/>
              <w:rPr>
                <w:rFonts w:hint="eastAsia" w:ascii="宋体" w:hAnsi="宋体" w:eastAsia="宋体" w:cs="宋体"/>
                <w:sz w:val="24"/>
                <w:szCs w:val="24"/>
                <w:highlight w:val="none"/>
              </w:rPr>
            </w:pPr>
          </w:p>
        </w:tc>
        <w:tc>
          <w:tcPr>
            <w:tcW w:w="1253" w:type="dxa"/>
            <w:noWrap w:val="0"/>
            <w:tcMar>
              <w:top w:w="15" w:type="dxa"/>
              <w:left w:w="15" w:type="dxa"/>
              <w:bottom w:w="0" w:type="dxa"/>
              <w:right w:w="15" w:type="dxa"/>
            </w:tcMar>
            <w:vAlign w:val="center"/>
          </w:tcPr>
          <w:p w14:paraId="49433D23">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w:t>
            </w:r>
          </w:p>
        </w:tc>
      </w:tr>
      <w:tr w14:paraId="459ECF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1" w:hRule="atLeast"/>
          <w:jc w:val="center"/>
        </w:trPr>
        <w:tc>
          <w:tcPr>
            <w:tcW w:w="1028" w:type="dxa"/>
            <w:noWrap w:val="0"/>
            <w:tcMar>
              <w:top w:w="15" w:type="dxa"/>
              <w:left w:w="15" w:type="dxa"/>
              <w:bottom w:w="0" w:type="dxa"/>
              <w:right w:w="15" w:type="dxa"/>
            </w:tcMar>
            <w:vAlign w:val="center"/>
          </w:tcPr>
          <w:p w14:paraId="2B1C33EC">
            <w:pPr>
              <w:spacing w:line="360" w:lineRule="auto"/>
              <w:ind w:firstLine="38" w:firstLineChars="16"/>
              <w:rPr>
                <w:rFonts w:hint="eastAsia" w:ascii="宋体" w:hAnsi="宋体" w:eastAsia="宋体" w:cs="宋体"/>
                <w:sz w:val="24"/>
                <w:szCs w:val="24"/>
                <w:highlight w:val="none"/>
              </w:rPr>
            </w:pPr>
          </w:p>
        </w:tc>
        <w:tc>
          <w:tcPr>
            <w:tcW w:w="2449" w:type="dxa"/>
            <w:noWrap w:val="0"/>
            <w:tcMar>
              <w:top w:w="15" w:type="dxa"/>
              <w:left w:w="15" w:type="dxa"/>
              <w:bottom w:w="0" w:type="dxa"/>
              <w:right w:w="15" w:type="dxa"/>
            </w:tcMar>
            <w:vAlign w:val="center"/>
          </w:tcPr>
          <w:p w14:paraId="5E039D75">
            <w:pPr>
              <w:spacing w:line="360" w:lineRule="auto"/>
              <w:rPr>
                <w:rFonts w:hint="eastAsia" w:ascii="宋体" w:hAnsi="宋体" w:eastAsia="宋体" w:cs="宋体"/>
                <w:sz w:val="24"/>
                <w:szCs w:val="24"/>
                <w:highlight w:val="none"/>
              </w:rPr>
            </w:pPr>
          </w:p>
        </w:tc>
        <w:tc>
          <w:tcPr>
            <w:tcW w:w="1980" w:type="dxa"/>
            <w:noWrap w:val="0"/>
            <w:tcMar>
              <w:top w:w="15" w:type="dxa"/>
              <w:left w:w="15" w:type="dxa"/>
              <w:bottom w:w="0" w:type="dxa"/>
              <w:right w:w="15" w:type="dxa"/>
            </w:tcMar>
            <w:vAlign w:val="center"/>
          </w:tcPr>
          <w:p w14:paraId="29DC4E24">
            <w:pPr>
              <w:spacing w:line="360" w:lineRule="auto"/>
              <w:rPr>
                <w:rFonts w:hint="eastAsia" w:ascii="宋体" w:hAnsi="宋体" w:eastAsia="宋体" w:cs="宋体"/>
                <w:sz w:val="24"/>
                <w:szCs w:val="24"/>
                <w:highlight w:val="none"/>
              </w:rPr>
            </w:pPr>
          </w:p>
        </w:tc>
        <w:tc>
          <w:tcPr>
            <w:tcW w:w="2223" w:type="dxa"/>
            <w:tcBorders>
              <w:right w:val="single" w:color="auto" w:sz="4" w:space="0"/>
            </w:tcBorders>
            <w:noWrap w:val="0"/>
            <w:tcMar>
              <w:top w:w="15" w:type="dxa"/>
              <w:left w:w="15" w:type="dxa"/>
              <w:bottom w:w="0" w:type="dxa"/>
              <w:right w:w="15" w:type="dxa"/>
            </w:tcMar>
            <w:vAlign w:val="center"/>
          </w:tcPr>
          <w:p w14:paraId="24FE0168">
            <w:pPr>
              <w:spacing w:line="360" w:lineRule="auto"/>
              <w:rPr>
                <w:rFonts w:hint="eastAsia" w:ascii="宋体" w:hAnsi="宋体" w:eastAsia="宋体" w:cs="宋体"/>
                <w:sz w:val="24"/>
                <w:szCs w:val="24"/>
                <w:highlight w:val="none"/>
              </w:rPr>
            </w:pPr>
          </w:p>
        </w:tc>
        <w:tc>
          <w:tcPr>
            <w:tcW w:w="1253" w:type="dxa"/>
            <w:noWrap w:val="0"/>
            <w:tcMar>
              <w:top w:w="15" w:type="dxa"/>
              <w:left w:w="15" w:type="dxa"/>
              <w:bottom w:w="0" w:type="dxa"/>
              <w:right w:w="15" w:type="dxa"/>
            </w:tcMar>
            <w:vAlign w:val="center"/>
          </w:tcPr>
          <w:p w14:paraId="78A5F631">
            <w:pPr>
              <w:spacing w:line="360" w:lineRule="auto"/>
              <w:rPr>
                <w:rFonts w:hint="eastAsia" w:ascii="宋体" w:hAnsi="宋体" w:eastAsia="宋体" w:cs="宋体"/>
                <w:sz w:val="24"/>
                <w:szCs w:val="24"/>
                <w:highlight w:val="none"/>
              </w:rPr>
            </w:pPr>
          </w:p>
        </w:tc>
        <w:tc>
          <w:tcPr>
            <w:tcW w:w="1253" w:type="dxa"/>
            <w:noWrap w:val="0"/>
            <w:tcMar>
              <w:top w:w="15" w:type="dxa"/>
              <w:left w:w="15" w:type="dxa"/>
              <w:bottom w:w="0" w:type="dxa"/>
              <w:right w:w="15" w:type="dxa"/>
            </w:tcMar>
            <w:vAlign w:val="center"/>
          </w:tcPr>
          <w:p w14:paraId="16667DCC">
            <w:pPr>
              <w:spacing w:line="360" w:lineRule="auto"/>
              <w:rPr>
                <w:rFonts w:hint="eastAsia" w:ascii="宋体" w:hAnsi="宋体" w:eastAsia="宋体" w:cs="宋体"/>
                <w:sz w:val="24"/>
                <w:szCs w:val="24"/>
                <w:highlight w:val="none"/>
              </w:rPr>
            </w:pPr>
          </w:p>
        </w:tc>
      </w:tr>
      <w:tr w14:paraId="0BC7A7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1" w:hRule="atLeast"/>
          <w:jc w:val="center"/>
        </w:trPr>
        <w:tc>
          <w:tcPr>
            <w:tcW w:w="1028" w:type="dxa"/>
            <w:noWrap w:val="0"/>
            <w:tcMar>
              <w:top w:w="15" w:type="dxa"/>
              <w:left w:w="15" w:type="dxa"/>
              <w:bottom w:w="0" w:type="dxa"/>
              <w:right w:w="15" w:type="dxa"/>
            </w:tcMar>
            <w:vAlign w:val="center"/>
          </w:tcPr>
          <w:p w14:paraId="1A6CC48D">
            <w:pPr>
              <w:spacing w:line="360" w:lineRule="auto"/>
              <w:ind w:firstLine="38" w:firstLineChars="16"/>
              <w:rPr>
                <w:rFonts w:hint="eastAsia" w:ascii="宋体" w:hAnsi="宋体" w:eastAsia="宋体" w:cs="宋体"/>
                <w:sz w:val="24"/>
                <w:szCs w:val="24"/>
                <w:highlight w:val="none"/>
              </w:rPr>
            </w:pPr>
          </w:p>
        </w:tc>
        <w:tc>
          <w:tcPr>
            <w:tcW w:w="2449" w:type="dxa"/>
            <w:noWrap w:val="0"/>
            <w:tcMar>
              <w:top w:w="15" w:type="dxa"/>
              <w:left w:w="15" w:type="dxa"/>
              <w:bottom w:w="0" w:type="dxa"/>
              <w:right w:w="15" w:type="dxa"/>
            </w:tcMar>
            <w:vAlign w:val="center"/>
          </w:tcPr>
          <w:p w14:paraId="126403DB">
            <w:pPr>
              <w:spacing w:line="360" w:lineRule="auto"/>
              <w:rPr>
                <w:rFonts w:hint="eastAsia" w:ascii="宋体" w:hAnsi="宋体" w:eastAsia="宋体" w:cs="宋体"/>
                <w:sz w:val="24"/>
                <w:szCs w:val="24"/>
                <w:highlight w:val="none"/>
              </w:rPr>
            </w:pPr>
          </w:p>
        </w:tc>
        <w:tc>
          <w:tcPr>
            <w:tcW w:w="1980" w:type="dxa"/>
            <w:noWrap w:val="0"/>
            <w:tcMar>
              <w:top w:w="15" w:type="dxa"/>
              <w:left w:w="15" w:type="dxa"/>
              <w:bottom w:w="0" w:type="dxa"/>
              <w:right w:w="15" w:type="dxa"/>
            </w:tcMar>
            <w:vAlign w:val="center"/>
          </w:tcPr>
          <w:p w14:paraId="47CEB1E5">
            <w:pPr>
              <w:spacing w:line="360" w:lineRule="auto"/>
              <w:rPr>
                <w:rFonts w:hint="eastAsia" w:ascii="宋体" w:hAnsi="宋体" w:eastAsia="宋体" w:cs="宋体"/>
                <w:sz w:val="24"/>
                <w:szCs w:val="24"/>
                <w:highlight w:val="none"/>
              </w:rPr>
            </w:pPr>
          </w:p>
        </w:tc>
        <w:tc>
          <w:tcPr>
            <w:tcW w:w="2223" w:type="dxa"/>
            <w:tcBorders>
              <w:right w:val="single" w:color="auto" w:sz="4" w:space="0"/>
            </w:tcBorders>
            <w:noWrap w:val="0"/>
            <w:tcMar>
              <w:top w:w="15" w:type="dxa"/>
              <w:left w:w="15" w:type="dxa"/>
              <w:bottom w:w="0" w:type="dxa"/>
              <w:right w:w="15" w:type="dxa"/>
            </w:tcMar>
            <w:vAlign w:val="center"/>
          </w:tcPr>
          <w:p w14:paraId="5D1657F6">
            <w:pPr>
              <w:spacing w:line="360" w:lineRule="auto"/>
              <w:rPr>
                <w:rFonts w:hint="eastAsia" w:ascii="宋体" w:hAnsi="宋体" w:eastAsia="宋体" w:cs="宋体"/>
                <w:sz w:val="24"/>
                <w:szCs w:val="24"/>
                <w:highlight w:val="none"/>
              </w:rPr>
            </w:pPr>
          </w:p>
        </w:tc>
        <w:tc>
          <w:tcPr>
            <w:tcW w:w="1253" w:type="dxa"/>
            <w:noWrap w:val="0"/>
            <w:tcMar>
              <w:top w:w="15" w:type="dxa"/>
              <w:left w:w="15" w:type="dxa"/>
              <w:bottom w:w="0" w:type="dxa"/>
              <w:right w:w="15" w:type="dxa"/>
            </w:tcMar>
            <w:vAlign w:val="center"/>
          </w:tcPr>
          <w:p w14:paraId="488EE0B6">
            <w:pPr>
              <w:spacing w:line="360" w:lineRule="auto"/>
              <w:rPr>
                <w:rFonts w:hint="eastAsia" w:ascii="宋体" w:hAnsi="宋体" w:eastAsia="宋体" w:cs="宋体"/>
                <w:sz w:val="24"/>
                <w:szCs w:val="24"/>
                <w:highlight w:val="none"/>
              </w:rPr>
            </w:pPr>
          </w:p>
        </w:tc>
        <w:tc>
          <w:tcPr>
            <w:tcW w:w="1253" w:type="dxa"/>
            <w:noWrap w:val="0"/>
            <w:tcMar>
              <w:top w:w="15" w:type="dxa"/>
              <w:left w:w="15" w:type="dxa"/>
              <w:bottom w:w="0" w:type="dxa"/>
              <w:right w:w="15" w:type="dxa"/>
            </w:tcMar>
            <w:vAlign w:val="center"/>
          </w:tcPr>
          <w:p w14:paraId="253D955B">
            <w:pPr>
              <w:spacing w:line="360" w:lineRule="auto"/>
              <w:rPr>
                <w:rFonts w:hint="eastAsia" w:ascii="宋体" w:hAnsi="宋体" w:eastAsia="宋体" w:cs="宋体"/>
                <w:sz w:val="24"/>
                <w:szCs w:val="24"/>
                <w:highlight w:val="none"/>
              </w:rPr>
            </w:pPr>
          </w:p>
        </w:tc>
      </w:tr>
      <w:tr w14:paraId="37DC2E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04" w:hRule="atLeast"/>
          <w:jc w:val="center"/>
        </w:trPr>
        <w:tc>
          <w:tcPr>
            <w:tcW w:w="1028" w:type="dxa"/>
            <w:tcBorders>
              <w:bottom w:val="single" w:color="auto" w:sz="12" w:space="0"/>
            </w:tcBorders>
            <w:noWrap w:val="0"/>
            <w:tcMar>
              <w:top w:w="15" w:type="dxa"/>
              <w:left w:w="15" w:type="dxa"/>
              <w:bottom w:w="0" w:type="dxa"/>
              <w:right w:w="15" w:type="dxa"/>
            </w:tcMar>
            <w:vAlign w:val="center"/>
          </w:tcPr>
          <w:p w14:paraId="0770EC5C">
            <w:pPr>
              <w:spacing w:line="360" w:lineRule="auto"/>
              <w:ind w:firstLine="38" w:firstLineChars="16"/>
              <w:rPr>
                <w:rFonts w:hint="eastAsia" w:ascii="宋体" w:hAnsi="宋体" w:eastAsia="宋体" w:cs="宋体"/>
                <w:sz w:val="24"/>
                <w:szCs w:val="24"/>
                <w:highlight w:val="none"/>
              </w:rPr>
            </w:pPr>
          </w:p>
        </w:tc>
        <w:tc>
          <w:tcPr>
            <w:tcW w:w="2449" w:type="dxa"/>
            <w:tcBorders>
              <w:bottom w:val="single" w:color="auto" w:sz="12" w:space="0"/>
            </w:tcBorders>
            <w:noWrap w:val="0"/>
            <w:tcMar>
              <w:top w:w="15" w:type="dxa"/>
              <w:left w:w="15" w:type="dxa"/>
              <w:bottom w:w="0" w:type="dxa"/>
              <w:right w:w="15" w:type="dxa"/>
            </w:tcMar>
            <w:vAlign w:val="center"/>
          </w:tcPr>
          <w:p w14:paraId="13E18B4A">
            <w:pPr>
              <w:spacing w:line="360" w:lineRule="auto"/>
              <w:rPr>
                <w:rFonts w:hint="eastAsia" w:ascii="宋体" w:hAnsi="宋体" w:eastAsia="宋体" w:cs="宋体"/>
                <w:sz w:val="24"/>
                <w:szCs w:val="24"/>
                <w:highlight w:val="none"/>
              </w:rPr>
            </w:pPr>
          </w:p>
        </w:tc>
        <w:tc>
          <w:tcPr>
            <w:tcW w:w="1980" w:type="dxa"/>
            <w:tcBorders>
              <w:bottom w:val="single" w:color="auto" w:sz="12" w:space="0"/>
            </w:tcBorders>
            <w:noWrap w:val="0"/>
            <w:tcMar>
              <w:top w:w="15" w:type="dxa"/>
              <w:left w:w="15" w:type="dxa"/>
              <w:bottom w:w="0" w:type="dxa"/>
              <w:right w:w="15" w:type="dxa"/>
            </w:tcMar>
            <w:vAlign w:val="center"/>
          </w:tcPr>
          <w:p w14:paraId="412D523C">
            <w:pPr>
              <w:spacing w:line="360" w:lineRule="auto"/>
              <w:rPr>
                <w:rFonts w:hint="eastAsia" w:ascii="宋体" w:hAnsi="宋体" w:eastAsia="宋体" w:cs="宋体"/>
                <w:sz w:val="24"/>
                <w:szCs w:val="24"/>
                <w:highlight w:val="none"/>
              </w:rPr>
            </w:pPr>
          </w:p>
        </w:tc>
        <w:tc>
          <w:tcPr>
            <w:tcW w:w="2223" w:type="dxa"/>
            <w:tcBorders>
              <w:bottom w:val="single" w:color="auto" w:sz="12" w:space="0"/>
              <w:right w:val="single" w:color="auto" w:sz="4" w:space="0"/>
            </w:tcBorders>
            <w:noWrap w:val="0"/>
            <w:tcMar>
              <w:top w:w="15" w:type="dxa"/>
              <w:left w:w="15" w:type="dxa"/>
              <w:bottom w:w="0" w:type="dxa"/>
              <w:right w:w="15" w:type="dxa"/>
            </w:tcMar>
            <w:vAlign w:val="center"/>
          </w:tcPr>
          <w:p w14:paraId="0BF4DD95">
            <w:pPr>
              <w:spacing w:line="360" w:lineRule="auto"/>
              <w:rPr>
                <w:rFonts w:hint="eastAsia" w:ascii="宋体" w:hAnsi="宋体" w:eastAsia="宋体" w:cs="宋体"/>
                <w:sz w:val="24"/>
                <w:szCs w:val="24"/>
                <w:highlight w:val="none"/>
              </w:rPr>
            </w:pPr>
          </w:p>
        </w:tc>
        <w:tc>
          <w:tcPr>
            <w:tcW w:w="1253" w:type="dxa"/>
            <w:tcBorders>
              <w:bottom w:val="single" w:color="auto" w:sz="12" w:space="0"/>
            </w:tcBorders>
            <w:noWrap w:val="0"/>
            <w:tcMar>
              <w:top w:w="15" w:type="dxa"/>
              <w:left w:w="15" w:type="dxa"/>
              <w:bottom w:w="0" w:type="dxa"/>
              <w:right w:w="15" w:type="dxa"/>
            </w:tcMar>
            <w:vAlign w:val="center"/>
          </w:tcPr>
          <w:p w14:paraId="3CF2087E">
            <w:pPr>
              <w:spacing w:line="360" w:lineRule="auto"/>
              <w:rPr>
                <w:rFonts w:hint="eastAsia" w:ascii="宋体" w:hAnsi="宋体" w:eastAsia="宋体" w:cs="宋体"/>
                <w:sz w:val="24"/>
                <w:szCs w:val="24"/>
                <w:highlight w:val="none"/>
              </w:rPr>
            </w:pPr>
          </w:p>
        </w:tc>
        <w:tc>
          <w:tcPr>
            <w:tcW w:w="1253" w:type="dxa"/>
            <w:tcBorders>
              <w:bottom w:val="single" w:color="auto" w:sz="12" w:space="0"/>
            </w:tcBorders>
            <w:noWrap w:val="0"/>
            <w:tcMar>
              <w:top w:w="15" w:type="dxa"/>
              <w:left w:w="15" w:type="dxa"/>
              <w:bottom w:w="0" w:type="dxa"/>
              <w:right w:w="15" w:type="dxa"/>
            </w:tcMar>
            <w:vAlign w:val="center"/>
          </w:tcPr>
          <w:p w14:paraId="434EE75D">
            <w:pPr>
              <w:spacing w:line="360" w:lineRule="auto"/>
              <w:rPr>
                <w:rFonts w:hint="eastAsia" w:ascii="宋体" w:hAnsi="宋体" w:eastAsia="宋体" w:cs="宋体"/>
                <w:sz w:val="24"/>
                <w:szCs w:val="24"/>
                <w:highlight w:val="none"/>
              </w:rPr>
            </w:pPr>
          </w:p>
        </w:tc>
      </w:tr>
    </w:tbl>
    <w:p w14:paraId="0E9F6520">
      <w:pPr>
        <w:pStyle w:val="30"/>
        <w:spacing w:line="360" w:lineRule="auto"/>
        <w:rPr>
          <w:rFonts w:hint="eastAsia" w:ascii="宋体" w:hAnsi="宋体" w:eastAsia="宋体" w:cs="宋体"/>
          <w:b/>
          <w:bCs/>
          <w:snapToGrid w:val="0"/>
          <w:kern w:val="0"/>
          <w:sz w:val="24"/>
          <w:szCs w:val="24"/>
          <w:highlight w:val="none"/>
        </w:rPr>
      </w:pPr>
    </w:p>
    <w:p w14:paraId="43DD27DA">
      <w:pPr>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注：1.本部分内容均为实质性条款，供应商的投标(响应)必须完全满足，</w:t>
      </w:r>
      <w:r>
        <w:rPr>
          <w:rFonts w:hint="eastAsia" w:ascii="宋体" w:hAnsi="宋体" w:eastAsia="宋体" w:cs="宋体"/>
          <w:sz w:val="24"/>
          <w:szCs w:val="24"/>
          <w:highlight w:val="none"/>
          <w:lang w:eastAsia="zh-CN"/>
        </w:rPr>
        <w:t>无负偏离</w:t>
      </w:r>
      <w:r>
        <w:rPr>
          <w:rFonts w:hint="eastAsia" w:ascii="宋体" w:hAnsi="宋体" w:eastAsia="宋体" w:cs="宋体"/>
          <w:sz w:val="24"/>
          <w:szCs w:val="24"/>
          <w:highlight w:val="none"/>
        </w:rPr>
        <w:t>，否则按照投标(响应)无效处理；</w:t>
      </w:r>
    </w:p>
    <w:p w14:paraId="6831ADA5">
      <w:pPr>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2.供应商如实填写“</w:t>
      </w:r>
      <w:r>
        <w:rPr>
          <w:rFonts w:hint="eastAsia" w:ascii="宋体" w:hAnsi="宋体" w:eastAsia="宋体" w:cs="宋体"/>
          <w:sz w:val="24"/>
          <w:szCs w:val="24"/>
          <w:highlight w:val="none"/>
          <w:lang w:eastAsia="zh-CN"/>
        </w:rPr>
        <w:t>响应文件</w:t>
      </w:r>
      <w:r>
        <w:rPr>
          <w:rFonts w:hint="eastAsia" w:ascii="宋体" w:hAnsi="宋体" w:eastAsia="宋体" w:cs="宋体"/>
          <w:sz w:val="24"/>
          <w:szCs w:val="24"/>
          <w:highlight w:val="none"/>
        </w:rPr>
        <w:t>对应技术参数”内容，可优于</w:t>
      </w:r>
      <w:r>
        <w:rPr>
          <w:rFonts w:hint="eastAsia" w:ascii="宋体" w:hAnsi="宋体" w:eastAsia="宋体" w:cs="宋体"/>
          <w:sz w:val="24"/>
          <w:szCs w:val="24"/>
          <w:highlight w:val="none"/>
          <w:lang w:eastAsia="zh-CN"/>
        </w:rPr>
        <w:t>采购文件</w:t>
      </w:r>
      <w:r>
        <w:rPr>
          <w:rFonts w:hint="eastAsia" w:ascii="宋体" w:hAnsi="宋体" w:eastAsia="宋体" w:cs="宋体"/>
          <w:sz w:val="24"/>
          <w:szCs w:val="24"/>
          <w:highlight w:val="none"/>
        </w:rPr>
        <w:t>规定，视为正偏离；</w:t>
      </w:r>
    </w:p>
    <w:p w14:paraId="7D974B4D">
      <w:pPr>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3.“偏离情况”一栏中必须如实逐项填写“正偏离”、“负偏离”或“无偏离”；</w:t>
      </w:r>
    </w:p>
    <w:p w14:paraId="09367C5D">
      <w:pPr>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4.“说明”一栏中为除以上所述内容外，</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认为本表格需要提供的其他内容,此表可自行扩展。</w:t>
      </w:r>
    </w:p>
    <w:p w14:paraId="3ACB00A9">
      <w:pPr>
        <w:rPr>
          <w:rFonts w:hint="eastAsia" w:ascii="宋体" w:hAnsi="宋体" w:eastAsia="宋体" w:cs="宋体"/>
          <w:snapToGrid w:val="0"/>
          <w:sz w:val="24"/>
          <w:szCs w:val="24"/>
          <w:highlight w:val="none"/>
        </w:rPr>
      </w:pPr>
    </w:p>
    <w:p w14:paraId="0EFEC468">
      <w:pPr>
        <w:spacing w:line="360" w:lineRule="auto"/>
        <w:jc w:val="left"/>
        <w:rPr>
          <w:rFonts w:hint="eastAsia" w:ascii="宋体" w:hAnsi="宋体" w:eastAsia="宋体" w:cs="宋体"/>
          <w:bCs/>
          <w:sz w:val="24"/>
          <w:szCs w:val="24"/>
          <w:highlight w:val="none"/>
        </w:rPr>
      </w:pPr>
      <w:r>
        <w:rPr>
          <w:rFonts w:hint="eastAsia" w:ascii="宋体" w:hAnsi="宋体" w:eastAsia="宋体" w:cs="宋体"/>
          <w:sz w:val="24"/>
          <w:szCs w:val="24"/>
          <w:highlight w:val="none"/>
          <w:lang w:val="zh-CN"/>
        </w:rPr>
        <w:t xml:space="preserve">                 </w:t>
      </w:r>
      <w:r>
        <w:rPr>
          <w:rFonts w:hint="eastAsia" w:ascii="宋体" w:hAnsi="宋体" w:eastAsia="宋体" w:cs="宋体"/>
          <w:sz w:val="24"/>
          <w:szCs w:val="24"/>
          <w:highlight w:val="none"/>
          <w:lang w:val="en-US" w:eastAsia="zh-CN"/>
        </w:rPr>
        <w:t xml:space="preserve">            </w:t>
      </w:r>
      <w:r>
        <w:rPr>
          <w:rFonts w:hint="eastAsia" w:ascii="宋体" w:hAnsi="宋体"/>
          <w:color w:val="auto"/>
          <w:sz w:val="24"/>
          <w:lang w:eastAsia="zh-CN"/>
        </w:rPr>
        <w:t>供应商名称</w:t>
      </w:r>
      <w:r>
        <w:rPr>
          <w:rFonts w:hint="eastAsia" w:ascii="宋体" w:hAnsi="宋体" w:eastAsia="宋体" w:cs="宋体"/>
          <w:bCs/>
          <w:sz w:val="24"/>
          <w:szCs w:val="24"/>
          <w:highlight w:val="none"/>
          <w:lang w:val="zh-CN"/>
        </w:rPr>
        <w:t>：</w:t>
      </w:r>
      <w:r>
        <w:rPr>
          <w:rFonts w:hint="eastAsia" w:ascii="宋体" w:hAnsi="宋体" w:eastAsia="宋体" w:cs="宋体"/>
          <w:bCs/>
          <w:sz w:val="24"/>
          <w:szCs w:val="24"/>
          <w:highlight w:val="none"/>
          <w:u w:val="single"/>
          <w:lang w:val="zh-CN"/>
        </w:rPr>
        <w:t xml:space="preserve">                     </w:t>
      </w:r>
      <w:r>
        <w:rPr>
          <w:rFonts w:hint="eastAsia" w:ascii="宋体" w:hAnsi="宋体" w:eastAsia="宋体" w:cs="宋体"/>
          <w:bCs/>
          <w:sz w:val="24"/>
          <w:szCs w:val="24"/>
          <w:highlight w:val="none"/>
          <w:lang w:val="zh-CN"/>
        </w:rPr>
        <w:t>(盖单位公章)</w:t>
      </w:r>
    </w:p>
    <w:p w14:paraId="2F2FE2FF">
      <w:pPr>
        <w:spacing w:line="480" w:lineRule="auto"/>
        <w:ind w:right="-1"/>
        <w:jc w:val="right"/>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法定代表人或其委托代理人：</w:t>
      </w:r>
      <w:r>
        <w:rPr>
          <w:rFonts w:hint="eastAsia" w:ascii="宋体" w:hAnsi="宋体" w:eastAsia="宋体" w:cs="宋体"/>
          <w:sz w:val="24"/>
          <w:szCs w:val="24"/>
          <w:highlight w:val="none"/>
          <w:u w:val="single"/>
          <w:lang w:val="zh-CN"/>
        </w:rPr>
        <w:t xml:space="preserve">                 </w:t>
      </w:r>
      <w:r>
        <w:rPr>
          <w:rFonts w:hint="eastAsia" w:ascii="宋体" w:hAnsi="宋体" w:eastAsia="宋体" w:cs="宋体"/>
          <w:sz w:val="24"/>
          <w:szCs w:val="24"/>
          <w:highlight w:val="none"/>
          <w:lang w:val="zh-CN"/>
        </w:rPr>
        <w:t>(签字或盖章)</w:t>
      </w:r>
    </w:p>
    <w:p w14:paraId="21A9BE54">
      <w:pPr>
        <w:jc w:val="right"/>
        <w:rPr>
          <w:rFonts w:hint="eastAsia" w:ascii="宋体" w:hAnsi="宋体" w:eastAsia="宋体" w:cs="宋体"/>
          <w:sz w:val="24"/>
          <w:szCs w:val="24"/>
          <w:highlight w:val="none"/>
        </w:rPr>
      </w:pPr>
    </w:p>
    <w:p w14:paraId="2A194AFC">
      <w:pPr>
        <w:pStyle w:val="5"/>
      </w:pPr>
      <w:r>
        <w:rPr>
          <w:rFonts w:hint="eastAsia" w:ascii="宋体" w:hAnsi="宋体" w:eastAsia="宋体" w:cs="宋体"/>
          <w:bCs/>
          <w:sz w:val="24"/>
          <w:szCs w:val="24"/>
          <w:highlight w:val="none"/>
        </w:rPr>
        <w:t xml:space="preserve">                           日期</w:t>
      </w:r>
      <w:r>
        <w:rPr>
          <w:rFonts w:hint="eastAsia" w:ascii="宋体" w:hAnsi="宋体" w:eastAsia="宋体" w:cs="宋体"/>
          <w:b/>
          <w:sz w:val="24"/>
          <w:szCs w:val="24"/>
          <w:highlight w:val="none"/>
        </w:rPr>
        <w:t>：</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0C972303">
      <w:pPr>
        <w:rPr>
          <w:rFonts w:hint="eastAsia"/>
        </w:rPr>
      </w:pPr>
      <w:bookmarkStart w:id="73" w:name="_Toc435802476"/>
      <w:bookmarkStart w:id="74" w:name="_Toc24063"/>
      <w:bookmarkStart w:id="75" w:name="_Toc3586"/>
      <w:r>
        <w:rPr>
          <w:rFonts w:hint="eastAsia"/>
        </w:rPr>
        <w:br w:type="page"/>
      </w:r>
    </w:p>
    <w:p w14:paraId="3979D472">
      <w:pPr>
        <w:pStyle w:val="3"/>
        <w:bidi w:val="0"/>
        <w:jc w:val="center"/>
      </w:pPr>
      <w:bookmarkStart w:id="76" w:name="_Toc25293"/>
      <w:r>
        <w:rPr>
          <w:rFonts w:hint="eastAsia"/>
          <w:lang w:val="en-US" w:eastAsia="zh-CN"/>
        </w:rPr>
        <w:t>八</w:t>
      </w:r>
      <w:r>
        <w:rPr>
          <w:rFonts w:hint="eastAsia"/>
        </w:rPr>
        <w:t>、投标人资格声明</w:t>
      </w:r>
      <w:bookmarkEnd w:id="76"/>
    </w:p>
    <w:p w14:paraId="6233D1EC">
      <w:pPr>
        <w:wordWrap w:val="0"/>
        <w:autoSpaceDE w:val="0"/>
        <w:autoSpaceDN w:val="0"/>
        <w:adjustRightInd w:val="0"/>
        <w:spacing w:line="500" w:lineRule="exact"/>
        <w:rPr>
          <w:rFonts w:ascii="宋体" w:hAnsi="宋体"/>
          <w:color w:val="auto"/>
          <w:sz w:val="24"/>
        </w:rPr>
      </w:pPr>
      <w:r>
        <w:rPr>
          <w:rFonts w:hint="eastAsia" w:ascii="宋体" w:hAnsi="宋体"/>
          <w:color w:val="auto"/>
          <w:sz w:val="24"/>
          <w:lang w:val="zh-CN"/>
        </w:rPr>
        <w:t>致：</w:t>
      </w:r>
      <w:r>
        <w:rPr>
          <w:rFonts w:hint="eastAsia" w:ascii="宋体" w:hAnsi="宋体"/>
          <w:color w:val="auto"/>
          <w:sz w:val="24"/>
          <w:u w:val="single"/>
          <w:lang w:val="zh-CN"/>
        </w:rPr>
        <w:t xml:space="preserve">                  （采购人、采购代理机构）</w:t>
      </w:r>
    </w:p>
    <w:p w14:paraId="1D4982FB">
      <w:pPr>
        <w:wordWrap w:val="0"/>
        <w:autoSpaceDE w:val="0"/>
        <w:autoSpaceDN w:val="0"/>
        <w:adjustRightInd w:val="0"/>
        <w:spacing w:line="500" w:lineRule="exact"/>
        <w:ind w:firstLine="480" w:firstLineChars="200"/>
        <w:rPr>
          <w:rFonts w:ascii="宋体" w:hAnsi="宋体"/>
          <w:color w:val="auto"/>
          <w:sz w:val="24"/>
        </w:rPr>
      </w:pPr>
      <w:r>
        <w:rPr>
          <w:rFonts w:hint="eastAsia" w:ascii="宋体" w:hAnsi="宋体"/>
          <w:color w:val="auto"/>
          <w:sz w:val="24"/>
        </w:rPr>
        <w:t>一、</w:t>
      </w:r>
      <w:r>
        <w:rPr>
          <w:rFonts w:hint="eastAsia" w:ascii="宋体" w:hAnsi="宋体"/>
          <w:color w:val="auto"/>
          <w:sz w:val="24"/>
          <w:lang w:val="zh-CN"/>
        </w:rPr>
        <w:t>按照《中华人民共和国政府采购法》第</w:t>
      </w:r>
      <w:r>
        <w:rPr>
          <w:rFonts w:ascii="宋体" w:hAnsi="宋体"/>
          <w:color w:val="auto"/>
          <w:sz w:val="24"/>
        </w:rPr>
        <w:t>22</w:t>
      </w:r>
      <w:r>
        <w:rPr>
          <w:rFonts w:hint="eastAsia" w:ascii="宋体" w:hAnsi="宋体"/>
          <w:color w:val="auto"/>
          <w:sz w:val="24"/>
          <w:lang w:val="zh-CN"/>
        </w:rPr>
        <w:t>条和你公司发布的</w:t>
      </w:r>
      <w:r>
        <w:rPr>
          <w:rFonts w:hint="eastAsia" w:ascii="宋体" w:hAnsi="宋体"/>
          <w:color w:val="auto"/>
          <w:sz w:val="24"/>
          <w:u w:val="single"/>
          <w:lang w:val="zh-CN"/>
        </w:rPr>
        <w:t xml:space="preserve"> （项目名称、项目编号）</w:t>
      </w:r>
      <w:r>
        <w:rPr>
          <w:rFonts w:hint="eastAsia" w:ascii="宋体" w:hAnsi="宋体"/>
          <w:color w:val="auto"/>
          <w:sz w:val="24"/>
          <w:lang w:val="zh-CN"/>
        </w:rPr>
        <w:t>谈判文件的规定，我</w:t>
      </w:r>
      <w:r>
        <w:rPr>
          <w:rFonts w:hint="eastAsia" w:ascii="宋体" w:hAnsi="宋体"/>
          <w:color w:val="auto"/>
          <w:sz w:val="24"/>
          <w:lang w:val="en-US" w:eastAsia="zh-CN"/>
        </w:rPr>
        <w:t>方</w:t>
      </w:r>
      <w:r>
        <w:rPr>
          <w:rFonts w:hint="eastAsia" w:ascii="宋体" w:hAnsi="宋体"/>
          <w:color w:val="auto"/>
          <w:sz w:val="24"/>
          <w:lang w:val="zh-CN"/>
        </w:rPr>
        <w:t>郑重声明如下：</w:t>
      </w:r>
    </w:p>
    <w:p w14:paraId="75AF95B5">
      <w:pPr>
        <w:wordWrap w:val="0"/>
        <w:autoSpaceDE w:val="0"/>
        <w:autoSpaceDN w:val="0"/>
        <w:adjustRightInd w:val="0"/>
        <w:spacing w:line="500" w:lineRule="exact"/>
        <w:ind w:firstLine="480" w:firstLineChars="200"/>
        <w:jc w:val="left"/>
        <w:rPr>
          <w:rFonts w:ascii="宋体" w:hAnsi="宋体"/>
          <w:color w:val="auto"/>
          <w:sz w:val="24"/>
        </w:rPr>
      </w:pPr>
      <w:r>
        <w:rPr>
          <w:rFonts w:ascii="宋体" w:hAnsi="宋体"/>
          <w:color w:val="auto"/>
          <w:sz w:val="24"/>
        </w:rPr>
        <w:t>1</w:t>
      </w:r>
      <w:r>
        <w:rPr>
          <w:rFonts w:hint="eastAsia" w:ascii="宋体" w:hAnsi="宋体"/>
          <w:color w:val="auto"/>
          <w:sz w:val="24"/>
          <w:lang w:val="zh-CN"/>
        </w:rPr>
        <w:t>、我</w:t>
      </w:r>
      <w:r>
        <w:rPr>
          <w:rFonts w:hint="eastAsia" w:ascii="宋体" w:hAnsi="宋体"/>
          <w:color w:val="auto"/>
          <w:sz w:val="24"/>
          <w:lang w:val="en-US" w:eastAsia="zh-CN"/>
        </w:rPr>
        <w:t>方</w:t>
      </w:r>
      <w:r>
        <w:rPr>
          <w:rFonts w:hint="eastAsia" w:ascii="宋体" w:hAnsi="宋体"/>
          <w:color w:val="auto"/>
          <w:sz w:val="24"/>
          <w:lang w:val="zh-CN"/>
        </w:rPr>
        <w:t>具有独立承担民事责任的能力。</w:t>
      </w:r>
    </w:p>
    <w:p w14:paraId="7580C31D">
      <w:pPr>
        <w:wordWrap w:val="0"/>
        <w:autoSpaceDE w:val="0"/>
        <w:autoSpaceDN w:val="0"/>
        <w:adjustRightInd w:val="0"/>
        <w:spacing w:line="500" w:lineRule="exact"/>
        <w:ind w:firstLine="480" w:firstLineChars="200"/>
        <w:rPr>
          <w:rFonts w:ascii="宋体" w:hAnsi="宋体"/>
          <w:color w:val="auto"/>
          <w:sz w:val="24"/>
        </w:rPr>
      </w:pPr>
      <w:r>
        <w:rPr>
          <w:rFonts w:ascii="宋体" w:hAnsi="宋体"/>
          <w:color w:val="auto"/>
          <w:sz w:val="24"/>
        </w:rPr>
        <w:t>2</w:t>
      </w:r>
      <w:r>
        <w:rPr>
          <w:rFonts w:hint="eastAsia" w:ascii="宋体" w:hAnsi="宋体"/>
          <w:color w:val="auto"/>
          <w:sz w:val="24"/>
          <w:lang w:val="zh-CN"/>
        </w:rPr>
        <w:t>、我</w:t>
      </w:r>
      <w:r>
        <w:rPr>
          <w:rFonts w:hint="eastAsia" w:ascii="宋体" w:hAnsi="宋体"/>
          <w:color w:val="auto"/>
          <w:sz w:val="24"/>
          <w:lang w:val="en-US" w:eastAsia="zh-CN"/>
        </w:rPr>
        <w:t>方</w:t>
      </w:r>
      <w:r>
        <w:rPr>
          <w:rFonts w:hint="eastAsia" w:ascii="宋体" w:hAnsi="宋体"/>
          <w:color w:val="auto"/>
          <w:sz w:val="24"/>
          <w:lang w:val="zh-CN"/>
        </w:rPr>
        <w:t>具有良好的商业信誉和健全的财务会计制度。</w:t>
      </w:r>
    </w:p>
    <w:p w14:paraId="201EF4E9">
      <w:pPr>
        <w:wordWrap w:val="0"/>
        <w:autoSpaceDE w:val="0"/>
        <w:autoSpaceDN w:val="0"/>
        <w:adjustRightInd w:val="0"/>
        <w:spacing w:line="500" w:lineRule="exact"/>
        <w:ind w:firstLine="480" w:firstLineChars="200"/>
        <w:rPr>
          <w:rFonts w:ascii="宋体" w:hAnsi="宋体"/>
          <w:color w:val="auto"/>
          <w:sz w:val="24"/>
        </w:rPr>
      </w:pPr>
      <w:r>
        <w:rPr>
          <w:rFonts w:ascii="宋体" w:hAnsi="宋体"/>
          <w:color w:val="auto"/>
          <w:sz w:val="24"/>
        </w:rPr>
        <w:t>3</w:t>
      </w:r>
      <w:r>
        <w:rPr>
          <w:rFonts w:hint="eastAsia" w:ascii="宋体" w:hAnsi="宋体"/>
          <w:color w:val="auto"/>
          <w:sz w:val="24"/>
          <w:lang w:val="zh-CN"/>
        </w:rPr>
        <w:t>、我</w:t>
      </w:r>
      <w:r>
        <w:rPr>
          <w:rFonts w:hint="eastAsia" w:ascii="宋体" w:hAnsi="宋体"/>
          <w:color w:val="auto"/>
          <w:sz w:val="24"/>
          <w:lang w:val="en-US" w:eastAsia="zh-CN"/>
        </w:rPr>
        <w:t>方</w:t>
      </w:r>
      <w:r>
        <w:rPr>
          <w:rFonts w:hint="eastAsia" w:ascii="宋体" w:hAnsi="宋体"/>
          <w:color w:val="auto"/>
          <w:sz w:val="24"/>
          <w:lang w:val="zh-CN"/>
        </w:rPr>
        <w:t>具有履行本项目采购合同所必需的设备和专业技术能力。</w:t>
      </w:r>
    </w:p>
    <w:p w14:paraId="7E416770">
      <w:pPr>
        <w:wordWrap w:val="0"/>
        <w:autoSpaceDE w:val="0"/>
        <w:autoSpaceDN w:val="0"/>
        <w:adjustRightInd w:val="0"/>
        <w:spacing w:line="500" w:lineRule="exact"/>
        <w:ind w:firstLine="480" w:firstLineChars="200"/>
        <w:rPr>
          <w:rFonts w:ascii="宋体" w:hAnsi="宋体"/>
          <w:color w:val="auto"/>
          <w:sz w:val="24"/>
        </w:rPr>
      </w:pPr>
      <w:r>
        <w:rPr>
          <w:rFonts w:ascii="宋体" w:hAnsi="宋体"/>
          <w:color w:val="auto"/>
          <w:sz w:val="24"/>
        </w:rPr>
        <w:t>4</w:t>
      </w:r>
      <w:r>
        <w:rPr>
          <w:rFonts w:hint="eastAsia" w:ascii="宋体" w:hAnsi="宋体"/>
          <w:color w:val="auto"/>
          <w:sz w:val="24"/>
          <w:lang w:val="zh-CN"/>
        </w:rPr>
        <w:t>、我</w:t>
      </w:r>
      <w:r>
        <w:rPr>
          <w:rFonts w:hint="eastAsia" w:ascii="宋体" w:hAnsi="宋体"/>
          <w:color w:val="auto"/>
          <w:sz w:val="24"/>
          <w:lang w:val="en-US" w:eastAsia="zh-CN"/>
        </w:rPr>
        <w:t>方</w:t>
      </w:r>
      <w:r>
        <w:rPr>
          <w:rFonts w:hint="eastAsia" w:ascii="宋体" w:hAnsi="宋体"/>
          <w:color w:val="auto"/>
          <w:sz w:val="24"/>
          <w:lang w:val="zh-CN"/>
        </w:rPr>
        <w:t>具有依法缴纳税收和社会保障资金的良好记录。</w:t>
      </w:r>
    </w:p>
    <w:p w14:paraId="5560591B">
      <w:pPr>
        <w:wordWrap w:val="0"/>
        <w:autoSpaceDE w:val="0"/>
        <w:autoSpaceDN w:val="0"/>
        <w:adjustRightInd w:val="0"/>
        <w:spacing w:line="500" w:lineRule="exact"/>
        <w:ind w:firstLine="480" w:firstLineChars="200"/>
        <w:rPr>
          <w:rFonts w:ascii="宋体" w:hAnsi="宋体"/>
          <w:color w:val="auto"/>
          <w:sz w:val="24"/>
        </w:rPr>
      </w:pPr>
      <w:r>
        <w:rPr>
          <w:rFonts w:ascii="宋体" w:hAnsi="宋体"/>
          <w:color w:val="auto"/>
          <w:sz w:val="24"/>
        </w:rPr>
        <w:t>5</w:t>
      </w:r>
      <w:r>
        <w:rPr>
          <w:rFonts w:hint="eastAsia" w:ascii="宋体" w:hAnsi="宋体"/>
          <w:color w:val="auto"/>
          <w:sz w:val="24"/>
          <w:lang w:val="zh-CN"/>
        </w:rPr>
        <w:t>、我</w:t>
      </w:r>
      <w:r>
        <w:rPr>
          <w:rFonts w:hint="eastAsia" w:ascii="宋体" w:hAnsi="宋体"/>
          <w:color w:val="auto"/>
          <w:sz w:val="24"/>
          <w:lang w:val="en-US" w:eastAsia="zh-CN"/>
        </w:rPr>
        <w:t>方</w:t>
      </w:r>
      <w:r>
        <w:rPr>
          <w:rFonts w:hint="eastAsia" w:ascii="宋体" w:hAnsi="宋体"/>
          <w:color w:val="auto"/>
          <w:sz w:val="24"/>
          <w:lang w:val="zh-CN"/>
        </w:rPr>
        <w:t>在参与本次政府采购活动之前三年内，在经营活动中无重大违法记录。</w:t>
      </w:r>
    </w:p>
    <w:p w14:paraId="399CD4F6">
      <w:pPr>
        <w:wordWrap w:val="0"/>
        <w:autoSpaceDE w:val="0"/>
        <w:autoSpaceDN w:val="0"/>
        <w:adjustRightInd w:val="0"/>
        <w:spacing w:line="500" w:lineRule="exact"/>
        <w:ind w:firstLine="480" w:firstLineChars="200"/>
        <w:rPr>
          <w:rFonts w:ascii="宋体" w:hAnsi="宋体"/>
          <w:color w:val="auto"/>
          <w:sz w:val="24"/>
        </w:rPr>
      </w:pPr>
      <w:r>
        <w:rPr>
          <w:rFonts w:ascii="宋体" w:hAnsi="宋体"/>
          <w:color w:val="auto"/>
          <w:sz w:val="24"/>
        </w:rPr>
        <w:t>6</w:t>
      </w:r>
      <w:r>
        <w:rPr>
          <w:rFonts w:hint="eastAsia" w:ascii="宋体" w:hAnsi="宋体"/>
          <w:color w:val="auto"/>
          <w:sz w:val="24"/>
          <w:lang w:val="zh-CN"/>
        </w:rPr>
        <w:t>、我</w:t>
      </w:r>
      <w:r>
        <w:rPr>
          <w:rFonts w:hint="eastAsia" w:ascii="宋体" w:hAnsi="宋体"/>
          <w:color w:val="auto"/>
          <w:sz w:val="24"/>
          <w:lang w:val="en-US" w:eastAsia="zh-CN"/>
        </w:rPr>
        <w:t>方</w:t>
      </w:r>
      <w:r>
        <w:rPr>
          <w:rFonts w:hint="eastAsia" w:ascii="宋体" w:hAnsi="宋体"/>
          <w:color w:val="auto"/>
          <w:sz w:val="24"/>
          <w:lang w:val="zh-CN"/>
        </w:rPr>
        <w:t>在参与本次政府采购活动时未受到任何地方政府采购部门作出的暂停参加政府采购活动的处罚。</w:t>
      </w:r>
    </w:p>
    <w:p w14:paraId="6FDE8659">
      <w:pPr>
        <w:wordWrap w:val="0"/>
        <w:autoSpaceDE w:val="0"/>
        <w:autoSpaceDN w:val="0"/>
        <w:adjustRightInd w:val="0"/>
        <w:spacing w:line="500" w:lineRule="exact"/>
        <w:ind w:firstLine="480" w:firstLineChars="200"/>
        <w:rPr>
          <w:rFonts w:ascii="宋体" w:hAnsi="宋体"/>
          <w:color w:val="auto"/>
          <w:sz w:val="24"/>
        </w:rPr>
      </w:pPr>
      <w:r>
        <w:rPr>
          <w:rFonts w:hint="eastAsia" w:ascii="宋体" w:hAnsi="宋体"/>
          <w:color w:val="auto"/>
          <w:sz w:val="24"/>
          <w:lang w:val="zh-CN"/>
        </w:rPr>
        <w:t>二、我</w:t>
      </w:r>
      <w:r>
        <w:rPr>
          <w:rFonts w:hint="eastAsia" w:ascii="宋体" w:hAnsi="宋体"/>
          <w:color w:val="auto"/>
          <w:sz w:val="24"/>
          <w:lang w:val="en-US" w:eastAsia="zh-CN"/>
        </w:rPr>
        <w:t>方</w:t>
      </w:r>
      <w:r>
        <w:rPr>
          <w:rFonts w:hint="eastAsia" w:ascii="宋体" w:hAnsi="宋体"/>
          <w:color w:val="auto"/>
          <w:sz w:val="24"/>
          <w:lang w:val="zh-CN"/>
        </w:rPr>
        <w:t>保证上述声明的事项都是真实的，如有虚假，我</w:t>
      </w:r>
      <w:r>
        <w:rPr>
          <w:rFonts w:hint="eastAsia" w:ascii="宋体" w:hAnsi="宋体"/>
          <w:color w:val="auto"/>
          <w:sz w:val="24"/>
          <w:lang w:val="en-US" w:eastAsia="zh-CN"/>
        </w:rPr>
        <w:t>单位</w:t>
      </w:r>
      <w:r>
        <w:rPr>
          <w:rFonts w:hint="eastAsia" w:ascii="宋体" w:hAnsi="宋体"/>
          <w:color w:val="auto"/>
          <w:sz w:val="24"/>
          <w:lang w:val="zh-CN"/>
        </w:rPr>
        <w:t>承担相应的法律责任，并承担因此给本项目采购人所造成的损失。</w:t>
      </w:r>
    </w:p>
    <w:p w14:paraId="1E8FE473">
      <w:pPr>
        <w:wordWrap w:val="0"/>
        <w:autoSpaceDE w:val="0"/>
        <w:autoSpaceDN w:val="0"/>
        <w:adjustRightInd w:val="0"/>
        <w:spacing w:line="500" w:lineRule="exact"/>
        <w:ind w:firstLine="480" w:firstLineChars="200"/>
        <w:rPr>
          <w:rFonts w:ascii="宋体" w:hAnsi="宋体"/>
          <w:color w:val="auto"/>
          <w:sz w:val="24"/>
        </w:rPr>
      </w:pPr>
      <w:r>
        <w:rPr>
          <w:rFonts w:hint="eastAsia" w:ascii="宋体" w:hAnsi="宋体"/>
          <w:color w:val="auto"/>
          <w:sz w:val="24"/>
        </w:rPr>
        <w:t>三、</w:t>
      </w:r>
      <w:r>
        <w:rPr>
          <w:rFonts w:hint="eastAsia" w:ascii="宋体" w:hAnsi="宋体"/>
          <w:color w:val="auto"/>
          <w:sz w:val="24"/>
          <w:lang w:val="zh-CN"/>
        </w:rPr>
        <w:t>我</w:t>
      </w:r>
      <w:r>
        <w:rPr>
          <w:rFonts w:hint="eastAsia" w:ascii="宋体" w:hAnsi="宋体"/>
          <w:color w:val="auto"/>
          <w:sz w:val="24"/>
          <w:lang w:val="en-US" w:eastAsia="zh-CN"/>
        </w:rPr>
        <w:t>方</w:t>
      </w:r>
      <w:r>
        <w:rPr>
          <w:rFonts w:hint="eastAsia" w:ascii="宋体" w:hAnsi="宋体"/>
          <w:color w:val="auto"/>
          <w:sz w:val="24"/>
          <w:lang w:val="zh-CN"/>
        </w:rPr>
        <w:t>已经按照你公司谈判文件的要求提交了所要求提交的能够证明上述声明事项真实性的全部文件材料，并保证随时按照你公司的要求提供能够证明上述声明事项真实性的任何有效文件。</w:t>
      </w:r>
    </w:p>
    <w:p w14:paraId="50E51E05">
      <w:pPr>
        <w:wordWrap w:val="0"/>
        <w:spacing w:line="480" w:lineRule="auto"/>
        <w:ind w:firstLine="480" w:firstLineChars="200"/>
        <w:rPr>
          <w:rFonts w:hint="eastAsia" w:ascii="宋体" w:hAnsi="宋体"/>
          <w:color w:val="auto"/>
          <w:sz w:val="24"/>
          <w:lang w:eastAsia="zh-CN"/>
        </w:rPr>
      </w:pPr>
    </w:p>
    <w:p w14:paraId="32B3A760">
      <w:pPr>
        <w:wordWrap w:val="0"/>
        <w:spacing w:line="480" w:lineRule="auto"/>
        <w:ind w:firstLine="480" w:firstLineChars="200"/>
        <w:rPr>
          <w:rFonts w:hint="eastAsia" w:ascii="宋体" w:hAnsi="宋体"/>
          <w:color w:val="auto"/>
          <w:sz w:val="24"/>
          <w:lang w:eastAsia="zh-CN"/>
        </w:rPr>
      </w:pPr>
    </w:p>
    <w:p w14:paraId="0973399E">
      <w:pPr>
        <w:wordWrap w:val="0"/>
        <w:spacing w:line="480" w:lineRule="auto"/>
        <w:ind w:firstLine="480" w:firstLineChars="200"/>
        <w:rPr>
          <w:rFonts w:ascii="宋体" w:hAnsi="宋体"/>
          <w:color w:val="auto"/>
          <w:sz w:val="24"/>
        </w:rPr>
      </w:pPr>
      <w:r>
        <w:rPr>
          <w:rFonts w:hint="eastAsia" w:ascii="宋体" w:hAnsi="宋体"/>
          <w:color w:val="auto"/>
          <w:sz w:val="24"/>
          <w:lang w:eastAsia="zh-CN"/>
        </w:rPr>
        <w:t>供应商名称</w:t>
      </w:r>
      <w:r>
        <w:rPr>
          <w:rFonts w:hint="eastAsia" w:ascii="宋体" w:hAnsi="宋体"/>
          <w:color w:val="auto"/>
          <w:sz w:val="24"/>
        </w:rPr>
        <w:t>：</w:t>
      </w:r>
      <w:r>
        <w:rPr>
          <w:rFonts w:hint="eastAsia" w:ascii="宋体" w:hAnsi="宋体"/>
          <w:color w:val="auto"/>
          <w:sz w:val="24"/>
          <w:u w:val="single"/>
        </w:rPr>
        <w:t xml:space="preserve">                                 </w:t>
      </w:r>
      <w:r>
        <w:rPr>
          <w:rFonts w:hint="eastAsia" w:ascii="宋体" w:hAnsi="宋体"/>
          <w:color w:val="auto"/>
          <w:sz w:val="24"/>
        </w:rPr>
        <w:t>（盖单位公章）</w:t>
      </w:r>
    </w:p>
    <w:p w14:paraId="02C601A2">
      <w:pPr>
        <w:wordWrap w:val="0"/>
        <w:spacing w:line="480" w:lineRule="auto"/>
        <w:ind w:firstLine="480" w:firstLineChars="200"/>
        <w:rPr>
          <w:rFonts w:ascii="宋体" w:hAnsi="宋体"/>
          <w:color w:val="auto"/>
          <w:sz w:val="24"/>
        </w:rPr>
      </w:pPr>
      <w:r>
        <w:rPr>
          <w:rFonts w:hint="eastAsia" w:ascii="宋体" w:hAnsi="宋体"/>
          <w:bCs/>
          <w:color w:val="auto"/>
          <w:sz w:val="24"/>
        </w:rPr>
        <w:t>法定代表人或</w:t>
      </w:r>
      <w:r>
        <w:rPr>
          <w:rFonts w:hint="eastAsia" w:ascii="宋体" w:hAnsi="宋体"/>
          <w:color w:val="auto"/>
          <w:sz w:val="24"/>
        </w:rPr>
        <w:t>投标人代表：</w:t>
      </w:r>
      <w:r>
        <w:rPr>
          <w:rFonts w:hint="eastAsia" w:ascii="宋体" w:hAnsi="宋体"/>
          <w:color w:val="auto"/>
          <w:sz w:val="24"/>
          <w:u w:val="single"/>
        </w:rPr>
        <w:t xml:space="preserve">                     </w:t>
      </w:r>
      <w:r>
        <w:rPr>
          <w:rFonts w:hint="eastAsia" w:ascii="宋体" w:hAnsi="宋体"/>
          <w:color w:val="auto"/>
          <w:sz w:val="24"/>
        </w:rPr>
        <w:t>（签字或签章）</w:t>
      </w:r>
    </w:p>
    <w:p w14:paraId="267B8780">
      <w:pPr>
        <w:tabs>
          <w:tab w:val="left" w:pos="0"/>
        </w:tabs>
        <w:wordWrap w:val="0"/>
        <w:spacing w:line="360" w:lineRule="auto"/>
        <w:ind w:firstLine="480" w:firstLineChars="200"/>
        <w:jc w:val="left"/>
        <w:rPr>
          <w:rFonts w:ascii="宋体" w:hAnsi="宋体"/>
          <w:color w:val="auto"/>
          <w:sz w:val="24"/>
          <w:lang w:val="zh-CN"/>
        </w:rPr>
      </w:pPr>
      <w:r>
        <w:rPr>
          <w:rFonts w:hint="eastAsia" w:ascii="宋体" w:hAnsi="宋体"/>
          <w:color w:val="auto"/>
          <w:sz w:val="24"/>
        </w:rPr>
        <w:t>日      期：</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w:t>
      </w:r>
    </w:p>
    <w:p w14:paraId="40601412">
      <w:pPr>
        <w:rPr>
          <w:rFonts w:hint="eastAsia"/>
        </w:rPr>
      </w:pPr>
    </w:p>
    <w:p w14:paraId="7D548A15">
      <w:pPr>
        <w:rPr>
          <w:rFonts w:hint="eastAsia"/>
        </w:rPr>
      </w:pPr>
      <w:r>
        <w:rPr>
          <w:rFonts w:hint="eastAsia"/>
        </w:rPr>
        <w:br w:type="page"/>
      </w:r>
    </w:p>
    <w:p w14:paraId="6345FAC2">
      <w:pPr>
        <w:tabs>
          <w:tab w:val="left" w:pos="0"/>
        </w:tabs>
        <w:wordWrap w:val="0"/>
        <w:spacing w:line="360" w:lineRule="auto"/>
        <w:jc w:val="center"/>
        <w:rPr>
          <w:rFonts w:ascii="宋体" w:hAnsi="宋体"/>
          <w:b/>
          <w:color w:val="auto"/>
          <w:sz w:val="32"/>
          <w:szCs w:val="32"/>
        </w:rPr>
      </w:pPr>
      <w:r>
        <w:rPr>
          <w:rFonts w:hint="eastAsia" w:ascii="宋体" w:hAnsi="宋体"/>
          <w:b/>
          <w:color w:val="auto"/>
          <w:sz w:val="32"/>
          <w:szCs w:val="32"/>
          <w:lang w:eastAsia="zh-CN"/>
        </w:rPr>
        <w:t>九、</w:t>
      </w:r>
      <w:r>
        <w:rPr>
          <w:rFonts w:hint="eastAsia" w:ascii="宋体" w:hAnsi="宋体"/>
          <w:b/>
          <w:color w:val="auto"/>
          <w:sz w:val="32"/>
          <w:szCs w:val="32"/>
        </w:rPr>
        <w:t>投标人基本情况</w:t>
      </w:r>
    </w:p>
    <w:tbl>
      <w:tblPr>
        <w:tblStyle w:val="15"/>
        <w:tblW w:w="0" w:type="auto"/>
        <w:jc w:val="center"/>
        <w:tblLayout w:type="fixed"/>
        <w:tblCellMar>
          <w:top w:w="0" w:type="dxa"/>
          <w:left w:w="108" w:type="dxa"/>
          <w:bottom w:w="0" w:type="dxa"/>
          <w:right w:w="108" w:type="dxa"/>
        </w:tblCellMar>
      </w:tblPr>
      <w:tblGrid>
        <w:gridCol w:w="4056"/>
        <w:gridCol w:w="5754"/>
      </w:tblGrid>
      <w:tr w14:paraId="467D4D26">
        <w:trPr>
          <w:trHeight w:val="791" w:hRule="atLeast"/>
          <w:jc w:val="center"/>
        </w:trPr>
        <w:tc>
          <w:tcPr>
            <w:tcW w:w="9810" w:type="dxa"/>
            <w:gridSpan w:val="2"/>
            <w:tcBorders>
              <w:top w:val="nil"/>
              <w:left w:val="nil"/>
              <w:bottom w:val="nil"/>
              <w:right w:val="nil"/>
            </w:tcBorders>
            <w:noWrap w:val="0"/>
            <w:vAlign w:val="bottom"/>
          </w:tcPr>
          <w:p w14:paraId="677B9F65">
            <w:pPr>
              <w:widowControl/>
              <w:wordWrap w:val="0"/>
              <w:spacing w:after="240" w:afterLines="100" w:line="360" w:lineRule="auto"/>
              <w:jc w:val="left"/>
              <w:rPr>
                <w:rFonts w:ascii="宋体" w:hAnsi="宋体" w:cs="宋体"/>
                <w:b/>
                <w:bCs/>
                <w:color w:val="auto"/>
                <w:kern w:val="0"/>
                <w:sz w:val="24"/>
              </w:rPr>
            </w:pPr>
            <w:r>
              <w:rPr>
                <w:rFonts w:hint="eastAsia" w:ascii="宋体" w:hAnsi="宋体" w:cs="宋体"/>
                <w:b/>
                <w:bCs/>
                <w:color w:val="auto"/>
                <w:kern w:val="0"/>
                <w:sz w:val="24"/>
              </w:rPr>
              <w:t>单位名称：</w:t>
            </w:r>
            <w:r>
              <w:rPr>
                <w:rFonts w:hint="eastAsia" w:ascii="宋体" w:hAnsi="宋体"/>
                <w:b/>
                <w:color w:val="auto"/>
                <w:sz w:val="24"/>
                <w:u w:val="single"/>
              </w:rPr>
              <w:t xml:space="preserve">                                 </w:t>
            </w:r>
            <w:r>
              <w:rPr>
                <w:rFonts w:hint="eastAsia" w:ascii="宋体" w:hAnsi="宋体"/>
                <w:b/>
                <w:color w:val="auto"/>
                <w:sz w:val="24"/>
              </w:rPr>
              <w:t>（盖单位公章）</w:t>
            </w:r>
          </w:p>
        </w:tc>
      </w:tr>
      <w:tr w14:paraId="1F66CCDE">
        <w:tblPrEx>
          <w:tblCellMar>
            <w:top w:w="0" w:type="dxa"/>
            <w:left w:w="108" w:type="dxa"/>
            <w:bottom w:w="0" w:type="dxa"/>
            <w:right w:w="108" w:type="dxa"/>
          </w:tblCellMar>
        </w:tblPrEx>
        <w:trPr>
          <w:trHeight w:val="619" w:hRule="atLeast"/>
          <w:jc w:val="center"/>
        </w:trPr>
        <w:tc>
          <w:tcPr>
            <w:tcW w:w="4056" w:type="dxa"/>
            <w:tcBorders>
              <w:top w:val="single" w:color="auto" w:sz="12" w:space="0"/>
              <w:left w:val="single" w:color="auto" w:sz="12" w:space="0"/>
              <w:bottom w:val="single" w:color="auto" w:sz="4" w:space="0"/>
              <w:right w:val="single" w:color="auto" w:sz="4" w:space="0"/>
            </w:tcBorders>
            <w:noWrap w:val="0"/>
            <w:vAlign w:val="center"/>
          </w:tcPr>
          <w:p w14:paraId="050CFD17">
            <w:pPr>
              <w:widowControl/>
              <w:spacing w:line="360" w:lineRule="auto"/>
              <w:jc w:val="center"/>
              <w:rPr>
                <w:rFonts w:ascii="宋体" w:hAnsi="宋体" w:cs="宋体"/>
                <w:b/>
                <w:bCs/>
                <w:color w:val="auto"/>
                <w:kern w:val="0"/>
                <w:sz w:val="24"/>
              </w:rPr>
            </w:pPr>
            <w:r>
              <w:rPr>
                <w:rFonts w:hint="eastAsia" w:ascii="宋体" w:hAnsi="宋体" w:cs="宋体"/>
                <w:b/>
                <w:bCs/>
                <w:color w:val="auto"/>
                <w:kern w:val="0"/>
                <w:sz w:val="24"/>
              </w:rPr>
              <w:t>注册资金</w:t>
            </w:r>
          </w:p>
        </w:tc>
        <w:tc>
          <w:tcPr>
            <w:tcW w:w="5754" w:type="dxa"/>
            <w:tcBorders>
              <w:top w:val="single" w:color="auto" w:sz="12" w:space="0"/>
              <w:left w:val="nil"/>
              <w:bottom w:val="single" w:color="auto" w:sz="4" w:space="0"/>
              <w:right w:val="single" w:color="auto" w:sz="12" w:space="0"/>
            </w:tcBorders>
            <w:noWrap w:val="0"/>
            <w:vAlign w:val="center"/>
          </w:tcPr>
          <w:p w14:paraId="737F8FCD">
            <w:pPr>
              <w:widowControl/>
              <w:wordWrap w:val="0"/>
              <w:spacing w:line="360" w:lineRule="auto"/>
              <w:jc w:val="right"/>
              <w:rPr>
                <w:rFonts w:ascii="宋体" w:hAnsi="宋体" w:cs="宋体"/>
                <w:b/>
                <w:color w:val="auto"/>
                <w:kern w:val="0"/>
                <w:sz w:val="24"/>
              </w:rPr>
            </w:pPr>
            <w:r>
              <w:rPr>
                <w:rFonts w:hint="eastAsia" w:ascii="宋体" w:hAnsi="宋体" w:cs="宋体"/>
                <w:b/>
                <w:color w:val="auto"/>
                <w:kern w:val="0"/>
                <w:sz w:val="24"/>
              </w:rPr>
              <w:t>（万元）</w:t>
            </w:r>
          </w:p>
        </w:tc>
      </w:tr>
      <w:tr w14:paraId="7DD715F1">
        <w:tblPrEx>
          <w:tblCellMar>
            <w:top w:w="0" w:type="dxa"/>
            <w:left w:w="108" w:type="dxa"/>
            <w:bottom w:w="0" w:type="dxa"/>
            <w:right w:w="108" w:type="dxa"/>
          </w:tblCellMar>
        </w:tblPrEx>
        <w:trPr>
          <w:trHeight w:val="663" w:hRule="atLeast"/>
          <w:jc w:val="center"/>
        </w:trPr>
        <w:tc>
          <w:tcPr>
            <w:tcW w:w="4056" w:type="dxa"/>
            <w:tcBorders>
              <w:top w:val="single" w:color="auto" w:sz="12" w:space="0"/>
              <w:left w:val="single" w:color="auto" w:sz="12" w:space="0"/>
              <w:bottom w:val="single" w:color="auto" w:sz="4" w:space="0"/>
              <w:right w:val="single" w:color="auto" w:sz="4" w:space="0"/>
            </w:tcBorders>
            <w:noWrap w:val="0"/>
            <w:vAlign w:val="center"/>
          </w:tcPr>
          <w:p w14:paraId="4F8D2D99">
            <w:pPr>
              <w:widowControl/>
              <w:wordWrap w:val="0"/>
              <w:spacing w:line="360" w:lineRule="auto"/>
              <w:ind w:firstLine="482" w:firstLineChars="200"/>
              <w:jc w:val="center"/>
              <w:rPr>
                <w:rFonts w:ascii="宋体" w:hAnsi="宋体" w:cs="宋体"/>
                <w:b/>
                <w:bCs/>
                <w:color w:val="auto"/>
                <w:kern w:val="0"/>
                <w:sz w:val="24"/>
              </w:rPr>
            </w:pPr>
            <w:r>
              <w:rPr>
                <w:rFonts w:hint="eastAsia" w:ascii="宋体" w:hAnsi="宋体" w:cs="宋体"/>
                <w:b/>
                <w:bCs/>
                <w:color w:val="auto"/>
                <w:kern w:val="0"/>
                <w:sz w:val="24"/>
              </w:rPr>
              <w:t>行业类别</w:t>
            </w:r>
          </w:p>
          <w:p w14:paraId="4DA8CD4B">
            <w:pPr>
              <w:widowControl/>
              <w:wordWrap w:val="0"/>
              <w:spacing w:line="360" w:lineRule="auto"/>
              <w:ind w:firstLine="482" w:firstLineChars="200"/>
              <w:jc w:val="center"/>
              <w:rPr>
                <w:rFonts w:ascii="宋体" w:hAnsi="宋体" w:cs="宋体"/>
                <w:b/>
                <w:bCs/>
                <w:color w:val="auto"/>
                <w:kern w:val="0"/>
                <w:sz w:val="24"/>
              </w:rPr>
            </w:pPr>
            <w:r>
              <w:rPr>
                <w:rFonts w:hint="eastAsia" w:ascii="宋体" w:hAnsi="宋体" w:cs="宋体"/>
                <w:b/>
                <w:bCs/>
                <w:color w:val="auto"/>
                <w:kern w:val="0"/>
                <w:sz w:val="24"/>
              </w:rPr>
              <w:t>（对应“□”画“√”）</w:t>
            </w:r>
          </w:p>
        </w:tc>
        <w:tc>
          <w:tcPr>
            <w:tcW w:w="5754" w:type="dxa"/>
            <w:tcBorders>
              <w:top w:val="single" w:color="auto" w:sz="12" w:space="0"/>
              <w:left w:val="nil"/>
              <w:bottom w:val="single" w:color="auto" w:sz="4" w:space="0"/>
              <w:right w:val="single" w:color="auto" w:sz="12" w:space="0"/>
            </w:tcBorders>
            <w:noWrap w:val="0"/>
            <w:vAlign w:val="bottom"/>
          </w:tcPr>
          <w:p w14:paraId="6FEEC25C">
            <w:pPr>
              <w:widowControl/>
              <w:ind w:firstLine="480" w:firstLineChars="200"/>
              <w:jc w:val="left"/>
              <w:rPr>
                <w:rFonts w:ascii="宋体" w:hAnsi="宋体" w:cs="宋体"/>
                <w:color w:val="auto"/>
                <w:kern w:val="0"/>
                <w:sz w:val="24"/>
              </w:rPr>
            </w:pPr>
            <w:r>
              <w:rPr>
                <w:rFonts w:hint="eastAsia" w:ascii="宋体" w:hAnsi="宋体" w:cs="宋体"/>
                <w:color w:val="auto"/>
                <w:kern w:val="0"/>
                <w:sz w:val="24"/>
              </w:rPr>
              <w:t xml:space="preserve">□（一）农、林、牧、渔业 </w:t>
            </w:r>
          </w:p>
          <w:p w14:paraId="6ED9ACD0">
            <w:pPr>
              <w:widowControl/>
              <w:ind w:firstLine="480" w:firstLineChars="200"/>
              <w:jc w:val="left"/>
              <w:rPr>
                <w:rFonts w:ascii="宋体" w:hAnsi="宋体" w:cs="宋体"/>
                <w:color w:val="auto"/>
                <w:kern w:val="0"/>
                <w:sz w:val="24"/>
              </w:rPr>
            </w:pPr>
            <w:r>
              <w:rPr>
                <w:rFonts w:hint="eastAsia" w:ascii="宋体" w:hAnsi="宋体" w:cs="宋体"/>
                <w:color w:val="auto"/>
                <w:kern w:val="0"/>
                <w:sz w:val="24"/>
              </w:rPr>
              <w:t xml:space="preserve">□（二）工业 </w:t>
            </w:r>
          </w:p>
          <w:p w14:paraId="16C48763">
            <w:pPr>
              <w:widowControl/>
              <w:ind w:firstLine="480" w:firstLineChars="200"/>
              <w:jc w:val="left"/>
              <w:rPr>
                <w:rFonts w:ascii="宋体" w:hAnsi="宋体" w:cs="宋体"/>
                <w:color w:val="auto"/>
                <w:kern w:val="0"/>
                <w:sz w:val="24"/>
              </w:rPr>
            </w:pPr>
            <w:r>
              <w:rPr>
                <w:rFonts w:hint="eastAsia" w:ascii="宋体" w:hAnsi="宋体" w:cs="宋体"/>
                <w:color w:val="auto"/>
                <w:kern w:val="0"/>
                <w:sz w:val="24"/>
              </w:rPr>
              <w:t xml:space="preserve">□（三）建筑业 </w:t>
            </w:r>
          </w:p>
          <w:p w14:paraId="476F0127">
            <w:pPr>
              <w:widowControl/>
              <w:ind w:firstLine="480" w:firstLineChars="200"/>
              <w:jc w:val="left"/>
              <w:rPr>
                <w:rFonts w:ascii="宋体" w:hAnsi="宋体" w:cs="宋体"/>
                <w:color w:val="auto"/>
                <w:kern w:val="0"/>
                <w:sz w:val="24"/>
              </w:rPr>
            </w:pPr>
            <w:r>
              <w:rPr>
                <w:rFonts w:hint="eastAsia" w:ascii="宋体" w:hAnsi="宋体" w:cs="宋体"/>
                <w:color w:val="auto"/>
                <w:kern w:val="0"/>
                <w:sz w:val="24"/>
              </w:rPr>
              <w:t xml:space="preserve">□（四）批发业 </w:t>
            </w:r>
          </w:p>
          <w:p w14:paraId="2A666F9F">
            <w:pPr>
              <w:widowControl/>
              <w:ind w:firstLine="480" w:firstLineChars="200"/>
              <w:jc w:val="left"/>
              <w:rPr>
                <w:rFonts w:ascii="宋体" w:hAnsi="宋体" w:cs="宋体"/>
                <w:color w:val="auto"/>
                <w:kern w:val="0"/>
                <w:sz w:val="24"/>
              </w:rPr>
            </w:pPr>
            <w:r>
              <w:rPr>
                <w:rFonts w:hint="eastAsia" w:ascii="宋体" w:hAnsi="宋体" w:cs="宋体"/>
                <w:color w:val="auto"/>
                <w:kern w:val="0"/>
                <w:sz w:val="24"/>
              </w:rPr>
              <w:t xml:space="preserve">□（五）零售业 </w:t>
            </w:r>
          </w:p>
          <w:p w14:paraId="51C3E2A8">
            <w:pPr>
              <w:widowControl/>
              <w:ind w:firstLine="480" w:firstLineChars="200"/>
              <w:jc w:val="left"/>
              <w:rPr>
                <w:rFonts w:ascii="宋体" w:hAnsi="宋体" w:cs="宋体"/>
                <w:color w:val="auto"/>
                <w:kern w:val="0"/>
                <w:sz w:val="24"/>
              </w:rPr>
            </w:pPr>
            <w:r>
              <w:rPr>
                <w:rFonts w:hint="eastAsia" w:ascii="宋体" w:hAnsi="宋体" w:cs="宋体"/>
                <w:color w:val="auto"/>
                <w:kern w:val="0"/>
                <w:sz w:val="24"/>
              </w:rPr>
              <w:t xml:space="preserve">□（六）交通运输业 </w:t>
            </w:r>
          </w:p>
          <w:p w14:paraId="733990BF">
            <w:pPr>
              <w:widowControl/>
              <w:ind w:firstLine="480" w:firstLineChars="200"/>
              <w:jc w:val="left"/>
              <w:rPr>
                <w:rFonts w:ascii="宋体" w:hAnsi="宋体" w:cs="宋体"/>
                <w:color w:val="auto"/>
                <w:kern w:val="0"/>
                <w:sz w:val="24"/>
              </w:rPr>
            </w:pPr>
            <w:r>
              <w:rPr>
                <w:rFonts w:hint="eastAsia" w:ascii="宋体" w:hAnsi="宋体" w:cs="宋体"/>
                <w:color w:val="auto"/>
                <w:kern w:val="0"/>
                <w:sz w:val="24"/>
              </w:rPr>
              <w:t xml:space="preserve">□（七）仓储业 </w:t>
            </w:r>
          </w:p>
          <w:p w14:paraId="7857FC9C">
            <w:pPr>
              <w:widowControl/>
              <w:ind w:firstLine="480" w:firstLineChars="200"/>
              <w:jc w:val="left"/>
              <w:rPr>
                <w:rFonts w:ascii="宋体" w:hAnsi="宋体" w:cs="宋体"/>
                <w:color w:val="auto"/>
                <w:kern w:val="0"/>
                <w:sz w:val="24"/>
              </w:rPr>
            </w:pPr>
            <w:r>
              <w:rPr>
                <w:rFonts w:hint="eastAsia" w:ascii="宋体" w:hAnsi="宋体" w:cs="宋体"/>
                <w:color w:val="auto"/>
                <w:kern w:val="0"/>
                <w:sz w:val="24"/>
              </w:rPr>
              <w:t xml:space="preserve">□（八）邮政业 </w:t>
            </w:r>
          </w:p>
          <w:p w14:paraId="1FEAF285">
            <w:pPr>
              <w:widowControl/>
              <w:ind w:firstLine="480" w:firstLineChars="200"/>
              <w:jc w:val="left"/>
              <w:rPr>
                <w:rFonts w:ascii="宋体" w:hAnsi="宋体" w:cs="宋体"/>
                <w:color w:val="auto"/>
                <w:kern w:val="0"/>
                <w:sz w:val="24"/>
              </w:rPr>
            </w:pPr>
            <w:r>
              <w:rPr>
                <w:rFonts w:hint="eastAsia" w:ascii="宋体" w:hAnsi="宋体" w:cs="宋体"/>
                <w:color w:val="auto"/>
                <w:kern w:val="0"/>
                <w:sz w:val="24"/>
              </w:rPr>
              <w:t xml:space="preserve">□（九）住宿业 </w:t>
            </w:r>
          </w:p>
          <w:p w14:paraId="7EE65F23">
            <w:pPr>
              <w:widowControl/>
              <w:ind w:firstLine="480" w:firstLineChars="200"/>
              <w:jc w:val="left"/>
              <w:rPr>
                <w:rFonts w:ascii="宋体" w:hAnsi="宋体" w:cs="宋体"/>
                <w:color w:val="auto"/>
                <w:kern w:val="0"/>
                <w:sz w:val="24"/>
              </w:rPr>
            </w:pPr>
            <w:r>
              <w:rPr>
                <w:rFonts w:hint="eastAsia" w:ascii="宋体" w:hAnsi="宋体" w:cs="宋体"/>
                <w:color w:val="auto"/>
                <w:kern w:val="0"/>
                <w:sz w:val="24"/>
              </w:rPr>
              <w:t xml:space="preserve">□（十）餐饮业 </w:t>
            </w:r>
          </w:p>
          <w:p w14:paraId="7E5300B2">
            <w:pPr>
              <w:widowControl/>
              <w:ind w:firstLine="480" w:firstLineChars="200"/>
              <w:jc w:val="left"/>
              <w:rPr>
                <w:rFonts w:ascii="宋体" w:hAnsi="宋体" w:cs="宋体"/>
                <w:color w:val="auto"/>
                <w:kern w:val="0"/>
                <w:sz w:val="24"/>
              </w:rPr>
            </w:pPr>
            <w:r>
              <w:rPr>
                <w:rFonts w:hint="eastAsia" w:ascii="宋体" w:hAnsi="宋体" w:cs="宋体"/>
                <w:color w:val="auto"/>
                <w:kern w:val="0"/>
                <w:sz w:val="24"/>
              </w:rPr>
              <w:t xml:space="preserve">□（十一）信息传输业 </w:t>
            </w:r>
          </w:p>
          <w:p w14:paraId="09D69907">
            <w:pPr>
              <w:widowControl/>
              <w:ind w:firstLine="480" w:firstLineChars="200"/>
              <w:jc w:val="left"/>
              <w:rPr>
                <w:rFonts w:ascii="宋体" w:hAnsi="宋体" w:cs="宋体"/>
                <w:color w:val="auto"/>
                <w:kern w:val="0"/>
                <w:sz w:val="24"/>
              </w:rPr>
            </w:pPr>
            <w:r>
              <w:rPr>
                <w:rFonts w:hint="eastAsia" w:ascii="宋体" w:hAnsi="宋体" w:cs="宋体"/>
                <w:color w:val="auto"/>
                <w:kern w:val="0"/>
                <w:sz w:val="24"/>
                <w:lang w:eastAsia="zh-CN"/>
              </w:rPr>
              <w:t>□</w:t>
            </w:r>
            <w:r>
              <w:rPr>
                <w:rFonts w:hint="eastAsia" w:ascii="宋体" w:hAnsi="宋体" w:cs="宋体"/>
                <w:color w:val="auto"/>
                <w:kern w:val="0"/>
                <w:sz w:val="24"/>
              </w:rPr>
              <w:t xml:space="preserve">（十二）软件和信息信息技术服务业 </w:t>
            </w:r>
          </w:p>
          <w:p w14:paraId="722501D4">
            <w:pPr>
              <w:widowControl/>
              <w:ind w:firstLine="480" w:firstLineChars="200"/>
              <w:jc w:val="left"/>
              <w:rPr>
                <w:rFonts w:ascii="宋体" w:hAnsi="宋体" w:cs="宋体"/>
                <w:color w:val="auto"/>
                <w:kern w:val="0"/>
                <w:sz w:val="24"/>
              </w:rPr>
            </w:pPr>
            <w:r>
              <w:rPr>
                <w:rFonts w:hint="eastAsia" w:ascii="宋体" w:hAnsi="宋体" w:cs="宋体"/>
                <w:color w:val="auto"/>
                <w:kern w:val="0"/>
                <w:sz w:val="24"/>
              </w:rPr>
              <w:t xml:space="preserve">□（十三）房地产开发经营 </w:t>
            </w:r>
          </w:p>
          <w:p w14:paraId="0EBB45D4">
            <w:pPr>
              <w:widowControl/>
              <w:ind w:firstLine="480" w:firstLineChars="200"/>
              <w:jc w:val="left"/>
              <w:rPr>
                <w:rFonts w:ascii="宋体" w:hAnsi="宋体" w:cs="宋体"/>
                <w:color w:val="auto"/>
                <w:kern w:val="0"/>
                <w:sz w:val="24"/>
              </w:rPr>
            </w:pPr>
            <w:r>
              <w:rPr>
                <w:rFonts w:hint="eastAsia" w:ascii="宋体" w:hAnsi="宋体" w:cs="宋体"/>
                <w:color w:val="auto"/>
                <w:kern w:val="0"/>
                <w:sz w:val="24"/>
              </w:rPr>
              <w:t xml:space="preserve">□（十四）物业管理 </w:t>
            </w:r>
          </w:p>
          <w:p w14:paraId="2AD88960">
            <w:pPr>
              <w:widowControl/>
              <w:ind w:firstLine="480" w:firstLineChars="200"/>
              <w:jc w:val="left"/>
              <w:rPr>
                <w:rFonts w:ascii="宋体" w:hAnsi="宋体" w:cs="宋体"/>
                <w:color w:val="auto"/>
                <w:kern w:val="0"/>
                <w:sz w:val="24"/>
              </w:rPr>
            </w:pPr>
            <w:r>
              <w:rPr>
                <w:rFonts w:hint="eastAsia" w:ascii="宋体" w:hAnsi="宋体" w:cs="宋体"/>
                <w:color w:val="auto"/>
                <w:kern w:val="0"/>
                <w:sz w:val="24"/>
              </w:rPr>
              <w:t xml:space="preserve">□（十五）租赁和商务服务业 </w:t>
            </w:r>
          </w:p>
          <w:p w14:paraId="7D4C6D83">
            <w:pPr>
              <w:widowControl/>
              <w:ind w:firstLine="480" w:firstLineChars="200"/>
              <w:jc w:val="left"/>
              <w:rPr>
                <w:rFonts w:ascii="宋体" w:hAnsi="宋体" w:cs="宋体"/>
                <w:color w:val="auto"/>
                <w:kern w:val="0"/>
                <w:sz w:val="24"/>
              </w:rPr>
            </w:pPr>
            <w:r>
              <w:rPr>
                <w:rFonts w:hint="eastAsia" w:ascii="宋体" w:hAnsi="宋体" w:cs="宋体"/>
                <w:color w:val="auto"/>
                <w:kern w:val="0"/>
                <w:sz w:val="24"/>
              </w:rPr>
              <w:t>□（十六）其他未列明行业</w:t>
            </w:r>
          </w:p>
        </w:tc>
      </w:tr>
      <w:tr w14:paraId="78DC38AE">
        <w:tblPrEx>
          <w:tblCellMar>
            <w:top w:w="0" w:type="dxa"/>
            <w:left w:w="108" w:type="dxa"/>
            <w:bottom w:w="0" w:type="dxa"/>
            <w:right w:w="108" w:type="dxa"/>
          </w:tblCellMar>
        </w:tblPrEx>
        <w:trPr>
          <w:trHeight w:val="641" w:hRule="atLeast"/>
          <w:jc w:val="center"/>
        </w:trPr>
        <w:tc>
          <w:tcPr>
            <w:tcW w:w="4056" w:type="dxa"/>
            <w:tcBorders>
              <w:top w:val="nil"/>
              <w:left w:val="single" w:color="auto" w:sz="12" w:space="0"/>
              <w:bottom w:val="single" w:color="auto" w:sz="4" w:space="0"/>
              <w:right w:val="single" w:color="auto" w:sz="4" w:space="0"/>
            </w:tcBorders>
            <w:noWrap w:val="0"/>
            <w:vAlign w:val="center"/>
          </w:tcPr>
          <w:p w14:paraId="093F488D">
            <w:pPr>
              <w:widowControl/>
              <w:wordWrap w:val="0"/>
              <w:spacing w:line="360" w:lineRule="auto"/>
              <w:jc w:val="center"/>
              <w:rPr>
                <w:rFonts w:ascii="宋体" w:hAnsi="宋体" w:cs="宋体"/>
                <w:b/>
                <w:bCs/>
                <w:color w:val="auto"/>
                <w:kern w:val="0"/>
                <w:sz w:val="24"/>
              </w:rPr>
            </w:pPr>
            <w:r>
              <w:rPr>
                <w:rFonts w:hint="eastAsia" w:ascii="宋体" w:hAnsi="宋体" w:cs="宋体"/>
                <w:b/>
                <w:bCs/>
                <w:color w:val="auto"/>
                <w:kern w:val="0"/>
                <w:sz w:val="24"/>
              </w:rPr>
              <w:t>职工人数</w:t>
            </w:r>
          </w:p>
        </w:tc>
        <w:tc>
          <w:tcPr>
            <w:tcW w:w="5754" w:type="dxa"/>
            <w:tcBorders>
              <w:top w:val="nil"/>
              <w:left w:val="nil"/>
              <w:bottom w:val="single" w:color="auto" w:sz="4" w:space="0"/>
              <w:right w:val="single" w:color="auto" w:sz="12" w:space="0"/>
            </w:tcBorders>
            <w:noWrap w:val="0"/>
            <w:vAlign w:val="center"/>
          </w:tcPr>
          <w:p w14:paraId="30F051A9">
            <w:pPr>
              <w:widowControl/>
              <w:wordWrap w:val="0"/>
              <w:spacing w:line="360" w:lineRule="auto"/>
              <w:jc w:val="right"/>
              <w:rPr>
                <w:rFonts w:ascii="宋体" w:hAnsi="宋体" w:cs="宋体"/>
                <w:color w:val="auto"/>
                <w:kern w:val="0"/>
                <w:sz w:val="24"/>
              </w:rPr>
            </w:pPr>
            <w:r>
              <w:rPr>
                <w:rFonts w:hint="eastAsia" w:ascii="宋体" w:hAnsi="宋体" w:cs="宋体"/>
                <w:color w:val="auto"/>
                <w:kern w:val="0"/>
                <w:sz w:val="24"/>
              </w:rPr>
              <w:t>（人）</w:t>
            </w:r>
          </w:p>
        </w:tc>
      </w:tr>
      <w:tr w14:paraId="6FC5C1C9">
        <w:tblPrEx>
          <w:tblCellMar>
            <w:top w:w="0" w:type="dxa"/>
            <w:left w:w="108" w:type="dxa"/>
            <w:bottom w:w="0" w:type="dxa"/>
            <w:right w:w="108" w:type="dxa"/>
          </w:tblCellMar>
        </w:tblPrEx>
        <w:trPr>
          <w:trHeight w:val="588" w:hRule="atLeast"/>
          <w:jc w:val="center"/>
        </w:trPr>
        <w:tc>
          <w:tcPr>
            <w:tcW w:w="4056" w:type="dxa"/>
            <w:tcBorders>
              <w:top w:val="nil"/>
              <w:left w:val="single" w:color="auto" w:sz="12" w:space="0"/>
              <w:bottom w:val="single" w:color="auto" w:sz="4" w:space="0"/>
              <w:right w:val="single" w:color="auto" w:sz="4" w:space="0"/>
            </w:tcBorders>
            <w:noWrap w:val="0"/>
            <w:vAlign w:val="center"/>
          </w:tcPr>
          <w:p w14:paraId="32CE938F">
            <w:pPr>
              <w:widowControl/>
              <w:wordWrap w:val="0"/>
              <w:spacing w:line="360" w:lineRule="auto"/>
              <w:jc w:val="center"/>
              <w:rPr>
                <w:rFonts w:ascii="宋体" w:hAnsi="宋体" w:cs="宋体"/>
                <w:b/>
                <w:bCs/>
                <w:color w:val="auto"/>
                <w:kern w:val="0"/>
                <w:sz w:val="24"/>
              </w:rPr>
            </w:pPr>
            <w:r>
              <w:rPr>
                <w:rFonts w:hint="eastAsia" w:ascii="宋体" w:hAnsi="宋体" w:cs="宋体"/>
                <w:b/>
                <w:bCs/>
                <w:color w:val="auto"/>
                <w:kern w:val="0"/>
                <w:sz w:val="24"/>
              </w:rPr>
              <w:t>专业技术人员人数</w:t>
            </w:r>
          </w:p>
        </w:tc>
        <w:tc>
          <w:tcPr>
            <w:tcW w:w="5754" w:type="dxa"/>
            <w:tcBorders>
              <w:top w:val="nil"/>
              <w:left w:val="nil"/>
              <w:bottom w:val="single" w:color="auto" w:sz="4" w:space="0"/>
              <w:right w:val="single" w:color="auto" w:sz="12" w:space="0"/>
            </w:tcBorders>
            <w:noWrap w:val="0"/>
            <w:vAlign w:val="center"/>
          </w:tcPr>
          <w:p w14:paraId="3FFF16B4">
            <w:pPr>
              <w:widowControl/>
              <w:wordWrap w:val="0"/>
              <w:spacing w:line="360" w:lineRule="auto"/>
              <w:jc w:val="right"/>
              <w:rPr>
                <w:rFonts w:ascii="宋体" w:hAnsi="宋体" w:cs="宋体"/>
                <w:color w:val="auto"/>
                <w:kern w:val="0"/>
                <w:sz w:val="24"/>
              </w:rPr>
            </w:pPr>
            <w:r>
              <w:rPr>
                <w:rFonts w:hint="eastAsia" w:ascii="宋体" w:hAnsi="宋体" w:cs="宋体"/>
                <w:color w:val="auto"/>
                <w:kern w:val="0"/>
                <w:sz w:val="24"/>
              </w:rPr>
              <w:t>（人）</w:t>
            </w:r>
          </w:p>
        </w:tc>
      </w:tr>
      <w:tr w14:paraId="01C1A480">
        <w:tblPrEx>
          <w:tblCellMar>
            <w:top w:w="0" w:type="dxa"/>
            <w:left w:w="108" w:type="dxa"/>
            <w:bottom w:w="0" w:type="dxa"/>
            <w:right w:w="108" w:type="dxa"/>
          </w:tblCellMar>
        </w:tblPrEx>
        <w:trPr>
          <w:trHeight w:val="641" w:hRule="atLeast"/>
          <w:jc w:val="center"/>
        </w:trPr>
        <w:tc>
          <w:tcPr>
            <w:tcW w:w="4056" w:type="dxa"/>
            <w:tcBorders>
              <w:top w:val="nil"/>
              <w:left w:val="single" w:color="auto" w:sz="12" w:space="0"/>
              <w:bottom w:val="single" w:color="auto" w:sz="4" w:space="0"/>
              <w:right w:val="single" w:color="auto" w:sz="4" w:space="0"/>
            </w:tcBorders>
            <w:noWrap w:val="0"/>
            <w:vAlign w:val="center"/>
          </w:tcPr>
          <w:p w14:paraId="39260B67">
            <w:pPr>
              <w:widowControl/>
              <w:wordWrap w:val="0"/>
              <w:spacing w:line="360" w:lineRule="auto"/>
              <w:jc w:val="center"/>
              <w:rPr>
                <w:rFonts w:ascii="宋体" w:hAnsi="宋体" w:cs="宋体"/>
                <w:b/>
                <w:bCs/>
                <w:color w:val="auto"/>
                <w:kern w:val="0"/>
                <w:sz w:val="24"/>
              </w:rPr>
            </w:pPr>
            <w:r>
              <w:rPr>
                <w:rFonts w:hint="eastAsia" w:ascii="宋体" w:hAnsi="宋体" w:cs="宋体"/>
                <w:b/>
                <w:bCs/>
                <w:color w:val="auto"/>
                <w:kern w:val="0"/>
                <w:sz w:val="24"/>
              </w:rPr>
              <w:t>上年度营业收入</w:t>
            </w:r>
          </w:p>
        </w:tc>
        <w:tc>
          <w:tcPr>
            <w:tcW w:w="5754" w:type="dxa"/>
            <w:tcBorders>
              <w:top w:val="nil"/>
              <w:left w:val="nil"/>
              <w:bottom w:val="single" w:color="auto" w:sz="4" w:space="0"/>
              <w:right w:val="single" w:color="auto" w:sz="12" w:space="0"/>
            </w:tcBorders>
            <w:noWrap w:val="0"/>
            <w:vAlign w:val="center"/>
          </w:tcPr>
          <w:p w14:paraId="514D29AC">
            <w:pPr>
              <w:widowControl/>
              <w:wordWrap w:val="0"/>
              <w:spacing w:line="360" w:lineRule="auto"/>
              <w:jc w:val="right"/>
              <w:rPr>
                <w:rFonts w:ascii="宋体" w:hAnsi="宋体" w:cs="宋体"/>
                <w:color w:val="auto"/>
                <w:kern w:val="0"/>
                <w:sz w:val="24"/>
              </w:rPr>
            </w:pPr>
            <w:r>
              <w:rPr>
                <w:rFonts w:hint="eastAsia" w:ascii="宋体" w:hAnsi="宋体" w:cs="宋体"/>
                <w:color w:val="auto"/>
                <w:kern w:val="0"/>
                <w:sz w:val="24"/>
              </w:rPr>
              <w:t>（万元）</w:t>
            </w:r>
          </w:p>
        </w:tc>
      </w:tr>
      <w:tr w14:paraId="4C8CD81B">
        <w:tblPrEx>
          <w:tblCellMar>
            <w:top w:w="0" w:type="dxa"/>
            <w:left w:w="108" w:type="dxa"/>
            <w:bottom w:w="0" w:type="dxa"/>
            <w:right w:w="108" w:type="dxa"/>
          </w:tblCellMar>
        </w:tblPrEx>
        <w:trPr>
          <w:trHeight w:val="690" w:hRule="atLeast"/>
          <w:jc w:val="center"/>
        </w:trPr>
        <w:tc>
          <w:tcPr>
            <w:tcW w:w="4056" w:type="dxa"/>
            <w:tcBorders>
              <w:top w:val="nil"/>
              <w:left w:val="single" w:color="auto" w:sz="12" w:space="0"/>
              <w:bottom w:val="nil"/>
              <w:right w:val="single" w:color="auto" w:sz="4" w:space="0"/>
            </w:tcBorders>
            <w:noWrap w:val="0"/>
            <w:vAlign w:val="center"/>
          </w:tcPr>
          <w:p w14:paraId="28F0F1B5">
            <w:pPr>
              <w:widowControl/>
              <w:wordWrap w:val="0"/>
              <w:spacing w:line="360" w:lineRule="auto"/>
              <w:jc w:val="center"/>
              <w:rPr>
                <w:rFonts w:ascii="宋体" w:hAnsi="宋体" w:cs="宋体"/>
                <w:b/>
                <w:bCs/>
                <w:color w:val="auto"/>
                <w:kern w:val="0"/>
                <w:sz w:val="24"/>
              </w:rPr>
            </w:pPr>
            <w:r>
              <w:rPr>
                <w:rFonts w:hint="eastAsia" w:ascii="宋体" w:hAnsi="宋体" w:cs="宋体"/>
                <w:b/>
                <w:bCs/>
                <w:color w:val="auto"/>
                <w:kern w:val="0"/>
                <w:sz w:val="24"/>
              </w:rPr>
              <w:t>社会保障资金情况</w:t>
            </w:r>
          </w:p>
        </w:tc>
        <w:tc>
          <w:tcPr>
            <w:tcW w:w="5754" w:type="dxa"/>
            <w:tcBorders>
              <w:top w:val="nil"/>
              <w:left w:val="nil"/>
              <w:bottom w:val="nil"/>
              <w:right w:val="single" w:color="auto" w:sz="12" w:space="0"/>
            </w:tcBorders>
            <w:noWrap w:val="0"/>
            <w:vAlign w:val="center"/>
          </w:tcPr>
          <w:p w14:paraId="6878CE4E">
            <w:pPr>
              <w:widowControl/>
              <w:wordWrap w:val="0"/>
              <w:spacing w:line="360" w:lineRule="auto"/>
              <w:jc w:val="right"/>
              <w:rPr>
                <w:rFonts w:ascii="宋体" w:hAnsi="宋体" w:cs="宋体"/>
                <w:color w:val="auto"/>
                <w:kern w:val="0"/>
                <w:sz w:val="24"/>
              </w:rPr>
            </w:pPr>
            <w:r>
              <w:rPr>
                <w:rFonts w:hint="eastAsia" w:ascii="宋体" w:hAnsi="宋体" w:cs="宋体"/>
                <w:color w:val="auto"/>
                <w:kern w:val="0"/>
                <w:sz w:val="24"/>
              </w:rPr>
              <w:t>附缴费证明复印件</w:t>
            </w:r>
          </w:p>
        </w:tc>
      </w:tr>
      <w:tr w14:paraId="32179D5F">
        <w:tblPrEx>
          <w:tblCellMar>
            <w:top w:w="0" w:type="dxa"/>
            <w:left w:w="108" w:type="dxa"/>
            <w:bottom w:w="0" w:type="dxa"/>
            <w:right w:w="108" w:type="dxa"/>
          </w:tblCellMar>
        </w:tblPrEx>
        <w:trPr>
          <w:trHeight w:val="641" w:hRule="atLeast"/>
          <w:jc w:val="center"/>
        </w:trPr>
        <w:tc>
          <w:tcPr>
            <w:tcW w:w="4056" w:type="dxa"/>
            <w:tcBorders>
              <w:top w:val="single" w:color="auto" w:sz="4" w:space="0"/>
              <w:left w:val="single" w:color="auto" w:sz="12" w:space="0"/>
              <w:bottom w:val="nil"/>
              <w:right w:val="single" w:color="auto" w:sz="4" w:space="0"/>
            </w:tcBorders>
            <w:noWrap w:val="0"/>
            <w:vAlign w:val="center"/>
          </w:tcPr>
          <w:p w14:paraId="63FA2E8E">
            <w:pPr>
              <w:widowControl/>
              <w:wordWrap w:val="0"/>
              <w:spacing w:line="360" w:lineRule="auto"/>
              <w:jc w:val="center"/>
              <w:rPr>
                <w:rFonts w:ascii="宋体" w:hAnsi="宋体" w:cs="宋体"/>
                <w:b/>
                <w:bCs/>
                <w:color w:val="auto"/>
                <w:kern w:val="0"/>
                <w:sz w:val="24"/>
              </w:rPr>
            </w:pPr>
            <w:r>
              <w:rPr>
                <w:rFonts w:hint="eastAsia" w:ascii="宋体" w:hAnsi="宋体" w:cs="宋体"/>
                <w:b/>
                <w:bCs/>
                <w:color w:val="auto"/>
                <w:kern w:val="0"/>
                <w:sz w:val="24"/>
              </w:rPr>
              <w:t>缴税情况</w:t>
            </w:r>
          </w:p>
        </w:tc>
        <w:tc>
          <w:tcPr>
            <w:tcW w:w="5754" w:type="dxa"/>
            <w:tcBorders>
              <w:top w:val="single" w:color="auto" w:sz="4" w:space="0"/>
              <w:left w:val="nil"/>
              <w:bottom w:val="nil"/>
              <w:right w:val="single" w:color="auto" w:sz="12" w:space="0"/>
            </w:tcBorders>
            <w:noWrap w:val="0"/>
            <w:vAlign w:val="center"/>
          </w:tcPr>
          <w:p w14:paraId="6FD25C7B">
            <w:pPr>
              <w:widowControl/>
              <w:wordWrap w:val="0"/>
              <w:spacing w:line="360" w:lineRule="auto"/>
              <w:jc w:val="right"/>
              <w:rPr>
                <w:rFonts w:ascii="宋体" w:hAnsi="宋体" w:cs="宋体"/>
                <w:color w:val="auto"/>
                <w:kern w:val="0"/>
                <w:sz w:val="24"/>
              </w:rPr>
            </w:pPr>
            <w:r>
              <w:rPr>
                <w:rFonts w:hint="eastAsia" w:ascii="宋体" w:hAnsi="宋体" w:cs="宋体"/>
                <w:color w:val="auto"/>
                <w:kern w:val="0"/>
                <w:sz w:val="24"/>
              </w:rPr>
              <w:t>有/无（有，附近期的缴费证明复印件）</w:t>
            </w:r>
          </w:p>
        </w:tc>
      </w:tr>
      <w:tr w14:paraId="57976396">
        <w:tblPrEx>
          <w:tblCellMar>
            <w:top w:w="0" w:type="dxa"/>
            <w:left w:w="108" w:type="dxa"/>
            <w:bottom w:w="0" w:type="dxa"/>
            <w:right w:w="108" w:type="dxa"/>
          </w:tblCellMar>
        </w:tblPrEx>
        <w:trPr>
          <w:trHeight w:val="663" w:hRule="atLeast"/>
          <w:jc w:val="center"/>
        </w:trPr>
        <w:tc>
          <w:tcPr>
            <w:tcW w:w="4056" w:type="dxa"/>
            <w:tcBorders>
              <w:top w:val="single" w:color="auto" w:sz="4" w:space="0"/>
              <w:left w:val="single" w:color="auto" w:sz="12" w:space="0"/>
              <w:bottom w:val="single" w:color="auto" w:sz="12" w:space="0"/>
              <w:right w:val="single" w:color="auto" w:sz="4" w:space="0"/>
            </w:tcBorders>
            <w:noWrap w:val="0"/>
            <w:vAlign w:val="center"/>
          </w:tcPr>
          <w:p w14:paraId="1371AB0F">
            <w:pPr>
              <w:widowControl/>
              <w:wordWrap w:val="0"/>
              <w:spacing w:line="360" w:lineRule="auto"/>
              <w:jc w:val="center"/>
              <w:rPr>
                <w:rFonts w:ascii="宋体" w:hAnsi="宋体" w:cs="宋体"/>
                <w:b/>
                <w:bCs/>
                <w:color w:val="auto"/>
                <w:kern w:val="0"/>
                <w:sz w:val="24"/>
              </w:rPr>
            </w:pPr>
            <w:r>
              <w:rPr>
                <w:rFonts w:hint="eastAsia" w:ascii="宋体" w:hAnsi="宋体" w:cs="宋体"/>
                <w:b/>
                <w:bCs/>
                <w:color w:val="auto"/>
                <w:kern w:val="0"/>
                <w:sz w:val="24"/>
              </w:rPr>
              <w:t>上年利润</w:t>
            </w:r>
          </w:p>
        </w:tc>
        <w:tc>
          <w:tcPr>
            <w:tcW w:w="5754" w:type="dxa"/>
            <w:tcBorders>
              <w:top w:val="single" w:color="auto" w:sz="4" w:space="0"/>
              <w:left w:val="nil"/>
              <w:bottom w:val="single" w:color="auto" w:sz="12" w:space="0"/>
              <w:right w:val="single" w:color="auto" w:sz="12" w:space="0"/>
            </w:tcBorders>
            <w:noWrap w:val="0"/>
            <w:vAlign w:val="center"/>
          </w:tcPr>
          <w:p w14:paraId="32718D4D">
            <w:pPr>
              <w:widowControl/>
              <w:wordWrap w:val="0"/>
              <w:spacing w:line="360" w:lineRule="auto"/>
              <w:jc w:val="right"/>
              <w:rPr>
                <w:rFonts w:ascii="宋体" w:hAnsi="宋体" w:cs="宋体"/>
                <w:color w:val="auto"/>
                <w:kern w:val="0"/>
                <w:sz w:val="24"/>
              </w:rPr>
            </w:pPr>
            <w:r>
              <w:rPr>
                <w:rFonts w:hint="eastAsia" w:ascii="宋体" w:hAnsi="宋体" w:cs="宋体"/>
                <w:color w:val="auto"/>
                <w:kern w:val="0"/>
                <w:sz w:val="24"/>
              </w:rPr>
              <w:t>（万元）</w:t>
            </w:r>
          </w:p>
        </w:tc>
      </w:tr>
    </w:tbl>
    <w:p w14:paraId="12713EB5">
      <w:pPr>
        <w:tabs>
          <w:tab w:val="left" w:pos="1365"/>
        </w:tabs>
        <w:wordWrap w:val="0"/>
        <w:spacing w:line="360" w:lineRule="auto"/>
        <w:ind w:left="525" w:leftChars="250" w:firstLine="480" w:firstLineChars="200"/>
        <w:rPr>
          <w:rFonts w:ascii="宋体" w:hAnsi="宋体" w:cs="宋体"/>
          <w:color w:val="auto"/>
          <w:kern w:val="0"/>
          <w:sz w:val="24"/>
        </w:rPr>
      </w:pPr>
      <w:r>
        <w:rPr>
          <w:rFonts w:hint="eastAsia" w:ascii="宋体" w:hAnsi="宋体"/>
          <w:color w:val="auto"/>
          <w:sz w:val="24"/>
        </w:rPr>
        <w:t>后附：营业执照副本等相关证件。</w:t>
      </w:r>
    </w:p>
    <w:p w14:paraId="304E0A71">
      <w:pPr>
        <w:tabs>
          <w:tab w:val="left" w:pos="1365"/>
        </w:tabs>
        <w:wordWrap w:val="0"/>
        <w:spacing w:line="360" w:lineRule="auto"/>
        <w:ind w:firstLine="480" w:firstLineChars="200"/>
        <w:rPr>
          <w:rFonts w:ascii="宋体" w:hAnsi="宋体"/>
          <w:color w:val="auto"/>
          <w:sz w:val="24"/>
        </w:rPr>
      </w:pPr>
      <w:r>
        <w:rPr>
          <w:rFonts w:hint="eastAsia" w:ascii="宋体" w:hAnsi="宋体"/>
          <w:color w:val="auto"/>
          <w:sz w:val="24"/>
          <w:lang w:eastAsia="zh-CN"/>
        </w:rPr>
        <w:t>供应商名称</w:t>
      </w:r>
      <w:r>
        <w:rPr>
          <w:rFonts w:hint="eastAsia" w:ascii="宋体" w:hAnsi="宋体"/>
          <w:color w:val="auto"/>
          <w:sz w:val="24"/>
        </w:rPr>
        <w:t>：</w:t>
      </w:r>
      <w:r>
        <w:rPr>
          <w:rFonts w:hint="eastAsia" w:ascii="宋体" w:hAnsi="宋体"/>
          <w:color w:val="auto"/>
          <w:sz w:val="24"/>
          <w:u w:val="single"/>
        </w:rPr>
        <w:t xml:space="preserve">                                 </w:t>
      </w:r>
      <w:r>
        <w:rPr>
          <w:rFonts w:hint="eastAsia" w:ascii="宋体" w:hAnsi="宋体"/>
          <w:color w:val="auto"/>
          <w:sz w:val="24"/>
        </w:rPr>
        <w:t>（盖单位公章）</w:t>
      </w:r>
    </w:p>
    <w:p w14:paraId="7B946AA8">
      <w:pPr>
        <w:tabs>
          <w:tab w:val="left" w:pos="1365"/>
        </w:tabs>
        <w:wordWrap w:val="0"/>
        <w:spacing w:line="360" w:lineRule="auto"/>
        <w:ind w:firstLine="480" w:firstLineChars="200"/>
        <w:rPr>
          <w:rFonts w:ascii="宋体" w:hAnsi="宋体"/>
          <w:color w:val="auto"/>
          <w:sz w:val="24"/>
        </w:rPr>
      </w:pPr>
      <w:r>
        <w:rPr>
          <w:rFonts w:hint="eastAsia" w:ascii="宋体" w:hAnsi="宋体"/>
          <w:bCs/>
          <w:color w:val="auto"/>
          <w:sz w:val="24"/>
        </w:rPr>
        <w:t>法定代表人或委托代理人</w:t>
      </w:r>
      <w:r>
        <w:rPr>
          <w:rFonts w:hint="eastAsia" w:ascii="宋体" w:hAnsi="宋体"/>
          <w:color w:val="auto"/>
          <w:sz w:val="24"/>
        </w:rPr>
        <w:t>：</w:t>
      </w:r>
      <w:r>
        <w:rPr>
          <w:rFonts w:hint="eastAsia" w:ascii="宋体" w:hAnsi="宋体"/>
          <w:color w:val="auto"/>
          <w:sz w:val="24"/>
          <w:u w:val="single"/>
        </w:rPr>
        <w:t xml:space="preserve">                     </w:t>
      </w:r>
      <w:r>
        <w:rPr>
          <w:rFonts w:hint="eastAsia" w:ascii="宋体" w:hAnsi="宋体"/>
          <w:color w:val="auto"/>
          <w:sz w:val="24"/>
        </w:rPr>
        <w:t>（签字或签章）</w:t>
      </w:r>
    </w:p>
    <w:p w14:paraId="71C7B50C">
      <w:pPr>
        <w:tabs>
          <w:tab w:val="left" w:pos="1365"/>
        </w:tabs>
        <w:wordWrap w:val="0"/>
        <w:spacing w:line="360" w:lineRule="auto"/>
        <w:ind w:firstLine="480" w:firstLineChars="200"/>
        <w:rPr>
          <w:rFonts w:ascii="宋体" w:hAnsi="宋体"/>
          <w:color w:val="auto"/>
          <w:sz w:val="24"/>
        </w:rPr>
      </w:pPr>
      <w:r>
        <w:rPr>
          <w:rFonts w:hint="eastAsia" w:ascii="宋体" w:hAnsi="宋体"/>
          <w:color w:val="auto"/>
          <w:sz w:val="24"/>
        </w:rPr>
        <w:t>日      期：</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w:t>
      </w:r>
    </w:p>
    <w:p w14:paraId="3C506860">
      <w:pPr>
        <w:pStyle w:val="3"/>
        <w:pageBreakBefore w:val="0"/>
        <w:widowControl w:val="0"/>
        <w:kinsoku/>
        <w:overflowPunct/>
        <w:topLinePunct w:val="0"/>
        <w:autoSpaceDE/>
        <w:autoSpaceDN/>
        <w:bidi w:val="0"/>
        <w:adjustRightInd/>
        <w:snapToGrid/>
        <w:spacing w:line="440" w:lineRule="exact"/>
        <w:jc w:val="center"/>
        <w:textAlignment w:val="auto"/>
        <w:rPr>
          <w:rFonts w:hint="eastAsia"/>
          <w:lang w:val="en-US" w:eastAsia="zh-CN"/>
        </w:rPr>
      </w:pPr>
      <w:bookmarkStart w:id="77" w:name="_Toc8182"/>
      <w:r>
        <w:rPr>
          <w:rFonts w:hint="eastAsia"/>
          <w:lang w:eastAsia="zh-CN"/>
        </w:rPr>
        <w:t>十、</w:t>
      </w:r>
      <w:r>
        <w:rPr>
          <w:rFonts w:hint="eastAsia"/>
        </w:rPr>
        <w:t>财务状况</w:t>
      </w:r>
      <w:bookmarkEnd w:id="77"/>
    </w:p>
    <w:p w14:paraId="4C3D317A">
      <w:pPr>
        <w:rPr>
          <w:rFonts w:hint="eastAsia"/>
        </w:rPr>
      </w:pPr>
      <w:r>
        <w:rPr>
          <w:rFonts w:hint="eastAsia"/>
        </w:rPr>
        <w:br w:type="page"/>
      </w:r>
    </w:p>
    <w:p w14:paraId="60BF74C5">
      <w:pPr>
        <w:pStyle w:val="5"/>
        <w:rPr>
          <w:rFonts w:hint="eastAsia"/>
        </w:rPr>
      </w:pPr>
    </w:p>
    <w:p w14:paraId="281E189D">
      <w:pPr>
        <w:pStyle w:val="3"/>
        <w:bidi w:val="0"/>
        <w:jc w:val="center"/>
        <w:rPr>
          <w:rFonts w:hint="eastAsia" w:ascii="宋体" w:hAnsi="宋体" w:eastAsia="宋体" w:cs="宋体"/>
          <w:color w:val="auto"/>
          <w:szCs w:val="32"/>
        </w:rPr>
      </w:pPr>
      <w:bookmarkStart w:id="78" w:name="_Toc17949"/>
      <w:r>
        <w:rPr>
          <w:rFonts w:hint="eastAsia"/>
          <w:lang w:eastAsia="zh-CN"/>
        </w:rPr>
        <w:t>十一、</w:t>
      </w:r>
      <w:r>
        <w:rPr>
          <w:rFonts w:hint="eastAsia"/>
        </w:rPr>
        <w:t>依法缴纳税收证明材料</w:t>
      </w:r>
      <w:bookmarkEnd w:id="78"/>
    </w:p>
    <w:p w14:paraId="06734352">
      <w:pPr>
        <w:pStyle w:val="26"/>
        <w:ind w:firstLine="480"/>
        <w:jc w:val="both"/>
        <w:rPr>
          <w:rFonts w:hint="eastAsia" w:ascii="宋体" w:hAnsi="宋体" w:eastAsia="宋体" w:cs="宋体"/>
          <w:color w:val="auto"/>
          <w:sz w:val="24"/>
          <w:szCs w:val="24"/>
        </w:rPr>
      </w:pPr>
    </w:p>
    <w:p w14:paraId="45EE207A">
      <w:pPr>
        <w:pStyle w:val="26"/>
        <w:keepNext w:val="0"/>
        <w:keepLines w:val="0"/>
        <w:pageBreakBefore w:val="0"/>
        <w:widowControl/>
        <w:kinsoku/>
        <w:wordWrap/>
        <w:overflowPunct/>
        <w:topLinePunct w:val="0"/>
        <w:autoSpaceDE/>
        <w:autoSpaceDN/>
        <w:bidi w:val="0"/>
        <w:adjustRightInd/>
        <w:snapToGrid/>
        <w:spacing w:line="360" w:lineRule="auto"/>
        <w:ind w:firstLine="960"/>
        <w:jc w:val="both"/>
        <w:textAlignment w:val="auto"/>
        <w:rPr>
          <w:color w:val="auto"/>
        </w:rPr>
      </w:pPr>
      <w:r>
        <w:rPr>
          <w:color w:val="auto"/>
        </w:rPr>
        <w:t xml:space="preserve"> </w:t>
      </w:r>
    </w:p>
    <w:p w14:paraId="30B8A2AB">
      <w:pPr>
        <w:rPr>
          <w:rFonts w:hint="eastAsia"/>
          <w:lang w:eastAsia="zh-CN"/>
        </w:rPr>
      </w:pPr>
      <w:r>
        <w:rPr>
          <w:rFonts w:hint="eastAsia"/>
          <w:lang w:eastAsia="zh-CN"/>
        </w:rPr>
        <w:br w:type="page"/>
      </w:r>
    </w:p>
    <w:p w14:paraId="2BBAA5A0">
      <w:pPr>
        <w:pStyle w:val="3"/>
        <w:bidi w:val="0"/>
        <w:jc w:val="center"/>
        <w:rPr>
          <w:rFonts w:hint="eastAsia" w:ascii="宋体" w:hAnsi="宋体" w:eastAsia="宋体" w:cs="宋体"/>
          <w:b/>
          <w:color w:val="auto"/>
          <w:szCs w:val="32"/>
        </w:rPr>
      </w:pPr>
      <w:bookmarkStart w:id="79" w:name="_Toc25780"/>
      <w:r>
        <w:rPr>
          <w:rFonts w:hint="eastAsia"/>
          <w:lang w:eastAsia="zh-CN"/>
        </w:rPr>
        <w:t>十二、</w:t>
      </w:r>
      <w:r>
        <w:rPr>
          <w:rFonts w:hint="eastAsia"/>
        </w:rPr>
        <w:t>依法缴纳社会保障资金证明材料</w:t>
      </w:r>
      <w:bookmarkEnd w:id="79"/>
    </w:p>
    <w:p w14:paraId="0F20D069">
      <w:pPr>
        <w:rPr>
          <w:color w:val="auto"/>
        </w:rPr>
      </w:pPr>
      <w:r>
        <w:rPr>
          <w:color w:val="auto"/>
        </w:rPr>
        <w:br w:type="page"/>
      </w:r>
    </w:p>
    <w:p w14:paraId="6B637573">
      <w:pPr>
        <w:pStyle w:val="3"/>
        <w:bidi w:val="0"/>
        <w:jc w:val="center"/>
        <w:rPr>
          <w:rFonts w:hint="eastAsia" w:ascii="宋体" w:hAnsi="宋体" w:eastAsia="宋体" w:cs="宋体"/>
          <w:b/>
          <w:color w:val="auto"/>
          <w:szCs w:val="32"/>
        </w:rPr>
      </w:pPr>
      <w:bookmarkStart w:id="80" w:name="_Toc6140"/>
      <w:r>
        <w:rPr>
          <w:rFonts w:hint="eastAsia"/>
          <w:lang w:val="en-US" w:eastAsia="zh-CN"/>
        </w:rPr>
        <w:t>十三、具</w:t>
      </w:r>
      <w:r>
        <w:rPr>
          <w:rFonts w:hint="eastAsia"/>
        </w:rPr>
        <w:t>备履行合同所必需设备和专业技术能力的声明函（若有）</w:t>
      </w:r>
      <w:bookmarkEnd w:id="80"/>
    </w:p>
    <w:p w14:paraId="762CE6C3">
      <w:pPr>
        <w:pStyle w:val="26"/>
        <w:ind w:firstLine="480"/>
        <w:jc w:val="both"/>
        <w:rPr>
          <w:color w:val="auto"/>
        </w:rPr>
      </w:pPr>
    </w:p>
    <w:p w14:paraId="54785995">
      <w:pPr>
        <w:pStyle w:val="2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致：</w:t>
      </w:r>
      <w:r>
        <w:rPr>
          <w:rFonts w:hint="eastAsia" w:ascii="宋体" w:hAnsi="宋体" w:eastAsia="宋体" w:cs="宋体"/>
          <w:color w:val="auto"/>
          <w:sz w:val="24"/>
          <w:szCs w:val="24"/>
          <w:u w:val="single"/>
        </w:rPr>
        <w:t>（采购人或采购代理机构）</w:t>
      </w:r>
    </w:p>
    <w:p w14:paraId="43DFFC5E">
      <w:pPr>
        <w:pStyle w:val="2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我方具备履行合同所必需的设备和专业技术能力，否则产生不利后果由我方承担责任。</w:t>
      </w:r>
    </w:p>
    <w:p w14:paraId="2E6C6F21">
      <w:pPr>
        <w:pStyle w:val="26"/>
        <w:ind w:firstLine="960"/>
        <w:jc w:val="both"/>
        <w:rPr>
          <w:rFonts w:hint="eastAsia" w:ascii="宋体" w:hAnsi="宋体" w:eastAsia="宋体" w:cs="宋体"/>
          <w:color w:val="auto"/>
          <w:sz w:val="24"/>
          <w:szCs w:val="24"/>
        </w:rPr>
      </w:pPr>
      <w:r>
        <w:rPr>
          <w:rFonts w:hint="eastAsia" w:ascii="宋体" w:hAnsi="宋体" w:eastAsia="宋体" w:cs="宋体"/>
          <w:color w:val="auto"/>
          <w:sz w:val="24"/>
          <w:szCs w:val="24"/>
        </w:rPr>
        <w:t>特此声明。</w:t>
      </w:r>
    </w:p>
    <w:p w14:paraId="344B3832">
      <w:pPr>
        <w:pStyle w:val="26"/>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※注意：</w:t>
      </w:r>
    </w:p>
    <w:p w14:paraId="1B5879AB">
      <w:pPr>
        <w:pStyle w:val="26"/>
        <w:ind w:firstLine="480"/>
        <w:jc w:val="both"/>
        <w:rPr>
          <w:rFonts w:hint="eastAsia" w:ascii="宋体" w:hAnsi="宋体" w:eastAsia="宋体" w:cs="宋体"/>
          <w:color w:val="auto"/>
          <w:sz w:val="24"/>
          <w:szCs w:val="24"/>
        </w:rPr>
      </w:pPr>
      <w:r>
        <w:rPr>
          <w:rFonts w:hint="eastAsia" w:ascii="宋体" w:hAnsi="宋体" w:cs="宋体"/>
          <w:color w:val="auto"/>
          <w:sz w:val="24"/>
          <w:szCs w:val="24"/>
          <w:lang w:val="en-US" w:eastAsia="zh-CN"/>
        </w:rPr>
        <w:t>1</w:t>
      </w:r>
      <w:r>
        <w:rPr>
          <w:rFonts w:hint="eastAsia" w:ascii="宋体" w:hAnsi="宋体" w:eastAsia="宋体" w:cs="宋体"/>
          <w:color w:val="auto"/>
          <w:sz w:val="24"/>
          <w:szCs w:val="24"/>
        </w:rPr>
        <w:t>、请</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根据实际情况如实声明，否则视为提供虚假材料。</w:t>
      </w:r>
    </w:p>
    <w:p w14:paraId="1EC7D071">
      <w:pPr>
        <w:pStyle w:val="26"/>
        <w:ind w:firstLine="480"/>
        <w:jc w:val="right"/>
        <w:rPr>
          <w:rFonts w:hint="eastAsia" w:ascii="宋体" w:hAnsi="宋体" w:eastAsia="宋体" w:cs="宋体"/>
          <w:color w:val="auto"/>
          <w:sz w:val="24"/>
          <w:szCs w:val="24"/>
        </w:rPr>
      </w:pPr>
      <w:r>
        <w:rPr>
          <w:rFonts w:hint="eastAsia" w:ascii="宋体" w:hAnsi="宋体"/>
          <w:color w:val="auto"/>
          <w:sz w:val="24"/>
          <w:lang w:eastAsia="zh-CN"/>
        </w:rPr>
        <w:t>供应商名称</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（全称并加盖单位公章）</w:t>
      </w:r>
    </w:p>
    <w:p w14:paraId="67D0EC28">
      <w:pPr>
        <w:pStyle w:val="26"/>
        <w:ind w:firstLine="480"/>
        <w:jc w:val="right"/>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年　　月　　日</w:t>
      </w:r>
    </w:p>
    <w:p w14:paraId="7A3FEFB7">
      <w:pPr>
        <w:pStyle w:val="26"/>
        <w:ind w:firstLine="480"/>
        <w:jc w:val="center"/>
        <w:rPr>
          <w:rFonts w:hint="eastAsia" w:ascii="宋体" w:hAnsi="宋体" w:eastAsia="宋体" w:cs="宋体"/>
          <w:b/>
          <w:color w:val="auto"/>
          <w:sz w:val="32"/>
          <w:szCs w:val="32"/>
          <w:lang w:val="en-US" w:eastAsia="zh-CN"/>
        </w:rPr>
      </w:pPr>
    </w:p>
    <w:p w14:paraId="421C4497">
      <w:pPr>
        <w:pStyle w:val="26"/>
        <w:ind w:firstLine="480"/>
        <w:jc w:val="center"/>
        <w:rPr>
          <w:rFonts w:hint="eastAsia" w:ascii="宋体" w:hAnsi="宋体" w:eastAsia="宋体" w:cs="宋体"/>
          <w:b/>
          <w:color w:val="auto"/>
          <w:sz w:val="32"/>
          <w:szCs w:val="32"/>
          <w:lang w:val="en-US" w:eastAsia="zh-CN"/>
        </w:rPr>
      </w:pPr>
    </w:p>
    <w:p w14:paraId="49823871">
      <w:pPr>
        <w:pStyle w:val="26"/>
        <w:ind w:firstLine="480"/>
        <w:jc w:val="center"/>
        <w:rPr>
          <w:rFonts w:hint="eastAsia" w:ascii="宋体" w:hAnsi="宋体" w:eastAsia="宋体" w:cs="宋体"/>
          <w:b/>
          <w:color w:val="auto"/>
          <w:sz w:val="32"/>
          <w:szCs w:val="32"/>
          <w:lang w:val="en-US" w:eastAsia="zh-CN"/>
        </w:rPr>
      </w:pPr>
    </w:p>
    <w:p w14:paraId="34DA3F1C">
      <w:pPr>
        <w:pStyle w:val="26"/>
        <w:ind w:firstLine="480"/>
        <w:jc w:val="center"/>
        <w:rPr>
          <w:rFonts w:hint="eastAsia" w:ascii="宋体" w:hAnsi="宋体" w:eastAsia="宋体" w:cs="宋体"/>
          <w:b/>
          <w:color w:val="auto"/>
          <w:sz w:val="32"/>
          <w:szCs w:val="32"/>
          <w:lang w:val="en-US" w:eastAsia="zh-CN"/>
        </w:rPr>
      </w:pPr>
    </w:p>
    <w:p w14:paraId="12D9AC75">
      <w:pPr>
        <w:pStyle w:val="26"/>
        <w:ind w:firstLine="480"/>
        <w:jc w:val="center"/>
        <w:rPr>
          <w:rFonts w:hint="eastAsia" w:ascii="宋体" w:hAnsi="宋体" w:eastAsia="宋体" w:cs="宋体"/>
          <w:b/>
          <w:color w:val="auto"/>
          <w:sz w:val="32"/>
          <w:szCs w:val="32"/>
          <w:lang w:val="en-US" w:eastAsia="zh-CN"/>
        </w:rPr>
      </w:pPr>
    </w:p>
    <w:p w14:paraId="533FE5D9">
      <w:pPr>
        <w:pStyle w:val="26"/>
        <w:ind w:firstLine="480"/>
        <w:jc w:val="center"/>
        <w:rPr>
          <w:rFonts w:hint="eastAsia" w:ascii="宋体" w:hAnsi="宋体" w:eastAsia="宋体" w:cs="宋体"/>
          <w:b/>
          <w:color w:val="auto"/>
          <w:sz w:val="32"/>
          <w:szCs w:val="32"/>
          <w:lang w:val="en-US" w:eastAsia="zh-CN"/>
        </w:rPr>
      </w:pPr>
    </w:p>
    <w:p w14:paraId="1A165767">
      <w:pPr>
        <w:pStyle w:val="26"/>
        <w:ind w:firstLine="480"/>
        <w:jc w:val="center"/>
        <w:rPr>
          <w:rFonts w:hint="eastAsia" w:ascii="宋体" w:hAnsi="宋体" w:eastAsia="宋体" w:cs="宋体"/>
          <w:b/>
          <w:color w:val="auto"/>
          <w:sz w:val="32"/>
          <w:szCs w:val="32"/>
          <w:lang w:val="en-US" w:eastAsia="zh-CN"/>
        </w:rPr>
      </w:pPr>
    </w:p>
    <w:p w14:paraId="2BF8702E">
      <w:pPr>
        <w:pStyle w:val="26"/>
        <w:ind w:firstLine="480"/>
        <w:jc w:val="center"/>
        <w:rPr>
          <w:rFonts w:hint="eastAsia" w:ascii="宋体" w:hAnsi="宋体" w:eastAsia="宋体" w:cs="宋体"/>
          <w:b/>
          <w:color w:val="auto"/>
          <w:sz w:val="32"/>
          <w:szCs w:val="32"/>
          <w:lang w:val="en-US" w:eastAsia="zh-CN"/>
        </w:rPr>
      </w:pPr>
    </w:p>
    <w:p w14:paraId="335DEE25">
      <w:pPr>
        <w:pStyle w:val="26"/>
        <w:ind w:firstLine="480"/>
        <w:jc w:val="center"/>
        <w:rPr>
          <w:rFonts w:hint="eastAsia" w:ascii="宋体" w:hAnsi="宋体" w:eastAsia="宋体" w:cs="宋体"/>
          <w:b/>
          <w:color w:val="auto"/>
          <w:sz w:val="32"/>
          <w:szCs w:val="32"/>
          <w:lang w:val="en-US" w:eastAsia="zh-CN"/>
        </w:rPr>
      </w:pPr>
    </w:p>
    <w:p w14:paraId="2D052120">
      <w:pPr>
        <w:pStyle w:val="26"/>
        <w:ind w:firstLine="480"/>
        <w:jc w:val="center"/>
        <w:rPr>
          <w:rFonts w:hint="eastAsia" w:ascii="宋体" w:hAnsi="宋体" w:eastAsia="宋体" w:cs="宋体"/>
          <w:b/>
          <w:color w:val="auto"/>
          <w:sz w:val="32"/>
          <w:szCs w:val="32"/>
          <w:lang w:val="en-US" w:eastAsia="zh-CN"/>
        </w:rPr>
      </w:pPr>
    </w:p>
    <w:p w14:paraId="57834270">
      <w:pPr>
        <w:pStyle w:val="26"/>
        <w:ind w:firstLine="480"/>
        <w:jc w:val="center"/>
        <w:rPr>
          <w:rFonts w:hint="eastAsia" w:ascii="宋体" w:hAnsi="宋体" w:eastAsia="宋体" w:cs="宋体"/>
          <w:b/>
          <w:color w:val="auto"/>
          <w:sz w:val="32"/>
          <w:szCs w:val="32"/>
          <w:lang w:val="en-US" w:eastAsia="zh-CN"/>
        </w:rPr>
      </w:pPr>
    </w:p>
    <w:p w14:paraId="18327B10">
      <w:pPr>
        <w:pStyle w:val="26"/>
        <w:ind w:firstLine="480"/>
        <w:jc w:val="center"/>
        <w:rPr>
          <w:rFonts w:hint="eastAsia" w:ascii="宋体" w:hAnsi="宋体" w:eastAsia="宋体" w:cs="宋体"/>
          <w:b/>
          <w:color w:val="auto"/>
          <w:sz w:val="32"/>
          <w:szCs w:val="32"/>
          <w:lang w:val="en-US" w:eastAsia="zh-CN"/>
        </w:rPr>
      </w:pPr>
    </w:p>
    <w:p w14:paraId="2C8DD7BF">
      <w:pPr>
        <w:pStyle w:val="26"/>
        <w:ind w:firstLine="480"/>
        <w:jc w:val="center"/>
        <w:rPr>
          <w:rFonts w:hint="eastAsia" w:ascii="宋体" w:hAnsi="宋体" w:eastAsia="宋体" w:cs="宋体"/>
          <w:b/>
          <w:color w:val="auto"/>
          <w:sz w:val="32"/>
          <w:szCs w:val="32"/>
          <w:lang w:val="en-US" w:eastAsia="zh-CN"/>
        </w:rPr>
      </w:pPr>
    </w:p>
    <w:p w14:paraId="303F0AD5">
      <w:pPr>
        <w:pStyle w:val="26"/>
        <w:ind w:firstLine="480"/>
        <w:jc w:val="center"/>
        <w:rPr>
          <w:rFonts w:hint="eastAsia" w:ascii="宋体" w:hAnsi="宋体" w:eastAsia="宋体" w:cs="宋体"/>
          <w:b/>
          <w:color w:val="auto"/>
          <w:sz w:val="32"/>
          <w:szCs w:val="32"/>
          <w:lang w:val="en-US" w:eastAsia="zh-CN"/>
        </w:rPr>
      </w:pPr>
    </w:p>
    <w:p w14:paraId="6202EDEC">
      <w:pPr>
        <w:pStyle w:val="26"/>
        <w:ind w:firstLine="480"/>
        <w:jc w:val="center"/>
        <w:rPr>
          <w:rFonts w:hint="eastAsia" w:ascii="宋体" w:hAnsi="宋体" w:eastAsia="宋体" w:cs="宋体"/>
          <w:b/>
          <w:color w:val="auto"/>
          <w:sz w:val="32"/>
          <w:szCs w:val="32"/>
          <w:lang w:val="en-US" w:eastAsia="zh-CN"/>
        </w:rPr>
      </w:pPr>
    </w:p>
    <w:p w14:paraId="38608E3F">
      <w:pPr>
        <w:pStyle w:val="26"/>
        <w:ind w:firstLine="480"/>
        <w:jc w:val="center"/>
        <w:rPr>
          <w:rFonts w:hint="eastAsia" w:ascii="宋体" w:hAnsi="宋体" w:eastAsia="宋体" w:cs="宋体"/>
          <w:b/>
          <w:color w:val="auto"/>
          <w:sz w:val="32"/>
          <w:szCs w:val="32"/>
          <w:lang w:val="en-US" w:eastAsia="zh-CN"/>
        </w:rPr>
      </w:pPr>
    </w:p>
    <w:p w14:paraId="7B7AF1A3">
      <w:pPr>
        <w:pStyle w:val="26"/>
        <w:ind w:firstLine="480"/>
        <w:jc w:val="center"/>
        <w:rPr>
          <w:rFonts w:hint="eastAsia" w:ascii="宋体" w:hAnsi="宋体" w:eastAsia="宋体" w:cs="宋体"/>
          <w:b/>
          <w:color w:val="auto"/>
          <w:sz w:val="32"/>
          <w:szCs w:val="32"/>
          <w:lang w:val="en-US" w:eastAsia="zh-CN"/>
        </w:rPr>
      </w:pPr>
    </w:p>
    <w:p w14:paraId="0616649E">
      <w:pPr>
        <w:pStyle w:val="26"/>
        <w:ind w:firstLine="480"/>
        <w:jc w:val="center"/>
        <w:rPr>
          <w:rFonts w:hint="eastAsia" w:ascii="宋体" w:hAnsi="宋体" w:eastAsia="宋体" w:cs="宋体"/>
          <w:b/>
          <w:color w:val="auto"/>
          <w:sz w:val="32"/>
          <w:szCs w:val="32"/>
          <w:lang w:val="en-US" w:eastAsia="zh-CN"/>
        </w:rPr>
      </w:pPr>
    </w:p>
    <w:p w14:paraId="0C4B8A68">
      <w:pPr>
        <w:pStyle w:val="26"/>
        <w:ind w:firstLine="480"/>
        <w:jc w:val="center"/>
        <w:rPr>
          <w:rFonts w:hint="eastAsia" w:ascii="宋体" w:hAnsi="宋体" w:eastAsia="宋体" w:cs="宋体"/>
          <w:b/>
          <w:color w:val="auto"/>
          <w:sz w:val="32"/>
          <w:szCs w:val="32"/>
          <w:lang w:val="en-US" w:eastAsia="zh-CN"/>
        </w:rPr>
      </w:pPr>
    </w:p>
    <w:p w14:paraId="183AC105">
      <w:pPr>
        <w:pStyle w:val="26"/>
        <w:ind w:firstLine="480"/>
        <w:jc w:val="center"/>
        <w:rPr>
          <w:rFonts w:hint="eastAsia" w:ascii="宋体" w:hAnsi="宋体" w:eastAsia="宋体" w:cs="宋体"/>
          <w:b/>
          <w:color w:val="auto"/>
          <w:sz w:val="32"/>
          <w:szCs w:val="32"/>
          <w:lang w:val="en-US" w:eastAsia="zh-CN"/>
        </w:rPr>
      </w:pPr>
    </w:p>
    <w:p w14:paraId="5AE0F947">
      <w:pPr>
        <w:pStyle w:val="26"/>
        <w:ind w:firstLine="480"/>
        <w:jc w:val="center"/>
        <w:rPr>
          <w:rFonts w:hint="eastAsia" w:ascii="宋体" w:hAnsi="宋体" w:eastAsia="宋体" w:cs="宋体"/>
          <w:b/>
          <w:color w:val="auto"/>
          <w:sz w:val="32"/>
          <w:szCs w:val="32"/>
          <w:lang w:val="en-US" w:eastAsia="zh-CN"/>
        </w:rPr>
      </w:pPr>
    </w:p>
    <w:p w14:paraId="6D905609">
      <w:pPr>
        <w:pStyle w:val="26"/>
        <w:ind w:firstLine="480"/>
        <w:jc w:val="center"/>
        <w:rPr>
          <w:rFonts w:hint="eastAsia" w:ascii="宋体" w:hAnsi="宋体" w:eastAsia="宋体" w:cs="宋体"/>
          <w:b/>
          <w:color w:val="auto"/>
          <w:sz w:val="32"/>
          <w:szCs w:val="32"/>
          <w:lang w:val="en-US" w:eastAsia="zh-CN"/>
        </w:rPr>
      </w:pPr>
    </w:p>
    <w:p w14:paraId="73D6FC25">
      <w:pPr>
        <w:pStyle w:val="3"/>
        <w:bidi w:val="0"/>
        <w:jc w:val="center"/>
        <w:rPr>
          <w:rFonts w:hint="eastAsia"/>
        </w:rPr>
      </w:pPr>
      <w:bookmarkStart w:id="81" w:name="_Toc19046"/>
      <w:r>
        <w:rPr>
          <w:rFonts w:hint="eastAsia"/>
          <w:lang w:val="en-US" w:eastAsia="zh-CN"/>
        </w:rPr>
        <w:t>十四、</w:t>
      </w:r>
      <w:r>
        <w:rPr>
          <w:rFonts w:hint="eastAsia"/>
        </w:rPr>
        <w:t>参加采购活动前三年内在经营活动中没有重大违法记录书面声明</w:t>
      </w:r>
      <w:bookmarkEnd w:id="81"/>
    </w:p>
    <w:p w14:paraId="0CA55F21">
      <w:pPr>
        <w:pStyle w:val="26"/>
        <w:keepNext w:val="0"/>
        <w:keepLines w:val="0"/>
        <w:pageBreakBefore w:val="0"/>
        <w:widowControl/>
        <w:kinsoku/>
        <w:wordWrap/>
        <w:overflowPunct/>
        <w:topLinePunct w:val="0"/>
        <w:autoSpaceDE/>
        <w:autoSpaceDN/>
        <w:bidi w:val="0"/>
        <w:adjustRightInd/>
        <w:snapToGrid/>
        <w:spacing w:line="360" w:lineRule="auto"/>
        <w:ind w:firstLine="482"/>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致：</w:t>
      </w:r>
      <w:r>
        <w:rPr>
          <w:rFonts w:hint="eastAsia" w:ascii="宋体" w:hAnsi="宋体" w:eastAsia="宋体" w:cs="宋体"/>
          <w:color w:val="auto"/>
          <w:sz w:val="24"/>
          <w:szCs w:val="24"/>
          <w:u w:val="single"/>
        </w:rPr>
        <w:t>（采购人或采购代理机构）</w:t>
      </w:r>
    </w:p>
    <w:p w14:paraId="2F1F0CBD">
      <w:pPr>
        <w:pStyle w:val="26"/>
        <w:keepNext w:val="0"/>
        <w:keepLines w:val="0"/>
        <w:pageBreakBefore w:val="0"/>
        <w:widowControl/>
        <w:kinsoku/>
        <w:wordWrap/>
        <w:overflowPunct/>
        <w:topLinePunct w:val="0"/>
        <w:autoSpaceDE/>
        <w:autoSpaceDN/>
        <w:bidi w:val="0"/>
        <w:adjustRightInd/>
        <w:snapToGrid/>
        <w:spacing w:line="360" w:lineRule="auto"/>
        <w:ind w:firstLine="482"/>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参加采购活动前</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年内，我方在经营活动中没有重大违法记录，即没有因违法经营受到刑事处罚或责令停产停业、吊销许可证或执照、较大数额罚款等行政处罚。否则产生不利后果由我方承担责任。</w:t>
      </w:r>
    </w:p>
    <w:p w14:paraId="34236F35">
      <w:pPr>
        <w:pStyle w:val="26"/>
        <w:keepNext w:val="0"/>
        <w:keepLines w:val="0"/>
        <w:pageBreakBefore w:val="0"/>
        <w:widowControl/>
        <w:kinsoku/>
        <w:wordWrap/>
        <w:overflowPunct/>
        <w:topLinePunct w:val="0"/>
        <w:autoSpaceDE/>
        <w:autoSpaceDN/>
        <w:bidi w:val="0"/>
        <w:adjustRightInd/>
        <w:snapToGrid/>
        <w:spacing w:line="360" w:lineRule="auto"/>
        <w:ind w:firstLine="482"/>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特此声明。</w:t>
      </w:r>
    </w:p>
    <w:p w14:paraId="32639298">
      <w:pPr>
        <w:pStyle w:val="26"/>
        <w:keepNext w:val="0"/>
        <w:keepLines w:val="0"/>
        <w:pageBreakBefore w:val="0"/>
        <w:widowControl/>
        <w:kinsoku/>
        <w:wordWrap/>
        <w:overflowPunct/>
        <w:topLinePunct w:val="0"/>
        <w:autoSpaceDE/>
        <w:autoSpaceDN/>
        <w:bidi w:val="0"/>
        <w:adjustRightInd/>
        <w:snapToGrid/>
        <w:spacing w:line="360" w:lineRule="auto"/>
        <w:ind w:firstLine="482"/>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※注意：</w:t>
      </w:r>
    </w:p>
    <w:p w14:paraId="3AB56F2D">
      <w:pPr>
        <w:pStyle w:val="26"/>
        <w:keepNext w:val="0"/>
        <w:keepLines w:val="0"/>
        <w:pageBreakBefore w:val="0"/>
        <w:widowControl/>
        <w:kinsoku/>
        <w:wordWrap/>
        <w:overflowPunct/>
        <w:topLinePunct w:val="0"/>
        <w:autoSpaceDE/>
        <w:autoSpaceDN/>
        <w:bidi w:val="0"/>
        <w:adjustRightInd/>
        <w:snapToGrid/>
        <w:spacing w:line="360" w:lineRule="auto"/>
        <w:ind w:firstLine="482"/>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“重大违法记录”指</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2C8FD5D2">
      <w:pPr>
        <w:pStyle w:val="26"/>
        <w:keepNext w:val="0"/>
        <w:keepLines w:val="0"/>
        <w:pageBreakBefore w:val="0"/>
        <w:widowControl/>
        <w:kinsoku/>
        <w:wordWrap/>
        <w:overflowPunct/>
        <w:topLinePunct w:val="0"/>
        <w:autoSpaceDE/>
        <w:autoSpaceDN/>
        <w:bidi w:val="0"/>
        <w:adjustRightInd/>
        <w:snapToGrid/>
        <w:spacing w:line="360" w:lineRule="auto"/>
        <w:ind w:firstLine="482"/>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请</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根据实际情况如实声明，否则视为提供虚假材料。</w:t>
      </w:r>
    </w:p>
    <w:p w14:paraId="38BDE2D0">
      <w:pPr>
        <w:pStyle w:val="26"/>
        <w:ind w:firstLine="960"/>
        <w:jc w:val="center"/>
        <w:outlineLvl w:val="3"/>
        <w:rPr>
          <w:rFonts w:hint="eastAsia" w:ascii="宋体" w:hAnsi="宋体" w:eastAsia="宋体" w:cs="宋体"/>
          <w:b/>
          <w:color w:val="auto"/>
          <w:sz w:val="32"/>
          <w:szCs w:val="32"/>
          <w:lang w:val="en-US" w:eastAsia="zh-CN"/>
        </w:rPr>
      </w:pPr>
    </w:p>
    <w:p w14:paraId="5E544D98">
      <w:pPr>
        <w:pStyle w:val="26"/>
        <w:ind w:firstLine="960"/>
        <w:jc w:val="center"/>
        <w:outlineLvl w:val="3"/>
        <w:rPr>
          <w:rFonts w:hint="eastAsia" w:ascii="宋体" w:hAnsi="宋体" w:eastAsia="宋体" w:cs="宋体"/>
          <w:b/>
          <w:color w:val="auto"/>
          <w:sz w:val="32"/>
          <w:szCs w:val="32"/>
          <w:lang w:val="en-US" w:eastAsia="zh-CN"/>
        </w:rPr>
      </w:pPr>
    </w:p>
    <w:p w14:paraId="1BDCDF0E">
      <w:pPr>
        <w:pStyle w:val="26"/>
        <w:ind w:firstLine="960"/>
        <w:jc w:val="center"/>
        <w:outlineLvl w:val="3"/>
        <w:rPr>
          <w:rFonts w:hint="eastAsia" w:ascii="宋体" w:hAnsi="宋体" w:eastAsia="宋体" w:cs="宋体"/>
          <w:b/>
          <w:color w:val="auto"/>
          <w:sz w:val="32"/>
          <w:szCs w:val="32"/>
          <w:lang w:val="en-US" w:eastAsia="zh-CN"/>
        </w:rPr>
      </w:pPr>
    </w:p>
    <w:p w14:paraId="082D46B9">
      <w:pPr>
        <w:pStyle w:val="26"/>
        <w:ind w:firstLine="960"/>
        <w:jc w:val="center"/>
        <w:outlineLvl w:val="3"/>
        <w:rPr>
          <w:rFonts w:hint="eastAsia" w:ascii="宋体" w:hAnsi="宋体" w:eastAsia="宋体" w:cs="宋体"/>
          <w:b/>
          <w:color w:val="auto"/>
          <w:sz w:val="32"/>
          <w:szCs w:val="32"/>
          <w:lang w:val="en-US" w:eastAsia="zh-CN"/>
        </w:rPr>
      </w:pPr>
    </w:p>
    <w:p w14:paraId="5F1675DE">
      <w:pPr>
        <w:pStyle w:val="26"/>
        <w:ind w:firstLine="960"/>
        <w:jc w:val="center"/>
        <w:outlineLvl w:val="3"/>
        <w:rPr>
          <w:rFonts w:hint="eastAsia" w:ascii="宋体" w:hAnsi="宋体" w:eastAsia="宋体" w:cs="宋体"/>
          <w:b/>
          <w:color w:val="auto"/>
          <w:sz w:val="32"/>
          <w:szCs w:val="32"/>
          <w:lang w:val="en-US" w:eastAsia="zh-CN"/>
        </w:rPr>
      </w:pPr>
    </w:p>
    <w:p w14:paraId="5D0D4C26">
      <w:pPr>
        <w:pStyle w:val="26"/>
        <w:ind w:firstLine="960"/>
        <w:jc w:val="center"/>
        <w:outlineLvl w:val="3"/>
        <w:rPr>
          <w:rFonts w:hint="eastAsia" w:ascii="宋体" w:hAnsi="宋体" w:eastAsia="宋体" w:cs="宋体"/>
          <w:b/>
          <w:color w:val="auto"/>
          <w:sz w:val="32"/>
          <w:szCs w:val="32"/>
          <w:lang w:val="en-US" w:eastAsia="zh-CN"/>
        </w:rPr>
      </w:pPr>
    </w:p>
    <w:p w14:paraId="7859348B">
      <w:pPr>
        <w:pStyle w:val="26"/>
        <w:ind w:firstLine="960"/>
        <w:jc w:val="center"/>
        <w:outlineLvl w:val="3"/>
        <w:rPr>
          <w:rFonts w:hint="eastAsia" w:ascii="宋体" w:hAnsi="宋体" w:eastAsia="宋体" w:cs="宋体"/>
          <w:b/>
          <w:color w:val="auto"/>
          <w:sz w:val="32"/>
          <w:szCs w:val="32"/>
          <w:lang w:val="en-US" w:eastAsia="zh-CN"/>
        </w:rPr>
      </w:pPr>
    </w:p>
    <w:p w14:paraId="3F1DBCB7">
      <w:pPr>
        <w:pStyle w:val="26"/>
        <w:ind w:firstLine="960"/>
        <w:jc w:val="center"/>
        <w:outlineLvl w:val="3"/>
        <w:rPr>
          <w:rFonts w:hint="eastAsia" w:ascii="宋体" w:hAnsi="宋体" w:eastAsia="宋体" w:cs="宋体"/>
          <w:b/>
          <w:color w:val="auto"/>
          <w:sz w:val="32"/>
          <w:szCs w:val="32"/>
          <w:lang w:val="en-US" w:eastAsia="zh-CN"/>
        </w:rPr>
      </w:pPr>
    </w:p>
    <w:p w14:paraId="1541268E">
      <w:pPr>
        <w:pStyle w:val="26"/>
        <w:ind w:firstLine="960"/>
        <w:jc w:val="center"/>
        <w:outlineLvl w:val="3"/>
        <w:rPr>
          <w:rFonts w:hint="eastAsia" w:ascii="宋体" w:hAnsi="宋体" w:eastAsia="宋体" w:cs="宋体"/>
          <w:b/>
          <w:color w:val="auto"/>
          <w:sz w:val="32"/>
          <w:szCs w:val="32"/>
          <w:lang w:val="en-US" w:eastAsia="zh-CN"/>
        </w:rPr>
      </w:pPr>
    </w:p>
    <w:p w14:paraId="47EF2701">
      <w:pPr>
        <w:pStyle w:val="26"/>
        <w:ind w:firstLine="960"/>
        <w:jc w:val="center"/>
        <w:outlineLvl w:val="3"/>
        <w:rPr>
          <w:rFonts w:hint="eastAsia" w:ascii="宋体" w:hAnsi="宋体" w:eastAsia="宋体" w:cs="宋体"/>
          <w:b/>
          <w:color w:val="auto"/>
          <w:sz w:val="32"/>
          <w:szCs w:val="32"/>
          <w:lang w:val="en-US" w:eastAsia="zh-CN"/>
        </w:rPr>
      </w:pPr>
    </w:p>
    <w:p w14:paraId="343F9E66">
      <w:pPr>
        <w:pStyle w:val="26"/>
        <w:ind w:firstLine="960"/>
        <w:jc w:val="center"/>
        <w:outlineLvl w:val="3"/>
        <w:rPr>
          <w:rFonts w:hint="eastAsia" w:ascii="宋体" w:hAnsi="宋体" w:eastAsia="宋体" w:cs="宋体"/>
          <w:b/>
          <w:color w:val="auto"/>
          <w:sz w:val="32"/>
          <w:szCs w:val="32"/>
          <w:lang w:val="en-US" w:eastAsia="zh-CN"/>
        </w:rPr>
      </w:pPr>
    </w:p>
    <w:p w14:paraId="7B41F6B9">
      <w:pPr>
        <w:pStyle w:val="26"/>
        <w:ind w:firstLine="960"/>
        <w:jc w:val="center"/>
        <w:outlineLvl w:val="3"/>
        <w:rPr>
          <w:rFonts w:hint="eastAsia" w:ascii="宋体" w:hAnsi="宋体" w:eastAsia="宋体" w:cs="宋体"/>
          <w:b/>
          <w:color w:val="auto"/>
          <w:sz w:val="32"/>
          <w:szCs w:val="32"/>
          <w:lang w:val="en-US" w:eastAsia="zh-CN"/>
        </w:rPr>
      </w:pPr>
    </w:p>
    <w:p w14:paraId="2592CA8E">
      <w:pPr>
        <w:pStyle w:val="26"/>
        <w:ind w:firstLine="960"/>
        <w:jc w:val="center"/>
        <w:outlineLvl w:val="3"/>
        <w:rPr>
          <w:rFonts w:hint="eastAsia" w:ascii="宋体" w:hAnsi="宋体" w:eastAsia="宋体" w:cs="宋体"/>
          <w:b/>
          <w:color w:val="auto"/>
          <w:sz w:val="32"/>
          <w:szCs w:val="32"/>
          <w:lang w:val="en-US" w:eastAsia="zh-CN"/>
        </w:rPr>
      </w:pPr>
    </w:p>
    <w:p w14:paraId="402793A5">
      <w:pPr>
        <w:pStyle w:val="26"/>
        <w:ind w:firstLine="960"/>
        <w:jc w:val="center"/>
        <w:outlineLvl w:val="3"/>
        <w:rPr>
          <w:rFonts w:hint="eastAsia" w:ascii="宋体" w:hAnsi="宋体" w:eastAsia="宋体" w:cs="宋体"/>
          <w:b/>
          <w:color w:val="auto"/>
          <w:sz w:val="32"/>
          <w:szCs w:val="32"/>
          <w:lang w:val="en-US" w:eastAsia="zh-CN"/>
        </w:rPr>
      </w:pPr>
    </w:p>
    <w:p w14:paraId="51E35BD3">
      <w:pPr>
        <w:pStyle w:val="3"/>
        <w:bidi w:val="0"/>
        <w:jc w:val="center"/>
        <w:rPr>
          <w:rFonts w:hint="eastAsia" w:eastAsia="宋体"/>
          <w:color w:val="auto"/>
          <w:lang w:val="en-US" w:eastAsia="zh-CN"/>
        </w:rPr>
      </w:pPr>
      <w:bookmarkStart w:id="82" w:name="_Toc8726"/>
      <w:r>
        <w:rPr>
          <w:rFonts w:hint="eastAsia"/>
          <w:lang w:val="en-US" w:eastAsia="zh-CN"/>
        </w:rPr>
        <w:t>十五、</w:t>
      </w:r>
      <w:r>
        <w:rPr>
          <w:rFonts w:hint="eastAsia"/>
        </w:rPr>
        <w:t>信用记录查询</w:t>
      </w:r>
      <w:r>
        <w:rPr>
          <w:rFonts w:hint="eastAsia"/>
          <w:lang w:val="en-US" w:eastAsia="zh-CN"/>
        </w:rPr>
        <w:t>截图</w:t>
      </w:r>
      <w:bookmarkEnd w:id="82"/>
    </w:p>
    <w:p w14:paraId="5F233F2D">
      <w:pPr>
        <w:wordWrap/>
        <w:spacing w:line="360" w:lineRule="auto"/>
        <w:ind w:firstLine="643" w:firstLineChars="200"/>
        <w:jc w:val="center"/>
        <w:outlineLvl w:val="2"/>
        <w:rPr>
          <w:rFonts w:hint="eastAsia" w:ascii="宋体" w:hAnsi="宋体"/>
          <w:b/>
          <w:color w:val="auto"/>
          <w:sz w:val="32"/>
          <w:szCs w:val="32"/>
        </w:rPr>
      </w:pPr>
    </w:p>
    <w:p w14:paraId="0683CA32">
      <w:pPr>
        <w:wordWrap/>
        <w:spacing w:line="360" w:lineRule="auto"/>
        <w:ind w:firstLine="643" w:firstLineChars="200"/>
        <w:jc w:val="center"/>
        <w:outlineLvl w:val="2"/>
        <w:rPr>
          <w:rFonts w:hint="eastAsia" w:ascii="宋体" w:hAnsi="宋体"/>
          <w:b/>
          <w:color w:val="auto"/>
          <w:sz w:val="32"/>
          <w:szCs w:val="32"/>
        </w:rPr>
      </w:pPr>
    </w:p>
    <w:p w14:paraId="02ADF2EC">
      <w:pPr>
        <w:wordWrap/>
        <w:spacing w:line="360" w:lineRule="auto"/>
        <w:ind w:firstLine="643" w:firstLineChars="200"/>
        <w:jc w:val="center"/>
        <w:outlineLvl w:val="2"/>
        <w:rPr>
          <w:rFonts w:hint="eastAsia" w:ascii="宋体" w:hAnsi="宋体"/>
          <w:b/>
          <w:color w:val="auto"/>
          <w:sz w:val="32"/>
          <w:szCs w:val="32"/>
        </w:rPr>
      </w:pPr>
    </w:p>
    <w:p w14:paraId="6579C300">
      <w:pPr>
        <w:wordWrap/>
        <w:spacing w:line="360" w:lineRule="auto"/>
        <w:ind w:firstLine="643" w:firstLineChars="200"/>
        <w:jc w:val="center"/>
        <w:outlineLvl w:val="2"/>
        <w:rPr>
          <w:rFonts w:hint="eastAsia" w:ascii="宋体" w:hAnsi="宋体"/>
          <w:b/>
          <w:color w:val="auto"/>
          <w:sz w:val="32"/>
          <w:szCs w:val="32"/>
        </w:rPr>
      </w:pPr>
    </w:p>
    <w:p w14:paraId="6481412B">
      <w:pPr>
        <w:wordWrap/>
        <w:spacing w:line="360" w:lineRule="auto"/>
        <w:ind w:firstLine="643" w:firstLineChars="200"/>
        <w:jc w:val="center"/>
        <w:outlineLvl w:val="2"/>
        <w:rPr>
          <w:rFonts w:hint="eastAsia" w:ascii="宋体" w:hAnsi="宋体"/>
          <w:b/>
          <w:color w:val="auto"/>
          <w:sz w:val="32"/>
          <w:szCs w:val="32"/>
        </w:rPr>
      </w:pPr>
    </w:p>
    <w:p w14:paraId="45597122">
      <w:pPr>
        <w:wordWrap/>
        <w:spacing w:line="360" w:lineRule="auto"/>
        <w:ind w:firstLine="643" w:firstLineChars="200"/>
        <w:jc w:val="center"/>
        <w:outlineLvl w:val="2"/>
        <w:rPr>
          <w:rFonts w:hint="eastAsia" w:ascii="宋体" w:hAnsi="宋体"/>
          <w:b/>
          <w:color w:val="auto"/>
          <w:sz w:val="32"/>
          <w:szCs w:val="32"/>
        </w:rPr>
      </w:pPr>
    </w:p>
    <w:p w14:paraId="6A59511D">
      <w:pPr>
        <w:wordWrap/>
        <w:spacing w:line="360" w:lineRule="auto"/>
        <w:ind w:firstLine="643" w:firstLineChars="200"/>
        <w:jc w:val="center"/>
        <w:outlineLvl w:val="2"/>
        <w:rPr>
          <w:rFonts w:hint="eastAsia" w:ascii="宋体" w:hAnsi="宋体"/>
          <w:b/>
          <w:color w:val="auto"/>
          <w:sz w:val="32"/>
          <w:szCs w:val="32"/>
        </w:rPr>
      </w:pPr>
    </w:p>
    <w:p w14:paraId="0FB26576">
      <w:pPr>
        <w:wordWrap/>
        <w:spacing w:line="360" w:lineRule="auto"/>
        <w:ind w:firstLine="643" w:firstLineChars="200"/>
        <w:jc w:val="center"/>
        <w:outlineLvl w:val="2"/>
        <w:rPr>
          <w:rFonts w:hint="eastAsia" w:ascii="宋体" w:hAnsi="宋体"/>
          <w:b/>
          <w:color w:val="auto"/>
          <w:sz w:val="32"/>
          <w:szCs w:val="32"/>
        </w:rPr>
      </w:pPr>
    </w:p>
    <w:p w14:paraId="178750AB">
      <w:pPr>
        <w:wordWrap/>
        <w:spacing w:line="360" w:lineRule="auto"/>
        <w:ind w:firstLine="643" w:firstLineChars="200"/>
        <w:jc w:val="center"/>
        <w:outlineLvl w:val="2"/>
        <w:rPr>
          <w:rFonts w:hint="eastAsia" w:ascii="宋体" w:hAnsi="宋体"/>
          <w:b/>
          <w:color w:val="auto"/>
          <w:sz w:val="32"/>
          <w:szCs w:val="32"/>
        </w:rPr>
      </w:pPr>
    </w:p>
    <w:p w14:paraId="5DF2F326">
      <w:pPr>
        <w:wordWrap/>
        <w:spacing w:line="360" w:lineRule="auto"/>
        <w:ind w:firstLine="643" w:firstLineChars="200"/>
        <w:jc w:val="center"/>
        <w:outlineLvl w:val="2"/>
        <w:rPr>
          <w:rFonts w:hint="eastAsia" w:ascii="宋体" w:hAnsi="宋体"/>
          <w:b/>
          <w:color w:val="auto"/>
          <w:sz w:val="32"/>
          <w:szCs w:val="32"/>
        </w:rPr>
      </w:pPr>
    </w:p>
    <w:p w14:paraId="14ED562C">
      <w:pPr>
        <w:wordWrap/>
        <w:spacing w:line="360" w:lineRule="auto"/>
        <w:ind w:firstLine="643" w:firstLineChars="200"/>
        <w:jc w:val="center"/>
        <w:outlineLvl w:val="2"/>
        <w:rPr>
          <w:rFonts w:hint="eastAsia" w:ascii="宋体" w:hAnsi="宋体"/>
          <w:b/>
          <w:color w:val="auto"/>
          <w:sz w:val="32"/>
          <w:szCs w:val="32"/>
        </w:rPr>
      </w:pPr>
    </w:p>
    <w:p w14:paraId="2F975832">
      <w:pPr>
        <w:wordWrap/>
        <w:spacing w:line="360" w:lineRule="auto"/>
        <w:ind w:firstLine="643" w:firstLineChars="200"/>
        <w:jc w:val="center"/>
        <w:outlineLvl w:val="2"/>
        <w:rPr>
          <w:rFonts w:hint="eastAsia" w:ascii="宋体" w:hAnsi="宋体"/>
          <w:b/>
          <w:color w:val="auto"/>
          <w:sz w:val="32"/>
          <w:szCs w:val="32"/>
        </w:rPr>
      </w:pPr>
    </w:p>
    <w:p w14:paraId="03B56725">
      <w:pPr>
        <w:wordWrap/>
        <w:spacing w:line="360" w:lineRule="auto"/>
        <w:ind w:firstLine="643" w:firstLineChars="200"/>
        <w:jc w:val="center"/>
        <w:outlineLvl w:val="2"/>
        <w:rPr>
          <w:rFonts w:hint="eastAsia" w:ascii="宋体" w:hAnsi="宋体"/>
          <w:b/>
          <w:color w:val="auto"/>
          <w:sz w:val="32"/>
          <w:szCs w:val="32"/>
        </w:rPr>
      </w:pPr>
    </w:p>
    <w:p w14:paraId="44AC61EF">
      <w:pPr>
        <w:wordWrap/>
        <w:spacing w:line="360" w:lineRule="auto"/>
        <w:ind w:firstLine="643" w:firstLineChars="200"/>
        <w:jc w:val="center"/>
        <w:outlineLvl w:val="2"/>
        <w:rPr>
          <w:rFonts w:hint="eastAsia" w:ascii="宋体" w:hAnsi="宋体"/>
          <w:b/>
          <w:color w:val="auto"/>
          <w:sz w:val="32"/>
          <w:szCs w:val="32"/>
        </w:rPr>
      </w:pPr>
    </w:p>
    <w:p w14:paraId="59C6FC4E">
      <w:pPr>
        <w:rPr>
          <w:rFonts w:hint="eastAsia"/>
          <w:lang w:eastAsia="zh-CN"/>
        </w:rPr>
      </w:pPr>
      <w:bookmarkStart w:id="83" w:name="_Toc4912"/>
      <w:r>
        <w:rPr>
          <w:rFonts w:hint="eastAsia"/>
          <w:lang w:eastAsia="zh-CN"/>
        </w:rPr>
        <w:br w:type="page"/>
      </w:r>
    </w:p>
    <w:p w14:paraId="6B9283B5">
      <w:pPr>
        <w:pStyle w:val="3"/>
        <w:bidi w:val="0"/>
        <w:jc w:val="center"/>
      </w:pPr>
      <w:r>
        <w:rPr>
          <w:rFonts w:hint="eastAsia"/>
          <w:lang w:eastAsia="zh-CN"/>
        </w:rPr>
        <w:t>十六、</w:t>
      </w:r>
      <w:r>
        <w:rPr>
          <w:rFonts w:hint="eastAsia"/>
        </w:rPr>
        <w:t>类似项目经验（如有）</w:t>
      </w:r>
      <w:bookmarkEnd w:id="83"/>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1365"/>
        <w:gridCol w:w="1620"/>
        <w:gridCol w:w="1620"/>
        <w:gridCol w:w="1430"/>
        <w:gridCol w:w="1345"/>
        <w:gridCol w:w="1260"/>
      </w:tblGrid>
      <w:tr w14:paraId="2591C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728" w:type="dxa"/>
            <w:noWrap w:val="0"/>
            <w:vAlign w:val="center"/>
          </w:tcPr>
          <w:p w14:paraId="7FC8F213">
            <w:pPr>
              <w:wordWrap w:val="0"/>
              <w:spacing w:line="360" w:lineRule="auto"/>
              <w:jc w:val="center"/>
              <w:rPr>
                <w:rFonts w:ascii="宋体" w:hAnsi="宋体"/>
                <w:b/>
                <w:color w:val="auto"/>
                <w:sz w:val="24"/>
              </w:rPr>
            </w:pPr>
            <w:r>
              <w:rPr>
                <w:rFonts w:ascii="宋体" w:hAnsi="宋体"/>
                <w:b/>
                <w:color w:val="auto"/>
                <w:sz w:val="24"/>
              </w:rPr>
              <w:t>序号</w:t>
            </w:r>
          </w:p>
        </w:tc>
        <w:tc>
          <w:tcPr>
            <w:tcW w:w="1365" w:type="dxa"/>
            <w:noWrap w:val="0"/>
            <w:vAlign w:val="center"/>
          </w:tcPr>
          <w:p w14:paraId="38D4F73B">
            <w:pPr>
              <w:wordWrap w:val="0"/>
              <w:spacing w:line="360" w:lineRule="auto"/>
              <w:jc w:val="center"/>
              <w:rPr>
                <w:rFonts w:ascii="宋体" w:hAnsi="宋体"/>
                <w:b/>
                <w:color w:val="auto"/>
                <w:sz w:val="24"/>
              </w:rPr>
            </w:pPr>
            <w:r>
              <w:rPr>
                <w:rFonts w:hint="eastAsia" w:ascii="宋体" w:hAnsi="宋体"/>
                <w:b/>
                <w:color w:val="auto"/>
                <w:sz w:val="24"/>
              </w:rPr>
              <w:t>采购人</w:t>
            </w:r>
          </w:p>
        </w:tc>
        <w:tc>
          <w:tcPr>
            <w:tcW w:w="1620" w:type="dxa"/>
            <w:noWrap w:val="0"/>
            <w:vAlign w:val="center"/>
          </w:tcPr>
          <w:p w14:paraId="502216EE">
            <w:pPr>
              <w:wordWrap w:val="0"/>
              <w:spacing w:line="360" w:lineRule="auto"/>
              <w:jc w:val="center"/>
              <w:rPr>
                <w:rFonts w:ascii="宋体" w:hAnsi="宋体"/>
                <w:b/>
                <w:color w:val="auto"/>
                <w:sz w:val="24"/>
              </w:rPr>
            </w:pPr>
            <w:r>
              <w:rPr>
                <w:rFonts w:ascii="宋体" w:hAnsi="宋体"/>
                <w:b/>
                <w:color w:val="auto"/>
                <w:sz w:val="24"/>
              </w:rPr>
              <w:t>项目名称</w:t>
            </w:r>
          </w:p>
        </w:tc>
        <w:tc>
          <w:tcPr>
            <w:tcW w:w="1620" w:type="dxa"/>
            <w:noWrap w:val="0"/>
            <w:vAlign w:val="center"/>
          </w:tcPr>
          <w:p w14:paraId="22D1E474">
            <w:pPr>
              <w:wordWrap w:val="0"/>
              <w:spacing w:line="360" w:lineRule="auto"/>
              <w:jc w:val="center"/>
              <w:rPr>
                <w:rFonts w:ascii="宋体" w:hAnsi="宋体"/>
                <w:b/>
                <w:color w:val="auto"/>
                <w:sz w:val="24"/>
              </w:rPr>
            </w:pPr>
            <w:r>
              <w:rPr>
                <w:rFonts w:hint="eastAsia" w:ascii="宋体" w:hAnsi="宋体"/>
                <w:b/>
                <w:color w:val="auto"/>
                <w:sz w:val="24"/>
              </w:rPr>
              <w:t>采购内容</w:t>
            </w:r>
          </w:p>
        </w:tc>
        <w:tc>
          <w:tcPr>
            <w:tcW w:w="1430" w:type="dxa"/>
            <w:noWrap w:val="0"/>
            <w:vAlign w:val="center"/>
          </w:tcPr>
          <w:p w14:paraId="2834FA24">
            <w:pPr>
              <w:wordWrap w:val="0"/>
              <w:spacing w:line="360" w:lineRule="auto"/>
              <w:jc w:val="center"/>
              <w:rPr>
                <w:rFonts w:ascii="宋体" w:hAnsi="宋体"/>
                <w:b/>
                <w:color w:val="auto"/>
                <w:sz w:val="24"/>
              </w:rPr>
            </w:pPr>
            <w:r>
              <w:rPr>
                <w:rFonts w:hint="eastAsia" w:ascii="宋体" w:hAnsi="宋体"/>
                <w:b/>
                <w:color w:val="auto"/>
                <w:sz w:val="24"/>
              </w:rPr>
              <w:t>中标金额</w:t>
            </w:r>
          </w:p>
        </w:tc>
        <w:tc>
          <w:tcPr>
            <w:tcW w:w="1345" w:type="dxa"/>
            <w:noWrap w:val="0"/>
            <w:vAlign w:val="center"/>
          </w:tcPr>
          <w:p w14:paraId="05DF771F">
            <w:pPr>
              <w:wordWrap w:val="0"/>
              <w:spacing w:line="360" w:lineRule="auto"/>
              <w:jc w:val="center"/>
              <w:rPr>
                <w:rFonts w:hint="eastAsia" w:ascii="宋体" w:hAnsi="宋体" w:eastAsia="宋体"/>
                <w:b/>
                <w:color w:val="auto"/>
                <w:sz w:val="24"/>
                <w:lang w:eastAsia="zh-CN"/>
              </w:rPr>
            </w:pPr>
            <w:r>
              <w:rPr>
                <w:rFonts w:hint="eastAsia" w:ascii="宋体" w:hAnsi="宋体"/>
                <w:b/>
                <w:color w:val="auto"/>
                <w:sz w:val="24"/>
                <w:lang w:eastAsia="zh-CN"/>
              </w:rPr>
              <w:t>服务期</w:t>
            </w:r>
          </w:p>
        </w:tc>
        <w:tc>
          <w:tcPr>
            <w:tcW w:w="1260" w:type="dxa"/>
            <w:noWrap w:val="0"/>
            <w:vAlign w:val="center"/>
          </w:tcPr>
          <w:p w14:paraId="3EE2DE15">
            <w:pPr>
              <w:wordWrap w:val="0"/>
              <w:spacing w:line="360" w:lineRule="auto"/>
              <w:jc w:val="center"/>
              <w:rPr>
                <w:rFonts w:ascii="宋体" w:hAnsi="宋体"/>
                <w:b/>
                <w:color w:val="auto"/>
                <w:sz w:val="24"/>
              </w:rPr>
            </w:pPr>
            <w:r>
              <w:rPr>
                <w:rFonts w:hint="eastAsia" w:ascii="宋体" w:hAnsi="宋体"/>
                <w:b/>
                <w:color w:val="auto"/>
                <w:sz w:val="24"/>
              </w:rPr>
              <w:t>采购人</w:t>
            </w:r>
            <w:r>
              <w:rPr>
                <w:rFonts w:ascii="宋体" w:hAnsi="宋体"/>
                <w:b/>
                <w:color w:val="auto"/>
                <w:sz w:val="24"/>
              </w:rPr>
              <w:t>联系电话</w:t>
            </w:r>
          </w:p>
        </w:tc>
      </w:tr>
      <w:tr w14:paraId="785F9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28" w:type="dxa"/>
            <w:noWrap w:val="0"/>
            <w:vAlign w:val="center"/>
          </w:tcPr>
          <w:p w14:paraId="262DB499">
            <w:pPr>
              <w:wordWrap w:val="0"/>
              <w:spacing w:line="360" w:lineRule="auto"/>
              <w:jc w:val="center"/>
              <w:rPr>
                <w:rFonts w:ascii="宋体" w:hAnsi="宋体"/>
                <w:color w:val="auto"/>
                <w:sz w:val="24"/>
              </w:rPr>
            </w:pPr>
          </w:p>
        </w:tc>
        <w:tc>
          <w:tcPr>
            <w:tcW w:w="1365" w:type="dxa"/>
            <w:noWrap w:val="0"/>
            <w:vAlign w:val="center"/>
          </w:tcPr>
          <w:p w14:paraId="7D13E10A">
            <w:pPr>
              <w:pStyle w:val="8"/>
              <w:wordWrap w:val="0"/>
              <w:spacing w:line="360" w:lineRule="auto"/>
              <w:ind w:left="8000"/>
              <w:rPr>
                <w:rFonts w:ascii="宋体" w:hAnsi="宋体"/>
                <w:color w:val="auto"/>
                <w:szCs w:val="24"/>
              </w:rPr>
            </w:pPr>
          </w:p>
        </w:tc>
        <w:tc>
          <w:tcPr>
            <w:tcW w:w="1620" w:type="dxa"/>
            <w:noWrap w:val="0"/>
            <w:vAlign w:val="center"/>
          </w:tcPr>
          <w:p w14:paraId="7BBC45C0">
            <w:pPr>
              <w:wordWrap w:val="0"/>
              <w:spacing w:line="360" w:lineRule="auto"/>
              <w:rPr>
                <w:rFonts w:ascii="宋体" w:hAnsi="宋体"/>
                <w:color w:val="auto"/>
                <w:sz w:val="24"/>
              </w:rPr>
            </w:pPr>
          </w:p>
        </w:tc>
        <w:tc>
          <w:tcPr>
            <w:tcW w:w="1620" w:type="dxa"/>
            <w:noWrap w:val="0"/>
            <w:vAlign w:val="center"/>
          </w:tcPr>
          <w:p w14:paraId="0F97FDFE">
            <w:pPr>
              <w:wordWrap w:val="0"/>
              <w:spacing w:line="360" w:lineRule="auto"/>
              <w:rPr>
                <w:rFonts w:ascii="宋体" w:hAnsi="宋体"/>
                <w:color w:val="auto"/>
                <w:sz w:val="24"/>
              </w:rPr>
            </w:pPr>
          </w:p>
        </w:tc>
        <w:tc>
          <w:tcPr>
            <w:tcW w:w="1430" w:type="dxa"/>
            <w:noWrap w:val="0"/>
            <w:vAlign w:val="center"/>
          </w:tcPr>
          <w:p w14:paraId="46BDA22E">
            <w:pPr>
              <w:wordWrap w:val="0"/>
              <w:spacing w:line="360" w:lineRule="auto"/>
              <w:rPr>
                <w:rFonts w:ascii="宋体" w:hAnsi="宋体"/>
                <w:color w:val="auto"/>
                <w:sz w:val="24"/>
              </w:rPr>
            </w:pPr>
          </w:p>
        </w:tc>
        <w:tc>
          <w:tcPr>
            <w:tcW w:w="1345" w:type="dxa"/>
            <w:noWrap w:val="0"/>
            <w:vAlign w:val="center"/>
          </w:tcPr>
          <w:p w14:paraId="6F3B300E">
            <w:pPr>
              <w:wordWrap w:val="0"/>
              <w:spacing w:line="360" w:lineRule="auto"/>
              <w:rPr>
                <w:rFonts w:ascii="宋体" w:hAnsi="宋体"/>
                <w:color w:val="auto"/>
                <w:sz w:val="24"/>
              </w:rPr>
            </w:pPr>
          </w:p>
        </w:tc>
        <w:tc>
          <w:tcPr>
            <w:tcW w:w="1260" w:type="dxa"/>
            <w:noWrap w:val="0"/>
            <w:vAlign w:val="center"/>
          </w:tcPr>
          <w:p w14:paraId="05C30BCA">
            <w:pPr>
              <w:wordWrap w:val="0"/>
              <w:spacing w:line="360" w:lineRule="auto"/>
              <w:rPr>
                <w:rFonts w:ascii="宋体" w:hAnsi="宋体"/>
                <w:color w:val="auto"/>
                <w:sz w:val="24"/>
              </w:rPr>
            </w:pPr>
          </w:p>
        </w:tc>
      </w:tr>
      <w:tr w14:paraId="50A3C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28" w:type="dxa"/>
            <w:noWrap w:val="0"/>
            <w:vAlign w:val="center"/>
          </w:tcPr>
          <w:p w14:paraId="6CEBA8FE">
            <w:pPr>
              <w:wordWrap w:val="0"/>
              <w:spacing w:line="360" w:lineRule="auto"/>
              <w:jc w:val="center"/>
              <w:rPr>
                <w:rFonts w:ascii="宋体" w:hAnsi="宋体"/>
                <w:color w:val="auto"/>
                <w:sz w:val="24"/>
              </w:rPr>
            </w:pPr>
          </w:p>
        </w:tc>
        <w:tc>
          <w:tcPr>
            <w:tcW w:w="1365" w:type="dxa"/>
            <w:noWrap w:val="0"/>
            <w:vAlign w:val="center"/>
          </w:tcPr>
          <w:p w14:paraId="272B3E5A">
            <w:pPr>
              <w:wordWrap w:val="0"/>
              <w:spacing w:line="360" w:lineRule="auto"/>
              <w:rPr>
                <w:rFonts w:ascii="宋体" w:hAnsi="宋体"/>
                <w:color w:val="auto"/>
                <w:sz w:val="24"/>
              </w:rPr>
            </w:pPr>
          </w:p>
        </w:tc>
        <w:tc>
          <w:tcPr>
            <w:tcW w:w="1620" w:type="dxa"/>
            <w:noWrap w:val="0"/>
            <w:vAlign w:val="center"/>
          </w:tcPr>
          <w:p w14:paraId="191A47F0">
            <w:pPr>
              <w:wordWrap w:val="0"/>
              <w:spacing w:line="360" w:lineRule="auto"/>
              <w:rPr>
                <w:rFonts w:ascii="宋体" w:hAnsi="宋体"/>
                <w:color w:val="auto"/>
                <w:sz w:val="24"/>
              </w:rPr>
            </w:pPr>
          </w:p>
        </w:tc>
        <w:tc>
          <w:tcPr>
            <w:tcW w:w="1620" w:type="dxa"/>
            <w:noWrap w:val="0"/>
            <w:vAlign w:val="center"/>
          </w:tcPr>
          <w:p w14:paraId="4C6FCE18">
            <w:pPr>
              <w:wordWrap w:val="0"/>
              <w:spacing w:line="360" w:lineRule="auto"/>
              <w:rPr>
                <w:rFonts w:ascii="宋体" w:hAnsi="宋体"/>
                <w:color w:val="auto"/>
                <w:sz w:val="24"/>
              </w:rPr>
            </w:pPr>
          </w:p>
        </w:tc>
        <w:tc>
          <w:tcPr>
            <w:tcW w:w="1430" w:type="dxa"/>
            <w:noWrap w:val="0"/>
            <w:vAlign w:val="center"/>
          </w:tcPr>
          <w:p w14:paraId="6E763513">
            <w:pPr>
              <w:wordWrap w:val="0"/>
              <w:spacing w:line="360" w:lineRule="auto"/>
              <w:rPr>
                <w:rFonts w:ascii="宋体" w:hAnsi="宋体"/>
                <w:color w:val="auto"/>
                <w:sz w:val="24"/>
              </w:rPr>
            </w:pPr>
          </w:p>
        </w:tc>
        <w:tc>
          <w:tcPr>
            <w:tcW w:w="1345" w:type="dxa"/>
            <w:noWrap w:val="0"/>
            <w:vAlign w:val="center"/>
          </w:tcPr>
          <w:p w14:paraId="383B4224">
            <w:pPr>
              <w:wordWrap w:val="0"/>
              <w:spacing w:line="360" w:lineRule="auto"/>
              <w:rPr>
                <w:rFonts w:ascii="宋体" w:hAnsi="宋体"/>
                <w:color w:val="auto"/>
                <w:sz w:val="24"/>
              </w:rPr>
            </w:pPr>
          </w:p>
        </w:tc>
        <w:tc>
          <w:tcPr>
            <w:tcW w:w="1260" w:type="dxa"/>
            <w:noWrap w:val="0"/>
            <w:vAlign w:val="center"/>
          </w:tcPr>
          <w:p w14:paraId="047E1CD4">
            <w:pPr>
              <w:wordWrap w:val="0"/>
              <w:spacing w:line="360" w:lineRule="auto"/>
              <w:rPr>
                <w:rFonts w:ascii="宋体" w:hAnsi="宋体"/>
                <w:color w:val="auto"/>
                <w:sz w:val="24"/>
              </w:rPr>
            </w:pPr>
          </w:p>
        </w:tc>
      </w:tr>
      <w:tr w14:paraId="2EC07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28" w:type="dxa"/>
            <w:noWrap w:val="0"/>
            <w:vAlign w:val="center"/>
          </w:tcPr>
          <w:p w14:paraId="15E45EE0">
            <w:pPr>
              <w:wordWrap w:val="0"/>
              <w:spacing w:line="360" w:lineRule="auto"/>
              <w:jc w:val="center"/>
              <w:rPr>
                <w:rFonts w:ascii="宋体" w:hAnsi="宋体"/>
                <w:color w:val="auto"/>
                <w:sz w:val="24"/>
              </w:rPr>
            </w:pPr>
          </w:p>
        </w:tc>
        <w:tc>
          <w:tcPr>
            <w:tcW w:w="1365" w:type="dxa"/>
            <w:noWrap w:val="0"/>
            <w:vAlign w:val="center"/>
          </w:tcPr>
          <w:p w14:paraId="1BFBA1AD">
            <w:pPr>
              <w:wordWrap w:val="0"/>
              <w:spacing w:line="360" w:lineRule="auto"/>
              <w:rPr>
                <w:rFonts w:ascii="宋体" w:hAnsi="宋体"/>
                <w:color w:val="auto"/>
                <w:sz w:val="24"/>
              </w:rPr>
            </w:pPr>
          </w:p>
        </w:tc>
        <w:tc>
          <w:tcPr>
            <w:tcW w:w="1620" w:type="dxa"/>
            <w:noWrap w:val="0"/>
            <w:vAlign w:val="center"/>
          </w:tcPr>
          <w:p w14:paraId="444CA4A1">
            <w:pPr>
              <w:wordWrap w:val="0"/>
              <w:spacing w:line="360" w:lineRule="auto"/>
              <w:rPr>
                <w:rFonts w:ascii="宋体" w:hAnsi="宋体"/>
                <w:color w:val="auto"/>
                <w:sz w:val="24"/>
              </w:rPr>
            </w:pPr>
          </w:p>
        </w:tc>
        <w:tc>
          <w:tcPr>
            <w:tcW w:w="1620" w:type="dxa"/>
            <w:noWrap w:val="0"/>
            <w:vAlign w:val="center"/>
          </w:tcPr>
          <w:p w14:paraId="3E1AAC4B">
            <w:pPr>
              <w:wordWrap w:val="0"/>
              <w:spacing w:line="360" w:lineRule="auto"/>
              <w:rPr>
                <w:rFonts w:ascii="宋体" w:hAnsi="宋体"/>
                <w:color w:val="auto"/>
                <w:sz w:val="24"/>
              </w:rPr>
            </w:pPr>
          </w:p>
        </w:tc>
        <w:tc>
          <w:tcPr>
            <w:tcW w:w="1430" w:type="dxa"/>
            <w:noWrap w:val="0"/>
            <w:vAlign w:val="center"/>
          </w:tcPr>
          <w:p w14:paraId="4A1F0436">
            <w:pPr>
              <w:wordWrap w:val="0"/>
              <w:spacing w:line="360" w:lineRule="auto"/>
              <w:rPr>
                <w:rFonts w:ascii="宋体" w:hAnsi="宋体"/>
                <w:color w:val="auto"/>
                <w:sz w:val="24"/>
              </w:rPr>
            </w:pPr>
          </w:p>
        </w:tc>
        <w:tc>
          <w:tcPr>
            <w:tcW w:w="1345" w:type="dxa"/>
            <w:noWrap w:val="0"/>
            <w:vAlign w:val="center"/>
          </w:tcPr>
          <w:p w14:paraId="451E56D9">
            <w:pPr>
              <w:wordWrap w:val="0"/>
              <w:spacing w:line="360" w:lineRule="auto"/>
              <w:rPr>
                <w:rFonts w:ascii="宋体" w:hAnsi="宋体"/>
                <w:color w:val="auto"/>
                <w:sz w:val="24"/>
              </w:rPr>
            </w:pPr>
          </w:p>
        </w:tc>
        <w:tc>
          <w:tcPr>
            <w:tcW w:w="1260" w:type="dxa"/>
            <w:noWrap w:val="0"/>
            <w:vAlign w:val="center"/>
          </w:tcPr>
          <w:p w14:paraId="01C70781">
            <w:pPr>
              <w:wordWrap w:val="0"/>
              <w:spacing w:line="360" w:lineRule="auto"/>
              <w:rPr>
                <w:rFonts w:ascii="宋体" w:hAnsi="宋体"/>
                <w:color w:val="auto"/>
                <w:sz w:val="24"/>
              </w:rPr>
            </w:pPr>
          </w:p>
        </w:tc>
      </w:tr>
      <w:tr w14:paraId="39861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28" w:type="dxa"/>
            <w:noWrap w:val="0"/>
            <w:vAlign w:val="center"/>
          </w:tcPr>
          <w:p w14:paraId="2926494E">
            <w:pPr>
              <w:wordWrap w:val="0"/>
              <w:spacing w:line="360" w:lineRule="auto"/>
              <w:jc w:val="center"/>
              <w:rPr>
                <w:rFonts w:ascii="宋体" w:hAnsi="宋体"/>
                <w:color w:val="auto"/>
                <w:sz w:val="24"/>
              </w:rPr>
            </w:pPr>
          </w:p>
        </w:tc>
        <w:tc>
          <w:tcPr>
            <w:tcW w:w="1365" w:type="dxa"/>
            <w:noWrap w:val="0"/>
            <w:vAlign w:val="center"/>
          </w:tcPr>
          <w:p w14:paraId="4CC35275">
            <w:pPr>
              <w:wordWrap w:val="0"/>
              <w:spacing w:line="360" w:lineRule="auto"/>
              <w:rPr>
                <w:rFonts w:ascii="宋体" w:hAnsi="宋体"/>
                <w:color w:val="auto"/>
                <w:sz w:val="24"/>
              </w:rPr>
            </w:pPr>
          </w:p>
        </w:tc>
        <w:tc>
          <w:tcPr>
            <w:tcW w:w="1620" w:type="dxa"/>
            <w:noWrap w:val="0"/>
            <w:vAlign w:val="center"/>
          </w:tcPr>
          <w:p w14:paraId="64033AFA">
            <w:pPr>
              <w:wordWrap w:val="0"/>
              <w:spacing w:line="360" w:lineRule="auto"/>
              <w:rPr>
                <w:rFonts w:ascii="宋体" w:hAnsi="宋体"/>
                <w:color w:val="auto"/>
                <w:sz w:val="24"/>
              </w:rPr>
            </w:pPr>
          </w:p>
        </w:tc>
        <w:tc>
          <w:tcPr>
            <w:tcW w:w="1620" w:type="dxa"/>
            <w:noWrap w:val="0"/>
            <w:vAlign w:val="center"/>
          </w:tcPr>
          <w:p w14:paraId="72EEFB60">
            <w:pPr>
              <w:wordWrap w:val="0"/>
              <w:spacing w:line="360" w:lineRule="auto"/>
              <w:rPr>
                <w:rFonts w:ascii="宋体" w:hAnsi="宋体"/>
                <w:color w:val="auto"/>
                <w:sz w:val="24"/>
              </w:rPr>
            </w:pPr>
          </w:p>
        </w:tc>
        <w:tc>
          <w:tcPr>
            <w:tcW w:w="1430" w:type="dxa"/>
            <w:noWrap w:val="0"/>
            <w:vAlign w:val="center"/>
          </w:tcPr>
          <w:p w14:paraId="77A319DA">
            <w:pPr>
              <w:wordWrap w:val="0"/>
              <w:spacing w:line="360" w:lineRule="auto"/>
              <w:rPr>
                <w:rFonts w:ascii="宋体" w:hAnsi="宋体"/>
                <w:color w:val="auto"/>
                <w:sz w:val="24"/>
              </w:rPr>
            </w:pPr>
          </w:p>
        </w:tc>
        <w:tc>
          <w:tcPr>
            <w:tcW w:w="1345" w:type="dxa"/>
            <w:noWrap w:val="0"/>
            <w:vAlign w:val="center"/>
          </w:tcPr>
          <w:p w14:paraId="499A036B">
            <w:pPr>
              <w:wordWrap w:val="0"/>
              <w:spacing w:line="360" w:lineRule="auto"/>
              <w:rPr>
                <w:rFonts w:ascii="宋体" w:hAnsi="宋体"/>
                <w:color w:val="auto"/>
                <w:sz w:val="24"/>
              </w:rPr>
            </w:pPr>
          </w:p>
        </w:tc>
        <w:tc>
          <w:tcPr>
            <w:tcW w:w="1260" w:type="dxa"/>
            <w:noWrap w:val="0"/>
            <w:vAlign w:val="center"/>
          </w:tcPr>
          <w:p w14:paraId="7FF6A41F">
            <w:pPr>
              <w:wordWrap w:val="0"/>
              <w:spacing w:line="360" w:lineRule="auto"/>
              <w:rPr>
                <w:rFonts w:ascii="宋体" w:hAnsi="宋体"/>
                <w:color w:val="auto"/>
                <w:sz w:val="24"/>
              </w:rPr>
            </w:pPr>
          </w:p>
        </w:tc>
      </w:tr>
      <w:tr w14:paraId="514AD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28" w:type="dxa"/>
            <w:noWrap w:val="0"/>
            <w:vAlign w:val="center"/>
          </w:tcPr>
          <w:p w14:paraId="1F77F95B">
            <w:pPr>
              <w:wordWrap w:val="0"/>
              <w:spacing w:line="360" w:lineRule="auto"/>
              <w:jc w:val="center"/>
              <w:rPr>
                <w:rFonts w:ascii="宋体" w:hAnsi="宋体"/>
                <w:color w:val="auto"/>
                <w:sz w:val="24"/>
              </w:rPr>
            </w:pPr>
          </w:p>
        </w:tc>
        <w:tc>
          <w:tcPr>
            <w:tcW w:w="1365" w:type="dxa"/>
            <w:noWrap w:val="0"/>
            <w:vAlign w:val="center"/>
          </w:tcPr>
          <w:p w14:paraId="04FE76A8">
            <w:pPr>
              <w:wordWrap w:val="0"/>
              <w:spacing w:line="360" w:lineRule="auto"/>
              <w:rPr>
                <w:rFonts w:ascii="宋体" w:hAnsi="宋体"/>
                <w:color w:val="auto"/>
                <w:sz w:val="24"/>
              </w:rPr>
            </w:pPr>
          </w:p>
        </w:tc>
        <w:tc>
          <w:tcPr>
            <w:tcW w:w="1620" w:type="dxa"/>
            <w:noWrap w:val="0"/>
            <w:vAlign w:val="center"/>
          </w:tcPr>
          <w:p w14:paraId="179DF324">
            <w:pPr>
              <w:wordWrap w:val="0"/>
              <w:spacing w:line="360" w:lineRule="auto"/>
              <w:rPr>
                <w:rFonts w:ascii="宋体" w:hAnsi="宋体"/>
                <w:color w:val="auto"/>
                <w:sz w:val="24"/>
              </w:rPr>
            </w:pPr>
          </w:p>
        </w:tc>
        <w:tc>
          <w:tcPr>
            <w:tcW w:w="1620" w:type="dxa"/>
            <w:noWrap w:val="0"/>
            <w:vAlign w:val="center"/>
          </w:tcPr>
          <w:p w14:paraId="614CFB0C">
            <w:pPr>
              <w:wordWrap w:val="0"/>
              <w:spacing w:line="360" w:lineRule="auto"/>
              <w:rPr>
                <w:rFonts w:ascii="宋体" w:hAnsi="宋体"/>
                <w:color w:val="auto"/>
                <w:sz w:val="24"/>
              </w:rPr>
            </w:pPr>
          </w:p>
        </w:tc>
        <w:tc>
          <w:tcPr>
            <w:tcW w:w="1430" w:type="dxa"/>
            <w:noWrap w:val="0"/>
            <w:vAlign w:val="center"/>
          </w:tcPr>
          <w:p w14:paraId="5CE9F0D9">
            <w:pPr>
              <w:wordWrap w:val="0"/>
              <w:spacing w:line="360" w:lineRule="auto"/>
              <w:rPr>
                <w:rFonts w:ascii="宋体" w:hAnsi="宋体"/>
                <w:color w:val="auto"/>
                <w:sz w:val="24"/>
              </w:rPr>
            </w:pPr>
          </w:p>
        </w:tc>
        <w:tc>
          <w:tcPr>
            <w:tcW w:w="1345" w:type="dxa"/>
            <w:noWrap w:val="0"/>
            <w:vAlign w:val="center"/>
          </w:tcPr>
          <w:p w14:paraId="2EC1BB8C">
            <w:pPr>
              <w:wordWrap w:val="0"/>
              <w:spacing w:line="360" w:lineRule="auto"/>
              <w:rPr>
                <w:rFonts w:ascii="宋体" w:hAnsi="宋体"/>
                <w:color w:val="auto"/>
                <w:sz w:val="24"/>
              </w:rPr>
            </w:pPr>
          </w:p>
        </w:tc>
        <w:tc>
          <w:tcPr>
            <w:tcW w:w="1260" w:type="dxa"/>
            <w:noWrap w:val="0"/>
            <w:vAlign w:val="center"/>
          </w:tcPr>
          <w:p w14:paraId="1F9C2EC3">
            <w:pPr>
              <w:wordWrap w:val="0"/>
              <w:spacing w:line="360" w:lineRule="auto"/>
              <w:rPr>
                <w:rFonts w:ascii="宋体" w:hAnsi="宋体"/>
                <w:color w:val="auto"/>
                <w:sz w:val="24"/>
              </w:rPr>
            </w:pPr>
          </w:p>
        </w:tc>
      </w:tr>
      <w:tr w14:paraId="6ECCE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28" w:type="dxa"/>
            <w:noWrap w:val="0"/>
            <w:vAlign w:val="center"/>
          </w:tcPr>
          <w:p w14:paraId="1F2E3E91">
            <w:pPr>
              <w:wordWrap w:val="0"/>
              <w:spacing w:line="360" w:lineRule="auto"/>
              <w:jc w:val="center"/>
              <w:rPr>
                <w:rFonts w:ascii="宋体" w:hAnsi="宋体"/>
                <w:color w:val="auto"/>
                <w:sz w:val="24"/>
              </w:rPr>
            </w:pPr>
          </w:p>
        </w:tc>
        <w:tc>
          <w:tcPr>
            <w:tcW w:w="1365" w:type="dxa"/>
            <w:noWrap w:val="0"/>
            <w:vAlign w:val="center"/>
          </w:tcPr>
          <w:p w14:paraId="08AFCF94">
            <w:pPr>
              <w:wordWrap w:val="0"/>
              <w:spacing w:line="360" w:lineRule="auto"/>
              <w:rPr>
                <w:rFonts w:ascii="宋体" w:hAnsi="宋体"/>
                <w:color w:val="auto"/>
                <w:sz w:val="24"/>
              </w:rPr>
            </w:pPr>
          </w:p>
        </w:tc>
        <w:tc>
          <w:tcPr>
            <w:tcW w:w="1620" w:type="dxa"/>
            <w:noWrap w:val="0"/>
            <w:vAlign w:val="center"/>
          </w:tcPr>
          <w:p w14:paraId="6249E50D">
            <w:pPr>
              <w:wordWrap w:val="0"/>
              <w:spacing w:line="360" w:lineRule="auto"/>
              <w:rPr>
                <w:rFonts w:ascii="宋体" w:hAnsi="宋体"/>
                <w:color w:val="auto"/>
                <w:sz w:val="24"/>
              </w:rPr>
            </w:pPr>
          </w:p>
        </w:tc>
        <w:tc>
          <w:tcPr>
            <w:tcW w:w="1620" w:type="dxa"/>
            <w:noWrap w:val="0"/>
            <w:vAlign w:val="center"/>
          </w:tcPr>
          <w:p w14:paraId="6246D63B">
            <w:pPr>
              <w:wordWrap w:val="0"/>
              <w:spacing w:line="360" w:lineRule="auto"/>
              <w:rPr>
                <w:rFonts w:ascii="宋体" w:hAnsi="宋体"/>
                <w:color w:val="auto"/>
                <w:sz w:val="24"/>
              </w:rPr>
            </w:pPr>
          </w:p>
        </w:tc>
        <w:tc>
          <w:tcPr>
            <w:tcW w:w="1430" w:type="dxa"/>
            <w:noWrap w:val="0"/>
            <w:vAlign w:val="center"/>
          </w:tcPr>
          <w:p w14:paraId="2EA57ADA">
            <w:pPr>
              <w:wordWrap w:val="0"/>
              <w:spacing w:line="360" w:lineRule="auto"/>
              <w:rPr>
                <w:rFonts w:ascii="宋体" w:hAnsi="宋体"/>
                <w:color w:val="auto"/>
                <w:sz w:val="24"/>
              </w:rPr>
            </w:pPr>
          </w:p>
        </w:tc>
        <w:tc>
          <w:tcPr>
            <w:tcW w:w="1345" w:type="dxa"/>
            <w:noWrap w:val="0"/>
            <w:vAlign w:val="center"/>
          </w:tcPr>
          <w:p w14:paraId="6D5AB866">
            <w:pPr>
              <w:wordWrap w:val="0"/>
              <w:spacing w:line="360" w:lineRule="auto"/>
              <w:rPr>
                <w:rFonts w:ascii="宋体" w:hAnsi="宋体"/>
                <w:color w:val="auto"/>
                <w:sz w:val="24"/>
              </w:rPr>
            </w:pPr>
          </w:p>
        </w:tc>
        <w:tc>
          <w:tcPr>
            <w:tcW w:w="1260" w:type="dxa"/>
            <w:noWrap w:val="0"/>
            <w:vAlign w:val="center"/>
          </w:tcPr>
          <w:p w14:paraId="3D08CA23">
            <w:pPr>
              <w:wordWrap w:val="0"/>
              <w:spacing w:line="360" w:lineRule="auto"/>
              <w:rPr>
                <w:rFonts w:ascii="宋体" w:hAnsi="宋体"/>
                <w:color w:val="auto"/>
                <w:sz w:val="24"/>
              </w:rPr>
            </w:pPr>
          </w:p>
        </w:tc>
      </w:tr>
      <w:tr w14:paraId="7249A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28" w:type="dxa"/>
            <w:noWrap w:val="0"/>
            <w:vAlign w:val="center"/>
          </w:tcPr>
          <w:p w14:paraId="705D8FB4">
            <w:pPr>
              <w:wordWrap w:val="0"/>
              <w:spacing w:line="360" w:lineRule="auto"/>
              <w:jc w:val="center"/>
              <w:rPr>
                <w:rFonts w:ascii="宋体" w:hAnsi="宋体"/>
                <w:color w:val="auto"/>
                <w:sz w:val="24"/>
              </w:rPr>
            </w:pPr>
          </w:p>
        </w:tc>
        <w:tc>
          <w:tcPr>
            <w:tcW w:w="1365" w:type="dxa"/>
            <w:noWrap w:val="0"/>
            <w:vAlign w:val="center"/>
          </w:tcPr>
          <w:p w14:paraId="50EEC673">
            <w:pPr>
              <w:wordWrap w:val="0"/>
              <w:spacing w:line="360" w:lineRule="auto"/>
              <w:rPr>
                <w:rFonts w:ascii="宋体" w:hAnsi="宋体"/>
                <w:color w:val="auto"/>
                <w:sz w:val="24"/>
              </w:rPr>
            </w:pPr>
          </w:p>
        </w:tc>
        <w:tc>
          <w:tcPr>
            <w:tcW w:w="1620" w:type="dxa"/>
            <w:noWrap w:val="0"/>
            <w:vAlign w:val="center"/>
          </w:tcPr>
          <w:p w14:paraId="76A7EC00">
            <w:pPr>
              <w:wordWrap w:val="0"/>
              <w:spacing w:line="360" w:lineRule="auto"/>
              <w:rPr>
                <w:rFonts w:ascii="宋体" w:hAnsi="宋体"/>
                <w:color w:val="auto"/>
                <w:sz w:val="24"/>
              </w:rPr>
            </w:pPr>
          </w:p>
        </w:tc>
        <w:tc>
          <w:tcPr>
            <w:tcW w:w="1620" w:type="dxa"/>
            <w:noWrap w:val="0"/>
            <w:vAlign w:val="center"/>
          </w:tcPr>
          <w:p w14:paraId="20BF2C62">
            <w:pPr>
              <w:wordWrap w:val="0"/>
              <w:spacing w:line="360" w:lineRule="auto"/>
              <w:rPr>
                <w:rFonts w:ascii="宋体" w:hAnsi="宋体"/>
                <w:color w:val="auto"/>
                <w:sz w:val="24"/>
              </w:rPr>
            </w:pPr>
          </w:p>
        </w:tc>
        <w:tc>
          <w:tcPr>
            <w:tcW w:w="1430" w:type="dxa"/>
            <w:noWrap w:val="0"/>
            <w:vAlign w:val="center"/>
          </w:tcPr>
          <w:p w14:paraId="23FF9B92">
            <w:pPr>
              <w:wordWrap w:val="0"/>
              <w:spacing w:line="360" w:lineRule="auto"/>
              <w:rPr>
                <w:rFonts w:ascii="宋体" w:hAnsi="宋体"/>
                <w:color w:val="auto"/>
                <w:sz w:val="24"/>
              </w:rPr>
            </w:pPr>
          </w:p>
        </w:tc>
        <w:tc>
          <w:tcPr>
            <w:tcW w:w="1345" w:type="dxa"/>
            <w:noWrap w:val="0"/>
            <w:vAlign w:val="center"/>
          </w:tcPr>
          <w:p w14:paraId="70FB6390">
            <w:pPr>
              <w:wordWrap w:val="0"/>
              <w:spacing w:line="360" w:lineRule="auto"/>
              <w:rPr>
                <w:rFonts w:ascii="宋体" w:hAnsi="宋体"/>
                <w:color w:val="auto"/>
                <w:sz w:val="24"/>
              </w:rPr>
            </w:pPr>
          </w:p>
        </w:tc>
        <w:tc>
          <w:tcPr>
            <w:tcW w:w="1260" w:type="dxa"/>
            <w:noWrap w:val="0"/>
            <w:vAlign w:val="center"/>
          </w:tcPr>
          <w:p w14:paraId="4ECFE1AC">
            <w:pPr>
              <w:wordWrap w:val="0"/>
              <w:spacing w:line="360" w:lineRule="auto"/>
              <w:rPr>
                <w:rFonts w:ascii="宋体" w:hAnsi="宋体"/>
                <w:color w:val="auto"/>
                <w:sz w:val="24"/>
              </w:rPr>
            </w:pPr>
          </w:p>
        </w:tc>
      </w:tr>
    </w:tbl>
    <w:p w14:paraId="15DDA4AD">
      <w:pPr>
        <w:wordWrap w:val="0"/>
        <w:spacing w:line="360" w:lineRule="auto"/>
        <w:ind w:firstLine="482" w:firstLineChars="200"/>
        <w:rPr>
          <w:rFonts w:ascii="宋体" w:hAnsi="宋体"/>
          <w:color w:val="auto"/>
          <w:sz w:val="24"/>
        </w:rPr>
      </w:pPr>
      <w:r>
        <w:rPr>
          <w:rFonts w:hint="eastAsia" w:ascii="宋体" w:hAnsi="宋体"/>
          <w:b/>
          <w:bCs/>
          <w:color w:val="auto"/>
          <w:sz w:val="24"/>
        </w:rPr>
        <w:t>后附</w:t>
      </w:r>
      <w:r>
        <w:rPr>
          <w:rFonts w:ascii="宋体" w:hAnsi="宋体"/>
          <w:b/>
          <w:bCs/>
          <w:color w:val="auto"/>
          <w:sz w:val="24"/>
        </w:rPr>
        <w:t>：上述项目的</w:t>
      </w:r>
      <w:r>
        <w:rPr>
          <w:rFonts w:hint="eastAsia" w:ascii="宋体" w:hAnsi="宋体"/>
          <w:b/>
          <w:bCs/>
          <w:color w:val="auto"/>
          <w:sz w:val="24"/>
        </w:rPr>
        <w:t>中标通知书或合同</w:t>
      </w:r>
      <w:r>
        <w:rPr>
          <w:rFonts w:ascii="宋体" w:hAnsi="宋体"/>
          <w:b/>
          <w:bCs/>
          <w:color w:val="auto"/>
          <w:sz w:val="24"/>
        </w:rPr>
        <w:t>（包括</w:t>
      </w:r>
      <w:r>
        <w:rPr>
          <w:rFonts w:hint="eastAsia" w:ascii="宋体" w:hAnsi="宋体"/>
          <w:b/>
          <w:bCs/>
          <w:color w:val="auto"/>
          <w:sz w:val="24"/>
        </w:rPr>
        <w:t>：项目名称、</w:t>
      </w:r>
      <w:r>
        <w:rPr>
          <w:rFonts w:ascii="宋体" w:hAnsi="宋体"/>
          <w:b/>
          <w:bCs/>
          <w:color w:val="auto"/>
          <w:sz w:val="24"/>
        </w:rPr>
        <w:t>签约时间、</w:t>
      </w:r>
      <w:r>
        <w:rPr>
          <w:rFonts w:hint="eastAsia" w:ascii="宋体" w:hAnsi="宋体"/>
          <w:b/>
          <w:bCs/>
          <w:color w:val="auto"/>
          <w:sz w:val="24"/>
        </w:rPr>
        <w:t>中标</w:t>
      </w:r>
      <w:r>
        <w:rPr>
          <w:rFonts w:ascii="宋体" w:hAnsi="宋体"/>
          <w:b/>
          <w:bCs/>
          <w:color w:val="auto"/>
          <w:sz w:val="24"/>
        </w:rPr>
        <w:t>金额和双方</w:t>
      </w:r>
      <w:r>
        <w:rPr>
          <w:rFonts w:hint="eastAsia" w:ascii="宋体" w:hAnsi="宋体"/>
          <w:b/>
          <w:bCs/>
          <w:color w:val="auto"/>
          <w:sz w:val="24"/>
        </w:rPr>
        <w:t>签字并</w:t>
      </w:r>
      <w:r>
        <w:rPr>
          <w:rFonts w:ascii="宋体" w:hAnsi="宋体"/>
          <w:b/>
          <w:bCs/>
          <w:color w:val="auto"/>
          <w:sz w:val="24"/>
        </w:rPr>
        <w:t>盖章）复印件</w:t>
      </w:r>
      <w:r>
        <w:rPr>
          <w:rFonts w:ascii="宋体" w:hAnsi="宋体"/>
          <w:b/>
          <w:color w:val="auto"/>
          <w:sz w:val="24"/>
        </w:rPr>
        <w:t>，否则该项业绩视为无效。</w:t>
      </w:r>
    </w:p>
    <w:p w14:paraId="4B753EB3">
      <w:pPr>
        <w:tabs>
          <w:tab w:val="left" w:pos="1365"/>
        </w:tabs>
        <w:wordWrap w:val="0"/>
        <w:spacing w:line="360" w:lineRule="auto"/>
        <w:ind w:firstLine="480" w:firstLineChars="200"/>
        <w:rPr>
          <w:rFonts w:ascii="宋体" w:hAnsi="宋体"/>
          <w:color w:val="auto"/>
          <w:sz w:val="24"/>
        </w:rPr>
      </w:pPr>
      <w:bookmarkStart w:id="84" w:name="_Toc424468844"/>
      <w:r>
        <w:rPr>
          <w:rFonts w:hint="eastAsia" w:ascii="宋体" w:hAnsi="宋体"/>
          <w:color w:val="auto"/>
          <w:sz w:val="24"/>
          <w:lang w:eastAsia="zh-CN"/>
        </w:rPr>
        <w:t>供应商名称</w:t>
      </w:r>
      <w:r>
        <w:rPr>
          <w:rFonts w:hint="eastAsia" w:ascii="宋体" w:hAnsi="宋体"/>
          <w:color w:val="auto"/>
          <w:sz w:val="24"/>
        </w:rPr>
        <w:t>：</w:t>
      </w:r>
      <w:r>
        <w:rPr>
          <w:rFonts w:hint="eastAsia" w:ascii="宋体" w:hAnsi="宋体"/>
          <w:color w:val="auto"/>
          <w:sz w:val="24"/>
          <w:u w:val="single"/>
        </w:rPr>
        <w:t xml:space="preserve">                                 </w:t>
      </w:r>
      <w:r>
        <w:rPr>
          <w:rFonts w:hint="eastAsia" w:ascii="宋体" w:hAnsi="宋体"/>
          <w:color w:val="auto"/>
          <w:sz w:val="24"/>
        </w:rPr>
        <w:t>（盖单位公章）</w:t>
      </w:r>
    </w:p>
    <w:p w14:paraId="4AD62C6B">
      <w:pPr>
        <w:tabs>
          <w:tab w:val="left" w:pos="1365"/>
        </w:tabs>
        <w:wordWrap w:val="0"/>
        <w:spacing w:line="360" w:lineRule="auto"/>
        <w:ind w:firstLine="480" w:firstLineChars="200"/>
        <w:rPr>
          <w:rFonts w:ascii="宋体" w:hAnsi="宋体"/>
          <w:color w:val="auto"/>
          <w:sz w:val="24"/>
        </w:rPr>
      </w:pPr>
      <w:r>
        <w:rPr>
          <w:rFonts w:hint="eastAsia" w:ascii="宋体" w:hAnsi="宋体"/>
          <w:bCs/>
          <w:color w:val="auto"/>
          <w:sz w:val="24"/>
        </w:rPr>
        <w:t>法定代表人或委托代理人</w:t>
      </w:r>
      <w:r>
        <w:rPr>
          <w:rFonts w:hint="eastAsia" w:ascii="宋体" w:hAnsi="宋体"/>
          <w:color w:val="auto"/>
          <w:sz w:val="24"/>
        </w:rPr>
        <w:t>：</w:t>
      </w:r>
      <w:r>
        <w:rPr>
          <w:rFonts w:hint="eastAsia" w:ascii="宋体" w:hAnsi="宋体"/>
          <w:color w:val="auto"/>
          <w:sz w:val="24"/>
          <w:u w:val="single"/>
        </w:rPr>
        <w:t xml:space="preserve">                     </w:t>
      </w:r>
      <w:r>
        <w:rPr>
          <w:rFonts w:hint="eastAsia" w:ascii="宋体" w:hAnsi="宋体"/>
          <w:color w:val="auto"/>
          <w:sz w:val="24"/>
        </w:rPr>
        <w:t>（签字或签章）</w:t>
      </w:r>
    </w:p>
    <w:p w14:paraId="5281B368">
      <w:pPr>
        <w:wordWrap w:val="0"/>
        <w:spacing w:before="120" w:beforeLines="50" w:after="120" w:afterLines="50" w:line="360" w:lineRule="auto"/>
        <w:ind w:left="-710" w:leftChars="-338" w:firstLine="1200" w:firstLineChars="500"/>
        <w:jc w:val="left"/>
        <w:rPr>
          <w:rFonts w:hint="eastAsia" w:ascii="宋体" w:hAnsi="宋体"/>
          <w:b/>
          <w:color w:val="auto"/>
          <w:sz w:val="32"/>
          <w:szCs w:val="32"/>
        </w:rPr>
      </w:pPr>
      <w:r>
        <w:rPr>
          <w:rFonts w:hint="eastAsia" w:ascii="宋体" w:hAnsi="宋体"/>
          <w:color w:val="auto"/>
          <w:sz w:val="24"/>
        </w:rPr>
        <w:t>日      期：</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w:t>
      </w:r>
    </w:p>
    <w:p w14:paraId="509C93D7">
      <w:pPr>
        <w:wordWrap w:val="0"/>
        <w:spacing w:before="120" w:beforeLines="50" w:after="120" w:afterLines="50" w:line="360" w:lineRule="auto"/>
        <w:ind w:left="-710" w:leftChars="-338" w:firstLine="643" w:firstLineChars="200"/>
        <w:jc w:val="center"/>
        <w:rPr>
          <w:rFonts w:hint="eastAsia" w:ascii="宋体" w:hAnsi="宋体"/>
          <w:b/>
          <w:color w:val="auto"/>
          <w:sz w:val="32"/>
          <w:szCs w:val="32"/>
        </w:rPr>
      </w:pPr>
    </w:p>
    <w:p w14:paraId="7AE2213B">
      <w:pPr>
        <w:wordWrap w:val="0"/>
        <w:spacing w:before="120" w:beforeLines="50" w:after="120" w:afterLines="50" w:line="360" w:lineRule="auto"/>
        <w:ind w:left="-710" w:leftChars="-338" w:firstLine="643" w:firstLineChars="200"/>
        <w:jc w:val="center"/>
        <w:rPr>
          <w:rFonts w:hint="eastAsia" w:ascii="宋体" w:hAnsi="宋体"/>
          <w:b/>
          <w:color w:val="auto"/>
          <w:sz w:val="32"/>
          <w:szCs w:val="32"/>
        </w:rPr>
      </w:pPr>
    </w:p>
    <w:p w14:paraId="27C306CD">
      <w:pPr>
        <w:wordWrap w:val="0"/>
        <w:spacing w:before="120" w:beforeLines="50" w:after="120" w:afterLines="50" w:line="360" w:lineRule="auto"/>
        <w:ind w:left="-710" w:leftChars="-338" w:firstLine="643" w:firstLineChars="200"/>
        <w:jc w:val="center"/>
        <w:rPr>
          <w:rFonts w:hint="eastAsia" w:ascii="宋体" w:hAnsi="宋体"/>
          <w:b/>
          <w:color w:val="auto"/>
          <w:sz w:val="32"/>
          <w:szCs w:val="32"/>
        </w:rPr>
      </w:pPr>
    </w:p>
    <w:p w14:paraId="6EE0AFC9">
      <w:pPr>
        <w:wordWrap w:val="0"/>
        <w:spacing w:before="120" w:beforeLines="50" w:after="120" w:afterLines="50" w:line="360" w:lineRule="auto"/>
        <w:ind w:left="-710" w:leftChars="-338" w:firstLine="643" w:firstLineChars="200"/>
        <w:jc w:val="center"/>
        <w:rPr>
          <w:rFonts w:hint="eastAsia" w:ascii="宋体" w:hAnsi="宋体"/>
          <w:b/>
          <w:color w:val="auto"/>
          <w:sz w:val="32"/>
          <w:szCs w:val="32"/>
        </w:rPr>
      </w:pPr>
    </w:p>
    <w:p w14:paraId="6B701FF8">
      <w:pPr>
        <w:wordWrap w:val="0"/>
        <w:spacing w:before="120" w:beforeLines="50" w:after="120" w:afterLines="50" w:line="360" w:lineRule="auto"/>
        <w:ind w:left="-710" w:leftChars="-338" w:firstLine="643" w:firstLineChars="200"/>
        <w:jc w:val="center"/>
        <w:rPr>
          <w:rFonts w:hint="eastAsia" w:ascii="宋体" w:hAnsi="宋体"/>
          <w:b/>
          <w:color w:val="auto"/>
          <w:sz w:val="32"/>
          <w:szCs w:val="32"/>
        </w:rPr>
      </w:pPr>
    </w:p>
    <w:p w14:paraId="1225BF32">
      <w:pPr>
        <w:wordWrap w:val="0"/>
        <w:spacing w:before="120" w:beforeLines="50" w:after="120" w:afterLines="50" w:line="360" w:lineRule="auto"/>
        <w:ind w:left="-710" w:leftChars="-338" w:firstLine="643" w:firstLineChars="200"/>
        <w:jc w:val="center"/>
        <w:rPr>
          <w:rFonts w:hint="eastAsia" w:ascii="宋体" w:hAnsi="宋体"/>
          <w:b/>
          <w:color w:val="auto"/>
          <w:sz w:val="32"/>
          <w:szCs w:val="32"/>
        </w:rPr>
      </w:pPr>
    </w:p>
    <w:p w14:paraId="29E84555">
      <w:pPr>
        <w:pStyle w:val="3"/>
        <w:bidi w:val="0"/>
        <w:jc w:val="center"/>
      </w:pPr>
      <w:bookmarkStart w:id="85" w:name="_Toc18578"/>
      <w:r>
        <w:rPr>
          <w:rFonts w:hint="eastAsia"/>
          <w:lang w:eastAsia="zh-CN"/>
        </w:rPr>
        <w:t>十七</w:t>
      </w:r>
      <w:r>
        <w:rPr>
          <w:rFonts w:hint="eastAsia"/>
        </w:rPr>
        <w:t>、服务承诺</w:t>
      </w:r>
      <w:bookmarkEnd w:id="84"/>
      <w:bookmarkEnd w:id="85"/>
    </w:p>
    <w:p w14:paraId="378ABCF5">
      <w:pPr>
        <w:wordWrap w:val="0"/>
        <w:spacing w:line="360" w:lineRule="auto"/>
        <w:ind w:firstLine="643" w:firstLineChars="200"/>
        <w:jc w:val="center"/>
        <w:rPr>
          <w:rFonts w:hint="eastAsia" w:ascii="宋体" w:hAnsi="宋体" w:eastAsia="宋体"/>
          <w:b/>
          <w:color w:val="auto"/>
          <w:sz w:val="32"/>
          <w:szCs w:val="32"/>
          <w:lang w:eastAsia="zh-CN"/>
        </w:rPr>
      </w:pPr>
      <w:r>
        <w:rPr>
          <w:rFonts w:hint="eastAsia" w:ascii="宋体" w:hAnsi="宋体"/>
          <w:b/>
          <w:color w:val="auto"/>
          <w:sz w:val="32"/>
          <w:szCs w:val="32"/>
          <w:lang w:eastAsia="zh-CN"/>
        </w:rPr>
        <w:t>格式自拟</w:t>
      </w:r>
    </w:p>
    <w:p w14:paraId="5AE8B0B1">
      <w:pPr>
        <w:wordWrap w:val="0"/>
        <w:spacing w:line="360" w:lineRule="auto"/>
        <w:ind w:firstLine="643" w:firstLineChars="200"/>
        <w:jc w:val="center"/>
        <w:rPr>
          <w:rFonts w:hint="eastAsia" w:ascii="宋体" w:hAnsi="宋体"/>
          <w:b/>
          <w:color w:val="auto"/>
          <w:sz w:val="32"/>
          <w:szCs w:val="32"/>
        </w:rPr>
      </w:pPr>
    </w:p>
    <w:p w14:paraId="28912A51">
      <w:pPr>
        <w:wordWrap w:val="0"/>
        <w:spacing w:line="360" w:lineRule="auto"/>
        <w:ind w:firstLine="643" w:firstLineChars="200"/>
        <w:jc w:val="center"/>
        <w:rPr>
          <w:rFonts w:hint="eastAsia" w:ascii="宋体" w:hAnsi="宋体"/>
          <w:b/>
          <w:color w:val="auto"/>
          <w:sz w:val="32"/>
          <w:szCs w:val="32"/>
        </w:rPr>
      </w:pPr>
    </w:p>
    <w:p w14:paraId="629B598C">
      <w:pPr>
        <w:tabs>
          <w:tab w:val="left" w:pos="1365"/>
        </w:tabs>
        <w:wordWrap w:val="0"/>
        <w:spacing w:line="360" w:lineRule="auto"/>
        <w:rPr>
          <w:rFonts w:hint="eastAsia" w:ascii="宋体" w:hAnsi="宋体"/>
          <w:b/>
          <w:color w:val="auto"/>
          <w:sz w:val="32"/>
          <w:szCs w:val="32"/>
        </w:rPr>
      </w:pPr>
      <w:bookmarkStart w:id="86" w:name="_Toc424468861"/>
    </w:p>
    <w:p w14:paraId="16646DE5">
      <w:pPr>
        <w:tabs>
          <w:tab w:val="left" w:pos="1365"/>
        </w:tabs>
        <w:wordWrap w:val="0"/>
        <w:spacing w:line="360" w:lineRule="auto"/>
        <w:ind w:firstLine="643" w:firstLineChars="200"/>
        <w:jc w:val="center"/>
        <w:rPr>
          <w:rFonts w:hint="eastAsia" w:ascii="宋体" w:hAnsi="宋体"/>
          <w:b/>
          <w:color w:val="auto"/>
          <w:sz w:val="32"/>
          <w:szCs w:val="32"/>
        </w:rPr>
      </w:pPr>
    </w:p>
    <w:p w14:paraId="71793775">
      <w:pPr>
        <w:tabs>
          <w:tab w:val="left" w:pos="1365"/>
        </w:tabs>
        <w:wordWrap w:val="0"/>
        <w:spacing w:line="360" w:lineRule="auto"/>
        <w:ind w:firstLine="643" w:firstLineChars="200"/>
        <w:jc w:val="center"/>
        <w:rPr>
          <w:rFonts w:hint="eastAsia" w:ascii="宋体" w:hAnsi="宋体"/>
          <w:b/>
          <w:color w:val="auto"/>
          <w:sz w:val="32"/>
          <w:szCs w:val="32"/>
        </w:rPr>
      </w:pPr>
    </w:p>
    <w:p w14:paraId="3D5D4997">
      <w:pPr>
        <w:tabs>
          <w:tab w:val="left" w:pos="1365"/>
        </w:tabs>
        <w:wordWrap w:val="0"/>
        <w:spacing w:line="360" w:lineRule="auto"/>
        <w:ind w:firstLine="643" w:firstLineChars="200"/>
        <w:jc w:val="center"/>
        <w:rPr>
          <w:rFonts w:hint="eastAsia" w:ascii="宋体" w:hAnsi="宋体"/>
          <w:b/>
          <w:color w:val="auto"/>
          <w:sz w:val="32"/>
          <w:szCs w:val="32"/>
        </w:rPr>
      </w:pPr>
    </w:p>
    <w:p w14:paraId="6AB12BB2">
      <w:pPr>
        <w:tabs>
          <w:tab w:val="left" w:pos="1365"/>
        </w:tabs>
        <w:wordWrap w:val="0"/>
        <w:spacing w:line="360" w:lineRule="auto"/>
        <w:ind w:firstLine="643" w:firstLineChars="200"/>
        <w:jc w:val="center"/>
        <w:rPr>
          <w:rFonts w:hint="eastAsia" w:ascii="宋体" w:hAnsi="宋体"/>
          <w:b/>
          <w:color w:val="auto"/>
          <w:sz w:val="32"/>
          <w:szCs w:val="32"/>
        </w:rPr>
      </w:pPr>
    </w:p>
    <w:p w14:paraId="352D0758">
      <w:pPr>
        <w:tabs>
          <w:tab w:val="left" w:pos="1365"/>
        </w:tabs>
        <w:wordWrap w:val="0"/>
        <w:spacing w:line="360" w:lineRule="auto"/>
        <w:ind w:firstLine="643" w:firstLineChars="200"/>
        <w:jc w:val="center"/>
        <w:rPr>
          <w:rFonts w:hint="eastAsia" w:ascii="宋体" w:hAnsi="宋体"/>
          <w:b/>
          <w:color w:val="auto"/>
          <w:sz w:val="32"/>
          <w:szCs w:val="32"/>
        </w:rPr>
      </w:pPr>
    </w:p>
    <w:p w14:paraId="0B2F999F">
      <w:pPr>
        <w:tabs>
          <w:tab w:val="left" w:pos="1365"/>
        </w:tabs>
        <w:wordWrap w:val="0"/>
        <w:spacing w:line="360" w:lineRule="auto"/>
        <w:ind w:firstLine="643" w:firstLineChars="200"/>
        <w:jc w:val="center"/>
        <w:rPr>
          <w:rFonts w:hint="eastAsia" w:ascii="宋体" w:hAnsi="宋体"/>
          <w:b/>
          <w:color w:val="auto"/>
          <w:sz w:val="32"/>
          <w:szCs w:val="32"/>
        </w:rPr>
      </w:pPr>
    </w:p>
    <w:p w14:paraId="193F2B31">
      <w:pPr>
        <w:tabs>
          <w:tab w:val="left" w:pos="1365"/>
        </w:tabs>
        <w:wordWrap w:val="0"/>
        <w:spacing w:line="360" w:lineRule="auto"/>
        <w:ind w:firstLine="643" w:firstLineChars="200"/>
        <w:jc w:val="center"/>
        <w:rPr>
          <w:rFonts w:hint="eastAsia" w:ascii="宋体" w:hAnsi="宋体"/>
          <w:b/>
          <w:color w:val="auto"/>
          <w:sz w:val="32"/>
          <w:szCs w:val="32"/>
        </w:rPr>
      </w:pPr>
    </w:p>
    <w:p w14:paraId="2A93D7EF">
      <w:pPr>
        <w:tabs>
          <w:tab w:val="left" w:pos="1365"/>
        </w:tabs>
        <w:wordWrap w:val="0"/>
        <w:spacing w:line="360" w:lineRule="auto"/>
        <w:ind w:firstLine="643" w:firstLineChars="200"/>
        <w:jc w:val="center"/>
        <w:rPr>
          <w:rFonts w:hint="eastAsia" w:ascii="宋体" w:hAnsi="宋体"/>
          <w:b/>
          <w:color w:val="auto"/>
          <w:sz w:val="32"/>
          <w:szCs w:val="32"/>
        </w:rPr>
      </w:pPr>
    </w:p>
    <w:p w14:paraId="67D2CD1E">
      <w:pPr>
        <w:tabs>
          <w:tab w:val="left" w:pos="1365"/>
        </w:tabs>
        <w:wordWrap w:val="0"/>
        <w:spacing w:line="360" w:lineRule="auto"/>
        <w:ind w:firstLine="643" w:firstLineChars="200"/>
        <w:jc w:val="center"/>
        <w:rPr>
          <w:rFonts w:hint="eastAsia" w:ascii="宋体" w:hAnsi="宋体"/>
          <w:b/>
          <w:color w:val="auto"/>
          <w:sz w:val="32"/>
          <w:szCs w:val="32"/>
        </w:rPr>
      </w:pPr>
    </w:p>
    <w:bookmarkEnd w:id="73"/>
    <w:bookmarkEnd w:id="74"/>
    <w:bookmarkEnd w:id="75"/>
    <w:bookmarkEnd w:id="86"/>
    <w:p w14:paraId="7E282412">
      <w:pPr>
        <w:rPr>
          <w:rFonts w:hint="eastAsia"/>
          <w:lang w:val="en-US" w:eastAsia="zh-CN"/>
        </w:rPr>
      </w:pPr>
      <w:r>
        <w:rPr>
          <w:rFonts w:hint="eastAsia"/>
          <w:lang w:val="en-US" w:eastAsia="zh-CN"/>
        </w:rPr>
        <w:br w:type="page"/>
      </w:r>
    </w:p>
    <w:p w14:paraId="5119AB5D">
      <w:pPr>
        <w:pStyle w:val="3"/>
        <w:bidi w:val="0"/>
        <w:jc w:val="center"/>
        <w:rPr>
          <w:lang w:eastAsia="en-US"/>
        </w:rPr>
      </w:pPr>
      <w:bookmarkStart w:id="87" w:name="_Toc31436"/>
      <w:r>
        <w:rPr>
          <w:rFonts w:hint="eastAsia"/>
          <w:lang w:val="en-US" w:eastAsia="zh-CN"/>
        </w:rPr>
        <w:t>十八、</w:t>
      </w:r>
      <w:r>
        <w:rPr>
          <w:rFonts w:hint="eastAsia"/>
          <w:lang w:eastAsia="en-US"/>
        </w:rPr>
        <w:t>实施方案</w:t>
      </w:r>
      <w:bookmarkEnd w:id="87"/>
    </w:p>
    <w:p w14:paraId="05EF1CB7">
      <w:pPr>
        <w:wordWrap w:val="0"/>
        <w:spacing w:before="275" w:line="357" w:lineRule="auto"/>
        <w:ind w:left="555" w:right="3855"/>
        <w:rPr>
          <w:rFonts w:ascii="宋体" w:hAnsi="宋体" w:cs="宋体"/>
          <w:szCs w:val="21"/>
        </w:rPr>
      </w:pPr>
    </w:p>
    <w:p w14:paraId="67C0B3D3">
      <w:pPr>
        <w:wordWrap w:val="0"/>
        <w:spacing w:line="360" w:lineRule="auto"/>
        <w:ind w:firstLine="643" w:firstLineChars="200"/>
        <w:jc w:val="center"/>
        <w:rPr>
          <w:rFonts w:hint="eastAsia" w:ascii="宋体" w:hAnsi="宋体" w:eastAsia="宋体" w:cs="Times New Roman"/>
          <w:b/>
          <w:color w:val="auto"/>
          <w:sz w:val="32"/>
          <w:szCs w:val="32"/>
          <w:lang w:eastAsia="zh-CN"/>
        </w:rPr>
        <w:sectPr>
          <w:pgSz w:w="12240" w:h="15840"/>
          <w:pgMar w:top="1400" w:right="1720" w:bottom="1120" w:left="1720" w:header="0" w:footer="921" w:gutter="0"/>
          <w:cols w:space="720" w:num="1"/>
        </w:sectPr>
      </w:pPr>
      <w:r>
        <w:rPr>
          <w:rFonts w:hint="eastAsia" w:ascii="宋体" w:hAnsi="宋体" w:eastAsia="宋体" w:cs="Times New Roman"/>
          <w:b/>
          <w:color w:val="auto"/>
          <w:sz w:val="32"/>
          <w:szCs w:val="32"/>
          <w:lang w:eastAsia="zh-CN"/>
        </w:rPr>
        <w:t>格式自拟</w:t>
      </w:r>
    </w:p>
    <w:p w14:paraId="03AEE92D">
      <w:pPr>
        <w:rPr>
          <w:rFonts w:hint="eastAsia" w:ascii="Cambria" w:hAnsi="Cambria" w:eastAsia="宋体" w:cs="Times New Roman"/>
          <w:b/>
          <w:bCs/>
          <w:kern w:val="2"/>
          <w:sz w:val="32"/>
          <w:szCs w:val="32"/>
          <w:lang w:val="en-US" w:eastAsia="zh-CN" w:bidi="ar-SA"/>
        </w:rPr>
      </w:pPr>
    </w:p>
    <w:p w14:paraId="609E6036">
      <w:pPr>
        <w:wordWrap w:val="0"/>
        <w:spacing w:line="360" w:lineRule="auto"/>
        <w:jc w:val="center"/>
        <w:rPr>
          <w:rFonts w:hint="eastAsia" w:ascii="Cambria" w:hAnsi="Cambria" w:eastAsia="宋体" w:cs="Times New Roman"/>
          <w:b/>
          <w:bCs/>
          <w:kern w:val="2"/>
          <w:sz w:val="32"/>
          <w:szCs w:val="32"/>
          <w:lang w:val="en-US" w:eastAsia="zh-CN" w:bidi="ar-SA"/>
        </w:rPr>
      </w:pPr>
      <w:r>
        <w:rPr>
          <w:rFonts w:hint="eastAsia" w:ascii="Cambria" w:hAnsi="Cambria" w:eastAsia="宋体" w:cs="Times New Roman"/>
          <w:b/>
          <w:bCs/>
          <w:kern w:val="2"/>
          <w:sz w:val="32"/>
          <w:szCs w:val="32"/>
          <w:lang w:val="en-US" w:eastAsia="zh-CN" w:bidi="ar-SA"/>
        </w:rPr>
        <w:t>十九、供应商可结合本项目自身情况自行提交其它相关证明材料</w:t>
      </w:r>
    </w:p>
    <w:p w14:paraId="5FC4ADE2">
      <w:pPr>
        <w:shd w:val="clear" w:color="auto" w:fill="FFFFFF"/>
        <w:spacing w:after="240" w:line="360" w:lineRule="atLeast"/>
        <w:ind w:firstLine="480"/>
        <w:jc w:val="center"/>
        <w:rPr>
          <w:rFonts w:hint="eastAsia" w:ascii="Cambria" w:hAnsi="Cambria" w:eastAsia="宋体" w:cs="Times New Roman"/>
          <w:b/>
          <w:bCs/>
          <w:kern w:val="2"/>
          <w:sz w:val="32"/>
          <w:szCs w:val="32"/>
          <w:lang w:val="en-US" w:eastAsia="zh-CN" w:bidi="ar-SA"/>
        </w:rPr>
      </w:pPr>
      <w:r>
        <w:rPr>
          <w:rFonts w:hint="eastAsia" w:ascii="Cambria" w:hAnsi="Cambria" w:eastAsia="宋体" w:cs="Times New Roman"/>
          <w:b/>
          <w:bCs/>
          <w:kern w:val="2"/>
          <w:sz w:val="32"/>
          <w:szCs w:val="32"/>
          <w:lang w:val="en-US" w:eastAsia="zh-CN" w:bidi="ar-SA"/>
        </w:rPr>
        <w:t>格式自拟</w:t>
      </w:r>
    </w:p>
    <w:p w14:paraId="7084B482">
      <w:pPr>
        <w:rPr>
          <w:rFonts w:hint="eastAsia" w:ascii="Cambria" w:hAnsi="Cambria" w:eastAsia="宋体" w:cs="Times New Roman"/>
          <w:b/>
          <w:bCs/>
          <w:kern w:val="2"/>
          <w:sz w:val="32"/>
          <w:szCs w:val="32"/>
          <w:lang w:val="en-US" w:eastAsia="zh-CN" w:bidi="ar-SA"/>
        </w:rPr>
      </w:pPr>
    </w:p>
    <w:p w14:paraId="64AAC638">
      <w:pPr>
        <w:pStyle w:val="31"/>
        <w:ind w:firstLine="640"/>
        <w:rPr>
          <w:rFonts w:ascii="宋体" w:hAnsi="宋体" w:eastAsia="宋体" w:cs="宋体"/>
          <w:sz w:val="32"/>
          <w:szCs w:val="32"/>
        </w:rPr>
      </w:pPr>
    </w:p>
    <w:p w14:paraId="681F5DF3">
      <w:pPr>
        <w:pStyle w:val="31"/>
        <w:ind w:firstLine="640"/>
        <w:rPr>
          <w:rFonts w:ascii="宋体" w:hAnsi="宋体" w:eastAsia="宋体" w:cs="宋体"/>
          <w:sz w:val="32"/>
          <w:szCs w:val="32"/>
        </w:rPr>
      </w:pPr>
    </w:p>
    <w:p w14:paraId="1FC4A03B">
      <w:pPr>
        <w:pStyle w:val="31"/>
        <w:ind w:firstLine="640"/>
        <w:rPr>
          <w:rFonts w:ascii="宋体" w:hAnsi="宋体" w:eastAsia="宋体" w:cs="宋体"/>
          <w:sz w:val="32"/>
          <w:szCs w:val="32"/>
        </w:rPr>
      </w:pPr>
    </w:p>
    <w:p w14:paraId="3147BA67">
      <w:pPr>
        <w:pStyle w:val="31"/>
        <w:ind w:firstLine="640"/>
        <w:rPr>
          <w:rFonts w:ascii="宋体" w:hAnsi="宋体" w:eastAsia="宋体" w:cs="宋体"/>
          <w:sz w:val="32"/>
          <w:szCs w:val="32"/>
        </w:rPr>
      </w:pPr>
    </w:p>
    <w:p w14:paraId="3440362D">
      <w:pPr>
        <w:pStyle w:val="31"/>
        <w:ind w:firstLine="640"/>
        <w:rPr>
          <w:rFonts w:ascii="宋体" w:hAnsi="宋体" w:eastAsia="宋体" w:cs="宋体"/>
          <w:sz w:val="32"/>
          <w:szCs w:val="32"/>
        </w:rPr>
      </w:pPr>
    </w:p>
    <w:p w14:paraId="7CB84332">
      <w:pPr>
        <w:pStyle w:val="31"/>
        <w:ind w:firstLine="640"/>
        <w:rPr>
          <w:rFonts w:ascii="宋体" w:hAnsi="宋体" w:eastAsia="宋体" w:cs="宋体"/>
          <w:sz w:val="32"/>
          <w:szCs w:val="32"/>
        </w:rPr>
      </w:pPr>
    </w:p>
    <w:p w14:paraId="2FFC4507">
      <w:pPr>
        <w:pStyle w:val="31"/>
        <w:ind w:firstLine="640"/>
        <w:rPr>
          <w:rFonts w:ascii="宋体" w:hAnsi="宋体" w:eastAsia="宋体" w:cs="宋体"/>
          <w:sz w:val="32"/>
          <w:szCs w:val="32"/>
        </w:rPr>
      </w:pPr>
    </w:p>
    <w:p w14:paraId="1592EA3D">
      <w:pPr>
        <w:pStyle w:val="31"/>
        <w:ind w:firstLine="640"/>
        <w:rPr>
          <w:rFonts w:ascii="宋体" w:hAnsi="宋体" w:eastAsia="宋体" w:cs="宋体"/>
          <w:sz w:val="32"/>
          <w:szCs w:val="32"/>
        </w:rPr>
      </w:pPr>
    </w:p>
    <w:p w14:paraId="77C2CDDA">
      <w:pPr>
        <w:pStyle w:val="31"/>
        <w:ind w:firstLine="640"/>
        <w:rPr>
          <w:rFonts w:ascii="宋体" w:hAnsi="宋体" w:eastAsia="宋体" w:cs="宋体"/>
          <w:sz w:val="32"/>
          <w:szCs w:val="32"/>
        </w:rPr>
      </w:pPr>
    </w:p>
    <w:p w14:paraId="67F54C2A">
      <w:pPr>
        <w:pStyle w:val="31"/>
        <w:ind w:firstLine="640"/>
        <w:rPr>
          <w:rFonts w:ascii="宋体" w:hAnsi="宋体" w:eastAsia="宋体" w:cs="宋体"/>
          <w:sz w:val="32"/>
          <w:szCs w:val="32"/>
        </w:rPr>
      </w:pPr>
    </w:p>
    <w:p w14:paraId="43D25E84">
      <w:pPr>
        <w:pStyle w:val="31"/>
        <w:ind w:firstLine="640"/>
        <w:rPr>
          <w:rFonts w:ascii="宋体" w:hAnsi="宋体" w:eastAsia="宋体" w:cs="宋体"/>
          <w:sz w:val="32"/>
          <w:szCs w:val="32"/>
        </w:rPr>
      </w:pPr>
    </w:p>
    <w:p w14:paraId="765A063A">
      <w:pPr>
        <w:pStyle w:val="31"/>
        <w:ind w:firstLine="640"/>
        <w:rPr>
          <w:rFonts w:ascii="宋体" w:hAnsi="宋体" w:eastAsia="宋体" w:cs="宋体"/>
          <w:sz w:val="32"/>
          <w:szCs w:val="32"/>
        </w:rPr>
      </w:pPr>
    </w:p>
    <w:p w14:paraId="2CB9D08D">
      <w:pPr>
        <w:pStyle w:val="31"/>
        <w:ind w:firstLine="640"/>
        <w:rPr>
          <w:rFonts w:ascii="宋体" w:hAnsi="宋体" w:eastAsia="宋体" w:cs="宋体"/>
          <w:sz w:val="32"/>
          <w:szCs w:val="32"/>
        </w:rPr>
      </w:pPr>
    </w:p>
    <w:p w14:paraId="6D3BCF51">
      <w:pPr>
        <w:pStyle w:val="31"/>
        <w:ind w:firstLine="640"/>
        <w:rPr>
          <w:rFonts w:ascii="宋体" w:hAnsi="宋体" w:eastAsia="宋体" w:cs="宋体"/>
          <w:sz w:val="32"/>
          <w:szCs w:val="32"/>
        </w:rPr>
      </w:pPr>
    </w:p>
    <w:p w14:paraId="147C6882">
      <w:pPr>
        <w:pStyle w:val="31"/>
        <w:ind w:firstLine="640"/>
        <w:rPr>
          <w:rFonts w:ascii="宋体" w:hAnsi="宋体" w:eastAsia="宋体" w:cs="宋体"/>
          <w:sz w:val="32"/>
          <w:szCs w:val="32"/>
        </w:rPr>
      </w:pPr>
    </w:p>
    <w:p w14:paraId="70C18923">
      <w:pPr>
        <w:pStyle w:val="31"/>
        <w:ind w:firstLine="640"/>
        <w:rPr>
          <w:rFonts w:ascii="宋体" w:hAnsi="宋体" w:eastAsia="宋体" w:cs="宋体"/>
          <w:sz w:val="32"/>
          <w:szCs w:val="32"/>
        </w:rPr>
      </w:pPr>
    </w:p>
    <w:p w14:paraId="1C34F85F">
      <w:pPr>
        <w:pStyle w:val="31"/>
        <w:ind w:firstLine="640"/>
        <w:rPr>
          <w:rFonts w:ascii="宋体" w:hAnsi="宋体" w:eastAsia="宋体" w:cs="宋体"/>
          <w:sz w:val="32"/>
          <w:szCs w:val="32"/>
        </w:rPr>
      </w:pPr>
    </w:p>
    <w:p w14:paraId="01E8915D">
      <w:pPr>
        <w:pStyle w:val="31"/>
        <w:ind w:firstLine="640"/>
        <w:rPr>
          <w:rFonts w:ascii="宋体" w:hAnsi="宋体" w:eastAsia="宋体" w:cs="宋体"/>
          <w:sz w:val="32"/>
          <w:szCs w:val="32"/>
        </w:rPr>
      </w:pPr>
    </w:p>
    <w:p w14:paraId="218AA9DB">
      <w:pPr>
        <w:pStyle w:val="31"/>
        <w:ind w:firstLine="640"/>
        <w:rPr>
          <w:rFonts w:ascii="宋体" w:hAnsi="宋体" w:eastAsia="宋体" w:cs="宋体"/>
          <w:sz w:val="32"/>
          <w:szCs w:val="32"/>
        </w:rPr>
      </w:pPr>
    </w:p>
    <w:p w14:paraId="368E98C1">
      <w:pPr>
        <w:pStyle w:val="31"/>
        <w:ind w:firstLine="640"/>
        <w:rPr>
          <w:rFonts w:ascii="宋体" w:hAnsi="宋体" w:eastAsia="宋体" w:cs="宋体"/>
          <w:sz w:val="32"/>
          <w:szCs w:val="32"/>
        </w:rPr>
      </w:pPr>
    </w:p>
    <w:p w14:paraId="54ACD1B3">
      <w:pPr>
        <w:pStyle w:val="31"/>
        <w:ind w:firstLine="640"/>
        <w:rPr>
          <w:rFonts w:ascii="宋体" w:hAnsi="宋体" w:eastAsia="宋体" w:cs="宋体"/>
          <w:sz w:val="32"/>
          <w:szCs w:val="32"/>
        </w:rPr>
      </w:pPr>
    </w:p>
    <w:p w14:paraId="52499CD9">
      <w:pPr>
        <w:pStyle w:val="31"/>
        <w:ind w:firstLine="640"/>
        <w:rPr>
          <w:rFonts w:ascii="宋体" w:hAnsi="宋体" w:eastAsia="宋体" w:cs="宋体"/>
          <w:sz w:val="32"/>
          <w:szCs w:val="32"/>
        </w:rPr>
      </w:pPr>
    </w:p>
    <w:p w14:paraId="16022C69">
      <w:pPr>
        <w:pStyle w:val="31"/>
        <w:ind w:firstLine="640"/>
        <w:rPr>
          <w:rFonts w:ascii="宋体" w:hAnsi="宋体" w:eastAsia="宋体" w:cs="宋体"/>
          <w:sz w:val="32"/>
          <w:szCs w:val="32"/>
        </w:rPr>
      </w:pPr>
    </w:p>
    <w:p w14:paraId="16C63E45">
      <w:pPr>
        <w:pStyle w:val="31"/>
        <w:ind w:firstLine="640"/>
        <w:rPr>
          <w:rFonts w:ascii="宋体" w:hAnsi="宋体" w:eastAsia="宋体" w:cs="宋体"/>
          <w:sz w:val="32"/>
          <w:szCs w:val="32"/>
        </w:rPr>
      </w:pPr>
    </w:p>
    <w:p w14:paraId="58A65834">
      <w:pPr>
        <w:pStyle w:val="31"/>
        <w:ind w:firstLine="640"/>
        <w:rPr>
          <w:rFonts w:ascii="宋体" w:hAnsi="宋体" w:eastAsia="宋体" w:cs="宋体"/>
          <w:sz w:val="32"/>
          <w:szCs w:val="32"/>
        </w:rPr>
      </w:pPr>
    </w:p>
    <w:p w14:paraId="48F15D3A">
      <w:pPr>
        <w:pStyle w:val="31"/>
        <w:ind w:firstLine="640"/>
        <w:rPr>
          <w:rFonts w:ascii="宋体" w:hAnsi="宋体" w:eastAsia="宋体" w:cs="宋体"/>
          <w:sz w:val="32"/>
          <w:szCs w:val="32"/>
        </w:rPr>
      </w:pPr>
    </w:p>
    <w:p w14:paraId="3E1CE5B3">
      <w:pPr>
        <w:pStyle w:val="31"/>
        <w:ind w:firstLine="640"/>
        <w:rPr>
          <w:rFonts w:ascii="宋体" w:hAnsi="宋体" w:eastAsia="宋体" w:cs="宋体"/>
          <w:sz w:val="32"/>
          <w:szCs w:val="32"/>
        </w:rPr>
      </w:pPr>
    </w:p>
    <w:p w14:paraId="2EA34F85">
      <w:pPr>
        <w:pStyle w:val="31"/>
        <w:ind w:firstLine="640"/>
        <w:rPr>
          <w:rFonts w:ascii="宋体" w:hAnsi="宋体" w:eastAsia="宋体" w:cs="宋体"/>
          <w:sz w:val="32"/>
          <w:szCs w:val="32"/>
        </w:rPr>
      </w:pPr>
    </w:p>
    <w:p w14:paraId="1AF58BAB">
      <w:pPr>
        <w:rPr>
          <w:rFonts w:ascii="宋体" w:hAnsi="宋体" w:eastAsia="宋体" w:cs="宋体"/>
          <w:sz w:val="32"/>
          <w:szCs w:val="32"/>
        </w:rPr>
      </w:pPr>
      <w:r>
        <w:rPr>
          <w:rFonts w:ascii="宋体" w:hAnsi="宋体" w:eastAsia="宋体" w:cs="宋体"/>
          <w:sz w:val="32"/>
          <w:szCs w:val="32"/>
        </w:rPr>
        <w:br w:type="page"/>
      </w:r>
    </w:p>
    <w:p w14:paraId="05596070">
      <w:pPr>
        <w:wordWrap w:val="0"/>
        <w:spacing w:line="315" w:lineRule="auto"/>
        <w:jc w:val="center"/>
        <w:rPr>
          <w:rFonts w:asciiTheme="minorEastAsia" w:hAnsiTheme="minorEastAsia" w:eastAsiaTheme="minorEastAsia" w:cstheme="minorEastAsia"/>
          <w:b/>
          <w:bCs/>
          <w:color w:val="auto"/>
          <w:sz w:val="32"/>
          <w:szCs w:val="32"/>
          <w:highlight w:val="none"/>
          <w:lang w:eastAsia="zh-CN"/>
        </w:rPr>
      </w:pPr>
      <w:r>
        <w:rPr>
          <w:rFonts w:hint="eastAsia" w:asciiTheme="minorEastAsia" w:hAnsiTheme="minorEastAsia" w:eastAsiaTheme="minorEastAsia" w:cstheme="minorEastAsia"/>
          <w:b/>
          <w:bCs/>
          <w:color w:val="auto"/>
          <w:sz w:val="32"/>
          <w:szCs w:val="32"/>
          <w:highlight w:val="none"/>
          <w:lang w:eastAsia="zh-CN"/>
        </w:rPr>
        <w:t>二十、最后报价表</w:t>
      </w:r>
    </w:p>
    <w:p w14:paraId="3A7A1596">
      <w:pPr>
        <w:wordWrap w:val="0"/>
        <w:spacing w:line="360" w:lineRule="auto"/>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 xml:space="preserve">项目名称：                       </w:t>
      </w:r>
    </w:p>
    <w:p w14:paraId="53321B7D">
      <w:pPr>
        <w:wordWrap w:val="0"/>
        <w:spacing w:line="360" w:lineRule="auto"/>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 w:val="24"/>
          <w:szCs w:val="24"/>
          <w:highlight w:val="none"/>
          <w:lang w:eastAsia="zh-CN"/>
        </w:rPr>
        <w:t>项目</w:t>
      </w:r>
      <w:r>
        <w:rPr>
          <w:rFonts w:hint="eastAsia" w:asciiTheme="minorEastAsia" w:hAnsiTheme="minorEastAsia" w:eastAsiaTheme="minorEastAsia" w:cstheme="minorEastAsia"/>
          <w:color w:val="auto"/>
          <w:sz w:val="24"/>
          <w:szCs w:val="24"/>
          <w:highlight w:val="none"/>
        </w:rPr>
        <w:t xml:space="preserve">编号： </w:t>
      </w:r>
      <w:r>
        <w:rPr>
          <w:rFonts w:hint="eastAsia" w:asciiTheme="minorEastAsia" w:hAnsiTheme="minorEastAsia" w:eastAsiaTheme="minorEastAsia" w:cstheme="minorEastAsia"/>
          <w:bCs/>
          <w:color w:val="auto"/>
          <w:szCs w:val="21"/>
          <w:highlight w:val="none"/>
        </w:rPr>
        <w:t xml:space="preserve">                                        </w:t>
      </w:r>
    </w:p>
    <w:tbl>
      <w:tblPr>
        <w:tblStyle w:val="15"/>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09"/>
        <w:gridCol w:w="6485"/>
      </w:tblGrid>
      <w:tr w14:paraId="31FCD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2" w:hRule="exact"/>
          <w:jc w:val="center"/>
        </w:trPr>
        <w:tc>
          <w:tcPr>
            <w:tcW w:w="1755" w:type="pct"/>
            <w:vAlign w:val="center"/>
          </w:tcPr>
          <w:p w14:paraId="7E746736">
            <w:pPr>
              <w:wordWrap w:val="0"/>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 w:val="24"/>
                <w:szCs w:val="24"/>
                <w:highlight w:val="none"/>
              </w:rPr>
              <w:t>供应商名称</w:t>
            </w:r>
          </w:p>
        </w:tc>
        <w:tc>
          <w:tcPr>
            <w:tcW w:w="3244" w:type="pct"/>
            <w:tcBorders>
              <w:right w:val="single" w:color="auto" w:sz="4" w:space="0"/>
            </w:tcBorders>
            <w:vAlign w:val="center"/>
          </w:tcPr>
          <w:p w14:paraId="43578835">
            <w:pPr>
              <w:wordWrap w:val="0"/>
              <w:spacing w:line="360" w:lineRule="auto"/>
              <w:jc w:val="center"/>
              <w:rPr>
                <w:rFonts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 w:val="24"/>
                <w:szCs w:val="24"/>
                <w:highlight w:val="none"/>
              </w:rPr>
              <w:t>最后报价</w:t>
            </w:r>
            <w:r>
              <w:rPr>
                <w:rFonts w:hint="eastAsia" w:asciiTheme="minorEastAsia" w:hAnsiTheme="minorEastAsia" w:eastAsiaTheme="minorEastAsia" w:cstheme="minorEastAsia"/>
                <w:color w:val="auto"/>
                <w:sz w:val="24"/>
                <w:szCs w:val="24"/>
                <w:highlight w:val="none"/>
                <w:lang w:eastAsia="zh-CN"/>
              </w:rPr>
              <w:t>（元）</w:t>
            </w:r>
          </w:p>
        </w:tc>
      </w:tr>
      <w:tr w14:paraId="74965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1" w:hRule="exact"/>
          <w:jc w:val="center"/>
        </w:trPr>
        <w:tc>
          <w:tcPr>
            <w:tcW w:w="1755" w:type="pct"/>
            <w:vAlign w:val="center"/>
          </w:tcPr>
          <w:p w14:paraId="5E585F86">
            <w:pPr>
              <w:wordWrap w:val="0"/>
              <w:spacing w:line="360" w:lineRule="auto"/>
              <w:rPr>
                <w:rFonts w:asciiTheme="minorEastAsia" w:hAnsiTheme="minorEastAsia" w:eastAsiaTheme="minorEastAsia" w:cstheme="minorEastAsia"/>
                <w:color w:val="auto"/>
                <w:szCs w:val="21"/>
                <w:highlight w:val="none"/>
              </w:rPr>
            </w:pPr>
          </w:p>
        </w:tc>
        <w:tc>
          <w:tcPr>
            <w:tcW w:w="3244" w:type="pct"/>
            <w:tcBorders>
              <w:right w:val="single" w:color="auto" w:sz="4" w:space="0"/>
            </w:tcBorders>
            <w:vAlign w:val="center"/>
          </w:tcPr>
          <w:p w14:paraId="1CAB8318">
            <w:pPr>
              <w:wordWrap w:val="0"/>
              <w:spacing w:line="360" w:lineRule="auto"/>
              <w:jc w:val="center"/>
              <w:rPr>
                <w:rFonts w:asciiTheme="minorEastAsia" w:hAnsiTheme="minorEastAsia" w:eastAsiaTheme="minorEastAsia" w:cstheme="minorEastAsia"/>
                <w:color w:val="auto"/>
                <w:szCs w:val="21"/>
                <w:highlight w:val="none"/>
              </w:rPr>
            </w:pPr>
          </w:p>
        </w:tc>
      </w:tr>
    </w:tbl>
    <w:p w14:paraId="3B9ADB08">
      <w:pPr>
        <w:wordWrap w:val="0"/>
        <w:spacing w:line="360" w:lineRule="auto"/>
        <w:rPr>
          <w:rFonts w:asciiTheme="minorEastAsia" w:hAnsiTheme="minorEastAsia" w:eastAsiaTheme="minorEastAsia" w:cstheme="minorEastAsia"/>
          <w:color w:val="auto"/>
          <w:szCs w:val="21"/>
          <w:highlight w:val="none"/>
          <w:lang w:eastAsia="zh-CN"/>
        </w:rPr>
      </w:pPr>
    </w:p>
    <w:p w14:paraId="7B250E9D">
      <w:pPr>
        <w:wordWrap w:val="0"/>
        <w:spacing w:line="360" w:lineRule="auto"/>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注：1、此表不需填写，不需放入响应文件格式内。</w:t>
      </w:r>
    </w:p>
    <w:p w14:paraId="7C201187">
      <w:pPr>
        <w:wordWrap w:val="0"/>
        <w:spacing w:line="360" w:lineRule="auto"/>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2、此表为通过初步审查合格的供应商按照谈判要求及系统格式填写。</w:t>
      </w:r>
    </w:p>
    <w:p w14:paraId="3AA7E3B5">
      <w:pPr>
        <w:wordWrap w:val="0"/>
        <w:spacing w:line="315" w:lineRule="auto"/>
        <w:ind w:firstLine="480" w:firstLineChars="200"/>
        <w:rPr>
          <w:rFonts w:asciiTheme="minorEastAsia" w:hAnsiTheme="minorEastAsia" w:eastAsiaTheme="minorEastAsia" w:cstheme="minorEastAsia"/>
          <w:color w:val="auto"/>
          <w:sz w:val="24"/>
          <w:szCs w:val="24"/>
          <w:highlight w:val="none"/>
          <w:lang w:eastAsia="zh-CN"/>
        </w:rPr>
      </w:pPr>
    </w:p>
    <w:p w14:paraId="3D546CA7">
      <w:pPr>
        <w:wordWrap w:val="0"/>
        <w:rPr>
          <w:rFonts w:asciiTheme="minorEastAsia" w:hAnsiTheme="minorEastAsia" w:eastAsiaTheme="minorEastAsia" w:cstheme="minorEastAsia"/>
          <w:color w:val="auto"/>
          <w:sz w:val="24"/>
          <w:szCs w:val="24"/>
          <w:highlight w:val="none"/>
          <w:lang w:eastAsia="zh-CN"/>
        </w:rPr>
      </w:pPr>
    </w:p>
    <w:p w14:paraId="433AB8D3">
      <w:pPr>
        <w:wordWrap w:val="0"/>
        <w:rPr>
          <w:rFonts w:asciiTheme="minorEastAsia" w:hAnsiTheme="minorEastAsia" w:eastAsiaTheme="minorEastAsia" w:cstheme="minorEastAsia"/>
          <w:color w:val="auto"/>
          <w:sz w:val="24"/>
          <w:szCs w:val="24"/>
          <w:highlight w:val="none"/>
          <w:lang w:eastAsia="zh-CN"/>
        </w:rPr>
      </w:pPr>
    </w:p>
    <w:p w14:paraId="693868CF">
      <w:pPr>
        <w:wordWrap w:val="0"/>
        <w:rPr>
          <w:rFonts w:asciiTheme="minorEastAsia" w:hAnsiTheme="minorEastAsia" w:eastAsiaTheme="minorEastAsia" w:cstheme="minorEastAsia"/>
          <w:color w:val="auto"/>
          <w:sz w:val="24"/>
          <w:szCs w:val="24"/>
          <w:highlight w:val="none"/>
          <w:u w:val="single"/>
          <w:lang w:eastAsia="zh-CN"/>
        </w:rPr>
      </w:pPr>
      <w:r>
        <w:rPr>
          <w:rFonts w:hint="eastAsia" w:asciiTheme="minorEastAsia" w:hAnsiTheme="minorEastAsia" w:eastAsiaTheme="minorEastAsia" w:cstheme="minorEastAsia"/>
          <w:color w:val="auto"/>
          <w:sz w:val="24"/>
          <w:szCs w:val="24"/>
          <w:highlight w:val="none"/>
          <w:lang w:eastAsia="zh-CN"/>
        </w:rPr>
        <w:t>供应商授权代表签字：</w:t>
      </w:r>
      <w:r>
        <w:rPr>
          <w:rFonts w:hint="eastAsia" w:asciiTheme="minorEastAsia" w:hAnsiTheme="minorEastAsia" w:eastAsiaTheme="minorEastAsia" w:cstheme="minorEastAsia"/>
          <w:color w:val="auto"/>
          <w:sz w:val="24"/>
          <w:szCs w:val="24"/>
          <w:highlight w:val="none"/>
          <w:u w:val="single"/>
          <w:lang w:eastAsia="zh-CN"/>
        </w:rPr>
        <w:t xml:space="preserve">　　　　　　　　　             </w:t>
      </w:r>
    </w:p>
    <w:p w14:paraId="7503B8D0">
      <w:pPr>
        <w:wordWrap w:val="0"/>
        <w:rPr>
          <w:rFonts w:asciiTheme="minorEastAsia" w:hAnsiTheme="minorEastAsia" w:eastAsiaTheme="minorEastAsia" w:cstheme="minorEastAsia"/>
          <w:color w:val="auto"/>
          <w:sz w:val="24"/>
          <w:szCs w:val="24"/>
          <w:highlight w:val="none"/>
          <w:lang w:eastAsia="zh-CN"/>
        </w:rPr>
      </w:pPr>
    </w:p>
    <w:p w14:paraId="008C9DA0">
      <w:pPr>
        <w:wordWrap w:val="0"/>
        <w:rPr>
          <w:rFonts w:asciiTheme="minorEastAsia" w:hAnsiTheme="minorEastAsia" w:eastAsiaTheme="minorEastAsia" w:cstheme="minorEastAsia"/>
          <w:color w:val="auto"/>
          <w:sz w:val="24"/>
          <w:szCs w:val="24"/>
          <w:highlight w:val="none"/>
          <w:lang w:eastAsia="zh-CN"/>
        </w:rPr>
      </w:pPr>
    </w:p>
    <w:p w14:paraId="1DBB7FBC">
      <w:pPr>
        <w:wordWrap w:val="0"/>
        <w:rPr>
          <w:rFonts w:asciiTheme="minorEastAsia" w:hAnsiTheme="minorEastAsia" w:eastAsiaTheme="minorEastAsia" w:cstheme="minorEastAsia"/>
          <w:color w:val="auto"/>
          <w:sz w:val="24"/>
          <w:szCs w:val="24"/>
          <w:highlight w:val="none"/>
          <w:u w:val="single"/>
          <w:lang w:eastAsia="zh-CN"/>
        </w:rPr>
      </w:pPr>
      <w:r>
        <w:rPr>
          <w:rFonts w:hint="eastAsia" w:asciiTheme="minorEastAsia" w:hAnsiTheme="minorEastAsia" w:eastAsiaTheme="minorEastAsia" w:cstheme="minorEastAsia"/>
          <w:color w:val="auto"/>
          <w:sz w:val="24"/>
          <w:szCs w:val="24"/>
          <w:highlight w:val="none"/>
          <w:lang w:eastAsia="zh-CN"/>
        </w:rPr>
        <w:t>日       期：</w:t>
      </w:r>
      <w:r>
        <w:rPr>
          <w:rFonts w:hint="eastAsia" w:asciiTheme="minorEastAsia" w:hAnsiTheme="minorEastAsia" w:eastAsiaTheme="minorEastAsia" w:cstheme="minorEastAsia"/>
          <w:color w:val="auto"/>
          <w:sz w:val="24"/>
          <w:szCs w:val="24"/>
          <w:highlight w:val="none"/>
          <w:u w:val="single"/>
          <w:lang w:eastAsia="zh-CN"/>
        </w:rPr>
        <w:t xml:space="preserve">　　　　　　　　　　　　　　  </w:t>
      </w:r>
    </w:p>
    <w:p w14:paraId="07A6DF9B">
      <w:pPr>
        <w:widowControl/>
        <w:rPr>
          <w:rFonts w:asciiTheme="minorEastAsia" w:hAnsiTheme="minorEastAsia" w:eastAsiaTheme="minorEastAsia" w:cstheme="minorEastAsia"/>
          <w:color w:val="auto"/>
          <w:sz w:val="24"/>
          <w:szCs w:val="24"/>
          <w:highlight w:val="none"/>
          <w:u w:val="single"/>
          <w:lang w:eastAsia="zh-CN"/>
        </w:rPr>
      </w:pPr>
    </w:p>
    <w:p w14:paraId="6D1F06C6">
      <w:pPr>
        <w:widowControl/>
        <w:rPr>
          <w:rFonts w:hint="eastAsia" w:ascii="宋体" w:hAnsi="宋体" w:cs="宋体"/>
          <w:b/>
          <w:bCs/>
          <w:color w:val="auto"/>
          <w:sz w:val="44"/>
          <w:szCs w:val="44"/>
        </w:rPr>
      </w:pPr>
      <w:r>
        <w:rPr>
          <w:rFonts w:asciiTheme="minorEastAsia" w:hAnsiTheme="minorEastAsia" w:eastAsiaTheme="minorEastAsia" w:cstheme="minorEastAsia"/>
          <w:color w:val="auto"/>
          <w:sz w:val="24"/>
          <w:szCs w:val="24"/>
          <w:highlight w:val="none"/>
          <w:lang w:eastAsia="zh-CN"/>
        </w:rPr>
        <w:br w:type="page"/>
      </w:r>
    </w:p>
    <w:p w14:paraId="318C7247">
      <w:pPr>
        <w:pStyle w:val="2"/>
        <w:numPr>
          <w:ilvl w:val="0"/>
          <w:numId w:val="9"/>
        </w:numPr>
        <w:bidi w:val="0"/>
        <w:spacing w:line="240" w:lineRule="auto"/>
        <w:jc w:val="center"/>
        <w:rPr>
          <w:rFonts w:hint="eastAsia"/>
        </w:rPr>
      </w:pPr>
      <w:bookmarkStart w:id="88" w:name="_Toc17192"/>
      <w:r>
        <w:rPr>
          <w:rFonts w:hint="eastAsia"/>
        </w:rPr>
        <w:t>附件</w:t>
      </w:r>
      <w:bookmarkEnd w:id="88"/>
    </w:p>
    <w:p w14:paraId="0BF7330F">
      <w:pPr>
        <w:pStyle w:val="2"/>
        <w:numPr>
          <w:ilvl w:val="0"/>
          <w:numId w:val="0"/>
        </w:numPr>
        <w:bidi w:val="0"/>
        <w:spacing w:line="240" w:lineRule="auto"/>
        <w:jc w:val="both"/>
        <w:rPr>
          <w:rFonts w:hint="eastAsia" w:ascii="宋体" w:hAnsi="宋体" w:cs="宋体"/>
          <w:b/>
          <w:bCs/>
          <w:color w:val="auto"/>
          <w:sz w:val="28"/>
          <w:szCs w:val="28"/>
        </w:rPr>
      </w:pPr>
      <w:bookmarkStart w:id="89" w:name="_Toc14160"/>
      <w:r>
        <w:rPr>
          <w:rFonts w:hint="eastAsia" w:ascii="宋体" w:hAnsi="宋体" w:cs="宋体"/>
          <w:b/>
          <w:bCs/>
          <w:color w:val="auto"/>
          <w:sz w:val="28"/>
          <w:szCs w:val="28"/>
        </w:rPr>
        <w:t>附件</w:t>
      </w:r>
      <w:r>
        <w:rPr>
          <w:rFonts w:hint="eastAsia" w:ascii="宋体" w:hAnsi="宋体" w:cs="宋体"/>
          <w:b/>
          <w:bCs/>
          <w:color w:val="auto"/>
          <w:sz w:val="28"/>
          <w:szCs w:val="28"/>
          <w:lang w:val="en-US" w:eastAsia="zh-CN"/>
        </w:rPr>
        <w:t>一</w:t>
      </w:r>
      <w:r>
        <w:rPr>
          <w:rFonts w:hint="eastAsia" w:ascii="宋体" w:hAnsi="宋体" w:cs="宋体"/>
          <w:b/>
          <w:bCs/>
          <w:color w:val="auto"/>
          <w:sz w:val="28"/>
          <w:szCs w:val="28"/>
        </w:rPr>
        <w:t>：</w:t>
      </w:r>
      <w:bookmarkEnd w:id="89"/>
    </w:p>
    <w:p w14:paraId="77468AB9">
      <w:pPr>
        <w:widowControl/>
        <w:autoSpaceDE w:val="0"/>
        <w:spacing w:line="240" w:lineRule="auto"/>
        <w:jc w:val="center"/>
        <w:rPr>
          <w:rFonts w:hint="eastAsia" w:ascii="宋体" w:hAnsi="宋体"/>
          <w:b/>
          <w:bCs/>
          <w:color w:val="000000"/>
          <w:sz w:val="36"/>
          <w:szCs w:val="36"/>
          <w:highlight w:val="white"/>
        </w:rPr>
      </w:pPr>
    </w:p>
    <w:p w14:paraId="0FC9E92C">
      <w:pPr>
        <w:widowControl/>
        <w:autoSpaceDE w:val="0"/>
        <w:spacing w:line="240" w:lineRule="auto"/>
        <w:jc w:val="center"/>
        <w:rPr>
          <w:rFonts w:hint="eastAsia" w:ascii="宋体" w:hAnsi="宋体"/>
          <w:b/>
          <w:bCs/>
          <w:color w:val="000000"/>
          <w:sz w:val="36"/>
          <w:szCs w:val="36"/>
          <w:highlight w:val="white"/>
        </w:rPr>
      </w:pPr>
      <w:r>
        <w:rPr>
          <w:rFonts w:hint="eastAsia" w:ascii="宋体" w:hAnsi="宋体"/>
          <w:b/>
          <w:bCs/>
          <w:color w:val="000000"/>
          <w:sz w:val="36"/>
          <w:szCs w:val="36"/>
          <w:highlight w:val="white"/>
        </w:rPr>
        <w:t>中小企业声明函（货物）</w:t>
      </w:r>
    </w:p>
    <w:p w14:paraId="3E9B866C">
      <w:pPr>
        <w:pStyle w:val="32"/>
      </w:pPr>
    </w:p>
    <w:p w14:paraId="69AFB40B">
      <w:pPr>
        <w:pStyle w:val="7"/>
        <w:snapToGrid w:val="0"/>
        <w:spacing w:line="360" w:lineRule="auto"/>
        <w:ind w:firstLine="480" w:firstLineChars="200"/>
        <w:rPr>
          <w:rFonts w:hAnsi="宋体"/>
          <w:sz w:val="24"/>
          <w:szCs w:val="24"/>
        </w:rPr>
      </w:pPr>
      <w:r>
        <w:rPr>
          <w:rFonts w:hint="eastAsia" w:hAnsi="宋体"/>
          <w:color w:val="000000"/>
          <w:sz w:val="24"/>
          <w:szCs w:val="24"/>
          <w:highlight w:val="white"/>
        </w:rPr>
        <w:t>本公司（联合体）郑重声明，根据《政府采购促进中小企业发展管理办法》（财库﹝2020﹞46 号）的规定，本公司（联合体）参加</w:t>
      </w:r>
      <w:r>
        <w:rPr>
          <w:rFonts w:hint="eastAsia" w:hAnsi="宋体"/>
          <w:i/>
          <w:iCs/>
          <w:color w:val="000000"/>
          <w:sz w:val="24"/>
          <w:szCs w:val="24"/>
          <w:highlight w:val="white"/>
          <w:u w:val="single"/>
        </w:rPr>
        <w:t>（单位名称）</w:t>
      </w:r>
      <w:r>
        <w:rPr>
          <w:rFonts w:hint="eastAsia" w:hAnsi="宋体"/>
          <w:color w:val="000000"/>
          <w:sz w:val="24"/>
          <w:szCs w:val="24"/>
          <w:highlight w:val="white"/>
        </w:rPr>
        <w:t>的</w:t>
      </w:r>
      <w:r>
        <w:rPr>
          <w:rFonts w:hint="eastAsia" w:hAnsi="宋体"/>
          <w:i/>
          <w:iCs/>
          <w:color w:val="000000"/>
          <w:sz w:val="24"/>
          <w:szCs w:val="24"/>
          <w:highlight w:val="white"/>
          <w:u w:val="single"/>
        </w:rPr>
        <w:t>（项目名称）</w:t>
      </w:r>
      <w:r>
        <w:rPr>
          <w:rFonts w:hint="eastAsia" w:hAnsi="宋体"/>
          <w:color w:val="000000"/>
          <w:sz w:val="24"/>
          <w:szCs w:val="24"/>
          <w:highlight w:val="white"/>
        </w:rPr>
        <w:t>采购活动，提供的货物全部由符合政策要求的中小企业制造。相关企业（含联合体中的中小企业、签订分包意向协议的中小企业）的具体情况如下：</w:t>
      </w:r>
    </w:p>
    <w:p w14:paraId="05FA8D14">
      <w:pPr>
        <w:pStyle w:val="7"/>
        <w:snapToGrid w:val="0"/>
        <w:spacing w:line="360" w:lineRule="auto"/>
        <w:ind w:firstLine="480" w:firstLineChars="200"/>
        <w:rPr>
          <w:rFonts w:hAnsi="宋体"/>
          <w:sz w:val="24"/>
          <w:szCs w:val="24"/>
        </w:rPr>
      </w:pPr>
      <w:r>
        <w:rPr>
          <w:rFonts w:hint="eastAsia" w:hAnsi="宋体"/>
          <w:color w:val="000000"/>
          <w:sz w:val="24"/>
          <w:szCs w:val="24"/>
          <w:highlight w:val="white"/>
        </w:rPr>
        <w:t xml:space="preserve">1. </w:t>
      </w:r>
      <w:r>
        <w:rPr>
          <w:rFonts w:hint="eastAsia" w:hAnsi="宋体"/>
          <w:i/>
          <w:iCs/>
          <w:color w:val="000000"/>
          <w:sz w:val="24"/>
          <w:szCs w:val="24"/>
          <w:highlight w:val="white"/>
          <w:u w:val="single"/>
        </w:rPr>
        <w:t xml:space="preserve">（标的名称） </w:t>
      </w:r>
      <w:r>
        <w:rPr>
          <w:rFonts w:hint="eastAsia" w:hAnsi="宋体"/>
          <w:color w:val="000000"/>
          <w:sz w:val="24"/>
          <w:szCs w:val="24"/>
          <w:highlight w:val="white"/>
        </w:rPr>
        <w:t>，属于</w:t>
      </w:r>
      <w:r>
        <w:rPr>
          <w:rFonts w:hint="eastAsia" w:hAnsi="宋体"/>
          <w:i/>
          <w:iCs/>
          <w:color w:val="000000"/>
          <w:sz w:val="24"/>
          <w:szCs w:val="24"/>
          <w:highlight w:val="white"/>
          <w:u w:val="single"/>
        </w:rPr>
        <w:t>（采购文件中明确的所属行业）</w:t>
      </w:r>
      <w:r>
        <w:rPr>
          <w:rFonts w:hint="eastAsia" w:hAnsi="宋体"/>
          <w:color w:val="000000"/>
          <w:sz w:val="24"/>
          <w:szCs w:val="24"/>
          <w:highlight w:val="white"/>
        </w:rPr>
        <w:t>行业；制造商为</w:t>
      </w:r>
      <w:r>
        <w:rPr>
          <w:rFonts w:hint="eastAsia" w:hAnsi="宋体"/>
          <w:i/>
          <w:iCs/>
          <w:color w:val="000000"/>
          <w:sz w:val="24"/>
          <w:szCs w:val="24"/>
          <w:highlight w:val="white"/>
          <w:u w:val="single"/>
        </w:rPr>
        <w:t>（企业名称）</w:t>
      </w:r>
      <w:r>
        <w:rPr>
          <w:rFonts w:hint="eastAsia" w:hAnsi="宋体"/>
          <w:color w:val="000000"/>
          <w:sz w:val="24"/>
          <w:szCs w:val="24"/>
          <w:highlight w:val="white"/>
        </w:rPr>
        <w:t>，从业人员</w:t>
      </w:r>
      <w:r>
        <w:rPr>
          <w:rFonts w:hint="eastAsia" w:hAnsi="宋体"/>
          <w:color w:val="000000"/>
          <w:sz w:val="24"/>
          <w:szCs w:val="24"/>
          <w:highlight w:val="white"/>
          <w:u w:val="single"/>
        </w:rPr>
        <w:t xml:space="preserve">     </w:t>
      </w:r>
      <w:r>
        <w:rPr>
          <w:rFonts w:hint="eastAsia" w:hAnsi="宋体"/>
          <w:color w:val="000000"/>
          <w:sz w:val="24"/>
          <w:szCs w:val="24"/>
          <w:highlight w:val="white"/>
        </w:rPr>
        <w:t>人，营业收入为</w:t>
      </w:r>
      <w:r>
        <w:rPr>
          <w:rFonts w:hint="eastAsia" w:hAnsi="宋体"/>
          <w:color w:val="000000"/>
          <w:sz w:val="24"/>
          <w:szCs w:val="24"/>
          <w:highlight w:val="white"/>
          <w:u w:val="single"/>
        </w:rPr>
        <w:t xml:space="preserve">     </w:t>
      </w:r>
      <w:r>
        <w:rPr>
          <w:rFonts w:hint="eastAsia" w:hAnsi="宋体"/>
          <w:color w:val="000000"/>
          <w:sz w:val="24"/>
          <w:szCs w:val="24"/>
          <w:highlight w:val="white"/>
        </w:rPr>
        <w:t>万元，资产总额为</w:t>
      </w:r>
      <w:r>
        <w:rPr>
          <w:rFonts w:hint="eastAsia" w:hAnsi="宋体"/>
          <w:color w:val="000000"/>
          <w:sz w:val="24"/>
          <w:szCs w:val="24"/>
          <w:highlight w:val="white"/>
          <w:u w:val="single"/>
        </w:rPr>
        <w:t xml:space="preserve">     </w:t>
      </w:r>
      <w:r>
        <w:rPr>
          <w:rFonts w:hint="eastAsia" w:hAnsi="宋体"/>
          <w:color w:val="000000"/>
          <w:sz w:val="24"/>
          <w:szCs w:val="24"/>
          <w:highlight w:val="white"/>
        </w:rPr>
        <w:t>万元</w:t>
      </w:r>
      <w:r>
        <w:rPr>
          <w:rFonts w:hint="eastAsia" w:hAnsi="宋体"/>
          <w:color w:val="000000"/>
          <w:sz w:val="24"/>
          <w:szCs w:val="24"/>
          <w:highlight w:val="white"/>
          <w:vertAlign w:val="superscript"/>
        </w:rPr>
        <w:t>1</w:t>
      </w:r>
      <w:r>
        <w:rPr>
          <w:rFonts w:hint="eastAsia" w:hAnsi="宋体"/>
          <w:color w:val="000000"/>
          <w:sz w:val="24"/>
          <w:szCs w:val="24"/>
          <w:highlight w:val="white"/>
        </w:rPr>
        <w:t>，属于</w:t>
      </w:r>
      <w:r>
        <w:rPr>
          <w:rFonts w:hint="eastAsia" w:hAnsi="宋体"/>
          <w:i/>
          <w:iCs/>
          <w:color w:val="000000"/>
          <w:sz w:val="24"/>
          <w:szCs w:val="24"/>
          <w:highlight w:val="white"/>
          <w:u w:val="single"/>
        </w:rPr>
        <w:t>（中型企业、小型企业、微型企业）</w:t>
      </w:r>
      <w:r>
        <w:rPr>
          <w:rFonts w:hint="eastAsia" w:hAnsi="宋体"/>
          <w:color w:val="000000"/>
          <w:sz w:val="24"/>
          <w:szCs w:val="24"/>
          <w:highlight w:val="white"/>
        </w:rPr>
        <w:t xml:space="preserve">； </w:t>
      </w:r>
    </w:p>
    <w:p w14:paraId="7838A365">
      <w:pPr>
        <w:pStyle w:val="7"/>
        <w:snapToGrid w:val="0"/>
        <w:spacing w:line="360" w:lineRule="auto"/>
        <w:ind w:firstLine="480" w:firstLineChars="200"/>
        <w:rPr>
          <w:rFonts w:hAnsi="宋体"/>
          <w:sz w:val="24"/>
          <w:szCs w:val="24"/>
        </w:rPr>
      </w:pPr>
      <w:r>
        <w:rPr>
          <w:rFonts w:hint="eastAsia" w:hAnsi="宋体"/>
          <w:color w:val="000000"/>
          <w:sz w:val="24"/>
          <w:szCs w:val="24"/>
          <w:highlight w:val="white"/>
        </w:rPr>
        <w:t xml:space="preserve">2. </w:t>
      </w:r>
      <w:r>
        <w:rPr>
          <w:rFonts w:hint="eastAsia" w:hAnsi="宋体"/>
          <w:i/>
          <w:iCs/>
          <w:color w:val="000000"/>
          <w:sz w:val="24"/>
          <w:szCs w:val="24"/>
          <w:highlight w:val="white"/>
          <w:u w:val="single"/>
        </w:rPr>
        <w:t>（标的名称）</w:t>
      </w:r>
      <w:r>
        <w:rPr>
          <w:rFonts w:hint="eastAsia" w:hAnsi="宋体"/>
          <w:color w:val="000000"/>
          <w:sz w:val="24"/>
          <w:szCs w:val="24"/>
          <w:highlight w:val="white"/>
        </w:rPr>
        <w:t>，属于</w:t>
      </w:r>
      <w:r>
        <w:rPr>
          <w:rFonts w:hint="eastAsia" w:hAnsi="宋体"/>
          <w:i/>
          <w:iCs/>
          <w:color w:val="000000"/>
          <w:sz w:val="24"/>
          <w:szCs w:val="24"/>
          <w:highlight w:val="white"/>
          <w:u w:val="single"/>
        </w:rPr>
        <w:t>（采购文件中明确的所属行业）</w:t>
      </w:r>
      <w:r>
        <w:rPr>
          <w:rFonts w:hint="eastAsia" w:hAnsi="宋体"/>
          <w:color w:val="000000"/>
          <w:sz w:val="24"/>
          <w:szCs w:val="24"/>
          <w:highlight w:val="white"/>
        </w:rPr>
        <w:t>行业；制造商为</w:t>
      </w:r>
      <w:r>
        <w:rPr>
          <w:rFonts w:hint="eastAsia" w:hAnsi="宋体"/>
          <w:i/>
          <w:iCs/>
          <w:color w:val="000000"/>
          <w:sz w:val="24"/>
          <w:szCs w:val="24"/>
          <w:highlight w:val="white"/>
          <w:u w:val="single"/>
        </w:rPr>
        <w:t>（企业名称）</w:t>
      </w:r>
      <w:r>
        <w:rPr>
          <w:rFonts w:hint="eastAsia" w:hAnsi="宋体"/>
          <w:color w:val="000000"/>
          <w:sz w:val="24"/>
          <w:szCs w:val="24"/>
          <w:highlight w:val="white"/>
        </w:rPr>
        <w:t>，从业人员</w:t>
      </w:r>
      <w:r>
        <w:rPr>
          <w:rFonts w:hint="eastAsia" w:hAnsi="宋体"/>
          <w:color w:val="000000"/>
          <w:sz w:val="24"/>
          <w:szCs w:val="24"/>
          <w:highlight w:val="white"/>
          <w:u w:val="single"/>
        </w:rPr>
        <w:t xml:space="preserve">     </w:t>
      </w:r>
      <w:r>
        <w:rPr>
          <w:rFonts w:hint="eastAsia" w:hAnsi="宋体"/>
          <w:color w:val="000000"/>
          <w:sz w:val="24"/>
          <w:szCs w:val="24"/>
          <w:highlight w:val="white"/>
        </w:rPr>
        <w:t>人，营业收入为</w:t>
      </w:r>
      <w:r>
        <w:rPr>
          <w:rFonts w:hint="eastAsia" w:hAnsi="宋体"/>
          <w:color w:val="000000"/>
          <w:sz w:val="24"/>
          <w:szCs w:val="24"/>
          <w:highlight w:val="white"/>
          <w:u w:val="single"/>
        </w:rPr>
        <w:t xml:space="preserve">       </w:t>
      </w:r>
      <w:r>
        <w:rPr>
          <w:rFonts w:hint="eastAsia" w:hAnsi="宋体"/>
          <w:color w:val="000000"/>
          <w:sz w:val="24"/>
          <w:szCs w:val="24"/>
          <w:highlight w:val="white"/>
        </w:rPr>
        <w:t>万元，资产总额为</w:t>
      </w:r>
      <w:r>
        <w:rPr>
          <w:rFonts w:hint="eastAsia" w:hAnsi="宋体"/>
          <w:color w:val="000000"/>
          <w:sz w:val="24"/>
          <w:szCs w:val="24"/>
          <w:highlight w:val="white"/>
          <w:u w:val="single"/>
        </w:rPr>
        <w:t xml:space="preserve">       </w:t>
      </w:r>
      <w:r>
        <w:rPr>
          <w:rFonts w:hint="eastAsia" w:hAnsi="宋体"/>
          <w:color w:val="000000"/>
          <w:sz w:val="24"/>
          <w:szCs w:val="24"/>
          <w:highlight w:val="white"/>
        </w:rPr>
        <w:t>万元</w:t>
      </w:r>
      <w:r>
        <w:rPr>
          <w:rFonts w:hint="eastAsia" w:hAnsi="宋体"/>
          <w:color w:val="000000"/>
          <w:sz w:val="24"/>
          <w:szCs w:val="24"/>
          <w:highlight w:val="white"/>
          <w:vertAlign w:val="superscript"/>
        </w:rPr>
        <w:t>1</w:t>
      </w:r>
      <w:r>
        <w:rPr>
          <w:rFonts w:hint="eastAsia" w:hAnsi="宋体"/>
          <w:color w:val="000000"/>
          <w:sz w:val="24"/>
          <w:szCs w:val="24"/>
          <w:highlight w:val="white"/>
        </w:rPr>
        <w:t>，属于</w:t>
      </w:r>
      <w:r>
        <w:rPr>
          <w:rFonts w:hint="eastAsia" w:hAnsi="宋体"/>
          <w:i/>
          <w:iCs/>
          <w:color w:val="000000"/>
          <w:sz w:val="24"/>
          <w:szCs w:val="24"/>
          <w:highlight w:val="white"/>
          <w:u w:val="single"/>
        </w:rPr>
        <w:t>（中型企业、小型企业、微型企业）</w:t>
      </w:r>
      <w:r>
        <w:rPr>
          <w:rFonts w:hint="eastAsia" w:hAnsi="宋体"/>
          <w:color w:val="000000"/>
          <w:sz w:val="24"/>
          <w:szCs w:val="24"/>
          <w:highlight w:val="white"/>
        </w:rPr>
        <w:t xml:space="preserve">； </w:t>
      </w:r>
    </w:p>
    <w:p w14:paraId="5E52DD8E">
      <w:pPr>
        <w:pStyle w:val="7"/>
        <w:snapToGrid w:val="0"/>
        <w:spacing w:line="360" w:lineRule="auto"/>
        <w:ind w:firstLine="480" w:firstLineChars="200"/>
        <w:rPr>
          <w:rFonts w:hAnsi="宋体"/>
          <w:sz w:val="24"/>
          <w:szCs w:val="24"/>
        </w:rPr>
      </w:pPr>
      <w:r>
        <w:rPr>
          <w:rFonts w:hint="eastAsia" w:hAnsi="宋体"/>
          <w:color w:val="000000"/>
          <w:sz w:val="24"/>
          <w:szCs w:val="24"/>
          <w:highlight w:val="white"/>
        </w:rPr>
        <w:t>……</w:t>
      </w:r>
    </w:p>
    <w:p w14:paraId="5543D5DF">
      <w:pPr>
        <w:widowControl/>
        <w:autoSpaceDE w:val="0"/>
        <w:spacing w:after="0" w:line="360" w:lineRule="auto"/>
        <w:ind w:firstLine="480" w:firstLineChars="200"/>
        <w:jc w:val="left"/>
        <w:rPr>
          <w:rFonts w:ascii="宋体" w:hAnsi="宋体"/>
        </w:rPr>
      </w:pPr>
      <w:r>
        <w:rPr>
          <w:rFonts w:hint="eastAsia" w:ascii="宋体" w:hAnsi="宋体"/>
          <w:color w:val="000000"/>
          <w:kern w:val="0"/>
          <w:sz w:val="24"/>
          <w:highlight w:val="white"/>
        </w:rPr>
        <w:t>以上企业，不属于大企业的分支机构，不存在控股股东为大企业的情形，也不存在与大企业的负责人为同一人的情形。</w:t>
      </w:r>
    </w:p>
    <w:p w14:paraId="09502C5A">
      <w:pPr>
        <w:widowControl/>
        <w:autoSpaceDE w:val="0"/>
        <w:spacing w:after="0" w:line="360" w:lineRule="auto"/>
        <w:ind w:firstLine="480" w:firstLineChars="200"/>
        <w:jc w:val="left"/>
        <w:rPr>
          <w:rFonts w:ascii="宋体" w:hAnsi="宋体"/>
        </w:rPr>
      </w:pPr>
      <w:r>
        <w:rPr>
          <w:rFonts w:hint="eastAsia" w:ascii="宋体" w:hAnsi="宋体"/>
          <w:color w:val="000000"/>
          <w:kern w:val="0"/>
          <w:sz w:val="24"/>
          <w:highlight w:val="white"/>
        </w:rPr>
        <w:t xml:space="preserve">本企业对上述声明内容的真实性负责。如有虚假，将依法承担相应责任。 </w:t>
      </w:r>
    </w:p>
    <w:p w14:paraId="51BBE36B">
      <w:pPr>
        <w:widowControl/>
        <w:autoSpaceDE w:val="0"/>
        <w:spacing w:after="0" w:line="360" w:lineRule="auto"/>
        <w:ind w:firstLine="1920" w:firstLineChars="800"/>
        <w:jc w:val="left"/>
        <w:rPr>
          <w:rFonts w:ascii="宋体" w:hAnsi="宋体"/>
          <w:kern w:val="0"/>
        </w:rPr>
      </w:pPr>
      <w:r>
        <w:rPr>
          <w:rFonts w:hint="eastAsia" w:ascii="宋体" w:hAnsi="宋体"/>
          <w:color w:val="000000"/>
          <w:kern w:val="0"/>
          <w:sz w:val="24"/>
          <w:highlight w:val="white"/>
        </w:rPr>
        <w:t xml:space="preserve"> </w:t>
      </w:r>
    </w:p>
    <w:p w14:paraId="712DEE3F">
      <w:pPr>
        <w:widowControl/>
        <w:autoSpaceDE w:val="0"/>
        <w:spacing w:after="0" w:line="360" w:lineRule="auto"/>
        <w:ind w:firstLine="4560" w:firstLineChars="1900"/>
        <w:jc w:val="left"/>
        <w:rPr>
          <w:rFonts w:hint="eastAsia" w:ascii="宋体" w:hAnsi="宋体"/>
          <w:color w:val="000000"/>
          <w:kern w:val="0"/>
          <w:sz w:val="24"/>
          <w:highlight w:val="white"/>
        </w:rPr>
      </w:pPr>
    </w:p>
    <w:p w14:paraId="7EAD8A68">
      <w:pPr>
        <w:widowControl/>
        <w:autoSpaceDE w:val="0"/>
        <w:spacing w:after="0" w:line="360" w:lineRule="auto"/>
        <w:ind w:firstLine="4560" w:firstLineChars="1900"/>
        <w:jc w:val="left"/>
        <w:rPr>
          <w:rFonts w:ascii="宋体" w:hAnsi="宋体"/>
        </w:rPr>
      </w:pPr>
      <w:r>
        <w:rPr>
          <w:rFonts w:hint="eastAsia" w:ascii="宋体" w:hAnsi="宋体"/>
          <w:color w:val="000000"/>
          <w:kern w:val="0"/>
          <w:sz w:val="24"/>
          <w:highlight w:val="white"/>
        </w:rPr>
        <w:t xml:space="preserve">企业名称（电子签章）： </w:t>
      </w:r>
    </w:p>
    <w:p w14:paraId="30F0E0A8">
      <w:pPr>
        <w:widowControl/>
        <w:autoSpaceDE w:val="0"/>
        <w:spacing w:after="0" w:line="360" w:lineRule="auto"/>
        <w:ind w:firstLine="4560" w:firstLineChars="1900"/>
        <w:jc w:val="left"/>
        <w:rPr>
          <w:rFonts w:ascii="宋体" w:hAnsi="宋体"/>
          <w:kern w:val="0"/>
        </w:rPr>
      </w:pPr>
      <w:r>
        <w:rPr>
          <w:rFonts w:hint="eastAsia" w:ascii="宋体" w:hAnsi="宋体"/>
          <w:color w:val="000000"/>
          <w:kern w:val="0"/>
          <w:sz w:val="24"/>
          <w:highlight w:val="white"/>
        </w:rPr>
        <w:t>日 期：</w:t>
      </w:r>
    </w:p>
    <w:p w14:paraId="5A3536D5">
      <w:pPr>
        <w:widowControl/>
        <w:autoSpaceDE w:val="0"/>
        <w:ind w:firstLine="3120" w:firstLineChars="1300"/>
        <w:rPr>
          <w:rFonts w:ascii="宋体" w:hAnsi="宋体"/>
        </w:rPr>
      </w:pPr>
      <w:r>
        <w:rPr>
          <w:rFonts w:hint="eastAsia" w:ascii="宋体" w:hAnsi="宋体"/>
          <w:color w:val="000000"/>
          <w:kern w:val="0"/>
          <w:sz w:val="24"/>
          <w:highlight w:val="white"/>
        </w:rPr>
        <w:t xml:space="preserve"> </w:t>
      </w:r>
    </w:p>
    <w:p w14:paraId="75DE30AB">
      <w:pPr>
        <w:widowControl/>
        <w:autoSpaceDE w:val="0"/>
        <w:rPr>
          <w:szCs w:val="21"/>
        </w:rPr>
      </w:pPr>
      <w:r>
        <w:rPr>
          <w:rFonts w:hint="eastAsia" w:ascii="仿宋" w:hAnsi="仿宋" w:eastAsia="仿宋"/>
          <w:color w:val="000000"/>
          <w:kern w:val="0"/>
          <w:sz w:val="31"/>
          <w:szCs w:val="31"/>
          <w:highlight w:val="white"/>
          <w:u w:val="single"/>
        </w:rPr>
        <w:t xml:space="preserve">                    </w:t>
      </w:r>
      <w:r>
        <w:rPr>
          <w:rFonts w:hint="eastAsia" w:ascii="仿宋" w:hAnsi="仿宋" w:eastAsia="仿宋"/>
          <w:color w:val="000000"/>
          <w:kern w:val="0"/>
          <w:sz w:val="31"/>
          <w:szCs w:val="31"/>
          <w:highlight w:val="white"/>
        </w:rPr>
        <w:t xml:space="preserve"> </w:t>
      </w:r>
    </w:p>
    <w:p w14:paraId="0327206A">
      <w:pPr>
        <w:widowControl/>
        <w:autoSpaceDE w:val="0"/>
        <w:jc w:val="left"/>
      </w:pPr>
      <w:r>
        <w:rPr>
          <w:color w:val="000000"/>
          <w:kern w:val="0"/>
          <w:sz w:val="11"/>
          <w:szCs w:val="11"/>
          <w:highlight w:val="white"/>
        </w:rPr>
        <w:t xml:space="preserve">1 </w:t>
      </w:r>
      <w:r>
        <w:rPr>
          <w:rFonts w:hint="eastAsia" w:ascii="宋体" w:hAnsi="宋体"/>
          <w:color w:val="000000"/>
          <w:kern w:val="0"/>
          <w:sz w:val="18"/>
          <w:szCs w:val="18"/>
          <w:highlight w:val="white"/>
        </w:rPr>
        <w:t>从业人员、营业收入、资产总额填报上一年度数据，无上一年度数据的新成立企业可不填报。</w:t>
      </w:r>
    </w:p>
    <w:p w14:paraId="4BBDF393">
      <w:pPr>
        <w:widowControl/>
        <w:autoSpaceDE w:val="0"/>
        <w:ind w:firstLine="540" w:firstLineChars="300"/>
        <w:jc w:val="left"/>
        <w:rPr>
          <w:rFonts w:ascii="宋体" w:hAnsi="宋体"/>
          <w:kern w:val="0"/>
          <w:sz w:val="18"/>
          <w:szCs w:val="18"/>
        </w:rPr>
      </w:pPr>
      <w:r>
        <w:rPr>
          <w:rFonts w:hint="eastAsia" w:ascii="宋体" w:hAnsi="宋体"/>
          <w:color w:val="000000"/>
          <w:kern w:val="0"/>
          <w:sz w:val="18"/>
          <w:szCs w:val="18"/>
          <w:highlight w:val="white"/>
        </w:rPr>
        <w:t xml:space="preserve"> </w:t>
      </w:r>
    </w:p>
    <w:p w14:paraId="679952D9">
      <w:pPr>
        <w:widowControl/>
        <w:autoSpaceDE w:val="0"/>
        <w:ind w:firstLine="540" w:firstLineChars="300"/>
        <w:jc w:val="left"/>
        <w:rPr>
          <w:rFonts w:ascii="宋体" w:hAnsi="宋体"/>
          <w:kern w:val="0"/>
          <w:sz w:val="18"/>
          <w:szCs w:val="18"/>
        </w:rPr>
      </w:pPr>
      <w:r>
        <w:rPr>
          <w:rFonts w:hint="eastAsia" w:ascii="宋体" w:hAnsi="宋体"/>
          <w:color w:val="000000"/>
          <w:kern w:val="0"/>
          <w:sz w:val="18"/>
          <w:szCs w:val="18"/>
          <w:highlight w:val="white"/>
        </w:rPr>
        <w:t xml:space="preserve"> </w:t>
      </w:r>
    </w:p>
    <w:p w14:paraId="4E735F00">
      <w:pPr>
        <w:rPr>
          <w:rFonts w:hint="eastAsia" w:ascii="宋体" w:hAnsi="宋体" w:cs="宋体"/>
          <w:b/>
          <w:color w:val="auto"/>
          <w:kern w:val="2"/>
          <w:sz w:val="28"/>
          <w:szCs w:val="28"/>
          <w:lang w:val="zh-CN"/>
        </w:rPr>
      </w:pPr>
      <w:r>
        <w:rPr>
          <w:rFonts w:hint="eastAsia" w:ascii="宋体" w:hAnsi="宋体" w:cs="宋体"/>
          <w:b/>
          <w:color w:val="auto"/>
          <w:kern w:val="2"/>
          <w:sz w:val="28"/>
          <w:szCs w:val="28"/>
          <w:lang w:val="zh-CN"/>
        </w:rPr>
        <w:br w:type="page"/>
      </w:r>
    </w:p>
    <w:p w14:paraId="010D6ADF">
      <w:pPr>
        <w:pStyle w:val="33"/>
        <w:rPr>
          <w:rFonts w:hint="eastAsia" w:ascii="宋体" w:hAnsi="宋体" w:cs="宋体"/>
          <w:b/>
          <w:color w:val="auto"/>
          <w:kern w:val="2"/>
          <w:sz w:val="28"/>
          <w:szCs w:val="28"/>
          <w:lang w:val="zh-CN"/>
        </w:rPr>
      </w:pPr>
      <w:r>
        <w:rPr>
          <w:rFonts w:hint="eastAsia" w:ascii="宋体" w:hAnsi="宋体" w:cs="宋体"/>
          <w:b/>
          <w:color w:val="auto"/>
          <w:kern w:val="2"/>
          <w:sz w:val="28"/>
          <w:szCs w:val="28"/>
          <w:lang w:val="zh-CN"/>
        </w:rPr>
        <w:t>附件</w:t>
      </w:r>
      <w:r>
        <w:rPr>
          <w:rFonts w:hint="eastAsia" w:ascii="宋体" w:hAnsi="宋体" w:cs="宋体"/>
          <w:b/>
          <w:color w:val="auto"/>
          <w:kern w:val="2"/>
          <w:sz w:val="28"/>
          <w:szCs w:val="28"/>
          <w:lang w:val="en-US" w:eastAsia="zh-CN"/>
        </w:rPr>
        <w:t>二</w:t>
      </w:r>
      <w:r>
        <w:rPr>
          <w:rFonts w:hint="eastAsia" w:ascii="宋体" w:hAnsi="宋体" w:cs="宋体"/>
          <w:b/>
          <w:color w:val="auto"/>
          <w:kern w:val="2"/>
          <w:sz w:val="28"/>
          <w:szCs w:val="28"/>
          <w:lang w:val="zh-CN"/>
        </w:rPr>
        <w:t>：</w:t>
      </w:r>
    </w:p>
    <w:p w14:paraId="5C357283">
      <w:pPr>
        <w:pStyle w:val="2"/>
        <w:jc w:val="center"/>
        <w:rPr>
          <w:rFonts w:hint="eastAsia" w:ascii="宋体" w:hAnsi="宋体" w:cs="宋体"/>
          <w:b w:val="0"/>
          <w:color w:val="auto"/>
          <w:sz w:val="28"/>
          <w:szCs w:val="28"/>
        </w:rPr>
      </w:pPr>
      <w:bookmarkStart w:id="90" w:name="_Toc26887382"/>
      <w:bookmarkStart w:id="91" w:name="_Toc11759"/>
      <w:bookmarkStart w:id="92" w:name="_Toc55569576"/>
      <w:r>
        <w:rPr>
          <w:rFonts w:hint="eastAsia" w:ascii="宋体" w:hAnsi="宋体" w:cs="宋体"/>
          <w:color w:val="auto"/>
          <w:sz w:val="28"/>
          <w:szCs w:val="28"/>
        </w:rPr>
        <w:t>残疾人福利性单位声明函（格式）</w:t>
      </w:r>
      <w:bookmarkEnd w:id="90"/>
      <w:bookmarkEnd w:id="91"/>
      <w:bookmarkEnd w:id="92"/>
    </w:p>
    <w:p w14:paraId="3F61485F">
      <w:pPr>
        <w:spacing w:line="588" w:lineRule="exact"/>
        <w:ind w:firstLine="504" w:firstLineChars="200"/>
        <w:rPr>
          <w:rFonts w:hint="eastAsia" w:ascii="宋体" w:hAnsi="宋体" w:cs="宋体"/>
          <w:color w:val="auto"/>
          <w:spacing w:val="6"/>
          <w:sz w:val="24"/>
        </w:rPr>
      </w:pPr>
      <w:r>
        <w:rPr>
          <w:rFonts w:hint="eastAsia" w:ascii="宋体" w:hAnsi="宋体" w:cs="宋体"/>
          <w:color w:val="auto"/>
          <w:spacing w:val="6"/>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C4D09AE">
      <w:pPr>
        <w:spacing w:line="588" w:lineRule="exact"/>
        <w:ind w:firstLine="504" w:firstLineChars="200"/>
        <w:rPr>
          <w:rFonts w:hint="eastAsia" w:ascii="宋体" w:hAnsi="宋体" w:cs="宋体"/>
          <w:color w:val="auto"/>
          <w:spacing w:val="6"/>
          <w:sz w:val="24"/>
        </w:rPr>
      </w:pPr>
      <w:r>
        <w:rPr>
          <w:rFonts w:hint="eastAsia" w:ascii="宋体" w:hAnsi="宋体" w:cs="宋体"/>
          <w:color w:val="auto"/>
          <w:spacing w:val="6"/>
          <w:sz w:val="24"/>
        </w:rPr>
        <w:t>本单位对上述声明的真实性负责。如有虚假，将依法承担相应责任。</w:t>
      </w:r>
    </w:p>
    <w:p w14:paraId="68DF6F64">
      <w:pPr>
        <w:spacing w:line="588" w:lineRule="exact"/>
        <w:ind w:firstLine="504" w:firstLineChars="200"/>
        <w:rPr>
          <w:rFonts w:hint="eastAsia" w:ascii="宋体" w:hAnsi="宋体" w:cs="宋体"/>
          <w:color w:val="auto"/>
          <w:spacing w:val="6"/>
          <w:sz w:val="24"/>
        </w:rPr>
      </w:pPr>
    </w:p>
    <w:p w14:paraId="1EBB72E5">
      <w:pPr>
        <w:spacing w:line="588" w:lineRule="exact"/>
        <w:ind w:firstLine="504" w:firstLineChars="200"/>
        <w:rPr>
          <w:rFonts w:hint="eastAsia" w:ascii="宋体" w:hAnsi="宋体" w:cs="宋体"/>
          <w:color w:val="auto"/>
          <w:spacing w:val="6"/>
          <w:sz w:val="24"/>
        </w:rPr>
      </w:pPr>
    </w:p>
    <w:p w14:paraId="3D2B8F19">
      <w:pPr>
        <w:spacing w:line="588" w:lineRule="exact"/>
        <w:ind w:firstLine="504" w:firstLineChars="200"/>
        <w:rPr>
          <w:rFonts w:hint="eastAsia" w:ascii="宋体" w:hAnsi="宋体" w:cs="宋体"/>
          <w:color w:val="auto"/>
          <w:spacing w:val="6"/>
          <w:sz w:val="24"/>
        </w:rPr>
      </w:pPr>
      <w:r>
        <w:rPr>
          <w:rFonts w:hint="eastAsia" w:ascii="宋体" w:hAnsi="宋体" w:cs="宋体"/>
          <w:color w:val="auto"/>
          <w:spacing w:val="6"/>
          <w:sz w:val="24"/>
        </w:rPr>
        <w:t xml:space="preserve">       单位名称（盖章）：</w:t>
      </w:r>
    </w:p>
    <w:p w14:paraId="2F181D93">
      <w:pPr>
        <w:spacing w:line="588" w:lineRule="exact"/>
        <w:ind w:firstLine="504" w:firstLineChars="200"/>
        <w:rPr>
          <w:rFonts w:hint="eastAsia" w:ascii="宋体" w:hAnsi="宋体" w:cs="宋体"/>
          <w:color w:val="auto"/>
          <w:spacing w:val="6"/>
          <w:sz w:val="24"/>
        </w:rPr>
      </w:pPr>
      <w:r>
        <w:rPr>
          <w:rFonts w:hint="eastAsia" w:ascii="宋体" w:hAnsi="宋体" w:cs="宋体"/>
          <w:color w:val="auto"/>
          <w:spacing w:val="6"/>
          <w:sz w:val="24"/>
        </w:rPr>
        <w:t xml:space="preserve">       日  期：</w:t>
      </w:r>
    </w:p>
    <w:p w14:paraId="405F00A3">
      <w:pPr>
        <w:pStyle w:val="33"/>
        <w:rPr>
          <w:rFonts w:hint="eastAsia" w:ascii="宋体" w:hAnsi="宋体" w:cs="宋体"/>
          <w:b/>
          <w:bCs/>
          <w:color w:val="auto"/>
          <w:sz w:val="24"/>
          <w:szCs w:val="24"/>
          <w:lang w:val="zh-CN"/>
        </w:rPr>
      </w:pPr>
    </w:p>
    <w:p w14:paraId="1CB48E1D">
      <w:pPr>
        <w:pStyle w:val="33"/>
        <w:rPr>
          <w:rFonts w:hint="eastAsia" w:ascii="宋体" w:hAnsi="宋体" w:cs="宋体"/>
          <w:b/>
          <w:bCs/>
          <w:color w:val="auto"/>
          <w:sz w:val="24"/>
          <w:szCs w:val="24"/>
          <w:lang w:val="zh-CN"/>
        </w:rPr>
      </w:pPr>
    </w:p>
    <w:p w14:paraId="33503D14">
      <w:pPr>
        <w:spacing w:before="240" w:beforeLines="100" w:line="510" w:lineRule="exact"/>
        <w:rPr>
          <w:rFonts w:ascii="宋体" w:hAnsi="宋体" w:cs="宋体"/>
          <w:bCs/>
          <w:sz w:val="24"/>
          <w:szCs w:val="24"/>
        </w:rPr>
      </w:pPr>
    </w:p>
    <w:p w14:paraId="63701F67">
      <w:pPr>
        <w:rPr>
          <w:rFonts w:ascii="宋体" w:hAnsi="宋体" w:cs="宋体"/>
        </w:rPr>
      </w:pPr>
    </w:p>
    <w:p w14:paraId="7169C1A8">
      <w:pPr>
        <w:rPr>
          <w:rFonts w:ascii="宋体" w:hAnsi="宋体" w:cs="宋体"/>
        </w:rPr>
      </w:pPr>
    </w:p>
    <w:p w14:paraId="7E2CA7C2">
      <w:pPr>
        <w:rPr>
          <w:rFonts w:ascii="宋体" w:hAnsi="宋体" w:cs="宋体"/>
        </w:rPr>
      </w:pPr>
    </w:p>
    <w:p w14:paraId="2F6DC87C">
      <w:pPr>
        <w:rPr>
          <w:rFonts w:ascii="宋体" w:hAnsi="宋体" w:cs="宋体"/>
        </w:rPr>
      </w:pPr>
    </w:p>
    <w:p w14:paraId="05895400">
      <w:pPr>
        <w:rPr>
          <w:rFonts w:ascii="宋体" w:hAnsi="宋体" w:cs="宋体"/>
        </w:rPr>
      </w:pPr>
    </w:p>
    <w:p w14:paraId="252F9BD3">
      <w:pPr>
        <w:rPr>
          <w:rFonts w:ascii="宋体" w:hAnsi="宋体" w:cs="宋体"/>
        </w:rPr>
      </w:pPr>
    </w:p>
    <w:p w14:paraId="5E6CC480">
      <w:pPr>
        <w:rPr>
          <w:rFonts w:ascii="宋体" w:hAnsi="宋体" w:cs="宋体"/>
        </w:rPr>
      </w:pPr>
    </w:p>
    <w:p w14:paraId="54832DC5">
      <w:pPr>
        <w:rPr>
          <w:rFonts w:ascii="宋体" w:hAnsi="宋体" w:cs="宋体"/>
        </w:rPr>
      </w:pPr>
      <w:r>
        <w:rPr>
          <w:rFonts w:ascii="宋体" w:hAnsi="宋体" w:cs="宋体"/>
        </w:rPr>
        <w:br w:type="page"/>
      </w:r>
    </w:p>
    <w:p w14:paraId="0230AC86">
      <w:pPr>
        <w:autoSpaceDE w:val="0"/>
        <w:autoSpaceDN w:val="0"/>
        <w:adjustRightInd w:val="0"/>
        <w:rPr>
          <w:rFonts w:hint="eastAsia" w:ascii="宋体" w:hAnsi="宋体" w:eastAsia="宋体" w:cs="宋体"/>
          <w:b/>
          <w:bCs/>
          <w:color w:val="auto"/>
          <w:sz w:val="28"/>
          <w:szCs w:val="28"/>
        </w:rPr>
      </w:pPr>
      <w:r>
        <w:rPr>
          <w:rFonts w:hint="eastAsia" w:ascii="宋体" w:hAnsi="宋体" w:eastAsia="宋体" w:cs="宋体"/>
          <w:b/>
          <w:bCs/>
          <w:color w:val="auto"/>
          <w:sz w:val="28"/>
          <w:szCs w:val="28"/>
        </w:rPr>
        <w:t>附件</w:t>
      </w:r>
      <w:r>
        <w:rPr>
          <w:rFonts w:hint="eastAsia" w:ascii="宋体" w:hAnsi="宋体" w:eastAsia="宋体" w:cs="宋体"/>
          <w:b/>
          <w:bCs/>
          <w:color w:val="auto"/>
          <w:sz w:val="28"/>
          <w:szCs w:val="28"/>
          <w:lang w:val="en-US" w:eastAsia="zh-CN"/>
        </w:rPr>
        <w:t>三</w:t>
      </w:r>
      <w:r>
        <w:rPr>
          <w:rFonts w:hint="eastAsia" w:ascii="宋体" w:hAnsi="宋体" w:eastAsia="宋体" w:cs="宋体"/>
          <w:b/>
          <w:bCs/>
          <w:color w:val="auto"/>
          <w:sz w:val="28"/>
          <w:szCs w:val="28"/>
        </w:rPr>
        <w:t>：</w:t>
      </w:r>
    </w:p>
    <w:p w14:paraId="0DAA2DBD">
      <w:pPr>
        <w:jc w:val="center"/>
        <w:rPr>
          <w:rFonts w:hint="eastAsia" w:ascii="宋体" w:hAnsi="宋体" w:eastAsia="宋体" w:cs="宋体"/>
          <w:b/>
          <w:bCs/>
          <w:color w:val="auto"/>
          <w:kern w:val="44"/>
          <w:sz w:val="28"/>
          <w:szCs w:val="28"/>
          <w:lang w:val="en-US" w:eastAsia="zh-CN" w:bidi="ar-SA"/>
        </w:rPr>
      </w:pPr>
      <w:r>
        <w:rPr>
          <w:rFonts w:hint="eastAsia" w:ascii="宋体" w:hAnsi="宋体" w:eastAsia="宋体" w:cs="宋体"/>
          <w:b/>
          <w:bCs/>
          <w:color w:val="auto"/>
          <w:kern w:val="44"/>
          <w:sz w:val="28"/>
          <w:szCs w:val="28"/>
          <w:lang w:val="en-US" w:eastAsia="zh-CN" w:bidi="ar-SA"/>
        </w:rPr>
        <w:t>监狱企业证明文件</w:t>
      </w:r>
    </w:p>
    <w:p w14:paraId="003FD4C7">
      <w:pPr>
        <w:spacing w:line="588" w:lineRule="exact"/>
        <w:ind w:firstLine="504" w:firstLineChars="200"/>
        <w:rPr>
          <w:rFonts w:hint="eastAsia" w:ascii="宋体" w:hAnsi="宋体" w:eastAsia="宋体" w:cs="宋体"/>
          <w:color w:val="auto"/>
          <w:spacing w:val="6"/>
          <w:sz w:val="24"/>
        </w:rPr>
      </w:pPr>
      <w:r>
        <w:rPr>
          <w:rFonts w:hint="eastAsia" w:ascii="宋体" w:hAnsi="宋体" w:eastAsia="宋体" w:cs="宋体"/>
          <w:color w:val="auto"/>
          <w:spacing w:val="6"/>
          <w:sz w:val="24"/>
        </w:rPr>
        <w:t>（注：符合条件的监狱企业请提供本函，不符合的不提供本函）</w:t>
      </w:r>
    </w:p>
    <w:p w14:paraId="4992E78C">
      <w:pPr>
        <w:jc w:val="center"/>
        <w:rPr>
          <w:rFonts w:hint="eastAsia" w:ascii="新宋体" w:hAnsi="新宋体" w:eastAsia="新宋体"/>
          <w:color w:val="000000"/>
          <w:sz w:val="32"/>
          <w:szCs w:val="32"/>
          <w:highlight w:val="none"/>
        </w:rPr>
      </w:pPr>
    </w:p>
    <w:p w14:paraId="38B2690E">
      <w:pPr>
        <w:spacing w:line="588" w:lineRule="exact"/>
        <w:ind w:firstLine="504" w:firstLineChars="200"/>
        <w:rPr>
          <w:rFonts w:hint="eastAsia" w:ascii="宋体" w:hAnsi="宋体" w:eastAsia="宋体" w:cs="宋体"/>
          <w:color w:val="auto"/>
          <w:spacing w:val="6"/>
          <w:sz w:val="24"/>
        </w:rPr>
      </w:pPr>
      <w:r>
        <w:rPr>
          <w:rFonts w:hint="eastAsia" w:ascii="宋体" w:hAnsi="宋体" w:eastAsia="宋体" w:cs="宋体"/>
          <w:color w:val="auto"/>
          <w:spacing w:val="6"/>
          <w:sz w:val="24"/>
        </w:rPr>
        <w:t>提供由省级以上监狱管理局、戒毒管理局（含新疆生产建设兵团）出具的属于监狱企业的证明文件。</w:t>
      </w:r>
    </w:p>
    <w:p w14:paraId="2021C496">
      <w:pPr>
        <w:rPr>
          <w:rFonts w:hint="eastAsia" w:ascii="新宋体" w:hAnsi="新宋体" w:eastAsia="新宋体"/>
          <w:b/>
          <w:color w:val="000000"/>
          <w:sz w:val="32"/>
          <w:szCs w:val="32"/>
          <w:highlight w:val="none"/>
        </w:rPr>
      </w:pPr>
    </w:p>
    <w:p w14:paraId="4B2C41CB">
      <w:pPr>
        <w:rPr>
          <w:rFonts w:ascii="宋体" w:hAnsi="宋体" w:cs="宋体"/>
        </w:rPr>
      </w:pPr>
    </w:p>
    <w:p w14:paraId="2E12997F">
      <w:pPr>
        <w:widowControl/>
        <w:shd w:val="clear" w:color="auto" w:fill="FFFFFF"/>
        <w:spacing w:after="150"/>
        <w:rPr>
          <w:rFonts w:ascii="宋体" w:hAnsi="宋体" w:cs="宋体"/>
          <w:b/>
          <w:bCs/>
          <w:szCs w:val="21"/>
        </w:rPr>
      </w:pPr>
    </w:p>
    <w:p w14:paraId="3C77C639">
      <w:pPr>
        <w:rPr>
          <w:rFonts w:hint="eastAsia" w:ascii="宋体" w:hAnsi="宋体" w:cs="宋体"/>
          <w:b/>
          <w:bCs/>
          <w:szCs w:val="21"/>
        </w:rPr>
      </w:pPr>
      <w:r>
        <w:rPr>
          <w:rFonts w:hint="eastAsia" w:ascii="宋体" w:hAnsi="宋体" w:cs="宋体"/>
          <w:b/>
          <w:bCs/>
          <w:szCs w:val="21"/>
        </w:rPr>
        <w:br w:type="page"/>
      </w:r>
    </w:p>
    <w:p w14:paraId="16391F8D">
      <w:pPr>
        <w:pStyle w:val="33"/>
        <w:rPr>
          <w:rFonts w:hint="eastAsia" w:ascii="宋体" w:hAnsi="宋体" w:cs="宋体"/>
          <w:b/>
          <w:color w:val="auto"/>
          <w:kern w:val="2"/>
          <w:sz w:val="28"/>
          <w:szCs w:val="28"/>
          <w:lang w:val="zh-CN"/>
        </w:rPr>
      </w:pPr>
      <w:r>
        <w:rPr>
          <w:rFonts w:hint="eastAsia" w:ascii="宋体" w:hAnsi="宋体" w:cs="宋体"/>
          <w:b/>
          <w:color w:val="auto"/>
          <w:kern w:val="2"/>
          <w:sz w:val="28"/>
          <w:szCs w:val="28"/>
          <w:lang w:val="zh-CN"/>
        </w:rPr>
        <w:t>附件</w:t>
      </w:r>
      <w:r>
        <w:rPr>
          <w:rFonts w:hint="eastAsia" w:ascii="宋体" w:hAnsi="宋体" w:cs="宋体"/>
          <w:b/>
          <w:color w:val="auto"/>
          <w:kern w:val="2"/>
          <w:sz w:val="28"/>
          <w:szCs w:val="28"/>
          <w:lang w:val="en-US" w:eastAsia="zh-CN"/>
        </w:rPr>
        <w:t>四</w:t>
      </w:r>
      <w:r>
        <w:rPr>
          <w:rFonts w:hint="eastAsia" w:ascii="宋体" w:hAnsi="宋体" w:cs="宋体"/>
          <w:b/>
          <w:color w:val="auto"/>
          <w:kern w:val="2"/>
          <w:sz w:val="28"/>
          <w:szCs w:val="28"/>
          <w:lang w:val="zh-CN"/>
        </w:rPr>
        <w:t>：</w:t>
      </w:r>
    </w:p>
    <w:p w14:paraId="520179F3">
      <w:pPr>
        <w:pStyle w:val="12"/>
        <w:keepNext w:val="0"/>
        <w:keepLines w:val="0"/>
        <w:widowControl/>
        <w:suppressLineNumbers w:val="0"/>
        <w:spacing w:line="432" w:lineRule="auto"/>
        <w:jc w:val="center"/>
        <w:rPr>
          <w:rStyle w:val="17"/>
          <w:rFonts w:hint="eastAsia" w:ascii="宋体" w:hAnsi="宋体" w:eastAsia="宋体" w:cs="宋体"/>
          <w:color w:val="auto"/>
          <w:sz w:val="36"/>
          <w:szCs w:val="36"/>
          <w:u w:val="none"/>
          <w:lang w:eastAsia="zh-CN"/>
        </w:rPr>
      </w:pPr>
      <w:r>
        <w:rPr>
          <w:rStyle w:val="17"/>
          <w:rFonts w:hint="eastAsia" w:ascii="宋体" w:hAnsi="宋体" w:eastAsia="宋体" w:cs="宋体"/>
          <w:color w:val="auto"/>
          <w:sz w:val="36"/>
          <w:szCs w:val="36"/>
          <w:u w:val="none"/>
        </w:rPr>
        <w:t>关于印发中小企业划型标准规定的通知</w:t>
      </w:r>
    </w:p>
    <w:p w14:paraId="108087EB">
      <w:pPr>
        <w:pStyle w:val="12"/>
        <w:keepNext w:val="0"/>
        <w:keepLines w:val="0"/>
        <w:widowControl/>
        <w:suppressLineNumbers w:val="0"/>
        <w:spacing w:line="432" w:lineRule="auto"/>
        <w:jc w:val="center"/>
        <w:rPr>
          <w:color w:val="auto"/>
        </w:rPr>
      </w:pPr>
      <w:r>
        <w:rPr>
          <w:rFonts w:ascii="楷体_GB2312" w:hAnsi="宋体" w:eastAsia="楷体_GB2312" w:cs="楷体_GB2312"/>
          <w:color w:val="auto"/>
          <w:sz w:val="24"/>
          <w:szCs w:val="24"/>
          <w:u w:val="none"/>
        </w:rPr>
        <w:t>工信部联企业〔2011〕300号</w:t>
      </w:r>
    </w:p>
    <w:p w14:paraId="5FCA431B">
      <w:pPr>
        <w:pStyle w:val="12"/>
        <w:keepNext w:val="0"/>
        <w:keepLines w:val="0"/>
        <w:widowControl/>
        <w:suppressLineNumbers w:val="0"/>
        <w:spacing w:line="432" w:lineRule="auto"/>
        <w:rPr>
          <w:rFonts w:hint="eastAsia" w:ascii="宋体" w:hAnsi="宋体" w:eastAsia="宋体" w:cs="宋体"/>
          <w:color w:val="auto"/>
          <w:sz w:val="24"/>
          <w:szCs w:val="24"/>
          <w:u w:val="none"/>
          <w:lang w:eastAsia="zh-CN"/>
        </w:rPr>
      </w:pPr>
      <w:r>
        <w:rPr>
          <w:rFonts w:hint="eastAsia" w:ascii="宋体" w:hAnsi="宋体" w:eastAsia="宋体" w:cs="宋体"/>
          <w:color w:val="auto"/>
          <w:sz w:val="24"/>
          <w:szCs w:val="24"/>
          <w:u w:val="none"/>
        </w:rPr>
        <w:t>各省、自治区、直辖市人民政府，国务院各部委、各直属机构及有关单位：</w:t>
      </w:r>
    </w:p>
    <w:p w14:paraId="2B4CBD1D">
      <w:pPr>
        <w:pStyle w:val="12"/>
        <w:keepNext w:val="0"/>
        <w:keepLines w:val="0"/>
        <w:widowControl/>
        <w:suppressLineNumbers w:val="0"/>
        <w:spacing w:line="432" w:lineRule="auto"/>
        <w:rPr>
          <w:rFonts w:hint="eastAsia" w:ascii="宋体" w:hAnsi="宋体" w:eastAsia="宋体" w:cs="宋体"/>
          <w:color w:val="auto"/>
          <w:sz w:val="24"/>
          <w:szCs w:val="24"/>
          <w:u w:val="none"/>
          <w:lang w:eastAsia="zh-CN"/>
        </w:rPr>
      </w:pPr>
      <w:r>
        <w:rPr>
          <w:rFonts w:hint="eastAsia" w:ascii="宋体" w:hAnsi="宋体" w:eastAsia="宋体" w:cs="宋体"/>
          <w:color w:val="auto"/>
          <w:sz w:val="24"/>
          <w:szCs w:val="24"/>
          <w:u w:val="none"/>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663F1E3D">
      <w:pPr>
        <w:pStyle w:val="12"/>
        <w:keepNext w:val="0"/>
        <w:keepLines w:val="0"/>
        <w:widowControl/>
        <w:suppressLineNumbers w:val="0"/>
        <w:spacing w:line="432" w:lineRule="auto"/>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　　　　　　　　　　　　　　　　　　　　　　</w:t>
      </w:r>
    </w:p>
    <w:p w14:paraId="36708CE8">
      <w:pPr>
        <w:pStyle w:val="12"/>
        <w:keepNext w:val="0"/>
        <w:keepLines w:val="0"/>
        <w:widowControl/>
        <w:suppressLineNumbers w:val="0"/>
        <w:spacing w:line="432" w:lineRule="auto"/>
        <w:rPr>
          <w:rFonts w:hint="eastAsia" w:ascii="宋体" w:hAnsi="宋体" w:eastAsia="宋体" w:cs="宋体"/>
          <w:color w:val="auto"/>
          <w:sz w:val="24"/>
          <w:szCs w:val="24"/>
          <w:u w:val="none"/>
        </w:rPr>
      </w:pPr>
    </w:p>
    <w:p w14:paraId="52020993">
      <w:pPr>
        <w:pStyle w:val="12"/>
        <w:keepNext w:val="0"/>
        <w:keepLines w:val="0"/>
        <w:widowControl/>
        <w:suppressLineNumbers w:val="0"/>
        <w:spacing w:line="432" w:lineRule="auto"/>
        <w:rPr>
          <w:rFonts w:hint="eastAsia" w:ascii="宋体" w:hAnsi="宋体" w:eastAsia="宋体" w:cs="宋体"/>
          <w:color w:val="auto"/>
          <w:sz w:val="24"/>
          <w:szCs w:val="24"/>
          <w:u w:val="none"/>
        </w:rPr>
      </w:pPr>
    </w:p>
    <w:p w14:paraId="301EBB42">
      <w:pPr>
        <w:pStyle w:val="12"/>
        <w:keepNext w:val="0"/>
        <w:keepLines w:val="0"/>
        <w:widowControl/>
        <w:suppressLineNumbers w:val="0"/>
        <w:spacing w:line="432" w:lineRule="auto"/>
        <w:rPr>
          <w:rFonts w:hint="eastAsia" w:ascii="宋体" w:hAnsi="宋体" w:eastAsia="宋体" w:cs="宋体"/>
          <w:color w:val="auto"/>
          <w:sz w:val="24"/>
          <w:szCs w:val="24"/>
          <w:u w:val="none"/>
        </w:rPr>
      </w:pPr>
    </w:p>
    <w:p w14:paraId="0C12CC30">
      <w:pPr>
        <w:pStyle w:val="12"/>
        <w:keepNext w:val="0"/>
        <w:keepLines w:val="0"/>
        <w:widowControl/>
        <w:suppressLineNumbers w:val="0"/>
        <w:spacing w:line="432" w:lineRule="auto"/>
        <w:rPr>
          <w:rFonts w:hint="eastAsia" w:ascii="宋体" w:hAnsi="宋体" w:eastAsia="宋体" w:cs="宋体"/>
          <w:color w:val="auto"/>
          <w:sz w:val="24"/>
          <w:szCs w:val="24"/>
          <w:u w:val="none"/>
        </w:rPr>
      </w:pPr>
    </w:p>
    <w:p w14:paraId="527A707F">
      <w:pPr>
        <w:pStyle w:val="12"/>
        <w:keepNext w:val="0"/>
        <w:keepLines w:val="0"/>
        <w:widowControl/>
        <w:suppressLineNumbers w:val="0"/>
        <w:spacing w:line="432" w:lineRule="auto"/>
        <w:rPr>
          <w:rFonts w:hint="eastAsia" w:ascii="宋体" w:hAnsi="宋体" w:eastAsia="宋体" w:cs="宋体"/>
          <w:color w:val="auto"/>
          <w:sz w:val="24"/>
          <w:szCs w:val="24"/>
          <w:u w:val="none"/>
        </w:rPr>
      </w:pPr>
    </w:p>
    <w:p w14:paraId="7ABCCAA7">
      <w:pPr>
        <w:pStyle w:val="12"/>
        <w:keepNext w:val="0"/>
        <w:keepLines w:val="0"/>
        <w:widowControl/>
        <w:suppressLineNumbers w:val="0"/>
        <w:spacing w:line="432" w:lineRule="auto"/>
        <w:jc w:val="right"/>
        <w:rPr>
          <w:rFonts w:hint="eastAsia" w:ascii="宋体" w:hAnsi="宋体" w:eastAsia="宋体" w:cs="宋体"/>
          <w:color w:val="auto"/>
          <w:sz w:val="24"/>
          <w:szCs w:val="24"/>
          <w:u w:val="none"/>
          <w:lang w:eastAsia="zh-CN"/>
        </w:rPr>
      </w:pPr>
      <w:r>
        <w:rPr>
          <w:rFonts w:hint="eastAsia" w:ascii="宋体" w:hAnsi="宋体" w:eastAsia="宋体" w:cs="宋体"/>
          <w:color w:val="auto"/>
          <w:sz w:val="24"/>
          <w:szCs w:val="24"/>
          <w:u w:val="none"/>
        </w:rPr>
        <w:t xml:space="preserve"> 工业和信息化部　国家统计局</w:t>
      </w:r>
    </w:p>
    <w:p w14:paraId="1F1F4F0D">
      <w:pPr>
        <w:pStyle w:val="12"/>
        <w:keepNext w:val="0"/>
        <w:keepLines w:val="0"/>
        <w:widowControl/>
        <w:suppressLineNumbers w:val="0"/>
        <w:spacing w:line="432" w:lineRule="auto"/>
        <w:ind w:firstLine="5280" w:firstLineChars="2200"/>
        <w:jc w:val="right"/>
        <w:rPr>
          <w:rFonts w:hint="eastAsia" w:ascii="宋体" w:hAnsi="宋体" w:eastAsia="宋体" w:cs="宋体"/>
          <w:color w:val="auto"/>
          <w:sz w:val="24"/>
          <w:szCs w:val="24"/>
          <w:u w:val="none"/>
          <w:lang w:eastAsia="zh-CN"/>
        </w:rPr>
      </w:pPr>
      <w:r>
        <w:rPr>
          <w:rFonts w:hint="eastAsia" w:ascii="宋体" w:hAnsi="宋体" w:eastAsia="宋体" w:cs="宋体"/>
          <w:color w:val="auto"/>
          <w:sz w:val="24"/>
          <w:szCs w:val="24"/>
          <w:u w:val="none"/>
        </w:rPr>
        <w:t>　　　　　　　　　　　　　　　　　　　　　　国家发展和改革委员会　财政部</w:t>
      </w:r>
    </w:p>
    <w:p w14:paraId="1B5B56E6">
      <w:pPr>
        <w:pStyle w:val="12"/>
        <w:keepNext w:val="0"/>
        <w:keepLines w:val="0"/>
        <w:widowControl/>
        <w:suppressLineNumbers w:val="0"/>
        <w:spacing w:line="432" w:lineRule="auto"/>
        <w:ind w:firstLine="5280" w:firstLineChars="2200"/>
        <w:jc w:val="right"/>
        <w:rPr>
          <w:color w:val="auto"/>
        </w:rPr>
      </w:pPr>
      <w:r>
        <w:rPr>
          <w:rFonts w:hint="eastAsia" w:ascii="宋体" w:hAnsi="宋体" w:eastAsia="宋体" w:cs="宋体"/>
          <w:color w:val="auto"/>
          <w:sz w:val="24"/>
          <w:szCs w:val="24"/>
          <w:u w:val="none"/>
        </w:rPr>
        <w:t>　　　　　　　　　　　　　　　　　　　　　　　　二○一一年六月十八日</w:t>
      </w:r>
    </w:p>
    <w:p w14:paraId="2917319A">
      <w:pPr>
        <w:pStyle w:val="12"/>
        <w:keepNext w:val="0"/>
        <w:keepLines w:val="0"/>
        <w:widowControl/>
        <w:suppressLineNumbers w:val="0"/>
        <w:spacing w:line="432" w:lineRule="auto"/>
        <w:rPr>
          <w:color w:val="auto"/>
        </w:rPr>
      </w:pPr>
      <w:r>
        <w:rPr>
          <w:rFonts w:hint="eastAsia" w:ascii="宋体" w:hAnsi="宋体" w:eastAsia="宋体" w:cs="宋体"/>
          <w:color w:val="auto"/>
          <w:sz w:val="24"/>
          <w:szCs w:val="24"/>
          <w:u w:val="none"/>
        </w:rPr>
        <w:t> </w:t>
      </w:r>
    </w:p>
    <w:p w14:paraId="16C11276">
      <w:pPr>
        <w:widowControl/>
        <w:spacing w:line="330" w:lineRule="atLeast"/>
        <w:jc w:val="center"/>
        <w:rPr>
          <w:rFonts w:ascii="方正小标宋简体" w:hAnsi="宋体" w:eastAsia="方正小标宋简体" w:cs="宋体"/>
          <w:color w:val="auto"/>
          <w:kern w:val="0"/>
          <w:sz w:val="36"/>
          <w:szCs w:val="32"/>
        </w:rPr>
      </w:pPr>
      <w:r>
        <w:rPr>
          <w:rFonts w:hint="eastAsia" w:ascii="方正小标宋简体" w:hAnsi="宋体" w:eastAsia="方正小标宋简体" w:cs="宋体"/>
          <w:color w:val="auto"/>
          <w:kern w:val="0"/>
          <w:sz w:val="36"/>
          <w:szCs w:val="32"/>
        </w:rPr>
        <w:t>大中小微型企业划分标准</w:t>
      </w:r>
    </w:p>
    <w:tbl>
      <w:tblPr>
        <w:tblStyle w:val="15"/>
        <w:tblW w:w="0" w:type="auto"/>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14:paraId="3A1E7523">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22" w:hRule="exact"/>
          <w:jc w:val="center"/>
        </w:trPr>
        <w:tc>
          <w:tcPr>
            <w:tcW w:w="2113" w:type="dxa"/>
            <w:tcBorders>
              <w:bottom w:val="single" w:color="auto" w:sz="4" w:space="0"/>
              <w:right w:val="single" w:color="auto" w:sz="4" w:space="0"/>
            </w:tcBorders>
            <w:noWrap w:val="0"/>
            <w:vAlign w:val="center"/>
          </w:tcPr>
          <w:p w14:paraId="424B726A">
            <w:pPr>
              <w:widowControl/>
              <w:spacing w:line="240" w:lineRule="exact"/>
              <w:jc w:val="center"/>
              <w:rPr>
                <w:rFonts w:ascii="宋体" w:hAnsi="宋体" w:cs="宋体"/>
                <w:b/>
                <w:bCs/>
                <w:color w:val="auto"/>
                <w:kern w:val="0"/>
                <w:sz w:val="18"/>
                <w:szCs w:val="21"/>
              </w:rPr>
            </w:pPr>
            <w:r>
              <w:rPr>
                <w:rFonts w:hint="eastAsia" w:ascii="宋体" w:hAnsi="宋体" w:cs="宋体"/>
                <w:b/>
                <w:bCs/>
                <w:color w:val="auto"/>
                <w:kern w:val="0"/>
                <w:sz w:val="18"/>
                <w:szCs w:val="21"/>
              </w:rPr>
              <w:t>行业名称</w:t>
            </w:r>
          </w:p>
        </w:tc>
        <w:tc>
          <w:tcPr>
            <w:tcW w:w="1369" w:type="dxa"/>
            <w:tcBorders>
              <w:left w:val="nil"/>
              <w:bottom w:val="single" w:color="auto" w:sz="4" w:space="0"/>
              <w:right w:val="single" w:color="auto" w:sz="4" w:space="0"/>
            </w:tcBorders>
            <w:noWrap w:val="0"/>
            <w:vAlign w:val="center"/>
          </w:tcPr>
          <w:p w14:paraId="0D020C3B">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指标名称</w:t>
            </w:r>
          </w:p>
        </w:tc>
        <w:tc>
          <w:tcPr>
            <w:tcW w:w="709" w:type="dxa"/>
            <w:tcBorders>
              <w:left w:val="nil"/>
              <w:bottom w:val="single" w:color="auto" w:sz="4" w:space="0"/>
              <w:right w:val="single" w:color="auto" w:sz="4" w:space="0"/>
            </w:tcBorders>
            <w:noWrap w:val="0"/>
            <w:vAlign w:val="center"/>
          </w:tcPr>
          <w:p w14:paraId="6B81E6A5">
            <w:pPr>
              <w:widowControl/>
              <w:jc w:val="center"/>
              <w:rPr>
                <w:rFonts w:hint="eastAsia" w:ascii="宋体" w:hAnsi="宋体" w:eastAsia="宋体" w:cs="宋体"/>
                <w:b/>
                <w:bCs/>
                <w:color w:val="auto"/>
                <w:kern w:val="0"/>
                <w:sz w:val="18"/>
                <w:szCs w:val="18"/>
                <w:lang w:eastAsia="zh-CN"/>
              </w:rPr>
            </w:pPr>
            <w:r>
              <w:rPr>
                <w:rFonts w:hint="eastAsia" w:ascii="宋体" w:hAnsi="宋体" w:cs="宋体"/>
                <w:b/>
                <w:bCs/>
                <w:color w:val="auto"/>
                <w:kern w:val="0"/>
                <w:sz w:val="18"/>
                <w:szCs w:val="18"/>
              </w:rPr>
              <w:t>计量</w:t>
            </w:r>
          </w:p>
          <w:p w14:paraId="71FCE1D1">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单位</w:t>
            </w:r>
          </w:p>
        </w:tc>
        <w:tc>
          <w:tcPr>
            <w:tcW w:w="1125" w:type="dxa"/>
            <w:tcBorders>
              <w:left w:val="nil"/>
              <w:bottom w:val="single" w:color="auto" w:sz="4" w:space="0"/>
              <w:right w:val="single" w:color="auto" w:sz="4" w:space="0"/>
            </w:tcBorders>
            <w:noWrap w:val="0"/>
            <w:vAlign w:val="center"/>
          </w:tcPr>
          <w:p w14:paraId="652ADE65">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大型</w:t>
            </w:r>
          </w:p>
        </w:tc>
        <w:tc>
          <w:tcPr>
            <w:tcW w:w="1701" w:type="dxa"/>
            <w:tcBorders>
              <w:left w:val="nil"/>
              <w:bottom w:val="single" w:color="auto" w:sz="4" w:space="0"/>
              <w:right w:val="single" w:color="auto" w:sz="4" w:space="0"/>
            </w:tcBorders>
            <w:noWrap w:val="0"/>
            <w:vAlign w:val="center"/>
          </w:tcPr>
          <w:p w14:paraId="643A34D3">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中型</w:t>
            </w:r>
          </w:p>
        </w:tc>
        <w:tc>
          <w:tcPr>
            <w:tcW w:w="1426" w:type="dxa"/>
            <w:tcBorders>
              <w:left w:val="nil"/>
              <w:bottom w:val="single" w:color="auto" w:sz="4" w:space="0"/>
              <w:right w:val="single" w:color="auto" w:sz="4" w:space="0"/>
            </w:tcBorders>
            <w:noWrap w:val="0"/>
            <w:vAlign w:val="center"/>
          </w:tcPr>
          <w:p w14:paraId="68D0639B">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小型</w:t>
            </w:r>
          </w:p>
        </w:tc>
        <w:tc>
          <w:tcPr>
            <w:tcW w:w="992" w:type="dxa"/>
            <w:tcBorders>
              <w:left w:val="nil"/>
              <w:bottom w:val="single" w:color="auto" w:sz="4" w:space="0"/>
            </w:tcBorders>
            <w:noWrap w:val="0"/>
            <w:vAlign w:val="center"/>
          </w:tcPr>
          <w:p w14:paraId="549F245C">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微型</w:t>
            </w:r>
          </w:p>
        </w:tc>
      </w:tr>
      <w:tr w14:paraId="5AAF749A">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7" w:hRule="exact"/>
          <w:jc w:val="center"/>
        </w:trPr>
        <w:tc>
          <w:tcPr>
            <w:tcW w:w="2113" w:type="dxa"/>
            <w:tcBorders>
              <w:top w:val="nil"/>
              <w:bottom w:val="single" w:color="auto" w:sz="4" w:space="0"/>
              <w:right w:val="single" w:color="auto" w:sz="4" w:space="0"/>
            </w:tcBorders>
            <w:noWrap w:val="0"/>
            <w:vAlign w:val="center"/>
          </w:tcPr>
          <w:p w14:paraId="1FECF034">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农、林、牧、渔业</w:t>
            </w:r>
          </w:p>
        </w:tc>
        <w:tc>
          <w:tcPr>
            <w:tcW w:w="1369" w:type="dxa"/>
            <w:tcBorders>
              <w:top w:val="nil"/>
              <w:left w:val="nil"/>
              <w:bottom w:val="single" w:color="auto" w:sz="4" w:space="0"/>
              <w:right w:val="single" w:color="auto" w:sz="4" w:space="0"/>
            </w:tcBorders>
            <w:noWrap w:val="0"/>
            <w:vAlign w:val="center"/>
          </w:tcPr>
          <w:p w14:paraId="647BE2E4">
            <w:pPr>
              <w:widowControl/>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tcBorders>
              <w:top w:val="nil"/>
              <w:left w:val="nil"/>
              <w:bottom w:val="single" w:color="auto" w:sz="4" w:space="0"/>
              <w:right w:val="single" w:color="auto" w:sz="4" w:space="0"/>
            </w:tcBorders>
            <w:noWrap w:val="0"/>
            <w:vAlign w:val="center"/>
          </w:tcPr>
          <w:p w14:paraId="5EDDD658">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tcBorders>
              <w:top w:val="nil"/>
              <w:left w:val="nil"/>
              <w:bottom w:val="single" w:color="auto" w:sz="4" w:space="0"/>
              <w:right w:val="single" w:color="auto" w:sz="4" w:space="0"/>
            </w:tcBorders>
            <w:noWrap w:val="0"/>
            <w:vAlign w:val="center"/>
          </w:tcPr>
          <w:p w14:paraId="793303F6">
            <w:pPr>
              <w:widowControl/>
              <w:jc w:val="center"/>
              <w:rPr>
                <w:rFonts w:ascii="宋体" w:hAnsi="宋体" w:cs="宋体"/>
                <w:color w:val="auto"/>
                <w:kern w:val="0"/>
                <w:sz w:val="18"/>
                <w:szCs w:val="18"/>
              </w:rPr>
            </w:pPr>
            <w:r>
              <w:rPr>
                <w:rFonts w:hint="eastAsia" w:ascii="宋体" w:hAnsi="宋体" w:cs="宋体"/>
                <w:color w:val="auto"/>
                <w:kern w:val="0"/>
                <w:sz w:val="18"/>
                <w:szCs w:val="18"/>
              </w:rPr>
              <w:t>Y≥20000</w:t>
            </w:r>
          </w:p>
        </w:tc>
        <w:tc>
          <w:tcPr>
            <w:tcW w:w="1701" w:type="dxa"/>
            <w:tcBorders>
              <w:top w:val="nil"/>
              <w:left w:val="nil"/>
              <w:bottom w:val="single" w:color="auto" w:sz="4" w:space="0"/>
              <w:right w:val="single" w:color="auto" w:sz="4" w:space="0"/>
            </w:tcBorders>
            <w:noWrap w:val="0"/>
            <w:vAlign w:val="center"/>
          </w:tcPr>
          <w:p w14:paraId="0259C8D1">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500≤Y＜20000</w:t>
            </w:r>
          </w:p>
        </w:tc>
        <w:tc>
          <w:tcPr>
            <w:tcW w:w="1426" w:type="dxa"/>
            <w:tcBorders>
              <w:top w:val="nil"/>
              <w:left w:val="nil"/>
              <w:bottom w:val="single" w:color="auto" w:sz="4" w:space="0"/>
              <w:right w:val="single" w:color="auto" w:sz="4" w:space="0"/>
            </w:tcBorders>
            <w:noWrap w:val="0"/>
            <w:vAlign w:val="center"/>
          </w:tcPr>
          <w:p w14:paraId="5B904BAB">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50≤Y＜500</w:t>
            </w:r>
          </w:p>
        </w:tc>
        <w:tc>
          <w:tcPr>
            <w:tcW w:w="992" w:type="dxa"/>
            <w:tcBorders>
              <w:top w:val="nil"/>
              <w:left w:val="nil"/>
              <w:bottom w:val="single" w:color="auto" w:sz="4" w:space="0"/>
            </w:tcBorders>
            <w:noWrap w:val="0"/>
            <w:vAlign w:val="center"/>
          </w:tcPr>
          <w:p w14:paraId="17CDB6C7">
            <w:pPr>
              <w:widowControl/>
              <w:jc w:val="center"/>
              <w:rPr>
                <w:rFonts w:ascii="宋体" w:hAnsi="宋体" w:cs="宋体"/>
                <w:color w:val="auto"/>
                <w:kern w:val="0"/>
                <w:sz w:val="18"/>
                <w:szCs w:val="18"/>
              </w:rPr>
            </w:pPr>
            <w:r>
              <w:rPr>
                <w:rFonts w:hint="eastAsia" w:ascii="宋体" w:hAnsi="宋体" w:cs="宋体"/>
                <w:color w:val="auto"/>
                <w:kern w:val="0"/>
                <w:sz w:val="18"/>
                <w:szCs w:val="18"/>
              </w:rPr>
              <w:t>Y＜50</w:t>
            </w:r>
          </w:p>
        </w:tc>
      </w:tr>
      <w:tr w14:paraId="799D4A13">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7" w:hRule="exact"/>
          <w:jc w:val="center"/>
        </w:trPr>
        <w:tc>
          <w:tcPr>
            <w:tcW w:w="2113" w:type="dxa"/>
            <w:vMerge w:val="restart"/>
            <w:tcBorders>
              <w:top w:val="nil"/>
              <w:bottom w:val="single" w:color="auto" w:sz="4" w:space="0"/>
              <w:right w:val="single" w:color="auto" w:sz="4" w:space="0"/>
            </w:tcBorders>
            <w:noWrap w:val="0"/>
            <w:vAlign w:val="center"/>
          </w:tcPr>
          <w:p w14:paraId="708A80AC">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工业 *</w:t>
            </w:r>
          </w:p>
        </w:tc>
        <w:tc>
          <w:tcPr>
            <w:tcW w:w="1369" w:type="dxa"/>
            <w:tcBorders>
              <w:top w:val="nil"/>
              <w:left w:val="nil"/>
              <w:bottom w:val="nil"/>
              <w:right w:val="single" w:color="auto" w:sz="4" w:space="0"/>
            </w:tcBorders>
            <w:noWrap w:val="0"/>
            <w:vAlign w:val="center"/>
          </w:tcPr>
          <w:p w14:paraId="42F84FBF">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tcBorders>
              <w:top w:val="nil"/>
              <w:left w:val="nil"/>
              <w:bottom w:val="nil"/>
              <w:right w:val="single" w:color="auto" w:sz="4" w:space="0"/>
            </w:tcBorders>
            <w:noWrap w:val="0"/>
            <w:vAlign w:val="center"/>
          </w:tcPr>
          <w:p w14:paraId="0222754E">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tcBorders>
              <w:top w:val="nil"/>
              <w:left w:val="nil"/>
              <w:bottom w:val="nil"/>
              <w:right w:val="single" w:color="auto" w:sz="4" w:space="0"/>
            </w:tcBorders>
            <w:noWrap w:val="0"/>
            <w:vAlign w:val="center"/>
          </w:tcPr>
          <w:p w14:paraId="7E873359">
            <w:pPr>
              <w:widowControl/>
              <w:jc w:val="center"/>
              <w:rPr>
                <w:rFonts w:ascii="宋体" w:hAnsi="宋体" w:cs="宋体"/>
                <w:color w:val="auto"/>
                <w:kern w:val="0"/>
                <w:sz w:val="18"/>
                <w:szCs w:val="18"/>
              </w:rPr>
            </w:pPr>
            <w:r>
              <w:rPr>
                <w:rFonts w:hint="eastAsia" w:ascii="宋体" w:hAnsi="宋体" w:cs="宋体"/>
                <w:color w:val="auto"/>
                <w:kern w:val="0"/>
                <w:sz w:val="18"/>
                <w:szCs w:val="18"/>
              </w:rPr>
              <w:t>X≥1000</w:t>
            </w:r>
          </w:p>
        </w:tc>
        <w:tc>
          <w:tcPr>
            <w:tcW w:w="1701" w:type="dxa"/>
            <w:tcBorders>
              <w:top w:val="nil"/>
              <w:left w:val="nil"/>
              <w:bottom w:val="nil"/>
              <w:right w:val="single" w:color="auto" w:sz="4" w:space="0"/>
            </w:tcBorders>
            <w:noWrap w:val="0"/>
            <w:vAlign w:val="center"/>
          </w:tcPr>
          <w:p w14:paraId="2CA33B6B">
            <w:pPr>
              <w:widowControl/>
              <w:jc w:val="center"/>
              <w:rPr>
                <w:rFonts w:ascii="宋体" w:hAnsi="宋体" w:cs="宋体"/>
                <w:color w:val="auto"/>
                <w:kern w:val="0"/>
                <w:sz w:val="18"/>
                <w:szCs w:val="18"/>
              </w:rPr>
            </w:pPr>
            <w:r>
              <w:rPr>
                <w:rFonts w:hint="eastAsia" w:ascii="宋体" w:hAnsi="宋体" w:cs="宋体"/>
                <w:color w:val="auto"/>
                <w:kern w:val="0"/>
                <w:sz w:val="18"/>
                <w:szCs w:val="18"/>
              </w:rPr>
              <w:t>300≤X＜1000</w:t>
            </w:r>
          </w:p>
        </w:tc>
        <w:tc>
          <w:tcPr>
            <w:tcW w:w="1426" w:type="dxa"/>
            <w:tcBorders>
              <w:top w:val="nil"/>
              <w:left w:val="nil"/>
              <w:bottom w:val="nil"/>
              <w:right w:val="single" w:color="auto" w:sz="4" w:space="0"/>
            </w:tcBorders>
            <w:noWrap w:val="0"/>
            <w:vAlign w:val="center"/>
          </w:tcPr>
          <w:p w14:paraId="6AA69BED">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20≤X＜300</w:t>
            </w:r>
          </w:p>
        </w:tc>
        <w:tc>
          <w:tcPr>
            <w:tcW w:w="992" w:type="dxa"/>
            <w:tcBorders>
              <w:top w:val="nil"/>
              <w:left w:val="nil"/>
              <w:bottom w:val="nil"/>
            </w:tcBorders>
            <w:noWrap w:val="0"/>
            <w:vAlign w:val="center"/>
          </w:tcPr>
          <w:p w14:paraId="154A2408">
            <w:pPr>
              <w:widowControl/>
              <w:jc w:val="center"/>
              <w:rPr>
                <w:rFonts w:ascii="宋体" w:hAnsi="宋体" w:cs="宋体"/>
                <w:color w:val="auto"/>
                <w:kern w:val="0"/>
                <w:sz w:val="18"/>
                <w:szCs w:val="18"/>
              </w:rPr>
            </w:pPr>
            <w:r>
              <w:rPr>
                <w:rFonts w:hint="eastAsia" w:ascii="宋体" w:hAnsi="宋体" w:cs="宋体"/>
                <w:color w:val="auto"/>
                <w:kern w:val="0"/>
                <w:sz w:val="18"/>
                <w:szCs w:val="18"/>
              </w:rPr>
              <w:t>X＜20</w:t>
            </w:r>
          </w:p>
        </w:tc>
      </w:tr>
      <w:tr w14:paraId="1D6C241F">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7" w:hRule="exact"/>
          <w:jc w:val="center"/>
        </w:trPr>
        <w:tc>
          <w:tcPr>
            <w:tcW w:w="2113" w:type="dxa"/>
            <w:vMerge w:val="continue"/>
            <w:tcBorders>
              <w:top w:val="nil"/>
              <w:bottom w:val="single" w:color="auto" w:sz="4" w:space="0"/>
              <w:right w:val="single" w:color="auto" w:sz="4" w:space="0"/>
            </w:tcBorders>
            <w:noWrap w:val="0"/>
            <w:vAlign w:val="center"/>
          </w:tcPr>
          <w:p w14:paraId="289FC509">
            <w:pPr>
              <w:widowControl/>
              <w:jc w:val="left"/>
              <w:rPr>
                <w:rFonts w:ascii="宋体" w:hAnsi="宋体" w:cs="宋体"/>
                <w:color w:val="auto"/>
                <w:kern w:val="0"/>
                <w:sz w:val="18"/>
                <w:szCs w:val="18"/>
              </w:rPr>
            </w:pPr>
          </w:p>
        </w:tc>
        <w:tc>
          <w:tcPr>
            <w:tcW w:w="1369" w:type="dxa"/>
            <w:tcBorders>
              <w:top w:val="nil"/>
              <w:left w:val="nil"/>
              <w:bottom w:val="single" w:color="auto" w:sz="4" w:space="0"/>
              <w:right w:val="single" w:color="auto" w:sz="4" w:space="0"/>
            </w:tcBorders>
            <w:noWrap w:val="0"/>
            <w:vAlign w:val="center"/>
          </w:tcPr>
          <w:p w14:paraId="77E82232">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tcBorders>
              <w:top w:val="nil"/>
              <w:left w:val="nil"/>
              <w:bottom w:val="single" w:color="auto" w:sz="4" w:space="0"/>
              <w:right w:val="single" w:color="auto" w:sz="4" w:space="0"/>
            </w:tcBorders>
            <w:noWrap w:val="0"/>
            <w:vAlign w:val="center"/>
          </w:tcPr>
          <w:p w14:paraId="004732DA">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tcBorders>
              <w:top w:val="nil"/>
              <w:left w:val="nil"/>
              <w:bottom w:val="single" w:color="auto" w:sz="4" w:space="0"/>
              <w:right w:val="single" w:color="auto" w:sz="4" w:space="0"/>
            </w:tcBorders>
            <w:noWrap w:val="0"/>
            <w:vAlign w:val="center"/>
          </w:tcPr>
          <w:p w14:paraId="518173D6">
            <w:pPr>
              <w:widowControl/>
              <w:jc w:val="center"/>
              <w:rPr>
                <w:rFonts w:ascii="宋体" w:hAnsi="宋体" w:cs="宋体"/>
                <w:color w:val="auto"/>
                <w:kern w:val="0"/>
                <w:sz w:val="18"/>
                <w:szCs w:val="18"/>
              </w:rPr>
            </w:pPr>
            <w:r>
              <w:rPr>
                <w:rFonts w:hint="eastAsia" w:ascii="宋体" w:hAnsi="宋体" w:cs="宋体"/>
                <w:color w:val="auto"/>
                <w:kern w:val="0"/>
                <w:sz w:val="18"/>
                <w:szCs w:val="18"/>
              </w:rPr>
              <w:t>Y≥40000</w:t>
            </w:r>
          </w:p>
        </w:tc>
        <w:tc>
          <w:tcPr>
            <w:tcW w:w="1701" w:type="dxa"/>
            <w:tcBorders>
              <w:top w:val="nil"/>
              <w:left w:val="nil"/>
              <w:bottom w:val="single" w:color="auto" w:sz="4" w:space="0"/>
              <w:right w:val="single" w:color="auto" w:sz="4" w:space="0"/>
            </w:tcBorders>
            <w:noWrap w:val="0"/>
            <w:vAlign w:val="center"/>
          </w:tcPr>
          <w:p w14:paraId="75251730">
            <w:pPr>
              <w:widowControl/>
              <w:jc w:val="center"/>
              <w:rPr>
                <w:rFonts w:ascii="宋体" w:hAnsi="宋体" w:cs="宋体"/>
                <w:color w:val="auto"/>
                <w:kern w:val="0"/>
                <w:sz w:val="18"/>
                <w:szCs w:val="18"/>
              </w:rPr>
            </w:pPr>
            <w:r>
              <w:rPr>
                <w:rFonts w:hint="eastAsia" w:ascii="宋体" w:hAnsi="宋体" w:cs="宋体"/>
                <w:color w:val="auto"/>
                <w:kern w:val="0"/>
                <w:sz w:val="18"/>
                <w:szCs w:val="18"/>
              </w:rPr>
              <w:t>2000≤Y＜40000</w:t>
            </w:r>
          </w:p>
        </w:tc>
        <w:tc>
          <w:tcPr>
            <w:tcW w:w="1426" w:type="dxa"/>
            <w:tcBorders>
              <w:top w:val="nil"/>
              <w:left w:val="nil"/>
              <w:bottom w:val="single" w:color="auto" w:sz="4" w:space="0"/>
              <w:right w:val="single" w:color="auto" w:sz="4" w:space="0"/>
            </w:tcBorders>
            <w:noWrap w:val="0"/>
            <w:vAlign w:val="center"/>
          </w:tcPr>
          <w:p w14:paraId="1593EEB4">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300≤Y＜2000</w:t>
            </w:r>
          </w:p>
        </w:tc>
        <w:tc>
          <w:tcPr>
            <w:tcW w:w="992" w:type="dxa"/>
            <w:tcBorders>
              <w:top w:val="nil"/>
              <w:left w:val="nil"/>
              <w:bottom w:val="single" w:color="auto" w:sz="4" w:space="0"/>
            </w:tcBorders>
            <w:noWrap w:val="0"/>
            <w:vAlign w:val="center"/>
          </w:tcPr>
          <w:p w14:paraId="7B830A84">
            <w:pPr>
              <w:widowControl/>
              <w:jc w:val="center"/>
              <w:rPr>
                <w:rFonts w:ascii="宋体" w:hAnsi="宋体" w:cs="宋体"/>
                <w:color w:val="auto"/>
                <w:kern w:val="0"/>
                <w:sz w:val="18"/>
                <w:szCs w:val="18"/>
              </w:rPr>
            </w:pPr>
            <w:r>
              <w:rPr>
                <w:rFonts w:hint="eastAsia" w:ascii="宋体" w:hAnsi="宋体" w:cs="宋体"/>
                <w:color w:val="auto"/>
                <w:kern w:val="0"/>
                <w:sz w:val="18"/>
                <w:szCs w:val="18"/>
              </w:rPr>
              <w:t>Y＜300</w:t>
            </w:r>
          </w:p>
        </w:tc>
      </w:tr>
      <w:tr w14:paraId="4829BEF6">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7" w:hRule="exact"/>
          <w:jc w:val="center"/>
        </w:trPr>
        <w:tc>
          <w:tcPr>
            <w:tcW w:w="2113" w:type="dxa"/>
            <w:vMerge w:val="restart"/>
            <w:tcBorders>
              <w:top w:val="nil"/>
              <w:bottom w:val="single" w:color="auto" w:sz="4" w:space="0"/>
              <w:right w:val="single" w:color="auto" w:sz="4" w:space="0"/>
            </w:tcBorders>
            <w:noWrap w:val="0"/>
            <w:vAlign w:val="center"/>
          </w:tcPr>
          <w:p w14:paraId="47AFFEFF">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建筑业</w:t>
            </w:r>
          </w:p>
        </w:tc>
        <w:tc>
          <w:tcPr>
            <w:tcW w:w="1369" w:type="dxa"/>
            <w:tcBorders>
              <w:top w:val="nil"/>
              <w:left w:val="nil"/>
              <w:bottom w:val="nil"/>
              <w:right w:val="single" w:color="auto" w:sz="4" w:space="0"/>
            </w:tcBorders>
            <w:noWrap w:val="0"/>
            <w:vAlign w:val="center"/>
          </w:tcPr>
          <w:p w14:paraId="66006D1C">
            <w:pPr>
              <w:widowControl/>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tcBorders>
              <w:top w:val="nil"/>
              <w:left w:val="nil"/>
              <w:bottom w:val="nil"/>
              <w:right w:val="single" w:color="auto" w:sz="4" w:space="0"/>
            </w:tcBorders>
            <w:noWrap w:val="0"/>
            <w:vAlign w:val="center"/>
          </w:tcPr>
          <w:p w14:paraId="27FA3D2B">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tcBorders>
              <w:top w:val="nil"/>
              <w:left w:val="nil"/>
              <w:bottom w:val="nil"/>
              <w:right w:val="single" w:color="auto" w:sz="4" w:space="0"/>
            </w:tcBorders>
            <w:noWrap w:val="0"/>
            <w:vAlign w:val="center"/>
          </w:tcPr>
          <w:p w14:paraId="4D8E5B56">
            <w:pPr>
              <w:widowControl/>
              <w:jc w:val="center"/>
              <w:rPr>
                <w:rFonts w:ascii="宋体" w:hAnsi="宋体" w:cs="宋体"/>
                <w:color w:val="auto"/>
                <w:kern w:val="0"/>
                <w:sz w:val="18"/>
                <w:szCs w:val="18"/>
              </w:rPr>
            </w:pPr>
            <w:r>
              <w:rPr>
                <w:rFonts w:hint="eastAsia" w:ascii="宋体" w:hAnsi="宋体" w:cs="宋体"/>
                <w:color w:val="auto"/>
                <w:kern w:val="0"/>
                <w:sz w:val="18"/>
                <w:szCs w:val="18"/>
              </w:rPr>
              <w:t>Y≥80000</w:t>
            </w:r>
          </w:p>
        </w:tc>
        <w:tc>
          <w:tcPr>
            <w:tcW w:w="1701" w:type="dxa"/>
            <w:tcBorders>
              <w:top w:val="nil"/>
              <w:left w:val="nil"/>
              <w:bottom w:val="nil"/>
              <w:right w:val="single" w:color="auto" w:sz="4" w:space="0"/>
            </w:tcBorders>
            <w:noWrap w:val="0"/>
            <w:vAlign w:val="center"/>
          </w:tcPr>
          <w:p w14:paraId="11FE8892">
            <w:pPr>
              <w:widowControl/>
              <w:jc w:val="center"/>
              <w:rPr>
                <w:rFonts w:ascii="宋体" w:hAnsi="宋体" w:cs="宋体"/>
                <w:color w:val="auto"/>
                <w:kern w:val="0"/>
                <w:sz w:val="18"/>
                <w:szCs w:val="18"/>
              </w:rPr>
            </w:pPr>
            <w:r>
              <w:rPr>
                <w:rFonts w:hint="eastAsia" w:ascii="宋体" w:hAnsi="宋体" w:cs="宋体"/>
                <w:color w:val="auto"/>
                <w:kern w:val="0"/>
                <w:sz w:val="18"/>
                <w:szCs w:val="18"/>
              </w:rPr>
              <w:t>6000≤Y＜80000</w:t>
            </w:r>
          </w:p>
        </w:tc>
        <w:tc>
          <w:tcPr>
            <w:tcW w:w="1426" w:type="dxa"/>
            <w:tcBorders>
              <w:top w:val="nil"/>
              <w:left w:val="nil"/>
              <w:bottom w:val="nil"/>
              <w:right w:val="single" w:color="auto" w:sz="4" w:space="0"/>
            </w:tcBorders>
            <w:noWrap w:val="0"/>
            <w:vAlign w:val="center"/>
          </w:tcPr>
          <w:p w14:paraId="44344909">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300≤Y＜6000</w:t>
            </w:r>
          </w:p>
        </w:tc>
        <w:tc>
          <w:tcPr>
            <w:tcW w:w="992" w:type="dxa"/>
            <w:tcBorders>
              <w:top w:val="nil"/>
              <w:left w:val="nil"/>
              <w:bottom w:val="nil"/>
            </w:tcBorders>
            <w:noWrap w:val="0"/>
            <w:vAlign w:val="center"/>
          </w:tcPr>
          <w:p w14:paraId="40136D87">
            <w:pPr>
              <w:widowControl/>
              <w:jc w:val="center"/>
              <w:rPr>
                <w:rFonts w:ascii="宋体" w:hAnsi="宋体" w:cs="宋体"/>
                <w:color w:val="auto"/>
                <w:kern w:val="0"/>
                <w:sz w:val="18"/>
                <w:szCs w:val="18"/>
              </w:rPr>
            </w:pPr>
            <w:r>
              <w:rPr>
                <w:rFonts w:hint="eastAsia" w:ascii="宋体" w:hAnsi="宋体" w:cs="宋体"/>
                <w:color w:val="auto"/>
                <w:kern w:val="0"/>
                <w:sz w:val="18"/>
                <w:szCs w:val="18"/>
              </w:rPr>
              <w:t>Y＜300</w:t>
            </w:r>
          </w:p>
        </w:tc>
      </w:tr>
      <w:tr w14:paraId="2A28F46D">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7" w:hRule="exact"/>
          <w:jc w:val="center"/>
        </w:trPr>
        <w:tc>
          <w:tcPr>
            <w:tcW w:w="2113" w:type="dxa"/>
            <w:vMerge w:val="continue"/>
            <w:tcBorders>
              <w:top w:val="nil"/>
              <w:bottom w:val="single" w:color="auto" w:sz="4" w:space="0"/>
              <w:right w:val="single" w:color="auto" w:sz="4" w:space="0"/>
            </w:tcBorders>
            <w:noWrap w:val="0"/>
            <w:vAlign w:val="center"/>
          </w:tcPr>
          <w:p w14:paraId="63D551D3">
            <w:pPr>
              <w:widowControl/>
              <w:jc w:val="left"/>
              <w:rPr>
                <w:rFonts w:ascii="宋体" w:hAnsi="宋体" w:cs="宋体"/>
                <w:color w:val="auto"/>
                <w:kern w:val="0"/>
                <w:sz w:val="18"/>
                <w:szCs w:val="18"/>
              </w:rPr>
            </w:pPr>
          </w:p>
        </w:tc>
        <w:tc>
          <w:tcPr>
            <w:tcW w:w="1369" w:type="dxa"/>
            <w:tcBorders>
              <w:top w:val="nil"/>
              <w:left w:val="nil"/>
              <w:bottom w:val="single" w:color="auto" w:sz="4" w:space="0"/>
              <w:right w:val="single" w:color="auto" w:sz="4" w:space="0"/>
            </w:tcBorders>
            <w:noWrap w:val="0"/>
            <w:vAlign w:val="center"/>
          </w:tcPr>
          <w:p w14:paraId="392B589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资产总额(Z)</w:t>
            </w:r>
          </w:p>
        </w:tc>
        <w:tc>
          <w:tcPr>
            <w:tcW w:w="709" w:type="dxa"/>
            <w:tcBorders>
              <w:top w:val="nil"/>
              <w:left w:val="nil"/>
              <w:bottom w:val="single" w:color="auto" w:sz="4" w:space="0"/>
              <w:right w:val="single" w:color="auto" w:sz="4" w:space="0"/>
            </w:tcBorders>
            <w:noWrap w:val="0"/>
            <w:vAlign w:val="center"/>
          </w:tcPr>
          <w:p w14:paraId="08F13A82">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tcBorders>
              <w:top w:val="nil"/>
              <w:left w:val="nil"/>
              <w:bottom w:val="single" w:color="auto" w:sz="4" w:space="0"/>
              <w:right w:val="single" w:color="auto" w:sz="4" w:space="0"/>
            </w:tcBorders>
            <w:noWrap w:val="0"/>
            <w:vAlign w:val="center"/>
          </w:tcPr>
          <w:p w14:paraId="41D7400C">
            <w:pPr>
              <w:widowControl/>
              <w:jc w:val="center"/>
              <w:rPr>
                <w:rFonts w:ascii="宋体" w:hAnsi="宋体" w:cs="宋体"/>
                <w:color w:val="auto"/>
                <w:kern w:val="0"/>
                <w:sz w:val="18"/>
                <w:szCs w:val="18"/>
              </w:rPr>
            </w:pPr>
            <w:r>
              <w:rPr>
                <w:rFonts w:hint="eastAsia" w:ascii="宋体" w:hAnsi="宋体" w:cs="宋体"/>
                <w:color w:val="auto"/>
                <w:kern w:val="0"/>
                <w:sz w:val="18"/>
                <w:szCs w:val="18"/>
              </w:rPr>
              <w:t>Z≥80000</w:t>
            </w:r>
          </w:p>
        </w:tc>
        <w:tc>
          <w:tcPr>
            <w:tcW w:w="1701" w:type="dxa"/>
            <w:tcBorders>
              <w:top w:val="nil"/>
              <w:left w:val="nil"/>
              <w:bottom w:val="single" w:color="auto" w:sz="4" w:space="0"/>
              <w:right w:val="single" w:color="auto" w:sz="4" w:space="0"/>
            </w:tcBorders>
            <w:noWrap w:val="0"/>
            <w:vAlign w:val="center"/>
          </w:tcPr>
          <w:p w14:paraId="4624433C">
            <w:pPr>
              <w:widowControl/>
              <w:jc w:val="center"/>
              <w:rPr>
                <w:rFonts w:ascii="宋体" w:hAnsi="宋体" w:cs="宋体"/>
                <w:color w:val="auto"/>
                <w:kern w:val="0"/>
                <w:sz w:val="18"/>
                <w:szCs w:val="18"/>
              </w:rPr>
            </w:pPr>
            <w:r>
              <w:rPr>
                <w:rFonts w:hint="eastAsia" w:ascii="宋体" w:hAnsi="宋体" w:cs="宋体"/>
                <w:color w:val="auto"/>
                <w:kern w:val="0"/>
                <w:sz w:val="18"/>
                <w:szCs w:val="18"/>
              </w:rPr>
              <w:t>5000≤Z＜80000</w:t>
            </w:r>
          </w:p>
        </w:tc>
        <w:tc>
          <w:tcPr>
            <w:tcW w:w="1426" w:type="dxa"/>
            <w:tcBorders>
              <w:top w:val="nil"/>
              <w:left w:val="nil"/>
              <w:bottom w:val="single" w:color="auto" w:sz="4" w:space="0"/>
              <w:right w:val="single" w:color="auto" w:sz="4" w:space="0"/>
            </w:tcBorders>
            <w:noWrap w:val="0"/>
            <w:vAlign w:val="center"/>
          </w:tcPr>
          <w:p w14:paraId="637931F5">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300≤Z＜5000</w:t>
            </w:r>
          </w:p>
        </w:tc>
        <w:tc>
          <w:tcPr>
            <w:tcW w:w="992" w:type="dxa"/>
            <w:tcBorders>
              <w:top w:val="nil"/>
              <w:left w:val="nil"/>
              <w:bottom w:val="single" w:color="auto" w:sz="4" w:space="0"/>
            </w:tcBorders>
            <w:noWrap w:val="0"/>
            <w:vAlign w:val="center"/>
          </w:tcPr>
          <w:p w14:paraId="38DB6915">
            <w:pPr>
              <w:widowControl/>
              <w:jc w:val="center"/>
              <w:rPr>
                <w:rFonts w:ascii="宋体" w:hAnsi="宋体" w:cs="宋体"/>
                <w:color w:val="auto"/>
                <w:kern w:val="0"/>
                <w:sz w:val="18"/>
                <w:szCs w:val="18"/>
              </w:rPr>
            </w:pPr>
            <w:r>
              <w:rPr>
                <w:rFonts w:hint="eastAsia" w:ascii="宋体" w:hAnsi="宋体" w:cs="宋体"/>
                <w:color w:val="auto"/>
                <w:kern w:val="0"/>
                <w:sz w:val="18"/>
                <w:szCs w:val="18"/>
              </w:rPr>
              <w:t>Z＜300</w:t>
            </w:r>
          </w:p>
        </w:tc>
      </w:tr>
      <w:tr w14:paraId="79A5B213">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7" w:hRule="exact"/>
          <w:jc w:val="center"/>
        </w:trPr>
        <w:tc>
          <w:tcPr>
            <w:tcW w:w="2113" w:type="dxa"/>
            <w:vMerge w:val="restart"/>
            <w:tcBorders>
              <w:top w:val="nil"/>
              <w:bottom w:val="single" w:color="auto" w:sz="4" w:space="0"/>
              <w:right w:val="single" w:color="auto" w:sz="4" w:space="0"/>
            </w:tcBorders>
            <w:noWrap w:val="0"/>
            <w:vAlign w:val="center"/>
          </w:tcPr>
          <w:p w14:paraId="55D226EE">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批发业</w:t>
            </w:r>
          </w:p>
        </w:tc>
        <w:tc>
          <w:tcPr>
            <w:tcW w:w="1369" w:type="dxa"/>
            <w:tcBorders>
              <w:top w:val="nil"/>
              <w:left w:val="nil"/>
              <w:bottom w:val="nil"/>
              <w:right w:val="single" w:color="auto" w:sz="4" w:space="0"/>
            </w:tcBorders>
            <w:noWrap w:val="0"/>
            <w:vAlign w:val="center"/>
          </w:tcPr>
          <w:p w14:paraId="525A0E40">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tcBorders>
              <w:top w:val="nil"/>
              <w:left w:val="nil"/>
              <w:bottom w:val="nil"/>
              <w:right w:val="single" w:color="auto" w:sz="4" w:space="0"/>
            </w:tcBorders>
            <w:noWrap w:val="0"/>
            <w:vAlign w:val="center"/>
          </w:tcPr>
          <w:p w14:paraId="56F8A1D9">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tcBorders>
              <w:top w:val="nil"/>
              <w:left w:val="nil"/>
              <w:bottom w:val="nil"/>
              <w:right w:val="single" w:color="auto" w:sz="4" w:space="0"/>
            </w:tcBorders>
            <w:noWrap w:val="0"/>
            <w:vAlign w:val="center"/>
          </w:tcPr>
          <w:p w14:paraId="27F67CE5">
            <w:pPr>
              <w:widowControl/>
              <w:jc w:val="center"/>
              <w:rPr>
                <w:rFonts w:ascii="宋体" w:hAnsi="宋体" w:cs="宋体"/>
                <w:color w:val="auto"/>
                <w:kern w:val="0"/>
                <w:sz w:val="18"/>
                <w:szCs w:val="18"/>
              </w:rPr>
            </w:pPr>
            <w:r>
              <w:rPr>
                <w:rFonts w:hint="eastAsia" w:ascii="宋体" w:hAnsi="宋体" w:cs="宋体"/>
                <w:color w:val="auto"/>
                <w:kern w:val="0"/>
                <w:sz w:val="18"/>
                <w:szCs w:val="18"/>
              </w:rPr>
              <w:t>X≥200</w:t>
            </w:r>
          </w:p>
        </w:tc>
        <w:tc>
          <w:tcPr>
            <w:tcW w:w="1701" w:type="dxa"/>
            <w:tcBorders>
              <w:top w:val="nil"/>
              <w:left w:val="nil"/>
              <w:bottom w:val="nil"/>
              <w:right w:val="single" w:color="auto" w:sz="4" w:space="0"/>
            </w:tcBorders>
            <w:noWrap w:val="0"/>
            <w:vAlign w:val="center"/>
          </w:tcPr>
          <w:p w14:paraId="087F1E43">
            <w:pPr>
              <w:widowControl/>
              <w:jc w:val="center"/>
              <w:rPr>
                <w:rFonts w:ascii="宋体" w:hAnsi="宋体" w:cs="宋体"/>
                <w:color w:val="auto"/>
                <w:kern w:val="0"/>
                <w:sz w:val="18"/>
                <w:szCs w:val="18"/>
              </w:rPr>
            </w:pPr>
            <w:r>
              <w:rPr>
                <w:rFonts w:hint="eastAsia" w:ascii="宋体" w:hAnsi="宋体" w:cs="宋体"/>
                <w:color w:val="auto"/>
                <w:kern w:val="0"/>
                <w:sz w:val="18"/>
                <w:szCs w:val="18"/>
              </w:rPr>
              <w:t>20≤X＜200</w:t>
            </w:r>
          </w:p>
        </w:tc>
        <w:tc>
          <w:tcPr>
            <w:tcW w:w="1426" w:type="dxa"/>
            <w:tcBorders>
              <w:top w:val="nil"/>
              <w:left w:val="nil"/>
              <w:bottom w:val="nil"/>
              <w:right w:val="single" w:color="auto" w:sz="4" w:space="0"/>
            </w:tcBorders>
            <w:noWrap w:val="0"/>
            <w:vAlign w:val="center"/>
          </w:tcPr>
          <w:p w14:paraId="04131C10">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5≤X＜20</w:t>
            </w:r>
          </w:p>
        </w:tc>
        <w:tc>
          <w:tcPr>
            <w:tcW w:w="992" w:type="dxa"/>
            <w:tcBorders>
              <w:top w:val="nil"/>
              <w:left w:val="nil"/>
              <w:bottom w:val="nil"/>
            </w:tcBorders>
            <w:noWrap w:val="0"/>
            <w:vAlign w:val="center"/>
          </w:tcPr>
          <w:p w14:paraId="67B3030F">
            <w:pPr>
              <w:widowControl/>
              <w:jc w:val="center"/>
              <w:rPr>
                <w:rFonts w:ascii="宋体" w:hAnsi="宋体" w:cs="宋体"/>
                <w:color w:val="auto"/>
                <w:kern w:val="0"/>
                <w:sz w:val="18"/>
                <w:szCs w:val="18"/>
              </w:rPr>
            </w:pPr>
            <w:r>
              <w:rPr>
                <w:rFonts w:hint="eastAsia" w:ascii="宋体" w:hAnsi="宋体" w:cs="宋体"/>
                <w:color w:val="auto"/>
                <w:kern w:val="0"/>
                <w:sz w:val="18"/>
                <w:szCs w:val="18"/>
              </w:rPr>
              <w:t>X＜5</w:t>
            </w:r>
          </w:p>
        </w:tc>
      </w:tr>
      <w:tr w14:paraId="78CB6FB0">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7" w:hRule="exact"/>
          <w:jc w:val="center"/>
        </w:trPr>
        <w:tc>
          <w:tcPr>
            <w:tcW w:w="2113" w:type="dxa"/>
            <w:vMerge w:val="continue"/>
            <w:tcBorders>
              <w:top w:val="nil"/>
              <w:bottom w:val="single" w:color="auto" w:sz="4" w:space="0"/>
              <w:right w:val="single" w:color="auto" w:sz="4" w:space="0"/>
            </w:tcBorders>
            <w:noWrap w:val="0"/>
            <w:vAlign w:val="center"/>
          </w:tcPr>
          <w:p w14:paraId="23229464">
            <w:pPr>
              <w:widowControl/>
              <w:jc w:val="left"/>
              <w:rPr>
                <w:rFonts w:ascii="宋体" w:hAnsi="宋体" w:cs="宋体"/>
                <w:color w:val="auto"/>
                <w:kern w:val="0"/>
                <w:sz w:val="18"/>
                <w:szCs w:val="18"/>
              </w:rPr>
            </w:pPr>
          </w:p>
        </w:tc>
        <w:tc>
          <w:tcPr>
            <w:tcW w:w="1369" w:type="dxa"/>
            <w:tcBorders>
              <w:top w:val="nil"/>
              <w:left w:val="nil"/>
              <w:bottom w:val="single" w:color="auto" w:sz="4" w:space="0"/>
              <w:right w:val="single" w:color="auto" w:sz="4" w:space="0"/>
            </w:tcBorders>
            <w:noWrap w:val="0"/>
            <w:vAlign w:val="center"/>
          </w:tcPr>
          <w:p w14:paraId="4B3E10D6">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tcBorders>
              <w:top w:val="nil"/>
              <w:left w:val="nil"/>
              <w:bottom w:val="single" w:color="auto" w:sz="4" w:space="0"/>
              <w:right w:val="single" w:color="auto" w:sz="4" w:space="0"/>
            </w:tcBorders>
            <w:noWrap w:val="0"/>
            <w:vAlign w:val="center"/>
          </w:tcPr>
          <w:p w14:paraId="220D008B">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tcBorders>
              <w:top w:val="nil"/>
              <w:left w:val="nil"/>
              <w:bottom w:val="single" w:color="auto" w:sz="4" w:space="0"/>
              <w:right w:val="single" w:color="auto" w:sz="4" w:space="0"/>
            </w:tcBorders>
            <w:noWrap w:val="0"/>
            <w:vAlign w:val="center"/>
          </w:tcPr>
          <w:p w14:paraId="54193597">
            <w:pPr>
              <w:widowControl/>
              <w:jc w:val="center"/>
              <w:rPr>
                <w:rFonts w:ascii="宋体" w:hAnsi="宋体" w:cs="宋体"/>
                <w:color w:val="auto"/>
                <w:kern w:val="0"/>
                <w:sz w:val="18"/>
                <w:szCs w:val="18"/>
              </w:rPr>
            </w:pPr>
            <w:r>
              <w:rPr>
                <w:rFonts w:hint="eastAsia" w:ascii="宋体" w:hAnsi="宋体" w:cs="宋体"/>
                <w:color w:val="auto"/>
                <w:kern w:val="0"/>
                <w:sz w:val="18"/>
                <w:szCs w:val="18"/>
              </w:rPr>
              <w:t>Y≥40000</w:t>
            </w:r>
          </w:p>
        </w:tc>
        <w:tc>
          <w:tcPr>
            <w:tcW w:w="1701" w:type="dxa"/>
            <w:tcBorders>
              <w:top w:val="nil"/>
              <w:left w:val="nil"/>
              <w:bottom w:val="single" w:color="auto" w:sz="4" w:space="0"/>
              <w:right w:val="single" w:color="auto" w:sz="4" w:space="0"/>
            </w:tcBorders>
            <w:noWrap w:val="0"/>
            <w:vAlign w:val="center"/>
          </w:tcPr>
          <w:p w14:paraId="0A495356">
            <w:pPr>
              <w:widowControl/>
              <w:jc w:val="center"/>
              <w:rPr>
                <w:rFonts w:ascii="宋体" w:hAnsi="宋体" w:cs="宋体"/>
                <w:color w:val="auto"/>
                <w:kern w:val="0"/>
                <w:sz w:val="18"/>
                <w:szCs w:val="18"/>
              </w:rPr>
            </w:pPr>
            <w:r>
              <w:rPr>
                <w:rFonts w:hint="eastAsia" w:ascii="宋体" w:hAnsi="宋体" w:cs="宋体"/>
                <w:color w:val="auto"/>
                <w:kern w:val="0"/>
                <w:sz w:val="18"/>
                <w:szCs w:val="18"/>
              </w:rPr>
              <w:t>5000≤Y＜40000</w:t>
            </w:r>
          </w:p>
        </w:tc>
        <w:tc>
          <w:tcPr>
            <w:tcW w:w="1426" w:type="dxa"/>
            <w:tcBorders>
              <w:top w:val="nil"/>
              <w:left w:val="nil"/>
              <w:bottom w:val="single" w:color="auto" w:sz="4" w:space="0"/>
              <w:right w:val="single" w:color="auto" w:sz="4" w:space="0"/>
            </w:tcBorders>
            <w:noWrap w:val="0"/>
            <w:vAlign w:val="center"/>
          </w:tcPr>
          <w:p w14:paraId="63BFBC49">
            <w:pPr>
              <w:widowControl/>
              <w:ind w:left="-1" w:leftChars="-1" w:hanging="1"/>
              <w:jc w:val="center"/>
              <w:rPr>
                <w:rFonts w:ascii="宋体" w:hAnsi="宋体" w:cs="宋体"/>
                <w:color w:val="auto"/>
                <w:kern w:val="0"/>
                <w:sz w:val="18"/>
                <w:szCs w:val="18"/>
              </w:rPr>
            </w:pPr>
            <w:r>
              <w:rPr>
                <w:rFonts w:hint="eastAsia" w:ascii="宋体" w:hAnsi="宋体" w:cs="宋体"/>
                <w:color w:val="auto"/>
                <w:kern w:val="0"/>
                <w:sz w:val="18"/>
                <w:szCs w:val="18"/>
              </w:rPr>
              <w:t>1000≤Y＜5000</w:t>
            </w:r>
          </w:p>
        </w:tc>
        <w:tc>
          <w:tcPr>
            <w:tcW w:w="992" w:type="dxa"/>
            <w:tcBorders>
              <w:top w:val="nil"/>
              <w:left w:val="nil"/>
              <w:bottom w:val="single" w:color="auto" w:sz="4" w:space="0"/>
            </w:tcBorders>
            <w:noWrap w:val="0"/>
            <w:vAlign w:val="center"/>
          </w:tcPr>
          <w:p w14:paraId="476A9FD0">
            <w:pPr>
              <w:widowControl/>
              <w:jc w:val="center"/>
              <w:rPr>
                <w:rFonts w:ascii="宋体" w:hAnsi="宋体" w:cs="宋体"/>
                <w:color w:val="auto"/>
                <w:kern w:val="0"/>
                <w:sz w:val="18"/>
                <w:szCs w:val="18"/>
              </w:rPr>
            </w:pPr>
            <w:r>
              <w:rPr>
                <w:rFonts w:hint="eastAsia" w:ascii="宋体" w:hAnsi="宋体" w:cs="宋体"/>
                <w:color w:val="auto"/>
                <w:kern w:val="0"/>
                <w:sz w:val="18"/>
                <w:szCs w:val="18"/>
              </w:rPr>
              <w:t>Y＜1000</w:t>
            </w:r>
          </w:p>
        </w:tc>
      </w:tr>
      <w:tr w14:paraId="79599CC1">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7" w:hRule="exact"/>
          <w:jc w:val="center"/>
        </w:trPr>
        <w:tc>
          <w:tcPr>
            <w:tcW w:w="2113" w:type="dxa"/>
            <w:vMerge w:val="restart"/>
            <w:tcBorders>
              <w:top w:val="nil"/>
              <w:bottom w:val="single" w:color="auto" w:sz="4" w:space="0"/>
              <w:right w:val="single" w:color="auto" w:sz="4" w:space="0"/>
            </w:tcBorders>
            <w:noWrap w:val="0"/>
            <w:vAlign w:val="center"/>
          </w:tcPr>
          <w:p w14:paraId="3F3A337D">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零售业</w:t>
            </w:r>
          </w:p>
        </w:tc>
        <w:tc>
          <w:tcPr>
            <w:tcW w:w="1369" w:type="dxa"/>
            <w:tcBorders>
              <w:top w:val="nil"/>
              <w:left w:val="nil"/>
              <w:bottom w:val="nil"/>
              <w:right w:val="single" w:color="auto" w:sz="4" w:space="0"/>
            </w:tcBorders>
            <w:noWrap w:val="0"/>
            <w:vAlign w:val="center"/>
          </w:tcPr>
          <w:p w14:paraId="63CDFC4A">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tcBorders>
              <w:top w:val="nil"/>
              <w:left w:val="nil"/>
              <w:bottom w:val="nil"/>
              <w:right w:val="single" w:color="auto" w:sz="4" w:space="0"/>
            </w:tcBorders>
            <w:noWrap w:val="0"/>
            <w:vAlign w:val="center"/>
          </w:tcPr>
          <w:p w14:paraId="1FADF9B4">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tcBorders>
              <w:top w:val="nil"/>
              <w:left w:val="nil"/>
              <w:bottom w:val="nil"/>
              <w:right w:val="single" w:color="auto" w:sz="4" w:space="0"/>
            </w:tcBorders>
            <w:noWrap w:val="0"/>
            <w:vAlign w:val="center"/>
          </w:tcPr>
          <w:p w14:paraId="157D466E">
            <w:pPr>
              <w:widowControl/>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tcBorders>
              <w:top w:val="nil"/>
              <w:left w:val="nil"/>
              <w:bottom w:val="nil"/>
              <w:right w:val="single" w:color="auto" w:sz="4" w:space="0"/>
            </w:tcBorders>
            <w:noWrap w:val="0"/>
            <w:vAlign w:val="center"/>
          </w:tcPr>
          <w:p w14:paraId="26875705">
            <w:pPr>
              <w:widowControl/>
              <w:jc w:val="center"/>
              <w:rPr>
                <w:rFonts w:ascii="宋体" w:hAnsi="宋体" w:cs="宋体"/>
                <w:color w:val="auto"/>
                <w:kern w:val="0"/>
                <w:sz w:val="18"/>
                <w:szCs w:val="18"/>
              </w:rPr>
            </w:pPr>
            <w:r>
              <w:rPr>
                <w:rFonts w:hint="eastAsia" w:ascii="宋体" w:hAnsi="宋体" w:cs="宋体"/>
                <w:color w:val="auto"/>
                <w:kern w:val="0"/>
                <w:sz w:val="18"/>
                <w:szCs w:val="18"/>
              </w:rPr>
              <w:t>50≤X＜300</w:t>
            </w:r>
          </w:p>
        </w:tc>
        <w:tc>
          <w:tcPr>
            <w:tcW w:w="1426" w:type="dxa"/>
            <w:tcBorders>
              <w:top w:val="nil"/>
              <w:left w:val="nil"/>
              <w:bottom w:val="nil"/>
              <w:right w:val="single" w:color="auto" w:sz="4" w:space="0"/>
            </w:tcBorders>
            <w:noWrap w:val="0"/>
            <w:vAlign w:val="center"/>
          </w:tcPr>
          <w:p w14:paraId="1C52F2D3">
            <w:pPr>
              <w:widowControl/>
              <w:ind w:left="-1" w:leftChars="-1" w:hanging="1"/>
              <w:jc w:val="center"/>
              <w:rPr>
                <w:rFonts w:ascii="宋体" w:hAnsi="宋体" w:cs="宋体"/>
                <w:color w:val="auto"/>
                <w:kern w:val="0"/>
                <w:sz w:val="18"/>
                <w:szCs w:val="18"/>
              </w:rPr>
            </w:pPr>
            <w:r>
              <w:rPr>
                <w:rFonts w:hint="eastAsia" w:ascii="宋体" w:hAnsi="宋体" w:cs="宋体"/>
                <w:color w:val="auto"/>
                <w:kern w:val="0"/>
                <w:sz w:val="18"/>
                <w:szCs w:val="18"/>
              </w:rPr>
              <w:t xml:space="preserve">10≤X＜50 </w:t>
            </w:r>
          </w:p>
        </w:tc>
        <w:tc>
          <w:tcPr>
            <w:tcW w:w="992" w:type="dxa"/>
            <w:tcBorders>
              <w:top w:val="nil"/>
              <w:left w:val="nil"/>
              <w:bottom w:val="nil"/>
            </w:tcBorders>
            <w:noWrap w:val="0"/>
            <w:vAlign w:val="center"/>
          </w:tcPr>
          <w:p w14:paraId="4E4CB420">
            <w:pPr>
              <w:widowControl/>
              <w:jc w:val="center"/>
              <w:rPr>
                <w:rFonts w:ascii="宋体" w:hAnsi="宋体" w:cs="宋体"/>
                <w:color w:val="auto"/>
                <w:kern w:val="0"/>
                <w:sz w:val="18"/>
                <w:szCs w:val="18"/>
              </w:rPr>
            </w:pPr>
            <w:r>
              <w:rPr>
                <w:rFonts w:hint="eastAsia" w:ascii="宋体" w:hAnsi="宋体" w:cs="宋体"/>
                <w:color w:val="auto"/>
                <w:kern w:val="0"/>
                <w:sz w:val="18"/>
                <w:szCs w:val="18"/>
              </w:rPr>
              <w:t>X＜10</w:t>
            </w:r>
          </w:p>
        </w:tc>
      </w:tr>
      <w:tr w14:paraId="45511B76">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7" w:hRule="exact"/>
          <w:jc w:val="center"/>
        </w:trPr>
        <w:tc>
          <w:tcPr>
            <w:tcW w:w="2113" w:type="dxa"/>
            <w:vMerge w:val="continue"/>
            <w:tcBorders>
              <w:top w:val="nil"/>
              <w:bottom w:val="single" w:color="auto" w:sz="4" w:space="0"/>
              <w:right w:val="single" w:color="auto" w:sz="4" w:space="0"/>
            </w:tcBorders>
            <w:noWrap w:val="0"/>
            <w:vAlign w:val="center"/>
          </w:tcPr>
          <w:p w14:paraId="28317FF8">
            <w:pPr>
              <w:widowControl/>
              <w:jc w:val="left"/>
              <w:rPr>
                <w:rFonts w:ascii="宋体" w:hAnsi="宋体" w:cs="宋体"/>
                <w:color w:val="auto"/>
                <w:kern w:val="0"/>
                <w:sz w:val="18"/>
                <w:szCs w:val="18"/>
              </w:rPr>
            </w:pPr>
          </w:p>
        </w:tc>
        <w:tc>
          <w:tcPr>
            <w:tcW w:w="1369" w:type="dxa"/>
            <w:tcBorders>
              <w:top w:val="nil"/>
              <w:left w:val="nil"/>
              <w:bottom w:val="single" w:color="auto" w:sz="4" w:space="0"/>
              <w:right w:val="single" w:color="auto" w:sz="4" w:space="0"/>
            </w:tcBorders>
            <w:noWrap w:val="0"/>
            <w:vAlign w:val="center"/>
          </w:tcPr>
          <w:p w14:paraId="34068573">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tcBorders>
              <w:top w:val="nil"/>
              <w:left w:val="nil"/>
              <w:bottom w:val="single" w:color="auto" w:sz="4" w:space="0"/>
              <w:right w:val="single" w:color="auto" w:sz="4" w:space="0"/>
            </w:tcBorders>
            <w:noWrap w:val="0"/>
            <w:vAlign w:val="center"/>
          </w:tcPr>
          <w:p w14:paraId="0BB27A8E">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tcBorders>
              <w:top w:val="nil"/>
              <w:left w:val="nil"/>
              <w:bottom w:val="single" w:color="auto" w:sz="4" w:space="0"/>
              <w:right w:val="single" w:color="auto" w:sz="4" w:space="0"/>
            </w:tcBorders>
            <w:noWrap w:val="0"/>
            <w:vAlign w:val="center"/>
          </w:tcPr>
          <w:p w14:paraId="44478F3F">
            <w:pPr>
              <w:widowControl/>
              <w:jc w:val="center"/>
              <w:rPr>
                <w:rFonts w:ascii="宋体" w:hAnsi="宋体" w:cs="宋体"/>
                <w:color w:val="auto"/>
                <w:kern w:val="0"/>
                <w:sz w:val="18"/>
                <w:szCs w:val="18"/>
              </w:rPr>
            </w:pPr>
            <w:r>
              <w:rPr>
                <w:rFonts w:hint="eastAsia" w:ascii="宋体" w:hAnsi="宋体" w:cs="宋体"/>
                <w:color w:val="auto"/>
                <w:kern w:val="0"/>
                <w:sz w:val="18"/>
                <w:szCs w:val="18"/>
              </w:rPr>
              <w:t>Y≥20000</w:t>
            </w:r>
          </w:p>
        </w:tc>
        <w:tc>
          <w:tcPr>
            <w:tcW w:w="1701" w:type="dxa"/>
            <w:tcBorders>
              <w:top w:val="nil"/>
              <w:left w:val="nil"/>
              <w:bottom w:val="single" w:color="auto" w:sz="4" w:space="0"/>
              <w:right w:val="single" w:color="auto" w:sz="4" w:space="0"/>
            </w:tcBorders>
            <w:noWrap w:val="0"/>
            <w:vAlign w:val="center"/>
          </w:tcPr>
          <w:p w14:paraId="3D2EE7A1">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500≤Y＜20000</w:t>
            </w:r>
          </w:p>
        </w:tc>
        <w:tc>
          <w:tcPr>
            <w:tcW w:w="1426" w:type="dxa"/>
            <w:tcBorders>
              <w:top w:val="nil"/>
              <w:left w:val="nil"/>
              <w:bottom w:val="single" w:color="auto" w:sz="4" w:space="0"/>
              <w:right w:val="single" w:color="auto" w:sz="4" w:space="0"/>
            </w:tcBorders>
            <w:noWrap w:val="0"/>
            <w:vAlign w:val="center"/>
          </w:tcPr>
          <w:p w14:paraId="430462A5">
            <w:pPr>
              <w:widowControl/>
              <w:ind w:left="-1" w:leftChars="-1" w:hanging="1"/>
              <w:jc w:val="center"/>
              <w:rPr>
                <w:rFonts w:ascii="宋体" w:hAnsi="宋体" w:cs="宋体"/>
                <w:color w:val="auto"/>
                <w:kern w:val="0"/>
                <w:sz w:val="18"/>
                <w:szCs w:val="18"/>
              </w:rPr>
            </w:pPr>
            <w:r>
              <w:rPr>
                <w:rFonts w:hint="eastAsia" w:ascii="宋体" w:hAnsi="宋体" w:cs="宋体"/>
                <w:color w:val="auto"/>
                <w:kern w:val="0"/>
                <w:sz w:val="18"/>
                <w:szCs w:val="18"/>
              </w:rPr>
              <w:t xml:space="preserve">100≤Y＜500 </w:t>
            </w:r>
          </w:p>
        </w:tc>
        <w:tc>
          <w:tcPr>
            <w:tcW w:w="992" w:type="dxa"/>
            <w:tcBorders>
              <w:top w:val="nil"/>
              <w:left w:val="nil"/>
              <w:bottom w:val="single" w:color="auto" w:sz="4" w:space="0"/>
            </w:tcBorders>
            <w:noWrap w:val="0"/>
            <w:vAlign w:val="center"/>
          </w:tcPr>
          <w:p w14:paraId="4E977579">
            <w:pPr>
              <w:widowControl/>
              <w:jc w:val="center"/>
              <w:rPr>
                <w:rFonts w:ascii="宋体" w:hAnsi="宋体" w:cs="宋体"/>
                <w:color w:val="auto"/>
                <w:kern w:val="0"/>
                <w:sz w:val="18"/>
                <w:szCs w:val="18"/>
              </w:rPr>
            </w:pPr>
            <w:r>
              <w:rPr>
                <w:rFonts w:hint="eastAsia" w:ascii="宋体" w:hAnsi="宋体" w:cs="宋体"/>
                <w:color w:val="auto"/>
                <w:kern w:val="0"/>
                <w:sz w:val="18"/>
                <w:szCs w:val="18"/>
              </w:rPr>
              <w:t>Y＜100</w:t>
            </w:r>
          </w:p>
        </w:tc>
      </w:tr>
      <w:tr w14:paraId="0320F065">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7" w:hRule="exact"/>
          <w:jc w:val="center"/>
        </w:trPr>
        <w:tc>
          <w:tcPr>
            <w:tcW w:w="2113" w:type="dxa"/>
            <w:vMerge w:val="restart"/>
            <w:tcBorders>
              <w:top w:val="nil"/>
              <w:bottom w:val="single" w:color="auto" w:sz="4" w:space="0"/>
              <w:right w:val="single" w:color="auto" w:sz="4" w:space="0"/>
            </w:tcBorders>
            <w:noWrap w:val="0"/>
            <w:vAlign w:val="center"/>
          </w:tcPr>
          <w:p w14:paraId="4E86E74B">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交通运输业 *</w:t>
            </w:r>
          </w:p>
        </w:tc>
        <w:tc>
          <w:tcPr>
            <w:tcW w:w="1369" w:type="dxa"/>
            <w:tcBorders>
              <w:top w:val="nil"/>
              <w:left w:val="nil"/>
              <w:bottom w:val="nil"/>
              <w:right w:val="single" w:color="auto" w:sz="4" w:space="0"/>
            </w:tcBorders>
            <w:noWrap w:val="0"/>
            <w:vAlign w:val="center"/>
          </w:tcPr>
          <w:p w14:paraId="19C4D1F4">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tcBorders>
              <w:top w:val="nil"/>
              <w:left w:val="nil"/>
              <w:bottom w:val="nil"/>
              <w:right w:val="single" w:color="auto" w:sz="4" w:space="0"/>
            </w:tcBorders>
            <w:noWrap w:val="0"/>
            <w:vAlign w:val="center"/>
          </w:tcPr>
          <w:p w14:paraId="4C58C6D2">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tcBorders>
              <w:top w:val="nil"/>
              <w:left w:val="nil"/>
              <w:bottom w:val="nil"/>
              <w:right w:val="single" w:color="auto" w:sz="4" w:space="0"/>
            </w:tcBorders>
            <w:noWrap w:val="0"/>
            <w:vAlign w:val="center"/>
          </w:tcPr>
          <w:p w14:paraId="3AF07B5B">
            <w:pPr>
              <w:widowControl/>
              <w:jc w:val="center"/>
              <w:rPr>
                <w:rFonts w:ascii="宋体" w:hAnsi="宋体" w:cs="宋体"/>
                <w:color w:val="auto"/>
                <w:kern w:val="0"/>
                <w:sz w:val="18"/>
                <w:szCs w:val="18"/>
              </w:rPr>
            </w:pPr>
            <w:r>
              <w:rPr>
                <w:rFonts w:hint="eastAsia" w:ascii="宋体" w:hAnsi="宋体" w:cs="宋体"/>
                <w:color w:val="auto"/>
                <w:kern w:val="0"/>
                <w:sz w:val="18"/>
                <w:szCs w:val="18"/>
              </w:rPr>
              <w:t>X≥1000</w:t>
            </w:r>
          </w:p>
        </w:tc>
        <w:tc>
          <w:tcPr>
            <w:tcW w:w="1701" w:type="dxa"/>
            <w:tcBorders>
              <w:top w:val="nil"/>
              <w:left w:val="nil"/>
              <w:bottom w:val="nil"/>
              <w:right w:val="single" w:color="auto" w:sz="4" w:space="0"/>
            </w:tcBorders>
            <w:noWrap w:val="0"/>
            <w:vAlign w:val="center"/>
          </w:tcPr>
          <w:p w14:paraId="3E584412">
            <w:pPr>
              <w:widowControl/>
              <w:jc w:val="center"/>
              <w:rPr>
                <w:rFonts w:ascii="宋体" w:hAnsi="宋体" w:cs="宋体"/>
                <w:color w:val="auto"/>
                <w:kern w:val="0"/>
                <w:sz w:val="18"/>
                <w:szCs w:val="18"/>
              </w:rPr>
            </w:pPr>
            <w:r>
              <w:rPr>
                <w:rFonts w:hint="eastAsia" w:ascii="宋体" w:hAnsi="宋体" w:cs="宋体"/>
                <w:color w:val="auto"/>
                <w:kern w:val="0"/>
                <w:sz w:val="18"/>
                <w:szCs w:val="18"/>
              </w:rPr>
              <w:t>300≤X＜1000</w:t>
            </w:r>
          </w:p>
        </w:tc>
        <w:tc>
          <w:tcPr>
            <w:tcW w:w="1426" w:type="dxa"/>
            <w:tcBorders>
              <w:top w:val="nil"/>
              <w:left w:val="nil"/>
              <w:bottom w:val="nil"/>
              <w:right w:val="single" w:color="auto" w:sz="4" w:space="0"/>
            </w:tcBorders>
            <w:noWrap w:val="0"/>
            <w:vAlign w:val="center"/>
          </w:tcPr>
          <w:p w14:paraId="1E42DC1A">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20≤X＜300</w:t>
            </w:r>
          </w:p>
        </w:tc>
        <w:tc>
          <w:tcPr>
            <w:tcW w:w="992" w:type="dxa"/>
            <w:tcBorders>
              <w:top w:val="nil"/>
              <w:left w:val="nil"/>
              <w:bottom w:val="nil"/>
            </w:tcBorders>
            <w:noWrap w:val="0"/>
            <w:vAlign w:val="center"/>
          </w:tcPr>
          <w:p w14:paraId="4C073193">
            <w:pPr>
              <w:widowControl/>
              <w:jc w:val="center"/>
              <w:rPr>
                <w:rFonts w:ascii="宋体" w:hAnsi="宋体" w:cs="宋体"/>
                <w:color w:val="auto"/>
                <w:kern w:val="0"/>
                <w:sz w:val="18"/>
                <w:szCs w:val="18"/>
              </w:rPr>
            </w:pPr>
            <w:r>
              <w:rPr>
                <w:rFonts w:hint="eastAsia" w:ascii="宋体" w:hAnsi="宋体" w:cs="宋体"/>
                <w:color w:val="auto"/>
                <w:kern w:val="0"/>
                <w:sz w:val="18"/>
                <w:szCs w:val="18"/>
              </w:rPr>
              <w:t>X＜20</w:t>
            </w:r>
          </w:p>
        </w:tc>
      </w:tr>
      <w:tr w14:paraId="17F55F56">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7" w:hRule="exact"/>
          <w:jc w:val="center"/>
        </w:trPr>
        <w:tc>
          <w:tcPr>
            <w:tcW w:w="2113" w:type="dxa"/>
            <w:vMerge w:val="continue"/>
            <w:tcBorders>
              <w:top w:val="nil"/>
              <w:bottom w:val="single" w:color="auto" w:sz="4" w:space="0"/>
              <w:right w:val="single" w:color="auto" w:sz="4" w:space="0"/>
            </w:tcBorders>
            <w:noWrap w:val="0"/>
            <w:vAlign w:val="center"/>
          </w:tcPr>
          <w:p w14:paraId="23433751">
            <w:pPr>
              <w:widowControl/>
              <w:jc w:val="left"/>
              <w:rPr>
                <w:rFonts w:ascii="宋体" w:hAnsi="宋体" w:cs="宋体"/>
                <w:color w:val="auto"/>
                <w:kern w:val="0"/>
                <w:sz w:val="18"/>
                <w:szCs w:val="18"/>
              </w:rPr>
            </w:pPr>
          </w:p>
        </w:tc>
        <w:tc>
          <w:tcPr>
            <w:tcW w:w="1369" w:type="dxa"/>
            <w:tcBorders>
              <w:top w:val="nil"/>
              <w:left w:val="nil"/>
              <w:bottom w:val="single" w:color="auto" w:sz="4" w:space="0"/>
              <w:right w:val="single" w:color="auto" w:sz="4" w:space="0"/>
            </w:tcBorders>
            <w:noWrap w:val="0"/>
            <w:vAlign w:val="center"/>
          </w:tcPr>
          <w:p w14:paraId="71A826E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tcBorders>
              <w:top w:val="nil"/>
              <w:left w:val="nil"/>
              <w:bottom w:val="single" w:color="auto" w:sz="4" w:space="0"/>
              <w:right w:val="single" w:color="auto" w:sz="4" w:space="0"/>
            </w:tcBorders>
            <w:noWrap w:val="0"/>
            <w:vAlign w:val="center"/>
          </w:tcPr>
          <w:p w14:paraId="061409EF">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tcBorders>
              <w:top w:val="nil"/>
              <w:left w:val="nil"/>
              <w:bottom w:val="single" w:color="auto" w:sz="4" w:space="0"/>
              <w:right w:val="single" w:color="auto" w:sz="4" w:space="0"/>
            </w:tcBorders>
            <w:noWrap w:val="0"/>
            <w:vAlign w:val="center"/>
          </w:tcPr>
          <w:p w14:paraId="0262F3B1">
            <w:pPr>
              <w:widowControl/>
              <w:jc w:val="center"/>
              <w:rPr>
                <w:rFonts w:ascii="宋体" w:hAnsi="宋体" w:cs="宋体"/>
                <w:color w:val="auto"/>
                <w:kern w:val="0"/>
                <w:sz w:val="18"/>
                <w:szCs w:val="18"/>
              </w:rPr>
            </w:pPr>
            <w:r>
              <w:rPr>
                <w:rFonts w:hint="eastAsia" w:ascii="宋体" w:hAnsi="宋体" w:cs="宋体"/>
                <w:color w:val="auto"/>
                <w:kern w:val="0"/>
                <w:sz w:val="18"/>
                <w:szCs w:val="18"/>
              </w:rPr>
              <w:t>Y≥30000</w:t>
            </w:r>
          </w:p>
        </w:tc>
        <w:tc>
          <w:tcPr>
            <w:tcW w:w="1701" w:type="dxa"/>
            <w:tcBorders>
              <w:top w:val="nil"/>
              <w:left w:val="nil"/>
              <w:bottom w:val="single" w:color="auto" w:sz="4" w:space="0"/>
              <w:right w:val="single" w:color="auto" w:sz="4" w:space="0"/>
            </w:tcBorders>
            <w:noWrap w:val="0"/>
            <w:vAlign w:val="center"/>
          </w:tcPr>
          <w:p w14:paraId="0382E53F">
            <w:pPr>
              <w:widowControl/>
              <w:jc w:val="center"/>
              <w:rPr>
                <w:rFonts w:ascii="宋体" w:hAnsi="宋体" w:cs="宋体"/>
                <w:color w:val="auto"/>
                <w:kern w:val="0"/>
                <w:sz w:val="18"/>
                <w:szCs w:val="18"/>
              </w:rPr>
            </w:pPr>
            <w:r>
              <w:rPr>
                <w:rFonts w:hint="eastAsia" w:ascii="宋体" w:hAnsi="宋体" w:cs="宋体"/>
                <w:color w:val="auto"/>
                <w:kern w:val="0"/>
                <w:sz w:val="18"/>
                <w:szCs w:val="18"/>
              </w:rPr>
              <w:t>3000≤Y＜30000</w:t>
            </w:r>
          </w:p>
        </w:tc>
        <w:tc>
          <w:tcPr>
            <w:tcW w:w="1426" w:type="dxa"/>
            <w:tcBorders>
              <w:top w:val="nil"/>
              <w:left w:val="nil"/>
              <w:bottom w:val="single" w:color="auto" w:sz="4" w:space="0"/>
              <w:right w:val="single" w:color="auto" w:sz="4" w:space="0"/>
            </w:tcBorders>
            <w:noWrap w:val="0"/>
            <w:vAlign w:val="center"/>
          </w:tcPr>
          <w:p w14:paraId="01747D6F">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200≤Y＜3000</w:t>
            </w:r>
          </w:p>
        </w:tc>
        <w:tc>
          <w:tcPr>
            <w:tcW w:w="992" w:type="dxa"/>
            <w:tcBorders>
              <w:top w:val="nil"/>
              <w:left w:val="nil"/>
              <w:bottom w:val="single" w:color="auto" w:sz="4" w:space="0"/>
            </w:tcBorders>
            <w:noWrap w:val="0"/>
            <w:vAlign w:val="center"/>
          </w:tcPr>
          <w:p w14:paraId="35471579">
            <w:pPr>
              <w:widowControl/>
              <w:jc w:val="center"/>
              <w:rPr>
                <w:rFonts w:ascii="宋体" w:hAnsi="宋体" w:cs="宋体"/>
                <w:color w:val="auto"/>
                <w:kern w:val="0"/>
                <w:sz w:val="18"/>
                <w:szCs w:val="18"/>
              </w:rPr>
            </w:pPr>
            <w:r>
              <w:rPr>
                <w:rFonts w:hint="eastAsia" w:ascii="宋体" w:hAnsi="宋体" w:cs="宋体"/>
                <w:color w:val="auto"/>
                <w:kern w:val="0"/>
                <w:sz w:val="18"/>
                <w:szCs w:val="18"/>
              </w:rPr>
              <w:t>Y＜200</w:t>
            </w:r>
          </w:p>
        </w:tc>
      </w:tr>
      <w:tr w14:paraId="52284649">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7" w:hRule="exact"/>
          <w:jc w:val="center"/>
        </w:trPr>
        <w:tc>
          <w:tcPr>
            <w:tcW w:w="2113" w:type="dxa"/>
            <w:vMerge w:val="restart"/>
            <w:tcBorders>
              <w:top w:val="nil"/>
              <w:bottom w:val="single" w:color="auto" w:sz="4" w:space="0"/>
              <w:right w:val="single" w:color="auto" w:sz="4" w:space="0"/>
            </w:tcBorders>
            <w:noWrap w:val="0"/>
            <w:vAlign w:val="center"/>
          </w:tcPr>
          <w:p w14:paraId="30898DC0">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仓储业*</w:t>
            </w:r>
          </w:p>
        </w:tc>
        <w:tc>
          <w:tcPr>
            <w:tcW w:w="1369" w:type="dxa"/>
            <w:tcBorders>
              <w:top w:val="nil"/>
              <w:left w:val="nil"/>
              <w:bottom w:val="nil"/>
              <w:right w:val="single" w:color="auto" w:sz="4" w:space="0"/>
            </w:tcBorders>
            <w:noWrap w:val="0"/>
            <w:vAlign w:val="center"/>
          </w:tcPr>
          <w:p w14:paraId="7021215E">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tcBorders>
              <w:top w:val="nil"/>
              <w:left w:val="nil"/>
              <w:bottom w:val="nil"/>
              <w:right w:val="single" w:color="auto" w:sz="4" w:space="0"/>
            </w:tcBorders>
            <w:noWrap w:val="0"/>
            <w:vAlign w:val="center"/>
          </w:tcPr>
          <w:p w14:paraId="109ADDF8">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tcBorders>
              <w:top w:val="nil"/>
              <w:left w:val="nil"/>
              <w:bottom w:val="nil"/>
              <w:right w:val="single" w:color="auto" w:sz="4" w:space="0"/>
            </w:tcBorders>
            <w:noWrap w:val="0"/>
            <w:vAlign w:val="center"/>
          </w:tcPr>
          <w:p w14:paraId="393972BF">
            <w:pPr>
              <w:widowControl/>
              <w:jc w:val="center"/>
              <w:rPr>
                <w:rFonts w:ascii="宋体" w:hAnsi="宋体" w:cs="宋体"/>
                <w:color w:val="auto"/>
                <w:kern w:val="0"/>
                <w:sz w:val="18"/>
                <w:szCs w:val="18"/>
              </w:rPr>
            </w:pPr>
            <w:r>
              <w:rPr>
                <w:rFonts w:hint="eastAsia" w:ascii="宋体" w:hAnsi="宋体" w:cs="宋体"/>
                <w:color w:val="auto"/>
                <w:kern w:val="0"/>
                <w:sz w:val="18"/>
                <w:szCs w:val="18"/>
              </w:rPr>
              <w:t>X≥200</w:t>
            </w:r>
          </w:p>
        </w:tc>
        <w:tc>
          <w:tcPr>
            <w:tcW w:w="1701" w:type="dxa"/>
            <w:tcBorders>
              <w:top w:val="nil"/>
              <w:left w:val="nil"/>
              <w:bottom w:val="nil"/>
              <w:right w:val="single" w:color="auto" w:sz="4" w:space="0"/>
            </w:tcBorders>
            <w:noWrap w:val="0"/>
            <w:vAlign w:val="center"/>
          </w:tcPr>
          <w:p w14:paraId="677D1226">
            <w:pPr>
              <w:widowControl/>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100≤X＜200</w:t>
            </w:r>
          </w:p>
        </w:tc>
        <w:tc>
          <w:tcPr>
            <w:tcW w:w="1426" w:type="dxa"/>
            <w:tcBorders>
              <w:top w:val="nil"/>
              <w:left w:val="nil"/>
              <w:bottom w:val="nil"/>
              <w:right w:val="single" w:color="auto" w:sz="4" w:space="0"/>
            </w:tcBorders>
            <w:noWrap w:val="0"/>
            <w:vAlign w:val="center"/>
          </w:tcPr>
          <w:p w14:paraId="001616E0">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20≤X＜100</w:t>
            </w:r>
          </w:p>
        </w:tc>
        <w:tc>
          <w:tcPr>
            <w:tcW w:w="992" w:type="dxa"/>
            <w:tcBorders>
              <w:top w:val="nil"/>
              <w:left w:val="nil"/>
              <w:bottom w:val="nil"/>
            </w:tcBorders>
            <w:noWrap w:val="0"/>
            <w:vAlign w:val="center"/>
          </w:tcPr>
          <w:p w14:paraId="1A7CA2AE">
            <w:pPr>
              <w:widowControl/>
              <w:jc w:val="center"/>
              <w:rPr>
                <w:rFonts w:ascii="宋体" w:hAnsi="宋体" w:cs="宋体"/>
                <w:color w:val="auto"/>
                <w:kern w:val="0"/>
                <w:sz w:val="18"/>
                <w:szCs w:val="18"/>
              </w:rPr>
            </w:pPr>
            <w:r>
              <w:rPr>
                <w:rFonts w:hint="eastAsia" w:ascii="宋体" w:hAnsi="宋体" w:cs="宋体"/>
                <w:color w:val="auto"/>
                <w:kern w:val="0"/>
                <w:sz w:val="18"/>
                <w:szCs w:val="18"/>
              </w:rPr>
              <w:t>X＜20</w:t>
            </w:r>
          </w:p>
        </w:tc>
      </w:tr>
      <w:tr w14:paraId="0DF50D12">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7" w:hRule="exact"/>
          <w:jc w:val="center"/>
        </w:trPr>
        <w:tc>
          <w:tcPr>
            <w:tcW w:w="2113" w:type="dxa"/>
            <w:vMerge w:val="continue"/>
            <w:tcBorders>
              <w:top w:val="nil"/>
              <w:bottom w:val="single" w:color="auto" w:sz="4" w:space="0"/>
              <w:right w:val="single" w:color="auto" w:sz="4" w:space="0"/>
            </w:tcBorders>
            <w:noWrap w:val="0"/>
            <w:vAlign w:val="center"/>
          </w:tcPr>
          <w:p w14:paraId="05178D62">
            <w:pPr>
              <w:widowControl/>
              <w:jc w:val="left"/>
              <w:rPr>
                <w:rFonts w:ascii="宋体" w:hAnsi="宋体" w:cs="宋体"/>
                <w:color w:val="auto"/>
                <w:kern w:val="0"/>
                <w:sz w:val="18"/>
                <w:szCs w:val="18"/>
              </w:rPr>
            </w:pPr>
          </w:p>
        </w:tc>
        <w:tc>
          <w:tcPr>
            <w:tcW w:w="1369" w:type="dxa"/>
            <w:tcBorders>
              <w:top w:val="nil"/>
              <w:left w:val="nil"/>
              <w:bottom w:val="single" w:color="auto" w:sz="4" w:space="0"/>
              <w:right w:val="single" w:color="auto" w:sz="4" w:space="0"/>
            </w:tcBorders>
            <w:noWrap w:val="0"/>
            <w:vAlign w:val="center"/>
          </w:tcPr>
          <w:p w14:paraId="33D4D83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tcBorders>
              <w:top w:val="nil"/>
              <w:left w:val="nil"/>
              <w:bottom w:val="single" w:color="auto" w:sz="4" w:space="0"/>
              <w:right w:val="single" w:color="auto" w:sz="4" w:space="0"/>
            </w:tcBorders>
            <w:noWrap w:val="0"/>
            <w:vAlign w:val="center"/>
          </w:tcPr>
          <w:p w14:paraId="3B28E74D">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tcBorders>
              <w:top w:val="nil"/>
              <w:left w:val="nil"/>
              <w:bottom w:val="single" w:color="auto" w:sz="4" w:space="0"/>
              <w:right w:val="single" w:color="auto" w:sz="4" w:space="0"/>
            </w:tcBorders>
            <w:noWrap w:val="0"/>
            <w:vAlign w:val="center"/>
          </w:tcPr>
          <w:p w14:paraId="07D863B6">
            <w:pPr>
              <w:widowControl/>
              <w:jc w:val="center"/>
              <w:rPr>
                <w:rFonts w:ascii="宋体" w:hAnsi="宋体" w:cs="宋体"/>
                <w:color w:val="auto"/>
                <w:kern w:val="0"/>
                <w:sz w:val="18"/>
                <w:szCs w:val="18"/>
              </w:rPr>
            </w:pPr>
            <w:r>
              <w:rPr>
                <w:rFonts w:hint="eastAsia" w:ascii="宋体" w:hAnsi="宋体" w:cs="宋体"/>
                <w:color w:val="auto"/>
                <w:kern w:val="0"/>
                <w:sz w:val="18"/>
                <w:szCs w:val="18"/>
              </w:rPr>
              <w:t>Y≥30000</w:t>
            </w:r>
          </w:p>
        </w:tc>
        <w:tc>
          <w:tcPr>
            <w:tcW w:w="1701" w:type="dxa"/>
            <w:tcBorders>
              <w:top w:val="nil"/>
              <w:left w:val="nil"/>
              <w:bottom w:val="single" w:color="auto" w:sz="4" w:space="0"/>
              <w:right w:val="single" w:color="auto" w:sz="4" w:space="0"/>
            </w:tcBorders>
            <w:noWrap w:val="0"/>
            <w:vAlign w:val="center"/>
          </w:tcPr>
          <w:p w14:paraId="452AA560">
            <w:pPr>
              <w:widowControl/>
              <w:jc w:val="center"/>
              <w:rPr>
                <w:rFonts w:ascii="宋体" w:hAnsi="宋体" w:cs="宋体"/>
                <w:color w:val="auto"/>
                <w:kern w:val="0"/>
                <w:sz w:val="18"/>
                <w:szCs w:val="18"/>
              </w:rPr>
            </w:pPr>
            <w:r>
              <w:rPr>
                <w:rFonts w:hint="eastAsia" w:ascii="宋体" w:hAnsi="宋体" w:cs="宋体"/>
                <w:color w:val="auto"/>
                <w:kern w:val="0"/>
                <w:sz w:val="18"/>
                <w:szCs w:val="18"/>
              </w:rPr>
              <w:t>1000≤Y＜30000</w:t>
            </w:r>
          </w:p>
        </w:tc>
        <w:tc>
          <w:tcPr>
            <w:tcW w:w="1426" w:type="dxa"/>
            <w:tcBorders>
              <w:top w:val="nil"/>
              <w:left w:val="nil"/>
              <w:bottom w:val="single" w:color="auto" w:sz="4" w:space="0"/>
              <w:right w:val="single" w:color="auto" w:sz="4" w:space="0"/>
            </w:tcBorders>
            <w:noWrap w:val="0"/>
            <w:vAlign w:val="center"/>
          </w:tcPr>
          <w:p w14:paraId="784BEAF8">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100≤Y＜1000</w:t>
            </w:r>
          </w:p>
        </w:tc>
        <w:tc>
          <w:tcPr>
            <w:tcW w:w="992" w:type="dxa"/>
            <w:tcBorders>
              <w:top w:val="nil"/>
              <w:left w:val="nil"/>
              <w:bottom w:val="single" w:color="auto" w:sz="4" w:space="0"/>
            </w:tcBorders>
            <w:noWrap w:val="0"/>
            <w:vAlign w:val="center"/>
          </w:tcPr>
          <w:p w14:paraId="196E8C93">
            <w:pPr>
              <w:widowControl/>
              <w:jc w:val="center"/>
              <w:rPr>
                <w:rFonts w:ascii="宋体" w:hAnsi="宋体" w:cs="宋体"/>
                <w:color w:val="auto"/>
                <w:kern w:val="0"/>
                <w:sz w:val="18"/>
                <w:szCs w:val="18"/>
              </w:rPr>
            </w:pPr>
            <w:r>
              <w:rPr>
                <w:rFonts w:hint="eastAsia" w:ascii="宋体" w:hAnsi="宋体" w:cs="宋体"/>
                <w:color w:val="auto"/>
                <w:kern w:val="0"/>
                <w:sz w:val="18"/>
                <w:szCs w:val="18"/>
              </w:rPr>
              <w:t>Y＜100</w:t>
            </w:r>
          </w:p>
        </w:tc>
      </w:tr>
      <w:tr w14:paraId="654E8EE9">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7" w:hRule="exact"/>
          <w:jc w:val="center"/>
        </w:trPr>
        <w:tc>
          <w:tcPr>
            <w:tcW w:w="2113" w:type="dxa"/>
            <w:vMerge w:val="restart"/>
            <w:tcBorders>
              <w:top w:val="nil"/>
              <w:bottom w:val="single" w:color="auto" w:sz="4" w:space="0"/>
              <w:right w:val="single" w:color="auto" w:sz="4" w:space="0"/>
            </w:tcBorders>
            <w:noWrap w:val="0"/>
            <w:vAlign w:val="center"/>
          </w:tcPr>
          <w:p w14:paraId="223E907B">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邮政业</w:t>
            </w:r>
          </w:p>
        </w:tc>
        <w:tc>
          <w:tcPr>
            <w:tcW w:w="1369" w:type="dxa"/>
            <w:tcBorders>
              <w:top w:val="nil"/>
              <w:left w:val="nil"/>
              <w:bottom w:val="nil"/>
              <w:right w:val="single" w:color="auto" w:sz="4" w:space="0"/>
            </w:tcBorders>
            <w:noWrap w:val="0"/>
            <w:vAlign w:val="center"/>
          </w:tcPr>
          <w:p w14:paraId="48D03D43">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tcBorders>
              <w:top w:val="nil"/>
              <w:left w:val="nil"/>
              <w:bottom w:val="nil"/>
              <w:right w:val="single" w:color="auto" w:sz="4" w:space="0"/>
            </w:tcBorders>
            <w:noWrap w:val="0"/>
            <w:vAlign w:val="center"/>
          </w:tcPr>
          <w:p w14:paraId="1D2DF8D4">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tcBorders>
              <w:top w:val="nil"/>
              <w:left w:val="nil"/>
              <w:bottom w:val="nil"/>
              <w:right w:val="single" w:color="auto" w:sz="4" w:space="0"/>
            </w:tcBorders>
            <w:noWrap w:val="0"/>
            <w:vAlign w:val="center"/>
          </w:tcPr>
          <w:p w14:paraId="7E816DE6">
            <w:pPr>
              <w:widowControl/>
              <w:jc w:val="center"/>
              <w:rPr>
                <w:rFonts w:ascii="宋体" w:hAnsi="宋体" w:cs="宋体"/>
                <w:color w:val="auto"/>
                <w:kern w:val="0"/>
                <w:sz w:val="18"/>
                <w:szCs w:val="18"/>
              </w:rPr>
            </w:pPr>
            <w:r>
              <w:rPr>
                <w:rFonts w:hint="eastAsia" w:ascii="宋体" w:hAnsi="宋体" w:cs="宋体"/>
                <w:color w:val="auto"/>
                <w:kern w:val="0"/>
                <w:sz w:val="18"/>
                <w:szCs w:val="18"/>
              </w:rPr>
              <w:t>X≥1000</w:t>
            </w:r>
          </w:p>
        </w:tc>
        <w:tc>
          <w:tcPr>
            <w:tcW w:w="1701" w:type="dxa"/>
            <w:tcBorders>
              <w:top w:val="nil"/>
              <w:left w:val="nil"/>
              <w:bottom w:val="nil"/>
              <w:right w:val="single" w:color="auto" w:sz="4" w:space="0"/>
            </w:tcBorders>
            <w:noWrap w:val="0"/>
            <w:vAlign w:val="center"/>
          </w:tcPr>
          <w:p w14:paraId="4C6D88F4">
            <w:pPr>
              <w:widowControl/>
              <w:jc w:val="center"/>
              <w:rPr>
                <w:rFonts w:ascii="宋体" w:hAnsi="宋体" w:cs="宋体"/>
                <w:color w:val="auto"/>
                <w:kern w:val="0"/>
                <w:sz w:val="18"/>
                <w:szCs w:val="18"/>
              </w:rPr>
            </w:pPr>
            <w:r>
              <w:rPr>
                <w:rFonts w:hint="eastAsia" w:ascii="宋体" w:hAnsi="宋体" w:cs="宋体"/>
                <w:color w:val="auto"/>
                <w:kern w:val="0"/>
                <w:sz w:val="18"/>
                <w:szCs w:val="18"/>
              </w:rPr>
              <w:t>300≤X＜1000</w:t>
            </w:r>
          </w:p>
        </w:tc>
        <w:tc>
          <w:tcPr>
            <w:tcW w:w="1426" w:type="dxa"/>
            <w:tcBorders>
              <w:top w:val="nil"/>
              <w:left w:val="nil"/>
              <w:bottom w:val="nil"/>
              <w:right w:val="single" w:color="auto" w:sz="4" w:space="0"/>
            </w:tcBorders>
            <w:noWrap w:val="0"/>
            <w:vAlign w:val="center"/>
          </w:tcPr>
          <w:p w14:paraId="1E2FEA80">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20≤X＜300</w:t>
            </w:r>
          </w:p>
        </w:tc>
        <w:tc>
          <w:tcPr>
            <w:tcW w:w="992" w:type="dxa"/>
            <w:tcBorders>
              <w:top w:val="nil"/>
              <w:left w:val="nil"/>
              <w:bottom w:val="nil"/>
            </w:tcBorders>
            <w:noWrap w:val="0"/>
            <w:vAlign w:val="center"/>
          </w:tcPr>
          <w:p w14:paraId="042B28CD">
            <w:pPr>
              <w:widowControl/>
              <w:jc w:val="center"/>
              <w:rPr>
                <w:rFonts w:ascii="宋体" w:hAnsi="宋体" w:cs="宋体"/>
                <w:color w:val="auto"/>
                <w:kern w:val="0"/>
                <w:sz w:val="18"/>
                <w:szCs w:val="18"/>
              </w:rPr>
            </w:pPr>
            <w:r>
              <w:rPr>
                <w:rFonts w:hint="eastAsia" w:ascii="宋体" w:hAnsi="宋体" w:cs="宋体"/>
                <w:color w:val="auto"/>
                <w:kern w:val="0"/>
                <w:sz w:val="18"/>
                <w:szCs w:val="18"/>
              </w:rPr>
              <w:t>X＜20</w:t>
            </w:r>
          </w:p>
        </w:tc>
      </w:tr>
      <w:tr w14:paraId="1E1BD25C">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7" w:hRule="exact"/>
          <w:jc w:val="center"/>
        </w:trPr>
        <w:tc>
          <w:tcPr>
            <w:tcW w:w="2113" w:type="dxa"/>
            <w:vMerge w:val="continue"/>
            <w:tcBorders>
              <w:top w:val="nil"/>
              <w:bottom w:val="single" w:color="auto" w:sz="4" w:space="0"/>
              <w:right w:val="single" w:color="auto" w:sz="4" w:space="0"/>
            </w:tcBorders>
            <w:noWrap w:val="0"/>
            <w:vAlign w:val="center"/>
          </w:tcPr>
          <w:p w14:paraId="3CE61661">
            <w:pPr>
              <w:widowControl/>
              <w:jc w:val="left"/>
              <w:rPr>
                <w:rFonts w:ascii="宋体" w:hAnsi="宋体" w:cs="宋体"/>
                <w:color w:val="auto"/>
                <w:kern w:val="0"/>
                <w:sz w:val="18"/>
                <w:szCs w:val="18"/>
              </w:rPr>
            </w:pPr>
          </w:p>
        </w:tc>
        <w:tc>
          <w:tcPr>
            <w:tcW w:w="1369" w:type="dxa"/>
            <w:tcBorders>
              <w:top w:val="nil"/>
              <w:left w:val="nil"/>
              <w:bottom w:val="single" w:color="auto" w:sz="4" w:space="0"/>
              <w:right w:val="single" w:color="auto" w:sz="4" w:space="0"/>
            </w:tcBorders>
            <w:noWrap w:val="0"/>
            <w:vAlign w:val="center"/>
          </w:tcPr>
          <w:p w14:paraId="55008CE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tcBorders>
              <w:top w:val="nil"/>
              <w:left w:val="nil"/>
              <w:bottom w:val="single" w:color="auto" w:sz="4" w:space="0"/>
              <w:right w:val="single" w:color="auto" w:sz="4" w:space="0"/>
            </w:tcBorders>
            <w:noWrap w:val="0"/>
            <w:vAlign w:val="center"/>
          </w:tcPr>
          <w:p w14:paraId="08833639">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tcBorders>
              <w:top w:val="nil"/>
              <w:left w:val="nil"/>
              <w:bottom w:val="single" w:color="auto" w:sz="4" w:space="0"/>
              <w:right w:val="single" w:color="auto" w:sz="4" w:space="0"/>
            </w:tcBorders>
            <w:noWrap w:val="0"/>
            <w:vAlign w:val="center"/>
          </w:tcPr>
          <w:p w14:paraId="1061AC1F">
            <w:pPr>
              <w:widowControl/>
              <w:jc w:val="center"/>
              <w:rPr>
                <w:rFonts w:ascii="宋体" w:hAnsi="宋体" w:cs="宋体"/>
                <w:color w:val="auto"/>
                <w:kern w:val="0"/>
                <w:sz w:val="18"/>
                <w:szCs w:val="18"/>
              </w:rPr>
            </w:pPr>
            <w:r>
              <w:rPr>
                <w:rFonts w:hint="eastAsia" w:ascii="宋体" w:hAnsi="宋体" w:cs="宋体"/>
                <w:color w:val="auto"/>
                <w:kern w:val="0"/>
                <w:sz w:val="18"/>
                <w:szCs w:val="18"/>
              </w:rPr>
              <w:t>Y≥30000</w:t>
            </w:r>
          </w:p>
        </w:tc>
        <w:tc>
          <w:tcPr>
            <w:tcW w:w="1701" w:type="dxa"/>
            <w:tcBorders>
              <w:top w:val="nil"/>
              <w:left w:val="nil"/>
              <w:bottom w:val="single" w:color="auto" w:sz="4" w:space="0"/>
              <w:right w:val="single" w:color="auto" w:sz="4" w:space="0"/>
            </w:tcBorders>
            <w:noWrap w:val="0"/>
            <w:vAlign w:val="center"/>
          </w:tcPr>
          <w:p w14:paraId="332C12FD">
            <w:pPr>
              <w:widowControl/>
              <w:jc w:val="center"/>
              <w:rPr>
                <w:rFonts w:ascii="宋体" w:hAnsi="宋体" w:cs="宋体"/>
                <w:color w:val="auto"/>
                <w:kern w:val="0"/>
                <w:sz w:val="18"/>
                <w:szCs w:val="18"/>
              </w:rPr>
            </w:pPr>
            <w:r>
              <w:rPr>
                <w:rFonts w:hint="eastAsia" w:ascii="宋体" w:hAnsi="宋体" w:cs="宋体"/>
                <w:color w:val="auto"/>
                <w:kern w:val="0"/>
                <w:sz w:val="18"/>
                <w:szCs w:val="18"/>
              </w:rPr>
              <w:t>2000≤Y＜30000</w:t>
            </w:r>
          </w:p>
        </w:tc>
        <w:tc>
          <w:tcPr>
            <w:tcW w:w="1426" w:type="dxa"/>
            <w:tcBorders>
              <w:top w:val="nil"/>
              <w:left w:val="nil"/>
              <w:bottom w:val="single" w:color="auto" w:sz="4" w:space="0"/>
              <w:right w:val="single" w:color="auto" w:sz="4" w:space="0"/>
            </w:tcBorders>
            <w:noWrap w:val="0"/>
            <w:vAlign w:val="center"/>
          </w:tcPr>
          <w:p w14:paraId="7F3748D0">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100≤Y＜2000</w:t>
            </w:r>
          </w:p>
        </w:tc>
        <w:tc>
          <w:tcPr>
            <w:tcW w:w="992" w:type="dxa"/>
            <w:tcBorders>
              <w:top w:val="nil"/>
              <w:left w:val="nil"/>
              <w:bottom w:val="single" w:color="auto" w:sz="4" w:space="0"/>
            </w:tcBorders>
            <w:noWrap w:val="0"/>
            <w:vAlign w:val="center"/>
          </w:tcPr>
          <w:p w14:paraId="19B4FF02">
            <w:pPr>
              <w:widowControl/>
              <w:jc w:val="center"/>
              <w:rPr>
                <w:rFonts w:ascii="宋体" w:hAnsi="宋体" w:cs="宋体"/>
                <w:color w:val="auto"/>
                <w:kern w:val="0"/>
                <w:sz w:val="18"/>
                <w:szCs w:val="18"/>
              </w:rPr>
            </w:pPr>
            <w:r>
              <w:rPr>
                <w:rFonts w:hint="eastAsia" w:ascii="宋体" w:hAnsi="宋体" w:cs="宋体"/>
                <w:color w:val="auto"/>
                <w:kern w:val="0"/>
                <w:sz w:val="18"/>
                <w:szCs w:val="18"/>
              </w:rPr>
              <w:t>Y＜100</w:t>
            </w:r>
          </w:p>
        </w:tc>
      </w:tr>
      <w:tr w14:paraId="3AC9119C">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7" w:hRule="exact"/>
          <w:jc w:val="center"/>
        </w:trPr>
        <w:tc>
          <w:tcPr>
            <w:tcW w:w="2113" w:type="dxa"/>
            <w:vMerge w:val="restart"/>
            <w:tcBorders>
              <w:top w:val="nil"/>
              <w:bottom w:val="single" w:color="auto" w:sz="4" w:space="0"/>
              <w:right w:val="single" w:color="auto" w:sz="4" w:space="0"/>
            </w:tcBorders>
            <w:noWrap w:val="0"/>
            <w:vAlign w:val="center"/>
          </w:tcPr>
          <w:p w14:paraId="04BE502B">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住宿业</w:t>
            </w:r>
          </w:p>
        </w:tc>
        <w:tc>
          <w:tcPr>
            <w:tcW w:w="1369" w:type="dxa"/>
            <w:tcBorders>
              <w:top w:val="nil"/>
              <w:left w:val="nil"/>
              <w:bottom w:val="nil"/>
              <w:right w:val="single" w:color="auto" w:sz="4" w:space="0"/>
            </w:tcBorders>
            <w:noWrap w:val="0"/>
            <w:vAlign w:val="center"/>
          </w:tcPr>
          <w:p w14:paraId="38300436">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tcBorders>
              <w:top w:val="nil"/>
              <w:left w:val="nil"/>
              <w:bottom w:val="nil"/>
              <w:right w:val="single" w:color="auto" w:sz="4" w:space="0"/>
            </w:tcBorders>
            <w:noWrap w:val="0"/>
            <w:vAlign w:val="center"/>
          </w:tcPr>
          <w:p w14:paraId="502DCAAB">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tcBorders>
              <w:top w:val="nil"/>
              <w:left w:val="nil"/>
              <w:bottom w:val="nil"/>
              <w:right w:val="single" w:color="auto" w:sz="4" w:space="0"/>
            </w:tcBorders>
            <w:noWrap w:val="0"/>
            <w:vAlign w:val="center"/>
          </w:tcPr>
          <w:p w14:paraId="12654CDD">
            <w:pPr>
              <w:widowControl/>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tcBorders>
              <w:top w:val="nil"/>
              <w:left w:val="nil"/>
              <w:bottom w:val="nil"/>
              <w:right w:val="single" w:color="auto" w:sz="4" w:space="0"/>
            </w:tcBorders>
            <w:noWrap w:val="0"/>
            <w:vAlign w:val="center"/>
          </w:tcPr>
          <w:p w14:paraId="1ECF5268">
            <w:pPr>
              <w:widowControl/>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 xml:space="preserve">100≤X＜300 </w:t>
            </w:r>
          </w:p>
        </w:tc>
        <w:tc>
          <w:tcPr>
            <w:tcW w:w="1426" w:type="dxa"/>
            <w:tcBorders>
              <w:top w:val="nil"/>
              <w:left w:val="nil"/>
              <w:bottom w:val="nil"/>
              <w:right w:val="single" w:color="auto" w:sz="4" w:space="0"/>
            </w:tcBorders>
            <w:noWrap w:val="0"/>
            <w:vAlign w:val="center"/>
          </w:tcPr>
          <w:p w14:paraId="387CD173">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10≤X＜100</w:t>
            </w:r>
          </w:p>
        </w:tc>
        <w:tc>
          <w:tcPr>
            <w:tcW w:w="992" w:type="dxa"/>
            <w:tcBorders>
              <w:top w:val="nil"/>
              <w:left w:val="nil"/>
              <w:bottom w:val="nil"/>
            </w:tcBorders>
            <w:noWrap w:val="0"/>
            <w:vAlign w:val="center"/>
          </w:tcPr>
          <w:p w14:paraId="29F515DD">
            <w:pPr>
              <w:widowControl/>
              <w:jc w:val="center"/>
              <w:rPr>
                <w:rFonts w:ascii="宋体" w:hAnsi="宋体" w:cs="宋体"/>
                <w:color w:val="auto"/>
                <w:kern w:val="0"/>
                <w:sz w:val="18"/>
                <w:szCs w:val="18"/>
              </w:rPr>
            </w:pPr>
            <w:r>
              <w:rPr>
                <w:rFonts w:hint="eastAsia" w:ascii="宋体" w:hAnsi="宋体" w:cs="宋体"/>
                <w:color w:val="auto"/>
                <w:kern w:val="0"/>
                <w:sz w:val="18"/>
                <w:szCs w:val="18"/>
              </w:rPr>
              <w:t>X＜10</w:t>
            </w:r>
          </w:p>
        </w:tc>
      </w:tr>
      <w:tr w14:paraId="7A79DACD">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7" w:hRule="exact"/>
          <w:jc w:val="center"/>
        </w:trPr>
        <w:tc>
          <w:tcPr>
            <w:tcW w:w="2113" w:type="dxa"/>
            <w:vMerge w:val="continue"/>
            <w:tcBorders>
              <w:top w:val="nil"/>
              <w:bottom w:val="single" w:color="auto" w:sz="4" w:space="0"/>
              <w:right w:val="single" w:color="auto" w:sz="4" w:space="0"/>
            </w:tcBorders>
            <w:noWrap w:val="0"/>
            <w:vAlign w:val="center"/>
          </w:tcPr>
          <w:p w14:paraId="10C8156B">
            <w:pPr>
              <w:widowControl/>
              <w:jc w:val="left"/>
              <w:rPr>
                <w:rFonts w:ascii="宋体" w:hAnsi="宋体" w:cs="宋体"/>
                <w:color w:val="auto"/>
                <w:kern w:val="0"/>
                <w:sz w:val="18"/>
                <w:szCs w:val="18"/>
              </w:rPr>
            </w:pPr>
          </w:p>
        </w:tc>
        <w:tc>
          <w:tcPr>
            <w:tcW w:w="1369" w:type="dxa"/>
            <w:tcBorders>
              <w:top w:val="nil"/>
              <w:left w:val="nil"/>
              <w:bottom w:val="single" w:color="auto" w:sz="4" w:space="0"/>
              <w:right w:val="single" w:color="auto" w:sz="4" w:space="0"/>
            </w:tcBorders>
            <w:noWrap w:val="0"/>
            <w:vAlign w:val="center"/>
          </w:tcPr>
          <w:p w14:paraId="77394DCB">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tcBorders>
              <w:top w:val="nil"/>
              <w:left w:val="nil"/>
              <w:bottom w:val="single" w:color="auto" w:sz="4" w:space="0"/>
              <w:right w:val="single" w:color="auto" w:sz="4" w:space="0"/>
            </w:tcBorders>
            <w:noWrap w:val="0"/>
            <w:vAlign w:val="center"/>
          </w:tcPr>
          <w:p w14:paraId="211AEFAD">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tcBorders>
              <w:top w:val="nil"/>
              <w:left w:val="nil"/>
              <w:bottom w:val="single" w:color="auto" w:sz="4" w:space="0"/>
              <w:right w:val="single" w:color="auto" w:sz="4" w:space="0"/>
            </w:tcBorders>
            <w:noWrap w:val="0"/>
            <w:vAlign w:val="center"/>
          </w:tcPr>
          <w:p w14:paraId="3C199BA5">
            <w:pPr>
              <w:widowControl/>
              <w:jc w:val="center"/>
              <w:rPr>
                <w:rFonts w:ascii="宋体" w:hAnsi="宋体" w:cs="宋体"/>
                <w:color w:val="auto"/>
                <w:kern w:val="0"/>
                <w:sz w:val="18"/>
                <w:szCs w:val="18"/>
              </w:rPr>
            </w:pPr>
            <w:r>
              <w:rPr>
                <w:rFonts w:hint="eastAsia" w:ascii="宋体" w:hAnsi="宋体" w:cs="宋体"/>
                <w:color w:val="auto"/>
                <w:kern w:val="0"/>
                <w:sz w:val="18"/>
                <w:szCs w:val="18"/>
              </w:rPr>
              <w:t>Y≥10000</w:t>
            </w:r>
          </w:p>
        </w:tc>
        <w:tc>
          <w:tcPr>
            <w:tcW w:w="1701" w:type="dxa"/>
            <w:tcBorders>
              <w:top w:val="nil"/>
              <w:left w:val="nil"/>
              <w:bottom w:val="single" w:color="auto" w:sz="4" w:space="0"/>
              <w:right w:val="single" w:color="auto" w:sz="4" w:space="0"/>
            </w:tcBorders>
            <w:noWrap w:val="0"/>
            <w:vAlign w:val="center"/>
          </w:tcPr>
          <w:p w14:paraId="5EA8F499">
            <w:pPr>
              <w:widowControl/>
              <w:jc w:val="center"/>
              <w:rPr>
                <w:rFonts w:ascii="宋体" w:hAnsi="宋体" w:cs="宋体"/>
                <w:color w:val="auto"/>
                <w:kern w:val="0"/>
                <w:sz w:val="18"/>
                <w:szCs w:val="18"/>
              </w:rPr>
            </w:pPr>
            <w:r>
              <w:rPr>
                <w:rFonts w:hint="eastAsia" w:ascii="宋体" w:hAnsi="宋体" w:cs="宋体"/>
                <w:color w:val="auto"/>
                <w:kern w:val="0"/>
                <w:sz w:val="18"/>
                <w:szCs w:val="18"/>
              </w:rPr>
              <w:t>2000≤Y＜10000</w:t>
            </w:r>
          </w:p>
        </w:tc>
        <w:tc>
          <w:tcPr>
            <w:tcW w:w="1426" w:type="dxa"/>
            <w:tcBorders>
              <w:top w:val="nil"/>
              <w:left w:val="nil"/>
              <w:bottom w:val="single" w:color="auto" w:sz="4" w:space="0"/>
              <w:right w:val="single" w:color="auto" w:sz="4" w:space="0"/>
            </w:tcBorders>
            <w:noWrap w:val="0"/>
            <w:vAlign w:val="center"/>
          </w:tcPr>
          <w:p w14:paraId="1E977DB6">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100≤Y＜2000</w:t>
            </w:r>
          </w:p>
        </w:tc>
        <w:tc>
          <w:tcPr>
            <w:tcW w:w="992" w:type="dxa"/>
            <w:tcBorders>
              <w:top w:val="nil"/>
              <w:left w:val="nil"/>
              <w:bottom w:val="single" w:color="auto" w:sz="4" w:space="0"/>
            </w:tcBorders>
            <w:noWrap w:val="0"/>
            <w:vAlign w:val="center"/>
          </w:tcPr>
          <w:p w14:paraId="2B774F94">
            <w:pPr>
              <w:widowControl/>
              <w:jc w:val="center"/>
              <w:rPr>
                <w:rFonts w:ascii="宋体" w:hAnsi="宋体" w:cs="宋体"/>
                <w:color w:val="auto"/>
                <w:kern w:val="0"/>
                <w:sz w:val="18"/>
                <w:szCs w:val="18"/>
              </w:rPr>
            </w:pPr>
            <w:r>
              <w:rPr>
                <w:rFonts w:hint="eastAsia" w:ascii="宋体" w:hAnsi="宋体" w:cs="宋体"/>
                <w:color w:val="auto"/>
                <w:kern w:val="0"/>
                <w:sz w:val="18"/>
                <w:szCs w:val="18"/>
              </w:rPr>
              <w:t>Y＜100</w:t>
            </w:r>
          </w:p>
        </w:tc>
      </w:tr>
      <w:tr w14:paraId="5BBF026A">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7" w:hRule="exact"/>
          <w:jc w:val="center"/>
        </w:trPr>
        <w:tc>
          <w:tcPr>
            <w:tcW w:w="2113" w:type="dxa"/>
            <w:vMerge w:val="restart"/>
            <w:tcBorders>
              <w:top w:val="nil"/>
              <w:bottom w:val="single" w:color="auto" w:sz="4" w:space="0"/>
              <w:right w:val="single" w:color="auto" w:sz="4" w:space="0"/>
            </w:tcBorders>
            <w:noWrap w:val="0"/>
            <w:vAlign w:val="center"/>
          </w:tcPr>
          <w:p w14:paraId="09A8BAFA">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餐饮业</w:t>
            </w:r>
          </w:p>
        </w:tc>
        <w:tc>
          <w:tcPr>
            <w:tcW w:w="1369" w:type="dxa"/>
            <w:tcBorders>
              <w:top w:val="nil"/>
              <w:left w:val="nil"/>
              <w:bottom w:val="nil"/>
              <w:right w:val="single" w:color="auto" w:sz="4" w:space="0"/>
            </w:tcBorders>
            <w:noWrap w:val="0"/>
            <w:vAlign w:val="center"/>
          </w:tcPr>
          <w:p w14:paraId="7F9F1505">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tcBorders>
              <w:top w:val="nil"/>
              <w:left w:val="nil"/>
              <w:bottom w:val="nil"/>
              <w:right w:val="single" w:color="auto" w:sz="4" w:space="0"/>
            </w:tcBorders>
            <w:noWrap w:val="0"/>
            <w:vAlign w:val="center"/>
          </w:tcPr>
          <w:p w14:paraId="00C42576">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tcBorders>
              <w:top w:val="nil"/>
              <w:left w:val="nil"/>
              <w:bottom w:val="nil"/>
              <w:right w:val="single" w:color="auto" w:sz="4" w:space="0"/>
            </w:tcBorders>
            <w:noWrap w:val="0"/>
            <w:vAlign w:val="center"/>
          </w:tcPr>
          <w:p w14:paraId="766C218D">
            <w:pPr>
              <w:widowControl/>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tcBorders>
              <w:top w:val="nil"/>
              <w:left w:val="nil"/>
              <w:bottom w:val="nil"/>
              <w:right w:val="single" w:color="auto" w:sz="4" w:space="0"/>
            </w:tcBorders>
            <w:noWrap w:val="0"/>
            <w:vAlign w:val="center"/>
          </w:tcPr>
          <w:p w14:paraId="11F81BD1">
            <w:pPr>
              <w:widowControl/>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 xml:space="preserve">100≤X＜300 </w:t>
            </w:r>
          </w:p>
        </w:tc>
        <w:tc>
          <w:tcPr>
            <w:tcW w:w="1426" w:type="dxa"/>
            <w:tcBorders>
              <w:top w:val="nil"/>
              <w:left w:val="nil"/>
              <w:bottom w:val="nil"/>
              <w:right w:val="single" w:color="auto" w:sz="4" w:space="0"/>
            </w:tcBorders>
            <w:noWrap w:val="0"/>
            <w:vAlign w:val="center"/>
          </w:tcPr>
          <w:p w14:paraId="4871FDD1">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10≤X＜100</w:t>
            </w:r>
          </w:p>
        </w:tc>
        <w:tc>
          <w:tcPr>
            <w:tcW w:w="992" w:type="dxa"/>
            <w:tcBorders>
              <w:top w:val="nil"/>
              <w:left w:val="nil"/>
              <w:bottom w:val="nil"/>
            </w:tcBorders>
            <w:noWrap w:val="0"/>
            <w:vAlign w:val="center"/>
          </w:tcPr>
          <w:p w14:paraId="62D7507F">
            <w:pPr>
              <w:widowControl/>
              <w:jc w:val="center"/>
              <w:rPr>
                <w:rFonts w:ascii="宋体" w:hAnsi="宋体" w:cs="宋体"/>
                <w:color w:val="auto"/>
                <w:kern w:val="0"/>
                <w:sz w:val="18"/>
                <w:szCs w:val="18"/>
              </w:rPr>
            </w:pPr>
            <w:r>
              <w:rPr>
                <w:rFonts w:hint="eastAsia" w:ascii="宋体" w:hAnsi="宋体" w:cs="宋体"/>
                <w:color w:val="auto"/>
                <w:kern w:val="0"/>
                <w:sz w:val="18"/>
                <w:szCs w:val="18"/>
              </w:rPr>
              <w:t>X＜10</w:t>
            </w:r>
          </w:p>
        </w:tc>
      </w:tr>
      <w:tr w14:paraId="67CEB9D9">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7" w:hRule="exact"/>
          <w:jc w:val="center"/>
        </w:trPr>
        <w:tc>
          <w:tcPr>
            <w:tcW w:w="2113" w:type="dxa"/>
            <w:vMerge w:val="continue"/>
            <w:tcBorders>
              <w:top w:val="nil"/>
              <w:bottom w:val="single" w:color="auto" w:sz="4" w:space="0"/>
              <w:right w:val="single" w:color="auto" w:sz="4" w:space="0"/>
            </w:tcBorders>
            <w:noWrap w:val="0"/>
            <w:vAlign w:val="center"/>
          </w:tcPr>
          <w:p w14:paraId="3C5EA858">
            <w:pPr>
              <w:widowControl/>
              <w:jc w:val="left"/>
              <w:rPr>
                <w:rFonts w:ascii="宋体" w:hAnsi="宋体" w:cs="宋体"/>
                <w:color w:val="auto"/>
                <w:kern w:val="0"/>
                <w:sz w:val="18"/>
                <w:szCs w:val="18"/>
              </w:rPr>
            </w:pPr>
          </w:p>
        </w:tc>
        <w:tc>
          <w:tcPr>
            <w:tcW w:w="1369" w:type="dxa"/>
            <w:tcBorders>
              <w:top w:val="nil"/>
              <w:left w:val="nil"/>
              <w:bottom w:val="single" w:color="auto" w:sz="4" w:space="0"/>
              <w:right w:val="single" w:color="auto" w:sz="4" w:space="0"/>
            </w:tcBorders>
            <w:noWrap w:val="0"/>
            <w:vAlign w:val="center"/>
          </w:tcPr>
          <w:p w14:paraId="016F320E">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tcBorders>
              <w:top w:val="nil"/>
              <w:left w:val="nil"/>
              <w:bottom w:val="single" w:color="auto" w:sz="4" w:space="0"/>
              <w:right w:val="single" w:color="auto" w:sz="4" w:space="0"/>
            </w:tcBorders>
            <w:noWrap w:val="0"/>
            <w:vAlign w:val="center"/>
          </w:tcPr>
          <w:p w14:paraId="4E161B38">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tcBorders>
              <w:top w:val="nil"/>
              <w:left w:val="nil"/>
              <w:bottom w:val="single" w:color="auto" w:sz="4" w:space="0"/>
              <w:right w:val="single" w:color="auto" w:sz="4" w:space="0"/>
            </w:tcBorders>
            <w:noWrap w:val="0"/>
            <w:vAlign w:val="center"/>
          </w:tcPr>
          <w:p w14:paraId="419548D4">
            <w:pPr>
              <w:widowControl/>
              <w:jc w:val="center"/>
              <w:rPr>
                <w:rFonts w:ascii="宋体" w:hAnsi="宋体" w:cs="宋体"/>
                <w:color w:val="auto"/>
                <w:kern w:val="0"/>
                <w:sz w:val="18"/>
                <w:szCs w:val="18"/>
              </w:rPr>
            </w:pPr>
            <w:r>
              <w:rPr>
                <w:rFonts w:hint="eastAsia" w:ascii="宋体" w:hAnsi="宋体" w:cs="宋体"/>
                <w:color w:val="auto"/>
                <w:kern w:val="0"/>
                <w:sz w:val="18"/>
                <w:szCs w:val="18"/>
              </w:rPr>
              <w:t>Y≥10000</w:t>
            </w:r>
          </w:p>
        </w:tc>
        <w:tc>
          <w:tcPr>
            <w:tcW w:w="1701" w:type="dxa"/>
            <w:tcBorders>
              <w:top w:val="nil"/>
              <w:left w:val="nil"/>
              <w:bottom w:val="single" w:color="auto" w:sz="4" w:space="0"/>
              <w:right w:val="single" w:color="auto" w:sz="4" w:space="0"/>
            </w:tcBorders>
            <w:noWrap w:val="0"/>
            <w:vAlign w:val="center"/>
          </w:tcPr>
          <w:p w14:paraId="235D42C7">
            <w:pPr>
              <w:widowControl/>
              <w:jc w:val="center"/>
              <w:rPr>
                <w:rFonts w:ascii="宋体" w:hAnsi="宋体" w:cs="宋体"/>
                <w:color w:val="auto"/>
                <w:kern w:val="0"/>
                <w:sz w:val="18"/>
                <w:szCs w:val="18"/>
              </w:rPr>
            </w:pPr>
            <w:r>
              <w:rPr>
                <w:rFonts w:hint="eastAsia" w:ascii="宋体" w:hAnsi="宋体" w:cs="宋体"/>
                <w:color w:val="auto"/>
                <w:kern w:val="0"/>
                <w:sz w:val="18"/>
                <w:szCs w:val="18"/>
              </w:rPr>
              <w:t>2000≤Y＜10000</w:t>
            </w:r>
          </w:p>
        </w:tc>
        <w:tc>
          <w:tcPr>
            <w:tcW w:w="1426" w:type="dxa"/>
            <w:tcBorders>
              <w:top w:val="nil"/>
              <w:left w:val="nil"/>
              <w:bottom w:val="single" w:color="auto" w:sz="4" w:space="0"/>
              <w:right w:val="single" w:color="auto" w:sz="4" w:space="0"/>
            </w:tcBorders>
            <w:noWrap w:val="0"/>
            <w:vAlign w:val="center"/>
          </w:tcPr>
          <w:p w14:paraId="2F446218">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100≤Y＜2000</w:t>
            </w:r>
          </w:p>
        </w:tc>
        <w:tc>
          <w:tcPr>
            <w:tcW w:w="992" w:type="dxa"/>
            <w:tcBorders>
              <w:top w:val="nil"/>
              <w:left w:val="nil"/>
              <w:bottom w:val="single" w:color="auto" w:sz="4" w:space="0"/>
            </w:tcBorders>
            <w:noWrap w:val="0"/>
            <w:vAlign w:val="center"/>
          </w:tcPr>
          <w:p w14:paraId="41ECD2EE">
            <w:pPr>
              <w:widowControl/>
              <w:jc w:val="center"/>
              <w:rPr>
                <w:rFonts w:ascii="宋体" w:hAnsi="宋体" w:cs="宋体"/>
                <w:color w:val="auto"/>
                <w:kern w:val="0"/>
                <w:sz w:val="18"/>
                <w:szCs w:val="18"/>
              </w:rPr>
            </w:pPr>
            <w:r>
              <w:rPr>
                <w:rFonts w:hint="eastAsia" w:ascii="宋体" w:hAnsi="宋体" w:cs="宋体"/>
                <w:color w:val="auto"/>
                <w:kern w:val="0"/>
                <w:sz w:val="18"/>
                <w:szCs w:val="18"/>
              </w:rPr>
              <w:t>Y＜100</w:t>
            </w:r>
          </w:p>
        </w:tc>
      </w:tr>
      <w:tr w14:paraId="59848CFC">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7" w:hRule="exact"/>
          <w:jc w:val="center"/>
        </w:trPr>
        <w:tc>
          <w:tcPr>
            <w:tcW w:w="2113" w:type="dxa"/>
            <w:vMerge w:val="restart"/>
            <w:tcBorders>
              <w:top w:val="nil"/>
              <w:bottom w:val="single" w:color="auto" w:sz="4" w:space="0"/>
              <w:right w:val="single" w:color="auto" w:sz="4" w:space="0"/>
            </w:tcBorders>
            <w:noWrap w:val="0"/>
            <w:vAlign w:val="center"/>
          </w:tcPr>
          <w:p w14:paraId="0F6A83EE">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信息传输业 *</w:t>
            </w:r>
          </w:p>
        </w:tc>
        <w:tc>
          <w:tcPr>
            <w:tcW w:w="1369" w:type="dxa"/>
            <w:tcBorders>
              <w:top w:val="nil"/>
              <w:left w:val="nil"/>
              <w:bottom w:val="nil"/>
              <w:right w:val="single" w:color="auto" w:sz="4" w:space="0"/>
            </w:tcBorders>
            <w:noWrap w:val="0"/>
            <w:vAlign w:val="center"/>
          </w:tcPr>
          <w:p w14:paraId="4413BE7A">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tcBorders>
              <w:top w:val="nil"/>
              <w:left w:val="nil"/>
              <w:bottom w:val="nil"/>
              <w:right w:val="single" w:color="auto" w:sz="4" w:space="0"/>
            </w:tcBorders>
            <w:noWrap w:val="0"/>
            <w:vAlign w:val="center"/>
          </w:tcPr>
          <w:p w14:paraId="5DA1405C">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tcBorders>
              <w:top w:val="nil"/>
              <w:left w:val="nil"/>
              <w:bottom w:val="nil"/>
              <w:right w:val="single" w:color="auto" w:sz="4" w:space="0"/>
            </w:tcBorders>
            <w:noWrap w:val="0"/>
            <w:vAlign w:val="center"/>
          </w:tcPr>
          <w:p w14:paraId="53CC9E5F">
            <w:pPr>
              <w:widowControl/>
              <w:jc w:val="center"/>
              <w:rPr>
                <w:rFonts w:ascii="宋体" w:hAnsi="宋体" w:cs="宋体"/>
                <w:color w:val="auto"/>
                <w:kern w:val="0"/>
                <w:sz w:val="18"/>
                <w:szCs w:val="18"/>
              </w:rPr>
            </w:pPr>
            <w:r>
              <w:rPr>
                <w:rFonts w:hint="eastAsia" w:ascii="宋体" w:hAnsi="宋体" w:cs="宋体"/>
                <w:color w:val="auto"/>
                <w:kern w:val="0"/>
                <w:sz w:val="18"/>
                <w:szCs w:val="18"/>
              </w:rPr>
              <w:t>X≥2000</w:t>
            </w:r>
          </w:p>
        </w:tc>
        <w:tc>
          <w:tcPr>
            <w:tcW w:w="1701" w:type="dxa"/>
            <w:tcBorders>
              <w:top w:val="nil"/>
              <w:left w:val="nil"/>
              <w:bottom w:val="nil"/>
              <w:right w:val="single" w:color="auto" w:sz="4" w:space="0"/>
            </w:tcBorders>
            <w:noWrap w:val="0"/>
            <w:vAlign w:val="center"/>
          </w:tcPr>
          <w:p w14:paraId="7831FBEC">
            <w:pPr>
              <w:widowControl/>
              <w:jc w:val="center"/>
              <w:rPr>
                <w:rFonts w:ascii="宋体" w:hAnsi="宋体" w:cs="宋体"/>
                <w:color w:val="auto"/>
                <w:kern w:val="0"/>
                <w:sz w:val="18"/>
                <w:szCs w:val="18"/>
              </w:rPr>
            </w:pPr>
            <w:r>
              <w:rPr>
                <w:rFonts w:hint="eastAsia" w:ascii="宋体" w:hAnsi="宋体" w:cs="宋体"/>
                <w:color w:val="auto"/>
                <w:kern w:val="0"/>
                <w:sz w:val="18"/>
                <w:szCs w:val="18"/>
              </w:rPr>
              <w:t>100≤X＜2000</w:t>
            </w:r>
          </w:p>
        </w:tc>
        <w:tc>
          <w:tcPr>
            <w:tcW w:w="1426" w:type="dxa"/>
            <w:tcBorders>
              <w:top w:val="nil"/>
              <w:left w:val="nil"/>
              <w:bottom w:val="nil"/>
              <w:right w:val="single" w:color="auto" w:sz="4" w:space="0"/>
            </w:tcBorders>
            <w:noWrap w:val="0"/>
            <w:vAlign w:val="center"/>
          </w:tcPr>
          <w:p w14:paraId="6597E275">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10≤X＜100</w:t>
            </w:r>
          </w:p>
        </w:tc>
        <w:tc>
          <w:tcPr>
            <w:tcW w:w="992" w:type="dxa"/>
            <w:tcBorders>
              <w:top w:val="nil"/>
              <w:left w:val="nil"/>
              <w:bottom w:val="nil"/>
            </w:tcBorders>
            <w:noWrap w:val="0"/>
            <w:vAlign w:val="center"/>
          </w:tcPr>
          <w:p w14:paraId="7EABB4D7">
            <w:pPr>
              <w:widowControl/>
              <w:jc w:val="center"/>
              <w:rPr>
                <w:rFonts w:ascii="宋体" w:hAnsi="宋体" w:cs="宋体"/>
                <w:color w:val="auto"/>
                <w:kern w:val="0"/>
                <w:sz w:val="18"/>
                <w:szCs w:val="18"/>
              </w:rPr>
            </w:pPr>
            <w:r>
              <w:rPr>
                <w:rFonts w:hint="eastAsia" w:ascii="宋体" w:hAnsi="宋体" w:cs="宋体"/>
                <w:color w:val="auto"/>
                <w:kern w:val="0"/>
                <w:sz w:val="18"/>
                <w:szCs w:val="18"/>
              </w:rPr>
              <w:t>X＜10</w:t>
            </w:r>
          </w:p>
        </w:tc>
      </w:tr>
      <w:tr w14:paraId="28EA9DC4">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7" w:hRule="exact"/>
          <w:jc w:val="center"/>
        </w:trPr>
        <w:tc>
          <w:tcPr>
            <w:tcW w:w="2113" w:type="dxa"/>
            <w:vMerge w:val="continue"/>
            <w:tcBorders>
              <w:top w:val="nil"/>
              <w:bottom w:val="single" w:color="auto" w:sz="4" w:space="0"/>
              <w:right w:val="single" w:color="auto" w:sz="4" w:space="0"/>
            </w:tcBorders>
            <w:noWrap w:val="0"/>
            <w:vAlign w:val="center"/>
          </w:tcPr>
          <w:p w14:paraId="2A246AEB">
            <w:pPr>
              <w:widowControl/>
              <w:jc w:val="left"/>
              <w:rPr>
                <w:rFonts w:ascii="宋体" w:hAnsi="宋体" w:cs="宋体"/>
                <w:color w:val="auto"/>
                <w:kern w:val="0"/>
                <w:sz w:val="18"/>
                <w:szCs w:val="18"/>
              </w:rPr>
            </w:pPr>
          </w:p>
        </w:tc>
        <w:tc>
          <w:tcPr>
            <w:tcW w:w="1369" w:type="dxa"/>
            <w:tcBorders>
              <w:top w:val="nil"/>
              <w:left w:val="nil"/>
              <w:bottom w:val="single" w:color="auto" w:sz="4" w:space="0"/>
              <w:right w:val="single" w:color="auto" w:sz="4" w:space="0"/>
            </w:tcBorders>
            <w:noWrap w:val="0"/>
            <w:vAlign w:val="center"/>
          </w:tcPr>
          <w:p w14:paraId="75F46CD1">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tcBorders>
              <w:top w:val="nil"/>
              <w:left w:val="nil"/>
              <w:bottom w:val="single" w:color="auto" w:sz="4" w:space="0"/>
              <w:right w:val="single" w:color="auto" w:sz="4" w:space="0"/>
            </w:tcBorders>
            <w:noWrap w:val="0"/>
            <w:vAlign w:val="center"/>
          </w:tcPr>
          <w:p w14:paraId="4ECDC09A">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tcBorders>
              <w:top w:val="nil"/>
              <w:left w:val="nil"/>
              <w:bottom w:val="single" w:color="auto" w:sz="4" w:space="0"/>
              <w:right w:val="single" w:color="auto" w:sz="4" w:space="0"/>
            </w:tcBorders>
            <w:noWrap w:val="0"/>
            <w:vAlign w:val="center"/>
          </w:tcPr>
          <w:p w14:paraId="585DD0F4">
            <w:pPr>
              <w:widowControl/>
              <w:jc w:val="center"/>
              <w:rPr>
                <w:rFonts w:ascii="宋体" w:hAnsi="宋体" w:cs="宋体"/>
                <w:color w:val="auto"/>
                <w:kern w:val="0"/>
                <w:sz w:val="18"/>
                <w:szCs w:val="18"/>
              </w:rPr>
            </w:pPr>
            <w:r>
              <w:rPr>
                <w:rFonts w:hint="eastAsia" w:ascii="宋体" w:hAnsi="宋体" w:cs="宋体"/>
                <w:color w:val="auto"/>
                <w:kern w:val="0"/>
                <w:sz w:val="18"/>
                <w:szCs w:val="18"/>
              </w:rPr>
              <w:t>Y≥100000</w:t>
            </w:r>
          </w:p>
        </w:tc>
        <w:tc>
          <w:tcPr>
            <w:tcW w:w="1701" w:type="dxa"/>
            <w:tcBorders>
              <w:top w:val="nil"/>
              <w:left w:val="nil"/>
              <w:bottom w:val="single" w:color="auto" w:sz="4" w:space="0"/>
              <w:right w:val="single" w:color="auto" w:sz="4" w:space="0"/>
            </w:tcBorders>
            <w:noWrap w:val="0"/>
            <w:vAlign w:val="center"/>
          </w:tcPr>
          <w:p w14:paraId="60F7287F">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1000≤Y＜100000</w:t>
            </w:r>
          </w:p>
        </w:tc>
        <w:tc>
          <w:tcPr>
            <w:tcW w:w="1426" w:type="dxa"/>
            <w:tcBorders>
              <w:top w:val="nil"/>
              <w:left w:val="nil"/>
              <w:bottom w:val="single" w:color="auto" w:sz="4" w:space="0"/>
              <w:right w:val="single" w:color="auto" w:sz="4" w:space="0"/>
            </w:tcBorders>
            <w:noWrap w:val="0"/>
            <w:vAlign w:val="center"/>
          </w:tcPr>
          <w:p w14:paraId="2AD390C2">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100≤Y＜1000</w:t>
            </w:r>
          </w:p>
        </w:tc>
        <w:tc>
          <w:tcPr>
            <w:tcW w:w="992" w:type="dxa"/>
            <w:tcBorders>
              <w:top w:val="nil"/>
              <w:left w:val="nil"/>
              <w:bottom w:val="single" w:color="auto" w:sz="4" w:space="0"/>
            </w:tcBorders>
            <w:noWrap w:val="0"/>
            <w:vAlign w:val="center"/>
          </w:tcPr>
          <w:p w14:paraId="10B8E7D0">
            <w:pPr>
              <w:widowControl/>
              <w:jc w:val="center"/>
              <w:rPr>
                <w:rFonts w:ascii="宋体" w:hAnsi="宋体" w:cs="宋体"/>
                <w:color w:val="auto"/>
                <w:kern w:val="0"/>
                <w:sz w:val="18"/>
                <w:szCs w:val="18"/>
              </w:rPr>
            </w:pPr>
            <w:r>
              <w:rPr>
                <w:rFonts w:hint="eastAsia" w:ascii="宋体" w:hAnsi="宋体" w:cs="宋体"/>
                <w:color w:val="auto"/>
                <w:kern w:val="0"/>
                <w:sz w:val="18"/>
                <w:szCs w:val="18"/>
              </w:rPr>
              <w:t>Y＜100</w:t>
            </w:r>
          </w:p>
        </w:tc>
      </w:tr>
      <w:tr w14:paraId="7C6FDFAE">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40" w:hRule="exact"/>
          <w:jc w:val="center"/>
        </w:trPr>
        <w:tc>
          <w:tcPr>
            <w:tcW w:w="2113" w:type="dxa"/>
            <w:vMerge w:val="restart"/>
            <w:tcBorders>
              <w:top w:val="single" w:color="auto" w:sz="4" w:space="0"/>
              <w:bottom w:val="single" w:color="auto" w:sz="4" w:space="0"/>
              <w:right w:val="single" w:color="auto" w:sz="4" w:space="0"/>
            </w:tcBorders>
            <w:noWrap w:val="0"/>
            <w:vAlign w:val="center"/>
          </w:tcPr>
          <w:p w14:paraId="4606F291">
            <w:pPr>
              <w:widowControl/>
              <w:spacing w:line="240" w:lineRule="exact"/>
              <w:jc w:val="left"/>
              <w:rPr>
                <w:rFonts w:ascii="宋体" w:hAnsi="宋体" w:cs="宋体"/>
                <w:color w:val="auto"/>
                <w:spacing w:val="-12"/>
                <w:kern w:val="0"/>
                <w:sz w:val="18"/>
                <w:szCs w:val="18"/>
              </w:rPr>
            </w:pPr>
            <w:r>
              <w:rPr>
                <w:rFonts w:hint="eastAsia" w:ascii="宋体" w:hAnsi="宋体" w:cs="宋体"/>
                <w:color w:val="auto"/>
                <w:spacing w:val="-12"/>
                <w:kern w:val="0"/>
                <w:sz w:val="18"/>
                <w:szCs w:val="18"/>
              </w:rPr>
              <w:t>软件和信息技术服</w:t>
            </w:r>
            <w:r>
              <w:rPr>
                <w:rFonts w:hint="eastAsia" w:ascii="宋体" w:hAnsi="宋体" w:cs="宋体"/>
                <w:color w:val="auto"/>
                <w:kern w:val="0"/>
                <w:sz w:val="18"/>
                <w:szCs w:val="18"/>
              </w:rPr>
              <w:t>务业</w:t>
            </w:r>
          </w:p>
        </w:tc>
        <w:tc>
          <w:tcPr>
            <w:tcW w:w="1369" w:type="dxa"/>
            <w:tcBorders>
              <w:top w:val="nil"/>
              <w:left w:val="nil"/>
              <w:bottom w:val="nil"/>
              <w:right w:val="single" w:color="auto" w:sz="4" w:space="0"/>
            </w:tcBorders>
            <w:noWrap w:val="0"/>
            <w:vAlign w:val="center"/>
          </w:tcPr>
          <w:p w14:paraId="463FDEDA">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tcBorders>
              <w:top w:val="nil"/>
              <w:left w:val="nil"/>
              <w:bottom w:val="nil"/>
              <w:right w:val="single" w:color="auto" w:sz="4" w:space="0"/>
            </w:tcBorders>
            <w:noWrap w:val="0"/>
            <w:vAlign w:val="center"/>
          </w:tcPr>
          <w:p w14:paraId="3BE5AC7C">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tcBorders>
              <w:top w:val="nil"/>
              <w:left w:val="nil"/>
              <w:bottom w:val="nil"/>
              <w:right w:val="single" w:color="auto" w:sz="4" w:space="0"/>
            </w:tcBorders>
            <w:noWrap w:val="0"/>
            <w:vAlign w:val="center"/>
          </w:tcPr>
          <w:p w14:paraId="222E350B">
            <w:pPr>
              <w:widowControl/>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tcBorders>
              <w:top w:val="nil"/>
              <w:left w:val="nil"/>
              <w:bottom w:val="nil"/>
              <w:right w:val="single" w:color="auto" w:sz="4" w:space="0"/>
            </w:tcBorders>
            <w:noWrap w:val="0"/>
            <w:vAlign w:val="center"/>
          </w:tcPr>
          <w:p w14:paraId="0311D870">
            <w:pPr>
              <w:widowControl/>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 xml:space="preserve">100≤X＜300 </w:t>
            </w:r>
          </w:p>
        </w:tc>
        <w:tc>
          <w:tcPr>
            <w:tcW w:w="1426" w:type="dxa"/>
            <w:tcBorders>
              <w:top w:val="nil"/>
              <w:left w:val="nil"/>
              <w:bottom w:val="nil"/>
              <w:right w:val="single" w:color="auto" w:sz="4" w:space="0"/>
            </w:tcBorders>
            <w:noWrap w:val="0"/>
            <w:vAlign w:val="center"/>
          </w:tcPr>
          <w:p w14:paraId="3BD41480">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10≤X＜100</w:t>
            </w:r>
          </w:p>
        </w:tc>
        <w:tc>
          <w:tcPr>
            <w:tcW w:w="992" w:type="dxa"/>
            <w:tcBorders>
              <w:top w:val="nil"/>
              <w:left w:val="nil"/>
              <w:bottom w:val="nil"/>
            </w:tcBorders>
            <w:noWrap w:val="0"/>
            <w:vAlign w:val="center"/>
          </w:tcPr>
          <w:p w14:paraId="5EE42B63">
            <w:pPr>
              <w:widowControl/>
              <w:jc w:val="center"/>
              <w:rPr>
                <w:rFonts w:ascii="宋体" w:hAnsi="宋体" w:cs="宋体"/>
                <w:color w:val="auto"/>
                <w:kern w:val="0"/>
                <w:sz w:val="18"/>
                <w:szCs w:val="18"/>
              </w:rPr>
            </w:pPr>
            <w:r>
              <w:rPr>
                <w:rFonts w:hint="eastAsia" w:ascii="宋体" w:hAnsi="宋体" w:cs="宋体"/>
                <w:color w:val="auto"/>
                <w:kern w:val="0"/>
                <w:sz w:val="18"/>
                <w:szCs w:val="18"/>
              </w:rPr>
              <w:t>X＜10</w:t>
            </w:r>
          </w:p>
        </w:tc>
      </w:tr>
      <w:tr w14:paraId="0F5A549B">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40" w:hRule="exact"/>
          <w:jc w:val="center"/>
        </w:trPr>
        <w:tc>
          <w:tcPr>
            <w:tcW w:w="2113" w:type="dxa"/>
            <w:vMerge w:val="continue"/>
            <w:tcBorders>
              <w:top w:val="single" w:color="auto" w:sz="4" w:space="0"/>
              <w:bottom w:val="single" w:color="auto" w:sz="4" w:space="0"/>
              <w:right w:val="single" w:color="auto" w:sz="4" w:space="0"/>
            </w:tcBorders>
            <w:noWrap w:val="0"/>
            <w:vAlign w:val="center"/>
          </w:tcPr>
          <w:p w14:paraId="3542407E">
            <w:pPr>
              <w:widowControl/>
              <w:jc w:val="left"/>
              <w:rPr>
                <w:rFonts w:ascii="宋体" w:hAnsi="宋体" w:cs="宋体"/>
                <w:color w:val="auto"/>
                <w:spacing w:val="-12"/>
                <w:kern w:val="0"/>
                <w:sz w:val="18"/>
                <w:szCs w:val="18"/>
              </w:rPr>
            </w:pPr>
          </w:p>
        </w:tc>
        <w:tc>
          <w:tcPr>
            <w:tcW w:w="1369" w:type="dxa"/>
            <w:tcBorders>
              <w:top w:val="nil"/>
              <w:left w:val="nil"/>
              <w:bottom w:val="single" w:color="auto" w:sz="4" w:space="0"/>
              <w:right w:val="single" w:color="auto" w:sz="4" w:space="0"/>
            </w:tcBorders>
            <w:noWrap w:val="0"/>
            <w:vAlign w:val="center"/>
          </w:tcPr>
          <w:p w14:paraId="195566F2">
            <w:pPr>
              <w:widowControl/>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tcBorders>
              <w:top w:val="nil"/>
              <w:left w:val="nil"/>
              <w:bottom w:val="single" w:color="auto" w:sz="4" w:space="0"/>
              <w:right w:val="single" w:color="auto" w:sz="4" w:space="0"/>
            </w:tcBorders>
            <w:noWrap w:val="0"/>
            <w:vAlign w:val="center"/>
          </w:tcPr>
          <w:p w14:paraId="4E39F5DC">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tcBorders>
              <w:top w:val="nil"/>
              <w:left w:val="nil"/>
              <w:bottom w:val="single" w:color="auto" w:sz="4" w:space="0"/>
              <w:right w:val="single" w:color="auto" w:sz="4" w:space="0"/>
            </w:tcBorders>
            <w:noWrap w:val="0"/>
            <w:vAlign w:val="center"/>
          </w:tcPr>
          <w:p w14:paraId="7B642820">
            <w:pPr>
              <w:widowControl/>
              <w:jc w:val="center"/>
              <w:rPr>
                <w:rFonts w:ascii="宋体" w:hAnsi="宋体" w:cs="宋体"/>
                <w:color w:val="auto"/>
                <w:kern w:val="0"/>
                <w:sz w:val="18"/>
                <w:szCs w:val="18"/>
              </w:rPr>
            </w:pPr>
            <w:r>
              <w:rPr>
                <w:rFonts w:hint="eastAsia" w:ascii="宋体" w:hAnsi="宋体" w:cs="宋体"/>
                <w:color w:val="auto"/>
                <w:kern w:val="0"/>
                <w:sz w:val="18"/>
                <w:szCs w:val="18"/>
              </w:rPr>
              <w:t>Y≥10000</w:t>
            </w:r>
          </w:p>
        </w:tc>
        <w:tc>
          <w:tcPr>
            <w:tcW w:w="1701" w:type="dxa"/>
            <w:tcBorders>
              <w:top w:val="nil"/>
              <w:left w:val="nil"/>
              <w:bottom w:val="single" w:color="auto" w:sz="4" w:space="0"/>
              <w:right w:val="single" w:color="auto" w:sz="4" w:space="0"/>
            </w:tcBorders>
            <w:noWrap w:val="0"/>
            <w:vAlign w:val="center"/>
          </w:tcPr>
          <w:p w14:paraId="698DEA37">
            <w:pPr>
              <w:widowControl/>
              <w:jc w:val="center"/>
              <w:rPr>
                <w:rFonts w:ascii="宋体" w:hAnsi="宋体" w:cs="宋体"/>
                <w:color w:val="auto"/>
                <w:kern w:val="0"/>
                <w:sz w:val="18"/>
                <w:szCs w:val="18"/>
              </w:rPr>
            </w:pPr>
            <w:r>
              <w:rPr>
                <w:rFonts w:hint="eastAsia" w:ascii="宋体" w:hAnsi="宋体" w:cs="宋体"/>
                <w:color w:val="auto"/>
                <w:kern w:val="0"/>
                <w:sz w:val="18"/>
                <w:szCs w:val="18"/>
              </w:rPr>
              <w:t>1000≤Y＜10000</w:t>
            </w:r>
          </w:p>
        </w:tc>
        <w:tc>
          <w:tcPr>
            <w:tcW w:w="1426" w:type="dxa"/>
            <w:tcBorders>
              <w:top w:val="nil"/>
              <w:left w:val="nil"/>
              <w:bottom w:val="single" w:color="auto" w:sz="4" w:space="0"/>
              <w:right w:val="single" w:color="auto" w:sz="4" w:space="0"/>
            </w:tcBorders>
            <w:noWrap w:val="0"/>
            <w:vAlign w:val="center"/>
          </w:tcPr>
          <w:p w14:paraId="22D49BF3">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50≤Y＜1000</w:t>
            </w:r>
          </w:p>
        </w:tc>
        <w:tc>
          <w:tcPr>
            <w:tcW w:w="992" w:type="dxa"/>
            <w:tcBorders>
              <w:top w:val="nil"/>
              <w:left w:val="nil"/>
              <w:bottom w:val="single" w:color="auto" w:sz="4" w:space="0"/>
            </w:tcBorders>
            <w:noWrap w:val="0"/>
            <w:vAlign w:val="center"/>
          </w:tcPr>
          <w:p w14:paraId="286A20C9">
            <w:pPr>
              <w:widowControl/>
              <w:jc w:val="center"/>
              <w:rPr>
                <w:rFonts w:ascii="宋体" w:hAnsi="宋体" w:cs="宋体"/>
                <w:color w:val="auto"/>
                <w:kern w:val="0"/>
                <w:sz w:val="18"/>
                <w:szCs w:val="18"/>
              </w:rPr>
            </w:pPr>
            <w:r>
              <w:rPr>
                <w:rFonts w:hint="eastAsia" w:ascii="宋体" w:hAnsi="宋体" w:cs="宋体"/>
                <w:color w:val="auto"/>
                <w:kern w:val="0"/>
                <w:sz w:val="18"/>
                <w:szCs w:val="18"/>
              </w:rPr>
              <w:t>Y＜50</w:t>
            </w:r>
          </w:p>
        </w:tc>
      </w:tr>
      <w:tr w14:paraId="223718AE">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40" w:hRule="exact"/>
          <w:jc w:val="center"/>
        </w:trPr>
        <w:tc>
          <w:tcPr>
            <w:tcW w:w="2113" w:type="dxa"/>
            <w:vMerge w:val="restart"/>
            <w:tcBorders>
              <w:top w:val="nil"/>
              <w:bottom w:val="single" w:color="auto" w:sz="4" w:space="0"/>
              <w:right w:val="single" w:color="auto" w:sz="4" w:space="0"/>
            </w:tcBorders>
            <w:noWrap w:val="0"/>
            <w:vAlign w:val="center"/>
          </w:tcPr>
          <w:p w14:paraId="3508F754">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房地产开发经营</w:t>
            </w:r>
          </w:p>
        </w:tc>
        <w:tc>
          <w:tcPr>
            <w:tcW w:w="1369" w:type="dxa"/>
            <w:tcBorders>
              <w:top w:val="nil"/>
              <w:left w:val="nil"/>
              <w:bottom w:val="nil"/>
              <w:right w:val="single" w:color="auto" w:sz="4" w:space="0"/>
            </w:tcBorders>
            <w:noWrap w:val="0"/>
            <w:vAlign w:val="center"/>
          </w:tcPr>
          <w:p w14:paraId="453AB4E0">
            <w:pPr>
              <w:widowControl/>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tcBorders>
              <w:top w:val="nil"/>
              <w:left w:val="nil"/>
              <w:bottom w:val="nil"/>
              <w:right w:val="single" w:color="auto" w:sz="4" w:space="0"/>
            </w:tcBorders>
            <w:noWrap w:val="0"/>
            <w:vAlign w:val="center"/>
          </w:tcPr>
          <w:p w14:paraId="64818AFE">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tcBorders>
              <w:top w:val="nil"/>
              <w:left w:val="nil"/>
              <w:bottom w:val="nil"/>
              <w:right w:val="single" w:color="auto" w:sz="4" w:space="0"/>
            </w:tcBorders>
            <w:noWrap w:val="0"/>
            <w:vAlign w:val="center"/>
          </w:tcPr>
          <w:p w14:paraId="1CF00FB2">
            <w:pPr>
              <w:widowControl/>
              <w:jc w:val="center"/>
              <w:rPr>
                <w:rFonts w:ascii="宋体" w:hAnsi="宋体" w:cs="宋体"/>
                <w:color w:val="auto"/>
                <w:kern w:val="0"/>
                <w:sz w:val="18"/>
                <w:szCs w:val="18"/>
              </w:rPr>
            </w:pPr>
            <w:r>
              <w:rPr>
                <w:rFonts w:hint="eastAsia" w:ascii="宋体" w:hAnsi="宋体" w:cs="宋体"/>
                <w:color w:val="auto"/>
                <w:kern w:val="0"/>
                <w:sz w:val="18"/>
                <w:szCs w:val="18"/>
              </w:rPr>
              <w:t>Y≥200000</w:t>
            </w:r>
          </w:p>
        </w:tc>
        <w:tc>
          <w:tcPr>
            <w:tcW w:w="1701" w:type="dxa"/>
            <w:tcBorders>
              <w:top w:val="nil"/>
              <w:left w:val="nil"/>
              <w:bottom w:val="nil"/>
              <w:right w:val="single" w:color="auto" w:sz="4" w:space="0"/>
            </w:tcBorders>
            <w:noWrap w:val="0"/>
            <w:vAlign w:val="center"/>
          </w:tcPr>
          <w:p w14:paraId="7442CD57">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1000≤Y＜200000</w:t>
            </w:r>
          </w:p>
        </w:tc>
        <w:tc>
          <w:tcPr>
            <w:tcW w:w="1426" w:type="dxa"/>
            <w:tcBorders>
              <w:top w:val="nil"/>
              <w:left w:val="nil"/>
              <w:bottom w:val="nil"/>
              <w:right w:val="single" w:color="auto" w:sz="4" w:space="0"/>
            </w:tcBorders>
            <w:noWrap w:val="0"/>
            <w:vAlign w:val="center"/>
          </w:tcPr>
          <w:p w14:paraId="1838AD60">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100≤Y＜1000</w:t>
            </w:r>
          </w:p>
        </w:tc>
        <w:tc>
          <w:tcPr>
            <w:tcW w:w="992" w:type="dxa"/>
            <w:tcBorders>
              <w:top w:val="nil"/>
              <w:left w:val="nil"/>
              <w:bottom w:val="nil"/>
            </w:tcBorders>
            <w:noWrap w:val="0"/>
            <w:vAlign w:val="center"/>
          </w:tcPr>
          <w:p w14:paraId="64AD489F">
            <w:pPr>
              <w:widowControl/>
              <w:jc w:val="center"/>
              <w:rPr>
                <w:rFonts w:ascii="宋体" w:hAnsi="宋体" w:cs="宋体"/>
                <w:color w:val="auto"/>
                <w:kern w:val="0"/>
                <w:sz w:val="18"/>
                <w:szCs w:val="18"/>
              </w:rPr>
            </w:pPr>
            <w:r>
              <w:rPr>
                <w:rFonts w:hint="eastAsia" w:ascii="宋体" w:hAnsi="宋体" w:cs="宋体"/>
                <w:color w:val="auto"/>
                <w:kern w:val="0"/>
                <w:sz w:val="18"/>
                <w:szCs w:val="18"/>
              </w:rPr>
              <w:t>Y＜100</w:t>
            </w:r>
          </w:p>
        </w:tc>
      </w:tr>
      <w:tr w14:paraId="68B3937F">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40" w:hRule="exact"/>
          <w:jc w:val="center"/>
        </w:trPr>
        <w:tc>
          <w:tcPr>
            <w:tcW w:w="2113" w:type="dxa"/>
            <w:vMerge w:val="continue"/>
            <w:tcBorders>
              <w:top w:val="nil"/>
              <w:bottom w:val="single" w:color="auto" w:sz="4" w:space="0"/>
              <w:right w:val="single" w:color="auto" w:sz="4" w:space="0"/>
            </w:tcBorders>
            <w:noWrap w:val="0"/>
            <w:vAlign w:val="center"/>
          </w:tcPr>
          <w:p w14:paraId="11C2C42F">
            <w:pPr>
              <w:widowControl/>
              <w:jc w:val="left"/>
              <w:rPr>
                <w:rFonts w:ascii="宋体" w:hAnsi="宋体" w:cs="宋体"/>
                <w:color w:val="auto"/>
                <w:kern w:val="0"/>
                <w:sz w:val="18"/>
                <w:szCs w:val="18"/>
              </w:rPr>
            </w:pPr>
          </w:p>
        </w:tc>
        <w:tc>
          <w:tcPr>
            <w:tcW w:w="1369" w:type="dxa"/>
            <w:tcBorders>
              <w:top w:val="nil"/>
              <w:left w:val="nil"/>
              <w:bottom w:val="single" w:color="auto" w:sz="4" w:space="0"/>
              <w:right w:val="single" w:color="auto" w:sz="4" w:space="0"/>
            </w:tcBorders>
            <w:noWrap w:val="0"/>
            <w:vAlign w:val="center"/>
          </w:tcPr>
          <w:p w14:paraId="5021CE91">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资产总额(Z)</w:t>
            </w:r>
          </w:p>
        </w:tc>
        <w:tc>
          <w:tcPr>
            <w:tcW w:w="709" w:type="dxa"/>
            <w:tcBorders>
              <w:top w:val="nil"/>
              <w:left w:val="nil"/>
              <w:bottom w:val="single" w:color="auto" w:sz="4" w:space="0"/>
              <w:right w:val="single" w:color="auto" w:sz="4" w:space="0"/>
            </w:tcBorders>
            <w:noWrap w:val="0"/>
            <w:vAlign w:val="center"/>
          </w:tcPr>
          <w:p w14:paraId="12B5BBBE">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tcBorders>
              <w:top w:val="nil"/>
              <w:left w:val="nil"/>
              <w:bottom w:val="single" w:color="auto" w:sz="4" w:space="0"/>
              <w:right w:val="single" w:color="auto" w:sz="4" w:space="0"/>
            </w:tcBorders>
            <w:noWrap w:val="0"/>
            <w:vAlign w:val="center"/>
          </w:tcPr>
          <w:p w14:paraId="38F00FAE">
            <w:pPr>
              <w:widowControl/>
              <w:jc w:val="center"/>
              <w:rPr>
                <w:rFonts w:ascii="宋体" w:hAnsi="宋体" w:cs="宋体"/>
                <w:color w:val="auto"/>
                <w:kern w:val="0"/>
                <w:sz w:val="18"/>
                <w:szCs w:val="18"/>
              </w:rPr>
            </w:pPr>
            <w:r>
              <w:rPr>
                <w:rFonts w:hint="eastAsia" w:ascii="宋体" w:hAnsi="宋体" w:cs="宋体"/>
                <w:color w:val="auto"/>
                <w:kern w:val="0"/>
                <w:sz w:val="18"/>
                <w:szCs w:val="18"/>
              </w:rPr>
              <w:t>Z≥10000</w:t>
            </w:r>
          </w:p>
        </w:tc>
        <w:tc>
          <w:tcPr>
            <w:tcW w:w="1701" w:type="dxa"/>
            <w:tcBorders>
              <w:top w:val="nil"/>
              <w:left w:val="nil"/>
              <w:bottom w:val="single" w:color="auto" w:sz="4" w:space="0"/>
              <w:right w:val="single" w:color="auto" w:sz="4" w:space="0"/>
            </w:tcBorders>
            <w:noWrap w:val="0"/>
            <w:vAlign w:val="center"/>
          </w:tcPr>
          <w:p w14:paraId="6B606E9E">
            <w:pPr>
              <w:widowControl/>
              <w:jc w:val="center"/>
              <w:rPr>
                <w:rFonts w:ascii="宋体" w:hAnsi="宋体" w:cs="宋体"/>
                <w:color w:val="auto"/>
                <w:kern w:val="0"/>
                <w:sz w:val="18"/>
                <w:szCs w:val="18"/>
              </w:rPr>
            </w:pPr>
            <w:r>
              <w:rPr>
                <w:rFonts w:hint="eastAsia" w:ascii="宋体" w:hAnsi="宋体" w:cs="宋体"/>
                <w:color w:val="auto"/>
                <w:kern w:val="0"/>
                <w:sz w:val="18"/>
                <w:szCs w:val="18"/>
              </w:rPr>
              <w:t>5000≤Z＜10000</w:t>
            </w:r>
          </w:p>
        </w:tc>
        <w:tc>
          <w:tcPr>
            <w:tcW w:w="1426" w:type="dxa"/>
            <w:tcBorders>
              <w:top w:val="nil"/>
              <w:left w:val="nil"/>
              <w:bottom w:val="single" w:color="auto" w:sz="4" w:space="0"/>
              <w:right w:val="single" w:color="auto" w:sz="4" w:space="0"/>
            </w:tcBorders>
            <w:noWrap w:val="0"/>
            <w:vAlign w:val="center"/>
          </w:tcPr>
          <w:p w14:paraId="67A0A349">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2000≤Z＜5000   </w:t>
            </w:r>
          </w:p>
        </w:tc>
        <w:tc>
          <w:tcPr>
            <w:tcW w:w="992" w:type="dxa"/>
            <w:tcBorders>
              <w:top w:val="nil"/>
              <w:left w:val="nil"/>
              <w:bottom w:val="single" w:color="auto" w:sz="4" w:space="0"/>
            </w:tcBorders>
            <w:noWrap w:val="0"/>
            <w:vAlign w:val="center"/>
          </w:tcPr>
          <w:p w14:paraId="3A2B0626">
            <w:pPr>
              <w:widowControl/>
              <w:jc w:val="center"/>
              <w:rPr>
                <w:rFonts w:ascii="宋体" w:hAnsi="宋体" w:cs="宋体"/>
                <w:color w:val="auto"/>
                <w:kern w:val="0"/>
                <w:sz w:val="18"/>
                <w:szCs w:val="18"/>
              </w:rPr>
            </w:pPr>
            <w:r>
              <w:rPr>
                <w:rFonts w:hint="eastAsia" w:ascii="宋体" w:hAnsi="宋体" w:cs="宋体"/>
                <w:color w:val="auto"/>
                <w:kern w:val="0"/>
                <w:sz w:val="18"/>
                <w:szCs w:val="18"/>
              </w:rPr>
              <w:t>Z＜2000</w:t>
            </w:r>
          </w:p>
        </w:tc>
      </w:tr>
      <w:tr w14:paraId="06F73535">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40" w:hRule="exact"/>
          <w:jc w:val="center"/>
        </w:trPr>
        <w:tc>
          <w:tcPr>
            <w:tcW w:w="2113" w:type="dxa"/>
            <w:vMerge w:val="restart"/>
            <w:tcBorders>
              <w:top w:val="nil"/>
              <w:bottom w:val="single" w:color="auto" w:sz="4" w:space="0"/>
              <w:right w:val="single" w:color="auto" w:sz="4" w:space="0"/>
            </w:tcBorders>
            <w:noWrap w:val="0"/>
            <w:vAlign w:val="center"/>
          </w:tcPr>
          <w:p w14:paraId="3E1D0B4D">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物业管理</w:t>
            </w:r>
          </w:p>
        </w:tc>
        <w:tc>
          <w:tcPr>
            <w:tcW w:w="1369" w:type="dxa"/>
            <w:tcBorders>
              <w:top w:val="nil"/>
              <w:left w:val="nil"/>
              <w:bottom w:val="nil"/>
              <w:right w:val="single" w:color="auto" w:sz="4" w:space="0"/>
            </w:tcBorders>
            <w:noWrap w:val="0"/>
            <w:vAlign w:val="center"/>
          </w:tcPr>
          <w:p w14:paraId="71591B57">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tcBorders>
              <w:top w:val="nil"/>
              <w:left w:val="nil"/>
              <w:bottom w:val="nil"/>
              <w:right w:val="single" w:color="auto" w:sz="4" w:space="0"/>
            </w:tcBorders>
            <w:noWrap w:val="0"/>
            <w:vAlign w:val="center"/>
          </w:tcPr>
          <w:p w14:paraId="3348B2E8">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tcBorders>
              <w:top w:val="nil"/>
              <w:left w:val="nil"/>
              <w:bottom w:val="nil"/>
              <w:right w:val="single" w:color="auto" w:sz="4" w:space="0"/>
            </w:tcBorders>
            <w:noWrap w:val="0"/>
            <w:vAlign w:val="center"/>
          </w:tcPr>
          <w:p w14:paraId="567621D0">
            <w:pPr>
              <w:widowControl/>
              <w:jc w:val="center"/>
              <w:rPr>
                <w:rFonts w:ascii="宋体" w:hAnsi="宋体" w:cs="宋体"/>
                <w:color w:val="auto"/>
                <w:kern w:val="0"/>
                <w:sz w:val="18"/>
                <w:szCs w:val="18"/>
              </w:rPr>
            </w:pPr>
            <w:r>
              <w:rPr>
                <w:rFonts w:hint="eastAsia" w:ascii="宋体" w:hAnsi="宋体" w:cs="宋体"/>
                <w:color w:val="auto"/>
                <w:kern w:val="0"/>
                <w:sz w:val="18"/>
                <w:szCs w:val="18"/>
              </w:rPr>
              <w:t>X≥1000</w:t>
            </w:r>
          </w:p>
        </w:tc>
        <w:tc>
          <w:tcPr>
            <w:tcW w:w="1701" w:type="dxa"/>
            <w:tcBorders>
              <w:top w:val="nil"/>
              <w:left w:val="nil"/>
              <w:bottom w:val="nil"/>
              <w:right w:val="single" w:color="auto" w:sz="4" w:space="0"/>
            </w:tcBorders>
            <w:noWrap w:val="0"/>
            <w:vAlign w:val="center"/>
          </w:tcPr>
          <w:p w14:paraId="53DB7FFD">
            <w:pPr>
              <w:widowControl/>
              <w:jc w:val="center"/>
              <w:rPr>
                <w:rFonts w:ascii="宋体" w:hAnsi="宋体" w:cs="宋体"/>
                <w:color w:val="auto"/>
                <w:kern w:val="0"/>
                <w:sz w:val="18"/>
                <w:szCs w:val="18"/>
              </w:rPr>
            </w:pPr>
            <w:r>
              <w:rPr>
                <w:rFonts w:hint="eastAsia" w:ascii="宋体" w:hAnsi="宋体" w:cs="宋体"/>
                <w:color w:val="auto"/>
                <w:kern w:val="0"/>
                <w:sz w:val="18"/>
                <w:szCs w:val="18"/>
              </w:rPr>
              <w:t>300≤X＜1000</w:t>
            </w:r>
          </w:p>
        </w:tc>
        <w:tc>
          <w:tcPr>
            <w:tcW w:w="1426" w:type="dxa"/>
            <w:tcBorders>
              <w:top w:val="nil"/>
              <w:left w:val="nil"/>
              <w:bottom w:val="nil"/>
              <w:right w:val="single" w:color="auto" w:sz="4" w:space="0"/>
            </w:tcBorders>
            <w:noWrap w:val="0"/>
            <w:vAlign w:val="center"/>
          </w:tcPr>
          <w:p w14:paraId="0825CA5A">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100≤X＜300 </w:t>
            </w:r>
          </w:p>
        </w:tc>
        <w:tc>
          <w:tcPr>
            <w:tcW w:w="992" w:type="dxa"/>
            <w:tcBorders>
              <w:top w:val="nil"/>
              <w:left w:val="nil"/>
              <w:bottom w:val="nil"/>
            </w:tcBorders>
            <w:noWrap w:val="0"/>
            <w:vAlign w:val="center"/>
          </w:tcPr>
          <w:p w14:paraId="59B5764F">
            <w:pPr>
              <w:widowControl/>
              <w:jc w:val="center"/>
              <w:rPr>
                <w:rFonts w:ascii="宋体" w:hAnsi="宋体" w:cs="宋体"/>
                <w:color w:val="auto"/>
                <w:kern w:val="0"/>
                <w:sz w:val="18"/>
                <w:szCs w:val="18"/>
              </w:rPr>
            </w:pPr>
            <w:r>
              <w:rPr>
                <w:rFonts w:hint="eastAsia" w:ascii="宋体" w:hAnsi="宋体" w:cs="宋体"/>
                <w:color w:val="auto"/>
                <w:kern w:val="0"/>
                <w:sz w:val="18"/>
                <w:szCs w:val="18"/>
              </w:rPr>
              <w:t>X＜100</w:t>
            </w:r>
          </w:p>
        </w:tc>
      </w:tr>
      <w:tr w14:paraId="319BAE47">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40" w:hRule="exact"/>
          <w:jc w:val="center"/>
        </w:trPr>
        <w:tc>
          <w:tcPr>
            <w:tcW w:w="2113" w:type="dxa"/>
            <w:vMerge w:val="continue"/>
            <w:tcBorders>
              <w:top w:val="nil"/>
              <w:bottom w:val="single" w:color="auto" w:sz="4" w:space="0"/>
              <w:right w:val="single" w:color="auto" w:sz="4" w:space="0"/>
            </w:tcBorders>
            <w:noWrap w:val="0"/>
            <w:vAlign w:val="center"/>
          </w:tcPr>
          <w:p w14:paraId="29FDEC89">
            <w:pPr>
              <w:widowControl/>
              <w:jc w:val="left"/>
              <w:rPr>
                <w:rFonts w:ascii="宋体" w:hAnsi="宋体" w:cs="宋体"/>
                <w:color w:val="auto"/>
                <w:kern w:val="0"/>
                <w:sz w:val="18"/>
                <w:szCs w:val="18"/>
              </w:rPr>
            </w:pPr>
          </w:p>
        </w:tc>
        <w:tc>
          <w:tcPr>
            <w:tcW w:w="1369" w:type="dxa"/>
            <w:tcBorders>
              <w:top w:val="nil"/>
              <w:left w:val="nil"/>
              <w:bottom w:val="single" w:color="auto" w:sz="4" w:space="0"/>
              <w:right w:val="single" w:color="auto" w:sz="4" w:space="0"/>
            </w:tcBorders>
            <w:noWrap w:val="0"/>
            <w:vAlign w:val="center"/>
          </w:tcPr>
          <w:p w14:paraId="5762D83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tcBorders>
              <w:top w:val="nil"/>
              <w:left w:val="nil"/>
              <w:bottom w:val="single" w:color="auto" w:sz="4" w:space="0"/>
              <w:right w:val="single" w:color="auto" w:sz="4" w:space="0"/>
            </w:tcBorders>
            <w:noWrap w:val="0"/>
            <w:vAlign w:val="center"/>
          </w:tcPr>
          <w:p w14:paraId="2A24C5C2">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tcBorders>
              <w:top w:val="nil"/>
              <w:left w:val="nil"/>
              <w:bottom w:val="single" w:color="auto" w:sz="4" w:space="0"/>
              <w:right w:val="single" w:color="auto" w:sz="4" w:space="0"/>
            </w:tcBorders>
            <w:noWrap w:val="0"/>
            <w:vAlign w:val="center"/>
          </w:tcPr>
          <w:p w14:paraId="0CEAD098">
            <w:pPr>
              <w:widowControl/>
              <w:jc w:val="center"/>
              <w:rPr>
                <w:rFonts w:ascii="宋体" w:hAnsi="宋体" w:cs="宋体"/>
                <w:color w:val="auto"/>
                <w:kern w:val="0"/>
                <w:sz w:val="18"/>
                <w:szCs w:val="18"/>
              </w:rPr>
            </w:pPr>
            <w:r>
              <w:rPr>
                <w:rFonts w:hint="eastAsia" w:ascii="宋体" w:hAnsi="宋体" w:cs="宋体"/>
                <w:color w:val="auto"/>
                <w:kern w:val="0"/>
                <w:sz w:val="18"/>
                <w:szCs w:val="18"/>
              </w:rPr>
              <w:t>Y≥5000</w:t>
            </w:r>
          </w:p>
        </w:tc>
        <w:tc>
          <w:tcPr>
            <w:tcW w:w="1701" w:type="dxa"/>
            <w:tcBorders>
              <w:top w:val="nil"/>
              <w:left w:val="nil"/>
              <w:bottom w:val="single" w:color="auto" w:sz="4" w:space="0"/>
              <w:right w:val="single" w:color="auto" w:sz="4" w:space="0"/>
            </w:tcBorders>
            <w:noWrap w:val="0"/>
            <w:vAlign w:val="center"/>
          </w:tcPr>
          <w:p w14:paraId="427B3858">
            <w:pPr>
              <w:widowControl/>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 xml:space="preserve">1000≤Y＜5000 </w:t>
            </w:r>
          </w:p>
        </w:tc>
        <w:tc>
          <w:tcPr>
            <w:tcW w:w="1426" w:type="dxa"/>
            <w:tcBorders>
              <w:top w:val="nil"/>
              <w:left w:val="nil"/>
              <w:bottom w:val="single" w:color="auto" w:sz="4" w:space="0"/>
              <w:right w:val="single" w:color="auto" w:sz="4" w:space="0"/>
            </w:tcBorders>
            <w:noWrap w:val="0"/>
            <w:vAlign w:val="center"/>
          </w:tcPr>
          <w:p w14:paraId="69A3E355">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500≤Y＜1000</w:t>
            </w:r>
          </w:p>
        </w:tc>
        <w:tc>
          <w:tcPr>
            <w:tcW w:w="992" w:type="dxa"/>
            <w:tcBorders>
              <w:top w:val="nil"/>
              <w:left w:val="nil"/>
              <w:bottom w:val="single" w:color="auto" w:sz="4" w:space="0"/>
            </w:tcBorders>
            <w:noWrap w:val="0"/>
            <w:vAlign w:val="center"/>
          </w:tcPr>
          <w:p w14:paraId="59BF81C4">
            <w:pPr>
              <w:widowControl/>
              <w:jc w:val="center"/>
              <w:rPr>
                <w:rFonts w:ascii="宋体" w:hAnsi="宋体" w:cs="宋体"/>
                <w:color w:val="auto"/>
                <w:kern w:val="0"/>
                <w:sz w:val="18"/>
                <w:szCs w:val="18"/>
              </w:rPr>
            </w:pPr>
            <w:r>
              <w:rPr>
                <w:rFonts w:hint="eastAsia" w:ascii="宋体" w:hAnsi="宋体" w:cs="宋体"/>
                <w:color w:val="auto"/>
                <w:kern w:val="0"/>
                <w:sz w:val="18"/>
                <w:szCs w:val="18"/>
              </w:rPr>
              <w:t>Y＜500</w:t>
            </w:r>
          </w:p>
        </w:tc>
      </w:tr>
      <w:tr w14:paraId="26FDE198">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40" w:hRule="exact"/>
          <w:jc w:val="center"/>
        </w:trPr>
        <w:tc>
          <w:tcPr>
            <w:tcW w:w="2113" w:type="dxa"/>
            <w:vMerge w:val="restart"/>
            <w:tcBorders>
              <w:top w:val="nil"/>
              <w:bottom w:val="single" w:color="auto" w:sz="4" w:space="0"/>
              <w:right w:val="single" w:color="auto" w:sz="4" w:space="0"/>
            </w:tcBorders>
            <w:noWrap w:val="0"/>
            <w:vAlign w:val="center"/>
          </w:tcPr>
          <w:p w14:paraId="36EB9351">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租赁和商务服务业</w:t>
            </w:r>
          </w:p>
        </w:tc>
        <w:tc>
          <w:tcPr>
            <w:tcW w:w="1369" w:type="dxa"/>
            <w:tcBorders>
              <w:top w:val="nil"/>
              <w:left w:val="nil"/>
              <w:bottom w:val="nil"/>
              <w:right w:val="single" w:color="auto" w:sz="4" w:space="0"/>
            </w:tcBorders>
            <w:noWrap w:val="0"/>
            <w:vAlign w:val="center"/>
          </w:tcPr>
          <w:p w14:paraId="159AEB20">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tcBorders>
              <w:top w:val="nil"/>
              <w:left w:val="nil"/>
              <w:bottom w:val="nil"/>
              <w:right w:val="single" w:color="auto" w:sz="4" w:space="0"/>
            </w:tcBorders>
            <w:noWrap w:val="0"/>
            <w:vAlign w:val="center"/>
          </w:tcPr>
          <w:p w14:paraId="794F34DE">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tcBorders>
              <w:top w:val="nil"/>
              <w:left w:val="nil"/>
              <w:bottom w:val="nil"/>
              <w:right w:val="single" w:color="auto" w:sz="4" w:space="0"/>
            </w:tcBorders>
            <w:noWrap w:val="0"/>
            <w:vAlign w:val="center"/>
          </w:tcPr>
          <w:p w14:paraId="0ABA7950">
            <w:pPr>
              <w:widowControl/>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tcBorders>
              <w:top w:val="nil"/>
              <w:left w:val="nil"/>
              <w:bottom w:val="nil"/>
              <w:right w:val="single" w:color="auto" w:sz="4" w:space="0"/>
            </w:tcBorders>
            <w:noWrap w:val="0"/>
            <w:vAlign w:val="center"/>
          </w:tcPr>
          <w:p w14:paraId="342CE04E">
            <w:pPr>
              <w:widowControl/>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 xml:space="preserve">100≤X＜300 </w:t>
            </w:r>
          </w:p>
        </w:tc>
        <w:tc>
          <w:tcPr>
            <w:tcW w:w="1426" w:type="dxa"/>
            <w:tcBorders>
              <w:top w:val="nil"/>
              <w:left w:val="nil"/>
              <w:bottom w:val="nil"/>
              <w:right w:val="single" w:color="auto" w:sz="4" w:space="0"/>
            </w:tcBorders>
            <w:noWrap w:val="0"/>
            <w:vAlign w:val="center"/>
          </w:tcPr>
          <w:p w14:paraId="06C52258">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10≤X＜100</w:t>
            </w:r>
          </w:p>
        </w:tc>
        <w:tc>
          <w:tcPr>
            <w:tcW w:w="992" w:type="dxa"/>
            <w:tcBorders>
              <w:top w:val="nil"/>
              <w:left w:val="nil"/>
              <w:bottom w:val="nil"/>
            </w:tcBorders>
            <w:noWrap w:val="0"/>
            <w:vAlign w:val="center"/>
          </w:tcPr>
          <w:p w14:paraId="7B410AE6">
            <w:pPr>
              <w:widowControl/>
              <w:jc w:val="center"/>
              <w:rPr>
                <w:rFonts w:ascii="宋体" w:hAnsi="宋体" w:cs="宋体"/>
                <w:color w:val="auto"/>
                <w:kern w:val="0"/>
                <w:sz w:val="18"/>
                <w:szCs w:val="18"/>
              </w:rPr>
            </w:pPr>
            <w:r>
              <w:rPr>
                <w:rFonts w:hint="eastAsia" w:ascii="宋体" w:hAnsi="宋体" w:cs="宋体"/>
                <w:color w:val="auto"/>
                <w:kern w:val="0"/>
                <w:sz w:val="18"/>
                <w:szCs w:val="18"/>
              </w:rPr>
              <w:t>X＜10</w:t>
            </w:r>
          </w:p>
        </w:tc>
      </w:tr>
      <w:tr w14:paraId="154D7A81">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40" w:hRule="exact"/>
          <w:jc w:val="center"/>
        </w:trPr>
        <w:tc>
          <w:tcPr>
            <w:tcW w:w="2113" w:type="dxa"/>
            <w:vMerge w:val="continue"/>
            <w:tcBorders>
              <w:top w:val="nil"/>
              <w:bottom w:val="single" w:color="auto" w:sz="4" w:space="0"/>
              <w:right w:val="single" w:color="auto" w:sz="4" w:space="0"/>
            </w:tcBorders>
            <w:noWrap w:val="0"/>
            <w:vAlign w:val="center"/>
          </w:tcPr>
          <w:p w14:paraId="1456E5BE">
            <w:pPr>
              <w:widowControl/>
              <w:jc w:val="left"/>
              <w:rPr>
                <w:rFonts w:ascii="宋体" w:hAnsi="宋体" w:cs="宋体"/>
                <w:color w:val="auto"/>
                <w:kern w:val="0"/>
                <w:sz w:val="18"/>
                <w:szCs w:val="18"/>
              </w:rPr>
            </w:pPr>
          </w:p>
        </w:tc>
        <w:tc>
          <w:tcPr>
            <w:tcW w:w="1369" w:type="dxa"/>
            <w:tcBorders>
              <w:top w:val="nil"/>
              <w:left w:val="nil"/>
              <w:bottom w:val="single" w:color="auto" w:sz="4" w:space="0"/>
              <w:right w:val="single" w:color="auto" w:sz="4" w:space="0"/>
            </w:tcBorders>
            <w:noWrap w:val="0"/>
            <w:vAlign w:val="center"/>
          </w:tcPr>
          <w:p w14:paraId="391E6AB6">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资产总额(Z)</w:t>
            </w:r>
          </w:p>
        </w:tc>
        <w:tc>
          <w:tcPr>
            <w:tcW w:w="709" w:type="dxa"/>
            <w:tcBorders>
              <w:top w:val="nil"/>
              <w:left w:val="nil"/>
              <w:bottom w:val="single" w:color="auto" w:sz="4" w:space="0"/>
              <w:right w:val="single" w:color="auto" w:sz="4" w:space="0"/>
            </w:tcBorders>
            <w:noWrap w:val="0"/>
            <w:vAlign w:val="center"/>
          </w:tcPr>
          <w:p w14:paraId="49EE3087">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tcBorders>
              <w:top w:val="nil"/>
              <w:left w:val="nil"/>
              <w:bottom w:val="single" w:color="auto" w:sz="4" w:space="0"/>
              <w:right w:val="single" w:color="auto" w:sz="4" w:space="0"/>
            </w:tcBorders>
            <w:noWrap w:val="0"/>
            <w:vAlign w:val="center"/>
          </w:tcPr>
          <w:p w14:paraId="2BE8C18B">
            <w:pPr>
              <w:widowControl/>
              <w:jc w:val="center"/>
              <w:rPr>
                <w:rFonts w:ascii="宋体" w:hAnsi="宋体" w:cs="宋体"/>
                <w:color w:val="auto"/>
                <w:kern w:val="0"/>
                <w:sz w:val="18"/>
                <w:szCs w:val="18"/>
              </w:rPr>
            </w:pPr>
            <w:r>
              <w:rPr>
                <w:rFonts w:hint="eastAsia" w:ascii="宋体" w:hAnsi="宋体" w:cs="宋体"/>
                <w:color w:val="auto"/>
                <w:kern w:val="0"/>
                <w:sz w:val="18"/>
                <w:szCs w:val="18"/>
              </w:rPr>
              <w:t>Z≥120000</w:t>
            </w:r>
          </w:p>
        </w:tc>
        <w:tc>
          <w:tcPr>
            <w:tcW w:w="1701" w:type="dxa"/>
            <w:tcBorders>
              <w:top w:val="nil"/>
              <w:left w:val="nil"/>
              <w:bottom w:val="single" w:color="auto" w:sz="4" w:space="0"/>
              <w:right w:val="single" w:color="auto" w:sz="4" w:space="0"/>
            </w:tcBorders>
            <w:noWrap w:val="0"/>
            <w:vAlign w:val="center"/>
          </w:tcPr>
          <w:p w14:paraId="4A04385F">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8000≤Z＜120000</w:t>
            </w:r>
          </w:p>
        </w:tc>
        <w:tc>
          <w:tcPr>
            <w:tcW w:w="1426" w:type="dxa"/>
            <w:tcBorders>
              <w:top w:val="nil"/>
              <w:left w:val="nil"/>
              <w:bottom w:val="single" w:color="auto" w:sz="4" w:space="0"/>
              <w:right w:val="single" w:color="auto" w:sz="4" w:space="0"/>
            </w:tcBorders>
            <w:noWrap w:val="0"/>
            <w:vAlign w:val="center"/>
          </w:tcPr>
          <w:p w14:paraId="6A938D89">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100≤Z＜8000</w:t>
            </w:r>
          </w:p>
        </w:tc>
        <w:tc>
          <w:tcPr>
            <w:tcW w:w="992" w:type="dxa"/>
            <w:tcBorders>
              <w:top w:val="nil"/>
              <w:left w:val="nil"/>
              <w:bottom w:val="single" w:color="auto" w:sz="4" w:space="0"/>
            </w:tcBorders>
            <w:noWrap w:val="0"/>
            <w:vAlign w:val="center"/>
          </w:tcPr>
          <w:p w14:paraId="21E245D2">
            <w:pPr>
              <w:widowControl/>
              <w:jc w:val="center"/>
              <w:rPr>
                <w:rFonts w:ascii="宋体" w:hAnsi="宋体" w:cs="宋体"/>
                <w:color w:val="auto"/>
                <w:kern w:val="0"/>
                <w:sz w:val="18"/>
                <w:szCs w:val="18"/>
              </w:rPr>
            </w:pPr>
            <w:r>
              <w:rPr>
                <w:rFonts w:hint="eastAsia" w:ascii="宋体" w:hAnsi="宋体" w:cs="宋体"/>
                <w:color w:val="auto"/>
                <w:kern w:val="0"/>
                <w:sz w:val="18"/>
                <w:szCs w:val="18"/>
              </w:rPr>
              <w:t>Z＜100</w:t>
            </w:r>
          </w:p>
        </w:tc>
      </w:tr>
      <w:tr w14:paraId="20FC45E5">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7" w:hRule="exact"/>
          <w:jc w:val="center"/>
        </w:trPr>
        <w:tc>
          <w:tcPr>
            <w:tcW w:w="2113" w:type="dxa"/>
            <w:tcBorders>
              <w:top w:val="nil"/>
              <w:right w:val="single" w:color="auto" w:sz="4" w:space="0"/>
            </w:tcBorders>
            <w:noWrap w:val="0"/>
            <w:vAlign w:val="center"/>
          </w:tcPr>
          <w:p w14:paraId="4748F911">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其他未列明行业 *</w:t>
            </w:r>
          </w:p>
        </w:tc>
        <w:tc>
          <w:tcPr>
            <w:tcW w:w="1369" w:type="dxa"/>
            <w:tcBorders>
              <w:top w:val="nil"/>
              <w:left w:val="nil"/>
              <w:right w:val="single" w:color="auto" w:sz="4" w:space="0"/>
            </w:tcBorders>
            <w:noWrap w:val="0"/>
            <w:vAlign w:val="center"/>
          </w:tcPr>
          <w:p w14:paraId="5790E15B">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tcBorders>
              <w:top w:val="nil"/>
              <w:left w:val="nil"/>
              <w:right w:val="single" w:color="auto" w:sz="4" w:space="0"/>
            </w:tcBorders>
            <w:noWrap w:val="0"/>
            <w:vAlign w:val="center"/>
          </w:tcPr>
          <w:p w14:paraId="21CA3529">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tcBorders>
              <w:top w:val="nil"/>
              <w:left w:val="nil"/>
              <w:right w:val="single" w:color="auto" w:sz="4" w:space="0"/>
            </w:tcBorders>
            <w:noWrap w:val="0"/>
            <w:vAlign w:val="center"/>
          </w:tcPr>
          <w:p w14:paraId="2D8108B8">
            <w:pPr>
              <w:widowControl/>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tcBorders>
              <w:top w:val="nil"/>
              <w:left w:val="nil"/>
              <w:right w:val="single" w:color="auto" w:sz="4" w:space="0"/>
            </w:tcBorders>
            <w:noWrap w:val="0"/>
            <w:vAlign w:val="center"/>
          </w:tcPr>
          <w:p w14:paraId="73E09D06">
            <w:pPr>
              <w:widowControl/>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 xml:space="preserve">100≤X＜300 </w:t>
            </w:r>
          </w:p>
        </w:tc>
        <w:tc>
          <w:tcPr>
            <w:tcW w:w="1426" w:type="dxa"/>
            <w:tcBorders>
              <w:top w:val="nil"/>
              <w:left w:val="nil"/>
              <w:right w:val="single" w:color="auto" w:sz="4" w:space="0"/>
            </w:tcBorders>
            <w:noWrap w:val="0"/>
            <w:vAlign w:val="center"/>
          </w:tcPr>
          <w:p w14:paraId="2F9802BD">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10≤X＜100</w:t>
            </w:r>
          </w:p>
        </w:tc>
        <w:tc>
          <w:tcPr>
            <w:tcW w:w="992" w:type="dxa"/>
            <w:tcBorders>
              <w:top w:val="nil"/>
              <w:left w:val="nil"/>
            </w:tcBorders>
            <w:noWrap w:val="0"/>
            <w:vAlign w:val="center"/>
          </w:tcPr>
          <w:p w14:paraId="5F4B0B7D">
            <w:pPr>
              <w:widowControl/>
              <w:jc w:val="center"/>
              <w:rPr>
                <w:rFonts w:ascii="宋体" w:hAnsi="宋体" w:cs="宋体"/>
                <w:color w:val="auto"/>
                <w:kern w:val="0"/>
                <w:sz w:val="18"/>
                <w:szCs w:val="18"/>
              </w:rPr>
            </w:pPr>
            <w:r>
              <w:rPr>
                <w:rFonts w:hint="eastAsia" w:ascii="宋体" w:hAnsi="宋体" w:cs="宋体"/>
                <w:color w:val="auto"/>
                <w:kern w:val="0"/>
                <w:sz w:val="18"/>
                <w:szCs w:val="18"/>
              </w:rPr>
              <w:t>X＜10</w:t>
            </w:r>
          </w:p>
        </w:tc>
      </w:tr>
    </w:tbl>
    <w:p w14:paraId="33506FC2">
      <w:pPr>
        <w:pStyle w:val="12"/>
        <w:keepNext w:val="0"/>
        <w:keepLines w:val="0"/>
        <w:widowControl/>
        <w:suppressLineNumbers w:val="0"/>
        <w:spacing w:line="432" w:lineRule="auto"/>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　</w:t>
      </w:r>
    </w:p>
    <w:p w14:paraId="5B32A2BB">
      <w:pPr>
        <w:pStyle w:val="12"/>
        <w:keepNext w:val="0"/>
        <w:keepLines w:val="0"/>
        <w:widowControl/>
        <w:suppressLineNumbers w:val="0"/>
        <w:spacing w:line="432" w:lineRule="auto"/>
        <w:jc w:val="center"/>
        <w:rPr>
          <w:rStyle w:val="17"/>
          <w:rFonts w:hint="eastAsia" w:ascii="宋体" w:hAnsi="宋体" w:eastAsia="宋体" w:cs="宋体"/>
          <w:color w:val="auto"/>
          <w:sz w:val="36"/>
          <w:szCs w:val="36"/>
          <w:u w:val="none"/>
        </w:rPr>
      </w:pPr>
    </w:p>
    <w:p w14:paraId="13A0F835">
      <w:pPr>
        <w:pStyle w:val="12"/>
        <w:keepNext w:val="0"/>
        <w:keepLines w:val="0"/>
        <w:widowControl/>
        <w:suppressLineNumbers w:val="0"/>
        <w:spacing w:line="432" w:lineRule="auto"/>
        <w:jc w:val="center"/>
        <w:rPr>
          <w:rStyle w:val="17"/>
          <w:rFonts w:hint="eastAsia" w:ascii="宋体" w:hAnsi="宋体" w:eastAsia="宋体" w:cs="宋体"/>
          <w:color w:val="auto"/>
          <w:sz w:val="36"/>
          <w:szCs w:val="36"/>
          <w:u w:val="none"/>
        </w:rPr>
      </w:pPr>
      <w:r>
        <w:rPr>
          <w:rStyle w:val="17"/>
          <w:rFonts w:hint="eastAsia" w:ascii="宋体" w:hAnsi="宋体" w:eastAsia="宋体" w:cs="宋体"/>
          <w:color w:val="auto"/>
          <w:sz w:val="36"/>
          <w:szCs w:val="36"/>
          <w:u w:val="none"/>
        </w:rPr>
        <w:t>中小企业划型标准规定</w:t>
      </w:r>
    </w:p>
    <w:p w14:paraId="146B04F8">
      <w:pPr>
        <w:pStyle w:val="12"/>
        <w:keepNext w:val="0"/>
        <w:keepLines w:val="0"/>
        <w:widowControl/>
        <w:suppressLineNumbers w:val="0"/>
        <w:spacing w:line="432" w:lineRule="auto"/>
        <w:rPr>
          <w:rFonts w:hint="eastAsia" w:ascii="宋体" w:hAnsi="宋体" w:eastAsia="宋体" w:cs="宋体"/>
          <w:color w:val="auto"/>
          <w:sz w:val="24"/>
          <w:szCs w:val="24"/>
          <w:u w:val="none"/>
          <w:lang w:eastAsia="zh-CN"/>
        </w:rPr>
      </w:pPr>
      <w:r>
        <w:rPr>
          <w:rFonts w:hint="eastAsia" w:ascii="宋体" w:hAnsi="宋体" w:eastAsia="宋体" w:cs="宋体"/>
          <w:color w:val="auto"/>
          <w:sz w:val="24"/>
          <w:szCs w:val="24"/>
          <w:u w:val="none"/>
        </w:rPr>
        <w:t>　一、根据《中华人民共和国中小企业促进法》和《国务院关于进一步促进中小企业发展的若干意见》(国发〔2009〕36号)，制定本规定。</w:t>
      </w:r>
    </w:p>
    <w:p w14:paraId="05C067DF">
      <w:pPr>
        <w:pStyle w:val="12"/>
        <w:keepNext w:val="0"/>
        <w:keepLines w:val="0"/>
        <w:widowControl/>
        <w:suppressLineNumbers w:val="0"/>
        <w:spacing w:line="432" w:lineRule="auto"/>
        <w:rPr>
          <w:rFonts w:hint="eastAsia" w:ascii="宋体" w:hAnsi="宋体" w:eastAsia="宋体" w:cs="宋体"/>
          <w:color w:val="auto"/>
          <w:sz w:val="24"/>
          <w:szCs w:val="24"/>
          <w:u w:val="none"/>
          <w:lang w:eastAsia="zh-CN"/>
        </w:rPr>
      </w:pPr>
      <w:r>
        <w:rPr>
          <w:rFonts w:hint="eastAsia" w:ascii="宋体" w:hAnsi="宋体" w:eastAsia="宋体" w:cs="宋体"/>
          <w:color w:val="auto"/>
          <w:sz w:val="24"/>
          <w:szCs w:val="24"/>
          <w:u w:val="none"/>
        </w:rPr>
        <w:t>　　二、中小企业划分为中型、小型、微型三种类型，具体标准根据企业从业人员、营业收入、资产总额等指标，结合行业特点制定。</w:t>
      </w:r>
    </w:p>
    <w:p w14:paraId="7125246B">
      <w:pPr>
        <w:pStyle w:val="12"/>
        <w:keepNext w:val="0"/>
        <w:keepLines w:val="0"/>
        <w:widowControl/>
        <w:suppressLineNumbers w:val="0"/>
        <w:spacing w:line="432" w:lineRule="auto"/>
        <w:rPr>
          <w:rFonts w:hint="eastAsia" w:ascii="宋体" w:hAnsi="宋体" w:eastAsia="宋体" w:cs="宋体"/>
          <w:color w:val="auto"/>
          <w:sz w:val="24"/>
          <w:szCs w:val="24"/>
          <w:u w:val="none"/>
          <w:lang w:eastAsia="zh-CN"/>
        </w:rPr>
      </w:pPr>
      <w:r>
        <w:rPr>
          <w:rFonts w:hint="eastAsia" w:ascii="宋体" w:hAnsi="宋体" w:eastAsia="宋体" w:cs="宋体"/>
          <w:color w:val="auto"/>
          <w:sz w:val="24"/>
          <w:szCs w:val="24"/>
          <w:u w:val="none"/>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17533FC9">
      <w:pPr>
        <w:pStyle w:val="12"/>
        <w:keepNext w:val="0"/>
        <w:keepLines w:val="0"/>
        <w:widowControl/>
        <w:suppressLineNumbers w:val="0"/>
        <w:spacing w:line="432" w:lineRule="auto"/>
        <w:rPr>
          <w:rFonts w:hint="eastAsia" w:ascii="宋体" w:hAnsi="宋体" w:eastAsia="宋体" w:cs="宋体"/>
          <w:color w:val="auto"/>
          <w:sz w:val="24"/>
          <w:szCs w:val="24"/>
          <w:u w:val="none"/>
          <w:lang w:eastAsia="zh-CN"/>
        </w:rPr>
      </w:pPr>
      <w:r>
        <w:rPr>
          <w:rFonts w:hint="eastAsia" w:ascii="宋体" w:hAnsi="宋体" w:eastAsia="宋体" w:cs="宋体"/>
          <w:color w:val="auto"/>
          <w:sz w:val="24"/>
          <w:szCs w:val="24"/>
          <w:u w:val="none"/>
        </w:rPr>
        <w:t>　　四、各行业划型标准为：</w:t>
      </w:r>
    </w:p>
    <w:p w14:paraId="40A3F0D0">
      <w:pPr>
        <w:pStyle w:val="12"/>
        <w:keepNext w:val="0"/>
        <w:keepLines w:val="0"/>
        <w:widowControl/>
        <w:suppressLineNumbers w:val="0"/>
        <w:spacing w:line="432" w:lineRule="auto"/>
        <w:rPr>
          <w:rFonts w:hint="eastAsia" w:ascii="宋体" w:hAnsi="宋体" w:eastAsia="宋体" w:cs="宋体"/>
          <w:color w:val="auto"/>
          <w:sz w:val="24"/>
          <w:szCs w:val="24"/>
          <w:u w:val="none"/>
          <w:lang w:eastAsia="zh-CN"/>
        </w:rPr>
      </w:pPr>
      <w:r>
        <w:rPr>
          <w:rFonts w:hint="eastAsia" w:ascii="宋体" w:hAnsi="宋体" w:eastAsia="宋体" w:cs="宋体"/>
          <w:color w:val="auto"/>
          <w:sz w:val="24"/>
          <w:szCs w:val="24"/>
          <w:u w:val="none"/>
        </w:rPr>
        <w:t>　　（一）农、林、牧、渔业。营业收入20000万元以下的为中小微型企业。其中，营业收入500万元及以上的为中型企业，营业收入50万元及以上的为小型企业，营业收入50万元以下的为微型企业。</w:t>
      </w:r>
    </w:p>
    <w:p w14:paraId="4628084D">
      <w:pPr>
        <w:pStyle w:val="12"/>
        <w:keepNext w:val="0"/>
        <w:keepLines w:val="0"/>
        <w:widowControl/>
        <w:suppressLineNumbers w:val="0"/>
        <w:spacing w:line="432" w:lineRule="auto"/>
        <w:rPr>
          <w:rFonts w:hint="eastAsia" w:ascii="宋体" w:hAnsi="宋体" w:eastAsia="宋体" w:cs="宋体"/>
          <w:color w:val="auto"/>
          <w:sz w:val="24"/>
          <w:szCs w:val="24"/>
          <w:u w:val="none"/>
          <w:lang w:eastAsia="zh-CN"/>
        </w:rPr>
      </w:pPr>
      <w:r>
        <w:rPr>
          <w:rFonts w:hint="eastAsia" w:ascii="宋体" w:hAnsi="宋体" w:eastAsia="宋体" w:cs="宋体"/>
          <w:color w:val="auto"/>
          <w:sz w:val="24"/>
          <w:szCs w:val="24"/>
          <w:u w:val="none"/>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26E98B24">
      <w:pPr>
        <w:pStyle w:val="12"/>
        <w:keepNext w:val="0"/>
        <w:keepLines w:val="0"/>
        <w:widowControl/>
        <w:suppressLineNumbers w:val="0"/>
        <w:spacing w:line="432" w:lineRule="auto"/>
        <w:rPr>
          <w:rFonts w:hint="eastAsia" w:ascii="宋体" w:hAnsi="宋体" w:eastAsia="宋体" w:cs="宋体"/>
          <w:color w:val="auto"/>
          <w:sz w:val="24"/>
          <w:szCs w:val="24"/>
          <w:u w:val="none"/>
          <w:lang w:eastAsia="zh-CN"/>
        </w:rPr>
      </w:pPr>
      <w:r>
        <w:rPr>
          <w:rFonts w:hint="eastAsia" w:ascii="宋体" w:hAnsi="宋体" w:eastAsia="宋体" w:cs="宋体"/>
          <w:color w:val="auto"/>
          <w:sz w:val="24"/>
          <w:szCs w:val="24"/>
          <w:u w:val="none"/>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31908FEF">
      <w:pPr>
        <w:pStyle w:val="12"/>
        <w:keepNext w:val="0"/>
        <w:keepLines w:val="0"/>
        <w:widowControl/>
        <w:suppressLineNumbers w:val="0"/>
        <w:spacing w:line="432" w:lineRule="auto"/>
        <w:rPr>
          <w:rFonts w:hint="eastAsia" w:ascii="宋体" w:hAnsi="宋体" w:eastAsia="宋体" w:cs="宋体"/>
          <w:color w:val="auto"/>
          <w:sz w:val="24"/>
          <w:szCs w:val="24"/>
          <w:u w:val="none"/>
          <w:lang w:eastAsia="zh-CN"/>
        </w:rPr>
      </w:pPr>
      <w:r>
        <w:rPr>
          <w:rFonts w:hint="eastAsia" w:ascii="宋体" w:hAnsi="宋体" w:eastAsia="宋体" w:cs="宋体"/>
          <w:color w:val="auto"/>
          <w:sz w:val="24"/>
          <w:szCs w:val="24"/>
          <w:u w:val="none"/>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62F6CC59">
      <w:pPr>
        <w:pStyle w:val="12"/>
        <w:keepNext w:val="0"/>
        <w:keepLines w:val="0"/>
        <w:widowControl/>
        <w:suppressLineNumbers w:val="0"/>
        <w:spacing w:line="432" w:lineRule="auto"/>
        <w:rPr>
          <w:rFonts w:hint="eastAsia" w:ascii="宋体" w:hAnsi="宋体" w:eastAsia="宋体" w:cs="宋体"/>
          <w:color w:val="auto"/>
          <w:sz w:val="24"/>
          <w:szCs w:val="24"/>
          <w:u w:val="none"/>
          <w:lang w:eastAsia="zh-CN"/>
        </w:rPr>
      </w:pPr>
      <w:r>
        <w:rPr>
          <w:rFonts w:hint="eastAsia" w:ascii="宋体" w:hAnsi="宋体" w:eastAsia="宋体" w:cs="宋体"/>
          <w:color w:val="auto"/>
          <w:sz w:val="24"/>
          <w:szCs w:val="24"/>
          <w:u w:val="none"/>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4A5C3B52">
      <w:pPr>
        <w:pStyle w:val="12"/>
        <w:keepNext w:val="0"/>
        <w:keepLines w:val="0"/>
        <w:widowControl/>
        <w:suppressLineNumbers w:val="0"/>
        <w:spacing w:line="432" w:lineRule="auto"/>
        <w:rPr>
          <w:rFonts w:hint="eastAsia" w:ascii="宋体" w:hAnsi="宋体" w:eastAsia="宋体" w:cs="宋体"/>
          <w:color w:val="auto"/>
          <w:sz w:val="24"/>
          <w:szCs w:val="24"/>
          <w:u w:val="none"/>
          <w:lang w:eastAsia="zh-CN"/>
        </w:rPr>
      </w:pPr>
      <w:r>
        <w:rPr>
          <w:rFonts w:hint="eastAsia" w:ascii="宋体" w:hAnsi="宋体" w:eastAsia="宋体" w:cs="宋体"/>
          <w:color w:val="auto"/>
          <w:sz w:val="24"/>
          <w:szCs w:val="24"/>
          <w:u w:val="none"/>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00C246FD">
      <w:pPr>
        <w:pStyle w:val="12"/>
        <w:keepNext w:val="0"/>
        <w:keepLines w:val="0"/>
        <w:widowControl/>
        <w:suppressLineNumbers w:val="0"/>
        <w:spacing w:line="432" w:lineRule="auto"/>
        <w:rPr>
          <w:rFonts w:hint="eastAsia" w:ascii="宋体" w:hAnsi="宋体" w:eastAsia="宋体" w:cs="宋体"/>
          <w:color w:val="auto"/>
          <w:sz w:val="24"/>
          <w:szCs w:val="24"/>
          <w:u w:val="none"/>
          <w:lang w:eastAsia="zh-CN"/>
        </w:rPr>
      </w:pPr>
      <w:r>
        <w:rPr>
          <w:rFonts w:hint="eastAsia" w:ascii="宋体" w:hAnsi="宋体" w:eastAsia="宋体" w:cs="宋体"/>
          <w:color w:val="auto"/>
          <w:sz w:val="24"/>
          <w:szCs w:val="24"/>
          <w:u w:val="none"/>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649230E6">
      <w:pPr>
        <w:pStyle w:val="12"/>
        <w:keepNext w:val="0"/>
        <w:keepLines w:val="0"/>
        <w:widowControl/>
        <w:suppressLineNumbers w:val="0"/>
        <w:spacing w:line="432" w:lineRule="auto"/>
        <w:rPr>
          <w:rFonts w:hint="eastAsia" w:ascii="宋体" w:hAnsi="宋体" w:eastAsia="宋体" w:cs="宋体"/>
          <w:color w:val="auto"/>
          <w:sz w:val="24"/>
          <w:szCs w:val="24"/>
          <w:u w:val="none"/>
          <w:lang w:eastAsia="zh-CN"/>
        </w:rPr>
      </w:pPr>
      <w:r>
        <w:rPr>
          <w:rFonts w:hint="eastAsia" w:ascii="宋体" w:hAnsi="宋体" w:eastAsia="宋体" w:cs="宋体"/>
          <w:color w:val="auto"/>
          <w:sz w:val="24"/>
          <w:szCs w:val="24"/>
          <w:u w:val="none"/>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2FC89BB5">
      <w:pPr>
        <w:pStyle w:val="12"/>
        <w:keepNext w:val="0"/>
        <w:keepLines w:val="0"/>
        <w:widowControl/>
        <w:suppressLineNumbers w:val="0"/>
        <w:spacing w:line="432" w:lineRule="auto"/>
        <w:rPr>
          <w:rFonts w:hint="eastAsia" w:ascii="宋体" w:hAnsi="宋体" w:eastAsia="宋体" w:cs="宋体"/>
          <w:color w:val="auto"/>
          <w:sz w:val="24"/>
          <w:szCs w:val="24"/>
          <w:u w:val="none"/>
          <w:lang w:eastAsia="zh-CN"/>
        </w:rPr>
      </w:pPr>
      <w:r>
        <w:rPr>
          <w:rFonts w:hint="eastAsia" w:ascii="宋体" w:hAnsi="宋体" w:eastAsia="宋体" w:cs="宋体"/>
          <w:color w:val="auto"/>
          <w:sz w:val="24"/>
          <w:szCs w:val="24"/>
          <w:u w:val="none"/>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121802E">
      <w:pPr>
        <w:pStyle w:val="12"/>
        <w:keepNext w:val="0"/>
        <w:keepLines w:val="0"/>
        <w:widowControl/>
        <w:suppressLineNumbers w:val="0"/>
        <w:spacing w:line="432" w:lineRule="auto"/>
        <w:rPr>
          <w:rFonts w:hint="eastAsia" w:ascii="宋体" w:hAnsi="宋体" w:eastAsia="宋体" w:cs="宋体"/>
          <w:color w:val="auto"/>
          <w:sz w:val="24"/>
          <w:szCs w:val="24"/>
          <w:u w:val="none"/>
          <w:lang w:eastAsia="zh-CN"/>
        </w:rPr>
      </w:pPr>
      <w:r>
        <w:rPr>
          <w:rFonts w:hint="eastAsia" w:ascii="宋体" w:hAnsi="宋体" w:eastAsia="宋体" w:cs="宋体"/>
          <w:color w:val="auto"/>
          <w:sz w:val="24"/>
          <w:szCs w:val="24"/>
          <w:u w:val="none"/>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7ACA365">
      <w:pPr>
        <w:pStyle w:val="12"/>
        <w:keepNext w:val="0"/>
        <w:keepLines w:val="0"/>
        <w:widowControl/>
        <w:suppressLineNumbers w:val="0"/>
        <w:spacing w:line="432" w:lineRule="auto"/>
        <w:rPr>
          <w:rFonts w:hint="eastAsia" w:ascii="宋体" w:hAnsi="宋体" w:eastAsia="宋体" w:cs="宋体"/>
          <w:color w:val="auto"/>
          <w:sz w:val="24"/>
          <w:szCs w:val="24"/>
          <w:u w:val="none"/>
          <w:lang w:eastAsia="zh-CN"/>
        </w:rPr>
      </w:pPr>
      <w:r>
        <w:rPr>
          <w:rFonts w:hint="eastAsia" w:ascii="宋体" w:hAnsi="宋体" w:eastAsia="宋体" w:cs="宋体"/>
          <w:color w:val="auto"/>
          <w:sz w:val="24"/>
          <w:szCs w:val="24"/>
          <w:u w:val="none"/>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50C572F4">
      <w:pPr>
        <w:pStyle w:val="12"/>
        <w:keepNext w:val="0"/>
        <w:keepLines w:val="0"/>
        <w:widowControl/>
        <w:suppressLineNumbers w:val="0"/>
        <w:spacing w:line="432" w:lineRule="auto"/>
        <w:rPr>
          <w:rFonts w:hint="eastAsia" w:ascii="宋体" w:hAnsi="宋体" w:eastAsia="宋体" w:cs="宋体"/>
          <w:color w:val="auto"/>
          <w:sz w:val="24"/>
          <w:szCs w:val="24"/>
          <w:u w:val="none"/>
          <w:lang w:eastAsia="zh-CN"/>
        </w:rPr>
      </w:pPr>
      <w:r>
        <w:rPr>
          <w:rFonts w:hint="eastAsia" w:ascii="宋体" w:hAnsi="宋体" w:eastAsia="宋体" w:cs="宋体"/>
          <w:color w:val="auto"/>
          <w:sz w:val="24"/>
          <w:szCs w:val="24"/>
          <w:u w:val="none"/>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288A935F">
      <w:pPr>
        <w:pStyle w:val="12"/>
        <w:keepNext w:val="0"/>
        <w:keepLines w:val="0"/>
        <w:widowControl/>
        <w:suppressLineNumbers w:val="0"/>
        <w:spacing w:line="432" w:lineRule="auto"/>
        <w:rPr>
          <w:rFonts w:hint="eastAsia" w:ascii="宋体" w:hAnsi="宋体" w:eastAsia="宋体" w:cs="宋体"/>
          <w:color w:val="auto"/>
          <w:sz w:val="24"/>
          <w:szCs w:val="24"/>
          <w:u w:val="none"/>
          <w:lang w:eastAsia="zh-CN"/>
        </w:rPr>
      </w:pPr>
      <w:r>
        <w:rPr>
          <w:rFonts w:hint="eastAsia" w:ascii="宋体" w:hAnsi="宋体" w:eastAsia="宋体" w:cs="宋体"/>
          <w:color w:val="auto"/>
          <w:sz w:val="24"/>
          <w:szCs w:val="24"/>
          <w:u w:val="none"/>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4D8BCBDF">
      <w:pPr>
        <w:pStyle w:val="12"/>
        <w:keepNext w:val="0"/>
        <w:keepLines w:val="0"/>
        <w:widowControl/>
        <w:suppressLineNumbers w:val="0"/>
        <w:spacing w:line="432" w:lineRule="auto"/>
        <w:rPr>
          <w:rFonts w:hint="eastAsia" w:ascii="宋体" w:hAnsi="宋体" w:eastAsia="宋体" w:cs="宋体"/>
          <w:color w:val="auto"/>
          <w:sz w:val="24"/>
          <w:szCs w:val="24"/>
          <w:u w:val="none"/>
          <w:lang w:eastAsia="zh-CN"/>
        </w:rPr>
      </w:pPr>
      <w:r>
        <w:rPr>
          <w:rFonts w:hint="eastAsia" w:ascii="宋体" w:hAnsi="宋体" w:eastAsia="宋体" w:cs="宋体"/>
          <w:color w:val="auto"/>
          <w:sz w:val="24"/>
          <w:szCs w:val="24"/>
          <w:u w:val="none"/>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6EB80809">
      <w:pPr>
        <w:pStyle w:val="12"/>
        <w:keepNext w:val="0"/>
        <w:keepLines w:val="0"/>
        <w:widowControl/>
        <w:suppressLineNumbers w:val="0"/>
        <w:spacing w:line="432" w:lineRule="auto"/>
        <w:rPr>
          <w:rFonts w:hint="eastAsia" w:ascii="宋体" w:hAnsi="宋体" w:eastAsia="宋体" w:cs="宋体"/>
          <w:color w:val="auto"/>
          <w:sz w:val="24"/>
          <w:szCs w:val="24"/>
          <w:u w:val="none"/>
          <w:lang w:eastAsia="zh-CN"/>
        </w:rPr>
      </w:pPr>
      <w:r>
        <w:rPr>
          <w:rFonts w:hint="eastAsia" w:ascii="宋体" w:hAnsi="宋体" w:eastAsia="宋体" w:cs="宋体"/>
          <w:color w:val="auto"/>
          <w:sz w:val="24"/>
          <w:szCs w:val="24"/>
          <w:u w:val="none"/>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66EDBBCA">
      <w:pPr>
        <w:pStyle w:val="12"/>
        <w:keepNext w:val="0"/>
        <w:keepLines w:val="0"/>
        <w:widowControl/>
        <w:suppressLineNumbers w:val="0"/>
        <w:spacing w:line="432" w:lineRule="auto"/>
        <w:rPr>
          <w:rFonts w:hint="eastAsia" w:ascii="宋体" w:hAnsi="宋体" w:eastAsia="宋体" w:cs="宋体"/>
          <w:color w:val="auto"/>
          <w:sz w:val="24"/>
          <w:szCs w:val="24"/>
          <w:u w:val="none"/>
          <w:lang w:eastAsia="zh-CN"/>
        </w:rPr>
      </w:pPr>
      <w:r>
        <w:rPr>
          <w:rFonts w:hint="eastAsia" w:ascii="宋体" w:hAnsi="宋体" w:eastAsia="宋体" w:cs="宋体"/>
          <w:color w:val="auto"/>
          <w:sz w:val="24"/>
          <w:szCs w:val="24"/>
          <w:u w:val="none"/>
        </w:rPr>
        <w:t>　　（十六）其他未列明行业。从业人员300人以下的为中小微型企业。其中，从业人员100人及以上的为中型企业；从业人员10人及以上的为小型企业；从业人员10人以下的为微型企业。</w:t>
      </w:r>
    </w:p>
    <w:p w14:paraId="491E8A3E">
      <w:pPr>
        <w:pStyle w:val="12"/>
        <w:keepNext w:val="0"/>
        <w:keepLines w:val="0"/>
        <w:widowControl/>
        <w:suppressLineNumbers w:val="0"/>
        <w:spacing w:line="432" w:lineRule="auto"/>
        <w:rPr>
          <w:rFonts w:hint="eastAsia" w:ascii="宋体" w:hAnsi="宋体" w:eastAsia="宋体" w:cs="宋体"/>
          <w:color w:val="auto"/>
          <w:sz w:val="24"/>
          <w:szCs w:val="24"/>
          <w:u w:val="none"/>
          <w:lang w:eastAsia="zh-CN"/>
        </w:rPr>
      </w:pPr>
      <w:r>
        <w:rPr>
          <w:rFonts w:hint="eastAsia" w:ascii="宋体" w:hAnsi="宋体" w:eastAsia="宋体" w:cs="宋体"/>
          <w:color w:val="auto"/>
          <w:sz w:val="24"/>
          <w:szCs w:val="24"/>
          <w:u w:val="none"/>
        </w:rPr>
        <w:t>　　五、企业类型的划分以统计部门的统计数据为依据。</w:t>
      </w:r>
    </w:p>
    <w:p w14:paraId="227E584C">
      <w:pPr>
        <w:pStyle w:val="12"/>
        <w:keepNext w:val="0"/>
        <w:keepLines w:val="0"/>
        <w:widowControl/>
        <w:suppressLineNumbers w:val="0"/>
        <w:spacing w:line="432" w:lineRule="auto"/>
        <w:rPr>
          <w:rFonts w:hint="eastAsia" w:ascii="宋体" w:hAnsi="宋体" w:eastAsia="宋体" w:cs="宋体"/>
          <w:color w:val="auto"/>
          <w:sz w:val="24"/>
          <w:szCs w:val="24"/>
          <w:u w:val="none"/>
          <w:lang w:eastAsia="zh-CN"/>
        </w:rPr>
      </w:pPr>
      <w:r>
        <w:rPr>
          <w:rFonts w:hint="eastAsia" w:ascii="宋体" w:hAnsi="宋体" w:eastAsia="宋体" w:cs="宋体"/>
          <w:color w:val="auto"/>
          <w:sz w:val="24"/>
          <w:szCs w:val="24"/>
          <w:u w:val="none"/>
        </w:rPr>
        <w:t>　　六、本规定适用于在中华人民共和国境内依法设立的各类所有制和各种组织形式的企业。个体工商户和本规定以外的行业，参照本规定进行划型。</w:t>
      </w:r>
    </w:p>
    <w:p w14:paraId="4771D7C1">
      <w:pPr>
        <w:pStyle w:val="12"/>
        <w:keepNext w:val="0"/>
        <w:keepLines w:val="0"/>
        <w:widowControl/>
        <w:suppressLineNumbers w:val="0"/>
        <w:spacing w:line="432" w:lineRule="auto"/>
        <w:rPr>
          <w:rFonts w:hint="eastAsia" w:ascii="宋体" w:hAnsi="宋体" w:eastAsia="宋体" w:cs="宋体"/>
          <w:color w:val="auto"/>
          <w:sz w:val="24"/>
          <w:szCs w:val="24"/>
          <w:u w:val="none"/>
          <w:lang w:eastAsia="zh-CN"/>
        </w:rPr>
      </w:pPr>
      <w:r>
        <w:rPr>
          <w:rFonts w:hint="eastAsia" w:ascii="宋体" w:hAnsi="宋体" w:eastAsia="宋体" w:cs="宋体"/>
          <w:color w:val="auto"/>
          <w:sz w:val="24"/>
          <w:szCs w:val="24"/>
          <w:u w:val="none"/>
        </w:rPr>
        <w:t>　　七、本规定的中型企业标准上限即为大型企业标准的下限，国家统计部门据此制定大中小微型企业的统计分类。国务院有关部门据此进行相关数据分析，不得制定与本规定不一致的企业划型标准。</w:t>
      </w:r>
    </w:p>
    <w:p w14:paraId="5122E139">
      <w:pPr>
        <w:pStyle w:val="12"/>
        <w:keepNext w:val="0"/>
        <w:keepLines w:val="0"/>
        <w:widowControl/>
        <w:suppressLineNumbers w:val="0"/>
        <w:spacing w:line="432" w:lineRule="auto"/>
        <w:rPr>
          <w:rFonts w:hint="eastAsia" w:ascii="宋体" w:hAnsi="宋体" w:eastAsia="宋体" w:cs="宋体"/>
          <w:color w:val="auto"/>
          <w:sz w:val="24"/>
          <w:szCs w:val="24"/>
          <w:u w:val="none"/>
          <w:lang w:eastAsia="zh-CN"/>
        </w:rPr>
      </w:pPr>
      <w:r>
        <w:rPr>
          <w:rFonts w:hint="eastAsia" w:ascii="宋体" w:hAnsi="宋体" w:eastAsia="宋体" w:cs="宋体"/>
          <w:color w:val="auto"/>
          <w:sz w:val="24"/>
          <w:szCs w:val="24"/>
          <w:u w:val="none"/>
        </w:rPr>
        <w:t>　　八、本规定由工业和信息化部、国家统计局会同有关部门根据《国民经济行业分类》修订情况和企业发展变化情况适时修订。</w:t>
      </w:r>
    </w:p>
    <w:p w14:paraId="12248CE1">
      <w:pPr>
        <w:pStyle w:val="12"/>
        <w:keepNext w:val="0"/>
        <w:keepLines w:val="0"/>
        <w:widowControl/>
        <w:suppressLineNumbers w:val="0"/>
        <w:spacing w:line="432" w:lineRule="auto"/>
        <w:rPr>
          <w:rFonts w:hint="eastAsia" w:ascii="宋体" w:hAnsi="宋体" w:eastAsia="宋体" w:cs="宋体"/>
          <w:color w:val="auto"/>
          <w:sz w:val="24"/>
          <w:szCs w:val="24"/>
          <w:u w:val="none"/>
          <w:lang w:eastAsia="zh-CN"/>
        </w:rPr>
      </w:pPr>
      <w:r>
        <w:rPr>
          <w:rFonts w:hint="eastAsia" w:ascii="宋体" w:hAnsi="宋体" w:eastAsia="宋体" w:cs="宋体"/>
          <w:color w:val="auto"/>
          <w:sz w:val="24"/>
          <w:szCs w:val="24"/>
          <w:u w:val="none"/>
        </w:rPr>
        <w:t>　　九、本规定由工业和信息化部、国家统计局会同有关部门负责解释。</w:t>
      </w:r>
    </w:p>
    <w:p w14:paraId="5995F44F">
      <w:pPr>
        <w:pStyle w:val="12"/>
        <w:keepNext w:val="0"/>
        <w:keepLines w:val="0"/>
        <w:widowControl/>
        <w:suppressLineNumbers w:val="0"/>
        <w:spacing w:line="432" w:lineRule="auto"/>
      </w:pPr>
      <w:r>
        <w:rPr>
          <w:rFonts w:hint="eastAsia" w:ascii="宋体" w:hAnsi="宋体" w:eastAsia="宋体" w:cs="宋体"/>
          <w:color w:val="auto"/>
          <w:sz w:val="24"/>
          <w:szCs w:val="24"/>
          <w:u w:val="none"/>
        </w:rPr>
        <w:t>　　十、本规定自发布之日起执行，原国家经贸委、原国家计委、财政部和国家统计局2003年颁布的《中小企业标准暂行规定》同时废止。</w:t>
      </w:r>
    </w:p>
    <w:p w14:paraId="24F25768"/>
    <w:sectPr>
      <w:footerReference r:id="rId10" w:type="default"/>
      <w:pgSz w:w="11906" w:h="16838"/>
      <w:pgMar w:top="1134" w:right="992" w:bottom="1134" w:left="1134"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等线 ( 正文 )">
    <w:altName w:val="等线"/>
    <w:panose1 w:val="00000000000000000000"/>
    <w:charset w:val="00"/>
    <w:family w:val="auto"/>
    <w:pitch w:val="default"/>
    <w:sig w:usb0="00000000" w:usb1="00000000" w:usb2="00000000" w:usb3="00000000" w:csb0="00000000"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方正小标宋简体">
    <w:altName w:val="黑体"/>
    <w:panose1 w:val="02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19C7E2">
    <w:pPr>
      <w:pStyle w:val="9"/>
      <w:framePr w:wrap="around" w:vAnchor="text" w:hAnchor="margin" w:xAlign="center" w:y="1"/>
      <w:rPr>
        <w:rStyle w:val="18"/>
        <w:b w:val="0"/>
      </w:rPr>
    </w:pPr>
    <w:r>
      <w:fldChar w:fldCharType="begin"/>
    </w:r>
    <w:r>
      <w:rPr>
        <w:rStyle w:val="18"/>
        <w:b w:val="0"/>
      </w:rPr>
      <w:instrText xml:space="preserve">PAGE  </w:instrText>
    </w:r>
    <w:r>
      <w:fldChar w:fldCharType="separate"/>
    </w:r>
    <w:r>
      <w:fldChar w:fldCharType="end"/>
    </w:r>
  </w:p>
  <w:p w14:paraId="4426A062">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8A8A80">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A695C4">
    <w:pPr>
      <w:pStyle w:val="9"/>
      <w:jc w:val="both"/>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CFF21D">
    <w:pPr>
      <w:spacing w:line="14" w:lineRule="auto"/>
      <w:rPr>
        <w:rFonts w:ascii="宋体" w:hAnsi="宋体" w:cs="宋体"/>
        <w:sz w:val="20"/>
        <w:szCs w:val="21"/>
        <w:lang w:eastAsia="en-US"/>
      </w:rPr>
    </w:pPr>
    <w:r>
      <w:rPr>
        <w:rFonts w:ascii="宋体" w:hAnsi="宋体" w:cs="宋体"/>
        <w:sz w:val="20"/>
        <w:szCs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47955"/>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4935" cy="147955"/>
                      </a:xfrm>
                      <a:prstGeom prst="rect">
                        <a:avLst/>
                      </a:prstGeom>
                      <a:noFill/>
                      <a:ln>
                        <a:noFill/>
                      </a:ln>
                      <a:effectLst/>
                    </wps:spPr>
                    <wps:txbx>
                      <w:txbxContent>
                        <w:p w14:paraId="52EE9FEE">
                          <w:pPr>
                            <w:tabs>
                              <w:tab w:val="center" w:pos="4153"/>
                              <w:tab w:val="right" w:pos="8306"/>
                            </w:tabs>
                            <w:snapToGrid w:val="0"/>
                            <w:rPr>
                              <w:rFonts w:ascii="宋体" w:hAnsi="宋体" w:cs="宋体"/>
                              <w:sz w:val="18"/>
                              <w:szCs w:val="22"/>
                            </w:rPr>
                          </w:pPr>
                          <w:r>
                            <w:rPr>
                              <w:rFonts w:hint="eastAsia" w:ascii="宋体" w:hAnsi="宋体" w:cs="宋体"/>
                              <w:sz w:val="18"/>
                              <w:szCs w:val="22"/>
                            </w:rPr>
                            <w:fldChar w:fldCharType="begin"/>
                          </w:r>
                          <w:r>
                            <w:rPr>
                              <w:rFonts w:hint="eastAsia" w:ascii="宋体" w:hAnsi="宋体" w:cs="宋体"/>
                              <w:sz w:val="18"/>
                              <w:szCs w:val="22"/>
                            </w:rPr>
                            <w:instrText xml:space="preserve"> PAGE  \* MERGEFORMAT </w:instrText>
                          </w:r>
                          <w:r>
                            <w:rPr>
                              <w:rFonts w:hint="eastAsia" w:ascii="宋体" w:hAnsi="宋体" w:cs="宋体"/>
                              <w:sz w:val="18"/>
                              <w:szCs w:val="22"/>
                            </w:rPr>
                            <w:fldChar w:fldCharType="separate"/>
                          </w:r>
                          <w:r>
                            <w:rPr>
                              <w:rFonts w:ascii="宋体" w:hAnsi="宋体" w:cs="宋体"/>
                              <w:sz w:val="18"/>
                              <w:szCs w:val="22"/>
                            </w:rPr>
                            <w:t>53</w:t>
                          </w:r>
                          <w:r>
                            <w:rPr>
                              <w:rFonts w:hint="eastAsia" w:ascii="宋体" w:hAnsi="宋体" w:cs="宋体"/>
                              <w:sz w:val="18"/>
                              <w:szCs w:val="22"/>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65pt;width:9.05pt;mso-position-horizontal:center;mso-position-horizontal-relative:margin;mso-wrap-style:none;z-index:251661312;mso-width-relative:page;mso-height-relative:page;" filled="f" stroked="f" coordsize="21600,21600" o:gfxdata="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Gulvw/RAAAAAwEAAA8AAAAAAAAAAQAgAAAAIgAA&#10;AGRycy9kb3ducmV2LnhtbFBLAQIUABQAAAAIAIdO4kDpIK+RDwIAABAEAAAOAAAAAAAAAAEAIAAA&#10;ACABAABkcnMvZTJvRG9jLnhtbFBLBQYAAAAABgAGAFkBAAChBQAAAAA=&#10;">
              <v:fill on="f" focussize="0,0"/>
              <v:stroke on="f"/>
              <v:imagedata o:title=""/>
              <o:lock v:ext="edit" aspectratio="f"/>
              <v:textbox inset="0mm,0mm,0mm,0mm" style="mso-fit-shape-to-text:t;">
                <w:txbxContent>
                  <w:p w14:paraId="52EE9FEE">
                    <w:pPr>
                      <w:tabs>
                        <w:tab w:val="center" w:pos="4153"/>
                        <w:tab w:val="right" w:pos="8306"/>
                      </w:tabs>
                      <w:snapToGrid w:val="0"/>
                      <w:rPr>
                        <w:rFonts w:ascii="宋体" w:hAnsi="宋体" w:cs="宋体"/>
                        <w:sz w:val="18"/>
                        <w:szCs w:val="22"/>
                      </w:rPr>
                    </w:pPr>
                    <w:r>
                      <w:rPr>
                        <w:rFonts w:hint="eastAsia" w:ascii="宋体" w:hAnsi="宋体" w:cs="宋体"/>
                        <w:sz w:val="18"/>
                        <w:szCs w:val="22"/>
                      </w:rPr>
                      <w:fldChar w:fldCharType="begin"/>
                    </w:r>
                    <w:r>
                      <w:rPr>
                        <w:rFonts w:hint="eastAsia" w:ascii="宋体" w:hAnsi="宋体" w:cs="宋体"/>
                        <w:sz w:val="18"/>
                        <w:szCs w:val="22"/>
                      </w:rPr>
                      <w:instrText xml:space="preserve"> PAGE  \* MERGEFORMAT </w:instrText>
                    </w:r>
                    <w:r>
                      <w:rPr>
                        <w:rFonts w:hint="eastAsia" w:ascii="宋体" w:hAnsi="宋体" w:cs="宋体"/>
                        <w:sz w:val="18"/>
                        <w:szCs w:val="22"/>
                      </w:rPr>
                      <w:fldChar w:fldCharType="separate"/>
                    </w:r>
                    <w:r>
                      <w:rPr>
                        <w:rFonts w:ascii="宋体" w:hAnsi="宋体" w:cs="宋体"/>
                        <w:sz w:val="18"/>
                        <w:szCs w:val="22"/>
                      </w:rPr>
                      <w:t>53</w:t>
                    </w:r>
                    <w:r>
                      <w:rPr>
                        <w:rFonts w:hint="eastAsia" w:ascii="宋体" w:hAnsi="宋体" w:cs="宋体"/>
                        <w:sz w:val="18"/>
                        <w:szCs w:val="22"/>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5F32CA">
    <w:pPr>
      <w:tabs>
        <w:tab w:val="left" w:pos="3180"/>
      </w:tabs>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3F3360">
                          <w:pPr>
                            <w:pStyle w:val="9"/>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2A3F3360">
                    <w:pPr>
                      <w:pStyle w:val="9"/>
                    </w:pPr>
                    <w:r>
                      <w:fldChar w:fldCharType="begin"/>
                    </w:r>
                    <w:r>
                      <w:instrText xml:space="preserve"> PAGE  \* MERGEFORMAT </w:instrText>
                    </w:r>
                    <w:r>
                      <w:fldChar w:fldCharType="separate"/>
                    </w:r>
                    <w:r>
                      <w:t>9</w:t>
                    </w:r>
                    <w:r>
                      <w:fldChar w:fldCharType="end"/>
                    </w: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1130300</wp:posOffset>
              </wp:positionH>
              <wp:positionV relativeFrom="page">
                <wp:posOffset>9627235</wp:posOffset>
              </wp:positionV>
              <wp:extent cx="4748530" cy="305435"/>
              <wp:effectExtent l="0" t="0" r="0" b="0"/>
              <wp:wrapNone/>
              <wp:docPr id="3" name="文本框 3"/>
              <wp:cNvGraphicFramePr/>
              <a:graphic xmlns:a="http://schemas.openxmlformats.org/drawingml/2006/main">
                <a:graphicData uri="http://schemas.microsoft.com/office/word/2010/wordprocessingShape">
                  <wps:wsp>
                    <wps:cNvSpPr txBox="1"/>
                    <wps:spPr>
                      <a:xfrm>
                        <a:off x="0" y="0"/>
                        <a:ext cx="4748530" cy="305435"/>
                      </a:xfrm>
                      <a:prstGeom prst="rect">
                        <a:avLst/>
                      </a:prstGeom>
                      <a:noFill/>
                      <a:ln>
                        <a:noFill/>
                      </a:ln>
                    </wps:spPr>
                    <wps:txbx>
                      <w:txbxContent>
                        <w:p w14:paraId="34D49280">
                          <w:pPr>
                            <w:spacing w:before="5"/>
                            <w:ind w:left="20"/>
                            <w:jc w:val="left"/>
                            <w:rPr>
                              <w:rFonts w:ascii="宋体"/>
                              <w:sz w:val="18"/>
                            </w:rPr>
                          </w:pPr>
                        </w:p>
                        <w:p w14:paraId="1B206044">
                          <w:pPr>
                            <w:spacing w:before="8"/>
                            <w:ind w:left="866"/>
                            <w:jc w:val="center"/>
                            <w:rPr>
                              <w:rFonts w:ascii="Calibri"/>
                              <w:sz w:val="18"/>
                            </w:rPr>
                          </w:pPr>
                        </w:p>
                      </w:txbxContent>
                    </wps:txbx>
                    <wps:bodyPr lIns="0" tIns="0" rIns="0" bIns="0" upright="1"/>
                  </wps:wsp>
                </a:graphicData>
              </a:graphic>
            </wp:anchor>
          </w:drawing>
        </mc:Choice>
        <mc:Fallback>
          <w:pict>
            <v:shape id="_x0000_s1026" o:spid="_x0000_s1026" o:spt="202" type="#_x0000_t202" style="position:absolute;left:0pt;margin-left:89pt;margin-top:758.05pt;height:24.05pt;width:373.9pt;mso-position-horizontal-relative:page;mso-position-vertical-relative:page;z-index:-251657216;mso-width-relative:page;mso-height-relative:page;" filled="f" stroked="f" coordsize="21600,21600" o:gfxdata="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Ej5qhXaAAAADQEAAA8AAAAAAAAAAQAgAAAAIgAAAGRycy9kb3ducmV2LnhtbFBL&#10;AQIUABQAAAAIAIdO4kD9HVG0uwEAAHIDAAAOAAAAAAAAAAEAIAAAACkBAABkcnMvZTJvRG9jLnht&#10;bFBLBQYAAAAABgAGAFkBAABWBQAAAAA=&#10;">
              <v:fill on="f" focussize="0,0"/>
              <v:stroke on="f"/>
              <v:imagedata o:title=""/>
              <o:lock v:ext="edit" aspectratio="f"/>
              <v:textbox inset="0mm,0mm,0mm,0mm">
                <w:txbxContent>
                  <w:p w14:paraId="34D49280">
                    <w:pPr>
                      <w:spacing w:before="5"/>
                      <w:ind w:left="20"/>
                      <w:jc w:val="left"/>
                      <w:rPr>
                        <w:rFonts w:ascii="宋体"/>
                        <w:sz w:val="18"/>
                      </w:rPr>
                    </w:pPr>
                  </w:p>
                  <w:p w14:paraId="1B206044">
                    <w:pPr>
                      <w:spacing w:before="8"/>
                      <w:ind w:left="866"/>
                      <w:jc w:val="center"/>
                      <w:rPr>
                        <w:rFonts w:ascii="Calibri"/>
                        <w:sz w:val="1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2B0479">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9D8AB8">
    <w:pPr>
      <w:pStyle w:val="10"/>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03B1ED">
    <w:pPr>
      <w:pStyle w:val="1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8E133C"/>
    <w:multiLevelType w:val="singleLevel"/>
    <w:tmpl w:val="A28E133C"/>
    <w:lvl w:ilvl="0" w:tentative="0">
      <w:start w:val="7"/>
      <w:numFmt w:val="chineseCounting"/>
      <w:suff w:val="space"/>
      <w:lvlText w:val="第%1章"/>
      <w:lvlJc w:val="left"/>
      <w:rPr>
        <w:rFonts w:hint="eastAsia"/>
      </w:rPr>
    </w:lvl>
  </w:abstractNum>
  <w:abstractNum w:abstractNumId="1">
    <w:nsid w:val="B080FBCC"/>
    <w:multiLevelType w:val="singleLevel"/>
    <w:tmpl w:val="B080FBCC"/>
    <w:lvl w:ilvl="0" w:tentative="0">
      <w:start w:val="1"/>
      <w:numFmt w:val="decimal"/>
      <w:suff w:val="nothing"/>
      <w:lvlText w:val="（%1）"/>
      <w:lvlJc w:val="left"/>
    </w:lvl>
  </w:abstractNum>
  <w:abstractNum w:abstractNumId="2">
    <w:nsid w:val="CE06F564"/>
    <w:multiLevelType w:val="singleLevel"/>
    <w:tmpl w:val="CE06F564"/>
    <w:lvl w:ilvl="0" w:tentative="0">
      <w:start w:val="3"/>
      <w:numFmt w:val="chineseCounting"/>
      <w:suff w:val="space"/>
      <w:lvlText w:val="第%1章"/>
      <w:lvlJc w:val="left"/>
      <w:rPr>
        <w:rFonts w:hint="eastAsia"/>
      </w:rPr>
    </w:lvl>
  </w:abstractNum>
  <w:abstractNum w:abstractNumId="3">
    <w:nsid w:val="00000001"/>
    <w:multiLevelType w:val="singleLevel"/>
    <w:tmpl w:val="00000001"/>
    <w:lvl w:ilvl="0" w:tentative="0">
      <w:start w:val="1"/>
      <w:numFmt w:val="decimal"/>
      <w:suff w:val="nothing"/>
      <w:lvlText w:val="（%1）"/>
      <w:lvlJc w:val="left"/>
    </w:lvl>
  </w:abstractNum>
  <w:abstractNum w:abstractNumId="4">
    <w:nsid w:val="00000008"/>
    <w:multiLevelType w:val="multilevel"/>
    <w:tmpl w:val="00000008"/>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0364F2A"/>
    <w:multiLevelType w:val="multilevel"/>
    <w:tmpl w:val="00364F2A"/>
    <w:lvl w:ilvl="0" w:tentative="0">
      <w:start w:val="1"/>
      <w:numFmt w:val="decimal"/>
      <w:lvlText w:val="%1)"/>
      <w:lvlJc w:val="left"/>
      <w:pPr>
        <w:tabs>
          <w:tab w:val="left" w:pos="851"/>
        </w:tabs>
        <w:ind w:left="851" w:hanging="454"/>
      </w:pPr>
      <w:rPr>
        <w:rFonts w:hint="eastAsia"/>
      </w:rPr>
    </w:lvl>
    <w:lvl w:ilvl="1" w:tentative="0">
      <w:start w:val="9"/>
      <w:numFmt w:val="decimal"/>
      <w:lvlText w:val="%2）"/>
      <w:lvlJc w:val="left"/>
      <w:pPr>
        <w:tabs>
          <w:tab w:val="left" w:pos="885"/>
        </w:tabs>
        <w:ind w:left="885" w:hanging="360"/>
      </w:pPr>
      <w:rPr>
        <w:rFonts w:hint="default" w:ascii="宋体" w:hAnsi="宋体" w:eastAsia="宋体"/>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5AD450A8"/>
    <w:multiLevelType w:val="singleLevel"/>
    <w:tmpl w:val="5AD450A8"/>
    <w:lvl w:ilvl="0" w:tentative="0">
      <w:start w:val="2"/>
      <w:numFmt w:val="decimal"/>
      <w:suff w:val="space"/>
      <w:lvlText w:val="%1."/>
      <w:lvlJc w:val="left"/>
    </w:lvl>
  </w:abstractNum>
  <w:abstractNum w:abstractNumId="7">
    <w:nsid w:val="5AD45148"/>
    <w:multiLevelType w:val="singleLevel"/>
    <w:tmpl w:val="5AD45148"/>
    <w:lvl w:ilvl="0" w:tentative="0">
      <w:start w:val="4"/>
      <w:numFmt w:val="decimal"/>
      <w:suff w:val="nothing"/>
      <w:lvlText w:val="%1．"/>
      <w:lvlJc w:val="left"/>
    </w:lvl>
  </w:abstractNum>
  <w:abstractNum w:abstractNumId="8">
    <w:nsid w:val="7429E059"/>
    <w:multiLevelType w:val="singleLevel"/>
    <w:tmpl w:val="7429E059"/>
    <w:lvl w:ilvl="0" w:tentative="0">
      <w:start w:val="1"/>
      <w:numFmt w:val="chineseCounting"/>
      <w:suff w:val="nothing"/>
      <w:lvlText w:val="%1、"/>
      <w:lvlJc w:val="left"/>
      <w:rPr>
        <w:rFonts w:hint="eastAsia"/>
      </w:rPr>
    </w:lvl>
  </w:abstractNum>
  <w:num w:numId="1">
    <w:abstractNumId w:val="2"/>
  </w:num>
  <w:num w:numId="2">
    <w:abstractNumId w:val="3"/>
  </w:num>
  <w:num w:numId="3">
    <w:abstractNumId w:val="8"/>
  </w:num>
  <w:num w:numId="4">
    <w:abstractNumId w:val="1"/>
  </w:num>
  <w:num w:numId="5">
    <w:abstractNumId w:val="6"/>
  </w:num>
  <w:num w:numId="6">
    <w:abstractNumId w:val="7"/>
  </w:num>
  <w:num w:numId="7">
    <w:abstractNumId w:val="5"/>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1639C5"/>
    <w:rsid w:val="131639C5"/>
    <w:rsid w:val="30F444DE"/>
    <w:rsid w:val="39B21C87"/>
    <w:rsid w:val="63E17D6C"/>
    <w:rsid w:val="6C3809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iPriority="99"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Cambria" w:hAnsi="Cambria"/>
      <w:b/>
      <w:bCs/>
      <w:sz w:val="32"/>
      <w:szCs w:val="32"/>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4">
    <w:name w:val="index 8"/>
    <w:basedOn w:val="1"/>
    <w:next w:val="1"/>
    <w:unhideWhenUsed/>
    <w:qFormat/>
    <w:uiPriority w:val="99"/>
    <w:pPr>
      <w:ind w:left="1400" w:leftChars="1400"/>
    </w:pPr>
  </w:style>
  <w:style w:type="paragraph" w:styleId="5">
    <w:name w:val="Body Text"/>
    <w:basedOn w:val="1"/>
    <w:qFormat/>
    <w:uiPriority w:val="0"/>
    <w:pPr>
      <w:spacing w:after="120"/>
    </w:pPr>
  </w:style>
  <w:style w:type="paragraph" w:styleId="6">
    <w:name w:val="Body Text Indent"/>
    <w:basedOn w:val="1"/>
    <w:qFormat/>
    <w:uiPriority w:val="0"/>
    <w:pPr>
      <w:spacing w:after="120"/>
      <w:ind w:left="420" w:leftChars="200"/>
    </w:pPr>
  </w:style>
  <w:style w:type="paragraph" w:styleId="7">
    <w:name w:val="Plain Text"/>
    <w:basedOn w:val="1"/>
    <w:qFormat/>
    <w:uiPriority w:val="0"/>
    <w:rPr>
      <w:rFonts w:ascii="宋体" w:hAnsi="Courier New"/>
      <w:szCs w:val="20"/>
    </w:rPr>
  </w:style>
  <w:style w:type="paragraph" w:styleId="8">
    <w:name w:val="Date"/>
    <w:basedOn w:val="1"/>
    <w:next w:val="1"/>
    <w:qFormat/>
    <w:uiPriority w:val="0"/>
    <w:pPr>
      <w:ind w:left="100" w:leftChars="2500"/>
    </w:pPr>
  </w:style>
  <w:style w:type="paragraph" w:styleId="9">
    <w:name w:val="footer"/>
    <w:basedOn w:val="1"/>
    <w:qFormat/>
    <w:uiPriority w:val="99"/>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pPr>
      <w:spacing w:before="120" w:after="120"/>
      <w:jc w:val="left"/>
    </w:pPr>
    <w:rPr>
      <w:rFonts w:ascii="Calibri" w:hAnsi="Calibri" w:cs="Calibri"/>
      <w:b/>
      <w:bCs/>
      <w:caps/>
      <w:sz w:val="20"/>
      <w:szCs w:val="20"/>
    </w:rPr>
  </w:style>
  <w:style w:type="paragraph" w:styleId="12">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3">
    <w:name w:val="Body Text First Indent"/>
    <w:basedOn w:val="5"/>
    <w:qFormat/>
    <w:uiPriority w:val="0"/>
    <w:pPr>
      <w:ind w:firstLine="420"/>
    </w:pPr>
    <w:rPr>
      <w:rFonts w:ascii="仿宋_GB2312" w:hAnsi="宋体"/>
      <w:snapToGrid w:val="0"/>
      <w:sz w:val="30"/>
    </w:rPr>
  </w:style>
  <w:style w:type="paragraph" w:styleId="14">
    <w:name w:val="Body Text First Indent 2"/>
    <w:basedOn w:val="6"/>
    <w:qFormat/>
    <w:uiPriority w:val="0"/>
    <w:pPr>
      <w:ind w:firstLine="420" w:firstLineChars="200"/>
    </w:pPr>
  </w:style>
  <w:style w:type="character" w:styleId="17">
    <w:name w:val="Strong"/>
    <w:basedOn w:val="16"/>
    <w:qFormat/>
    <w:uiPriority w:val="0"/>
    <w:rPr>
      <w:b/>
      <w:bCs/>
    </w:rPr>
  </w:style>
  <w:style w:type="character" w:styleId="18">
    <w:name w:val="page number"/>
    <w:basedOn w:val="16"/>
    <w:qFormat/>
    <w:uiPriority w:val="0"/>
  </w:style>
  <w:style w:type="paragraph" w:customStyle="1" w:styleId="19">
    <w:name w:val="_Style 5"/>
    <w:qFormat/>
    <w:uiPriority w:val="1"/>
    <w:rPr>
      <w:rFonts w:ascii="Times New Roman" w:hAnsi="Times New Roman" w:eastAsia="宋体" w:cs="Times New Roman"/>
      <w:sz w:val="22"/>
      <w:szCs w:val="22"/>
      <w:lang w:val="en-US" w:eastAsia="zh-CN" w:bidi="ar-SA"/>
    </w:rPr>
  </w:style>
  <w:style w:type="paragraph" w:customStyle="1" w:styleId="20">
    <w:name w:val="样式2"/>
    <w:basedOn w:val="1"/>
    <w:qFormat/>
    <w:uiPriority w:val="0"/>
    <w:rPr>
      <w:rFonts w:ascii="仿宋_GB2312" w:eastAsia="仿宋_GB2312"/>
      <w:sz w:val="32"/>
      <w:szCs w:val="20"/>
    </w:rPr>
  </w:style>
  <w:style w:type="paragraph" w:styleId="21">
    <w:name w:val="No Spacing"/>
    <w:qFormat/>
    <w:uiPriority w:val="1"/>
    <w:pPr>
      <w:widowControl w:val="0"/>
      <w:jc w:val="both"/>
    </w:pPr>
    <w:rPr>
      <w:rFonts w:ascii="Times New Roman" w:hAnsi="Times New Roman" w:eastAsia="宋体" w:cs="Times New Roman"/>
      <w:kern w:val="2"/>
      <w:sz w:val="21"/>
      <w:szCs w:val="21"/>
      <w:lang w:val="en-US" w:eastAsia="zh-CN" w:bidi="ar-SA"/>
    </w:rPr>
  </w:style>
  <w:style w:type="paragraph" w:customStyle="1" w:styleId="22">
    <w:name w:val="Normal_0"/>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23">
    <w:name w:val="font11"/>
    <w:basedOn w:val="16"/>
    <w:qFormat/>
    <w:uiPriority w:val="0"/>
    <w:rPr>
      <w:rFonts w:hint="eastAsia" w:ascii="等线" w:hAnsi="等线" w:eastAsia="等线" w:cs="等线"/>
      <w:color w:val="000000"/>
      <w:sz w:val="24"/>
      <w:szCs w:val="24"/>
      <w:u w:val="none"/>
    </w:rPr>
  </w:style>
  <w:style w:type="character" w:customStyle="1" w:styleId="24">
    <w:name w:val="font21"/>
    <w:basedOn w:val="16"/>
    <w:qFormat/>
    <w:uiPriority w:val="0"/>
    <w:rPr>
      <w:rFonts w:ascii="等线 ( 正文 )" w:hAnsi="等线 ( 正文 )" w:eastAsia="等线 ( 正文 )" w:cs="等线 ( 正文 )"/>
      <w:color w:val="000000"/>
      <w:sz w:val="24"/>
      <w:szCs w:val="24"/>
      <w:u w:val="none"/>
    </w:rPr>
  </w:style>
  <w:style w:type="character" w:customStyle="1" w:styleId="25">
    <w:name w:val="font01"/>
    <w:basedOn w:val="16"/>
    <w:qFormat/>
    <w:uiPriority w:val="0"/>
    <w:rPr>
      <w:rFonts w:hint="eastAsia" w:ascii="等线" w:hAnsi="等线" w:eastAsia="等线" w:cs="等线"/>
      <w:color w:val="000000"/>
      <w:sz w:val="24"/>
      <w:szCs w:val="24"/>
      <w:u w:val="none"/>
    </w:rPr>
  </w:style>
  <w:style w:type="paragraph" w:customStyle="1" w:styleId="26">
    <w:name w:val="null3"/>
    <w:qFormat/>
    <w:uiPriority w:val="0"/>
    <w:rPr>
      <w:rFonts w:hint="eastAsia" w:ascii="Calibri" w:hAnsi="Calibri" w:eastAsia="宋体" w:cs="Times New Roman"/>
      <w:lang w:val="en-US" w:eastAsia="zh-Hans"/>
    </w:rPr>
  </w:style>
  <w:style w:type="paragraph" w:customStyle="1" w:styleId="27">
    <w:name w:val="List Paragraph1"/>
    <w:basedOn w:val="1"/>
    <w:qFormat/>
    <w:uiPriority w:val="0"/>
    <w:pPr>
      <w:ind w:firstLine="420"/>
    </w:pPr>
  </w:style>
  <w:style w:type="character" w:customStyle="1" w:styleId="28">
    <w:name w:val="NormalCharacter"/>
    <w:semiHidden/>
    <w:qFormat/>
    <w:uiPriority w:val="0"/>
  </w:style>
  <w:style w:type="paragraph" w:customStyle="1" w:styleId="2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0">
    <w:name w:val="Char2 Char Char Char"/>
    <w:basedOn w:val="1"/>
    <w:qFormat/>
    <w:uiPriority w:val="0"/>
    <w:pPr>
      <w:spacing w:after="160" w:line="240" w:lineRule="exact"/>
      <w:jc w:val="left"/>
    </w:pPr>
    <w:rPr>
      <w:kern w:val="2"/>
      <w:sz w:val="21"/>
      <w:szCs w:val="24"/>
    </w:rPr>
  </w:style>
  <w:style w:type="paragraph" w:customStyle="1" w:styleId="31">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32">
    <w:name w:val="Normal Indent1"/>
    <w:qFormat/>
    <w:uiPriority w:val="0"/>
    <w:pPr>
      <w:spacing w:after="160" w:afterLines="50" w:line="360" w:lineRule="auto"/>
      <w:ind w:firstLine="420" w:firstLineChars="200"/>
    </w:pPr>
    <w:rPr>
      <w:rFonts w:ascii="Times New Roman" w:hAnsi="Times New Roman" w:eastAsia="宋体" w:cs="Times New Roman"/>
      <w:lang w:val="en-US" w:eastAsia="zh-CN" w:bidi="ar-SA"/>
    </w:rPr>
  </w:style>
  <w:style w:type="paragraph" w:customStyle="1" w:styleId="33">
    <w:name w:val="正文（绿盟科技）"/>
    <w:qFormat/>
    <w:uiPriority w:val="0"/>
    <w:pPr>
      <w:spacing w:line="300" w:lineRule="auto"/>
    </w:pPr>
    <w:rPr>
      <w:rFonts w:ascii="Arial" w:hAnsi="Arial" w:eastAsia="宋体" w:cs="Times New Roman"/>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99</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2025-06-19T11:58:00Z</dcterms:created>
  <dc:creator>Feng</dc:creator>
  <cp:lastModifiedBy>Feng</cp:lastModifiedBy>
  <dcterms:modified xsi:type="dcterms:W3CDTF">2025-06-19T11:59:25Z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8009929573D94C428C61D0E559A690B2_11</vt:lpwstr>
  </property>
  <property fmtid="{D5CDD505-2E9C-101B-9397-08002B2CF9AE}" pid="4" name="KSOTemplateDocerSaveRecord">
    <vt:lpwstr>eyJoZGlkIjoiYzFkMTRhNmQwZjQyMzA4MWViYjA0OTBlZWI1YjE2ODEiLCJ1c2VySWQiOiIyNjkxMzk3MjUifQ==</vt:lpwstr>
  </property>
</Properties>
</file>