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15A67">
      <w:pPr>
        <w:pStyle w:val="21"/>
        <w:bidi w:val="0"/>
        <w:rPr>
          <w:rFonts w:hint="eastAsia"/>
        </w:rPr>
      </w:pPr>
    </w:p>
    <w:p w14:paraId="59852D86">
      <w:pPr>
        <w:pStyle w:val="21"/>
        <w:ind w:left="0" w:leftChars="0" w:firstLine="0" w:firstLineChars="0"/>
        <w:outlineLvl w:val="9"/>
        <w:rPr>
          <w:rFonts w:hint="eastAsia" w:ascii="宋体" w:hAnsi="宋体" w:eastAsia="宋体" w:cs="宋体"/>
          <w:highlight w:val="none"/>
        </w:rPr>
      </w:pPr>
    </w:p>
    <w:p w14:paraId="4044B695">
      <w:pPr>
        <w:ind w:left="4337" w:hanging="3614" w:hangingChars="600"/>
        <w:jc w:val="center"/>
        <w:outlineLvl w:val="9"/>
        <w:rPr>
          <w:rFonts w:hint="eastAsia" w:ascii="宋体" w:hAnsi="宋体" w:cs="宋体"/>
          <w:b/>
          <w:bCs w:val="0"/>
          <w:sz w:val="60"/>
          <w:szCs w:val="60"/>
          <w:highlight w:val="none"/>
          <w:lang w:eastAsia="zh-CN"/>
        </w:rPr>
      </w:pPr>
    </w:p>
    <w:p w14:paraId="6E7F1F23">
      <w:pPr>
        <w:ind w:left="4337" w:hanging="3614" w:hangingChars="600"/>
        <w:jc w:val="center"/>
        <w:outlineLvl w:val="9"/>
        <w:rPr>
          <w:rFonts w:hint="eastAsia" w:ascii="宋体" w:hAnsi="宋体" w:eastAsia="宋体" w:cs="宋体"/>
          <w:b/>
          <w:bCs/>
          <w:sz w:val="52"/>
          <w:szCs w:val="52"/>
          <w:highlight w:val="none"/>
          <w:lang w:val="en-US" w:eastAsia="zh-CN"/>
        </w:rPr>
      </w:pPr>
      <w:r>
        <w:rPr>
          <w:rFonts w:hint="eastAsia" w:ascii="宋体" w:hAnsi="宋体" w:cs="宋体"/>
          <w:b/>
          <w:bCs w:val="0"/>
          <w:sz w:val="60"/>
          <w:szCs w:val="60"/>
          <w:highlight w:val="none"/>
          <w:lang w:eastAsia="zh-CN"/>
        </w:rPr>
        <w:t>德惠市人民医院自助终端平台项目</w:t>
      </w:r>
    </w:p>
    <w:p w14:paraId="4D19CA28">
      <w:pPr>
        <w:pStyle w:val="21"/>
        <w:outlineLvl w:val="9"/>
        <w:rPr>
          <w:rFonts w:hint="eastAsia" w:ascii="宋体" w:hAnsi="宋体" w:eastAsia="宋体" w:cs="宋体"/>
          <w:highlight w:val="none"/>
          <w:lang w:val="en-US" w:eastAsia="zh-CN"/>
        </w:rPr>
      </w:pPr>
    </w:p>
    <w:p w14:paraId="5B3AF7DB">
      <w:pPr>
        <w:ind w:left="4337" w:hanging="3132" w:hangingChars="600"/>
        <w:jc w:val="center"/>
        <w:outlineLvl w:val="9"/>
        <w:rPr>
          <w:rFonts w:hint="eastAsia" w:ascii="宋体" w:hAnsi="宋体" w:eastAsia="宋体" w:cs="宋体"/>
          <w:b/>
          <w:bCs/>
          <w:sz w:val="52"/>
          <w:szCs w:val="52"/>
          <w:highlight w:val="none"/>
        </w:rPr>
      </w:pPr>
    </w:p>
    <w:p w14:paraId="0D63526D">
      <w:pPr>
        <w:ind w:left="4337" w:hanging="3132" w:hangingChars="600"/>
        <w:jc w:val="center"/>
        <w:outlineLvl w:val="9"/>
        <w:rPr>
          <w:rFonts w:hint="eastAsia" w:ascii="宋体" w:hAnsi="宋体" w:eastAsia="宋体" w:cs="宋体"/>
          <w:b/>
          <w:bCs/>
          <w:sz w:val="52"/>
          <w:szCs w:val="52"/>
          <w:highlight w:val="none"/>
        </w:rPr>
      </w:pPr>
    </w:p>
    <w:p w14:paraId="2CBEF23C">
      <w:pPr>
        <w:ind w:left="4337" w:hanging="3132" w:hangingChars="600"/>
        <w:jc w:val="center"/>
        <w:outlineLvl w:val="9"/>
        <w:rPr>
          <w:rFonts w:hint="eastAsia" w:ascii="宋体" w:hAnsi="宋体" w:eastAsia="宋体" w:cs="宋体"/>
          <w:b/>
          <w:bCs/>
          <w:sz w:val="52"/>
          <w:szCs w:val="52"/>
          <w:highlight w:val="none"/>
        </w:rPr>
      </w:pPr>
    </w:p>
    <w:p w14:paraId="6CF16B98">
      <w:pPr>
        <w:ind w:left="4337" w:hanging="4337" w:hangingChars="600"/>
        <w:jc w:val="center"/>
        <w:outlineLvl w:val="9"/>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rPr>
        <w:t>竞争性磋商文件</w:t>
      </w:r>
    </w:p>
    <w:p w14:paraId="28A47E80">
      <w:pPr>
        <w:pStyle w:val="37"/>
        <w:spacing w:line="400" w:lineRule="exact"/>
        <w:ind w:firstLine="482"/>
        <w:outlineLvl w:val="9"/>
        <w:rPr>
          <w:rFonts w:hint="eastAsia" w:ascii="宋体" w:hAnsi="宋体" w:eastAsia="宋体" w:cs="宋体"/>
          <w:b/>
          <w:sz w:val="24"/>
          <w:highlight w:val="none"/>
        </w:rPr>
      </w:pPr>
    </w:p>
    <w:p w14:paraId="576FCCDD">
      <w:pPr>
        <w:pStyle w:val="37"/>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eastAsia="zh-CN"/>
        </w:rPr>
        <w:t>项目编号：</w:t>
      </w:r>
      <w:r>
        <w:rPr>
          <w:rFonts w:hint="eastAsia" w:ascii="宋体" w:hAnsi="宋体" w:cs="宋体"/>
          <w:b/>
          <w:sz w:val="32"/>
          <w:highlight w:val="none"/>
          <w:lang w:val="en-US" w:eastAsia="zh-CN"/>
        </w:rPr>
        <w:t>采购计划-[2025]-00063号-HX-FWZB-20250502</w:t>
      </w:r>
    </w:p>
    <w:p w14:paraId="09AAA63E">
      <w:pPr>
        <w:pStyle w:val="37"/>
        <w:spacing w:line="400" w:lineRule="exact"/>
        <w:ind w:firstLine="640"/>
        <w:outlineLvl w:val="9"/>
        <w:rPr>
          <w:rFonts w:hint="eastAsia" w:ascii="宋体" w:hAnsi="宋体" w:eastAsia="宋体" w:cs="宋体"/>
          <w:sz w:val="32"/>
          <w:highlight w:val="none"/>
        </w:rPr>
      </w:pPr>
    </w:p>
    <w:p w14:paraId="6DABE3A4">
      <w:pPr>
        <w:pStyle w:val="37"/>
        <w:spacing w:line="400" w:lineRule="exact"/>
        <w:ind w:firstLine="640"/>
        <w:outlineLvl w:val="9"/>
        <w:rPr>
          <w:rFonts w:hint="eastAsia" w:ascii="宋体" w:hAnsi="宋体" w:eastAsia="宋体" w:cs="宋体"/>
          <w:sz w:val="32"/>
          <w:highlight w:val="none"/>
        </w:rPr>
      </w:pPr>
    </w:p>
    <w:p w14:paraId="1D41687D">
      <w:pPr>
        <w:pStyle w:val="37"/>
        <w:spacing w:line="400" w:lineRule="exact"/>
        <w:ind w:firstLine="640"/>
        <w:outlineLvl w:val="9"/>
        <w:rPr>
          <w:rFonts w:hint="eastAsia" w:ascii="宋体" w:hAnsi="宋体" w:eastAsia="宋体" w:cs="宋体"/>
          <w:sz w:val="32"/>
          <w:highlight w:val="none"/>
        </w:rPr>
      </w:pPr>
    </w:p>
    <w:p w14:paraId="1A1F3700">
      <w:pPr>
        <w:pStyle w:val="37"/>
        <w:spacing w:line="400" w:lineRule="exact"/>
        <w:ind w:firstLine="640"/>
        <w:outlineLvl w:val="9"/>
        <w:rPr>
          <w:rFonts w:hint="eastAsia" w:ascii="宋体" w:hAnsi="宋体" w:eastAsia="宋体" w:cs="宋体"/>
          <w:sz w:val="32"/>
          <w:highlight w:val="none"/>
        </w:rPr>
      </w:pPr>
    </w:p>
    <w:p w14:paraId="7095D777">
      <w:pPr>
        <w:pStyle w:val="37"/>
        <w:spacing w:line="400" w:lineRule="exact"/>
        <w:ind w:firstLine="640"/>
        <w:outlineLvl w:val="9"/>
        <w:rPr>
          <w:rFonts w:hint="eastAsia" w:ascii="宋体" w:hAnsi="宋体" w:eastAsia="宋体" w:cs="宋体"/>
          <w:sz w:val="32"/>
          <w:highlight w:val="none"/>
        </w:rPr>
      </w:pPr>
    </w:p>
    <w:p w14:paraId="7F4AA560">
      <w:pPr>
        <w:pStyle w:val="37"/>
        <w:spacing w:line="400" w:lineRule="exact"/>
        <w:ind w:firstLine="0" w:firstLineChars="0"/>
        <w:outlineLvl w:val="9"/>
        <w:rPr>
          <w:rFonts w:hint="eastAsia" w:ascii="宋体" w:hAnsi="宋体" w:eastAsia="宋体" w:cs="宋体"/>
          <w:sz w:val="32"/>
          <w:highlight w:val="none"/>
        </w:rPr>
      </w:pPr>
    </w:p>
    <w:p w14:paraId="719E20EE">
      <w:pPr>
        <w:pStyle w:val="37"/>
        <w:spacing w:line="400" w:lineRule="exact"/>
        <w:ind w:firstLine="0" w:firstLineChars="0"/>
        <w:outlineLvl w:val="9"/>
        <w:rPr>
          <w:rFonts w:hint="eastAsia" w:ascii="宋体" w:hAnsi="宋体" w:eastAsia="宋体" w:cs="宋体"/>
          <w:sz w:val="32"/>
          <w:highlight w:val="none"/>
        </w:rPr>
      </w:pPr>
    </w:p>
    <w:p w14:paraId="4EA62081">
      <w:pPr>
        <w:pStyle w:val="37"/>
        <w:spacing w:line="400" w:lineRule="exact"/>
        <w:ind w:firstLine="0" w:firstLineChars="0"/>
        <w:outlineLvl w:val="9"/>
        <w:rPr>
          <w:rFonts w:hint="eastAsia" w:ascii="宋体" w:hAnsi="宋体" w:eastAsia="宋体" w:cs="宋体"/>
          <w:sz w:val="32"/>
          <w:highlight w:val="none"/>
        </w:rPr>
      </w:pPr>
    </w:p>
    <w:p w14:paraId="5354B400">
      <w:pPr>
        <w:pStyle w:val="37"/>
        <w:spacing w:line="400" w:lineRule="exact"/>
        <w:ind w:firstLine="0" w:firstLineChars="0"/>
        <w:outlineLvl w:val="9"/>
        <w:rPr>
          <w:rFonts w:hint="eastAsia" w:ascii="宋体" w:hAnsi="宋体" w:eastAsia="宋体" w:cs="宋体"/>
          <w:sz w:val="32"/>
          <w:highlight w:val="none"/>
        </w:rPr>
      </w:pPr>
    </w:p>
    <w:p w14:paraId="632451FC">
      <w:pPr>
        <w:ind w:left="4337" w:hanging="1928" w:hangingChars="600"/>
        <w:jc w:val="center"/>
        <w:outlineLvl w:val="9"/>
        <w:rPr>
          <w:rFonts w:hint="eastAsia" w:ascii="宋体" w:hAnsi="宋体" w:eastAsia="宋体" w:cs="宋体"/>
          <w:b/>
          <w:bCs w:val="0"/>
          <w:sz w:val="72"/>
          <w:szCs w:val="7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德惠市人民医院</w:t>
      </w:r>
    </w:p>
    <w:p w14:paraId="086E2939">
      <w:pPr>
        <w:pStyle w:val="37"/>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吉林省惠新招标代理有限公司</w:t>
      </w:r>
    </w:p>
    <w:p w14:paraId="09796775">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五</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六</w:t>
      </w:r>
      <w:r>
        <w:rPr>
          <w:rFonts w:hint="eastAsia" w:ascii="宋体" w:hAnsi="宋体" w:eastAsia="宋体" w:cs="宋体"/>
          <w:b/>
          <w:sz w:val="30"/>
          <w:szCs w:val="30"/>
          <w:highlight w:val="none"/>
        </w:rPr>
        <w:t>月</w:t>
      </w:r>
    </w:p>
    <w:p w14:paraId="7C0E3EEA">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9884A99">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46A56996">
          <w:pPr>
            <w:pStyle w:val="14"/>
            <w:tabs>
              <w:tab w:val="right" w:leader="dot" w:pos="9638"/>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_Toc14491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第一章 </w:t>
          </w:r>
          <w:r>
            <w:rPr>
              <w:rFonts w:hint="eastAsia" w:ascii="宋体" w:hAnsi="宋体" w:eastAsia="宋体" w:cs="宋体"/>
              <w:sz w:val="28"/>
              <w:szCs w:val="28"/>
              <w:highlight w:val="none"/>
              <w:lang w:val="en-US" w:eastAsia="zh-CN"/>
            </w:rPr>
            <w:t>竞争性磋商</w:t>
          </w:r>
          <w:r>
            <w:rPr>
              <w:rFonts w:hint="eastAsia" w:ascii="宋体" w:hAnsi="宋体" w:eastAsia="宋体" w:cs="宋体"/>
              <w:sz w:val="28"/>
              <w:szCs w:val="28"/>
              <w:highlight w:val="none"/>
              <w:lang w:val="zh-CN"/>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_Toc14491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9DA03DE">
          <w:pPr>
            <w:pStyle w:val="14"/>
            <w:tabs>
              <w:tab w:val="right" w:leader="dot" w:pos="9638"/>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_Toc5274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第二章 </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须知</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fldChar w:fldCharType="end"/>
          </w:r>
        </w:p>
        <w:p w14:paraId="77C18E5E">
          <w:pPr>
            <w:pStyle w:val="14"/>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_Toc23467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第三章 评标办法</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3</w:t>
          </w:r>
        </w:p>
        <w:p w14:paraId="3D6A53F3">
          <w:pPr>
            <w:pStyle w:val="14"/>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_Toc3820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第四章 合同条款及格式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8</w:t>
          </w:r>
        </w:p>
        <w:p w14:paraId="7E61BC4C">
          <w:pPr>
            <w:pStyle w:val="14"/>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_Toc726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w:t>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lang w:val="zh-CN"/>
            </w:rPr>
            <w:t xml:space="preserve">章 </w:t>
          </w:r>
          <w:r>
            <w:rPr>
              <w:rFonts w:hint="eastAsia" w:ascii="宋体" w:hAnsi="宋体" w:cs="宋体"/>
              <w:bCs/>
              <w:sz w:val="28"/>
              <w:szCs w:val="28"/>
              <w:highlight w:val="none"/>
              <w:lang w:val="en-US" w:eastAsia="zh-CN"/>
            </w:rPr>
            <w:t>服务需求</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9</w:t>
          </w:r>
        </w:p>
        <w:p w14:paraId="02F394E6">
          <w:pPr>
            <w:pStyle w:val="14"/>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_Toc3779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lang w:val="zh-CN"/>
            </w:rPr>
            <w:t>第</w:t>
          </w:r>
          <w:r>
            <w:rPr>
              <w:rFonts w:hint="eastAsia" w:ascii="宋体" w:hAnsi="宋体" w:eastAsia="宋体" w:cs="宋体"/>
              <w:bCs w:val="0"/>
              <w:sz w:val="28"/>
              <w:szCs w:val="28"/>
              <w:highlight w:val="none"/>
              <w:lang w:val="en-US" w:eastAsia="zh-CN"/>
            </w:rPr>
            <w:t>六</w:t>
          </w:r>
          <w:r>
            <w:rPr>
              <w:rFonts w:hint="eastAsia" w:ascii="宋体" w:hAnsi="宋体" w:eastAsia="宋体" w:cs="宋体"/>
              <w:bCs w:val="0"/>
              <w:sz w:val="28"/>
              <w:szCs w:val="28"/>
              <w:highlight w:val="none"/>
              <w:lang w:val="zh-CN"/>
            </w:rPr>
            <w:t>章</w:t>
          </w:r>
          <w:r>
            <w:rPr>
              <w:rFonts w:hint="eastAsia" w:ascii="宋体" w:hAnsi="宋体" w:eastAsia="宋体" w:cs="宋体"/>
              <w:bCs w:val="0"/>
              <w:sz w:val="28"/>
              <w:szCs w:val="28"/>
              <w:highlight w:val="none"/>
              <w:lang w:val="en-US" w:eastAsia="zh-CN"/>
            </w:rPr>
            <w:t xml:space="preserve"> </w:t>
          </w:r>
          <w:r>
            <w:rPr>
              <w:rFonts w:hint="eastAsia" w:ascii="宋体" w:hAnsi="宋体" w:cs="宋体"/>
              <w:bCs/>
              <w:sz w:val="28"/>
              <w:szCs w:val="28"/>
              <w:highlight w:val="none"/>
              <w:lang w:val="zh-CN"/>
            </w:rPr>
            <w:t>响应文件</w:t>
          </w:r>
          <w:r>
            <w:rPr>
              <w:rFonts w:hint="eastAsia" w:ascii="宋体" w:hAnsi="宋体" w:eastAsia="宋体" w:cs="宋体"/>
              <w:bCs/>
              <w:sz w:val="28"/>
              <w:szCs w:val="28"/>
              <w:highlight w:val="none"/>
              <w:lang w:val="zh-CN"/>
            </w:rPr>
            <w:t>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0</w:t>
          </w:r>
        </w:p>
        <w:p w14:paraId="7151E2E6">
          <w:pPr>
            <w:outlineLvl w:val="9"/>
            <w:rPr>
              <w:rFonts w:hint="eastAsia" w:ascii="宋体" w:hAnsi="宋体" w:eastAsia="宋体" w:cs="宋体"/>
              <w:highlight w:val="none"/>
            </w:rPr>
          </w:pPr>
          <w:r>
            <w:rPr>
              <w:rFonts w:hint="eastAsia" w:ascii="宋体" w:hAnsi="宋体" w:eastAsia="宋体" w:cs="宋体"/>
              <w:sz w:val="28"/>
              <w:szCs w:val="28"/>
              <w:highlight w:val="none"/>
            </w:rPr>
            <w:fldChar w:fldCharType="end"/>
          </w:r>
        </w:p>
      </w:sdtContent>
    </w:sdt>
    <w:p w14:paraId="405FA0C4">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229BF7C2">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3E7AC6B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14491"/>
      <w:r>
        <w:rPr>
          <w:rFonts w:hint="eastAsia" w:ascii="宋体" w:hAnsi="宋体" w:eastAsia="宋体" w:cs="宋体"/>
          <w:b/>
          <w:sz w:val="32"/>
          <w:szCs w:val="28"/>
          <w:highlight w:val="none"/>
        </w:rPr>
        <w:t>第一章</w:t>
      </w:r>
      <w:bookmarkEnd w:id="0"/>
      <w:r>
        <w:rPr>
          <w:rFonts w:hint="eastAsia" w:ascii="宋体" w:hAnsi="宋体" w:eastAsia="宋体" w:cs="宋体"/>
          <w:b/>
          <w:sz w:val="32"/>
          <w:szCs w:val="28"/>
          <w:highlight w:val="none"/>
          <w:lang w:val="en-US" w:eastAsia="zh-CN"/>
        </w:rPr>
        <w:t xml:space="preserve"> 竞争性磋商</w:t>
      </w:r>
      <w:r>
        <w:rPr>
          <w:rFonts w:hint="eastAsia" w:ascii="宋体" w:hAnsi="宋体" w:eastAsia="宋体" w:cs="宋体"/>
          <w:b/>
          <w:sz w:val="32"/>
          <w:szCs w:val="28"/>
          <w:highlight w:val="none"/>
          <w:lang w:val="zh-CN"/>
        </w:rPr>
        <w:t>公告</w:t>
      </w:r>
      <w:bookmarkEnd w:id="1"/>
      <w:bookmarkEnd w:id="2"/>
    </w:p>
    <w:p w14:paraId="3C0B6CB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7F8E4DC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840" w:firstLineChars="4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）并下载竞争性磋商文件，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0EC7765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02"/>
      <w:bookmarkStart w:id="5" w:name="_Toc28359079"/>
      <w:r>
        <w:rPr>
          <w:rFonts w:hint="eastAsia" w:ascii="宋体" w:hAnsi="宋体" w:eastAsia="宋体" w:cs="宋体"/>
          <w:b/>
          <w:bCs/>
          <w:sz w:val="21"/>
          <w:szCs w:val="21"/>
          <w:highlight w:val="none"/>
        </w:rPr>
        <w:t>一、项目基本情况</w:t>
      </w:r>
      <w:bookmarkEnd w:id="4"/>
      <w:bookmarkEnd w:id="5"/>
    </w:p>
    <w:p w14:paraId="3EACAA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eastAsia="宋体" w:cs="宋体"/>
          <w:sz w:val="21"/>
          <w:szCs w:val="21"/>
          <w:highlight w:val="none"/>
          <w:lang w:val="en-US" w:eastAsia="zh-CN"/>
        </w:rPr>
        <w:t>采购计划-[2025]-00063号-HX-FWZB-20250502</w:t>
      </w:r>
      <w:r>
        <w:rPr>
          <w:rFonts w:hint="eastAsia" w:ascii="宋体" w:hAnsi="宋体" w:eastAsia="宋体" w:cs="宋体"/>
          <w:sz w:val="21"/>
          <w:szCs w:val="21"/>
          <w:highlight w:val="none"/>
          <w:lang w:eastAsia="zh-CN"/>
        </w:rPr>
        <w:t>；</w:t>
      </w:r>
    </w:p>
    <w:p w14:paraId="2155F2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r>
        <w:rPr>
          <w:rFonts w:hint="eastAsia" w:ascii="宋体" w:hAnsi="宋体" w:eastAsia="宋体" w:cs="宋体"/>
          <w:sz w:val="21"/>
          <w:szCs w:val="21"/>
          <w:highlight w:val="none"/>
        </w:rPr>
        <w:t>；</w:t>
      </w:r>
    </w:p>
    <w:p w14:paraId="2B71A1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w:t>
      </w:r>
    </w:p>
    <w:p w14:paraId="16D53C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180万元</w:t>
      </w:r>
      <w:r>
        <w:rPr>
          <w:rFonts w:hint="eastAsia" w:ascii="宋体" w:hAnsi="宋体" w:eastAsia="宋体" w:cs="宋体"/>
          <w:sz w:val="21"/>
          <w:szCs w:val="21"/>
          <w:highlight w:val="none"/>
        </w:rPr>
        <w:t>；</w:t>
      </w:r>
    </w:p>
    <w:p w14:paraId="03215A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r>
        <w:rPr>
          <w:rFonts w:hint="eastAsia" w:ascii="宋体" w:hAnsi="宋体" w:cs="宋体"/>
          <w:sz w:val="21"/>
          <w:szCs w:val="21"/>
          <w:highlight w:val="none"/>
          <w:lang w:val="en-US" w:eastAsia="zh-CN"/>
        </w:rPr>
        <w:t>（详见竞争性磋商文件服务需求）</w:t>
      </w:r>
      <w:r>
        <w:rPr>
          <w:rFonts w:hint="eastAsia" w:ascii="宋体" w:hAnsi="宋体" w:eastAsia="宋体" w:cs="宋体"/>
          <w:sz w:val="21"/>
          <w:szCs w:val="21"/>
          <w:highlight w:val="none"/>
          <w:lang w:val="en-US" w:eastAsia="zh-CN"/>
        </w:rPr>
        <w:t>；</w:t>
      </w:r>
    </w:p>
    <w:p w14:paraId="494312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自合同签订之日起至验收合格90个工作日；</w:t>
      </w:r>
    </w:p>
    <w:p w14:paraId="4AB68A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服务地点：德惠市人民医院；</w:t>
      </w:r>
    </w:p>
    <w:p w14:paraId="4BBB35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服务标准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优质服务</w:t>
      </w:r>
      <w:r>
        <w:rPr>
          <w:rFonts w:hint="eastAsia" w:ascii="宋体" w:hAnsi="宋体" w:eastAsia="宋体" w:cs="宋体"/>
          <w:sz w:val="21"/>
          <w:szCs w:val="21"/>
          <w:highlight w:val="none"/>
          <w:lang w:eastAsia="zh-CN"/>
        </w:rPr>
        <w:t>；</w:t>
      </w:r>
    </w:p>
    <w:p w14:paraId="1BDADC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259112C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08"/>
      <w:bookmarkStart w:id="7" w:name="_Toc28359085"/>
      <w:r>
        <w:rPr>
          <w:rFonts w:hint="eastAsia" w:ascii="宋体" w:hAnsi="宋体" w:eastAsia="宋体" w:cs="宋体"/>
          <w:b/>
          <w:bCs/>
          <w:sz w:val="21"/>
          <w:szCs w:val="21"/>
          <w:highlight w:val="none"/>
          <w:lang w:val="en-US" w:eastAsia="zh-CN"/>
        </w:rPr>
        <w:t>二、申请人的资格要求</w:t>
      </w:r>
    </w:p>
    <w:p w14:paraId="43E7BC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14E57E1F">
      <w:pPr>
        <w:pStyle w:val="18"/>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本项目为专门面向中小企业项目，所属行业为其他未列明行业。</w:t>
      </w:r>
    </w:p>
    <w:p w14:paraId="31B393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495631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p>
    <w:p w14:paraId="0A0670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10608E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68E2D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504399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711C30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477028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BE414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2B96B92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三、获取竞争性磋商文件：</w:t>
      </w:r>
    </w:p>
    <w:p w14:paraId="342674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日</w:t>
      </w:r>
    </w:p>
    <w:p w14:paraId="694CD9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（https://middle.zcygov.cn/v-settle-front/registry）并下载竞争性磋商文件</w:t>
      </w:r>
      <w:r>
        <w:rPr>
          <w:rFonts w:hint="eastAsia" w:ascii="宋体" w:hAnsi="宋体" w:eastAsia="宋体" w:cs="宋体"/>
          <w:sz w:val="21"/>
          <w:szCs w:val="21"/>
          <w:highlight w:val="none"/>
          <w:lang w:eastAsia="zh-CN"/>
        </w:rPr>
        <w:t>（操作路径：登录“政采云”平台-项目采购-获取磋商文件-找到本项目-点击“申请获取磋商文件”），电子响应文件制作需要基于“政采云”平台获取的竞争性磋商文件采购需求编制，</w:t>
      </w:r>
      <w:r>
        <w:rPr>
          <w:rFonts w:hint="eastAsia" w:ascii="宋体" w:hAnsi="宋体" w:eastAsia="宋体" w:cs="宋体"/>
          <w:sz w:val="21"/>
          <w:szCs w:val="21"/>
          <w:highlight w:val="none"/>
          <w:lang w:val="zh-CN" w:eastAsia="zh-CN"/>
        </w:rPr>
        <w:t>其他途径获取的竞争性磋商文件开标时一律按无效投标处理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3BB89D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0447CDB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05"/>
      <w:bookmarkStart w:id="11" w:name="_Toc28359082"/>
      <w:r>
        <w:rPr>
          <w:rFonts w:hint="eastAsia" w:ascii="宋体" w:hAnsi="宋体" w:eastAsia="宋体" w:cs="宋体"/>
          <w:b/>
          <w:bCs/>
          <w:sz w:val="21"/>
          <w:szCs w:val="21"/>
          <w:highlight w:val="none"/>
          <w:lang w:val="en-US" w:eastAsia="zh-CN"/>
        </w:rPr>
        <w:t>四、提交</w:t>
      </w:r>
      <w:bookmarkEnd w:id="10"/>
      <w:bookmarkEnd w:id="11"/>
      <w:r>
        <w:rPr>
          <w:rFonts w:hint="eastAsia" w:ascii="宋体" w:hAnsi="宋体" w:eastAsia="宋体" w:cs="宋体"/>
          <w:b/>
          <w:bCs/>
          <w:sz w:val="21"/>
          <w:szCs w:val="21"/>
          <w:highlight w:val="none"/>
          <w:lang w:val="en-US" w:eastAsia="zh-CN"/>
        </w:rPr>
        <w:t>响应文件截止时间、开标时间和地点</w:t>
      </w:r>
    </w:p>
    <w:p w14:paraId="696FD3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响应文件递交截止时间：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0C5DD3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响应文件递交地点：长春市二道区洋浦大街6999号凯利中心AB栋101开标</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en-US" w:eastAsia="zh-CN"/>
        </w:rPr>
        <w:t>室</w:t>
      </w:r>
      <w:r>
        <w:rPr>
          <w:rFonts w:hint="eastAsia" w:ascii="宋体" w:hAnsi="宋体" w:eastAsia="宋体" w:cs="宋体"/>
          <w:sz w:val="21"/>
          <w:szCs w:val="21"/>
          <w:highlight w:val="none"/>
          <w:lang w:val="zh-CN" w:eastAsia="zh-CN"/>
        </w:rPr>
        <w:t>。</w:t>
      </w:r>
    </w:p>
    <w:p w14:paraId="14C14D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2820FE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开标地点：长春市二道区洋浦大街6999号凯利中心AB栋101开标</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en-US" w:eastAsia="zh-CN"/>
        </w:rPr>
        <w:t>室</w:t>
      </w:r>
      <w:r>
        <w:rPr>
          <w:rFonts w:hint="eastAsia" w:ascii="宋体" w:hAnsi="宋体" w:eastAsia="宋体" w:cs="宋体"/>
          <w:sz w:val="21"/>
          <w:szCs w:val="21"/>
          <w:highlight w:val="none"/>
          <w:lang w:val="zh-CN" w:eastAsia="zh-CN"/>
        </w:rPr>
        <w:t>。</w:t>
      </w:r>
    </w:p>
    <w:p w14:paraId="6AFAD6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84"/>
      <w:bookmarkStart w:id="13"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14:paraId="3EF960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投标操作流程：申请人在政府采购云平台网注册入库成为正式申请人后，在平台上按《政府采购项目电子交易管理操作指南-申请人》进行投标操作。申请人须办理数字证书方可参加投标。</w:t>
      </w:r>
    </w:p>
    <w:p w14:paraId="412517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16720D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7F0F9D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2946D2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25ADA7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611E9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磋商公告发布媒介：</w:t>
      </w:r>
      <w:r>
        <w:rPr>
          <w:rFonts w:hint="eastAsia" w:ascii="宋体" w:hAnsi="宋体" w:eastAsia="宋体" w:cs="宋体"/>
          <w:sz w:val="21"/>
          <w:szCs w:val="21"/>
          <w:highlight w:val="none"/>
          <w:lang w:val="en-US" w:eastAsia="zh-CN"/>
        </w:rPr>
        <w:t>吉林省政府采购云平台（同步推送到吉林省政府采购网）、中国招标投标公共服务平台。</w:t>
      </w:r>
    </w:p>
    <w:p w14:paraId="7A424F3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七、对本次招标提出询问，请按以下方式联系。</w:t>
      </w:r>
      <w:bookmarkEnd w:id="6"/>
      <w:bookmarkEnd w:id="7"/>
    </w:p>
    <w:p w14:paraId="2489CB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6E7E94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德惠市人民医院</w:t>
      </w:r>
    </w:p>
    <w:p w14:paraId="17BF32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德惠市</w:t>
      </w:r>
      <w:r>
        <w:rPr>
          <w:rFonts w:hint="eastAsia" w:ascii="宋体" w:hAnsi="宋体" w:eastAsia="宋体" w:cs="宋体"/>
          <w:sz w:val="21"/>
          <w:szCs w:val="21"/>
          <w:highlight w:val="none"/>
          <w:lang w:val="en-US" w:eastAsia="zh-CN"/>
        </w:rPr>
        <w:t>新惠路与迎新街交汇处</w:t>
      </w:r>
    </w:p>
    <w:p w14:paraId="5B08D5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en-US" w:eastAsia="zh-CN"/>
        </w:rPr>
        <w:t>郭洋</w:t>
      </w:r>
    </w:p>
    <w:p w14:paraId="3A2EDC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电话：0431-87381087</w:t>
      </w:r>
    </w:p>
    <w:p w14:paraId="18CCDB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3E4A9B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吉林省惠新招标代理有限公司</w:t>
      </w:r>
    </w:p>
    <w:p w14:paraId="09A759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长春市高新区超强街天茂湖峯景小镇商业街M19-105</w:t>
      </w:r>
    </w:p>
    <w:p w14:paraId="6F1BD4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赵岩</w:t>
      </w:r>
    </w:p>
    <w:p w14:paraId="08A757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0431-80744744</w:t>
      </w:r>
    </w:p>
    <w:p w14:paraId="28D03B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4763EB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eastAsia="宋体" w:cs="宋体"/>
          <w:i w:val="0"/>
          <w:iCs w:val="0"/>
          <w:caps w:val="0"/>
          <w:color w:val="000000"/>
          <w:spacing w:val="0"/>
          <w:sz w:val="21"/>
          <w:szCs w:val="21"/>
        </w:rPr>
        <w:t>德惠市财政局政府采购管理工作办公室</w:t>
      </w:r>
    </w:p>
    <w:p w14:paraId="03F665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6DE99F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赵岩</w:t>
      </w:r>
    </w:p>
    <w:p w14:paraId="55E706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0431-80744744</w:t>
      </w:r>
    </w:p>
    <w:p w14:paraId="57B24437">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6244BECF">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4" w:name="_Toc5274"/>
      <w:bookmarkStart w:id="15" w:name="_Toc25349"/>
      <w:r>
        <w:rPr>
          <w:rFonts w:hint="eastAsia" w:ascii="宋体" w:hAnsi="宋体" w:eastAsia="宋体" w:cs="宋体"/>
          <w:b/>
          <w:sz w:val="32"/>
          <w:szCs w:val="28"/>
          <w:highlight w:val="none"/>
          <w:lang w:val="en-US" w:eastAsia="zh-CN"/>
        </w:rPr>
        <w:t>第二章 供应商须知</w:t>
      </w:r>
      <w:bookmarkEnd w:id="14"/>
      <w:bookmarkEnd w:id="15"/>
    </w:p>
    <w:p w14:paraId="60E6C9DE">
      <w:pPr>
        <w:pStyle w:val="37"/>
        <w:spacing w:line="360" w:lineRule="auto"/>
        <w:ind w:firstLine="0" w:firstLineChars="0"/>
        <w:jc w:val="center"/>
        <w:outlineLvl w:val="1"/>
        <w:rPr>
          <w:rFonts w:hint="eastAsia" w:ascii="宋体" w:hAnsi="宋体" w:eastAsia="宋体" w:cs="宋体"/>
          <w:b/>
          <w:sz w:val="28"/>
          <w:szCs w:val="28"/>
          <w:highlight w:val="none"/>
        </w:rPr>
      </w:pPr>
      <w:bookmarkStart w:id="16"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6"/>
    </w:p>
    <w:tbl>
      <w:tblPr>
        <w:tblStyle w:val="22"/>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0D4D7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7AC3A19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56DA8D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22546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7F6A3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ECE415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037C69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93010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德惠市人民医院</w:t>
            </w:r>
          </w:p>
          <w:p w14:paraId="71C09A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德惠市</w:t>
            </w:r>
            <w:r>
              <w:rPr>
                <w:rFonts w:hint="eastAsia" w:ascii="宋体" w:hAnsi="宋体" w:eastAsia="宋体" w:cs="宋体"/>
                <w:sz w:val="21"/>
                <w:szCs w:val="21"/>
                <w:highlight w:val="none"/>
                <w:lang w:val="en-US" w:eastAsia="zh-CN"/>
              </w:rPr>
              <w:t>新惠路与迎新街交汇处</w:t>
            </w:r>
          </w:p>
          <w:p w14:paraId="0DDC20F5">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sz w:val="21"/>
                <w:szCs w:val="21"/>
                <w:highlight w:val="none"/>
                <w:lang w:val="en-US" w:eastAsia="zh-CN"/>
              </w:rPr>
              <w:t xml:space="preserve">郭洋  </w:t>
            </w:r>
          </w:p>
          <w:p w14:paraId="6EADA2DB">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default" w:ascii="宋体" w:hAnsi="宋体" w:eastAsia="宋体" w:cs="宋体"/>
                <w:kern w:val="0"/>
                <w:sz w:val="21"/>
                <w:szCs w:val="21"/>
                <w:highlight w:val="none"/>
                <w:lang w:val="en-US"/>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0431-87381087</w:t>
            </w:r>
          </w:p>
        </w:tc>
      </w:tr>
      <w:tr w14:paraId="5D198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A268F3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BCF608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BCD47DB">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吉林省惠新招标代理有限公司</w:t>
            </w:r>
          </w:p>
          <w:p w14:paraId="47BD5A3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长春市高新区超强街天茂湖峯景小镇商业街M19-105</w:t>
            </w:r>
          </w:p>
          <w:p w14:paraId="315BDC3C">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赵岩</w:t>
            </w:r>
          </w:p>
          <w:p w14:paraId="26517BCB">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0431-80744744</w:t>
            </w:r>
          </w:p>
        </w:tc>
      </w:tr>
      <w:tr w14:paraId="5687C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2310AC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857C23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7B6916">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p>
        </w:tc>
      </w:tr>
      <w:tr w14:paraId="61D94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27134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FD2C03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85527A4">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德惠市人民医院自助终端平台</w:t>
            </w:r>
            <w:r>
              <w:rPr>
                <w:rFonts w:hint="eastAsia" w:ascii="宋体" w:hAnsi="宋体" w:cs="宋体"/>
                <w:sz w:val="21"/>
                <w:szCs w:val="21"/>
                <w:highlight w:val="none"/>
                <w:lang w:eastAsia="zh-CN"/>
              </w:rPr>
              <w:t>项目</w:t>
            </w:r>
            <w:r>
              <w:rPr>
                <w:rFonts w:hint="eastAsia" w:ascii="宋体" w:hAnsi="宋体" w:cs="宋体"/>
                <w:sz w:val="21"/>
                <w:szCs w:val="21"/>
                <w:highlight w:val="none"/>
                <w:lang w:val="en-US" w:eastAsia="zh-CN"/>
              </w:rPr>
              <w:t>（详见竞争性磋商文件服务需求）</w:t>
            </w:r>
          </w:p>
        </w:tc>
      </w:tr>
      <w:tr w14:paraId="4FAAE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1EAF32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CA0503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FD60327">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德惠市人民医院</w:t>
            </w:r>
          </w:p>
        </w:tc>
      </w:tr>
      <w:tr w14:paraId="33BC1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6ABFED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02B57C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CD52E64">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6D64A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12B804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48473B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775631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0F1BE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BED7FF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30676AF">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28A019D">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自合同签订之日起至验收合格90个工作日</w:t>
            </w:r>
          </w:p>
        </w:tc>
      </w:tr>
      <w:tr w14:paraId="58E5F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CB960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8F9D08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E8FC4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4B8A9551">
            <w:pPr>
              <w:pStyle w:val="18"/>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本项目为专门面向中小企业项目，所属行业为其他未列明行业。</w:t>
            </w:r>
          </w:p>
          <w:p w14:paraId="522BEF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9587C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p>
          <w:p w14:paraId="261C87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05D56E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E5EBF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0E80C4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79553F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41B7E3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36F95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526E9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0936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5F9402A">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6D2AA43">
            <w:pPr>
              <w:keepNext w:val="0"/>
              <w:keepLines w:val="0"/>
              <w:pageBreakBefore w:val="0"/>
              <w:kinsoku/>
              <w:wordWrap/>
              <w:topLinePunct w:val="0"/>
              <w:autoSpaceDE w:val="0"/>
              <w:autoSpaceDN w:val="0"/>
              <w:bidi w:val="0"/>
              <w:adjustRightInd w:val="0"/>
              <w:spacing w:line="360" w:lineRule="auto"/>
              <w:ind w:firstLine="0" w:firstLineChars="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1、合同签订后工程师进场，科室上线初步验收通过后，达到付款条件起30日，支付合同总金额的40%。</w:t>
            </w:r>
          </w:p>
          <w:p w14:paraId="2A63A906">
            <w:pPr>
              <w:keepNext w:val="0"/>
              <w:keepLines w:val="0"/>
              <w:pageBreakBefore w:val="0"/>
              <w:kinsoku/>
              <w:wordWrap/>
              <w:topLinePunct w:val="0"/>
              <w:autoSpaceDE w:val="0"/>
              <w:autoSpaceDN w:val="0"/>
              <w:bidi w:val="0"/>
              <w:adjustRightInd w:val="0"/>
              <w:spacing w:line="360" w:lineRule="auto"/>
              <w:ind w:firstLine="0" w:firstLineChars="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2、上线试运行6个月且正式验收合格后，达到付款条件起30日，支付合同总金额的30%。</w:t>
            </w:r>
            <w:bookmarkStart w:id="65" w:name="_GoBack"/>
            <w:bookmarkEnd w:id="65"/>
          </w:p>
          <w:p w14:paraId="750FE2DE">
            <w:pPr>
              <w:keepNext w:val="0"/>
              <w:keepLines w:val="0"/>
              <w:pageBreakBefore w:val="0"/>
              <w:kinsoku/>
              <w:wordWrap/>
              <w:topLinePunct w:val="0"/>
              <w:autoSpaceDE w:val="0"/>
              <w:autoSpaceDN w:val="0"/>
              <w:bidi w:val="0"/>
              <w:adjustRightInd w:val="0"/>
              <w:spacing w:line="360" w:lineRule="auto"/>
              <w:ind w:firstLine="0" w:firstLineChars="0"/>
              <w:jc w:val="left"/>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3、上线试运行1年后，达到付款条件起30日，支付合同总金额的27%。</w:t>
            </w:r>
          </w:p>
          <w:p w14:paraId="497E51F0">
            <w:pPr>
              <w:keepNext w:val="0"/>
              <w:keepLines w:val="0"/>
              <w:pageBreakBefore w:val="0"/>
              <w:kinsoku/>
              <w:wordWrap/>
              <w:topLinePunct w:val="0"/>
              <w:autoSpaceDE w:val="0"/>
              <w:autoSpaceDN w:val="0"/>
              <w:bidi w:val="0"/>
              <w:adjustRightInd w:val="0"/>
              <w:spacing w:line="360" w:lineRule="auto"/>
              <w:ind w:firstLine="0" w:firstLineChars="0"/>
              <w:jc w:val="left"/>
              <w:rPr>
                <w:rFonts w:hint="default" w:ascii="宋体" w:hAnsi="宋体" w:eastAsia="宋体" w:cs="宋体"/>
                <w:kern w:val="0"/>
                <w:sz w:val="21"/>
                <w:szCs w:val="21"/>
                <w:highlight w:val="none"/>
                <w:lang w:val="en-US"/>
              </w:rPr>
            </w:pPr>
            <w:r>
              <w:rPr>
                <w:rFonts w:hint="eastAsia" w:ascii="宋体" w:hAnsi="宋体" w:cs="宋体"/>
                <w:kern w:val="0"/>
                <w:sz w:val="21"/>
                <w:szCs w:val="21"/>
                <w:highlight w:val="none"/>
                <w:lang w:val="en-US" w:eastAsia="zh-CN"/>
              </w:rPr>
              <w:t>4、服务期满后，达到付款条件起30日，支付合同总金额的3%。</w:t>
            </w:r>
          </w:p>
        </w:tc>
      </w:tr>
      <w:tr w14:paraId="2D9D5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6FBAC5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2F7594D">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C041F6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优质服务</w:t>
            </w:r>
          </w:p>
        </w:tc>
      </w:tr>
      <w:tr w14:paraId="071E7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5FE782">
            <w:pPr>
              <w:keepNext w:val="0"/>
              <w:keepLines w:val="0"/>
              <w:pageBreakBefore w:val="0"/>
              <w:kinsoku/>
              <w:wordWrap/>
              <w:topLinePunct w:val="0"/>
              <w:bidi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DA3780D">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质保期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F997903">
            <w:pPr>
              <w:keepNext w:val="0"/>
              <w:keepLines w:val="0"/>
              <w:pageBreakBefore w:val="0"/>
              <w:kinsoku/>
              <w:wordWrap/>
              <w:topLinePunct w:val="0"/>
              <w:autoSpaceDE w:val="0"/>
              <w:autoSpaceDN w:val="0"/>
              <w:bidi w:val="0"/>
              <w:adjustRightInd w:val="0"/>
              <w:spacing w:line="360" w:lineRule="auto"/>
              <w:ind w:firstLine="0" w:firstLineChars="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自验收之日起，提供三年免费维保服务</w:t>
            </w:r>
          </w:p>
        </w:tc>
      </w:tr>
      <w:tr w14:paraId="57FC0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3BC47C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60B8D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p w14:paraId="5564D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C68FF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180万元</w:t>
            </w:r>
          </w:p>
          <w:p w14:paraId="72B988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新宋体" w:hAnsi="新宋体" w:eastAsia="新宋体" w:cs="新宋体"/>
                <w:color w:val="auto"/>
                <w:sz w:val="21"/>
                <w:szCs w:val="21"/>
                <w:highlight w:val="none"/>
                <w:lang w:val="en-US" w:eastAsia="zh-CN" w:bidi="ar"/>
              </w:rPr>
              <w:t>注：供应商的投标总报价不得超过预算金额控制价</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eastAsia="zh-CN"/>
              </w:rPr>
              <w:t>否则为无效报价，</w:t>
            </w:r>
            <w:r>
              <w:rPr>
                <w:rFonts w:hint="eastAsia" w:ascii="新宋体" w:hAnsi="新宋体" w:eastAsia="新宋体" w:cs="新宋体"/>
                <w:color w:val="auto"/>
                <w:sz w:val="21"/>
                <w:szCs w:val="21"/>
                <w:highlight w:val="none"/>
              </w:rPr>
              <w:t>其投标将被否决。</w:t>
            </w:r>
          </w:p>
        </w:tc>
      </w:tr>
      <w:tr w14:paraId="0A8FF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EF05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A54CE30">
            <w:pPr>
              <w:spacing w:line="36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报价的次数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5477895">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highlight w:val="none"/>
                <w:lang w:val="en-US" w:eastAsia="zh-CN"/>
              </w:rPr>
              <w:t>本项目</w:t>
            </w:r>
            <w:r>
              <w:rPr>
                <w:rFonts w:hint="eastAsia" w:ascii="宋体" w:hAnsi="宋体" w:cs="宋体"/>
                <w:sz w:val="21"/>
                <w:szCs w:val="21"/>
                <w:highlight w:val="none"/>
                <w:lang w:val="en-US" w:eastAsia="zh-CN"/>
              </w:rPr>
              <w:t>两</w:t>
            </w:r>
            <w:r>
              <w:rPr>
                <w:rFonts w:hint="eastAsia" w:ascii="宋体" w:hAnsi="宋体" w:eastAsia="宋体" w:cs="宋体"/>
                <w:sz w:val="21"/>
                <w:szCs w:val="21"/>
                <w:highlight w:val="none"/>
                <w:lang w:val="en-US" w:eastAsia="zh-CN"/>
              </w:rPr>
              <w:t>次报价含首次报价</w:t>
            </w:r>
          </w:p>
        </w:tc>
      </w:tr>
      <w:tr w14:paraId="3FEE0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18351">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57B74D">
            <w:pPr>
              <w:spacing w:line="360" w:lineRule="auto"/>
              <w:jc w:val="center"/>
              <w:rPr>
                <w:rFonts w:hint="eastAsia" w:ascii="宋体" w:hAnsi="宋体"/>
                <w:szCs w:val="21"/>
                <w:highlight w:val="none"/>
              </w:rPr>
            </w:pPr>
            <w:r>
              <w:rPr>
                <w:rFonts w:hint="eastAsia" w:ascii="宋体" w:hAnsi="宋体" w:cs="宋体"/>
                <w:szCs w:val="21"/>
                <w:highlight w:val="none"/>
              </w:rPr>
              <w:t>评审办法</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CE4AD75">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4E9D6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19754">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6571F86">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1533EC6">
            <w:pPr>
              <w:pStyle w:val="21"/>
              <w:ind w:left="0" w:leftChars="0" w:firstLine="0" w:firstLineChars="0"/>
              <w:rPr>
                <w:rFonts w:hint="default"/>
                <w:highlight w:val="none"/>
                <w:lang w:val="en-US" w:eastAsia="zh-CN"/>
              </w:rPr>
            </w:pPr>
            <w:r>
              <w:rPr>
                <w:rFonts w:hint="eastAsia" w:ascii="新宋体" w:hAnsi="新宋体" w:eastAsia="新宋体" w:cs="新宋体"/>
                <w:b w:val="0"/>
                <w:bCs/>
                <w:color w:val="auto"/>
                <w:sz w:val="21"/>
                <w:szCs w:val="21"/>
                <w:highlight w:val="none"/>
              </w:rPr>
              <w:t>一次性报</w:t>
            </w:r>
            <w:r>
              <w:rPr>
                <w:rFonts w:hint="eastAsia" w:ascii="新宋体" w:hAnsi="新宋体" w:eastAsia="新宋体" w:cs="新宋体"/>
                <w:b w:val="0"/>
                <w:bCs/>
                <w:color w:val="auto"/>
                <w:sz w:val="21"/>
                <w:szCs w:val="21"/>
                <w:highlight w:val="none"/>
                <w:lang w:val="en-US" w:eastAsia="zh-CN"/>
              </w:rPr>
              <w:t>出总</w:t>
            </w:r>
            <w:r>
              <w:rPr>
                <w:rFonts w:hint="eastAsia" w:ascii="新宋体" w:hAnsi="新宋体" w:eastAsia="新宋体" w:cs="新宋体"/>
                <w:b w:val="0"/>
                <w:bCs/>
                <w:color w:val="auto"/>
                <w:sz w:val="21"/>
                <w:szCs w:val="21"/>
                <w:highlight w:val="none"/>
              </w:rPr>
              <w:t>价</w:t>
            </w:r>
          </w:p>
        </w:tc>
      </w:tr>
      <w:tr w14:paraId="40F19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77307">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552020">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DBD238">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w:t>
            </w:r>
            <w:r>
              <w:rPr>
                <w:rFonts w:hint="eastAsia" w:ascii="宋体" w:hAnsi="宋体" w:cs="宋体"/>
                <w:color w:val="auto"/>
                <w:szCs w:val="21"/>
                <w:highlight w:val="none"/>
                <w:lang w:val="en-US" w:eastAsia="zh-CN"/>
              </w:rPr>
              <w:t>总</w:t>
            </w:r>
            <w:r>
              <w:rPr>
                <w:rFonts w:hint="default" w:ascii="宋体" w:hAnsi="宋体" w:eastAsia="宋体" w:cs="宋体"/>
                <w:color w:val="auto"/>
                <w:szCs w:val="21"/>
                <w:highlight w:val="none"/>
                <w:lang w:val="en-US" w:eastAsia="zh-CN"/>
              </w:rPr>
              <w:t>价合同</w:t>
            </w:r>
          </w:p>
        </w:tc>
      </w:tr>
      <w:tr w14:paraId="24DE3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1202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C9CAA6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踏勘现场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AD2396">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不组织，</w:t>
            </w: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自行踏勘现场</w:t>
            </w:r>
          </w:p>
        </w:tc>
      </w:tr>
      <w:tr w14:paraId="4CE75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4E2B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13358C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A626F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3C760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2DB529">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7A6F1B8">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3AEAC03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BFF4BF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304F1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1B5E21">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F1A7828">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3F81F4D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80986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608ED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BDB79">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6BF03D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B200D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35B1C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98C8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362696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竞争性磋商</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F3E926">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竞争性磋商文件的澄清</w:t>
            </w:r>
            <w:r>
              <w:rPr>
                <w:rFonts w:hint="eastAsia"/>
                <w:sz w:val="21"/>
                <w:szCs w:val="21"/>
                <w:highlight w:val="none"/>
              </w:rPr>
              <w:t>、修改书及有关补充通知为</w:t>
            </w:r>
            <w:r>
              <w:rPr>
                <w:rFonts w:hint="eastAsia"/>
                <w:sz w:val="21"/>
                <w:szCs w:val="21"/>
                <w:highlight w:val="none"/>
                <w:lang w:val="zh-CN"/>
              </w:rPr>
              <w:t>竞争性磋商文件</w:t>
            </w:r>
            <w:r>
              <w:rPr>
                <w:rFonts w:hint="eastAsia"/>
                <w:sz w:val="21"/>
                <w:szCs w:val="21"/>
                <w:highlight w:val="none"/>
              </w:rPr>
              <w:t>的有效组成部分</w:t>
            </w:r>
          </w:p>
        </w:tc>
      </w:tr>
      <w:tr w14:paraId="2F6FD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3BFED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F96CF3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6A7F7B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5A141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81E0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0BC3F8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6959B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50474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7E4F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0BD8D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A991CD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4F40E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09437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70FE82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83A8352">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C3F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7529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766572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59F15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6672F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102F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D01D55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BBB5FB0">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1029C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4A0CE2">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B0E682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42A726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0DBC6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089B10">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62A3E2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92B0129">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至今</w:t>
            </w:r>
          </w:p>
        </w:tc>
      </w:tr>
      <w:tr w14:paraId="1AA0C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694B458">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CA09AB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0A3F2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近三年202</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年至今</w:t>
            </w:r>
          </w:p>
        </w:tc>
      </w:tr>
      <w:tr w14:paraId="1644D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BDAD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834743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156D66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440C8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15BB8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B05051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7A059F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符合竞争性磋商文件要求</w:t>
            </w:r>
          </w:p>
        </w:tc>
      </w:tr>
      <w:tr w14:paraId="4FD25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7C1A3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E98CFD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DBC8E29">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695E0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8D66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6</w:t>
            </w:r>
          </w:p>
          <w:p w14:paraId="474E9C1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8A47B0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F62F8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577C5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F8893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r>
              <w:rPr>
                <w:rFonts w:hint="eastAsia" w:ascii="宋体" w:hAnsi="宋体" w:cs="宋体"/>
                <w:kern w:val="2"/>
                <w:sz w:val="21"/>
                <w:szCs w:val="21"/>
                <w:highlight w:val="none"/>
                <w:lang w:val="en-US" w:eastAsia="zh-CN" w:bidi="ar-SA"/>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30696E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2FCC23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34CA5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998" w:type="dxa"/>
            <w:tcBorders>
              <w:top w:val="single" w:color="auto" w:sz="4" w:space="0"/>
              <w:left w:val="single" w:color="auto" w:sz="4" w:space="0"/>
              <w:right w:val="single" w:color="auto" w:sz="4" w:space="0"/>
            </w:tcBorders>
            <w:shd w:val="clear" w:color="auto" w:fill="auto"/>
            <w:noWrap w:val="0"/>
            <w:vAlign w:val="center"/>
          </w:tcPr>
          <w:p w14:paraId="1F888A9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right w:val="single" w:color="auto" w:sz="4" w:space="0"/>
            </w:tcBorders>
            <w:noWrap w:val="0"/>
            <w:vAlign w:val="center"/>
          </w:tcPr>
          <w:p w14:paraId="5F2509D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5564FF4">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54124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539F09">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BBCC8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7BDC37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02E10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66F97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675832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036A9B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16</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p w14:paraId="3C3D39A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eastAsia="宋体" w:cs="宋体"/>
                <w:sz w:val="21"/>
                <w:szCs w:val="21"/>
                <w:highlight w:val="none"/>
                <w:u w:val="none"/>
                <w:lang w:eastAsia="zh-CN"/>
              </w:rPr>
              <w:t>长春市二道区洋浦大街6999号凯利中心AB栋101</w:t>
            </w:r>
            <w:r>
              <w:rPr>
                <w:rFonts w:hint="eastAsia" w:ascii="宋体" w:hAnsi="宋体" w:eastAsia="宋体" w:cs="宋体"/>
                <w:bCs/>
                <w:color w:val="auto"/>
                <w:sz w:val="21"/>
                <w:szCs w:val="21"/>
                <w:highlight w:val="none"/>
                <w:u w:val="none"/>
                <w:lang w:val="en-US" w:eastAsia="zh-CN"/>
              </w:rPr>
              <w:t>开标</w:t>
            </w:r>
            <w:r>
              <w:rPr>
                <w:rFonts w:hint="eastAsia" w:ascii="宋体" w:hAnsi="宋体" w:cs="宋体"/>
                <w:bCs/>
                <w:color w:val="auto"/>
                <w:sz w:val="21"/>
                <w:szCs w:val="21"/>
                <w:highlight w:val="none"/>
                <w:u w:val="none"/>
                <w:lang w:val="en-US" w:eastAsia="zh-CN"/>
              </w:rPr>
              <w:t>二</w:t>
            </w:r>
            <w:r>
              <w:rPr>
                <w:rFonts w:hint="eastAsia" w:ascii="宋体" w:hAnsi="宋体" w:eastAsia="宋体" w:cs="宋体"/>
                <w:bCs/>
                <w:color w:val="auto"/>
                <w:sz w:val="21"/>
                <w:szCs w:val="21"/>
                <w:highlight w:val="none"/>
                <w:u w:val="none"/>
                <w:lang w:val="en-US" w:eastAsia="zh-CN"/>
              </w:rPr>
              <w:t>室</w:t>
            </w:r>
          </w:p>
        </w:tc>
      </w:tr>
      <w:tr w14:paraId="6530E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7F3F1">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6AAFF2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磋商开标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D8FAB5F">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Cs w:val="21"/>
                <w:highlight w:val="none"/>
                <w:lang w:val="zh-CN"/>
              </w:rPr>
              <w:t>开标</w:t>
            </w:r>
            <w:r>
              <w:rPr>
                <w:rFonts w:hint="eastAsia" w:ascii="宋体" w:hAnsi="宋体" w:cs="宋体"/>
                <w:szCs w:val="21"/>
                <w:highlight w:val="none"/>
                <w:lang w:val="en-US" w:eastAsia="zh-CN"/>
              </w:rPr>
              <w:t>会以政采云平台程序为准</w:t>
            </w:r>
          </w:p>
        </w:tc>
      </w:tr>
      <w:tr w14:paraId="489BD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20A4B">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DB31AF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FCFBD1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评标委员会构成：技术、经济等方面的专家3人组成</w:t>
            </w:r>
          </w:p>
          <w:p w14:paraId="712030D5">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17830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04F570">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FA45B3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C7F0E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新宋体" w:hAnsi="新宋体" w:eastAsia="新宋体" w:cs="新宋体"/>
                <w:bCs/>
                <w:color w:val="auto"/>
                <w:sz w:val="21"/>
                <w:szCs w:val="21"/>
                <w:highlight w:val="none"/>
              </w:rPr>
              <w:t>否，推荐前三名为中标候选人</w:t>
            </w:r>
          </w:p>
        </w:tc>
      </w:tr>
      <w:tr w14:paraId="173FD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71E1679">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CB5D24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23B149">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2"/>
                <w:sz w:val="21"/>
                <w:szCs w:val="21"/>
                <w:highlight w:val="none"/>
                <w:lang w:val="en-US" w:eastAsia="zh-CN" w:bidi="ar-SA"/>
              </w:rPr>
            </w:pPr>
            <w:r>
              <w:rPr>
                <w:rFonts w:hint="eastAsia" w:ascii="新宋体" w:hAnsi="新宋体" w:eastAsia="新宋体" w:cs="新宋体"/>
                <w:color w:val="auto"/>
                <w:sz w:val="21"/>
                <w:szCs w:val="21"/>
                <w:highlight w:val="none"/>
              </w:rPr>
              <w:t>中标金额的1.</w:t>
            </w:r>
            <w:r>
              <w:rPr>
                <w:rFonts w:hint="eastAsia" w:ascii="新宋体" w:hAnsi="新宋体" w:eastAsia="新宋体" w:cs="新宋体"/>
                <w:color w:val="auto"/>
                <w:sz w:val="21"/>
                <w:szCs w:val="21"/>
                <w:highlight w:val="none"/>
                <w:lang w:val="en-US" w:eastAsia="zh-CN"/>
              </w:rPr>
              <w:t>5</w:t>
            </w:r>
            <w:r>
              <w:rPr>
                <w:rFonts w:hint="eastAsia" w:ascii="新宋体" w:hAnsi="新宋体" w:eastAsia="新宋体" w:cs="新宋体"/>
                <w:color w:val="auto"/>
                <w:sz w:val="21"/>
                <w:szCs w:val="21"/>
                <w:highlight w:val="none"/>
              </w:rPr>
              <w:t>%收取，</w:t>
            </w:r>
            <w:r>
              <w:rPr>
                <w:rFonts w:hint="eastAsia" w:ascii="新宋体" w:hAnsi="新宋体" w:eastAsia="新宋体" w:cs="新宋体"/>
                <w:color w:val="auto"/>
                <w:sz w:val="21"/>
                <w:szCs w:val="21"/>
                <w:highlight w:val="none"/>
                <w:lang w:val="en-US" w:eastAsia="zh-CN"/>
              </w:rPr>
              <w:t>由中标单位支付。</w:t>
            </w:r>
          </w:p>
        </w:tc>
      </w:tr>
      <w:tr w14:paraId="4430C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81AEA17">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410056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8D1094E">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不收取</w:t>
            </w:r>
          </w:p>
        </w:tc>
      </w:tr>
      <w:tr w14:paraId="18B92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EDA85CE">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5BCE5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E8B725B">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4E4C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D6F7A67">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F3A8A9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BCED3E8">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33FE1FF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43F7D8BC">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16CFC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535E89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5CE589F">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2600FEFD">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368B2A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政府采购支持中小企业（含监狱企业）发展：</w:t>
            </w:r>
          </w:p>
          <w:p w14:paraId="5750546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eastAsia="宋体" w:cs="宋体"/>
                <w:sz w:val="21"/>
                <w:szCs w:val="21"/>
                <w:highlight w:val="none"/>
              </w:rPr>
              <w:t>专门面向中小企业采购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所属行业为其他未列明行业</w:t>
            </w:r>
            <w:r>
              <w:rPr>
                <w:rFonts w:hint="eastAsia" w:ascii="宋体" w:hAnsi="宋体" w:eastAsia="宋体" w:cs="宋体"/>
                <w:sz w:val="21"/>
                <w:szCs w:val="21"/>
                <w:highlight w:val="none"/>
              </w:rPr>
              <w:t>。</w:t>
            </w:r>
          </w:p>
          <w:p w14:paraId="22F82FD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1DEC532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5C949DE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051D4FA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3）供应商为残疾人福利性单位的视同小型和微型企业，应当提供《残疾人福利性单位声明函》</w:t>
            </w:r>
          </w:p>
          <w:p w14:paraId="110F4F50">
            <w:pPr>
              <w:pStyle w:val="16"/>
              <w:rPr>
                <w:rFonts w:hint="eastAsia" w:eastAsia="宋体"/>
                <w:lang w:val="en-US" w:eastAsia="zh-CN"/>
              </w:rPr>
            </w:pPr>
            <w:r>
              <w:rPr>
                <w:rFonts w:hint="eastAsia" w:ascii="宋体" w:hAnsi="宋体" w:cs="宋体"/>
                <w:b/>
                <w:bCs/>
                <w:sz w:val="21"/>
                <w:szCs w:val="21"/>
                <w:highlight w:val="none"/>
                <w:lang w:eastAsia="zh-CN"/>
              </w:rPr>
              <w:t>注：本项目为专门面向中小企业招标，此条款不适用。</w:t>
            </w:r>
          </w:p>
        </w:tc>
      </w:tr>
      <w:tr w14:paraId="177B5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1335CCF2">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公告内容有不一致之处，以最新发布的</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公告内容为准。</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公告与</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文件内容有不一致之处，以</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文件内容为准。</w:t>
            </w:r>
          </w:p>
        </w:tc>
      </w:tr>
    </w:tbl>
    <w:p w14:paraId="7CA54CA5">
      <w:pPr>
        <w:outlineLvl w:val="9"/>
        <w:rPr>
          <w:rFonts w:hint="eastAsia" w:ascii="宋体" w:hAnsi="宋体" w:eastAsia="宋体" w:cs="宋体"/>
          <w:highlight w:val="none"/>
          <w:lang w:val="en-US" w:eastAsia="zh-CN"/>
        </w:rPr>
      </w:pPr>
    </w:p>
    <w:p w14:paraId="1F258386">
      <w:pPr>
        <w:rPr>
          <w:rFonts w:hint="eastAsia" w:ascii="宋体" w:hAnsi="宋体" w:eastAsia="宋体" w:cs="宋体"/>
          <w:highlight w:val="none"/>
        </w:rPr>
      </w:pPr>
      <w:r>
        <w:rPr>
          <w:rFonts w:hint="eastAsia" w:ascii="宋体" w:hAnsi="宋体" w:eastAsia="宋体" w:cs="宋体"/>
          <w:highlight w:val="none"/>
        </w:rPr>
        <w:br w:type="page"/>
      </w:r>
    </w:p>
    <w:p w14:paraId="76184521">
      <w:pPr>
        <w:pStyle w:val="3"/>
        <w:outlineLvl w:val="0"/>
        <w:rPr>
          <w:rFonts w:hint="default" w:ascii="宋体" w:hAnsi="宋体" w:eastAsia="宋体" w:cs="宋体"/>
          <w:b/>
          <w:kern w:val="2"/>
          <w:sz w:val="28"/>
          <w:szCs w:val="28"/>
          <w:highlight w:val="none"/>
          <w:lang w:val="en-US" w:eastAsia="zh-CN" w:bidi="ar-SA"/>
        </w:rPr>
      </w:pPr>
      <w:bookmarkStart w:id="17" w:name="_Toc12469"/>
      <w:bookmarkStart w:id="18" w:name="_Toc26568"/>
      <w:r>
        <w:rPr>
          <w:rFonts w:hint="eastAsia" w:ascii="宋体" w:hAnsi="宋体" w:eastAsia="宋体" w:cs="宋体"/>
          <w:b/>
          <w:kern w:val="2"/>
          <w:sz w:val="28"/>
          <w:szCs w:val="28"/>
          <w:highlight w:val="none"/>
          <w:lang w:val="en-US" w:eastAsia="zh-CN" w:bidi="ar-SA"/>
        </w:rPr>
        <w:t>供应商须知</w:t>
      </w:r>
      <w:bookmarkEnd w:id="17"/>
      <w:bookmarkEnd w:id="18"/>
      <w:r>
        <w:rPr>
          <w:rFonts w:hint="eastAsia" w:ascii="宋体" w:hAnsi="宋体" w:eastAsia="宋体" w:cs="宋体"/>
          <w:b/>
          <w:kern w:val="2"/>
          <w:sz w:val="28"/>
          <w:szCs w:val="28"/>
          <w:highlight w:val="none"/>
          <w:lang w:val="en-US" w:eastAsia="zh-CN" w:bidi="ar-SA"/>
        </w:rPr>
        <w:t>正文</w:t>
      </w:r>
    </w:p>
    <w:p w14:paraId="6B02A556">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第一部分</w:t>
      </w:r>
      <w:r>
        <w:rPr>
          <w:rFonts w:hint="eastAsia" w:ascii="宋体" w:hAnsi="宋体" w:cs="宋体"/>
          <w:b/>
          <w:szCs w:val="21"/>
          <w:highlight w:val="none"/>
          <w:lang w:eastAsia="zh-CN"/>
        </w:rPr>
        <w:t>、</w:t>
      </w:r>
      <w:r>
        <w:rPr>
          <w:rFonts w:hint="eastAsia" w:ascii="宋体" w:hAnsi="宋体" w:eastAsia="宋体" w:cs="宋体"/>
          <w:b/>
          <w:szCs w:val="21"/>
          <w:highlight w:val="none"/>
        </w:rPr>
        <w:t>磋商招标程序</w:t>
      </w:r>
    </w:p>
    <w:p w14:paraId="3E322F0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一、招标</w:t>
      </w:r>
      <w:r>
        <w:rPr>
          <w:rFonts w:hint="eastAsia" w:ascii="宋体" w:hAnsi="宋体" w:eastAsia="宋体" w:cs="宋体"/>
          <w:szCs w:val="21"/>
          <w:highlight w:val="none"/>
        </w:rPr>
        <w:t>方式</w:t>
      </w:r>
    </w:p>
    <w:p w14:paraId="0E74C12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本次</w:t>
      </w:r>
      <w:r>
        <w:rPr>
          <w:rFonts w:hint="eastAsia" w:ascii="宋体" w:hAnsi="宋体" w:cs="宋体"/>
          <w:szCs w:val="21"/>
          <w:highlight w:val="none"/>
          <w:lang w:val="en-US" w:eastAsia="zh-CN"/>
        </w:rPr>
        <w:t>采购方式为</w:t>
      </w:r>
      <w:r>
        <w:rPr>
          <w:rFonts w:hint="eastAsia" w:ascii="宋体" w:hAnsi="宋体" w:eastAsia="宋体" w:cs="宋体"/>
          <w:szCs w:val="21"/>
          <w:highlight w:val="none"/>
          <w:lang w:val="zh-CN"/>
        </w:rPr>
        <w:t>竞争性磋商</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及其委托代理机构采用以国家法律规定的邀请方式确定参加</w:t>
      </w:r>
      <w:r>
        <w:rPr>
          <w:rFonts w:hint="eastAsia" w:ascii="宋体" w:hAnsi="宋体" w:cs="宋体"/>
          <w:szCs w:val="21"/>
          <w:highlight w:val="none"/>
          <w:lang w:val="en-US" w:eastAsia="zh-CN"/>
        </w:rPr>
        <w:t>本次采购活动</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7ADBB1F5">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val="zh-CN"/>
        </w:rPr>
        <w:t>磋商</w:t>
      </w:r>
      <w:r>
        <w:rPr>
          <w:rFonts w:hint="eastAsia" w:ascii="宋体" w:hAnsi="宋体" w:eastAsia="宋体" w:cs="宋体"/>
          <w:szCs w:val="21"/>
          <w:highlight w:val="none"/>
        </w:rPr>
        <w:t>程序</w:t>
      </w:r>
    </w:p>
    <w:p w14:paraId="0EC1ADA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在规定的时间内由</w:t>
      </w:r>
      <w:r>
        <w:rPr>
          <w:rFonts w:hint="eastAsia" w:ascii="宋体" w:hAnsi="宋体" w:cs="宋体"/>
          <w:szCs w:val="21"/>
          <w:highlight w:val="none"/>
          <w:lang w:eastAsia="zh-CN"/>
        </w:rPr>
        <w:t>供应商</w:t>
      </w:r>
      <w:r>
        <w:rPr>
          <w:rFonts w:hint="eastAsia" w:ascii="宋体" w:hAnsi="宋体" w:eastAsia="宋体" w:cs="宋体"/>
          <w:szCs w:val="21"/>
          <w:highlight w:val="none"/>
        </w:rPr>
        <w:t>将响应文件提交给</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，由</w:t>
      </w:r>
      <w:r>
        <w:rPr>
          <w:rFonts w:hint="eastAsia" w:ascii="宋体" w:hAnsi="宋体" w:eastAsia="宋体" w:cs="宋体"/>
          <w:szCs w:val="21"/>
          <w:highlight w:val="none"/>
          <w:lang w:val="zh-CN"/>
        </w:rPr>
        <w:t>磋商</w:t>
      </w:r>
      <w:r>
        <w:rPr>
          <w:rFonts w:hint="eastAsia" w:ascii="宋体" w:hAnsi="宋体" w:eastAsia="宋体" w:cs="宋体"/>
          <w:szCs w:val="21"/>
          <w:highlight w:val="none"/>
        </w:rPr>
        <w:t>小组对响应文件进行评审。</w:t>
      </w:r>
    </w:p>
    <w:p w14:paraId="6639E24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就商务、技术及价格进行磋商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，经过</w:t>
      </w:r>
      <w:r>
        <w:rPr>
          <w:rFonts w:hint="eastAsia" w:ascii="宋体" w:hAnsi="宋体" w:eastAsia="宋体" w:cs="宋体"/>
          <w:szCs w:val="21"/>
          <w:highlight w:val="none"/>
          <w:lang w:val="zh-CN"/>
        </w:rPr>
        <w:t>磋商</w:t>
      </w:r>
      <w:r>
        <w:rPr>
          <w:rFonts w:hint="eastAsia" w:ascii="宋体" w:hAnsi="宋体" w:eastAsia="宋体" w:cs="宋体"/>
          <w:szCs w:val="21"/>
          <w:highlight w:val="none"/>
        </w:rPr>
        <w:t>小组的评审确定最终成交</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6418696A">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lang w:val="en-US" w:eastAsia="zh-CN"/>
        </w:rPr>
        <w:t>三、</w:t>
      </w:r>
      <w:r>
        <w:rPr>
          <w:rFonts w:hint="eastAsia" w:ascii="宋体" w:hAnsi="宋体" w:eastAsia="宋体" w:cs="宋体"/>
          <w:color w:val="auto"/>
          <w:szCs w:val="21"/>
          <w:highlight w:val="none"/>
        </w:rPr>
        <w:t>申请人的资格要求</w:t>
      </w:r>
    </w:p>
    <w:p w14:paraId="7DE03AEC">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en-US" w:eastAsia="zh-CN"/>
        </w:rPr>
        <w:t>须知前附表。</w:t>
      </w:r>
    </w:p>
    <w:p w14:paraId="300C571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val="zh-CN"/>
        </w:rPr>
        <w:t>磋商</w:t>
      </w:r>
      <w:r>
        <w:rPr>
          <w:rFonts w:hint="eastAsia" w:ascii="宋体" w:hAnsi="宋体" w:eastAsia="宋体" w:cs="宋体"/>
          <w:szCs w:val="21"/>
          <w:highlight w:val="none"/>
        </w:rPr>
        <w:t>费用</w:t>
      </w:r>
    </w:p>
    <w:p w14:paraId="019132D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应承担所有</w:t>
      </w:r>
      <w:r>
        <w:rPr>
          <w:rFonts w:hint="eastAsia" w:ascii="宋体" w:hAnsi="宋体" w:cs="宋体"/>
          <w:szCs w:val="21"/>
          <w:highlight w:val="none"/>
          <w:lang w:val="en-US" w:eastAsia="zh-CN"/>
        </w:rPr>
        <w:t>的</w:t>
      </w:r>
      <w:r>
        <w:rPr>
          <w:rFonts w:hint="eastAsia" w:ascii="宋体" w:hAnsi="宋体" w:eastAsia="宋体" w:cs="宋体"/>
          <w:szCs w:val="21"/>
          <w:highlight w:val="none"/>
        </w:rPr>
        <w:t>准备和参加</w:t>
      </w:r>
      <w:r>
        <w:rPr>
          <w:rFonts w:hint="eastAsia" w:ascii="宋体" w:hAnsi="宋体" w:eastAsia="宋体" w:cs="宋体"/>
          <w:szCs w:val="21"/>
          <w:highlight w:val="none"/>
          <w:lang w:val="zh-CN"/>
        </w:rPr>
        <w:t>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有关的费用，</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和</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在任何情况下均无义务和责任承担这些费用。</w:t>
      </w:r>
    </w:p>
    <w:p w14:paraId="0EFC2049">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bCs/>
          <w:szCs w:val="21"/>
          <w:highlight w:val="none"/>
        </w:rPr>
        <w:t>第二部分</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竞争性磋商</w:t>
      </w:r>
      <w:r>
        <w:rPr>
          <w:rFonts w:hint="eastAsia" w:ascii="宋体" w:hAnsi="宋体" w:eastAsia="宋体" w:cs="宋体"/>
          <w:b/>
          <w:bCs/>
          <w:szCs w:val="21"/>
          <w:highlight w:val="none"/>
        </w:rPr>
        <w:t>文件</w:t>
      </w:r>
    </w:p>
    <w:p w14:paraId="7EC209E7">
      <w:pPr>
        <w:keepNext w:val="0"/>
        <w:keepLines w:val="0"/>
        <w:pageBreakBefore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应认真阅读</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所有的事项、格式、条款和技术规格等。如</w:t>
      </w:r>
      <w:r>
        <w:rPr>
          <w:rFonts w:hint="eastAsia" w:ascii="宋体" w:hAnsi="宋体" w:cs="宋体"/>
          <w:szCs w:val="21"/>
          <w:highlight w:val="none"/>
          <w:lang w:eastAsia="zh-CN"/>
        </w:rPr>
        <w:t>供应商</w:t>
      </w:r>
      <w:r>
        <w:rPr>
          <w:rFonts w:hint="eastAsia" w:ascii="宋体" w:hAnsi="宋体" w:eastAsia="宋体" w:cs="宋体"/>
          <w:szCs w:val="21"/>
          <w:highlight w:val="none"/>
        </w:rPr>
        <w:t>没有按照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要求提交全部资料，或者</w:t>
      </w:r>
      <w:r>
        <w:rPr>
          <w:rFonts w:hint="eastAsia" w:ascii="宋体" w:hAnsi="宋体" w:cs="宋体"/>
          <w:szCs w:val="21"/>
          <w:highlight w:val="none"/>
          <w:lang w:val="en-US" w:eastAsia="zh-CN"/>
        </w:rPr>
        <w:t>供应商提交的</w:t>
      </w:r>
      <w:r>
        <w:rPr>
          <w:rFonts w:hint="eastAsia" w:ascii="宋体" w:hAnsi="宋体" w:cs="宋体"/>
          <w:szCs w:val="21"/>
          <w:highlight w:val="none"/>
          <w:lang w:eastAsia="zh-CN"/>
        </w:rPr>
        <w:t>响应文件</w:t>
      </w:r>
      <w:r>
        <w:rPr>
          <w:rFonts w:hint="eastAsia" w:ascii="宋体" w:hAnsi="宋体" w:eastAsia="宋体" w:cs="宋体"/>
          <w:szCs w:val="21"/>
          <w:highlight w:val="none"/>
        </w:rPr>
        <w:t>没有对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在各方面都作出实质性响应是</w:t>
      </w:r>
      <w:r>
        <w:rPr>
          <w:rFonts w:hint="eastAsia" w:ascii="宋体" w:hAnsi="宋体" w:cs="宋体"/>
          <w:szCs w:val="21"/>
          <w:highlight w:val="none"/>
          <w:lang w:eastAsia="zh-CN"/>
        </w:rPr>
        <w:t>供应商</w:t>
      </w:r>
      <w:r>
        <w:rPr>
          <w:rFonts w:hint="eastAsia" w:ascii="宋体" w:hAnsi="宋体" w:eastAsia="宋体" w:cs="宋体"/>
          <w:szCs w:val="21"/>
          <w:highlight w:val="none"/>
        </w:rPr>
        <w:t>的风险，并可能导致其报价被拒绝。</w:t>
      </w:r>
    </w:p>
    <w:p w14:paraId="63A55130">
      <w:pPr>
        <w:keepNext w:val="0"/>
        <w:keepLines w:val="0"/>
        <w:pageBreakBefore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的澄清及修改</w:t>
      </w:r>
    </w:p>
    <w:p w14:paraId="4A043D4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2.1任何要求对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进行澄清的</w:t>
      </w:r>
      <w:r>
        <w:rPr>
          <w:rFonts w:hint="eastAsia" w:ascii="宋体" w:hAnsi="宋体" w:cs="宋体"/>
          <w:szCs w:val="21"/>
          <w:highlight w:val="none"/>
          <w:lang w:eastAsia="zh-CN"/>
        </w:rPr>
        <w:t>供应商</w:t>
      </w:r>
      <w:r>
        <w:rPr>
          <w:rFonts w:hint="eastAsia" w:ascii="宋体" w:hAnsi="宋体" w:eastAsia="宋体" w:cs="宋体"/>
          <w:szCs w:val="21"/>
          <w:highlight w:val="none"/>
        </w:rPr>
        <w:t>，磋商截止时间前均应以书面形式通知</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应以书面形式予以答复，并将书面答复发给每个购买</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（答复中不包括问题的来源）。</w:t>
      </w:r>
    </w:p>
    <w:p w14:paraId="7F95AC5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2.2 </w:t>
      </w:r>
      <w:r>
        <w:rPr>
          <w:rFonts w:hint="eastAsia" w:ascii="宋体" w:hAnsi="宋体" w:cs="宋体"/>
          <w:szCs w:val="21"/>
          <w:highlight w:val="none"/>
          <w:lang w:val="en-US" w:eastAsia="zh-CN"/>
        </w:rPr>
        <w:t>采购人</w:t>
      </w:r>
      <w:r>
        <w:rPr>
          <w:rFonts w:hint="eastAsia" w:ascii="宋体" w:hAnsi="宋体" w:eastAsia="宋体" w:cs="宋体"/>
          <w:szCs w:val="21"/>
          <w:highlight w:val="none"/>
        </w:rPr>
        <w:t>可主动地或在解答</w:t>
      </w:r>
      <w:r>
        <w:rPr>
          <w:rFonts w:hint="eastAsia" w:ascii="宋体" w:hAnsi="宋体" w:cs="宋体"/>
          <w:szCs w:val="21"/>
          <w:highlight w:val="none"/>
          <w:lang w:eastAsia="zh-CN"/>
        </w:rPr>
        <w:t>供应商</w:t>
      </w:r>
      <w:r>
        <w:rPr>
          <w:rFonts w:hint="eastAsia" w:ascii="宋体" w:hAnsi="宋体" w:eastAsia="宋体" w:cs="宋体"/>
          <w:szCs w:val="21"/>
          <w:highlight w:val="none"/>
        </w:rPr>
        <w:t>提出的澄清问题时对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进行修改，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的修改应以书面形式通知</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，由</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通知所有购买</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，并对其具有约束力。</w:t>
      </w:r>
      <w:r>
        <w:rPr>
          <w:rFonts w:hint="eastAsia" w:ascii="宋体" w:hAnsi="宋体" w:cs="宋体"/>
          <w:szCs w:val="21"/>
          <w:highlight w:val="none"/>
          <w:lang w:eastAsia="zh-CN"/>
        </w:rPr>
        <w:t>供应商</w:t>
      </w:r>
      <w:r>
        <w:rPr>
          <w:rFonts w:hint="eastAsia" w:ascii="宋体" w:hAnsi="宋体" w:eastAsia="宋体" w:cs="宋体"/>
          <w:szCs w:val="21"/>
          <w:highlight w:val="none"/>
        </w:rPr>
        <w:t>在收到上述通知后，应立即向</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以书面形式回函确认。</w:t>
      </w:r>
    </w:p>
    <w:p w14:paraId="2A84AB3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2.3为使</w:t>
      </w:r>
      <w:r>
        <w:rPr>
          <w:rFonts w:hint="eastAsia" w:ascii="宋体" w:hAnsi="宋体" w:cs="宋体"/>
          <w:szCs w:val="21"/>
          <w:highlight w:val="none"/>
          <w:lang w:eastAsia="zh-CN"/>
        </w:rPr>
        <w:t>供应商</w:t>
      </w:r>
      <w:r>
        <w:rPr>
          <w:rFonts w:hint="eastAsia" w:ascii="宋体" w:hAnsi="宋体" w:eastAsia="宋体" w:cs="宋体"/>
          <w:szCs w:val="21"/>
          <w:highlight w:val="none"/>
        </w:rPr>
        <w:t>有足够的时间对响应文件的修改部分进行研究，</w:t>
      </w:r>
      <w:r>
        <w:rPr>
          <w:rFonts w:hint="eastAsia" w:ascii="宋体" w:hAnsi="宋体" w:cs="宋体"/>
          <w:szCs w:val="21"/>
          <w:highlight w:val="none"/>
          <w:lang w:val="en-US" w:eastAsia="zh-CN"/>
        </w:rPr>
        <w:t>采购人</w:t>
      </w:r>
      <w:r>
        <w:rPr>
          <w:rFonts w:hint="eastAsia" w:ascii="宋体" w:hAnsi="宋体" w:eastAsia="宋体" w:cs="宋体"/>
          <w:szCs w:val="21"/>
          <w:highlight w:val="none"/>
        </w:rPr>
        <w:t>有权决定是否延长</w:t>
      </w:r>
      <w:r>
        <w:rPr>
          <w:rFonts w:hint="eastAsia" w:ascii="宋体" w:hAnsi="宋体" w:cs="宋体"/>
          <w:szCs w:val="21"/>
          <w:highlight w:val="none"/>
          <w:lang w:val="en-US" w:eastAsia="zh-CN"/>
        </w:rPr>
        <w:t>投标</w:t>
      </w:r>
      <w:r>
        <w:rPr>
          <w:rFonts w:hint="eastAsia" w:ascii="宋体" w:hAnsi="宋体" w:eastAsia="宋体" w:cs="宋体"/>
          <w:szCs w:val="21"/>
          <w:highlight w:val="none"/>
        </w:rPr>
        <w:t>截止期。</w:t>
      </w:r>
    </w:p>
    <w:p w14:paraId="3DE5C96C">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第三部分 响应文件的编制</w:t>
      </w:r>
    </w:p>
    <w:p w14:paraId="5552FA36">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rPr>
        <w:t>磋商范围及</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rPr>
        <w:t>文件中计量单位的使用</w:t>
      </w:r>
    </w:p>
    <w:p w14:paraId="10B14E1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1.1</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的技术标准及服务要求进行报价，不能将整个的内容拆开就其中一项或一部分进行报价。</w:t>
      </w:r>
    </w:p>
    <w:p w14:paraId="250AB4F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1.2 响应文件中所使用的计量单位，除</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中有特殊要求外，应采用中华人民共和国法定计量单位。</w:t>
      </w:r>
    </w:p>
    <w:p w14:paraId="2DC1CB9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w:t>
      </w:r>
      <w:r>
        <w:rPr>
          <w:rFonts w:hint="eastAsia" w:ascii="宋体" w:hAnsi="宋体" w:eastAsia="宋体" w:cs="宋体"/>
          <w:b w:val="0"/>
          <w:bCs w:val="0"/>
          <w:szCs w:val="21"/>
          <w:highlight w:val="none"/>
          <w:lang w:val="en-US" w:eastAsia="zh-CN"/>
        </w:rPr>
        <w:t xml:space="preserve"> </w:t>
      </w:r>
      <w:r>
        <w:rPr>
          <w:rFonts w:hint="eastAsia" w:ascii="宋体" w:hAnsi="宋体" w:eastAsia="宋体" w:cs="宋体"/>
          <w:b w:val="0"/>
          <w:bCs w:val="0"/>
          <w:szCs w:val="21"/>
          <w:highlight w:val="none"/>
        </w:rPr>
        <w:t>响应文件构成</w:t>
      </w:r>
    </w:p>
    <w:p w14:paraId="78707CB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应完整的按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提供的</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rPr>
        <w:t>文件格式填写响应文件，响应文件应包括以下内容：</w:t>
      </w:r>
    </w:p>
    <w:p w14:paraId="5DD299C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（1）报价函和报价函附表</w:t>
      </w:r>
    </w:p>
    <w:p w14:paraId="2D83FB9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（2）资格证明文件</w:t>
      </w:r>
    </w:p>
    <w:p w14:paraId="62AEFB8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提供法人授权的证明文件</w:t>
      </w:r>
    </w:p>
    <w:p w14:paraId="024AA9E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（4）保证金递交凭证</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1472C927">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（5）资格审查资料</w:t>
      </w:r>
    </w:p>
    <w:p w14:paraId="32C2226F">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（6）其他材料</w:t>
      </w:r>
    </w:p>
    <w:p w14:paraId="2FF35813">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 xml:space="preserve">3. </w:t>
      </w:r>
      <w:r>
        <w:rPr>
          <w:rFonts w:hint="eastAsia" w:ascii="宋体" w:hAnsi="宋体" w:eastAsia="宋体" w:cs="宋体"/>
          <w:b w:val="0"/>
          <w:bCs w:val="0"/>
          <w:szCs w:val="21"/>
          <w:highlight w:val="none"/>
        </w:rPr>
        <w:t>报价</w:t>
      </w:r>
    </w:p>
    <w:p w14:paraId="6521731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3.1</w:t>
      </w:r>
      <w:r>
        <w:rPr>
          <w:rFonts w:hint="eastAsia" w:ascii="宋体" w:hAnsi="宋体" w:eastAsia="宋体" w:cs="宋体"/>
          <w:b w:val="0"/>
          <w:bCs w:val="0"/>
          <w:szCs w:val="21"/>
          <w:highlight w:val="none"/>
          <w:lang w:val="en-US" w:eastAsia="zh-CN"/>
        </w:rPr>
        <w:t xml:space="preserve"> </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提供的相关“技术标准和服务要求”进行报价。</w:t>
      </w:r>
    </w:p>
    <w:p w14:paraId="4CCD907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szCs w:val="21"/>
          <w:highlight w:val="none"/>
          <w:lang w:val="en-US" w:eastAsia="zh-CN"/>
        </w:rPr>
        <w:t xml:space="preserve">2 </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截止时间前修改报价函中的投标报价总额，应同时修改响应文件中的相应报价。</w:t>
      </w:r>
    </w:p>
    <w:p w14:paraId="4DBAF0D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 xml:space="preserve"> </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设有</w:t>
      </w:r>
      <w:r>
        <w:rPr>
          <w:rFonts w:hint="eastAsia" w:ascii="宋体" w:hAnsi="宋体" w:cs="宋体"/>
          <w:b w:val="0"/>
          <w:bCs w:val="0"/>
          <w:szCs w:val="21"/>
          <w:highlight w:val="none"/>
          <w:lang w:val="en-US" w:eastAsia="zh-CN"/>
        </w:rPr>
        <w:t>预算金额</w:t>
      </w:r>
      <w:r>
        <w:rPr>
          <w:rFonts w:hint="eastAsia" w:ascii="宋体" w:hAnsi="宋体" w:eastAsia="宋体" w:cs="宋体"/>
          <w:b w:val="0"/>
          <w:bCs w:val="0"/>
          <w:szCs w:val="21"/>
          <w:highlight w:val="none"/>
        </w:rPr>
        <w:t>的，</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的投标报价不得超过</w:t>
      </w:r>
      <w:r>
        <w:rPr>
          <w:rFonts w:hint="eastAsia" w:ascii="宋体" w:hAnsi="宋体" w:cs="宋体"/>
          <w:b w:val="0"/>
          <w:bCs w:val="0"/>
          <w:szCs w:val="21"/>
          <w:highlight w:val="none"/>
          <w:lang w:val="en-US" w:eastAsia="zh-CN"/>
        </w:rPr>
        <w:t>预算金额</w:t>
      </w:r>
      <w:r>
        <w:rPr>
          <w:rFonts w:hint="eastAsia" w:ascii="宋体" w:hAnsi="宋体" w:eastAsia="宋体" w:cs="宋体"/>
          <w:b w:val="0"/>
          <w:bCs w:val="0"/>
          <w:szCs w:val="21"/>
          <w:highlight w:val="none"/>
        </w:rPr>
        <w:t>。</w:t>
      </w:r>
    </w:p>
    <w:p w14:paraId="2BCFCBC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3.4 投标报价为</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在响应文件中提出的各项支付金额的总和。</w:t>
      </w:r>
    </w:p>
    <w:p w14:paraId="7D433B9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3.5</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的投标报价，应是完成本须知和</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中所列</w:t>
      </w:r>
      <w:r>
        <w:rPr>
          <w:rFonts w:hint="eastAsia" w:ascii="宋体" w:hAnsi="宋体" w:cs="宋体"/>
          <w:b w:val="0"/>
          <w:bCs w:val="0"/>
          <w:szCs w:val="21"/>
          <w:highlight w:val="none"/>
          <w:lang w:val="en-US" w:eastAsia="zh-CN"/>
        </w:rPr>
        <w:t>服务</w:t>
      </w:r>
      <w:r>
        <w:rPr>
          <w:rFonts w:hint="eastAsia" w:ascii="宋体" w:hAnsi="宋体" w:eastAsia="宋体" w:cs="宋体"/>
          <w:b w:val="0"/>
          <w:bCs w:val="0"/>
          <w:szCs w:val="21"/>
          <w:highlight w:val="none"/>
        </w:rPr>
        <w:t>范围及服务周期的全部，不得以任何理由予以重复，作为</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计算单价或总价的依据。</w:t>
      </w:r>
    </w:p>
    <w:p w14:paraId="011B3F3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3.6 除非</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对</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予以修改，</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应按照</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提供的技术参数和服务要求，并且投标报价应与响应文件中所列各项费用合计价格相符，否则，可能导致其投标被否决。任何有选择的报价及折扣报价都将按其投标被否决处理。</w:t>
      </w:r>
    </w:p>
    <w:p w14:paraId="0709C14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3.7 本项目的服务地点为本须知前附表所述，除非合同中另有规定，</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在报价中所报的价格，均包括完成该项目的成本、利润、税金、技术措施费、大型机械进出场费、风险费、政策性文件规定费用等所有费用。</w:t>
      </w:r>
    </w:p>
    <w:p w14:paraId="138AB29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val="en-US" w:eastAsia="zh-CN"/>
        </w:rPr>
        <w:t>8</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可先到</w:t>
      </w:r>
      <w:r>
        <w:rPr>
          <w:rFonts w:hint="eastAsia" w:ascii="宋体" w:hAnsi="宋体" w:cs="宋体"/>
          <w:b w:val="0"/>
          <w:bCs w:val="0"/>
          <w:szCs w:val="21"/>
          <w:highlight w:val="none"/>
          <w:lang w:val="en-US" w:eastAsia="zh-CN"/>
        </w:rPr>
        <w:t>现场</w:t>
      </w:r>
      <w:r>
        <w:rPr>
          <w:rFonts w:hint="eastAsia" w:ascii="宋体" w:hAnsi="宋体" w:eastAsia="宋体" w:cs="宋体"/>
          <w:b w:val="0"/>
          <w:bCs w:val="0"/>
          <w:szCs w:val="21"/>
          <w:highlight w:val="none"/>
        </w:rPr>
        <w:t>踏勘以充分了解项目位置、情况、储存空间、装卸限制及任何其他足以影响</w:t>
      </w:r>
      <w:r>
        <w:rPr>
          <w:rFonts w:hint="eastAsia" w:ascii="宋体" w:hAnsi="宋体" w:cs="宋体"/>
          <w:b w:val="0"/>
          <w:bCs w:val="0"/>
          <w:szCs w:val="21"/>
          <w:highlight w:val="none"/>
          <w:lang w:val="en-US" w:eastAsia="zh-CN"/>
        </w:rPr>
        <w:t>投标报价</w:t>
      </w:r>
      <w:r>
        <w:rPr>
          <w:rFonts w:hint="eastAsia" w:ascii="宋体" w:hAnsi="宋体" w:eastAsia="宋体" w:cs="宋体"/>
          <w:b w:val="0"/>
          <w:bCs w:val="0"/>
          <w:szCs w:val="21"/>
          <w:highlight w:val="none"/>
        </w:rPr>
        <w:t>的情况，任何因忽视或误解服务地点情况而导致的索赔或服务周期延长申请将不被批准。</w:t>
      </w:r>
    </w:p>
    <w:p w14:paraId="178FF11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val="en-US" w:eastAsia="zh-CN"/>
        </w:rPr>
        <w:t>9</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在投标时务必按照</w:t>
      </w:r>
      <w:r>
        <w:rPr>
          <w:rFonts w:hint="eastAsia" w:ascii="宋体" w:hAnsi="宋体" w:cs="宋体"/>
          <w:b w:val="0"/>
          <w:bCs w:val="0"/>
          <w:szCs w:val="21"/>
          <w:highlight w:val="none"/>
          <w:lang w:val="en-US" w:eastAsia="zh-CN"/>
        </w:rPr>
        <w:t>竞争性磋商文件中</w:t>
      </w:r>
      <w:r>
        <w:rPr>
          <w:rFonts w:hint="eastAsia" w:ascii="宋体" w:hAnsi="宋体" w:eastAsia="宋体" w:cs="宋体"/>
          <w:b w:val="0"/>
          <w:bCs w:val="0"/>
          <w:szCs w:val="21"/>
          <w:highlight w:val="none"/>
        </w:rPr>
        <w:t>提供的格式进行报价。</w:t>
      </w:r>
    </w:p>
    <w:p w14:paraId="127DE10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4.</w:t>
      </w:r>
      <w:r>
        <w:rPr>
          <w:rFonts w:hint="eastAsia" w:ascii="宋体" w:hAnsi="宋体" w:eastAsia="宋体" w:cs="宋体"/>
          <w:b w:val="0"/>
          <w:bCs w:val="0"/>
          <w:szCs w:val="21"/>
          <w:highlight w:val="none"/>
          <w:lang w:val="en-US" w:eastAsia="zh-CN"/>
        </w:rPr>
        <w:t xml:space="preserve"> </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700F8A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4.1</w:t>
      </w:r>
      <w:r>
        <w:rPr>
          <w:rFonts w:hint="eastAsia" w:ascii="宋体" w:hAnsi="宋体" w:eastAsia="宋体" w:cs="宋体"/>
          <w:b w:val="0"/>
          <w:bCs w:val="0"/>
          <w:szCs w:val="21"/>
          <w:highlight w:val="none"/>
          <w:lang w:val="en-US" w:eastAsia="zh-CN"/>
        </w:rPr>
        <w:t>供应商应按供应商须知前附表要求的金额和方式并于投标截止日前递交至采购代理机构（以实际到账为准）</w:t>
      </w:r>
      <w:r>
        <w:rPr>
          <w:rFonts w:hint="eastAsia" w:ascii="宋体" w:hAnsi="宋体" w:eastAsia="宋体" w:cs="宋体"/>
          <w:b w:val="0"/>
          <w:bCs w:val="0"/>
          <w:szCs w:val="21"/>
          <w:highlight w:val="none"/>
        </w:rPr>
        <w:t>，并作为其响应文件的一部分。</w:t>
      </w:r>
    </w:p>
    <w:p w14:paraId="4450F5E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4.2下列任何情况发生，</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保证金将被没收：</w:t>
      </w:r>
    </w:p>
    <w:p w14:paraId="53F6056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（1）在递交响应文件之日后到有效期满前，</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擅自退出的；</w:t>
      </w:r>
    </w:p>
    <w:p w14:paraId="48F1CD3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（2）成交</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在规定的时间内不与</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签订合同的</w:t>
      </w:r>
      <w:r>
        <w:rPr>
          <w:rFonts w:hint="eastAsia" w:ascii="宋体" w:hAnsi="宋体" w:cs="宋体"/>
          <w:b w:val="0"/>
          <w:bCs w:val="0"/>
          <w:szCs w:val="21"/>
          <w:highlight w:val="none"/>
          <w:lang w:eastAsia="zh-CN"/>
        </w:rPr>
        <w:t>。</w:t>
      </w:r>
    </w:p>
    <w:p w14:paraId="07FCB7C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4.3</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保证金的递交形式详见</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须知前附表。</w:t>
      </w:r>
    </w:p>
    <w:p w14:paraId="4B3B2BF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4.4凡未按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要求提交</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保证金的，将被视为非响应性而予以拒绝。</w:t>
      </w:r>
    </w:p>
    <w:p w14:paraId="0EEF3EC2">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 xml:space="preserve">5. </w:t>
      </w:r>
      <w:r>
        <w:rPr>
          <w:rFonts w:hint="eastAsia" w:ascii="宋体" w:hAnsi="宋体" w:eastAsia="宋体" w:cs="宋体"/>
          <w:b w:val="0"/>
          <w:bCs w:val="0"/>
          <w:szCs w:val="21"/>
          <w:highlight w:val="none"/>
        </w:rPr>
        <w:t>有效期</w:t>
      </w:r>
    </w:p>
    <w:p w14:paraId="1D0DF85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5.1响应文件应在规定的递交截止日后</w:t>
      </w:r>
      <w:r>
        <w:rPr>
          <w:rFonts w:hint="eastAsia" w:ascii="宋体" w:hAnsi="宋体" w:eastAsia="宋体" w:cs="宋体"/>
          <w:b w:val="0"/>
          <w:bCs w:val="0"/>
          <w:szCs w:val="21"/>
          <w:highlight w:val="none"/>
          <w:u w:val="single"/>
        </w:rPr>
        <w:t>90</w:t>
      </w:r>
      <w:r>
        <w:rPr>
          <w:rFonts w:hint="eastAsia" w:ascii="宋体" w:hAnsi="宋体" w:eastAsia="宋体" w:cs="宋体"/>
          <w:b w:val="0"/>
          <w:bCs w:val="0"/>
          <w:szCs w:val="21"/>
          <w:highlight w:val="none"/>
        </w:rPr>
        <w:t>天内保持有效，有效期不满足要求的响应文件将被视为非实质性响应而予以拒绝。</w:t>
      </w:r>
    </w:p>
    <w:p w14:paraId="748B489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 xml:space="preserve">5.2 </w:t>
      </w:r>
      <w:r>
        <w:rPr>
          <w:rFonts w:hint="eastAsia" w:ascii="宋体" w:hAnsi="宋体" w:cs="宋体"/>
          <w:szCs w:val="21"/>
          <w:highlight w:val="none"/>
          <w:lang w:val="en-US" w:eastAsia="zh-CN"/>
        </w:rPr>
        <w:t>采购人</w:t>
      </w:r>
      <w:r>
        <w:rPr>
          <w:rFonts w:hint="eastAsia" w:ascii="宋体" w:hAnsi="宋体" w:eastAsia="宋体" w:cs="宋体"/>
          <w:b w:val="0"/>
          <w:bCs w:val="0"/>
          <w:szCs w:val="21"/>
          <w:highlight w:val="none"/>
        </w:rPr>
        <w:t>可根据实际情况，在原有效期截止之前，要求</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同意延长有效期。接受该要求的</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将不得要求修正其报价，且本须知中有关保证金的要求将在延长的有效期内继续有效。</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也可以拒绝</w:t>
      </w:r>
      <w:r>
        <w:rPr>
          <w:rFonts w:hint="eastAsia" w:ascii="宋体" w:hAnsi="宋体" w:cs="宋体"/>
          <w:szCs w:val="21"/>
          <w:highlight w:val="none"/>
          <w:lang w:val="en-US" w:eastAsia="zh-CN"/>
        </w:rPr>
        <w:t>采购人</w:t>
      </w:r>
      <w:r>
        <w:rPr>
          <w:rFonts w:hint="eastAsia" w:ascii="宋体" w:hAnsi="宋体" w:eastAsia="宋体" w:cs="宋体"/>
          <w:b w:val="0"/>
          <w:bCs w:val="0"/>
          <w:szCs w:val="21"/>
          <w:highlight w:val="none"/>
        </w:rPr>
        <w:t>的这种要求，其保证金将不会被没收。上述要求和答复都应以书面形式提交。</w:t>
      </w:r>
    </w:p>
    <w:p w14:paraId="5C94EB6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6.</w:t>
      </w:r>
      <w:r>
        <w:rPr>
          <w:rFonts w:hint="eastAsia" w:ascii="宋体" w:hAnsi="宋体" w:eastAsia="宋体" w:cs="宋体"/>
          <w:b w:val="0"/>
          <w:bCs w:val="0"/>
          <w:szCs w:val="21"/>
          <w:highlight w:val="none"/>
          <w:lang w:val="en-US" w:eastAsia="zh-CN"/>
        </w:rPr>
        <w:t xml:space="preserve"> </w:t>
      </w:r>
      <w:r>
        <w:rPr>
          <w:rFonts w:hint="eastAsia" w:ascii="宋体" w:hAnsi="宋体" w:eastAsia="宋体" w:cs="宋体"/>
          <w:b w:val="0"/>
          <w:bCs w:val="0"/>
          <w:szCs w:val="21"/>
          <w:highlight w:val="none"/>
        </w:rPr>
        <w:t>响应文件的签署及规定</w:t>
      </w:r>
    </w:p>
    <w:p w14:paraId="0D46C68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b w:val="0"/>
          <w:bCs w:val="0"/>
          <w:szCs w:val="21"/>
          <w:highlight w:val="none"/>
        </w:rPr>
        <w:t>6.1</w:t>
      </w:r>
      <w:r>
        <w:rPr>
          <w:rFonts w:hint="eastAsia" w:ascii="宋体" w:hAnsi="宋体" w:cs="宋体"/>
          <w:b w:val="0"/>
          <w:bCs w:val="0"/>
          <w:szCs w:val="21"/>
          <w:highlight w:val="none"/>
          <w:lang w:val="zh-CN"/>
        </w:rPr>
        <w:t>响应文件</w:t>
      </w:r>
      <w:r>
        <w:rPr>
          <w:rFonts w:hint="eastAsia" w:ascii="宋体" w:hAnsi="宋体" w:eastAsia="宋体" w:cs="宋体"/>
          <w:b w:val="0"/>
          <w:bCs w:val="0"/>
          <w:szCs w:val="21"/>
          <w:highlight w:val="none"/>
          <w:lang w:val="zh-CN"/>
        </w:rPr>
        <w:t>份数：</w:t>
      </w:r>
      <w:r>
        <w:rPr>
          <w:rFonts w:hint="eastAsia" w:ascii="宋体" w:hAnsi="宋体" w:cs="宋体"/>
          <w:b w:val="0"/>
          <w:bCs w:val="0"/>
          <w:szCs w:val="21"/>
          <w:highlight w:val="none"/>
          <w:lang w:val="en-US" w:eastAsia="zh-CN"/>
        </w:rPr>
        <w:t>成交</w:t>
      </w:r>
      <w:r>
        <w:rPr>
          <w:rFonts w:hint="eastAsia" w:ascii="宋体" w:hAnsi="宋体" w:cs="宋体"/>
          <w:b w:val="0"/>
          <w:bCs w:val="0"/>
          <w:szCs w:val="21"/>
          <w:highlight w:val="none"/>
          <w:lang w:val="zh-CN"/>
        </w:rPr>
        <w:t>供应商</w:t>
      </w:r>
      <w:r>
        <w:rPr>
          <w:rFonts w:hint="eastAsia" w:ascii="宋体" w:hAnsi="宋体" w:cs="宋体"/>
          <w:b w:val="0"/>
          <w:bCs w:val="0"/>
          <w:szCs w:val="21"/>
          <w:highlight w:val="none"/>
          <w:lang w:val="en-US" w:eastAsia="zh-CN"/>
        </w:rPr>
        <w:t>在成交结果公告发布后的1个工作日内</w:t>
      </w:r>
      <w:r>
        <w:rPr>
          <w:rFonts w:hint="eastAsia" w:ascii="宋体" w:hAnsi="宋体" w:eastAsia="宋体" w:cs="宋体"/>
          <w:b w:val="0"/>
          <w:bCs w:val="0"/>
          <w:szCs w:val="21"/>
          <w:highlight w:val="none"/>
          <w:lang w:val="zh-CN"/>
        </w:rPr>
        <w:t>应提交</w:t>
      </w:r>
      <w:r>
        <w:rPr>
          <w:rFonts w:hint="eastAsia" w:ascii="宋体" w:hAnsi="宋体" w:cs="宋体"/>
          <w:b w:val="0"/>
          <w:bCs w:val="0"/>
          <w:szCs w:val="21"/>
          <w:highlight w:val="none"/>
          <w:lang w:val="zh-CN"/>
        </w:rPr>
        <w:t>响应文件</w:t>
      </w:r>
      <w:r>
        <w:rPr>
          <w:rFonts w:hint="eastAsia" w:ascii="宋体" w:hAnsi="宋体" w:eastAsia="宋体" w:cs="宋体"/>
          <w:b w:val="0"/>
          <w:bCs w:val="0"/>
          <w:szCs w:val="21"/>
          <w:highlight w:val="none"/>
          <w:lang w:val="zh-CN"/>
        </w:rPr>
        <w:t>正本1份、副本</w:t>
      </w:r>
      <w:r>
        <w:rPr>
          <w:rFonts w:hint="eastAsia" w:ascii="宋体" w:hAnsi="宋体" w:cs="宋体"/>
          <w:b w:val="0"/>
          <w:bCs w:val="0"/>
          <w:szCs w:val="21"/>
          <w:highlight w:val="none"/>
          <w:lang w:val="en-US" w:eastAsia="zh-CN"/>
        </w:rPr>
        <w:t>3</w:t>
      </w:r>
      <w:r>
        <w:rPr>
          <w:rFonts w:hint="eastAsia" w:ascii="宋体" w:hAnsi="宋体" w:eastAsia="宋体" w:cs="宋体"/>
          <w:b w:val="0"/>
          <w:bCs w:val="0"/>
          <w:szCs w:val="21"/>
          <w:highlight w:val="none"/>
          <w:lang w:val="zh-CN"/>
        </w:rPr>
        <w:t>份，并标明“正本”、“副本”字样，当正本与副本内容不一致时，以正</w:t>
      </w:r>
      <w:r>
        <w:rPr>
          <w:rFonts w:hint="eastAsia" w:ascii="宋体" w:hAnsi="宋体" w:eastAsia="宋体" w:cs="宋体"/>
          <w:szCs w:val="21"/>
          <w:highlight w:val="none"/>
          <w:lang w:val="zh-CN"/>
        </w:rPr>
        <w:t>本为准</w:t>
      </w:r>
      <w:r>
        <w:rPr>
          <w:rFonts w:hint="eastAsia" w:ascii="宋体" w:hAnsi="宋体" w:eastAsia="宋体" w:cs="宋体"/>
          <w:szCs w:val="21"/>
          <w:highlight w:val="none"/>
        </w:rPr>
        <w:t>。</w:t>
      </w:r>
    </w:p>
    <w:p w14:paraId="3ED3046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6.2响应文件的正本需打印或用不褪色墨水书写，并由</w:t>
      </w:r>
      <w:r>
        <w:rPr>
          <w:rFonts w:hint="eastAsia" w:ascii="宋体" w:hAnsi="宋体" w:cs="宋体"/>
          <w:szCs w:val="21"/>
          <w:highlight w:val="none"/>
          <w:lang w:eastAsia="zh-CN"/>
        </w:rPr>
        <w:t>供应商</w:t>
      </w:r>
      <w:r>
        <w:rPr>
          <w:rFonts w:hint="eastAsia" w:ascii="宋体" w:hAnsi="宋体" w:eastAsia="宋体" w:cs="宋体"/>
          <w:szCs w:val="21"/>
          <w:highlight w:val="none"/>
        </w:rPr>
        <w:t>的法定代表人或经其授权的代表在响应文件上签字并加盖单位印章。如响应文件需进行修改，则应有</w:t>
      </w:r>
      <w:r>
        <w:rPr>
          <w:rFonts w:hint="eastAsia" w:ascii="宋体" w:hAnsi="宋体" w:cs="宋体"/>
          <w:szCs w:val="21"/>
          <w:highlight w:val="none"/>
          <w:lang w:eastAsia="zh-CN"/>
        </w:rPr>
        <w:t>供应商</w:t>
      </w:r>
      <w:r>
        <w:rPr>
          <w:rFonts w:hint="eastAsia" w:ascii="宋体" w:hAnsi="宋体" w:eastAsia="宋体" w:cs="宋体"/>
          <w:szCs w:val="21"/>
          <w:highlight w:val="none"/>
        </w:rPr>
        <w:t>的法定代表人或经其授权的代表在修改的每一页上签字。响应文件的副本可以是正本的复印件。</w:t>
      </w:r>
    </w:p>
    <w:p w14:paraId="2E8F7DB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6.3任何行间插字、涂改和增删，必须由磋商招标响应按文件签字人签字或盖章后才有效。</w:t>
      </w:r>
    </w:p>
    <w:p w14:paraId="007E5AC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6.4响应文件因字迹潦草或表达不清所引起的后果由</w:t>
      </w:r>
      <w:r>
        <w:rPr>
          <w:rFonts w:hint="eastAsia" w:ascii="宋体" w:hAnsi="宋体" w:cs="宋体"/>
          <w:szCs w:val="21"/>
          <w:highlight w:val="none"/>
          <w:lang w:eastAsia="zh-CN"/>
        </w:rPr>
        <w:t>供应商</w:t>
      </w:r>
      <w:r>
        <w:rPr>
          <w:rFonts w:hint="eastAsia" w:ascii="宋体" w:hAnsi="宋体" w:eastAsia="宋体" w:cs="宋体"/>
          <w:szCs w:val="21"/>
          <w:highlight w:val="none"/>
        </w:rPr>
        <w:t>负责。</w:t>
      </w:r>
    </w:p>
    <w:p w14:paraId="5BA72BB1">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第四部分</w:t>
      </w:r>
      <w:r>
        <w:rPr>
          <w:rFonts w:hint="eastAsia" w:ascii="宋体" w:hAnsi="宋体" w:cs="宋体"/>
          <w:b/>
          <w:bCs/>
          <w:szCs w:val="21"/>
          <w:highlight w:val="none"/>
          <w:lang w:eastAsia="zh-CN"/>
        </w:rPr>
        <w:t>、</w:t>
      </w:r>
      <w:r>
        <w:rPr>
          <w:rFonts w:hint="eastAsia" w:ascii="宋体" w:hAnsi="宋体" w:eastAsia="宋体" w:cs="宋体"/>
          <w:b/>
          <w:bCs/>
          <w:szCs w:val="21"/>
          <w:highlight w:val="none"/>
        </w:rPr>
        <w:t>响应文件的递交</w:t>
      </w:r>
    </w:p>
    <w:p w14:paraId="0B2142D8">
      <w:pPr>
        <w:keepNext w:val="0"/>
        <w:keepLines w:val="0"/>
        <w:pageBreakBefore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响应文件的密封和标记</w:t>
      </w:r>
      <w:r>
        <w:rPr>
          <w:rFonts w:hint="eastAsia" w:ascii="宋体" w:hAnsi="宋体" w:cs="宋体"/>
          <w:szCs w:val="21"/>
          <w:highlight w:val="none"/>
          <w:lang w:eastAsia="zh-CN"/>
        </w:rPr>
        <w:t>：</w:t>
      </w:r>
      <w:r>
        <w:rPr>
          <w:rFonts w:hint="eastAsia" w:ascii="宋体" w:hAnsi="宋体" w:cs="宋体"/>
          <w:szCs w:val="21"/>
          <w:highlight w:val="none"/>
          <w:lang w:val="en-US" w:eastAsia="zh-CN"/>
        </w:rPr>
        <w:t>详见供应商须知前附表第</w:t>
      </w:r>
      <w:r>
        <w:rPr>
          <w:rFonts w:hint="eastAsia" w:ascii="宋体" w:hAnsi="宋体" w:eastAsia="宋体" w:cs="宋体"/>
          <w:sz w:val="21"/>
          <w:szCs w:val="21"/>
          <w:highlight w:val="none"/>
        </w:rPr>
        <w:t>33</w:t>
      </w:r>
      <w:r>
        <w:rPr>
          <w:rFonts w:hint="eastAsia" w:ascii="宋体" w:hAnsi="宋体" w:eastAsia="宋体" w:cs="宋体"/>
          <w:sz w:val="21"/>
          <w:szCs w:val="21"/>
          <w:highlight w:val="none"/>
          <w:lang w:val="en-US" w:eastAsia="zh-CN"/>
        </w:rPr>
        <w:t>项</w:t>
      </w:r>
    </w:p>
    <w:p w14:paraId="4A506A68">
      <w:pPr>
        <w:keepNext w:val="0"/>
        <w:keepLines w:val="0"/>
        <w:pageBreakBefore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截止期</w:t>
      </w:r>
    </w:p>
    <w:p w14:paraId="1F3640A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w:t>
      </w:r>
      <w:r>
        <w:rPr>
          <w:rFonts w:hint="eastAsia" w:ascii="宋体" w:hAnsi="宋体" w:cs="宋体"/>
          <w:szCs w:val="21"/>
          <w:highlight w:val="none"/>
          <w:lang w:eastAsia="zh-CN"/>
        </w:rPr>
        <w:t>供应商</w:t>
      </w:r>
      <w:r>
        <w:rPr>
          <w:rFonts w:hint="eastAsia" w:ascii="宋体" w:hAnsi="宋体" w:eastAsia="宋体" w:cs="宋体"/>
          <w:szCs w:val="21"/>
          <w:highlight w:val="none"/>
        </w:rPr>
        <w:t>应在</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rPr>
        <w:t>中规定的截止日期和时间内，将响应文件递交至</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rPr>
        <w:t>中规定的地址。</w:t>
      </w:r>
    </w:p>
    <w:p w14:paraId="2981E93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w:t>
      </w:r>
      <w:r>
        <w:rPr>
          <w:rFonts w:hint="eastAsia" w:ascii="宋体" w:hAnsi="宋体" w:cs="宋体"/>
          <w:szCs w:val="21"/>
          <w:highlight w:val="none"/>
          <w:lang w:val="en-US" w:eastAsia="zh-CN"/>
        </w:rPr>
        <w:t>采购人</w:t>
      </w:r>
      <w:r>
        <w:rPr>
          <w:rFonts w:hint="eastAsia" w:ascii="宋体" w:hAnsi="宋体" w:eastAsia="宋体" w:cs="宋体"/>
          <w:szCs w:val="21"/>
          <w:highlight w:val="none"/>
        </w:rPr>
        <w:t>有权按本须知的规定，通过修改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延长响应文件递交的截止日期。在此情况下，</w:t>
      </w:r>
      <w:r>
        <w:rPr>
          <w:rFonts w:hint="eastAsia" w:ascii="宋体" w:hAnsi="宋体" w:cs="宋体"/>
          <w:szCs w:val="21"/>
          <w:highlight w:val="none"/>
          <w:lang w:val="en-US" w:eastAsia="zh-CN"/>
        </w:rPr>
        <w:t>采购人</w:t>
      </w:r>
      <w:r>
        <w:rPr>
          <w:rFonts w:hint="eastAsia" w:ascii="宋体" w:hAnsi="宋体" w:eastAsia="宋体" w:cs="宋体"/>
          <w:szCs w:val="21"/>
          <w:highlight w:val="none"/>
        </w:rPr>
        <w:t>和</w:t>
      </w:r>
      <w:r>
        <w:rPr>
          <w:rFonts w:hint="eastAsia" w:ascii="宋体" w:hAnsi="宋体" w:cs="宋体"/>
          <w:szCs w:val="21"/>
          <w:highlight w:val="none"/>
          <w:lang w:eastAsia="zh-CN"/>
        </w:rPr>
        <w:t>供应商</w:t>
      </w:r>
      <w:r>
        <w:rPr>
          <w:rFonts w:hint="eastAsia" w:ascii="宋体" w:hAnsi="宋体" w:eastAsia="宋体" w:cs="宋体"/>
          <w:szCs w:val="21"/>
          <w:highlight w:val="none"/>
        </w:rPr>
        <w:t>受截止期制约的所有权利和义务均应延长至新的截止期。</w:t>
      </w:r>
    </w:p>
    <w:p w14:paraId="3E32D6B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2.3</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将拒绝并原封退回在本须知规定的截止期后收到的任何响应文件。</w:t>
      </w:r>
    </w:p>
    <w:p w14:paraId="1FF9F456">
      <w:pPr>
        <w:keepNext w:val="0"/>
        <w:keepLines w:val="0"/>
        <w:pageBreakBefore w:val="0"/>
        <w:numPr>
          <w:ilvl w:val="0"/>
          <w:numId w:val="5"/>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响应文件的修改与撤回</w:t>
      </w:r>
    </w:p>
    <w:p w14:paraId="23CDD6D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3.1响应文件递交以后，如果</w:t>
      </w:r>
      <w:r>
        <w:rPr>
          <w:rFonts w:hint="eastAsia" w:ascii="宋体" w:hAnsi="宋体" w:cs="宋体"/>
          <w:szCs w:val="21"/>
          <w:highlight w:val="none"/>
          <w:lang w:eastAsia="zh-CN"/>
        </w:rPr>
        <w:t>供应商</w:t>
      </w:r>
      <w:r>
        <w:rPr>
          <w:rFonts w:hint="eastAsia" w:ascii="宋体" w:hAnsi="宋体" w:eastAsia="宋体" w:cs="宋体"/>
          <w:szCs w:val="21"/>
          <w:highlight w:val="none"/>
        </w:rPr>
        <w:t>提出书面修改或撤标要求，在响应文件递交截止时间前送达磋商招标邀请书中规定的地点的，</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将予以接受。</w:t>
      </w:r>
    </w:p>
    <w:p w14:paraId="615F644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w:t>
      </w:r>
      <w:r>
        <w:rPr>
          <w:rFonts w:hint="eastAsia" w:ascii="宋体" w:hAnsi="宋体" w:cs="宋体"/>
          <w:szCs w:val="21"/>
          <w:highlight w:val="none"/>
          <w:lang w:eastAsia="zh-CN"/>
        </w:rPr>
        <w:t>供应商</w:t>
      </w:r>
      <w:r>
        <w:rPr>
          <w:rFonts w:hint="eastAsia" w:ascii="宋体" w:hAnsi="宋体" w:eastAsia="宋体" w:cs="宋体"/>
          <w:szCs w:val="21"/>
          <w:highlight w:val="none"/>
        </w:rPr>
        <w:t>对响应文件的修改或撤回通知应按本须知规定编制、密封、标记和发送。</w:t>
      </w:r>
    </w:p>
    <w:p w14:paraId="6C4E02C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3.3在截止期之后，</w:t>
      </w:r>
      <w:r>
        <w:rPr>
          <w:rFonts w:hint="eastAsia" w:ascii="宋体" w:hAnsi="宋体" w:cs="宋体"/>
          <w:szCs w:val="21"/>
          <w:highlight w:val="none"/>
          <w:lang w:eastAsia="zh-CN"/>
        </w:rPr>
        <w:t>供应商</w:t>
      </w:r>
      <w:r>
        <w:rPr>
          <w:rFonts w:hint="eastAsia" w:ascii="宋体" w:hAnsi="宋体" w:eastAsia="宋体" w:cs="宋体"/>
          <w:szCs w:val="21"/>
          <w:highlight w:val="none"/>
        </w:rPr>
        <w:t>不得对其响应文件做任何修改。</w:t>
      </w:r>
    </w:p>
    <w:p w14:paraId="44EA612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3.4从截止期至</w:t>
      </w:r>
      <w:r>
        <w:rPr>
          <w:rFonts w:hint="eastAsia" w:ascii="宋体" w:hAnsi="宋体" w:cs="宋体"/>
          <w:szCs w:val="21"/>
          <w:highlight w:val="none"/>
          <w:lang w:eastAsia="zh-CN"/>
        </w:rPr>
        <w:t>供应商</w:t>
      </w:r>
      <w:r>
        <w:rPr>
          <w:rFonts w:hint="eastAsia" w:ascii="宋体" w:hAnsi="宋体" w:eastAsia="宋体" w:cs="宋体"/>
          <w:szCs w:val="21"/>
          <w:highlight w:val="none"/>
        </w:rPr>
        <w:t>在响应文件格式中确定的报价有效期之间，</w:t>
      </w:r>
      <w:r>
        <w:rPr>
          <w:rFonts w:hint="eastAsia" w:ascii="宋体" w:hAnsi="宋体" w:cs="宋体"/>
          <w:szCs w:val="21"/>
          <w:highlight w:val="none"/>
          <w:lang w:eastAsia="zh-CN"/>
        </w:rPr>
        <w:t>供应商</w:t>
      </w:r>
      <w:r>
        <w:rPr>
          <w:rFonts w:hint="eastAsia" w:ascii="宋体" w:hAnsi="宋体" w:eastAsia="宋体" w:cs="宋体"/>
          <w:szCs w:val="21"/>
          <w:highlight w:val="none"/>
        </w:rPr>
        <w:t>不得撤回其响应文件，否则其</w:t>
      </w:r>
      <w:r>
        <w:rPr>
          <w:rFonts w:hint="eastAsia" w:ascii="宋体" w:hAnsi="宋体" w:cs="宋体"/>
          <w:szCs w:val="21"/>
          <w:highlight w:val="none"/>
          <w:lang w:val="en-US" w:eastAsia="zh-CN"/>
        </w:rPr>
        <w:t>投标</w:t>
      </w:r>
      <w:r>
        <w:rPr>
          <w:rFonts w:hint="eastAsia" w:ascii="宋体" w:hAnsi="宋体" w:eastAsia="宋体" w:cs="宋体"/>
          <w:szCs w:val="21"/>
          <w:highlight w:val="none"/>
        </w:rPr>
        <w:t>保证金将按照本须知的规定不予退回。</w:t>
      </w:r>
    </w:p>
    <w:p w14:paraId="16B7ABC2">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第五部分</w:t>
      </w:r>
      <w:r>
        <w:rPr>
          <w:rFonts w:hint="eastAsia" w:ascii="宋体" w:hAnsi="宋体" w:cs="宋体"/>
          <w:b/>
          <w:bCs/>
          <w:szCs w:val="21"/>
          <w:highlight w:val="none"/>
          <w:lang w:eastAsia="zh-CN"/>
        </w:rPr>
        <w:t>、</w:t>
      </w:r>
      <w:r>
        <w:rPr>
          <w:rFonts w:hint="eastAsia" w:ascii="宋体" w:hAnsi="宋体" w:eastAsia="宋体" w:cs="宋体"/>
          <w:b/>
          <w:bCs/>
          <w:szCs w:val="21"/>
          <w:highlight w:val="none"/>
        </w:rPr>
        <w:t>响应文件的评审</w:t>
      </w:r>
    </w:p>
    <w:p w14:paraId="65889115">
      <w:pPr>
        <w:keepNext w:val="0"/>
        <w:keepLines w:val="0"/>
        <w:pageBreakBefore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组建磋商小组</w:t>
      </w:r>
    </w:p>
    <w:p w14:paraId="5F417A3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磋商小组根据</w:t>
      </w:r>
      <w:r>
        <w:rPr>
          <w:rFonts w:hint="eastAsia" w:ascii="宋体" w:hAnsi="宋体" w:cs="宋体"/>
          <w:szCs w:val="21"/>
          <w:highlight w:val="none"/>
          <w:lang w:val="en-US" w:eastAsia="zh-CN"/>
        </w:rPr>
        <w:t>项目</w:t>
      </w:r>
      <w:r>
        <w:rPr>
          <w:rFonts w:hint="eastAsia" w:ascii="宋体" w:hAnsi="宋体" w:eastAsia="宋体" w:cs="宋体"/>
          <w:szCs w:val="21"/>
          <w:highlight w:val="none"/>
        </w:rPr>
        <w:t>内容的特点进行组建，并负责评审工作。磋商小组的构成及抽取方式详见</w:t>
      </w:r>
      <w:r>
        <w:rPr>
          <w:rFonts w:hint="eastAsia" w:ascii="宋体" w:hAnsi="宋体" w:cs="宋体"/>
          <w:szCs w:val="21"/>
          <w:highlight w:val="none"/>
          <w:lang w:eastAsia="zh-CN"/>
        </w:rPr>
        <w:t>供应商</w:t>
      </w:r>
      <w:r>
        <w:rPr>
          <w:rFonts w:hint="eastAsia" w:ascii="宋体" w:hAnsi="宋体" w:eastAsia="宋体" w:cs="宋体"/>
          <w:szCs w:val="21"/>
          <w:highlight w:val="none"/>
        </w:rPr>
        <w:t>须知前附表。</w:t>
      </w:r>
    </w:p>
    <w:p w14:paraId="69154CEF">
      <w:pPr>
        <w:keepNext w:val="0"/>
        <w:keepLines w:val="0"/>
        <w:pageBreakBefore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响应文件的初审与澄清</w:t>
      </w:r>
    </w:p>
    <w:p w14:paraId="223E43F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响应文件的初审分为形式、资格和响应性评审。形式、资格、响应性评审依据法律、法规和</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的规定，对响应文件中的资格证明、</w:t>
      </w:r>
      <w:r>
        <w:rPr>
          <w:rFonts w:hint="eastAsia" w:ascii="宋体" w:hAnsi="宋体" w:cs="宋体"/>
          <w:szCs w:val="21"/>
          <w:highlight w:val="none"/>
          <w:lang w:val="en-US" w:eastAsia="zh-CN"/>
        </w:rPr>
        <w:t>投标</w:t>
      </w:r>
      <w:r>
        <w:rPr>
          <w:rFonts w:hint="eastAsia" w:ascii="宋体" w:hAnsi="宋体" w:eastAsia="宋体" w:cs="宋体"/>
          <w:szCs w:val="21"/>
          <w:highlight w:val="none"/>
        </w:rPr>
        <w:t>保证金等进行审查，以确定</w:t>
      </w:r>
      <w:r>
        <w:rPr>
          <w:rFonts w:hint="eastAsia" w:ascii="宋体" w:hAnsi="宋体" w:cs="宋体"/>
          <w:szCs w:val="21"/>
          <w:highlight w:val="none"/>
          <w:lang w:eastAsia="zh-CN"/>
        </w:rPr>
        <w:t>供应商</w:t>
      </w:r>
      <w:r>
        <w:rPr>
          <w:rFonts w:hint="eastAsia" w:ascii="宋体" w:hAnsi="宋体" w:eastAsia="宋体" w:cs="宋体"/>
          <w:szCs w:val="21"/>
          <w:highlight w:val="none"/>
        </w:rPr>
        <w:t>是否具备报价资格。</w:t>
      </w:r>
    </w:p>
    <w:p w14:paraId="396EE78B">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响应文件的澄清</w:t>
      </w:r>
    </w:p>
    <w:p w14:paraId="21A5647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3.1在评审期间，磋商小组有权以书面方式要求</w:t>
      </w:r>
      <w:r>
        <w:rPr>
          <w:rFonts w:hint="eastAsia" w:ascii="宋体" w:hAnsi="宋体" w:cs="宋体"/>
          <w:szCs w:val="21"/>
          <w:highlight w:val="none"/>
          <w:lang w:eastAsia="zh-CN"/>
        </w:rPr>
        <w:t>供应商</w:t>
      </w:r>
      <w:r>
        <w:rPr>
          <w:rFonts w:hint="eastAsia" w:ascii="宋体" w:hAnsi="宋体" w:eastAsia="宋体" w:cs="宋体"/>
          <w:szCs w:val="21"/>
          <w:highlight w:val="none"/>
        </w:rPr>
        <w:t>对其响应文件中含义不明确、对同类问题表述不一致或者有明显文字和计算错误的内容做必要的澄清。</w:t>
      </w:r>
      <w:r>
        <w:rPr>
          <w:rFonts w:hint="eastAsia" w:ascii="宋体" w:hAnsi="宋体" w:cs="宋体"/>
          <w:szCs w:val="21"/>
          <w:highlight w:val="none"/>
          <w:lang w:eastAsia="zh-CN"/>
        </w:rPr>
        <w:t>供应商</w:t>
      </w:r>
      <w:r>
        <w:rPr>
          <w:rFonts w:hint="eastAsia" w:ascii="宋体" w:hAnsi="宋体" w:eastAsia="宋体" w:cs="宋体"/>
          <w:szCs w:val="21"/>
          <w:highlight w:val="none"/>
        </w:rPr>
        <w:t>澄清应在磋商小组规定的时间内以书面方式进行，并不得超出响应文件范围或者改变响应文件的实质性内容。</w:t>
      </w:r>
    </w:p>
    <w:p w14:paraId="6AB0CAF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3.2澄清文件将作为响应文件内容的一部分。</w:t>
      </w:r>
    </w:p>
    <w:p w14:paraId="51BF622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4.比较与评价</w:t>
      </w:r>
    </w:p>
    <w:p w14:paraId="6354FD91">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4.1经审查合格的响应文件。</w:t>
      </w:r>
    </w:p>
    <w:p w14:paraId="7CA95AFD">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4.1.1磋商小组所有成员应当集中与单一</w:t>
      </w:r>
      <w:r>
        <w:rPr>
          <w:rFonts w:hint="eastAsia" w:ascii="宋体" w:hAnsi="宋体" w:cs="宋体"/>
          <w:szCs w:val="21"/>
          <w:highlight w:val="none"/>
          <w:lang w:eastAsia="zh-CN"/>
        </w:rPr>
        <w:t>供应商</w:t>
      </w:r>
      <w:r>
        <w:rPr>
          <w:rFonts w:hint="eastAsia" w:ascii="宋体" w:hAnsi="宋体" w:eastAsia="宋体" w:cs="宋体"/>
          <w:szCs w:val="21"/>
          <w:highlight w:val="none"/>
        </w:rPr>
        <w:t>分别进行磋商，并给予所有参加磋商的</w:t>
      </w:r>
      <w:r>
        <w:rPr>
          <w:rFonts w:hint="eastAsia" w:ascii="宋体" w:hAnsi="宋体" w:cs="宋体"/>
          <w:szCs w:val="21"/>
          <w:highlight w:val="none"/>
          <w:lang w:eastAsia="zh-CN"/>
        </w:rPr>
        <w:t>供应商</w:t>
      </w:r>
      <w:r>
        <w:rPr>
          <w:rFonts w:hint="eastAsia" w:ascii="宋体" w:hAnsi="宋体" w:eastAsia="宋体" w:cs="宋体"/>
          <w:szCs w:val="21"/>
          <w:highlight w:val="none"/>
        </w:rPr>
        <w:t>平等的磋商机会。在磋商过程中，磋商小组可以根据</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和磋商情况实质性变动</w:t>
      </w:r>
      <w:r>
        <w:rPr>
          <w:rFonts w:hint="eastAsia" w:ascii="宋体" w:hAnsi="宋体" w:cs="宋体"/>
          <w:szCs w:val="21"/>
          <w:highlight w:val="none"/>
          <w:lang w:val="en-US" w:eastAsia="zh-CN"/>
        </w:rPr>
        <w:t>采购</w:t>
      </w:r>
      <w:r>
        <w:rPr>
          <w:rFonts w:hint="eastAsia" w:ascii="宋体" w:hAnsi="宋体" w:eastAsia="宋体" w:cs="宋体"/>
          <w:szCs w:val="21"/>
          <w:highlight w:val="none"/>
        </w:rPr>
        <w:t>需求中的技术、服务要求以及合同草案条款，但不变动</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中的其他内容。实质性变动的内容，须经</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代表确认。</w:t>
      </w:r>
    </w:p>
    <w:p w14:paraId="17156143">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4.1.2对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作出的实质性变动是</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的有效组成部分，磋商小组将及时以书面形式同时通知所有参加磋商的</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6A0B3DE3">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4.1.3</w:t>
      </w:r>
      <w:r>
        <w:rPr>
          <w:rFonts w:hint="eastAsia" w:ascii="宋体" w:hAnsi="宋体" w:cs="宋体"/>
          <w:szCs w:val="21"/>
          <w:highlight w:val="none"/>
          <w:lang w:eastAsia="zh-CN"/>
        </w:rPr>
        <w:t>供应商</w:t>
      </w:r>
      <w:r>
        <w:rPr>
          <w:rFonts w:hint="eastAsia" w:ascii="宋体" w:hAnsi="宋体" w:eastAsia="宋体" w:cs="宋体"/>
          <w:szCs w:val="21"/>
          <w:highlight w:val="none"/>
        </w:rPr>
        <w:t>应当按照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的变动情况和磋商小组的要求重新提交响应文件，并由其法定代表人或授权代表签字或者加盖公章。由授权代表签字的，应当附法定代表人授权书。</w:t>
      </w:r>
      <w:r>
        <w:rPr>
          <w:rFonts w:hint="eastAsia" w:ascii="宋体" w:hAnsi="宋体" w:cs="宋体"/>
          <w:szCs w:val="21"/>
          <w:highlight w:val="none"/>
          <w:lang w:eastAsia="zh-CN"/>
        </w:rPr>
        <w:t>供应商</w:t>
      </w:r>
      <w:r>
        <w:rPr>
          <w:rFonts w:hint="eastAsia" w:ascii="宋体" w:hAnsi="宋体" w:eastAsia="宋体" w:cs="宋体"/>
          <w:szCs w:val="21"/>
          <w:highlight w:val="none"/>
        </w:rPr>
        <w:t>为自然人的，应当由本人签字并附身份证明。</w:t>
      </w:r>
    </w:p>
    <w:p w14:paraId="0E4A820D">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4.1.4</w:t>
      </w:r>
      <w:r>
        <w:rPr>
          <w:rFonts w:hint="eastAsia" w:ascii="宋体" w:hAnsi="宋体" w:cs="宋体"/>
          <w:szCs w:val="21"/>
          <w:highlight w:val="none"/>
          <w:lang w:val="en-US" w:eastAsia="zh-CN"/>
        </w:rPr>
        <w:t>磋商</w:t>
      </w:r>
      <w:r>
        <w:rPr>
          <w:rFonts w:hint="eastAsia" w:ascii="宋体" w:hAnsi="宋体" w:eastAsia="宋体" w:cs="宋体"/>
          <w:szCs w:val="21"/>
          <w:highlight w:val="none"/>
        </w:rPr>
        <w:t>结束后，磋商小组将要求所有实质性响应的</w:t>
      </w:r>
      <w:r>
        <w:rPr>
          <w:rFonts w:hint="eastAsia" w:ascii="宋体" w:hAnsi="宋体" w:cs="宋体"/>
          <w:szCs w:val="21"/>
          <w:highlight w:val="none"/>
          <w:lang w:eastAsia="zh-CN"/>
        </w:rPr>
        <w:t>供应商</w:t>
      </w:r>
      <w:r>
        <w:rPr>
          <w:rFonts w:hint="eastAsia" w:ascii="宋体" w:hAnsi="宋体" w:eastAsia="宋体" w:cs="宋体"/>
          <w:szCs w:val="21"/>
          <w:highlight w:val="none"/>
        </w:rPr>
        <w:t>在规定时间内提交最后报价，提交最后报价的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不得少于3家。最后报价是</w:t>
      </w:r>
      <w:r>
        <w:rPr>
          <w:rFonts w:hint="eastAsia" w:ascii="宋体" w:hAnsi="宋体" w:cs="宋体"/>
          <w:szCs w:val="21"/>
          <w:highlight w:val="none"/>
          <w:lang w:eastAsia="zh-CN"/>
        </w:rPr>
        <w:t>供应商</w:t>
      </w:r>
      <w:r>
        <w:rPr>
          <w:rFonts w:hint="eastAsia" w:ascii="宋体" w:hAnsi="宋体" w:eastAsia="宋体" w:cs="宋体"/>
          <w:szCs w:val="21"/>
          <w:highlight w:val="none"/>
        </w:rPr>
        <w:t>响应文件的有效组成部分</w:t>
      </w:r>
      <w:r>
        <w:rPr>
          <w:rFonts w:hint="eastAsia" w:ascii="宋体" w:hAnsi="宋体" w:cs="宋体"/>
          <w:szCs w:val="21"/>
          <w:highlight w:val="none"/>
          <w:lang w:eastAsia="zh-CN"/>
        </w:rPr>
        <w:t>。</w:t>
      </w:r>
    </w:p>
    <w:p w14:paraId="5003B38C">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4.1.5已提交响应文件的</w:t>
      </w:r>
      <w:r>
        <w:rPr>
          <w:rFonts w:hint="eastAsia" w:ascii="宋体" w:hAnsi="宋体" w:cs="宋体"/>
          <w:szCs w:val="21"/>
          <w:highlight w:val="none"/>
          <w:lang w:eastAsia="zh-CN"/>
        </w:rPr>
        <w:t>供应商</w:t>
      </w:r>
      <w:r>
        <w:rPr>
          <w:rFonts w:hint="eastAsia" w:ascii="宋体" w:hAnsi="宋体" w:eastAsia="宋体" w:cs="宋体"/>
          <w:szCs w:val="21"/>
          <w:highlight w:val="none"/>
        </w:rPr>
        <w:t>，在提交最后报价之前，可以根据磋商情况退出磋商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将退还退出磋商招标的</w:t>
      </w:r>
      <w:r>
        <w:rPr>
          <w:rFonts w:hint="eastAsia" w:ascii="宋体" w:hAnsi="宋体" w:cs="宋体"/>
          <w:szCs w:val="21"/>
          <w:highlight w:val="none"/>
          <w:lang w:eastAsia="zh-CN"/>
        </w:rPr>
        <w:t>供应商</w:t>
      </w:r>
      <w:r>
        <w:rPr>
          <w:rFonts w:hint="eastAsia" w:ascii="宋体" w:hAnsi="宋体" w:eastAsia="宋体" w:cs="宋体"/>
          <w:szCs w:val="21"/>
          <w:highlight w:val="none"/>
        </w:rPr>
        <w:t>的磋商招标保证金。</w:t>
      </w:r>
    </w:p>
    <w:p w14:paraId="3BD6728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4.1.6经确定最终采购需求和提交最后报价的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后，由磋商小组采用综合评分法对提交最后报价的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的响应文件和最后报价进行综合评分。</w:t>
      </w:r>
    </w:p>
    <w:p w14:paraId="4F36271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4.2评审严格按照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的要求和条件进行。评审时将考虑以下因素：</w:t>
      </w:r>
    </w:p>
    <w:p w14:paraId="27D077E9">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资信实力；</w:t>
      </w:r>
    </w:p>
    <w:p w14:paraId="0923DFC4">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报价的合理性；</w:t>
      </w:r>
    </w:p>
    <w:p w14:paraId="44E07537">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技术服务方案； </w:t>
      </w:r>
    </w:p>
    <w:p w14:paraId="4E3C4F5D">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商务响应；</w:t>
      </w:r>
    </w:p>
    <w:p w14:paraId="12BB5D7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4.3本次评审将采用下列方法：</w:t>
      </w:r>
    </w:p>
    <w:p w14:paraId="1FCBDC9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详见评分标准。</w:t>
      </w:r>
    </w:p>
    <w:p w14:paraId="2F816D7E">
      <w:pPr>
        <w:keepNext w:val="0"/>
        <w:keepLines w:val="0"/>
        <w:pageBreakBefore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评审过程及保密原则</w:t>
      </w:r>
    </w:p>
    <w:p w14:paraId="235AFEA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5.1响应文件递交后，直接授予成交</w:t>
      </w:r>
      <w:r>
        <w:rPr>
          <w:rFonts w:hint="eastAsia" w:ascii="宋体" w:hAnsi="宋体" w:cs="宋体"/>
          <w:szCs w:val="21"/>
          <w:highlight w:val="none"/>
          <w:lang w:eastAsia="zh-CN"/>
        </w:rPr>
        <w:t>供应商</w:t>
      </w:r>
      <w:r>
        <w:rPr>
          <w:rFonts w:hint="eastAsia" w:ascii="宋体" w:hAnsi="宋体" w:eastAsia="宋体" w:cs="宋体"/>
          <w:szCs w:val="21"/>
          <w:highlight w:val="none"/>
        </w:rPr>
        <w:t>合同止，凡与本次采购有关人员对属于审查、澄清、评价和比较报价的有关资料以及授标意向等，均不得向</w:t>
      </w:r>
      <w:r>
        <w:rPr>
          <w:rFonts w:hint="eastAsia" w:ascii="宋体" w:hAnsi="宋体" w:cs="宋体"/>
          <w:szCs w:val="21"/>
          <w:highlight w:val="none"/>
          <w:lang w:eastAsia="zh-CN"/>
        </w:rPr>
        <w:t>供应商</w:t>
      </w:r>
      <w:r>
        <w:rPr>
          <w:rFonts w:hint="eastAsia" w:ascii="宋体" w:hAnsi="宋体" w:eastAsia="宋体" w:cs="宋体"/>
          <w:szCs w:val="21"/>
          <w:highlight w:val="none"/>
        </w:rPr>
        <w:t>或其他无关的人员透露。</w:t>
      </w:r>
    </w:p>
    <w:p w14:paraId="6B1BEB5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5.2在磋商评审期间，</w:t>
      </w:r>
      <w:r>
        <w:rPr>
          <w:rFonts w:hint="eastAsia" w:ascii="宋体" w:hAnsi="宋体" w:cs="宋体"/>
          <w:szCs w:val="21"/>
          <w:highlight w:val="none"/>
          <w:lang w:eastAsia="zh-CN"/>
        </w:rPr>
        <w:t>供应商</w:t>
      </w:r>
      <w:r>
        <w:rPr>
          <w:rFonts w:hint="eastAsia" w:ascii="宋体" w:hAnsi="宋体" w:eastAsia="宋体" w:cs="宋体"/>
          <w:szCs w:val="21"/>
          <w:highlight w:val="none"/>
        </w:rPr>
        <w:t>试图影响采购单位和磋商小组的任何活动，将导致其报价被拒绝，并承担相应的法律责任。</w:t>
      </w:r>
    </w:p>
    <w:p w14:paraId="056D2602">
      <w:pPr>
        <w:pStyle w:val="38"/>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6.本项目采用综合评分法，评审标准详见附表《评审细则》，评审时</w:t>
      </w:r>
      <w:r>
        <w:rPr>
          <w:rFonts w:hint="eastAsia" w:ascii="宋体" w:hAnsi="宋体" w:cs="宋体"/>
          <w:szCs w:val="21"/>
          <w:highlight w:val="none"/>
          <w:lang w:eastAsia="zh-CN"/>
        </w:rPr>
        <w:t>磋商小组</w:t>
      </w:r>
      <w:r>
        <w:rPr>
          <w:rFonts w:hint="eastAsia" w:ascii="宋体" w:hAnsi="宋体" w:eastAsia="宋体" w:cs="宋体"/>
          <w:szCs w:val="21"/>
          <w:highlight w:val="none"/>
        </w:rPr>
        <w:t>将严格按照评审细则中的分值设置与评审因素进行量化打分。</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中没有规定的评审标准不得作为评审依据。评审时，</w:t>
      </w:r>
      <w:r>
        <w:rPr>
          <w:rFonts w:hint="eastAsia" w:ascii="宋体" w:hAnsi="宋体" w:cs="宋体"/>
          <w:szCs w:val="21"/>
          <w:highlight w:val="none"/>
          <w:lang w:eastAsia="zh-CN"/>
        </w:rPr>
        <w:t>磋商小组</w:t>
      </w:r>
      <w:r>
        <w:rPr>
          <w:rFonts w:hint="eastAsia" w:ascii="宋体" w:hAnsi="宋体" w:eastAsia="宋体" w:cs="宋体"/>
          <w:szCs w:val="21"/>
          <w:highlight w:val="none"/>
        </w:rPr>
        <w:t>各成员独立对每个有效响应的文件进行评价、打分，然后汇总每个</w:t>
      </w:r>
      <w:r>
        <w:rPr>
          <w:rFonts w:hint="eastAsia" w:ascii="宋体" w:hAnsi="宋体" w:cs="宋体"/>
          <w:szCs w:val="21"/>
          <w:highlight w:val="none"/>
          <w:lang w:eastAsia="zh-CN"/>
        </w:rPr>
        <w:t>供应商</w:t>
      </w:r>
      <w:r>
        <w:rPr>
          <w:rFonts w:hint="eastAsia" w:ascii="宋体" w:hAnsi="宋体" w:eastAsia="宋体" w:cs="宋体"/>
          <w:szCs w:val="21"/>
          <w:highlight w:val="none"/>
        </w:rPr>
        <w:t>每项评分因素的得分。</w:t>
      </w:r>
    </w:p>
    <w:p w14:paraId="31AD0AE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cs="宋体"/>
          <w:szCs w:val="21"/>
          <w:highlight w:val="none"/>
          <w:lang w:eastAsia="zh-CN"/>
        </w:rPr>
        <w:t>磋商小组</w:t>
      </w:r>
      <w:r>
        <w:rPr>
          <w:rFonts w:hint="eastAsia" w:ascii="宋体" w:hAnsi="宋体" w:eastAsia="宋体" w:cs="宋体"/>
          <w:szCs w:val="21"/>
          <w:highlight w:val="none"/>
        </w:rPr>
        <w:t>根据综合评分情况，按照评审得分由高到低顺序推荐3名成交候选</w:t>
      </w:r>
      <w:r>
        <w:rPr>
          <w:rFonts w:hint="eastAsia" w:ascii="宋体" w:hAnsi="宋体" w:cs="宋体"/>
          <w:szCs w:val="21"/>
          <w:highlight w:val="none"/>
          <w:lang w:eastAsia="zh-CN"/>
        </w:rPr>
        <w:t>供应商</w:t>
      </w:r>
      <w:r>
        <w:rPr>
          <w:rFonts w:hint="eastAsia" w:ascii="宋体" w:hAnsi="宋体" w:eastAsia="宋体" w:cs="宋体"/>
          <w:szCs w:val="21"/>
          <w:highlight w:val="none"/>
        </w:rPr>
        <w:t>，并编写评审报告。评审得分相同的，按照最后报价由低到高的顺序推荐。评审得分且最后报价相同的，按照技术部分优劣顺序推荐。</w:t>
      </w:r>
    </w:p>
    <w:p w14:paraId="563EEB05">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szCs w:val="21"/>
          <w:highlight w:val="none"/>
        </w:rPr>
        <w:t>8.</w:t>
      </w:r>
      <w:r>
        <w:rPr>
          <w:rFonts w:hint="eastAsia" w:ascii="宋体" w:hAnsi="宋体" w:eastAsia="宋体" w:cs="宋体"/>
          <w:bCs/>
          <w:szCs w:val="21"/>
          <w:highlight w:val="none"/>
        </w:rPr>
        <w:t xml:space="preserve"> 原则上推荐排名位于第一名的成交候选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。若排名第一的成交候选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放弃中标、因不可抗力提出不能履行合同或</w:t>
      </w:r>
      <w:r>
        <w:rPr>
          <w:rFonts w:hint="eastAsia" w:ascii="宋体" w:hAnsi="宋体" w:cs="宋体"/>
          <w:bCs/>
          <w:szCs w:val="21"/>
          <w:highlight w:val="none"/>
          <w:lang w:eastAsia="zh-CN"/>
        </w:rPr>
        <w:t>竞争性磋商文件</w:t>
      </w:r>
      <w:r>
        <w:rPr>
          <w:rFonts w:hint="eastAsia" w:ascii="宋体" w:hAnsi="宋体" w:eastAsia="宋体" w:cs="宋体"/>
          <w:bCs/>
          <w:szCs w:val="21"/>
          <w:highlight w:val="none"/>
        </w:rPr>
        <w:t>规定应当提交履约保证金而在规定的期限内未能提交的，采购人有权选择重新招标，或者采购人确定排名第二的成交候选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，以此类推。</w:t>
      </w:r>
    </w:p>
    <w:p w14:paraId="016AAC29">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 xml:space="preserve">9. </w:t>
      </w:r>
      <w:r>
        <w:rPr>
          <w:rFonts w:hint="eastAsia" w:ascii="宋体" w:hAnsi="宋体" w:cs="宋体"/>
          <w:bCs/>
          <w:szCs w:val="21"/>
          <w:highlight w:val="none"/>
          <w:lang w:eastAsia="zh-CN"/>
        </w:rPr>
        <w:t>磋商小组</w:t>
      </w:r>
      <w:r>
        <w:rPr>
          <w:rFonts w:hint="eastAsia" w:ascii="宋体" w:hAnsi="宋体" w:eastAsia="宋体" w:cs="宋体"/>
          <w:bCs/>
          <w:szCs w:val="21"/>
          <w:highlight w:val="none"/>
        </w:rPr>
        <w:t>完成评标后，应当向采购人提交书面评标报告。</w:t>
      </w:r>
    </w:p>
    <w:p w14:paraId="1CBC7D0F">
      <w:pPr>
        <w:rPr>
          <w:rFonts w:hint="eastAsia" w:ascii="宋体" w:hAnsi="宋体" w:eastAsia="宋体" w:cs="宋体"/>
          <w:highlight w:val="none"/>
        </w:rPr>
      </w:pPr>
      <w:r>
        <w:rPr>
          <w:rFonts w:hint="eastAsia" w:ascii="宋体" w:hAnsi="宋体" w:eastAsia="宋体" w:cs="宋体"/>
          <w:highlight w:val="none"/>
        </w:rPr>
        <w:br w:type="page"/>
      </w:r>
    </w:p>
    <w:p w14:paraId="74628B90">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19" w:name="_Toc23467"/>
      <w:bookmarkStart w:id="20" w:name="_Toc22415"/>
      <w:r>
        <w:rPr>
          <w:rFonts w:hint="eastAsia" w:ascii="宋体" w:hAnsi="宋体" w:eastAsia="宋体" w:cs="宋体"/>
          <w:b/>
          <w:sz w:val="32"/>
          <w:szCs w:val="28"/>
          <w:highlight w:val="none"/>
          <w:lang w:val="zh-CN" w:eastAsia="zh-CN"/>
        </w:rPr>
        <w:t>第三章、评标办法</w:t>
      </w:r>
      <w:bookmarkEnd w:id="19"/>
      <w:bookmarkEnd w:id="20"/>
    </w:p>
    <w:p w14:paraId="027DB2DC">
      <w:pPr>
        <w:bidi w:val="0"/>
        <w:jc w:val="center"/>
        <w:rPr>
          <w:rFonts w:hint="eastAsia" w:ascii="宋体" w:hAnsi="宋体" w:eastAsia="宋体" w:cs="宋体"/>
          <w:highlight w:val="none"/>
          <w:lang w:val="zh-CN"/>
        </w:rPr>
      </w:pPr>
      <w:bookmarkStart w:id="21" w:name="_Toc2149"/>
      <w:bookmarkStart w:id="22" w:name="_Toc382396561"/>
      <w:r>
        <w:rPr>
          <w:rFonts w:hint="eastAsia" w:ascii="宋体" w:hAnsi="宋体" w:eastAsia="宋体" w:cs="宋体"/>
          <w:highlight w:val="none"/>
          <w:lang w:val="zh-CN"/>
        </w:rPr>
        <w:t>评标办法前附表（一）</w:t>
      </w:r>
      <w:bookmarkEnd w:id="21"/>
      <w:bookmarkEnd w:id="22"/>
    </w:p>
    <w:tbl>
      <w:tblPr>
        <w:tblStyle w:val="22"/>
        <w:tblpPr w:leftFromText="180" w:rightFromText="180" w:vertAnchor="text" w:horzAnchor="page" w:tblpX="879" w:tblpY="393"/>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1"/>
        <w:gridCol w:w="2023"/>
        <w:gridCol w:w="6241"/>
      </w:tblGrid>
      <w:tr w14:paraId="1246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blHeader/>
        </w:trPr>
        <w:tc>
          <w:tcPr>
            <w:tcW w:w="1695" w:type="dxa"/>
            <w:gridSpan w:val="2"/>
            <w:noWrap w:val="0"/>
            <w:vAlign w:val="center"/>
          </w:tcPr>
          <w:p w14:paraId="3C91C3DC">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条款号</w:t>
            </w:r>
          </w:p>
        </w:tc>
        <w:tc>
          <w:tcPr>
            <w:tcW w:w="2023" w:type="dxa"/>
            <w:noWrap w:val="0"/>
            <w:vAlign w:val="center"/>
          </w:tcPr>
          <w:p w14:paraId="54B5E8B7">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6241" w:type="dxa"/>
            <w:noWrap w:val="0"/>
            <w:vAlign w:val="center"/>
          </w:tcPr>
          <w:p w14:paraId="57B7BEAB">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r>
      <w:tr w14:paraId="191E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24" w:type="dxa"/>
            <w:vMerge w:val="restart"/>
            <w:noWrap w:val="0"/>
            <w:vAlign w:val="center"/>
          </w:tcPr>
          <w:p w14:paraId="1F51C629">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w:t>
            </w:r>
          </w:p>
        </w:tc>
        <w:tc>
          <w:tcPr>
            <w:tcW w:w="871" w:type="dxa"/>
            <w:vMerge w:val="restart"/>
            <w:noWrap w:val="0"/>
            <w:vAlign w:val="center"/>
          </w:tcPr>
          <w:p w14:paraId="2B89B85D">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资格评审标准</w:t>
            </w:r>
          </w:p>
          <w:p w14:paraId="29DF8C5F">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2023" w:type="dxa"/>
            <w:noWrap w:val="0"/>
            <w:vAlign w:val="center"/>
          </w:tcPr>
          <w:p w14:paraId="7AA6F375">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营业执照</w:t>
            </w:r>
          </w:p>
        </w:tc>
        <w:tc>
          <w:tcPr>
            <w:tcW w:w="6241" w:type="dxa"/>
            <w:noWrap w:val="0"/>
            <w:vAlign w:val="center"/>
          </w:tcPr>
          <w:p w14:paraId="37DC603B">
            <w:pPr>
              <w:autoSpaceDE w:val="0"/>
              <w:autoSpaceDN w:val="0"/>
              <w:adjustRightInd w:val="0"/>
              <w:spacing w:line="0" w:lineRule="atLeast"/>
              <w:rPr>
                <w:rFonts w:hint="eastAsia" w:ascii="宋体" w:hAnsi="宋体" w:cs="宋体"/>
                <w:color w:val="auto"/>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具备有效的营业执照</w:t>
            </w:r>
            <w:r>
              <w:rPr>
                <w:rFonts w:hint="eastAsia" w:ascii="宋体" w:hAnsi="宋体" w:cs="宋体"/>
                <w:color w:val="auto"/>
                <w:szCs w:val="21"/>
                <w:highlight w:val="none"/>
                <w:lang w:val="zh-CN"/>
              </w:rPr>
              <w:t>；</w:t>
            </w:r>
          </w:p>
          <w:p w14:paraId="7788E0ED">
            <w:pPr>
              <w:autoSpaceDE w:val="0"/>
              <w:autoSpaceDN w:val="0"/>
              <w:adjustRightInd w:val="0"/>
              <w:spacing w:line="0" w:lineRule="atLeast"/>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注：提供营业执照（副本），投标文件内附复印件加盖供应商公章。</w:t>
            </w:r>
          </w:p>
        </w:tc>
      </w:tr>
      <w:tr w14:paraId="562D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24" w:type="dxa"/>
            <w:vMerge w:val="continue"/>
            <w:noWrap w:val="0"/>
            <w:vAlign w:val="center"/>
          </w:tcPr>
          <w:p w14:paraId="79481693">
            <w:pPr>
              <w:autoSpaceDE w:val="0"/>
              <w:autoSpaceDN w:val="0"/>
              <w:adjustRightInd w:val="0"/>
              <w:spacing w:line="0" w:lineRule="atLeast"/>
              <w:rPr>
                <w:rFonts w:hint="eastAsia" w:ascii="宋体" w:hAnsi="宋体" w:cs="宋体"/>
                <w:bCs/>
                <w:color w:val="auto"/>
                <w:szCs w:val="21"/>
                <w:highlight w:val="none"/>
                <w:lang w:val="zh-CN"/>
              </w:rPr>
            </w:pPr>
          </w:p>
        </w:tc>
        <w:tc>
          <w:tcPr>
            <w:tcW w:w="871" w:type="dxa"/>
            <w:vMerge w:val="continue"/>
            <w:noWrap w:val="0"/>
            <w:vAlign w:val="center"/>
          </w:tcPr>
          <w:p w14:paraId="45BE4AC8">
            <w:pPr>
              <w:autoSpaceDE w:val="0"/>
              <w:autoSpaceDN w:val="0"/>
              <w:adjustRightInd w:val="0"/>
              <w:spacing w:line="0" w:lineRule="atLeast"/>
              <w:rPr>
                <w:rFonts w:hint="eastAsia" w:ascii="宋体" w:hAnsi="宋体" w:cs="宋体"/>
                <w:bCs/>
                <w:color w:val="auto"/>
                <w:szCs w:val="21"/>
                <w:highlight w:val="none"/>
                <w:lang w:val="zh-CN"/>
              </w:rPr>
            </w:pPr>
          </w:p>
        </w:tc>
        <w:tc>
          <w:tcPr>
            <w:tcW w:w="2023" w:type="dxa"/>
            <w:noWrap w:val="0"/>
            <w:vAlign w:val="center"/>
          </w:tcPr>
          <w:p w14:paraId="510FACED">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财务要求</w:t>
            </w:r>
          </w:p>
        </w:tc>
        <w:tc>
          <w:tcPr>
            <w:tcW w:w="6241" w:type="dxa"/>
            <w:noWrap w:val="0"/>
            <w:vAlign w:val="center"/>
          </w:tcPr>
          <w:p w14:paraId="5005284C">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具有良好的商业信誉和健全的财务会计制度，需</w:t>
            </w:r>
            <w:r>
              <w:rPr>
                <w:rFonts w:hint="eastAsia" w:ascii="宋体" w:hAnsi="宋体" w:cs="宋体"/>
                <w:color w:val="auto"/>
                <w:sz w:val="21"/>
                <w:szCs w:val="21"/>
                <w:highlight w:val="none"/>
                <w:lang w:val="en-US" w:eastAsia="zh-CN"/>
              </w:rPr>
              <w:t>提供资格条件</w:t>
            </w:r>
            <w:r>
              <w:rPr>
                <w:rFonts w:hint="eastAsia" w:ascii="宋体" w:hAnsi="宋体" w:eastAsia="宋体" w:cs="宋体"/>
                <w:color w:val="auto"/>
                <w:sz w:val="21"/>
                <w:szCs w:val="21"/>
                <w:highlight w:val="none"/>
                <w:lang w:val="en-US" w:eastAsia="zh-CN"/>
              </w:rPr>
              <w:t>承诺函。</w:t>
            </w:r>
          </w:p>
        </w:tc>
      </w:tr>
      <w:tr w14:paraId="03B9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24" w:type="dxa"/>
            <w:vMerge w:val="continue"/>
            <w:noWrap w:val="0"/>
            <w:vAlign w:val="center"/>
          </w:tcPr>
          <w:p w14:paraId="6AC720F6">
            <w:pPr>
              <w:autoSpaceDE w:val="0"/>
              <w:autoSpaceDN w:val="0"/>
              <w:adjustRightInd w:val="0"/>
              <w:spacing w:line="0" w:lineRule="atLeast"/>
              <w:rPr>
                <w:rFonts w:hint="eastAsia" w:ascii="宋体" w:hAnsi="宋体" w:cs="宋体"/>
                <w:bCs/>
                <w:color w:val="auto"/>
                <w:szCs w:val="21"/>
                <w:highlight w:val="none"/>
                <w:lang w:val="zh-CN"/>
              </w:rPr>
            </w:pPr>
          </w:p>
        </w:tc>
        <w:tc>
          <w:tcPr>
            <w:tcW w:w="871" w:type="dxa"/>
            <w:vMerge w:val="continue"/>
            <w:noWrap w:val="0"/>
            <w:vAlign w:val="center"/>
          </w:tcPr>
          <w:p w14:paraId="758D147E">
            <w:pPr>
              <w:autoSpaceDE w:val="0"/>
              <w:autoSpaceDN w:val="0"/>
              <w:adjustRightInd w:val="0"/>
              <w:spacing w:line="0" w:lineRule="atLeast"/>
              <w:rPr>
                <w:rFonts w:hint="eastAsia" w:ascii="宋体" w:hAnsi="宋体" w:cs="宋体"/>
                <w:bCs/>
                <w:color w:val="auto"/>
                <w:szCs w:val="21"/>
                <w:highlight w:val="none"/>
                <w:lang w:val="zh-CN"/>
              </w:rPr>
            </w:pPr>
          </w:p>
        </w:tc>
        <w:tc>
          <w:tcPr>
            <w:tcW w:w="2023" w:type="dxa"/>
            <w:noWrap w:val="0"/>
            <w:vAlign w:val="center"/>
          </w:tcPr>
          <w:p w14:paraId="2C5029EA">
            <w:pPr>
              <w:autoSpaceDE w:val="0"/>
              <w:autoSpaceDN w:val="0"/>
              <w:adjustRightInd w:val="0"/>
              <w:spacing w:line="0" w:lineRule="atLeast"/>
              <w:jc w:val="center"/>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lang w:val="zh-CN"/>
              </w:rPr>
              <w:t>依法缴纳税收和社会保障资金</w:t>
            </w:r>
            <w:r>
              <w:rPr>
                <w:rFonts w:hint="eastAsia" w:ascii="新宋体" w:hAnsi="新宋体" w:eastAsia="新宋体" w:cs="新宋体"/>
                <w:color w:val="auto"/>
                <w:szCs w:val="21"/>
                <w:highlight w:val="none"/>
              </w:rPr>
              <w:t>要求</w:t>
            </w:r>
          </w:p>
        </w:tc>
        <w:tc>
          <w:tcPr>
            <w:tcW w:w="6241" w:type="dxa"/>
            <w:noWrap w:val="0"/>
            <w:vAlign w:val="center"/>
          </w:tcPr>
          <w:p w14:paraId="592A16D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新宋体" w:hAnsi="新宋体" w:eastAsia="新宋体" w:cs="新宋体"/>
                <w:color w:val="auto"/>
                <w:szCs w:val="21"/>
                <w:highlight w:val="none"/>
                <w:lang w:val="zh-CN"/>
              </w:rPr>
            </w:pPr>
            <w:r>
              <w:rPr>
                <w:rFonts w:hint="eastAsia" w:ascii="宋体" w:hAnsi="宋体" w:eastAsia="宋体" w:cs="宋体"/>
                <w:color w:val="auto"/>
                <w:sz w:val="21"/>
                <w:szCs w:val="21"/>
                <w:highlight w:val="none"/>
                <w:lang w:val="en-US" w:eastAsia="zh-CN"/>
              </w:rPr>
              <w:t>具有依法缴纳税收和依法缴纳社会保障资金的良好记录，需</w:t>
            </w:r>
            <w:r>
              <w:rPr>
                <w:rFonts w:hint="eastAsia" w:ascii="宋体" w:hAnsi="宋体" w:cs="宋体"/>
                <w:color w:val="auto"/>
                <w:sz w:val="21"/>
                <w:szCs w:val="21"/>
                <w:highlight w:val="none"/>
                <w:lang w:val="en-US" w:eastAsia="zh-CN"/>
              </w:rPr>
              <w:t>提供资格条件</w:t>
            </w:r>
            <w:r>
              <w:rPr>
                <w:rFonts w:hint="eastAsia" w:ascii="宋体" w:hAnsi="宋体" w:eastAsia="宋体" w:cs="宋体"/>
                <w:color w:val="auto"/>
                <w:sz w:val="21"/>
                <w:szCs w:val="21"/>
                <w:highlight w:val="none"/>
                <w:lang w:val="en-US" w:eastAsia="zh-CN"/>
              </w:rPr>
              <w:t>承诺函。</w:t>
            </w:r>
          </w:p>
        </w:tc>
      </w:tr>
      <w:tr w14:paraId="69BD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2" w:hRule="atLeast"/>
        </w:trPr>
        <w:tc>
          <w:tcPr>
            <w:tcW w:w="824" w:type="dxa"/>
            <w:vMerge w:val="continue"/>
            <w:noWrap w:val="0"/>
            <w:vAlign w:val="center"/>
          </w:tcPr>
          <w:p w14:paraId="14E432C6">
            <w:pPr>
              <w:autoSpaceDE w:val="0"/>
              <w:autoSpaceDN w:val="0"/>
              <w:adjustRightInd w:val="0"/>
              <w:spacing w:line="0" w:lineRule="atLeast"/>
              <w:rPr>
                <w:rFonts w:hint="eastAsia" w:ascii="宋体" w:hAnsi="宋体" w:cs="宋体"/>
                <w:bCs/>
                <w:color w:val="auto"/>
                <w:szCs w:val="21"/>
                <w:highlight w:val="none"/>
                <w:lang w:val="zh-CN"/>
              </w:rPr>
            </w:pPr>
          </w:p>
        </w:tc>
        <w:tc>
          <w:tcPr>
            <w:tcW w:w="871" w:type="dxa"/>
            <w:vMerge w:val="continue"/>
            <w:noWrap w:val="0"/>
            <w:vAlign w:val="center"/>
          </w:tcPr>
          <w:p w14:paraId="4E114716">
            <w:pPr>
              <w:autoSpaceDE w:val="0"/>
              <w:autoSpaceDN w:val="0"/>
              <w:adjustRightInd w:val="0"/>
              <w:spacing w:line="0" w:lineRule="atLeast"/>
              <w:rPr>
                <w:rFonts w:hint="eastAsia" w:ascii="宋体" w:hAnsi="宋体" w:cs="宋体"/>
                <w:bCs/>
                <w:color w:val="auto"/>
                <w:szCs w:val="21"/>
                <w:highlight w:val="none"/>
                <w:lang w:val="zh-CN"/>
              </w:rPr>
            </w:pPr>
          </w:p>
        </w:tc>
        <w:tc>
          <w:tcPr>
            <w:tcW w:w="2023" w:type="dxa"/>
            <w:noWrap w:val="0"/>
            <w:vAlign w:val="center"/>
          </w:tcPr>
          <w:p w14:paraId="6471AD03">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信誉要求</w:t>
            </w:r>
          </w:p>
        </w:tc>
        <w:tc>
          <w:tcPr>
            <w:tcW w:w="6241" w:type="dxa"/>
            <w:noWrap w:val="0"/>
            <w:vAlign w:val="center"/>
          </w:tcPr>
          <w:p w14:paraId="0E7662E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）拒绝列入政府取消投标资格记录期间的企业或个人投标。</w:t>
            </w:r>
          </w:p>
          <w:p w14:paraId="7863B49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72DEF5B0">
            <w:pPr>
              <w:autoSpaceDE w:val="0"/>
              <w:autoSpaceDN w:val="0"/>
              <w:adjustRightInd w:val="0"/>
              <w:spacing w:line="0" w:lineRule="atLeast"/>
              <w:rPr>
                <w:rFonts w:hint="eastAsia" w:ascii="宋体" w:hAnsi="宋体" w:cs="宋体"/>
                <w:b/>
                <w:bCs/>
                <w:color w:val="auto"/>
                <w:szCs w:val="21"/>
                <w:highlight w:val="none"/>
                <w:lang w:val="zh-CN"/>
              </w:rPr>
            </w:pPr>
            <w:r>
              <w:rPr>
                <w:rFonts w:hint="eastAsia" w:ascii="宋体" w:hAnsi="宋体" w:eastAsia="宋体" w:cs="宋体"/>
                <w:b w:val="0"/>
                <w:color w:val="auto"/>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w:t>
            </w:r>
            <w:r>
              <w:rPr>
                <w:rFonts w:hint="eastAsia" w:ascii="宋体" w:hAnsi="宋体" w:eastAsia="宋体" w:cs="宋体"/>
                <w:bCs/>
                <w:color w:val="auto"/>
                <w:kern w:val="15"/>
                <w:sz w:val="21"/>
                <w:szCs w:val="21"/>
                <w:highlight w:val="none"/>
                <w:lang w:val="en-US" w:eastAsia="zh-CN"/>
              </w:rPr>
              <w:t>单位</w:t>
            </w:r>
            <w:r>
              <w:rPr>
                <w:rFonts w:hint="eastAsia" w:ascii="宋体" w:hAnsi="宋体" w:eastAsia="宋体" w:cs="宋体"/>
                <w:bCs/>
                <w:color w:val="auto"/>
                <w:kern w:val="15"/>
                <w:sz w:val="21"/>
                <w:szCs w:val="21"/>
                <w:highlight w:val="none"/>
                <w:lang w:val="zh-CN"/>
              </w:rPr>
              <w:t>公章。</w:t>
            </w:r>
          </w:p>
        </w:tc>
      </w:tr>
      <w:tr w14:paraId="1E7A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24" w:type="dxa"/>
            <w:vMerge w:val="continue"/>
            <w:noWrap w:val="0"/>
            <w:vAlign w:val="center"/>
          </w:tcPr>
          <w:p w14:paraId="66CEEEEE">
            <w:pPr>
              <w:autoSpaceDE w:val="0"/>
              <w:autoSpaceDN w:val="0"/>
              <w:adjustRightInd w:val="0"/>
              <w:spacing w:line="0" w:lineRule="atLeast"/>
              <w:rPr>
                <w:rFonts w:hint="eastAsia" w:ascii="宋体" w:hAnsi="宋体" w:cs="宋体"/>
                <w:bCs/>
                <w:color w:val="auto"/>
                <w:szCs w:val="21"/>
                <w:highlight w:val="none"/>
                <w:lang w:val="zh-CN"/>
              </w:rPr>
            </w:pPr>
          </w:p>
        </w:tc>
        <w:tc>
          <w:tcPr>
            <w:tcW w:w="871" w:type="dxa"/>
            <w:vMerge w:val="continue"/>
            <w:noWrap w:val="0"/>
            <w:vAlign w:val="center"/>
          </w:tcPr>
          <w:p w14:paraId="435F6DB3">
            <w:pPr>
              <w:autoSpaceDE w:val="0"/>
              <w:autoSpaceDN w:val="0"/>
              <w:adjustRightInd w:val="0"/>
              <w:spacing w:line="0" w:lineRule="atLeast"/>
              <w:rPr>
                <w:rFonts w:hint="eastAsia" w:ascii="宋体" w:hAnsi="宋体" w:cs="宋体"/>
                <w:bCs/>
                <w:color w:val="auto"/>
                <w:szCs w:val="21"/>
                <w:highlight w:val="none"/>
                <w:lang w:val="zh-CN"/>
              </w:rPr>
            </w:pPr>
          </w:p>
        </w:tc>
        <w:tc>
          <w:tcPr>
            <w:tcW w:w="2023" w:type="dxa"/>
            <w:noWrap w:val="0"/>
            <w:vAlign w:val="center"/>
          </w:tcPr>
          <w:p w14:paraId="5D08BB10">
            <w:pPr>
              <w:autoSpaceDE w:val="0"/>
              <w:autoSpaceDN w:val="0"/>
              <w:adjustRightInd w:val="0"/>
              <w:spacing w:line="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中小企业声明函</w:t>
            </w:r>
          </w:p>
        </w:tc>
        <w:tc>
          <w:tcPr>
            <w:tcW w:w="6241" w:type="dxa"/>
            <w:noWrap w:val="0"/>
            <w:vAlign w:val="center"/>
          </w:tcPr>
          <w:p w14:paraId="0C568215">
            <w:pPr>
              <w:autoSpaceDE w:val="0"/>
              <w:autoSpaceDN w:val="0"/>
              <w:adjustRightInd w:val="0"/>
              <w:spacing w:line="0" w:lineRule="atLeast"/>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标书内附《中小企业声明函》</w:t>
            </w:r>
          </w:p>
        </w:tc>
      </w:tr>
      <w:tr w14:paraId="57AD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24" w:type="dxa"/>
            <w:vMerge w:val="restart"/>
            <w:noWrap w:val="0"/>
            <w:vAlign w:val="center"/>
          </w:tcPr>
          <w:p w14:paraId="5F412913">
            <w:pPr>
              <w:autoSpaceDE w:val="0"/>
              <w:autoSpaceDN w:val="0"/>
              <w:adjustRightInd w:val="0"/>
              <w:spacing w:line="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2.1.3</w:t>
            </w:r>
          </w:p>
        </w:tc>
        <w:tc>
          <w:tcPr>
            <w:tcW w:w="871" w:type="dxa"/>
            <w:vMerge w:val="restart"/>
            <w:noWrap w:val="0"/>
            <w:vAlign w:val="center"/>
          </w:tcPr>
          <w:p w14:paraId="4961D7B9">
            <w:pPr>
              <w:autoSpaceDE w:val="0"/>
              <w:autoSpaceDN w:val="0"/>
              <w:adjustRightInd w:val="0"/>
              <w:spacing w:line="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符合性评审</w:t>
            </w:r>
          </w:p>
        </w:tc>
        <w:tc>
          <w:tcPr>
            <w:tcW w:w="2023" w:type="dxa"/>
            <w:noWrap w:val="0"/>
            <w:vAlign w:val="center"/>
          </w:tcPr>
          <w:p w14:paraId="61D1D108">
            <w:pPr>
              <w:autoSpaceDE w:val="0"/>
              <w:autoSpaceDN w:val="0"/>
              <w:adjustRightInd w:val="0"/>
              <w:spacing w:line="0" w:lineRule="atLeas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合同履行期限</w:t>
            </w:r>
          </w:p>
        </w:tc>
        <w:tc>
          <w:tcPr>
            <w:tcW w:w="6241" w:type="dxa"/>
            <w:noWrap w:val="0"/>
            <w:vAlign w:val="center"/>
          </w:tcPr>
          <w:p w14:paraId="4DE8E8B4">
            <w:pPr>
              <w:autoSpaceDE w:val="0"/>
              <w:autoSpaceDN w:val="0"/>
              <w:adjustRightInd w:val="0"/>
              <w:spacing w:line="0" w:lineRule="atLeas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自合同签订之日起至验收合格90个工作日</w:t>
            </w:r>
          </w:p>
        </w:tc>
      </w:tr>
      <w:tr w14:paraId="43B0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24" w:type="dxa"/>
            <w:vMerge w:val="continue"/>
            <w:noWrap w:val="0"/>
            <w:vAlign w:val="top"/>
          </w:tcPr>
          <w:p w14:paraId="410F9778">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163A5893">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229F402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color w:val="auto"/>
                <w:szCs w:val="21"/>
                <w:highlight w:val="none"/>
                <w:lang w:val="zh-CN"/>
              </w:rPr>
            </w:pPr>
            <w:r>
              <w:rPr>
                <w:rFonts w:hint="eastAsia" w:ascii="宋体" w:hAnsi="宋体" w:eastAsia="宋体" w:cs="宋体"/>
                <w:b w:val="0"/>
                <w:color w:val="auto"/>
                <w:sz w:val="21"/>
                <w:szCs w:val="21"/>
                <w:highlight w:val="none"/>
                <w:lang w:val="zh-CN"/>
              </w:rPr>
              <w:t>供应商名称</w:t>
            </w:r>
          </w:p>
        </w:tc>
        <w:tc>
          <w:tcPr>
            <w:tcW w:w="6241" w:type="dxa"/>
            <w:noWrap w:val="0"/>
            <w:vAlign w:val="center"/>
          </w:tcPr>
          <w:p w14:paraId="4688F71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与营业执照一致</w:t>
            </w:r>
          </w:p>
        </w:tc>
      </w:tr>
      <w:tr w14:paraId="7E39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24" w:type="dxa"/>
            <w:vMerge w:val="continue"/>
            <w:noWrap w:val="0"/>
            <w:vAlign w:val="top"/>
          </w:tcPr>
          <w:p w14:paraId="4CDD8AE9">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5074F33E">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5C6865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color w:val="auto"/>
                <w:szCs w:val="21"/>
                <w:highlight w:val="none"/>
                <w:lang w:val="zh-CN"/>
              </w:rPr>
            </w:pPr>
            <w:r>
              <w:rPr>
                <w:rFonts w:hint="eastAsia" w:ascii="宋体" w:hAnsi="宋体" w:cs="宋体"/>
                <w:b w:val="0"/>
                <w:color w:val="auto"/>
                <w:sz w:val="21"/>
                <w:szCs w:val="21"/>
                <w:highlight w:val="none"/>
                <w:lang w:val="zh-CN"/>
              </w:rPr>
              <w:t>投标文件</w:t>
            </w:r>
            <w:r>
              <w:rPr>
                <w:rFonts w:hint="eastAsia" w:ascii="宋体" w:hAnsi="宋体" w:eastAsia="宋体" w:cs="宋体"/>
                <w:b w:val="0"/>
                <w:color w:val="auto"/>
                <w:sz w:val="21"/>
                <w:szCs w:val="21"/>
                <w:highlight w:val="none"/>
                <w:lang w:val="zh-CN"/>
              </w:rPr>
              <w:t>签字、盖章要求</w:t>
            </w:r>
          </w:p>
        </w:tc>
        <w:tc>
          <w:tcPr>
            <w:tcW w:w="6241" w:type="dxa"/>
            <w:noWrap w:val="0"/>
            <w:vAlign w:val="center"/>
          </w:tcPr>
          <w:p w14:paraId="2BBDDCF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符合</w:t>
            </w:r>
            <w:r>
              <w:rPr>
                <w:rFonts w:hint="eastAsia" w:ascii="宋体" w:hAnsi="宋体" w:cs="宋体"/>
                <w:b w:val="0"/>
                <w:color w:val="auto"/>
                <w:sz w:val="21"/>
                <w:szCs w:val="21"/>
                <w:highlight w:val="none"/>
                <w:lang w:val="en-US" w:eastAsia="zh-CN"/>
              </w:rPr>
              <w:t>竞争性磋商文件的</w:t>
            </w:r>
            <w:r>
              <w:rPr>
                <w:rFonts w:hint="eastAsia" w:ascii="宋体" w:hAnsi="宋体" w:eastAsia="宋体" w:cs="宋体"/>
                <w:b w:val="0"/>
                <w:color w:val="auto"/>
                <w:sz w:val="21"/>
                <w:szCs w:val="21"/>
                <w:highlight w:val="none"/>
                <w:lang w:val="zh-CN"/>
              </w:rPr>
              <w:t>要求</w:t>
            </w:r>
          </w:p>
        </w:tc>
      </w:tr>
      <w:tr w14:paraId="6196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824" w:type="dxa"/>
            <w:vMerge w:val="continue"/>
            <w:noWrap w:val="0"/>
            <w:vAlign w:val="top"/>
          </w:tcPr>
          <w:p w14:paraId="08B6C339">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59BE3B32">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03D1A61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color w:val="auto"/>
                <w:szCs w:val="21"/>
                <w:highlight w:val="none"/>
                <w:lang w:val="zh-CN"/>
              </w:rPr>
            </w:pPr>
            <w:r>
              <w:rPr>
                <w:rFonts w:hint="eastAsia" w:ascii="宋体" w:hAnsi="宋体" w:cs="宋体"/>
                <w:b w:val="0"/>
                <w:color w:val="auto"/>
                <w:sz w:val="21"/>
                <w:szCs w:val="21"/>
                <w:highlight w:val="none"/>
                <w:lang w:val="zh-CN"/>
              </w:rPr>
              <w:t>投标文件</w:t>
            </w:r>
            <w:r>
              <w:rPr>
                <w:rFonts w:hint="eastAsia" w:ascii="宋体" w:hAnsi="宋体" w:eastAsia="宋体" w:cs="宋体"/>
                <w:b w:val="0"/>
                <w:color w:val="auto"/>
                <w:sz w:val="21"/>
                <w:szCs w:val="21"/>
                <w:highlight w:val="none"/>
                <w:lang w:val="zh-CN"/>
              </w:rPr>
              <w:t>格式</w:t>
            </w:r>
          </w:p>
        </w:tc>
        <w:tc>
          <w:tcPr>
            <w:tcW w:w="6241" w:type="dxa"/>
            <w:noWrap w:val="0"/>
            <w:vAlign w:val="center"/>
          </w:tcPr>
          <w:p w14:paraId="5C6BFD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符合“</w:t>
            </w:r>
            <w:r>
              <w:rPr>
                <w:rFonts w:hint="eastAsia" w:ascii="宋体" w:hAnsi="宋体" w:cs="宋体"/>
                <w:b w:val="0"/>
                <w:color w:val="auto"/>
                <w:sz w:val="21"/>
                <w:szCs w:val="21"/>
                <w:highlight w:val="none"/>
                <w:lang w:val="en-US" w:eastAsia="zh-CN"/>
              </w:rPr>
              <w:t>投标</w:t>
            </w:r>
            <w:r>
              <w:rPr>
                <w:rFonts w:hint="eastAsia" w:ascii="宋体" w:hAnsi="宋体" w:eastAsia="宋体" w:cs="宋体"/>
                <w:b w:val="0"/>
                <w:color w:val="auto"/>
                <w:sz w:val="21"/>
                <w:szCs w:val="21"/>
                <w:highlight w:val="none"/>
                <w:lang w:val="zh-CN"/>
              </w:rPr>
              <w:t>文件格式”的要求。并满足</w:t>
            </w:r>
            <w:r>
              <w:rPr>
                <w:rFonts w:hint="eastAsia" w:ascii="宋体" w:hAnsi="宋体" w:cs="宋体"/>
                <w:b w:val="0"/>
                <w:color w:val="auto"/>
                <w:sz w:val="21"/>
                <w:szCs w:val="21"/>
                <w:highlight w:val="none"/>
                <w:lang w:val="en-US" w:eastAsia="zh-CN"/>
              </w:rPr>
              <w:t>招标</w:t>
            </w:r>
            <w:r>
              <w:rPr>
                <w:rFonts w:hint="eastAsia" w:ascii="宋体" w:hAnsi="宋体" w:eastAsia="宋体" w:cs="宋体"/>
                <w:b w:val="0"/>
                <w:color w:val="auto"/>
                <w:sz w:val="21"/>
                <w:szCs w:val="21"/>
                <w:highlight w:val="none"/>
                <w:lang w:val="en-US" w:eastAsia="zh-CN"/>
              </w:rPr>
              <w:t>文件</w:t>
            </w:r>
            <w:r>
              <w:rPr>
                <w:rFonts w:hint="eastAsia" w:ascii="宋体" w:hAnsi="宋体" w:eastAsia="宋体" w:cs="宋体"/>
                <w:b w:val="0"/>
                <w:color w:val="auto"/>
                <w:sz w:val="21"/>
                <w:szCs w:val="21"/>
                <w:highlight w:val="none"/>
                <w:lang w:val="zh-CN"/>
              </w:rPr>
              <w:t>要求的签字盖章要求</w:t>
            </w:r>
          </w:p>
        </w:tc>
      </w:tr>
      <w:tr w14:paraId="0B25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24" w:type="dxa"/>
            <w:vMerge w:val="continue"/>
            <w:noWrap w:val="0"/>
            <w:vAlign w:val="top"/>
          </w:tcPr>
          <w:p w14:paraId="3595FE2A">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7347B395">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5DCF444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color w:val="auto"/>
                <w:szCs w:val="21"/>
                <w:highlight w:val="none"/>
                <w:lang w:val="zh-CN"/>
              </w:rPr>
            </w:pPr>
            <w:r>
              <w:rPr>
                <w:rFonts w:hint="eastAsia" w:ascii="宋体" w:hAnsi="宋体" w:eastAsia="宋体" w:cs="宋体"/>
                <w:b w:val="0"/>
                <w:color w:val="auto"/>
                <w:sz w:val="21"/>
                <w:szCs w:val="21"/>
                <w:highlight w:val="none"/>
                <w:lang w:val="zh-CN"/>
              </w:rPr>
              <w:t>报价唯一</w:t>
            </w:r>
          </w:p>
        </w:tc>
        <w:tc>
          <w:tcPr>
            <w:tcW w:w="6241" w:type="dxa"/>
            <w:noWrap w:val="0"/>
            <w:vAlign w:val="center"/>
          </w:tcPr>
          <w:p w14:paraId="6FD5D75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只能有一个有效报价</w:t>
            </w:r>
            <w:r>
              <w:rPr>
                <w:rFonts w:hint="eastAsia" w:ascii="宋体" w:hAnsi="宋体" w:eastAsia="宋体" w:cs="宋体"/>
                <w:b w:val="0"/>
                <w:color w:val="auto"/>
                <w:sz w:val="21"/>
                <w:szCs w:val="21"/>
                <w:highlight w:val="none"/>
                <w:lang w:val="en-US" w:eastAsia="zh-CN"/>
              </w:rPr>
              <w:t>且不得超过预算金额</w:t>
            </w:r>
          </w:p>
        </w:tc>
      </w:tr>
      <w:tr w14:paraId="1C9F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24" w:type="dxa"/>
            <w:vMerge w:val="continue"/>
            <w:noWrap w:val="0"/>
            <w:vAlign w:val="top"/>
          </w:tcPr>
          <w:p w14:paraId="12E447E2">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332D5EFA">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04D9A86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服务地点</w:t>
            </w:r>
          </w:p>
        </w:tc>
        <w:tc>
          <w:tcPr>
            <w:tcW w:w="6241" w:type="dxa"/>
            <w:noWrap w:val="0"/>
            <w:vAlign w:val="center"/>
          </w:tcPr>
          <w:p w14:paraId="6E9661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en-US" w:eastAsia="zh-CN"/>
              </w:rPr>
              <w:t>德惠市人民医院</w:t>
            </w:r>
          </w:p>
        </w:tc>
      </w:tr>
      <w:tr w14:paraId="0E0B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824" w:type="dxa"/>
            <w:vMerge w:val="continue"/>
            <w:noWrap w:val="0"/>
            <w:vAlign w:val="top"/>
          </w:tcPr>
          <w:p w14:paraId="64A1AEC1">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871" w:type="dxa"/>
            <w:vMerge w:val="continue"/>
            <w:noWrap w:val="0"/>
            <w:vAlign w:val="top"/>
          </w:tcPr>
          <w:p w14:paraId="168057DC">
            <w:pPr>
              <w:autoSpaceDE w:val="0"/>
              <w:autoSpaceDN w:val="0"/>
              <w:adjustRightInd w:val="0"/>
              <w:spacing w:line="0" w:lineRule="atLeast"/>
              <w:jc w:val="left"/>
              <w:rPr>
                <w:rFonts w:hint="eastAsia" w:ascii="宋体" w:hAnsi="宋体" w:cs="宋体"/>
                <w:bCs/>
                <w:color w:val="auto"/>
                <w:szCs w:val="21"/>
                <w:highlight w:val="none"/>
                <w:lang w:val="en-US" w:eastAsia="zh-CN"/>
              </w:rPr>
            </w:pPr>
          </w:p>
        </w:tc>
        <w:tc>
          <w:tcPr>
            <w:tcW w:w="2023" w:type="dxa"/>
            <w:noWrap w:val="0"/>
            <w:vAlign w:val="center"/>
          </w:tcPr>
          <w:p w14:paraId="3FC9CB8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color w:val="auto"/>
                <w:sz w:val="21"/>
                <w:szCs w:val="21"/>
                <w:highlight w:val="none"/>
                <w:lang w:val="zh-CN" w:eastAsia="zh-CN"/>
              </w:rPr>
            </w:pPr>
            <w:r>
              <w:rPr>
                <w:rFonts w:hint="eastAsia" w:ascii="宋体" w:hAnsi="宋体" w:eastAsia="宋体" w:cs="宋体"/>
                <w:b w:val="0"/>
                <w:color w:val="auto"/>
                <w:sz w:val="21"/>
                <w:szCs w:val="21"/>
                <w:highlight w:val="none"/>
                <w:lang w:val="en-US" w:eastAsia="zh-CN"/>
              </w:rPr>
              <w:t>质保期</w:t>
            </w:r>
          </w:p>
        </w:tc>
        <w:tc>
          <w:tcPr>
            <w:tcW w:w="6241" w:type="dxa"/>
            <w:noWrap w:val="0"/>
            <w:vAlign w:val="center"/>
          </w:tcPr>
          <w:p w14:paraId="6B887AC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color w:val="auto"/>
                <w:sz w:val="21"/>
                <w:szCs w:val="21"/>
                <w:highlight w:val="none"/>
                <w:lang w:val="zh-CN" w:eastAsia="zh-CN"/>
              </w:rPr>
            </w:pPr>
            <w:r>
              <w:rPr>
                <w:rFonts w:hint="eastAsia" w:ascii="宋体" w:hAnsi="宋体" w:eastAsia="宋体" w:cs="宋体"/>
                <w:b w:val="0"/>
                <w:color w:val="auto"/>
                <w:sz w:val="21"/>
                <w:szCs w:val="21"/>
                <w:highlight w:val="none"/>
                <w:lang w:val="en-US" w:eastAsia="zh-CN"/>
              </w:rPr>
              <w:t>自验收之日起，提供三年免费维保服务</w:t>
            </w:r>
          </w:p>
        </w:tc>
      </w:tr>
      <w:tr w14:paraId="2E39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24" w:type="dxa"/>
            <w:vMerge w:val="continue"/>
            <w:noWrap w:val="0"/>
            <w:vAlign w:val="top"/>
          </w:tcPr>
          <w:p w14:paraId="00454C9A">
            <w:pPr>
              <w:autoSpaceDE w:val="0"/>
              <w:autoSpaceDN w:val="0"/>
              <w:adjustRightInd w:val="0"/>
              <w:spacing w:line="0" w:lineRule="atLeast"/>
              <w:jc w:val="left"/>
              <w:rPr>
                <w:rFonts w:hint="eastAsia" w:ascii="宋体" w:hAnsi="宋体" w:cs="宋体"/>
                <w:bCs/>
                <w:color w:val="auto"/>
                <w:szCs w:val="21"/>
                <w:highlight w:val="none"/>
                <w:lang w:val="zh-CN"/>
              </w:rPr>
            </w:pPr>
          </w:p>
        </w:tc>
        <w:tc>
          <w:tcPr>
            <w:tcW w:w="871" w:type="dxa"/>
            <w:vMerge w:val="continue"/>
            <w:noWrap w:val="0"/>
            <w:vAlign w:val="top"/>
          </w:tcPr>
          <w:p w14:paraId="46ADD207">
            <w:pPr>
              <w:autoSpaceDE w:val="0"/>
              <w:autoSpaceDN w:val="0"/>
              <w:adjustRightInd w:val="0"/>
              <w:spacing w:line="0" w:lineRule="atLeast"/>
              <w:jc w:val="left"/>
              <w:rPr>
                <w:rFonts w:hint="eastAsia" w:ascii="宋体" w:hAnsi="宋体" w:cs="宋体"/>
                <w:bCs/>
                <w:color w:val="auto"/>
                <w:szCs w:val="21"/>
                <w:highlight w:val="none"/>
                <w:lang w:val="zh-CN"/>
              </w:rPr>
            </w:pPr>
          </w:p>
        </w:tc>
        <w:tc>
          <w:tcPr>
            <w:tcW w:w="2023" w:type="dxa"/>
            <w:noWrap w:val="0"/>
            <w:vAlign w:val="center"/>
          </w:tcPr>
          <w:p w14:paraId="5461F04A">
            <w:pPr>
              <w:autoSpaceDE w:val="0"/>
              <w:autoSpaceDN w:val="0"/>
              <w:adjustRightInd w:val="0"/>
              <w:spacing w:line="0" w:lineRule="atLeast"/>
              <w:jc w:val="center"/>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服务标准</w:t>
            </w:r>
          </w:p>
        </w:tc>
        <w:tc>
          <w:tcPr>
            <w:tcW w:w="6241" w:type="dxa"/>
            <w:noWrap w:val="0"/>
            <w:vAlign w:val="center"/>
          </w:tcPr>
          <w:p w14:paraId="060E03A2">
            <w:pPr>
              <w:autoSpaceDE w:val="0"/>
              <w:autoSpaceDN w:val="0"/>
              <w:adjustRightInd w:val="0"/>
              <w:spacing w:line="0" w:lineRule="atLeast"/>
              <w:jc w:val="left"/>
              <w:rPr>
                <w:rFonts w:hint="eastAsia" w:ascii="宋体" w:hAnsi="宋体" w:cs="宋体"/>
                <w:bCs/>
                <w:color w:val="auto"/>
                <w:szCs w:val="21"/>
                <w:highlight w:val="none"/>
                <w:lang w:val="zh-CN"/>
              </w:rPr>
            </w:pPr>
            <w:r>
              <w:rPr>
                <w:rFonts w:hint="eastAsia" w:ascii="宋体" w:hAnsi="宋体" w:cs="宋体"/>
                <w:color w:val="auto"/>
                <w:szCs w:val="21"/>
                <w:highlight w:val="none"/>
                <w:lang w:val="en-US" w:eastAsia="zh-CN"/>
              </w:rPr>
              <w:t>优质服务</w:t>
            </w:r>
          </w:p>
        </w:tc>
      </w:tr>
      <w:tr w14:paraId="4838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824" w:type="dxa"/>
            <w:vMerge w:val="continue"/>
            <w:noWrap w:val="0"/>
            <w:vAlign w:val="top"/>
          </w:tcPr>
          <w:p w14:paraId="6F864C4D">
            <w:pPr>
              <w:autoSpaceDE w:val="0"/>
              <w:autoSpaceDN w:val="0"/>
              <w:adjustRightInd w:val="0"/>
              <w:spacing w:line="0" w:lineRule="atLeast"/>
              <w:jc w:val="left"/>
              <w:rPr>
                <w:rFonts w:hint="eastAsia" w:ascii="宋体" w:hAnsi="宋体" w:cs="宋体"/>
                <w:bCs/>
                <w:color w:val="auto"/>
                <w:szCs w:val="21"/>
                <w:highlight w:val="none"/>
                <w:lang w:val="zh-CN"/>
              </w:rPr>
            </w:pPr>
          </w:p>
        </w:tc>
        <w:tc>
          <w:tcPr>
            <w:tcW w:w="871" w:type="dxa"/>
            <w:vMerge w:val="continue"/>
            <w:noWrap w:val="0"/>
            <w:vAlign w:val="top"/>
          </w:tcPr>
          <w:p w14:paraId="50F98CE7">
            <w:pPr>
              <w:autoSpaceDE w:val="0"/>
              <w:autoSpaceDN w:val="0"/>
              <w:adjustRightInd w:val="0"/>
              <w:spacing w:line="0" w:lineRule="atLeast"/>
              <w:jc w:val="left"/>
              <w:rPr>
                <w:rFonts w:hint="eastAsia" w:ascii="宋体" w:hAnsi="宋体" w:cs="宋体"/>
                <w:bCs/>
                <w:color w:val="auto"/>
                <w:szCs w:val="21"/>
                <w:highlight w:val="none"/>
                <w:lang w:val="zh-CN"/>
              </w:rPr>
            </w:pPr>
          </w:p>
        </w:tc>
        <w:tc>
          <w:tcPr>
            <w:tcW w:w="2023" w:type="dxa"/>
            <w:noWrap w:val="0"/>
            <w:vAlign w:val="center"/>
          </w:tcPr>
          <w:p w14:paraId="5C59F7E6">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投标有效期</w:t>
            </w:r>
          </w:p>
        </w:tc>
        <w:tc>
          <w:tcPr>
            <w:tcW w:w="6241" w:type="dxa"/>
            <w:noWrap w:val="0"/>
            <w:vAlign w:val="center"/>
          </w:tcPr>
          <w:p w14:paraId="4A7D8A6E">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投标截止之日后90天（日历天）</w:t>
            </w:r>
          </w:p>
        </w:tc>
      </w:tr>
      <w:tr w14:paraId="4CBE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24" w:type="dxa"/>
            <w:vMerge w:val="continue"/>
            <w:noWrap w:val="0"/>
            <w:vAlign w:val="top"/>
          </w:tcPr>
          <w:p w14:paraId="398CB474">
            <w:pPr>
              <w:autoSpaceDE w:val="0"/>
              <w:autoSpaceDN w:val="0"/>
              <w:adjustRightInd w:val="0"/>
              <w:spacing w:line="0" w:lineRule="atLeast"/>
              <w:jc w:val="left"/>
              <w:rPr>
                <w:rFonts w:hint="eastAsia" w:ascii="宋体" w:hAnsi="宋体" w:cs="宋体"/>
                <w:bCs/>
                <w:color w:val="auto"/>
                <w:szCs w:val="21"/>
                <w:highlight w:val="none"/>
                <w:lang w:val="zh-CN"/>
              </w:rPr>
            </w:pPr>
          </w:p>
        </w:tc>
        <w:tc>
          <w:tcPr>
            <w:tcW w:w="871" w:type="dxa"/>
            <w:vMerge w:val="continue"/>
            <w:noWrap w:val="0"/>
            <w:vAlign w:val="top"/>
          </w:tcPr>
          <w:p w14:paraId="2B5AC92B">
            <w:pPr>
              <w:autoSpaceDE w:val="0"/>
              <w:autoSpaceDN w:val="0"/>
              <w:adjustRightInd w:val="0"/>
              <w:spacing w:line="0" w:lineRule="atLeast"/>
              <w:jc w:val="left"/>
              <w:rPr>
                <w:rFonts w:hint="eastAsia" w:ascii="宋体" w:hAnsi="宋体" w:cs="宋体"/>
                <w:bCs/>
                <w:color w:val="auto"/>
                <w:szCs w:val="21"/>
                <w:highlight w:val="none"/>
                <w:lang w:val="zh-CN"/>
              </w:rPr>
            </w:pPr>
          </w:p>
        </w:tc>
        <w:tc>
          <w:tcPr>
            <w:tcW w:w="2023" w:type="dxa"/>
            <w:noWrap w:val="0"/>
            <w:vAlign w:val="center"/>
          </w:tcPr>
          <w:p w14:paraId="73173B6F">
            <w:pPr>
              <w:spacing w:line="0" w:lineRule="atLeast"/>
              <w:jc w:val="center"/>
              <w:rPr>
                <w:rFonts w:hint="eastAsia" w:ascii="宋体" w:hAnsi="宋体" w:cs="宋体"/>
                <w:bCs/>
                <w:color w:val="auto"/>
                <w:szCs w:val="21"/>
                <w:highlight w:val="none"/>
                <w:lang w:val="zh-CN"/>
              </w:rPr>
            </w:pPr>
            <w:r>
              <w:rPr>
                <w:rFonts w:hint="eastAsia" w:ascii="宋体" w:hAnsi="宋体" w:cs="宋体"/>
                <w:color w:val="auto"/>
                <w:szCs w:val="21"/>
                <w:highlight w:val="none"/>
              </w:rPr>
              <w:t>采购预算</w:t>
            </w:r>
          </w:p>
        </w:tc>
        <w:tc>
          <w:tcPr>
            <w:tcW w:w="6241" w:type="dxa"/>
            <w:noWrap w:val="0"/>
            <w:vAlign w:val="center"/>
          </w:tcPr>
          <w:p w14:paraId="1C546D5A">
            <w:pPr>
              <w:spacing w:line="0" w:lineRule="atLeast"/>
              <w:jc w:val="left"/>
              <w:rPr>
                <w:rFonts w:hint="eastAsia" w:ascii="宋体" w:hAnsi="宋体" w:cs="宋体"/>
                <w:color w:val="auto"/>
                <w:szCs w:val="21"/>
                <w:highlight w:val="none"/>
              </w:rPr>
            </w:pPr>
            <w:r>
              <w:rPr>
                <w:rFonts w:hint="eastAsia" w:ascii="新宋体" w:hAnsi="新宋体" w:eastAsia="新宋体" w:cs="新宋体"/>
                <w:color w:val="auto"/>
                <w:szCs w:val="21"/>
                <w:highlight w:val="none"/>
                <w:lang w:val="en-US" w:eastAsia="zh-CN" w:bidi="ar"/>
              </w:rPr>
              <w:t>180万元</w:t>
            </w:r>
          </w:p>
          <w:p w14:paraId="50DEEB29">
            <w:pPr>
              <w:spacing w:line="0" w:lineRule="atLeast"/>
              <w:jc w:val="left"/>
              <w:rPr>
                <w:rFonts w:hint="eastAsia" w:ascii="宋体" w:hAnsi="宋体" w:cs="宋体"/>
                <w:bCs/>
                <w:color w:val="auto"/>
                <w:szCs w:val="21"/>
                <w:highlight w:val="none"/>
                <w:lang w:val="zh-CN"/>
              </w:rPr>
            </w:pPr>
            <w:r>
              <w:rPr>
                <w:rFonts w:hint="eastAsia" w:ascii="宋体" w:hAnsi="宋体" w:cs="宋体"/>
                <w:b/>
                <w:bCs/>
                <w:color w:val="auto"/>
                <w:szCs w:val="21"/>
                <w:highlight w:val="none"/>
              </w:rPr>
              <w:t>注：超出此采购预算的投标报价视为无效报价，其投标将被否决</w:t>
            </w:r>
          </w:p>
        </w:tc>
      </w:tr>
      <w:tr w14:paraId="052C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24" w:type="dxa"/>
            <w:vMerge w:val="continue"/>
            <w:noWrap w:val="0"/>
            <w:vAlign w:val="top"/>
          </w:tcPr>
          <w:p w14:paraId="26227904">
            <w:pPr>
              <w:autoSpaceDE w:val="0"/>
              <w:autoSpaceDN w:val="0"/>
              <w:adjustRightInd w:val="0"/>
              <w:spacing w:line="0" w:lineRule="atLeast"/>
              <w:jc w:val="left"/>
              <w:rPr>
                <w:rFonts w:hint="eastAsia" w:ascii="宋体" w:hAnsi="宋体" w:cs="宋体"/>
                <w:bCs/>
                <w:color w:val="auto"/>
                <w:szCs w:val="21"/>
                <w:highlight w:val="none"/>
                <w:lang w:val="zh-CN"/>
              </w:rPr>
            </w:pPr>
          </w:p>
        </w:tc>
        <w:tc>
          <w:tcPr>
            <w:tcW w:w="871" w:type="dxa"/>
            <w:vMerge w:val="continue"/>
            <w:noWrap w:val="0"/>
            <w:vAlign w:val="top"/>
          </w:tcPr>
          <w:p w14:paraId="1D2D70E5">
            <w:pPr>
              <w:autoSpaceDE w:val="0"/>
              <w:autoSpaceDN w:val="0"/>
              <w:adjustRightInd w:val="0"/>
              <w:spacing w:line="0" w:lineRule="atLeast"/>
              <w:jc w:val="left"/>
              <w:rPr>
                <w:rFonts w:hint="eastAsia" w:ascii="宋体" w:hAnsi="宋体" w:cs="宋体"/>
                <w:bCs/>
                <w:color w:val="auto"/>
                <w:szCs w:val="21"/>
                <w:highlight w:val="none"/>
                <w:lang w:val="zh-CN"/>
              </w:rPr>
            </w:pPr>
          </w:p>
        </w:tc>
        <w:tc>
          <w:tcPr>
            <w:tcW w:w="2023" w:type="dxa"/>
            <w:noWrap w:val="0"/>
            <w:vAlign w:val="center"/>
          </w:tcPr>
          <w:p w14:paraId="24BFAF54">
            <w:pPr>
              <w:spacing w:line="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其他要求</w:t>
            </w:r>
          </w:p>
        </w:tc>
        <w:tc>
          <w:tcPr>
            <w:tcW w:w="6241" w:type="dxa"/>
            <w:noWrap w:val="0"/>
            <w:vAlign w:val="center"/>
          </w:tcPr>
          <w:p w14:paraId="10A7D723">
            <w:pPr>
              <w:spacing w:line="0" w:lineRule="atLeast"/>
              <w:jc w:val="left"/>
              <w:rPr>
                <w:rFonts w:hint="default" w:ascii="宋体" w:hAnsi="宋体" w:eastAsia="宋体" w:cs="宋体"/>
                <w:color w:val="auto"/>
                <w:szCs w:val="21"/>
                <w:highlight w:val="none"/>
                <w:lang w:val="en-US" w:eastAsia="zh-CN"/>
              </w:rPr>
            </w:pPr>
            <w:r>
              <w:rPr>
                <w:rFonts w:hint="eastAsia" w:ascii="宋体" w:hAnsi="宋体" w:cs="Times New Roman"/>
                <w:b w:val="0"/>
                <w:bCs/>
                <w:color w:val="auto"/>
                <w:kern w:val="0"/>
                <w:szCs w:val="21"/>
                <w:highlight w:val="none"/>
                <w:lang w:val="en-US" w:eastAsia="zh-CN"/>
              </w:rPr>
              <w:t>符合招标文件规定的其他要求</w:t>
            </w:r>
          </w:p>
        </w:tc>
      </w:tr>
    </w:tbl>
    <w:p w14:paraId="17BFFF0D">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03B27702">
      <w:pPr>
        <w:bidi w:val="0"/>
        <w:jc w:val="center"/>
        <w:rPr>
          <w:rFonts w:hint="eastAsia" w:ascii="宋体" w:hAnsi="宋体" w:eastAsia="宋体" w:cs="宋体"/>
          <w:highlight w:val="none"/>
          <w:lang w:val="zh-CN"/>
        </w:rPr>
      </w:pPr>
      <w:bookmarkStart w:id="23" w:name="_Toc31653"/>
      <w:r>
        <w:rPr>
          <w:rFonts w:hint="eastAsia" w:ascii="宋体" w:hAnsi="宋体" w:eastAsia="宋体" w:cs="宋体"/>
          <w:highlight w:val="none"/>
          <w:lang w:val="zh-CN"/>
        </w:rPr>
        <w:t>评标办法前附表（二）</w:t>
      </w:r>
      <w:bookmarkEnd w:id="23"/>
    </w:p>
    <w:tbl>
      <w:tblPr>
        <w:tblStyle w:val="22"/>
        <w:tblpPr w:leftFromText="180" w:rightFromText="180" w:vertAnchor="text" w:horzAnchor="page" w:tblpX="1373" w:tblpY="323"/>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2366"/>
        <w:gridCol w:w="5572"/>
      </w:tblGrid>
      <w:tr w14:paraId="3D1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559" w:type="dxa"/>
            <w:gridSpan w:val="2"/>
            <w:vAlign w:val="center"/>
          </w:tcPr>
          <w:p w14:paraId="38C703B3">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条款号</w:t>
            </w:r>
          </w:p>
        </w:tc>
        <w:tc>
          <w:tcPr>
            <w:tcW w:w="2366" w:type="dxa"/>
            <w:vAlign w:val="center"/>
          </w:tcPr>
          <w:p w14:paraId="418367FC">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评审因素</w:t>
            </w:r>
          </w:p>
        </w:tc>
        <w:tc>
          <w:tcPr>
            <w:tcW w:w="5572" w:type="dxa"/>
            <w:vAlign w:val="center"/>
          </w:tcPr>
          <w:p w14:paraId="27226EEF">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评审标准</w:t>
            </w:r>
          </w:p>
        </w:tc>
      </w:tr>
      <w:tr w14:paraId="0C22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559" w:type="dxa"/>
            <w:gridSpan w:val="2"/>
            <w:vAlign w:val="center"/>
          </w:tcPr>
          <w:p w14:paraId="5C301EA9">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2.2.1</w:t>
            </w:r>
          </w:p>
          <w:p w14:paraId="3B393616">
            <w:pPr>
              <w:rPr>
                <w:rFonts w:cs="宋体" w:asciiTheme="majorEastAsia" w:hAnsiTheme="majorEastAsia" w:eastAsiaTheme="majorEastAsia"/>
                <w:sz w:val="24"/>
                <w:szCs w:val="24"/>
              </w:rPr>
            </w:pPr>
          </w:p>
        </w:tc>
        <w:tc>
          <w:tcPr>
            <w:tcW w:w="2366" w:type="dxa"/>
            <w:vAlign w:val="center"/>
          </w:tcPr>
          <w:p w14:paraId="663F7634">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分值构成</w:t>
            </w:r>
          </w:p>
          <w:p w14:paraId="093C65F1">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(总分100分)</w:t>
            </w:r>
          </w:p>
        </w:tc>
        <w:tc>
          <w:tcPr>
            <w:tcW w:w="5572" w:type="dxa"/>
            <w:vAlign w:val="center"/>
          </w:tcPr>
          <w:p w14:paraId="136C605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技术部分：60分</w:t>
            </w:r>
          </w:p>
          <w:p w14:paraId="414AF38E">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商务部分：40分（含投标报价10分）</w:t>
            </w:r>
          </w:p>
        </w:tc>
      </w:tr>
      <w:tr w14:paraId="5707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vAlign w:val="center"/>
          </w:tcPr>
          <w:p w14:paraId="45BF8AC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2.2.2</w:t>
            </w:r>
          </w:p>
        </w:tc>
        <w:tc>
          <w:tcPr>
            <w:tcW w:w="2366" w:type="dxa"/>
            <w:vAlign w:val="center"/>
          </w:tcPr>
          <w:p w14:paraId="69E0F190">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评标基准价计算方法</w:t>
            </w:r>
          </w:p>
        </w:tc>
        <w:tc>
          <w:tcPr>
            <w:tcW w:w="5572" w:type="dxa"/>
            <w:vAlign w:val="center"/>
          </w:tcPr>
          <w:p w14:paraId="7E787CCF">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评标基准价为经过评标委员会评审合格的所有有效投标人投标报价的最低值。</w:t>
            </w:r>
          </w:p>
        </w:tc>
      </w:tr>
      <w:tr w14:paraId="707B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vAlign w:val="center"/>
          </w:tcPr>
          <w:p w14:paraId="593E79FE">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条款号</w:t>
            </w:r>
          </w:p>
        </w:tc>
        <w:tc>
          <w:tcPr>
            <w:tcW w:w="2366" w:type="dxa"/>
            <w:vAlign w:val="center"/>
          </w:tcPr>
          <w:p w14:paraId="0CA44C37">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评分因素</w:t>
            </w:r>
          </w:p>
        </w:tc>
        <w:tc>
          <w:tcPr>
            <w:tcW w:w="5572" w:type="dxa"/>
            <w:vAlign w:val="center"/>
          </w:tcPr>
          <w:p w14:paraId="4724B0D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评分标准</w:t>
            </w:r>
          </w:p>
        </w:tc>
      </w:tr>
      <w:tr w14:paraId="1D97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9" w:hRule="atLeast"/>
        </w:trPr>
        <w:tc>
          <w:tcPr>
            <w:tcW w:w="709" w:type="dxa"/>
            <w:vMerge w:val="restart"/>
            <w:vAlign w:val="center"/>
          </w:tcPr>
          <w:p w14:paraId="17C75B77">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2.2.4</w:t>
            </w:r>
          </w:p>
          <w:p w14:paraId="1CD9B4E2">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(l)</w:t>
            </w:r>
          </w:p>
          <w:p w14:paraId="39E35795">
            <w:pPr>
              <w:rPr>
                <w:rFonts w:cs="宋体" w:asciiTheme="majorEastAsia" w:hAnsiTheme="majorEastAsia" w:eastAsiaTheme="majorEastAsia"/>
                <w:sz w:val="24"/>
                <w:szCs w:val="24"/>
              </w:rPr>
            </w:pPr>
          </w:p>
        </w:tc>
        <w:tc>
          <w:tcPr>
            <w:tcW w:w="850" w:type="dxa"/>
            <w:vMerge w:val="restart"/>
            <w:vAlign w:val="center"/>
          </w:tcPr>
          <w:p w14:paraId="6E60D72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技术</w:t>
            </w:r>
          </w:p>
          <w:p w14:paraId="7CFF010E">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部分，60分</w:t>
            </w:r>
          </w:p>
        </w:tc>
        <w:tc>
          <w:tcPr>
            <w:tcW w:w="2366" w:type="dxa"/>
            <w:shd w:val="clear" w:color="auto" w:fill="auto"/>
            <w:vAlign w:val="center"/>
          </w:tcPr>
          <w:p w14:paraId="0679DAA5">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项目整体方案设计（12分）</w:t>
            </w:r>
          </w:p>
        </w:tc>
        <w:tc>
          <w:tcPr>
            <w:tcW w:w="5572" w:type="dxa"/>
            <w:shd w:val="clear" w:color="auto" w:fill="auto"/>
            <w:vAlign w:val="center"/>
          </w:tcPr>
          <w:p w14:paraId="4C1420E3">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投标人对本项目建设背景及项目现状具有充分了解，方案总体设计科学，充分理解本次项目的建设需求和目标，技术路线清晰可行，并提出规范合理的总体设计方案，能满足业主方需求</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zh-CN"/>
              </w:rPr>
              <w:t>包括但不限于以下几个方面：</w:t>
            </w:r>
          </w:p>
          <w:p w14:paraId="6F63FFFF">
            <w:pPr>
              <w:numPr>
                <w:ilvl w:val="0"/>
                <w:numId w:val="9"/>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针对院内要求，项目要求建设的各系统运行流程与院内就诊流程匹配，满足院方及患者就诊需要；</w:t>
            </w:r>
          </w:p>
          <w:p w14:paraId="3719CEB4">
            <w:pPr>
              <w:numPr>
                <w:ilvl w:val="0"/>
                <w:numId w:val="9"/>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数据安全、软件系统平稳过渡方案；</w:t>
            </w:r>
          </w:p>
          <w:p w14:paraId="2E569AFD">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3、软件项目管理方案、软件系统实施方案、软件系统测试方案等内容；</w:t>
            </w:r>
          </w:p>
          <w:p w14:paraId="02540B4D">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项方案进行阐述，每提供一项内容且适用于本项目且无缺失的方案得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39332D3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1C93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9" w:type="dxa"/>
            <w:vMerge w:val="continue"/>
            <w:vAlign w:val="center"/>
          </w:tcPr>
          <w:p w14:paraId="3688D488">
            <w:pPr>
              <w:rPr>
                <w:rFonts w:cs="宋体" w:asciiTheme="majorEastAsia" w:hAnsiTheme="majorEastAsia" w:eastAsiaTheme="majorEastAsia"/>
                <w:sz w:val="24"/>
                <w:szCs w:val="24"/>
              </w:rPr>
            </w:pPr>
          </w:p>
        </w:tc>
        <w:tc>
          <w:tcPr>
            <w:tcW w:w="850" w:type="dxa"/>
            <w:vMerge w:val="continue"/>
            <w:vAlign w:val="center"/>
          </w:tcPr>
          <w:p w14:paraId="4F254B1F">
            <w:pPr>
              <w:rPr>
                <w:rFonts w:cs="宋体" w:asciiTheme="majorEastAsia" w:hAnsiTheme="majorEastAsia" w:eastAsiaTheme="majorEastAsia"/>
                <w:sz w:val="24"/>
                <w:szCs w:val="24"/>
              </w:rPr>
            </w:pPr>
          </w:p>
        </w:tc>
        <w:tc>
          <w:tcPr>
            <w:tcW w:w="2366" w:type="dxa"/>
            <w:shd w:val="clear" w:color="auto" w:fill="auto"/>
            <w:vAlign w:val="center"/>
          </w:tcPr>
          <w:p w14:paraId="0E91ADE4">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培训方案（12分）</w:t>
            </w:r>
          </w:p>
        </w:tc>
        <w:tc>
          <w:tcPr>
            <w:tcW w:w="5572" w:type="dxa"/>
            <w:shd w:val="clear" w:color="auto" w:fill="auto"/>
            <w:vAlign w:val="center"/>
          </w:tcPr>
          <w:p w14:paraId="02C1C4C3">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针对本项目招标内容，提供详细培训方案，方案需至少包含</w:t>
            </w:r>
            <w:r>
              <w:rPr>
                <w:rFonts w:hint="eastAsia" w:cs="宋体" w:asciiTheme="majorEastAsia" w:hAnsiTheme="majorEastAsia" w:eastAsiaTheme="majorEastAsia"/>
                <w:bCs/>
                <w:szCs w:val="21"/>
                <w:lang w:val="zh-CN"/>
              </w:rPr>
              <w:t>以下几个方面：</w:t>
            </w:r>
          </w:p>
          <w:p w14:paraId="093B51BB">
            <w:pPr>
              <w:numPr>
                <w:ilvl w:val="0"/>
                <w:numId w:val="10"/>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培训目标措施方案，包括但不限于提升医护人员对系统的操作熟练度，使相关人员熟练掌握医院信息系统的核心功能，确保系统高效稳定运行；</w:t>
            </w:r>
          </w:p>
          <w:p w14:paraId="305773B9">
            <w:pPr>
              <w:numPr>
                <w:ilvl w:val="0"/>
                <w:numId w:val="10"/>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培训对象措施方案，包括但不限于根据医院软件系统的使用范围，确定不同的培训对象，包括门诊收费挂号窗口人员、住院部管理人员、财务科管理人员、系统管理员等；</w:t>
            </w:r>
          </w:p>
          <w:p w14:paraId="43286313">
            <w:pPr>
              <w:numPr>
                <w:ilvl w:val="0"/>
                <w:numId w:val="10"/>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系统基础认知培训方案：包括但不限于介绍软件系统的整体架构、功能模块组成、应用场景及对医院业务流程的优化作用；</w:t>
            </w:r>
          </w:p>
          <w:p w14:paraId="3BC173C1">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项方案进行阐述，每提供一项内容且适用于本项目且无缺失的方案得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294C586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34F0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vAlign w:val="center"/>
          </w:tcPr>
          <w:p w14:paraId="0630892A">
            <w:pPr>
              <w:rPr>
                <w:rFonts w:cs="宋体" w:asciiTheme="majorEastAsia" w:hAnsiTheme="majorEastAsia" w:eastAsiaTheme="majorEastAsia"/>
                <w:sz w:val="24"/>
                <w:szCs w:val="24"/>
              </w:rPr>
            </w:pPr>
          </w:p>
        </w:tc>
        <w:tc>
          <w:tcPr>
            <w:tcW w:w="850" w:type="dxa"/>
            <w:vMerge w:val="continue"/>
            <w:vAlign w:val="center"/>
          </w:tcPr>
          <w:p w14:paraId="7F219337">
            <w:pPr>
              <w:rPr>
                <w:rFonts w:cs="宋体" w:asciiTheme="majorEastAsia" w:hAnsiTheme="majorEastAsia" w:eastAsiaTheme="majorEastAsia"/>
                <w:sz w:val="24"/>
                <w:szCs w:val="24"/>
              </w:rPr>
            </w:pPr>
          </w:p>
        </w:tc>
        <w:tc>
          <w:tcPr>
            <w:tcW w:w="2366" w:type="dxa"/>
            <w:shd w:val="clear" w:color="auto" w:fill="auto"/>
            <w:vAlign w:val="center"/>
          </w:tcPr>
          <w:p w14:paraId="0ACA235A">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保密措施服务方案（12分）</w:t>
            </w:r>
          </w:p>
        </w:tc>
        <w:tc>
          <w:tcPr>
            <w:tcW w:w="5572" w:type="dxa"/>
            <w:shd w:val="clear" w:color="auto" w:fill="auto"/>
            <w:vAlign w:val="center"/>
          </w:tcPr>
          <w:p w14:paraId="5B80DE9A">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针对本项目招标内容，提供保密措施服务方案，方案需包含</w:t>
            </w:r>
            <w:r>
              <w:rPr>
                <w:rFonts w:hint="eastAsia" w:cs="宋体" w:asciiTheme="majorEastAsia" w:hAnsiTheme="majorEastAsia" w:eastAsiaTheme="majorEastAsia"/>
                <w:bCs/>
                <w:szCs w:val="21"/>
                <w:lang w:val="zh-CN"/>
              </w:rPr>
              <w:t>以下几个方面：</w:t>
            </w:r>
          </w:p>
          <w:p w14:paraId="1C5E1DC6">
            <w:pPr>
              <w:numPr>
                <w:ilvl w:val="0"/>
                <w:numId w:val="11"/>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通过采用系统数据传输加密、数据治理脱敏、数据隔离等措施方案；</w:t>
            </w:r>
          </w:p>
          <w:p w14:paraId="1A5E3A8B">
            <w:pPr>
              <w:numPr>
                <w:ilvl w:val="0"/>
                <w:numId w:val="11"/>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根据需求制定相应系统保密制度；</w:t>
            </w:r>
          </w:p>
          <w:p w14:paraId="1C52C9D9">
            <w:pPr>
              <w:numPr>
                <w:ilvl w:val="0"/>
                <w:numId w:val="11"/>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针对项目研发实施人员出具保密教育措施方案：</w:t>
            </w:r>
          </w:p>
          <w:p w14:paraId="02DEC86B">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项方案进行阐述，每提供一项内容且适用于本项目且无缺失的方案得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24638D15">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20C3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709" w:type="dxa"/>
            <w:vMerge w:val="continue"/>
            <w:vAlign w:val="center"/>
          </w:tcPr>
          <w:p w14:paraId="66A145A9">
            <w:pPr>
              <w:rPr>
                <w:rFonts w:cs="宋体" w:asciiTheme="majorEastAsia" w:hAnsiTheme="majorEastAsia" w:eastAsiaTheme="majorEastAsia"/>
                <w:sz w:val="24"/>
                <w:szCs w:val="24"/>
              </w:rPr>
            </w:pPr>
          </w:p>
        </w:tc>
        <w:tc>
          <w:tcPr>
            <w:tcW w:w="850" w:type="dxa"/>
            <w:vMerge w:val="continue"/>
            <w:vAlign w:val="center"/>
          </w:tcPr>
          <w:p w14:paraId="4EC3D3EA">
            <w:pPr>
              <w:rPr>
                <w:rFonts w:cs="宋体" w:asciiTheme="majorEastAsia" w:hAnsiTheme="majorEastAsia" w:eastAsiaTheme="majorEastAsia"/>
                <w:sz w:val="24"/>
                <w:szCs w:val="24"/>
              </w:rPr>
            </w:pPr>
          </w:p>
        </w:tc>
        <w:tc>
          <w:tcPr>
            <w:tcW w:w="2366" w:type="dxa"/>
            <w:shd w:val="clear" w:color="auto" w:fill="auto"/>
            <w:vAlign w:val="center"/>
          </w:tcPr>
          <w:p w14:paraId="3EF88337">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售后服务措施方案（12分）</w:t>
            </w:r>
          </w:p>
        </w:tc>
        <w:tc>
          <w:tcPr>
            <w:tcW w:w="5572" w:type="dxa"/>
            <w:shd w:val="clear" w:color="auto" w:fill="auto"/>
            <w:vAlign w:val="center"/>
          </w:tcPr>
          <w:p w14:paraId="4BC16272">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针对故障响应及问题解决时间及非工作时间问题故障响应及问题解决时间提供相关服务措施方案，方案需包含</w:t>
            </w:r>
            <w:r>
              <w:rPr>
                <w:rFonts w:hint="eastAsia" w:cs="宋体" w:asciiTheme="majorEastAsia" w:hAnsiTheme="majorEastAsia" w:eastAsiaTheme="majorEastAsia"/>
                <w:bCs/>
                <w:szCs w:val="21"/>
                <w:lang w:val="zh-CN"/>
              </w:rPr>
              <w:t>以下几个方面：</w:t>
            </w:r>
          </w:p>
          <w:p w14:paraId="4DA63B69">
            <w:pPr>
              <w:numPr>
                <w:ilvl w:val="0"/>
                <w:numId w:val="12"/>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保障系统稳定运行措施；</w:t>
            </w:r>
          </w:p>
          <w:p w14:paraId="0C2268F1">
            <w:pPr>
              <w:numPr>
                <w:ilvl w:val="0"/>
                <w:numId w:val="12"/>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故障响应时间；</w:t>
            </w:r>
          </w:p>
          <w:p w14:paraId="291BDC01">
            <w:pPr>
              <w:numPr>
                <w:ilvl w:val="0"/>
                <w:numId w:val="12"/>
              </w:num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系统维护升级措施：</w:t>
            </w:r>
          </w:p>
          <w:p w14:paraId="2B7758BC">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项需求进行阐述，每提供一项内容且适用于本项目且无缺失的方案得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238B41AD">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0CEB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709" w:type="dxa"/>
            <w:vMerge w:val="continue"/>
            <w:vAlign w:val="center"/>
          </w:tcPr>
          <w:p w14:paraId="733D58D4">
            <w:pPr>
              <w:rPr>
                <w:rFonts w:cs="宋体" w:asciiTheme="majorEastAsia" w:hAnsiTheme="majorEastAsia" w:eastAsiaTheme="majorEastAsia"/>
                <w:sz w:val="24"/>
                <w:szCs w:val="24"/>
              </w:rPr>
            </w:pPr>
          </w:p>
        </w:tc>
        <w:tc>
          <w:tcPr>
            <w:tcW w:w="850" w:type="dxa"/>
            <w:vMerge w:val="continue"/>
            <w:vAlign w:val="center"/>
          </w:tcPr>
          <w:p w14:paraId="72250967">
            <w:pPr>
              <w:rPr>
                <w:rFonts w:cs="宋体" w:asciiTheme="majorEastAsia" w:hAnsiTheme="majorEastAsia" w:eastAsiaTheme="majorEastAsia"/>
                <w:sz w:val="24"/>
                <w:szCs w:val="24"/>
              </w:rPr>
            </w:pPr>
          </w:p>
        </w:tc>
        <w:tc>
          <w:tcPr>
            <w:tcW w:w="2366" w:type="dxa"/>
            <w:shd w:val="clear" w:color="auto" w:fill="auto"/>
            <w:vAlign w:val="center"/>
          </w:tcPr>
          <w:p w14:paraId="30C057D7">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紧急情况的处理措施、预案以及抵抗风险的措施（12分）</w:t>
            </w:r>
          </w:p>
        </w:tc>
        <w:tc>
          <w:tcPr>
            <w:tcW w:w="5572" w:type="dxa"/>
            <w:shd w:val="clear" w:color="auto" w:fill="auto"/>
            <w:vAlign w:val="center"/>
          </w:tcPr>
          <w:p w14:paraId="274F1439">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针对本项目招标内容，提供紧急情况的处理措施、预案以及抵抗风险的措施</w:t>
            </w:r>
            <w:r>
              <w:rPr>
                <w:rFonts w:hint="eastAsia" w:cs="宋体" w:asciiTheme="majorEastAsia" w:hAnsiTheme="majorEastAsia" w:eastAsiaTheme="majorEastAsia"/>
                <w:sz w:val="24"/>
                <w:szCs w:val="24"/>
                <w:lang w:val="zh-CN"/>
              </w:rPr>
              <w:t>以下几个方面：</w:t>
            </w:r>
          </w:p>
          <w:p w14:paraId="7D12DF06">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1、系统瘫痪与崩溃的应急处理措施方案；</w:t>
            </w:r>
          </w:p>
          <w:p w14:paraId="4F6F100E">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cs="宋体" w:asciiTheme="majorEastAsia" w:hAnsiTheme="majorEastAsia" w:eastAsiaTheme="majorEastAsia"/>
                <w:sz w:val="24"/>
                <w:szCs w:val="24"/>
              </w:rPr>
              <w:t>数据丢失或损坏</w:t>
            </w:r>
            <w:r>
              <w:rPr>
                <w:rFonts w:hint="eastAsia" w:cs="宋体" w:asciiTheme="majorEastAsia" w:hAnsiTheme="majorEastAsia" w:eastAsiaTheme="majorEastAsia"/>
                <w:sz w:val="24"/>
                <w:szCs w:val="24"/>
              </w:rPr>
              <w:t>的处理措施方案；</w:t>
            </w:r>
          </w:p>
          <w:p w14:paraId="46B1C33D">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cs="宋体" w:asciiTheme="majorEastAsia" w:hAnsiTheme="majorEastAsia" w:eastAsiaTheme="majorEastAsia"/>
                <w:sz w:val="24"/>
                <w:szCs w:val="24"/>
              </w:rPr>
              <w:t>网络攻击（如勒索病毒、黑客入侵）</w:t>
            </w:r>
            <w:r>
              <w:rPr>
                <w:rFonts w:hint="eastAsia" w:cs="宋体" w:asciiTheme="majorEastAsia" w:hAnsiTheme="majorEastAsia" w:eastAsiaTheme="majorEastAsia"/>
                <w:sz w:val="24"/>
                <w:szCs w:val="24"/>
              </w:rPr>
              <w:t>的处理措施方案；</w:t>
            </w:r>
          </w:p>
          <w:p w14:paraId="01A1C424">
            <w:pPr>
              <w:rPr>
                <w:rFonts w:cs="宋体" w:asciiTheme="majorEastAsia" w:hAnsiTheme="majorEastAsia" w:eastAsiaTheme="majorEastAsia"/>
                <w:sz w:val="24"/>
                <w:szCs w:val="24"/>
                <w:lang w:val="zh-CN"/>
              </w:rPr>
            </w:pPr>
            <w:r>
              <w:rPr>
                <w:rFonts w:hint="eastAsia" w:cs="宋体" w:asciiTheme="majorEastAsia" w:hAnsiTheme="majorEastAsia" w:eastAsiaTheme="majorEastAsia"/>
                <w:sz w:val="24"/>
                <w:szCs w:val="24"/>
                <w:lang w:val="zh-CN"/>
              </w:rPr>
              <w:t>对以上</w:t>
            </w:r>
            <w:r>
              <w:rPr>
                <w:rFonts w:hint="eastAsia" w:cs="宋体" w:asciiTheme="majorEastAsia" w:hAnsiTheme="majorEastAsia" w:eastAsiaTheme="majorEastAsia"/>
                <w:sz w:val="24"/>
                <w:szCs w:val="24"/>
              </w:rPr>
              <w:t>三</w:t>
            </w:r>
            <w:r>
              <w:rPr>
                <w:rFonts w:hint="eastAsia" w:cs="宋体" w:asciiTheme="majorEastAsia" w:hAnsiTheme="majorEastAsia" w:eastAsiaTheme="majorEastAsia"/>
                <w:sz w:val="24"/>
                <w:szCs w:val="24"/>
                <w:lang w:val="zh-CN"/>
              </w:rPr>
              <w:t>项方案进行阐述，每提供一项内容且适用于本项目且无缺失的方案得</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分，方案有缺失或不完善的得</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分，方案不适用于本项目的或不提供的不得分，满分</w:t>
            </w:r>
            <w:r>
              <w:rPr>
                <w:rFonts w:hint="eastAsia" w:cs="宋体" w:asciiTheme="majorEastAsia" w:hAnsiTheme="majorEastAsia" w:eastAsiaTheme="majorEastAsia"/>
                <w:sz w:val="24"/>
                <w:szCs w:val="24"/>
              </w:rPr>
              <w:t>12</w:t>
            </w:r>
            <w:r>
              <w:rPr>
                <w:rFonts w:hint="eastAsia" w:cs="宋体" w:asciiTheme="majorEastAsia" w:hAnsiTheme="majorEastAsia" w:eastAsiaTheme="majorEastAsia"/>
                <w:sz w:val="24"/>
                <w:szCs w:val="24"/>
                <w:lang w:val="zh-CN"/>
              </w:rPr>
              <w:t>分。</w:t>
            </w:r>
          </w:p>
          <w:p w14:paraId="0114E6F5">
            <w:pPr>
              <w:rPr>
                <w:rFonts w:cs="宋体" w:asciiTheme="majorEastAsia" w:hAnsiTheme="majorEastAsia" w:eastAsiaTheme="majorEastAsia"/>
                <w:b/>
                <w:bCs/>
                <w:sz w:val="24"/>
                <w:szCs w:val="24"/>
              </w:rPr>
            </w:pPr>
            <w:r>
              <w:rPr>
                <w:rFonts w:hint="eastAsia" w:cs="宋体" w:asciiTheme="majorEastAsia" w:hAnsiTheme="majorEastAsia" w:eastAsiaTheme="majorEastAsia"/>
                <w:sz w:val="24"/>
                <w:szCs w:val="24"/>
                <w:lang w:val="zh-CN"/>
              </w:rPr>
              <w:t>（缺失是指：不符合实际，存在偏离内容、内容前后不一致、文不对题、前后逻辑错误、内容缺失有瑕疵、无具体流程细节描述之处）</w:t>
            </w:r>
          </w:p>
        </w:tc>
      </w:tr>
      <w:tr w14:paraId="2B69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709" w:type="dxa"/>
            <w:vMerge w:val="restart"/>
            <w:vAlign w:val="center"/>
          </w:tcPr>
          <w:p w14:paraId="424F42FC">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2.2.4</w:t>
            </w:r>
          </w:p>
          <w:p w14:paraId="3D1A2F48">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p w14:paraId="64E4C858">
            <w:pPr>
              <w:rPr>
                <w:rFonts w:cs="宋体" w:asciiTheme="majorEastAsia" w:hAnsiTheme="majorEastAsia" w:eastAsiaTheme="majorEastAsia"/>
                <w:sz w:val="24"/>
                <w:szCs w:val="24"/>
              </w:rPr>
            </w:pPr>
          </w:p>
        </w:tc>
        <w:tc>
          <w:tcPr>
            <w:tcW w:w="850" w:type="dxa"/>
            <w:vMerge w:val="restart"/>
            <w:vAlign w:val="center"/>
          </w:tcPr>
          <w:p w14:paraId="03FE037B">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商务</w:t>
            </w:r>
          </w:p>
          <w:p w14:paraId="22025A88">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部分，</w:t>
            </w:r>
            <w:r>
              <w:rPr>
                <w:rFonts w:cs="宋体" w:asciiTheme="majorEastAsia" w:hAnsiTheme="majorEastAsia" w:eastAsiaTheme="majorEastAsia"/>
                <w:sz w:val="24"/>
                <w:szCs w:val="24"/>
              </w:rPr>
              <w:t>40</w:t>
            </w:r>
            <w:r>
              <w:rPr>
                <w:rFonts w:hint="eastAsia" w:cs="宋体" w:asciiTheme="majorEastAsia" w:hAnsiTheme="majorEastAsia" w:eastAsiaTheme="majorEastAsia"/>
                <w:sz w:val="24"/>
                <w:szCs w:val="24"/>
              </w:rPr>
              <w:t>分</w:t>
            </w:r>
          </w:p>
        </w:tc>
        <w:tc>
          <w:tcPr>
            <w:tcW w:w="2366" w:type="dxa"/>
            <w:vAlign w:val="center"/>
          </w:tcPr>
          <w:p w14:paraId="106E4A7E">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投标报价得分</w:t>
            </w:r>
          </w:p>
          <w:p w14:paraId="0C9BB17A">
            <w:pPr>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（10分）</w:t>
            </w:r>
          </w:p>
        </w:tc>
        <w:tc>
          <w:tcPr>
            <w:tcW w:w="5572" w:type="dxa"/>
            <w:vAlign w:val="center"/>
          </w:tcPr>
          <w:p w14:paraId="544D4064">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评标基准价为经过评标委员会评审合格的所有有效投标人投标报价的最低值。投标报价得分=(评标基准价／投标报价)×价格权值10%×100</w:t>
            </w:r>
          </w:p>
        </w:tc>
      </w:tr>
      <w:tr w14:paraId="0CA2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709" w:type="dxa"/>
            <w:vMerge w:val="continue"/>
            <w:vAlign w:val="center"/>
          </w:tcPr>
          <w:p w14:paraId="6BE218B3">
            <w:pPr>
              <w:rPr>
                <w:rFonts w:cs="宋体" w:asciiTheme="majorEastAsia" w:hAnsiTheme="majorEastAsia" w:eastAsiaTheme="majorEastAsia"/>
                <w:sz w:val="24"/>
                <w:szCs w:val="24"/>
              </w:rPr>
            </w:pPr>
          </w:p>
        </w:tc>
        <w:tc>
          <w:tcPr>
            <w:tcW w:w="850" w:type="dxa"/>
            <w:vMerge w:val="continue"/>
            <w:vAlign w:val="center"/>
          </w:tcPr>
          <w:p w14:paraId="5E8051BC">
            <w:pPr>
              <w:rPr>
                <w:rFonts w:cs="宋体" w:asciiTheme="majorEastAsia" w:hAnsiTheme="majorEastAsia" w:eastAsiaTheme="majorEastAsia"/>
                <w:sz w:val="24"/>
                <w:szCs w:val="24"/>
              </w:rPr>
            </w:pPr>
          </w:p>
        </w:tc>
        <w:tc>
          <w:tcPr>
            <w:tcW w:w="2366" w:type="dxa"/>
            <w:shd w:val="clear" w:color="auto" w:fill="auto"/>
            <w:vAlign w:val="center"/>
          </w:tcPr>
          <w:p w14:paraId="21CF5017">
            <w:pPr>
              <w:jc w:val="center"/>
              <w:rPr>
                <w:rFonts w:cs="宋体" w:asciiTheme="majorEastAsia" w:hAnsiTheme="majorEastAsia" w:eastAsiaTheme="majorEastAsia"/>
                <w:bCs/>
                <w:color w:val="FF0000"/>
                <w:kern w:val="0"/>
                <w:szCs w:val="21"/>
                <w:lang w:eastAsia="en-US"/>
              </w:rPr>
            </w:pPr>
            <w:r>
              <w:rPr>
                <w:rFonts w:hint="eastAsia" w:cs="宋体" w:asciiTheme="majorEastAsia" w:hAnsiTheme="majorEastAsia" w:eastAsiaTheme="majorEastAsia"/>
                <w:sz w:val="24"/>
                <w:szCs w:val="24"/>
              </w:rPr>
              <w:t>企业业绩（10分）</w:t>
            </w:r>
          </w:p>
        </w:tc>
        <w:tc>
          <w:tcPr>
            <w:tcW w:w="5572" w:type="dxa"/>
            <w:shd w:val="clear" w:color="auto" w:fill="auto"/>
            <w:vAlign w:val="center"/>
          </w:tcPr>
          <w:p w14:paraId="104C6282">
            <w:pP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提供近三年(2022年至今)类似项目业绩，每提供一项得5分，本项满分10分。（需提供清晰的合同关键页复印件，并加盖投标人公章）</w:t>
            </w:r>
          </w:p>
        </w:tc>
      </w:tr>
      <w:tr w14:paraId="1476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1" w:hRule="atLeast"/>
        </w:trPr>
        <w:tc>
          <w:tcPr>
            <w:tcW w:w="709" w:type="dxa"/>
            <w:vMerge w:val="continue"/>
            <w:vAlign w:val="center"/>
          </w:tcPr>
          <w:p w14:paraId="34D5BA55">
            <w:pPr>
              <w:rPr>
                <w:rFonts w:cs="宋体" w:asciiTheme="majorEastAsia" w:hAnsiTheme="majorEastAsia" w:eastAsiaTheme="majorEastAsia"/>
                <w:sz w:val="24"/>
                <w:szCs w:val="24"/>
              </w:rPr>
            </w:pPr>
          </w:p>
        </w:tc>
        <w:tc>
          <w:tcPr>
            <w:tcW w:w="850" w:type="dxa"/>
            <w:vMerge w:val="continue"/>
            <w:vAlign w:val="center"/>
          </w:tcPr>
          <w:p w14:paraId="02E92325">
            <w:pPr>
              <w:rPr>
                <w:rFonts w:cs="宋体" w:asciiTheme="majorEastAsia" w:hAnsiTheme="majorEastAsia" w:eastAsiaTheme="majorEastAsia"/>
                <w:sz w:val="24"/>
                <w:szCs w:val="24"/>
              </w:rPr>
            </w:pPr>
          </w:p>
        </w:tc>
        <w:tc>
          <w:tcPr>
            <w:tcW w:w="2366" w:type="dxa"/>
            <w:shd w:val="clear" w:color="auto" w:fill="auto"/>
            <w:vAlign w:val="center"/>
          </w:tcPr>
          <w:p w14:paraId="1E96C62F">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配备到本项目专业技术支持人员（9分）</w:t>
            </w:r>
          </w:p>
        </w:tc>
        <w:tc>
          <w:tcPr>
            <w:tcW w:w="5572" w:type="dxa"/>
            <w:shd w:val="clear" w:color="auto" w:fill="auto"/>
            <w:vAlign w:val="center"/>
          </w:tcPr>
          <w:p w14:paraId="6695313C">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为保障本项目的顺利实施，</w:t>
            </w:r>
            <w:r>
              <w:rPr>
                <w:rFonts w:cs="宋体" w:asciiTheme="majorEastAsia" w:hAnsiTheme="majorEastAsia" w:eastAsiaTheme="majorEastAsia"/>
                <w:sz w:val="24"/>
                <w:szCs w:val="24"/>
                <w:highlight w:val="none"/>
              </w:rPr>
              <w:t>投标人</w:t>
            </w:r>
            <w:r>
              <w:rPr>
                <w:rFonts w:hint="eastAsia" w:cs="宋体" w:asciiTheme="majorEastAsia" w:hAnsiTheme="majorEastAsia" w:eastAsiaTheme="majorEastAsia"/>
                <w:sz w:val="24"/>
                <w:szCs w:val="24"/>
                <w:highlight w:val="none"/>
              </w:rPr>
              <w:t>需为本项目设立专职团队，团队人员至少包含项目负责人及配套研发实施人员。</w:t>
            </w:r>
          </w:p>
          <w:p w14:paraId="4F799168">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1、项目负责人须具备信息系统项目管理工程师资质证书。</w:t>
            </w:r>
          </w:p>
          <w:p w14:paraId="2AE18782">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2、研发实施团队需至少具备系统架构设计师资质证书或系统集成项目管理工程师资质证书或PMP资质证书。</w:t>
            </w:r>
          </w:p>
          <w:p w14:paraId="747C4B89">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每提供一个人员及对应资质证书得</w:t>
            </w:r>
            <w:r>
              <w:rPr>
                <w:rFonts w:cs="宋体" w:asciiTheme="majorEastAsia" w:hAnsiTheme="majorEastAsia" w:eastAsiaTheme="majorEastAsia"/>
                <w:sz w:val="24"/>
                <w:szCs w:val="24"/>
                <w:highlight w:val="none"/>
              </w:rPr>
              <w:t>3</w:t>
            </w:r>
            <w:r>
              <w:rPr>
                <w:rFonts w:hint="eastAsia" w:cs="宋体" w:asciiTheme="majorEastAsia" w:hAnsiTheme="majorEastAsia" w:eastAsiaTheme="majorEastAsia"/>
                <w:sz w:val="24"/>
                <w:szCs w:val="24"/>
                <w:highlight w:val="none"/>
              </w:rPr>
              <w:t>分，满分9分，同一人员提供多个证书不得重复计分。</w:t>
            </w:r>
          </w:p>
          <w:p w14:paraId="16832EA8">
            <w:pPr>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注：投标文件内附</w:t>
            </w:r>
            <w:r>
              <w:rPr>
                <w:rFonts w:hint="eastAsia" w:cs="宋体" w:asciiTheme="majorEastAsia" w:hAnsiTheme="majorEastAsia" w:eastAsiaTheme="majorEastAsia"/>
                <w:sz w:val="24"/>
                <w:szCs w:val="24"/>
                <w:highlight w:val="none"/>
              </w:rPr>
              <w:t>相关</w:t>
            </w:r>
            <w:r>
              <w:rPr>
                <w:rFonts w:cs="宋体" w:asciiTheme="majorEastAsia" w:hAnsiTheme="majorEastAsia" w:eastAsiaTheme="majorEastAsia"/>
                <w:sz w:val="24"/>
                <w:szCs w:val="24"/>
                <w:highlight w:val="none"/>
              </w:rPr>
              <w:t>人员资质证书</w:t>
            </w:r>
            <w:r>
              <w:rPr>
                <w:rFonts w:hint="eastAsia" w:cs="宋体" w:asciiTheme="majorEastAsia" w:hAnsiTheme="majorEastAsia" w:eastAsiaTheme="majorEastAsia"/>
                <w:sz w:val="24"/>
                <w:szCs w:val="24"/>
                <w:highlight w:val="none"/>
              </w:rPr>
              <w:t>，以及投标人为其缴纳不少于</w:t>
            </w:r>
            <w:r>
              <w:rPr>
                <w:rFonts w:cs="宋体" w:asciiTheme="majorEastAsia" w:hAnsiTheme="majorEastAsia" w:eastAsiaTheme="majorEastAsia"/>
                <w:sz w:val="24"/>
                <w:szCs w:val="24"/>
                <w:highlight w:val="none"/>
              </w:rPr>
              <w:t>3</w:t>
            </w:r>
            <w:r>
              <w:rPr>
                <w:rFonts w:hint="eastAsia" w:cs="宋体" w:asciiTheme="majorEastAsia" w:hAnsiTheme="majorEastAsia" w:eastAsiaTheme="majorEastAsia"/>
                <w:sz w:val="24"/>
                <w:szCs w:val="24"/>
                <w:highlight w:val="none"/>
              </w:rPr>
              <w:t>个月的独立人员社保证明，社保证明需在有效期内。</w:t>
            </w:r>
          </w:p>
        </w:tc>
      </w:tr>
      <w:tr w14:paraId="42E6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709" w:type="dxa"/>
            <w:vMerge w:val="continue"/>
            <w:vAlign w:val="center"/>
          </w:tcPr>
          <w:p w14:paraId="36085EA8">
            <w:pPr>
              <w:rPr>
                <w:rFonts w:cs="宋体" w:asciiTheme="majorEastAsia" w:hAnsiTheme="majorEastAsia" w:eastAsiaTheme="majorEastAsia"/>
                <w:sz w:val="24"/>
                <w:szCs w:val="24"/>
              </w:rPr>
            </w:pPr>
          </w:p>
        </w:tc>
        <w:tc>
          <w:tcPr>
            <w:tcW w:w="850" w:type="dxa"/>
            <w:vMerge w:val="continue"/>
            <w:vAlign w:val="center"/>
          </w:tcPr>
          <w:p w14:paraId="2511B3C1">
            <w:pPr>
              <w:rPr>
                <w:rFonts w:cs="宋体" w:asciiTheme="majorEastAsia" w:hAnsiTheme="majorEastAsia" w:eastAsiaTheme="majorEastAsia"/>
                <w:sz w:val="24"/>
                <w:szCs w:val="24"/>
              </w:rPr>
            </w:pPr>
          </w:p>
        </w:tc>
        <w:tc>
          <w:tcPr>
            <w:tcW w:w="2366" w:type="dxa"/>
            <w:shd w:val="clear" w:color="auto" w:fill="auto"/>
            <w:vAlign w:val="center"/>
          </w:tcPr>
          <w:p w14:paraId="77CA5759">
            <w:pPr>
              <w:rPr>
                <w:rFonts w:hint="eastAsia" w:cs="宋体" w:asciiTheme="majorEastAsia" w:hAnsiTheme="majorEastAsia" w:eastAsiaTheme="majorEastAsia"/>
                <w:sz w:val="24"/>
                <w:szCs w:val="24"/>
                <w:highlight w:val="none"/>
              </w:rPr>
            </w:pPr>
            <w:r>
              <w:rPr>
                <w:rFonts w:hint="eastAsia" w:ascii="宋体" w:hAnsi="宋体" w:cs="宋体"/>
                <w:sz w:val="24"/>
                <w:szCs w:val="24"/>
                <w:highlight w:val="none"/>
              </w:rPr>
              <w:t>优惠条件（</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c>
          <w:tcPr>
            <w:tcW w:w="5572" w:type="dxa"/>
            <w:shd w:val="clear" w:color="auto" w:fill="auto"/>
            <w:vAlign w:val="center"/>
          </w:tcPr>
          <w:p w14:paraId="77915CA1">
            <w:pPr>
              <w:rPr>
                <w:rFonts w:hint="eastAsia" w:cs="宋体" w:asciiTheme="majorEastAsia" w:hAnsiTheme="majorEastAsia" w:eastAsiaTheme="majorEastAsia"/>
                <w:sz w:val="24"/>
                <w:szCs w:val="24"/>
                <w:highlight w:val="none"/>
              </w:rPr>
            </w:pPr>
            <w:r>
              <w:rPr>
                <w:rFonts w:hint="eastAsia" w:ascii="宋体" w:hAnsi="宋体" w:cs="宋体"/>
                <w:sz w:val="24"/>
                <w:szCs w:val="24"/>
                <w:highlight w:val="none"/>
              </w:rPr>
              <w:t>供应商提供的优势有实质性并经评委会认可的优惠条件，满分</w:t>
            </w:r>
            <w:r>
              <w:rPr>
                <w:rFonts w:hint="eastAsia" w:ascii="宋体" w:hAnsi="宋体" w:cs="宋体"/>
                <w:sz w:val="24"/>
                <w:szCs w:val="24"/>
                <w:highlight w:val="none"/>
                <w:lang w:val="en-US" w:eastAsia="zh-CN"/>
              </w:rPr>
              <w:t>4</w:t>
            </w:r>
            <w:r>
              <w:rPr>
                <w:rFonts w:hint="eastAsia" w:ascii="宋体" w:hAnsi="宋体" w:cs="宋体"/>
                <w:sz w:val="24"/>
                <w:szCs w:val="24"/>
                <w:highlight w:val="none"/>
              </w:rPr>
              <w:t>分，不提供不得分</w:t>
            </w:r>
          </w:p>
        </w:tc>
      </w:tr>
      <w:tr w14:paraId="231D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709" w:type="dxa"/>
            <w:vMerge w:val="continue"/>
            <w:vAlign w:val="center"/>
          </w:tcPr>
          <w:p w14:paraId="17EB3582">
            <w:pPr>
              <w:rPr>
                <w:rFonts w:cs="宋体" w:asciiTheme="majorEastAsia" w:hAnsiTheme="majorEastAsia" w:eastAsiaTheme="majorEastAsia"/>
                <w:sz w:val="24"/>
                <w:szCs w:val="24"/>
              </w:rPr>
            </w:pPr>
          </w:p>
        </w:tc>
        <w:tc>
          <w:tcPr>
            <w:tcW w:w="850" w:type="dxa"/>
            <w:vMerge w:val="continue"/>
            <w:vAlign w:val="center"/>
          </w:tcPr>
          <w:p w14:paraId="1FD690DD">
            <w:pPr>
              <w:rPr>
                <w:rFonts w:cs="宋体" w:asciiTheme="majorEastAsia" w:hAnsiTheme="majorEastAsia" w:eastAsiaTheme="majorEastAsia"/>
                <w:sz w:val="24"/>
                <w:szCs w:val="24"/>
              </w:rPr>
            </w:pPr>
          </w:p>
        </w:tc>
        <w:tc>
          <w:tcPr>
            <w:tcW w:w="2366" w:type="dxa"/>
            <w:shd w:val="clear" w:color="auto" w:fill="auto"/>
            <w:vAlign w:val="center"/>
          </w:tcPr>
          <w:p w14:paraId="48E17F70">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企业实力（</w:t>
            </w:r>
            <w:r>
              <w:rPr>
                <w:rFonts w:hint="eastAsia" w:cs="宋体" w:asciiTheme="majorEastAsia" w:hAnsiTheme="majorEastAsia" w:eastAsiaTheme="majorEastAsia"/>
                <w:sz w:val="24"/>
                <w:szCs w:val="24"/>
                <w:highlight w:val="none"/>
                <w:lang w:val="en-US" w:eastAsia="zh-CN"/>
              </w:rPr>
              <w:t>7</w:t>
            </w:r>
            <w:r>
              <w:rPr>
                <w:rFonts w:hint="eastAsia" w:cs="宋体" w:asciiTheme="majorEastAsia" w:hAnsiTheme="majorEastAsia" w:eastAsiaTheme="majorEastAsia"/>
                <w:sz w:val="24"/>
                <w:szCs w:val="24"/>
                <w:highlight w:val="none"/>
              </w:rPr>
              <w:t>分）</w:t>
            </w:r>
          </w:p>
        </w:tc>
        <w:tc>
          <w:tcPr>
            <w:tcW w:w="5572" w:type="dxa"/>
            <w:shd w:val="clear" w:color="auto" w:fill="auto"/>
            <w:vAlign w:val="center"/>
          </w:tcPr>
          <w:p w14:paraId="2BA024A7">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投标人具有ISO9001质量管理体系认证、ISO27001信息安全体系认证、信息系统建设及服务能力评估CS认证的，每提供1项得2分，最多得6分，没有不得分。（需提供证书复印件或扫描件，以及全国认证认可信息公共服务平台查询截图以证明其证书有效性，并加盖投标人公章）</w:t>
            </w:r>
          </w:p>
          <w:p w14:paraId="666A41B8">
            <w:pP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2、投标人提供软件企业认证或高新技术企业认证，提供得</w:t>
            </w:r>
            <w:r>
              <w:rPr>
                <w:rFonts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rPr>
              <w:t>分，不提供不得分。（需提供证书复印件或扫描件加盖投标人公章）</w:t>
            </w:r>
          </w:p>
        </w:tc>
      </w:tr>
    </w:tbl>
    <w:p w14:paraId="751BFC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p>
    <w:p w14:paraId="27BA32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p>
    <w:p w14:paraId="5CC55411">
      <w:pPr>
        <w:widowControl/>
        <w:autoSpaceDE w:val="0"/>
        <w:autoSpaceDN w:val="0"/>
        <w:adjustRightInd w:val="0"/>
        <w:snapToGrid w:val="0"/>
        <w:spacing w:line="360" w:lineRule="auto"/>
        <w:ind w:firstLine="210" w:firstLineChars="100"/>
        <w:rPr>
          <w:rFonts w:hint="eastAsia" w:ascii="宋体" w:hAnsi="宋体" w:cs="宋体"/>
          <w:bCs/>
          <w:color w:val="auto"/>
          <w:kern w:val="0"/>
          <w:szCs w:val="21"/>
          <w:highlight w:val="none"/>
        </w:rPr>
      </w:pPr>
      <w:bookmarkStart w:id="24" w:name="_Toc28368"/>
      <w:bookmarkStart w:id="25" w:name="_Toc3820"/>
      <w:r>
        <w:rPr>
          <w:rFonts w:hint="eastAsia" w:ascii="宋体" w:hAnsi="宋体" w:cs="宋体"/>
          <w:color w:val="auto"/>
          <w:szCs w:val="21"/>
          <w:highlight w:val="none"/>
          <w:lang w:val="zh-CN"/>
        </w:rPr>
        <w:t>注:</w:t>
      </w:r>
      <w:r>
        <w:rPr>
          <w:rFonts w:hint="eastAsia" w:ascii="宋体" w:hAnsi="宋体" w:cs="宋体"/>
          <w:color w:val="auto"/>
          <w:highlight w:val="none"/>
        </w:rPr>
        <w:t xml:space="preserve"> </w:t>
      </w:r>
      <w:r>
        <w:rPr>
          <w:rFonts w:hint="eastAsia" w:ascii="宋体" w:hAnsi="宋体" w:cs="宋体"/>
          <w:bCs/>
          <w:color w:val="auto"/>
          <w:kern w:val="0"/>
          <w:szCs w:val="21"/>
          <w:highlight w:val="none"/>
        </w:rPr>
        <w:t>1）企业名称不同但法定代表人为同一个自然人的两个或者两个以上的供应商不得参加同一采购项目的报价。如果出现上述情况，相关供应商的报价均将被拒绝。</w:t>
      </w:r>
    </w:p>
    <w:p w14:paraId="1EC78A8E">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color w:val="auto"/>
          <w:szCs w:val="21"/>
          <w:highlight w:val="none"/>
          <w:lang w:val="zh-CN"/>
        </w:rPr>
        <w:t xml:space="preserve"> 1.评标方法</w:t>
      </w:r>
    </w:p>
    <w:p w14:paraId="342A3FD2">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47E7D712">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2.1初步评审标准</w:t>
      </w:r>
    </w:p>
    <w:p w14:paraId="5D0D1F2D">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2.1.1 形式评审标准：见评标办法前附表。</w:t>
      </w:r>
    </w:p>
    <w:p w14:paraId="5110CB2A">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投标单位有任何一项不满足形式评审标准，视为未通过形式评审，不再进入后续评标。</w:t>
      </w:r>
    </w:p>
    <w:p w14:paraId="3F2FE4AF">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 资格评审标准：见评标办法前附表。</w:t>
      </w:r>
    </w:p>
    <w:p w14:paraId="4B736B8A">
      <w:pPr>
        <w:autoSpaceDE w:val="0"/>
        <w:autoSpaceDN w:val="0"/>
        <w:adjustRightInd w:val="0"/>
        <w:spacing w:line="400" w:lineRule="exact"/>
        <w:ind w:firstLine="480"/>
        <w:jc w:val="left"/>
        <w:rPr>
          <w:rFonts w:hint="eastAsia" w:ascii="宋体" w:hAnsi="宋体" w:cs="宋体"/>
          <w:bCs/>
          <w:color w:val="auto"/>
          <w:szCs w:val="21"/>
          <w:highlight w:val="none"/>
          <w:shd w:val="pct10" w:color="auto" w:fill="FFFFFF"/>
          <w:lang w:val="zh-CN"/>
        </w:rPr>
      </w:pPr>
      <w:r>
        <w:rPr>
          <w:rFonts w:hint="eastAsia" w:ascii="宋体" w:hAnsi="宋体" w:cs="宋体"/>
          <w:bCs/>
          <w:color w:val="auto"/>
          <w:szCs w:val="21"/>
          <w:highlight w:val="none"/>
          <w:lang w:val="zh-CN"/>
        </w:rPr>
        <w:t>投标单位有任何一项不满足形式资格标准，视为未通过</w:t>
      </w:r>
      <w:r>
        <w:rPr>
          <w:rFonts w:hint="eastAsia" w:ascii="宋体" w:hAnsi="宋体" w:cs="宋体"/>
          <w:bCs/>
          <w:color w:val="auto"/>
          <w:szCs w:val="21"/>
          <w:highlight w:val="none"/>
          <w:lang w:val="en-US" w:eastAsia="zh-CN"/>
        </w:rPr>
        <w:t>资格</w:t>
      </w:r>
      <w:r>
        <w:rPr>
          <w:rFonts w:hint="eastAsia" w:ascii="宋体" w:hAnsi="宋体" w:cs="宋体"/>
          <w:bCs/>
          <w:color w:val="auto"/>
          <w:szCs w:val="21"/>
          <w:highlight w:val="none"/>
          <w:lang w:val="zh-CN"/>
        </w:rPr>
        <w:t>评审，不再进入后续评标。</w:t>
      </w:r>
    </w:p>
    <w:p w14:paraId="67777013">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 响应性评审标准：见评标办法前附表。</w:t>
      </w:r>
    </w:p>
    <w:p w14:paraId="7D4C6946">
      <w:pPr>
        <w:autoSpaceDE w:val="0"/>
        <w:autoSpaceDN w:val="0"/>
        <w:adjustRightInd w:val="0"/>
        <w:spacing w:line="400" w:lineRule="exact"/>
        <w:ind w:firstLine="48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投标单位有任何一项不满足响应性评审标准，视为未通过响应性评审，不再进入后续评标。</w:t>
      </w:r>
    </w:p>
    <w:p w14:paraId="1E7F9543">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2.2 分值构成与评分标准</w:t>
      </w:r>
    </w:p>
    <w:p w14:paraId="2642D822">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2.2.1 分值构成</w:t>
      </w:r>
    </w:p>
    <w:p w14:paraId="7C601572">
      <w:pPr>
        <w:autoSpaceDE w:val="0"/>
        <w:autoSpaceDN w:val="0"/>
        <w:adjustRightInd w:val="0"/>
        <w:spacing w:line="40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 xml:space="preserve">        (1)</w:t>
      </w:r>
      <w:r>
        <w:rPr>
          <w:rFonts w:hint="eastAsia" w:ascii="宋体" w:hAnsi="宋体" w:cs="宋体"/>
          <w:bCs/>
          <w:color w:val="auto"/>
          <w:szCs w:val="21"/>
          <w:highlight w:val="none"/>
          <w:lang w:val="en-US" w:eastAsia="zh-CN"/>
        </w:rPr>
        <w:t>价格评分：</w:t>
      </w:r>
      <w:r>
        <w:rPr>
          <w:rFonts w:hint="eastAsia" w:ascii="宋体" w:hAnsi="宋体" w:cs="宋体"/>
          <w:bCs/>
          <w:color w:val="auto"/>
          <w:szCs w:val="21"/>
          <w:highlight w:val="none"/>
          <w:lang w:val="zh-CN"/>
        </w:rPr>
        <w:t>见评标办法前附表；</w:t>
      </w:r>
    </w:p>
    <w:p w14:paraId="5BDB68C2">
      <w:pPr>
        <w:autoSpaceDE w:val="0"/>
        <w:autoSpaceDN w:val="0"/>
        <w:adjustRightInd w:val="0"/>
        <w:spacing w:line="400" w:lineRule="exact"/>
        <w:ind w:firstLine="840" w:firstLineChars="4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（2）</w:t>
      </w:r>
      <w:r>
        <w:rPr>
          <w:rFonts w:hint="eastAsia" w:ascii="宋体" w:hAnsi="宋体" w:cs="宋体"/>
          <w:bCs/>
          <w:color w:val="auto"/>
          <w:spacing w:val="-6"/>
          <w:szCs w:val="21"/>
          <w:highlight w:val="none"/>
        </w:rPr>
        <w:t>技术部分</w:t>
      </w:r>
      <w:r>
        <w:rPr>
          <w:rFonts w:hint="eastAsia" w:ascii="宋体" w:hAnsi="宋体" w:cs="宋体"/>
          <w:bCs/>
          <w:color w:val="auto"/>
          <w:szCs w:val="21"/>
          <w:highlight w:val="none"/>
          <w:lang w:val="zh-CN"/>
        </w:rPr>
        <w:t>：见评标办法前附表；</w:t>
      </w:r>
    </w:p>
    <w:p w14:paraId="0A4ADFEC">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)商务部分：见评标办法前附表；</w:t>
      </w:r>
    </w:p>
    <w:p w14:paraId="3DD43E99">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2.2.2 评标基准价计算</w:t>
      </w:r>
    </w:p>
    <w:p w14:paraId="775F5CAE">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评标基准价计算方法：见评标办法前附表。</w:t>
      </w:r>
    </w:p>
    <w:p w14:paraId="4D5D2A0A">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2.2.3投标报价的偏差率计算</w:t>
      </w:r>
    </w:p>
    <w:p w14:paraId="4A689ED1">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商务部分的偏差率计算公式：见评标办法前附表。</w:t>
      </w:r>
    </w:p>
    <w:p w14:paraId="64BD7B47">
      <w:pPr>
        <w:autoSpaceDE w:val="0"/>
        <w:autoSpaceDN w:val="0"/>
        <w:adjustRightInd w:val="0"/>
        <w:spacing w:line="400" w:lineRule="exact"/>
        <w:ind w:firstLine="210" w:firstLineChars="1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2.2.4</w:t>
      </w:r>
      <w:r>
        <w:rPr>
          <w:rFonts w:hint="eastAsia"/>
          <w:color w:val="auto"/>
          <w:highlight w:val="none"/>
        </w:rPr>
        <w:t>小型或微型企业</w:t>
      </w:r>
      <w:r>
        <w:rPr>
          <w:rFonts w:hint="eastAsia" w:ascii="宋体" w:hAnsi="宋体" w:cs="宋体"/>
          <w:bCs/>
          <w:color w:val="auto"/>
          <w:szCs w:val="21"/>
          <w:highlight w:val="none"/>
          <w:lang w:val="zh-CN"/>
        </w:rPr>
        <w:t>（含监狱企业）产品价格扣除：（</w:t>
      </w:r>
      <w:r>
        <w:rPr>
          <w:rFonts w:hint="eastAsia" w:ascii="宋体" w:hAnsi="宋体" w:cs="宋体"/>
          <w:bCs/>
          <w:color w:val="auto"/>
          <w:szCs w:val="21"/>
          <w:highlight w:val="none"/>
          <w:lang w:val="en-US" w:eastAsia="zh-CN"/>
        </w:rPr>
        <w:t>本项目不适用</w:t>
      </w:r>
      <w:r>
        <w:rPr>
          <w:rFonts w:hint="eastAsia" w:ascii="宋体" w:hAnsi="宋体" w:cs="宋体"/>
          <w:bCs/>
          <w:color w:val="auto"/>
          <w:szCs w:val="21"/>
          <w:highlight w:val="none"/>
          <w:lang w:val="zh-CN"/>
        </w:rPr>
        <w:t>）</w:t>
      </w:r>
    </w:p>
    <w:p w14:paraId="2CE0ECC0">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（1）投标人为</w:t>
      </w:r>
      <w:r>
        <w:rPr>
          <w:rFonts w:hint="eastAsia"/>
          <w:color w:val="auto"/>
          <w:highlight w:val="none"/>
        </w:rPr>
        <w:t>小型或微型企业</w:t>
      </w:r>
      <w:r>
        <w:rPr>
          <w:rFonts w:hint="eastAsia" w:ascii="宋体" w:hAnsi="宋体" w:cs="宋体"/>
          <w:bCs/>
          <w:color w:val="auto"/>
          <w:szCs w:val="21"/>
          <w:highlight w:val="none"/>
          <w:lang w:val="zh-CN"/>
        </w:rPr>
        <w:t>或监狱企业（标段括成员均为</w:t>
      </w:r>
      <w:r>
        <w:rPr>
          <w:rFonts w:hint="eastAsia"/>
          <w:color w:val="auto"/>
          <w:highlight w:val="none"/>
        </w:rPr>
        <w:t>小型或微型企业</w:t>
      </w:r>
      <w:r>
        <w:rPr>
          <w:rFonts w:hint="eastAsia" w:ascii="宋体" w:hAnsi="宋体" w:cs="宋体"/>
          <w:bCs/>
          <w:color w:val="auto"/>
          <w:szCs w:val="21"/>
          <w:highlight w:val="none"/>
          <w:lang w:val="zh-CN"/>
        </w:rPr>
        <w:t>或监狱企业的联合体）且投标产品/服务含</w:t>
      </w:r>
      <w:r>
        <w:rPr>
          <w:rFonts w:hint="eastAsia"/>
          <w:color w:val="auto"/>
          <w:highlight w:val="none"/>
        </w:rPr>
        <w:t>小型或微型企业</w:t>
      </w:r>
      <w:r>
        <w:rPr>
          <w:rFonts w:hint="eastAsia" w:ascii="宋体" w:hAnsi="宋体" w:cs="宋体"/>
          <w:bCs/>
          <w:color w:val="auto"/>
          <w:szCs w:val="21"/>
          <w:highlight w:val="none"/>
          <w:lang w:val="zh-CN"/>
        </w:rPr>
        <w:t>或监狱企业产品/服务时，报价给予K1的价格扣除（K1的取值为</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lang w:val="zh-CN"/>
        </w:rPr>
        <w:t>%），即：评标价=核实后的投标价-小微企业产品核实价×K1；</w:t>
      </w:r>
    </w:p>
    <w:p w14:paraId="2E7AECFE">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ABCFF7C">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）参加政府采购活动的中小微企业应当提供《中小微企业声明函》（见投标文件参考格式）。</w:t>
      </w:r>
    </w:p>
    <w:p w14:paraId="4CA215E6">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2.2.5 评分标准</w:t>
      </w:r>
    </w:p>
    <w:p w14:paraId="58C43D00">
      <w:pPr>
        <w:autoSpaceDE w:val="0"/>
        <w:autoSpaceDN w:val="0"/>
        <w:adjustRightInd w:val="0"/>
        <w:spacing w:line="400" w:lineRule="exact"/>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 xml:space="preserve">  (1)</w:t>
      </w:r>
      <w:r>
        <w:rPr>
          <w:rFonts w:hint="eastAsia" w:ascii="宋体" w:hAnsi="宋体" w:cs="宋体"/>
          <w:bCs/>
          <w:color w:val="auto"/>
          <w:szCs w:val="21"/>
          <w:highlight w:val="none"/>
          <w:lang w:val="en-US" w:eastAsia="zh-CN"/>
        </w:rPr>
        <w:t>价格评分评分标准：</w:t>
      </w:r>
      <w:r>
        <w:rPr>
          <w:rFonts w:hint="eastAsia" w:ascii="宋体" w:hAnsi="宋体" w:cs="宋体"/>
          <w:bCs/>
          <w:color w:val="auto"/>
          <w:szCs w:val="21"/>
          <w:highlight w:val="none"/>
          <w:lang w:val="zh-CN"/>
        </w:rPr>
        <w:t>见评标办法前附表；</w:t>
      </w:r>
    </w:p>
    <w:p w14:paraId="49651814">
      <w:pPr>
        <w:autoSpaceDE w:val="0"/>
        <w:autoSpaceDN w:val="0"/>
        <w:adjustRightInd w:val="0"/>
        <w:spacing w:line="400" w:lineRule="exact"/>
        <w:ind w:firstLine="210" w:firstLineChars="100"/>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（2）</w:t>
      </w:r>
      <w:r>
        <w:rPr>
          <w:rFonts w:hint="eastAsia" w:ascii="宋体" w:hAnsi="宋体" w:cs="宋体"/>
          <w:bCs/>
          <w:color w:val="auto"/>
          <w:spacing w:val="-6"/>
          <w:szCs w:val="21"/>
          <w:highlight w:val="none"/>
        </w:rPr>
        <w:t>技术部分</w:t>
      </w:r>
      <w:r>
        <w:rPr>
          <w:rFonts w:hint="eastAsia" w:ascii="宋体" w:hAnsi="宋体" w:cs="宋体"/>
          <w:bCs/>
          <w:color w:val="auto"/>
          <w:szCs w:val="21"/>
          <w:highlight w:val="none"/>
          <w:lang w:val="en-US" w:eastAsia="zh-CN"/>
        </w:rPr>
        <w:t>评分标准</w:t>
      </w:r>
      <w:r>
        <w:rPr>
          <w:rFonts w:hint="eastAsia" w:ascii="宋体" w:hAnsi="宋体" w:cs="宋体"/>
          <w:bCs/>
          <w:color w:val="auto"/>
          <w:szCs w:val="21"/>
          <w:highlight w:val="none"/>
          <w:lang w:val="zh-CN"/>
        </w:rPr>
        <w:t>：见评标办法前附表；</w:t>
      </w:r>
    </w:p>
    <w:p w14:paraId="13BB2CF9">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)商务部分</w:t>
      </w:r>
      <w:r>
        <w:rPr>
          <w:rFonts w:hint="eastAsia" w:ascii="宋体" w:hAnsi="宋体" w:cs="宋体"/>
          <w:bCs/>
          <w:color w:val="auto"/>
          <w:szCs w:val="21"/>
          <w:highlight w:val="none"/>
          <w:lang w:val="en-US" w:eastAsia="zh-CN"/>
        </w:rPr>
        <w:t>评分标准</w:t>
      </w:r>
      <w:r>
        <w:rPr>
          <w:rFonts w:hint="eastAsia" w:ascii="宋体" w:hAnsi="宋体" w:cs="宋体"/>
          <w:bCs/>
          <w:color w:val="auto"/>
          <w:szCs w:val="21"/>
          <w:highlight w:val="none"/>
          <w:lang w:val="zh-CN"/>
        </w:rPr>
        <w:t>：见评标办法前附表；</w:t>
      </w:r>
    </w:p>
    <w:p w14:paraId="2F838837">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 xml:space="preserve"> </w:t>
      </w:r>
      <w:r>
        <w:rPr>
          <w:rFonts w:hint="eastAsia" w:ascii="宋体" w:hAnsi="宋体" w:cs="宋体"/>
          <w:color w:val="auto"/>
          <w:szCs w:val="21"/>
          <w:highlight w:val="none"/>
          <w:lang w:val="zh-CN"/>
        </w:rPr>
        <w:t>3.评标程序</w:t>
      </w:r>
    </w:p>
    <w:p w14:paraId="0E6FBCD1">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3.1初步评审</w:t>
      </w:r>
    </w:p>
    <w:p w14:paraId="3A238F3B">
      <w:pPr>
        <w:autoSpaceDE w:val="0"/>
        <w:autoSpaceDN w:val="0"/>
        <w:adjustRightInd w:val="0"/>
        <w:spacing w:line="400" w:lineRule="exact"/>
        <w:jc w:val="left"/>
        <w:rPr>
          <w:rFonts w:hint="eastAsia" w:ascii="宋体" w:hAnsi="宋体" w:cs="宋体"/>
          <w:bCs/>
          <w:color w:val="auto"/>
          <w:szCs w:val="21"/>
          <w:highlight w:val="none"/>
          <w:shd w:val="pct10" w:color="auto" w:fill="FFFFFF"/>
          <w:lang w:val="zh-CN"/>
        </w:rPr>
      </w:pPr>
      <w:r>
        <w:rPr>
          <w:rFonts w:hint="eastAsia" w:ascii="宋体" w:hAnsi="宋体" w:cs="宋体"/>
          <w:bCs/>
          <w:color w:val="auto"/>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44E4F447">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3.1.2 投标人有以下情形之一的，其投标作否决处理：</w:t>
      </w:r>
    </w:p>
    <w:p w14:paraId="301598E4">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(1)第二章“投标人须知”第1.4.3项规定的任何一种情形的；</w:t>
      </w:r>
    </w:p>
    <w:p w14:paraId="6EF0F3B7">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(2)串通投标或弄虚作假或有其他违法行为的：</w:t>
      </w:r>
    </w:p>
    <w:p w14:paraId="3A1197D8">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(3)不按评标委员会要求澄清、说明或补正的。</w:t>
      </w:r>
    </w:p>
    <w:p w14:paraId="0A56AB17">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25BFC151">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(1)投标文件中的大写金额与小写金额不一致的，以大写金额为准：</w:t>
      </w:r>
    </w:p>
    <w:p w14:paraId="61CBBA46">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(2)总价金额与依据单价计算出的结果不一致的，以单价金额为准修正总价，但单价金额小数点有明显错误的除外。</w:t>
      </w:r>
    </w:p>
    <w:p w14:paraId="6FD4B380">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3.2 详细评审</w:t>
      </w:r>
    </w:p>
    <w:p w14:paraId="6343EF9B">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3.2.1评标委员会按本章第2之款规定的量化因素和分值进行打分，并计算出综合打分得分。</w:t>
      </w:r>
    </w:p>
    <w:p w14:paraId="2541DE43">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(1)按本章第2.2.4(1)目规定的评审因素和分值对技术部分计算出得分A；</w:t>
      </w:r>
    </w:p>
    <w:p w14:paraId="34382296">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(2)按本章第2.2.4(2)目规定的评审因素和分值对商务部分计算出得分B；</w:t>
      </w:r>
    </w:p>
    <w:p w14:paraId="27419CED">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3.2.2 评分分值计算保留小数点后两位，小数点后第三位“四舍五入”。</w:t>
      </w:r>
    </w:p>
    <w:p w14:paraId="07B56D73">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3.2.3 投标人得分=A+B。</w:t>
      </w:r>
    </w:p>
    <w:p w14:paraId="16775BE6">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075F2EA6">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3.3 投标文件的澄清和补正</w:t>
      </w:r>
    </w:p>
    <w:p w14:paraId="2D56C03A">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48F6E3C">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3.3.2 澄清、说明和补正不得改变投标文件的实质性内容(算术性错误修正的除外)。投标人的书面澄清、说明和补正属于投标文件的组成部分。</w:t>
      </w:r>
    </w:p>
    <w:p w14:paraId="4AB23BEF">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3.3.3 评标委员会对投标人提交的澄清、说明或补正有疑问的，可以要求投标人进一步澄清、说明或补正，直至满足评标委员会的要求。</w:t>
      </w:r>
    </w:p>
    <w:p w14:paraId="598282B4">
      <w:pPr>
        <w:autoSpaceDE w:val="0"/>
        <w:autoSpaceDN w:val="0"/>
        <w:adjustRightInd w:val="0"/>
        <w:spacing w:line="40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3.4 评标结果</w:t>
      </w:r>
    </w:p>
    <w:p w14:paraId="70499874">
      <w:pPr>
        <w:autoSpaceDE w:val="0"/>
        <w:autoSpaceDN w:val="0"/>
        <w:adjustRightInd w:val="0"/>
        <w:spacing w:line="400" w:lineRule="exac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 xml:space="preserve">    3.4.1 除第二章“投标人须知”前附表授权直接确定中标人外，评标委员会按照得分由高到低的顺序推荐中标候选人。</w:t>
      </w:r>
    </w:p>
    <w:p w14:paraId="1C32BC2F">
      <w:pPr>
        <w:rPr>
          <w:rFonts w:hint="eastAsia" w:ascii="宋体" w:hAnsi="宋体" w:eastAsia="宋体" w:cs="宋体"/>
          <w:b/>
          <w:bCs/>
          <w:sz w:val="40"/>
          <w:szCs w:val="40"/>
          <w:highlight w:val="none"/>
          <w:lang w:val="zh-CN"/>
        </w:rPr>
      </w:pPr>
      <w:r>
        <w:rPr>
          <w:rFonts w:hint="eastAsia" w:ascii="宋体" w:hAnsi="宋体" w:cs="宋体"/>
          <w:bCs/>
          <w:color w:val="auto"/>
          <w:szCs w:val="21"/>
          <w:highlight w:val="none"/>
          <w:lang w:val="zh-CN"/>
        </w:rPr>
        <w:t xml:space="preserve">    3.4.2 评标委员会完成评标后，应当向采购人提交书面评标报告。</w:t>
      </w:r>
      <w:r>
        <w:rPr>
          <w:rFonts w:hint="eastAsia" w:ascii="宋体" w:hAnsi="宋体" w:eastAsia="宋体" w:cs="宋体"/>
          <w:b/>
          <w:bCs/>
          <w:sz w:val="40"/>
          <w:szCs w:val="40"/>
          <w:highlight w:val="none"/>
          <w:lang w:val="zh-CN"/>
        </w:rPr>
        <w:br w:type="page"/>
      </w:r>
    </w:p>
    <w:p w14:paraId="3C8121BE">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r>
        <w:rPr>
          <w:rFonts w:hint="eastAsia" w:ascii="宋体" w:hAnsi="宋体" w:eastAsia="宋体" w:cs="宋体"/>
          <w:b/>
          <w:sz w:val="32"/>
          <w:szCs w:val="28"/>
          <w:highlight w:val="none"/>
          <w:lang w:val="zh-CN" w:eastAsia="zh-CN"/>
        </w:rPr>
        <w:t>第四章  合同条款及格式</w:t>
      </w:r>
      <w:bookmarkEnd w:id="24"/>
      <w:bookmarkEnd w:id="25"/>
    </w:p>
    <w:p w14:paraId="2C344064">
      <w:pPr>
        <w:jc w:val="center"/>
        <w:outlineLvl w:val="9"/>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（仅供参考，</w:t>
      </w:r>
      <w:r>
        <w:rPr>
          <w:rFonts w:hint="eastAsia" w:ascii="宋体" w:hAnsi="宋体" w:eastAsia="宋体" w:cs="宋体"/>
          <w:b w:val="0"/>
          <w:sz w:val="21"/>
          <w:szCs w:val="21"/>
          <w:highlight w:val="none"/>
          <w:lang w:eastAsia="zh-CN"/>
        </w:rPr>
        <w:t>以双方签订合同为准</w:t>
      </w:r>
      <w:r>
        <w:rPr>
          <w:rFonts w:hint="eastAsia" w:ascii="宋体" w:hAnsi="宋体" w:cs="宋体"/>
          <w:b w:val="0"/>
          <w:sz w:val="21"/>
          <w:szCs w:val="21"/>
          <w:highlight w:val="none"/>
          <w:lang w:val="en-US" w:eastAsia="zh-CN"/>
        </w:rPr>
        <w:t>）</w:t>
      </w:r>
    </w:p>
    <w:p w14:paraId="73CEC56E">
      <w:pPr>
        <w:autoSpaceDE w:val="0"/>
        <w:autoSpaceDN w:val="0"/>
        <w:adjustRightInd w:val="0"/>
        <w:spacing w:line="360" w:lineRule="auto"/>
        <w:ind w:firstLine="1050" w:firstLineChars="500"/>
        <w:rPr>
          <w:rFonts w:ascii="宋体" w:hAnsi="宋体" w:cs="宋体"/>
          <w:b/>
          <w:bCs/>
          <w:color w:val="auto"/>
          <w:sz w:val="36"/>
          <w:szCs w:val="36"/>
          <w:highlight w:val="none"/>
          <w:lang w:val="zh-CN"/>
        </w:rPr>
      </w:pPr>
      <w:r>
        <w:rPr>
          <w:rFonts w:hint="eastAsia" w:ascii="宋体" w:hAnsi="宋体" w:eastAsia="宋体" w:cs="宋体"/>
          <w:b w:val="0"/>
          <w:sz w:val="21"/>
          <w:szCs w:val="21"/>
          <w:highlight w:val="none"/>
          <w:lang w:eastAsia="zh-CN"/>
        </w:rPr>
        <w:br w:type="page"/>
      </w:r>
      <w:r>
        <w:rPr>
          <w:rFonts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采购</w:t>
      </w:r>
    </w:p>
    <w:p w14:paraId="1634849C">
      <w:pPr>
        <w:autoSpaceDE w:val="0"/>
        <w:autoSpaceDN w:val="0"/>
        <w:adjustRightInd w:val="0"/>
        <w:spacing w:line="360" w:lineRule="auto"/>
        <w:jc w:val="center"/>
        <w:rPr>
          <w:rFonts w:ascii="宋体" w:hAnsi="宋体" w:cs="宋体"/>
          <w:b/>
          <w:bCs/>
          <w:color w:val="auto"/>
          <w:sz w:val="36"/>
          <w:szCs w:val="36"/>
          <w:highlight w:val="none"/>
          <w:lang w:val="zh-CN"/>
        </w:rPr>
      </w:pPr>
    </w:p>
    <w:p w14:paraId="1E81796F">
      <w:pPr>
        <w:autoSpaceDE w:val="0"/>
        <w:autoSpaceDN w:val="0"/>
        <w:adjustRightInd w:val="0"/>
        <w:spacing w:line="360" w:lineRule="auto"/>
        <w:jc w:val="center"/>
        <w:rPr>
          <w:rFonts w:ascii="宋体" w:hAnsi="宋体" w:cs="宋体"/>
          <w:b/>
          <w:bCs/>
          <w:color w:val="auto"/>
          <w:sz w:val="36"/>
          <w:szCs w:val="36"/>
          <w:highlight w:val="none"/>
          <w:lang w:val="zh-CN"/>
        </w:rPr>
      </w:pPr>
    </w:p>
    <w:p w14:paraId="35730891">
      <w:pPr>
        <w:autoSpaceDE w:val="0"/>
        <w:autoSpaceDN w:val="0"/>
        <w:adjustRightInd w:val="0"/>
        <w:spacing w:line="360" w:lineRule="auto"/>
        <w:jc w:val="center"/>
        <w:rPr>
          <w:rFonts w:hint="eastAsia" w:ascii="宋体" w:hAnsi="宋体" w:cs="宋体"/>
          <w:b/>
          <w:bCs/>
          <w:color w:val="auto"/>
          <w:sz w:val="36"/>
          <w:szCs w:val="36"/>
          <w:highlight w:val="none"/>
          <w:lang w:val="zh-CN"/>
        </w:rPr>
      </w:pPr>
    </w:p>
    <w:p w14:paraId="3EAF7E54">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 xml:space="preserve">合 同 </w:t>
      </w:r>
      <w:r>
        <w:rPr>
          <w:rFonts w:ascii="宋体" w:hAnsi="宋体" w:cs="宋体"/>
          <w:b/>
          <w:bCs/>
          <w:color w:val="auto"/>
          <w:sz w:val="36"/>
          <w:szCs w:val="36"/>
          <w:highlight w:val="none"/>
          <w:lang w:val="zh-CN"/>
        </w:rPr>
        <w:t>书</w:t>
      </w:r>
    </w:p>
    <w:p w14:paraId="3D23E3F6">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w:t>
      </w:r>
      <w:r>
        <w:rPr>
          <w:rFonts w:ascii="宋体" w:hAnsi="宋体" w:cs="宋体"/>
          <w:b/>
          <w:bCs/>
          <w:color w:val="auto"/>
          <w:sz w:val="36"/>
          <w:szCs w:val="36"/>
          <w:highlight w:val="none"/>
          <w:lang w:val="zh-CN"/>
        </w:rPr>
        <w:t>服务类</w:t>
      </w:r>
      <w:r>
        <w:rPr>
          <w:rFonts w:hint="eastAsia" w:ascii="宋体" w:hAnsi="宋体" w:cs="宋体"/>
          <w:b/>
          <w:bCs/>
          <w:color w:val="auto"/>
          <w:sz w:val="36"/>
          <w:szCs w:val="36"/>
          <w:highlight w:val="none"/>
          <w:lang w:val="zh-CN"/>
        </w:rPr>
        <w:t>，仅供参考</w:t>
      </w:r>
      <w:r>
        <w:rPr>
          <w:rFonts w:ascii="宋体" w:hAnsi="宋体" w:cs="宋体"/>
          <w:b/>
          <w:bCs/>
          <w:color w:val="auto"/>
          <w:sz w:val="36"/>
          <w:szCs w:val="36"/>
          <w:highlight w:val="none"/>
          <w:lang w:val="zh-CN"/>
        </w:rPr>
        <w:t>）</w:t>
      </w:r>
    </w:p>
    <w:p w14:paraId="3F97A18A">
      <w:pPr>
        <w:autoSpaceDE w:val="0"/>
        <w:autoSpaceDN w:val="0"/>
        <w:adjustRightInd w:val="0"/>
        <w:spacing w:line="360" w:lineRule="auto"/>
        <w:jc w:val="center"/>
        <w:rPr>
          <w:rFonts w:ascii="宋体" w:hAnsi="宋体" w:cs="宋体"/>
          <w:b/>
          <w:bCs/>
          <w:color w:val="auto"/>
          <w:sz w:val="36"/>
          <w:szCs w:val="36"/>
          <w:highlight w:val="none"/>
          <w:lang w:val="zh-CN"/>
        </w:rPr>
      </w:pPr>
    </w:p>
    <w:p w14:paraId="707006A2">
      <w:pPr>
        <w:autoSpaceDE w:val="0"/>
        <w:autoSpaceDN w:val="0"/>
        <w:adjustRightInd w:val="0"/>
        <w:spacing w:line="360" w:lineRule="auto"/>
        <w:jc w:val="center"/>
        <w:rPr>
          <w:rFonts w:hint="eastAsia" w:ascii="宋体" w:hAnsi="宋体" w:cs="宋体"/>
          <w:b/>
          <w:bCs/>
          <w:color w:val="auto"/>
          <w:sz w:val="36"/>
          <w:szCs w:val="36"/>
          <w:highlight w:val="none"/>
          <w:lang w:val="zh-CN"/>
        </w:rPr>
      </w:pPr>
    </w:p>
    <w:p w14:paraId="20018E71">
      <w:pPr>
        <w:autoSpaceDE w:val="0"/>
        <w:autoSpaceDN w:val="0"/>
        <w:adjustRightInd w:val="0"/>
        <w:spacing w:line="360" w:lineRule="auto"/>
        <w:jc w:val="center"/>
        <w:rPr>
          <w:rFonts w:ascii="宋体" w:hAnsi="宋体" w:cs="宋体"/>
          <w:b/>
          <w:bCs/>
          <w:color w:val="auto"/>
          <w:sz w:val="30"/>
          <w:szCs w:val="30"/>
          <w:highlight w:val="none"/>
          <w:lang w:val="zh-CN"/>
        </w:rPr>
      </w:pPr>
    </w:p>
    <w:p w14:paraId="1F4F2242">
      <w:pPr>
        <w:autoSpaceDE w:val="0"/>
        <w:autoSpaceDN w:val="0"/>
        <w:adjustRightInd w:val="0"/>
        <w:spacing w:line="360" w:lineRule="auto"/>
        <w:jc w:val="center"/>
        <w:rPr>
          <w:rFonts w:ascii="宋体" w:hAnsi="宋体" w:cs="宋体"/>
          <w:b/>
          <w:bCs/>
          <w:color w:val="auto"/>
          <w:sz w:val="30"/>
          <w:szCs w:val="30"/>
          <w:highlight w:val="none"/>
          <w:lang w:val="zh-CN"/>
        </w:rPr>
      </w:pPr>
    </w:p>
    <w:p w14:paraId="0E9C1373">
      <w:pPr>
        <w:autoSpaceDE w:val="0"/>
        <w:autoSpaceDN w:val="0"/>
        <w:adjustRightInd w:val="0"/>
        <w:spacing w:line="360" w:lineRule="auto"/>
        <w:jc w:val="center"/>
        <w:rPr>
          <w:rFonts w:hint="eastAsia" w:ascii="宋体" w:hAnsi="宋体" w:cs="宋体"/>
          <w:b/>
          <w:bCs/>
          <w:color w:val="auto"/>
          <w:sz w:val="30"/>
          <w:szCs w:val="30"/>
          <w:highlight w:val="none"/>
          <w:lang w:val="zh-CN"/>
        </w:rPr>
      </w:pPr>
    </w:p>
    <w:p w14:paraId="6152DB0F">
      <w:pPr>
        <w:autoSpaceDE w:val="0"/>
        <w:autoSpaceDN w:val="0"/>
        <w:adjustRightInd w:val="0"/>
        <w:spacing w:line="360" w:lineRule="auto"/>
        <w:ind w:firstLine="1687" w:firstLineChars="6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合同</w:t>
      </w:r>
      <w:r>
        <w:rPr>
          <w:rFonts w:ascii="宋体" w:hAnsi="宋体" w:cs="宋体"/>
          <w:b/>
          <w:bCs/>
          <w:color w:val="auto"/>
          <w:sz w:val="28"/>
          <w:szCs w:val="28"/>
          <w:highlight w:val="none"/>
          <w:lang w:val="zh-CN"/>
        </w:rPr>
        <w:t>编号：</w:t>
      </w:r>
      <w:r>
        <w:rPr>
          <w:rFonts w:hint="eastAsia" w:ascii="宋体" w:hAnsi="宋体" w:cs="宋体"/>
          <w:b/>
          <w:bCs/>
          <w:color w:val="auto"/>
          <w:sz w:val="28"/>
          <w:szCs w:val="28"/>
          <w:highlight w:val="none"/>
          <w:u w:val="single"/>
          <w:lang w:val="zh-CN"/>
        </w:rPr>
        <w:t xml:space="preserve">                  </w:t>
      </w:r>
    </w:p>
    <w:p w14:paraId="74F5795D">
      <w:pPr>
        <w:autoSpaceDE w:val="0"/>
        <w:autoSpaceDN w:val="0"/>
        <w:adjustRightInd w:val="0"/>
        <w:spacing w:line="360" w:lineRule="auto"/>
        <w:ind w:firstLine="1687" w:firstLineChars="600"/>
        <w:rPr>
          <w:rFonts w:hint="eastAsia" w:ascii="宋体" w:hAnsi="宋体" w:cs="宋体"/>
          <w:b/>
          <w:bCs/>
          <w:color w:val="auto"/>
          <w:sz w:val="28"/>
          <w:szCs w:val="28"/>
          <w:highlight w:val="none"/>
          <w:lang w:val="zh-CN"/>
        </w:rPr>
      </w:pPr>
    </w:p>
    <w:p w14:paraId="0A3211C8">
      <w:pPr>
        <w:autoSpaceDE w:val="0"/>
        <w:autoSpaceDN w:val="0"/>
        <w:adjustRightInd w:val="0"/>
        <w:spacing w:line="360" w:lineRule="auto"/>
        <w:ind w:firstLine="1687" w:firstLineChars="6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项目</w:t>
      </w:r>
      <w:r>
        <w:rPr>
          <w:rFonts w:ascii="宋体" w:hAnsi="宋体" w:cs="宋体"/>
          <w:b/>
          <w:bCs/>
          <w:color w:val="auto"/>
          <w:sz w:val="28"/>
          <w:szCs w:val="28"/>
          <w:highlight w:val="none"/>
          <w:lang w:val="zh-CN"/>
        </w:rPr>
        <w:t>名称：</w:t>
      </w:r>
      <w:r>
        <w:rPr>
          <w:rFonts w:hint="eastAsia" w:ascii="宋体" w:hAnsi="宋体" w:cs="宋体"/>
          <w:b/>
          <w:bCs/>
          <w:color w:val="auto"/>
          <w:sz w:val="28"/>
          <w:szCs w:val="28"/>
          <w:highlight w:val="none"/>
          <w:u w:val="single"/>
          <w:lang w:val="zh-CN"/>
        </w:rPr>
        <w:t xml:space="preserve">                  </w:t>
      </w:r>
      <w:r>
        <w:rPr>
          <w:rFonts w:hint="eastAsia" w:ascii="宋体" w:hAnsi="宋体" w:cs="宋体"/>
          <w:b/>
          <w:bCs/>
          <w:color w:val="auto"/>
          <w:sz w:val="28"/>
          <w:szCs w:val="28"/>
          <w:highlight w:val="none"/>
          <w:lang w:val="zh-CN"/>
        </w:rPr>
        <w:t xml:space="preserve">   </w:t>
      </w:r>
    </w:p>
    <w:p w14:paraId="6422EBC7">
      <w:pPr>
        <w:autoSpaceDE w:val="0"/>
        <w:autoSpaceDN w:val="0"/>
        <w:adjustRightInd w:val="0"/>
        <w:spacing w:line="360" w:lineRule="auto"/>
        <w:rPr>
          <w:rFonts w:ascii="宋体" w:hAnsi="宋体" w:cs="宋体"/>
          <w:bCs/>
          <w:color w:val="auto"/>
          <w:szCs w:val="21"/>
          <w:highlight w:val="none"/>
          <w:lang w:val="zh-CN"/>
        </w:rPr>
      </w:pPr>
    </w:p>
    <w:p w14:paraId="69F275D2">
      <w:pPr>
        <w:autoSpaceDE w:val="0"/>
        <w:autoSpaceDN w:val="0"/>
        <w:adjustRightIn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r>
        <w:rPr>
          <w:rFonts w:ascii="宋体" w:hAnsi="宋体" w:cs="宋体"/>
          <w:b/>
          <w:bCs/>
          <w:color w:val="auto"/>
          <w:szCs w:val="21"/>
          <w:highlight w:val="none"/>
          <w:lang w:val="zh-CN"/>
        </w:rPr>
        <w:t>：本</w:t>
      </w:r>
      <w:r>
        <w:rPr>
          <w:rFonts w:hint="eastAsia" w:ascii="宋体" w:hAnsi="宋体" w:cs="宋体"/>
          <w:b/>
          <w:bCs/>
          <w:color w:val="auto"/>
          <w:szCs w:val="21"/>
          <w:highlight w:val="none"/>
          <w:lang w:val="zh-CN"/>
        </w:rPr>
        <w:t>合</w:t>
      </w:r>
      <w:r>
        <w:rPr>
          <w:rFonts w:ascii="宋体" w:hAnsi="宋体" w:cs="宋体"/>
          <w:b/>
          <w:bCs/>
          <w:color w:val="auto"/>
          <w:szCs w:val="21"/>
          <w:highlight w:val="none"/>
          <w:lang w:val="zh-CN"/>
        </w:rPr>
        <w:t>同</w:t>
      </w:r>
      <w:r>
        <w:rPr>
          <w:rFonts w:hint="eastAsia" w:ascii="宋体" w:hAnsi="宋体" w:cs="宋体"/>
          <w:b/>
          <w:bCs/>
          <w:color w:val="auto"/>
          <w:szCs w:val="21"/>
          <w:highlight w:val="none"/>
          <w:lang w:val="zh-CN"/>
        </w:rPr>
        <w:t>仅</w:t>
      </w:r>
      <w:r>
        <w:rPr>
          <w:rFonts w:ascii="宋体" w:hAnsi="宋体" w:cs="宋体"/>
          <w:b/>
          <w:bCs/>
          <w:color w:val="auto"/>
          <w:szCs w:val="21"/>
          <w:highlight w:val="none"/>
          <w:lang w:val="zh-CN"/>
        </w:rPr>
        <w:t>为</w:t>
      </w:r>
      <w:r>
        <w:rPr>
          <w:rFonts w:hint="eastAsia" w:ascii="宋体" w:hAnsi="宋体" w:cs="宋体"/>
          <w:b/>
          <w:bCs/>
          <w:color w:val="auto"/>
          <w:szCs w:val="21"/>
          <w:highlight w:val="none"/>
          <w:lang w:val="zh-CN"/>
        </w:rPr>
        <w:t>合同</w:t>
      </w:r>
      <w:r>
        <w:rPr>
          <w:rFonts w:ascii="宋体" w:hAnsi="宋体" w:cs="宋体"/>
          <w:b/>
          <w:bCs/>
          <w:color w:val="auto"/>
          <w:szCs w:val="21"/>
          <w:highlight w:val="none"/>
          <w:lang w:val="zh-CN"/>
        </w:rPr>
        <w:t>的参考文本，合同签订双方可根据项目的具体要求进行修订。</w:t>
      </w:r>
    </w:p>
    <w:p w14:paraId="3031E4F4">
      <w:pPr>
        <w:autoSpaceDE w:val="0"/>
        <w:autoSpaceDN w:val="0"/>
        <w:adjustRightInd w:val="0"/>
        <w:spacing w:line="360" w:lineRule="auto"/>
        <w:rPr>
          <w:rFonts w:hint="eastAsia" w:ascii="宋体" w:hAnsi="宋体" w:cs="宋体"/>
          <w:bCs/>
          <w:color w:val="auto"/>
          <w:szCs w:val="21"/>
          <w:highlight w:val="none"/>
          <w:lang w:val="zh-CN"/>
        </w:rPr>
      </w:pPr>
    </w:p>
    <w:p w14:paraId="365EFDD6">
      <w:pPr>
        <w:pStyle w:val="11"/>
        <w:rPr>
          <w:rFonts w:hint="eastAsia" w:hAnsi="宋体" w:cs="宋体"/>
          <w:bCs/>
          <w:color w:val="auto"/>
          <w:highlight w:val="none"/>
          <w:lang w:val="zh-CN"/>
        </w:rPr>
      </w:pPr>
      <w:r>
        <w:rPr>
          <w:rFonts w:hAnsi="宋体" w:cs="宋体"/>
          <w:bCs/>
          <w:color w:val="auto"/>
          <w:highlight w:val="none"/>
          <w:lang w:val="zh-CN"/>
        </w:rPr>
        <w:br w:type="page"/>
      </w:r>
      <w:r>
        <w:rPr>
          <w:rFonts w:hint="eastAsia" w:hAnsi="宋体" w:cs="宋体"/>
          <w:bCs/>
          <w:color w:val="auto"/>
          <w:highlight w:val="none"/>
          <w:lang w:val="zh-CN"/>
        </w:rPr>
        <w:t>合同</w:t>
      </w:r>
      <w:r>
        <w:rPr>
          <w:rFonts w:hAnsi="宋体" w:cs="宋体"/>
          <w:bCs/>
          <w:color w:val="auto"/>
          <w:highlight w:val="none"/>
          <w:lang w:val="zh-CN"/>
        </w:rPr>
        <w:t>编号：</w:t>
      </w:r>
    </w:p>
    <w:p w14:paraId="1A26CF27">
      <w:pPr>
        <w:pStyle w:val="11"/>
        <w:rPr>
          <w:rFonts w:hAnsi="宋体" w:cs="宋体"/>
          <w:bCs/>
          <w:color w:val="auto"/>
          <w:highlight w:val="none"/>
          <w:lang w:val="zh-CN"/>
        </w:rPr>
      </w:pPr>
    </w:p>
    <w:p w14:paraId="04FCD13B">
      <w:pPr>
        <w:pStyle w:val="11"/>
        <w:rPr>
          <w:rFonts w:hAnsi="宋体" w:cs="宋体"/>
          <w:color w:val="auto"/>
          <w:sz w:val="24"/>
          <w:szCs w:val="24"/>
          <w:highlight w:val="none"/>
        </w:rPr>
      </w:pPr>
      <w:r>
        <w:rPr>
          <w:rFonts w:hAnsi="宋体" w:cs="宋体"/>
          <w:color w:val="auto"/>
          <w:sz w:val="24"/>
          <w:szCs w:val="24"/>
          <w:highlight w:val="none"/>
        </w:rPr>
        <w:t>签订地点:</w:t>
      </w:r>
    </w:p>
    <w:p w14:paraId="72C286D4">
      <w:pPr>
        <w:pStyle w:val="11"/>
        <w:rPr>
          <w:rFonts w:hAnsi="宋体" w:cs="宋体"/>
          <w:color w:val="auto"/>
          <w:sz w:val="24"/>
          <w:szCs w:val="24"/>
          <w:highlight w:val="none"/>
        </w:rPr>
      </w:pPr>
    </w:p>
    <w:p w14:paraId="21864211">
      <w:pPr>
        <w:pStyle w:val="11"/>
        <w:rPr>
          <w:rFonts w:hAnsi="宋体" w:cs="宋体"/>
          <w:color w:val="auto"/>
          <w:sz w:val="24"/>
          <w:szCs w:val="24"/>
          <w:highlight w:val="none"/>
        </w:rPr>
      </w:pPr>
      <w:r>
        <w:rPr>
          <w:rFonts w:hAnsi="宋体" w:cs="宋体"/>
          <w:color w:val="auto"/>
          <w:sz w:val="24"/>
          <w:szCs w:val="24"/>
          <w:highlight w:val="none"/>
        </w:rPr>
        <w:t>签订日期:</w:t>
      </w:r>
    </w:p>
    <w:p w14:paraId="25F50FA1">
      <w:pPr>
        <w:pStyle w:val="11"/>
        <w:rPr>
          <w:rFonts w:hAnsi="宋体" w:cs="宋体"/>
          <w:color w:val="auto"/>
          <w:sz w:val="24"/>
          <w:szCs w:val="24"/>
          <w:highlight w:val="none"/>
          <w:u w:val="single"/>
        </w:rPr>
      </w:pPr>
    </w:p>
    <w:p w14:paraId="6885D7C1">
      <w:pPr>
        <w:pStyle w:val="11"/>
        <w:spacing w:line="360" w:lineRule="auto"/>
        <w:rPr>
          <w:rFonts w:hAnsi="宋体" w:cs="宋体"/>
          <w:color w:val="auto"/>
          <w:sz w:val="24"/>
          <w:szCs w:val="24"/>
          <w:highlight w:val="none"/>
        </w:rPr>
      </w:pPr>
      <w:r>
        <w:rPr>
          <w:rFonts w:hAnsi="宋体" w:cs="宋体"/>
          <w:color w:val="auto"/>
          <w:sz w:val="24"/>
          <w:szCs w:val="24"/>
          <w:highlight w:val="none"/>
          <w:u w:val="single"/>
        </w:rPr>
        <w:t xml:space="preserve">                   </w:t>
      </w:r>
      <w:r>
        <w:rPr>
          <w:rFonts w:hAnsi="宋体" w:cs="宋体"/>
          <w:color w:val="auto"/>
          <w:sz w:val="24"/>
          <w:szCs w:val="24"/>
          <w:highlight w:val="none"/>
        </w:rPr>
        <w:t>(需方)需求的</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(项目名称)经招标公司以编号为</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的招标文件在国内公开招标,评标委员会评</w:t>
      </w:r>
      <w:r>
        <w:rPr>
          <w:rFonts w:hint="eastAsia" w:hAnsi="宋体" w:cs="宋体"/>
          <w:color w:val="auto"/>
          <w:sz w:val="24"/>
          <w:szCs w:val="24"/>
          <w:highlight w:val="none"/>
        </w:rPr>
        <w:t>定</w:t>
      </w:r>
      <w:r>
        <w:rPr>
          <w:rFonts w:hint="eastAsia" w:hAnsi="宋体" w:cs="宋体"/>
          <w:color w:val="auto"/>
          <w:sz w:val="24"/>
          <w:szCs w:val="24"/>
          <w:highlight w:val="none"/>
          <w:u w:val="single"/>
        </w:rPr>
        <w:t xml:space="preserve">         </w:t>
      </w:r>
      <w:r>
        <w:rPr>
          <w:rFonts w:hAnsi="宋体" w:cs="宋体"/>
          <w:color w:val="auto"/>
          <w:sz w:val="24"/>
          <w:szCs w:val="24"/>
          <w:highlight w:val="none"/>
        </w:rPr>
        <w:t>(供方)为成交供应商,供需双方按照《中华人民共和国合同法》和有关法律法规,遵循平等、自愿、公平和诚实信用原则,同意按照下面的条款和条件订立本合同,共同信守</w:t>
      </w:r>
      <w:r>
        <w:rPr>
          <w:rFonts w:hint="eastAsia" w:hAnsi="宋体" w:cs="宋体"/>
          <w:color w:val="auto"/>
          <w:sz w:val="24"/>
          <w:szCs w:val="24"/>
          <w:highlight w:val="none"/>
        </w:rPr>
        <w:t>。</w:t>
      </w:r>
    </w:p>
    <w:p w14:paraId="4048078F">
      <w:pPr>
        <w:pStyle w:val="11"/>
        <w:spacing w:line="360" w:lineRule="auto"/>
        <w:rPr>
          <w:rFonts w:hAnsi="宋体" w:cs="宋体"/>
          <w:color w:val="auto"/>
          <w:sz w:val="24"/>
          <w:szCs w:val="24"/>
          <w:highlight w:val="none"/>
        </w:rPr>
      </w:pPr>
    </w:p>
    <w:p w14:paraId="7FFAC035">
      <w:pPr>
        <w:pStyle w:val="11"/>
        <w:rPr>
          <w:rFonts w:hAnsi="宋体" w:cs="宋体"/>
          <w:b/>
          <w:color w:val="auto"/>
          <w:sz w:val="24"/>
          <w:szCs w:val="24"/>
          <w:highlight w:val="none"/>
        </w:rPr>
      </w:pPr>
      <w:r>
        <w:rPr>
          <w:rFonts w:hAnsi="宋体" w:cs="宋体"/>
          <w:b/>
          <w:color w:val="auto"/>
          <w:sz w:val="24"/>
          <w:szCs w:val="24"/>
          <w:highlight w:val="none"/>
        </w:rPr>
        <w:t>1.合同标的</w:t>
      </w:r>
      <w:r>
        <w:rPr>
          <w:rFonts w:hint="eastAsia" w:hAnsi="宋体" w:cs="宋体"/>
          <w:b/>
          <w:color w:val="auto"/>
          <w:sz w:val="24"/>
          <w:szCs w:val="24"/>
          <w:highlight w:val="none"/>
        </w:rPr>
        <w:t>：</w:t>
      </w:r>
    </w:p>
    <w:tbl>
      <w:tblPr>
        <w:tblStyle w:val="22"/>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5"/>
      </w:tblGrid>
      <w:tr w14:paraId="42C2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14" w:type="dxa"/>
            <w:noWrap w:val="0"/>
            <w:vAlign w:val="top"/>
          </w:tcPr>
          <w:p w14:paraId="77BA63C3">
            <w:pPr>
              <w:pStyle w:val="11"/>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项目</w:t>
            </w:r>
            <w:r>
              <w:rPr>
                <w:rFonts w:hAnsi="宋体" w:cs="宋体"/>
                <w:b/>
                <w:color w:val="auto"/>
                <w:sz w:val="24"/>
                <w:szCs w:val="24"/>
                <w:highlight w:val="none"/>
              </w:rPr>
              <w:t>名称</w:t>
            </w:r>
          </w:p>
        </w:tc>
        <w:tc>
          <w:tcPr>
            <w:tcW w:w="2214" w:type="dxa"/>
            <w:noWrap w:val="0"/>
            <w:vAlign w:val="top"/>
          </w:tcPr>
          <w:p w14:paraId="3D832AA7">
            <w:pPr>
              <w:pStyle w:val="11"/>
              <w:spacing w:before="240"/>
              <w:jc w:val="center"/>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eastAsia="zh-CN"/>
              </w:rPr>
              <w:t>服务类</w:t>
            </w:r>
          </w:p>
        </w:tc>
        <w:tc>
          <w:tcPr>
            <w:tcW w:w="2214" w:type="dxa"/>
            <w:noWrap w:val="0"/>
            <w:vAlign w:val="top"/>
          </w:tcPr>
          <w:p w14:paraId="0122B2FF">
            <w:pPr>
              <w:pStyle w:val="11"/>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单价(元)</w:t>
            </w:r>
          </w:p>
        </w:tc>
        <w:tc>
          <w:tcPr>
            <w:tcW w:w="2215" w:type="dxa"/>
            <w:noWrap w:val="0"/>
            <w:vAlign w:val="top"/>
          </w:tcPr>
          <w:p w14:paraId="4556F4D6">
            <w:pPr>
              <w:pStyle w:val="11"/>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小</w:t>
            </w:r>
            <w:r>
              <w:rPr>
                <w:rFonts w:hAnsi="宋体" w:cs="宋体"/>
                <w:b/>
                <w:color w:val="auto"/>
                <w:sz w:val="24"/>
                <w:szCs w:val="24"/>
                <w:highlight w:val="none"/>
              </w:rPr>
              <w:t>计金额（元）</w:t>
            </w:r>
          </w:p>
        </w:tc>
      </w:tr>
      <w:tr w14:paraId="3C25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14" w:type="dxa"/>
            <w:noWrap w:val="0"/>
            <w:vAlign w:val="top"/>
          </w:tcPr>
          <w:p w14:paraId="52A06CE5">
            <w:pPr>
              <w:pStyle w:val="11"/>
              <w:rPr>
                <w:rFonts w:hint="eastAsia" w:hAnsi="宋体" w:cs="宋体"/>
                <w:b/>
                <w:color w:val="auto"/>
                <w:sz w:val="24"/>
                <w:szCs w:val="24"/>
                <w:highlight w:val="none"/>
              </w:rPr>
            </w:pPr>
          </w:p>
        </w:tc>
        <w:tc>
          <w:tcPr>
            <w:tcW w:w="2214" w:type="dxa"/>
            <w:noWrap w:val="0"/>
            <w:vAlign w:val="top"/>
          </w:tcPr>
          <w:p w14:paraId="4FE4E447">
            <w:pPr>
              <w:pStyle w:val="11"/>
              <w:rPr>
                <w:rFonts w:hint="eastAsia" w:hAnsi="宋体" w:cs="宋体"/>
                <w:b/>
                <w:color w:val="auto"/>
                <w:sz w:val="24"/>
                <w:szCs w:val="24"/>
                <w:highlight w:val="none"/>
              </w:rPr>
            </w:pPr>
          </w:p>
        </w:tc>
        <w:tc>
          <w:tcPr>
            <w:tcW w:w="2214" w:type="dxa"/>
            <w:noWrap w:val="0"/>
            <w:vAlign w:val="top"/>
          </w:tcPr>
          <w:p w14:paraId="34CE704F">
            <w:pPr>
              <w:pStyle w:val="11"/>
              <w:rPr>
                <w:rFonts w:hint="eastAsia" w:hAnsi="宋体" w:cs="宋体"/>
                <w:b/>
                <w:color w:val="auto"/>
                <w:sz w:val="24"/>
                <w:szCs w:val="24"/>
                <w:highlight w:val="none"/>
              </w:rPr>
            </w:pPr>
          </w:p>
        </w:tc>
        <w:tc>
          <w:tcPr>
            <w:tcW w:w="2215" w:type="dxa"/>
            <w:noWrap w:val="0"/>
            <w:vAlign w:val="top"/>
          </w:tcPr>
          <w:p w14:paraId="45529A4B">
            <w:pPr>
              <w:pStyle w:val="11"/>
              <w:rPr>
                <w:rFonts w:hint="eastAsia" w:hAnsi="宋体" w:cs="宋体"/>
                <w:b/>
                <w:color w:val="auto"/>
                <w:sz w:val="24"/>
                <w:szCs w:val="24"/>
                <w:highlight w:val="none"/>
              </w:rPr>
            </w:pPr>
          </w:p>
        </w:tc>
      </w:tr>
      <w:tr w14:paraId="3850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14" w:type="dxa"/>
            <w:noWrap w:val="0"/>
            <w:vAlign w:val="top"/>
          </w:tcPr>
          <w:p w14:paraId="3C404B67">
            <w:pPr>
              <w:pStyle w:val="11"/>
              <w:rPr>
                <w:rFonts w:hint="eastAsia" w:hAnsi="宋体" w:cs="宋体"/>
                <w:b/>
                <w:color w:val="auto"/>
                <w:sz w:val="24"/>
                <w:szCs w:val="24"/>
                <w:highlight w:val="none"/>
              </w:rPr>
            </w:pPr>
          </w:p>
        </w:tc>
        <w:tc>
          <w:tcPr>
            <w:tcW w:w="2214" w:type="dxa"/>
            <w:noWrap w:val="0"/>
            <w:vAlign w:val="top"/>
          </w:tcPr>
          <w:p w14:paraId="3A5A09A9">
            <w:pPr>
              <w:pStyle w:val="11"/>
              <w:rPr>
                <w:rFonts w:hint="eastAsia" w:hAnsi="宋体" w:cs="宋体"/>
                <w:b/>
                <w:color w:val="auto"/>
                <w:sz w:val="24"/>
                <w:szCs w:val="24"/>
                <w:highlight w:val="none"/>
              </w:rPr>
            </w:pPr>
          </w:p>
        </w:tc>
        <w:tc>
          <w:tcPr>
            <w:tcW w:w="2214" w:type="dxa"/>
            <w:noWrap w:val="0"/>
            <w:vAlign w:val="top"/>
          </w:tcPr>
          <w:p w14:paraId="7BE13301">
            <w:pPr>
              <w:pStyle w:val="11"/>
              <w:rPr>
                <w:rFonts w:hint="eastAsia" w:hAnsi="宋体" w:cs="宋体"/>
                <w:b/>
                <w:color w:val="auto"/>
                <w:sz w:val="24"/>
                <w:szCs w:val="24"/>
                <w:highlight w:val="none"/>
              </w:rPr>
            </w:pPr>
          </w:p>
        </w:tc>
        <w:tc>
          <w:tcPr>
            <w:tcW w:w="2215" w:type="dxa"/>
            <w:noWrap w:val="0"/>
            <w:vAlign w:val="top"/>
          </w:tcPr>
          <w:p w14:paraId="10100813">
            <w:pPr>
              <w:pStyle w:val="11"/>
              <w:rPr>
                <w:rFonts w:hint="eastAsia" w:hAnsi="宋体" w:cs="宋体"/>
                <w:b/>
                <w:color w:val="auto"/>
                <w:sz w:val="24"/>
                <w:szCs w:val="24"/>
                <w:highlight w:val="none"/>
              </w:rPr>
            </w:pPr>
          </w:p>
        </w:tc>
      </w:tr>
    </w:tbl>
    <w:p w14:paraId="11EF3D1D">
      <w:pPr>
        <w:pStyle w:val="11"/>
        <w:spacing w:line="360" w:lineRule="auto"/>
        <w:rPr>
          <w:rFonts w:hAnsi="宋体" w:cs="宋体"/>
          <w:b/>
          <w:color w:val="auto"/>
          <w:sz w:val="24"/>
          <w:szCs w:val="24"/>
          <w:highlight w:val="none"/>
        </w:rPr>
      </w:pPr>
    </w:p>
    <w:p w14:paraId="3EE7C912">
      <w:pPr>
        <w:pStyle w:val="11"/>
        <w:spacing w:line="360" w:lineRule="auto"/>
        <w:rPr>
          <w:rFonts w:hAnsi="宋体" w:cs="宋体"/>
          <w:color w:val="auto"/>
          <w:sz w:val="24"/>
          <w:szCs w:val="24"/>
          <w:highlight w:val="none"/>
          <w:u w:val="single"/>
        </w:rPr>
      </w:pPr>
      <w:r>
        <w:rPr>
          <w:rFonts w:hAnsi="宋体" w:cs="宋体"/>
          <w:b/>
          <w:color w:val="auto"/>
          <w:sz w:val="24"/>
          <w:szCs w:val="24"/>
          <w:highlight w:val="none"/>
        </w:rPr>
        <w:t>2.合同价格:</w:t>
      </w:r>
      <w:r>
        <w:rPr>
          <w:rFonts w:hAnsi="宋体" w:cs="宋体"/>
          <w:color w:val="auto"/>
          <w:sz w:val="24"/>
          <w:szCs w:val="24"/>
          <w:highlight w:val="none"/>
        </w:rPr>
        <w:t>人民币(大写)</w:t>
      </w:r>
      <w:r>
        <w:rPr>
          <w:rFonts w:hAnsi="宋体" w:cs="宋体"/>
          <w:color w:val="auto"/>
          <w:sz w:val="24"/>
          <w:szCs w:val="24"/>
          <w:highlight w:val="none"/>
          <w:u w:val="single"/>
        </w:rPr>
        <w:t xml:space="preserve">             </w:t>
      </w:r>
      <w:r>
        <w:rPr>
          <w:rFonts w:hint="eastAsia" w:hAnsi="宋体" w:cs="宋体"/>
          <w:color w:val="auto"/>
          <w:sz w:val="24"/>
          <w:szCs w:val="24"/>
          <w:highlight w:val="none"/>
        </w:rPr>
        <w:t>元</w:t>
      </w:r>
      <w:r>
        <w:rPr>
          <w:rFonts w:hAnsi="宋体" w:cs="宋体"/>
          <w:color w:val="auto"/>
          <w:sz w:val="24"/>
          <w:szCs w:val="24"/>
          <w:highlight w:val="none"/>
        </w:rPr>
        <w:t>，</w:t>
      </w:r>
      <w:r>
        <w:rPr>
          <w:rFonts w:hint="eastAsia" w:hAnsi="宋体" w:cs="宋体"/>
          <w:color w:val="auto"/>
          <w:sz w:val="24"/>
          <w:szCs w:val="24"/>
          <w:highlight w:val="none"/>
        </w:rPr>
        <w:t>（</w:t>
      </w:r>
      <w:r>
        <w:rPr>
          <w:rFonts w:hAnsi="宋体" w:cs="宋体"/>
          <w:color w:val="auto"/>
          <w:sz w:val="24"/>
          <w:szCs w:val="24"/>
          <w:highlight w:val="none"/>
        </w:rPr>
        <w:t>小</w:t>
      </w:r>
      <w:r>
        <w:rPr>
          <w:rFonts w:hint="eastAsia" w:hAnsi="宋体" w:cs="宋体"/>
          <w:color w:val="auto"/>
          <w:sz w:val="24"/>
          <w:szCs w:val="24"/>
          <w:highlight w:val="none"/>
        </w:rPr>
        <w:t>写</w:t>
      </w:r>
      <w:r>
        <w:rPr>
          <w:rFonts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w:t>
      </w:r>
      <w:r>
        <w:rPr>
          <w:rFonts w:hAnsi="宋体" w:cs="宋体"/>
          <w:color w:val="auto"/>
          <w:sz w:val="24"/>
          <w:szCs w:val="24"/>
          <w:highlight w:val="none"/>
        </w:rPr>
        <w:t>。</w:t>
      </w:r>
    </w:p>
    <w:p w14:paraId="7CFC418A">
      <w:pPr>
        <w:pStyle w:val="11"/>
        <w:spacing w:line="360" w:lineRule="auto"/>
        <w:rPr>
          <w:rFonts w:hAnsi="宋体" w:cs="宋体"/>
          <w:b/>
          <w:color w:val="auto"/>
          <w:sz w:val="24"/>
          <w:szCs w:val="24"/>
          <w:highlight w:val="none"/>
        </w:rPr>
      </w:pPr>
      <w:r>
        <w:rPr>
          <w:rFonts w:hAnsi="宋体" w:cs="宋体"/>
          <w:b/>
          <w:color w:val="auto"/>
          <w:sz w:val="24"/>
          <w:szCs w:val="24"/>
          <w:highlight w:val="none"/>
        </w:rPr>
        <w:t>3.服务时间、地点</w:t>
      </w:r>
    </w:p>
    <w:p w14:paraId="3AA22516">
      <w:pPr>
        <w:pStyle w:val="11"/>
        <w:spacing w:line="360" w:lineRule="auto"/>
        <w:rPr>
          <w:rFonts w:hint="eastAsia"/>
          <w:color w:val="auto"/>
          <w:highlight w:val="none"/>
        </w:rPr>
      </w:pPr>
      <w:r>
        <w:rPr>
          <w:rFonts w:hAnsi="宋体" w:cs="宋体"/>
          <w:color w:val="auto"/>
          <w:sz w:val="24"/>
          <w:szCs w:val="24"/>
          <w:highlight w:val="none"/>
        </w:rPr>
        <w:t>3.1服务时间:</w:t>
      </w:r>
      <w:r>
        <w:rPr>
          <w:rFonts w:hint="eastAsia"/>
          <w:color w:val="auto"/>
          <w:highlight w:val="none"/>
        </w:rPr>
        <w:t xml:space="preserve"> </w:t>
      </w:r>
    </w:p>
    <w:p w14:paraId="322FAE86">
      <w:pPr>
        <w:pStyle w:val="11"/>
        <w:spacing w:line="360" w:lineRule="auto"/>
        <w:rPr>
          <w:rFonts w:hAnsi="宋体" w:cs="宋体"/>
          <w:color w:val="auto"/>
          <w:sz w:val="24"/>
          <w:szCs w:val="24"/>
          <w:highlight w:val="none"/>
        </w:rPr>
      </w:pPr>
      <w:r>
        <w:rPr>
          <w:rFonts w:hAnsi="宋体" w:cs="宋体"/>
          <w:color w:val="auto"/>
          <w:sz w:val="24"/>
          <w:szCs w:val="24"/>
          <w:highlight w:val="none"/>
        </w:rPr>
        <w:t>3.2服务地点:</w:t>
      </w:r>
    </w:p>
    <w:p w14:paraId="50F67102">
      <w:pPr>
        <w:pStyle w:val="11"/>
        <w:spacing w:line="360" w:lineRule="auto"/>
        <w:rPr>
          <w:rFonts w:hAnsi="宋体" w:cs="宋体"/>
          <w:b/>
          <w:color w:val="auto"/>
          <w:sz w:val="24"/>
          <w:szCs w:val="24"/>
          <w:highlight w:val="none"/>
        </w:rPr>
      </w:pPr>
      <w:r>
        <w:rPr>
          <w:rFonts w:hAnsi="宋体" w:cs="宋体"/>
          <w:b/>
          <w:color w:val="auto"/>
          <w:sz w:val="24"/>
          <w:szCs w:val="24"/>
          <w:highlight w:val="none"/>
        </w:rPr>
        <w:t>4.付款方式</w:t>
      </w:r>
    </w:p>
    <w:p w14:paraId="40BABBEB">
      <w:pPr>
        <w:pStyle w:val="11"/>
        <w:spacing w:line="360" w:lineRule="auto"/>
        <w:rPr>
          <w:rFonts w:hAnsi="宋体" w:cs="宋体"/>
          <w:color w:val="auto"/>
          <w:sz w:val="24"/>
          <w:szCs w:val="24"/>
          <w:highlight w:val="none"/>
        </w:rPr>
      </w:pPr>
      <w:r>
        <w:rPr>
          <w:rFonts w:hint="eastAsia" w:hAnsi="宋体" w:cs="宋体"/>
          <w:color w:val="auto"/>
          <w:sz w:val="24"/>
          <w:szCs w:val="24"/>
          <w:highlight w:val="none"/>
        </w:rPr>
        <w:t>4.1</w:t>
      </w:r>
      <w:r>
        <w:rPr>
          <w:rFonts w:hint="eastAsia" w:hAnsi="宋体" w:cs="宋体"/>
          <w:color w:val="auto"/>
          <w:sz w:val="24"/>
          <w:szCs w:val="24"/>
          <w:highlight w:val="none"/>
          <w:lang w:eastAsia="zh-CN"/>
        </w:rPr>
        <w:t>按完成工作进度付款，预留</w:t>
      </w:r>
      <w:r>
        <w:rPr>
          <w:rFonts w:hint="eastAsia" w:hAnsi="宋体" w:cs="宋体"/>
          <w:color w:val="auto"/>
          <w:sz w:val="24"/>
          <w:szCs w:val="24"/>
          <w:highlight w:val="none"/>
          <w:u w:val="single"/>
          <w:lang w:val="en-US" w:eastAsia="zh-CN"/>
        </w:rPr>
        <w:t xml:space="preserve">      元</w:t>
      </w:r>
      <w:r>
        <w:rPr>
          <w:rFonts w:hint="eastAsia" w:hAnsi="宋体" w:cs="宋体"/>
          <w:color w:val="auto"/>
          <w:sz w:val="24"/>
          <w:szCs w:val="24"/>
          <w:highlight w:val="none"/>
          <w:lang w:val="en-US" w:eastAsia="zh-CN"/>
        </w:rPr>
        <w:t>作为质保金</w:t>
      </w:r>
    </w:p>
    <w:p w14:paraId="58C2504E">
      <w:pPr>
        <w:pStyle w:val="11"/>
        <w:spacing w:line="360" w:lineRule="auto"/>
        <w:rPr>
          <w:rFonts w:hAnsi="宋体" w:cs="宋体"/>
          <w:b/>
          <w:color w:val="auto"/>
          <w:sz w:val="24"/>
          <w:szCs w:val="24"/>
          <w:highlight w:val="none"/>
        </w:rPr>
      </w:pPr>
      <w:r>
        <w:rPr>
          <w:rFonts w:hAnsi="宋体" w:cs="宋体"/>
          <w:b/>
          <w:color w:val="auto"/>
          <w:sz w:val="24"/>
          <w:szCs w:val="24"/>
          <w:highlight w:val="none"/>
        </w:rPr>
        <w:t>5.履约保证金</w:t>
      </w:r>
    </w:p>
    <w:p w14:paraId="1BE03D24">
      <w:pPr>
        <w:pStyle w:val="11"/>
        <w:spacing w:line="360" w:lineRule="auto"/>
        <w:rPr>
          <w:rFonts w:hAnsi="宋体" w:cs="宋体"/>
          <w:color w:val="auto"/>
          <w:sz w:val="24"/>
          <w:szCs w:val="24"/>
          <w:highlight w:val="none"/>
        </w:rPr>
      </w:pPr>
      <w:r>
        <w:rPr>
          <w:rFonts w:hAnsi="宋体" w:cs="宋体"/>
          <w:color w:val="auto"/>
          <w:sz w:val="24"/>
          <w:szCs w:val="24"/>
          <w:highlight w:val="none"/>
        </w:rPr>
        <w:t>5.1履约保证金为合同总价款的</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w:t>
      </w:r>
      <w:r>
        <w:rPr>
          <w:rFonts w:hint="eastAsia" w:hAnsi="宋体" w:cs="宋体"/>
          <w:color w:val="auto"/>
          <w:sz w:val="24"/>
          <w:szCs w:val="24"/>
          <w:highlight w:val="none"/>
        </w:rPr>
        <w:t>。</w:t>
      </w:r>
    </w:p>
    <w:p w14:paraId="38062BD4">
      <w:pPr>
        <w:pStyle w:val="11"/>
        <w:spacing w:line="360" w:lineRule="auto"/>
        <w:rPr>
          <w:rFonts w:hAnsi="宋体" w:cs="宋体"/>
          <w:b/>
          <w:color w:val="auto"/>
          <w:sz w:val="24"/>
          <w:szCs w:val="24"/>
          <w:highlight w:val="none"/>
        </w:rPr>
      </w:pPr>
      <w:r>
        <w:rPr>
          <w:rFonts w:hAnsi="宋体" w:cs="宋体"/>
          <w:b/>
          <w:color w:val="auto"/>
          <w:sz w:val="24"/>
          <w:szCs w:val="24"/>
          <w:highlight w:val="none"/>
        </w:rPr>
        <w:t>6.质量保证金</w:t>
      </w:r>
    </w:p>
    <w:p w14:paraId="529E27AB">
      <w:pPr>
        <w:pStyle w:val="11"/>
        <w:spacing w:line="360" w:lineRule="auto"/>
        <w:rPr>
          <w:rFonts w:hint="eastAsia" w:hAnsi="宋体" w:cs="宋体"/>
          <w:color w:val="auto"/>
          <w:sz w:val="24"/>
          <w:szCs w:val="24"/>
          <w:highlight w:val="none"/>
        </w:rPr>
      </w:pPr>
      <w:r>
        <w:rPr>
          <w:rFonts w:hAnsi="宋体" w:cs="宋体"/>
          <w:color w:val="auto"/>
          <w:sz w:val="24"/>
          <w:szCs w:val="24"/>
          <w:highlight w:val="none"/>
        </w:rPr>
        <w:t>6.1质量保证金为合同总价款的</w:t>
      </w:r>
      <w:r>
        <w:rPr>
          <w:rFonts w:hint="eastAsia" w:hAnsi="宋体" w:cs="宋体"/>
          <w:color w:val="auto"/>
          <w:sz w:val="24"/>
          <w:szCs w:val="24"/>
          <w:highlight w:val="none"/>
          <w:u w:val="single"/>
        </w:rPr>
        <w:t xml:space="preserve">     </w:t>
      </w:r>
      <w:r>
        <w:rPr>
          <w:rFonts w:hAnsi="宋体" w:cs="宋体"/>
          <w:color w:val="auto"/>
          <w:sz w:val="24"/>
          <w:szCs w:val="24"/>
          <w:highlight w:val="none"/>
        </w:rPr>
        <w:t>%</w:t>
      </w:r>
      <w:r>
        <w:rPr>
          <w:rFonts w:hint="eastAsia" w:hAnsi="宋体" w:cs="宋体"/>
          <w:color w:val="auto"/>
          <w:sz w:val="24"/>
          <w:szCs w:val="24"/>
          <w:highlight w:val="none"/>
        </w:rPr>
        <w:t>。</w:t>
      </w:r>
    </w:p>
    <w:p w14:paraId="4647C365">
      <w:pPr>
        <w:pStyle w:val="11"/>
        <w:spacing w:line="360" w:lineRule="auto"/>
        <w:rPr>
          <w:rFonts w:hAnsi="宋体" w:cs="宋体"/>
          <w:b/>
          <w:color w:val="auto"/>
          <w:sz w:val="24"/>
          <w:szCs w:val="24"/>
          <w:highlight w:val="none"/>
        </w:rPr>
      </w:pPr>
      <w:r>
        <w:rPr>
          <w:rFonts w:hAnsi="宋体" w:cs="宋体"/>
          <w:b/>
          <w:color w:val="auto"/>
          <w:sz w:val="24"/>
          <w:szCs w:val="24"/>
          <w:highlight w:val="none"/>
        </w:rPr>
        <w:t>7.合同补充条款</w:t>
      </w:r>
      <w:r>
        <w:rPr>
          <w:rFonts w:hint="eastAsia" w:hAnsi="宋体" w:cs="宋体"/>
          <w:b/>
          <w:color w:val="auto"/>
          <w:sz w:val="24"/>
          <w:szCs w:val="24"/>
          <w:highlight w:val="none"/>
        </w:rPr>
        <w:t>：</w:t>
      </w:r>
    </w:p>
    <w:p w14:paraId="64B68559">
      <w:pPr>
        <w:pStyle w:val="11"/>
        <w:spacing w:line="360" w:lineRule="auto"/>
        <w:rPr>
          <w:rFonts w:hint="eastAsia" w:hAnsi="宋体" w:cs="宋体"/>
          <w:color w:val="auto"/>
          <w:sz w:val="24"/>
          <w:szCs w:val="24"/>
          <w:highlight w:val="none"/>
        </w:rPr>
      </w:pPr>
      <w:r>
        <w:rPr>
          <w:rFonts w:hAnsi="宋体" w:cs="宋体"/>
          <w:b/>
          <w:color w:val="auto"/>
          <w:sz w:val="24"/>
          <w:szCs w:val="24"/>
          <w:highlight w:val="none"/>
        </w:rPr>
        <w:t>8.争议解决方式:</w:t>
      </w:r>
      <w:r>
        <w:rPr>
          <w:rFonts w:hAnsi="宋体" w:cs="宋体"/>
          <w:color w:val="auto"/>
          <w:sz w:val="24"/>
          <w:szCs w:val="24"/>
          <w:highlight w:val="none"/>
        </w:rPr>
        <w:t>供需双方达成仲裁协议,向长春市仲裁委员会申请仲裁(向</w:t>
      </w:r>
      <w:r>
        <w:rPr>
          <w:rFonts w:hint="eastAsia" w:hAnsi="宋体" w:cs="宋体"/>
          <w:color w:val="auto"/>
          <w:sz w:val="24"/>
          <w:szCs w:val="24"/>
          <w:highlight w:val="none"/>
          <w:lang w:eastAsia="zh-CN"/>
        </w:rPr>
        <w:t>合同签订</w:t>
      </w:r>
      <w:r>
        <w:rPr>
          <w:rFonts w:hAnsi="宋体" w:cs="宋体"/>
          <w:color w:val="auto"/>
          <w:sz w:val="24"/>
          <w:szCs w:val="24"/>
          <w:highlight w:val="none"/>
        </w:rPr>
        <w:t>地人民法院提起诉讼)</w:t>
      </w:r>
      <w:r>
        <w:rPr>
          <w:rFonts w:hint="eastAsia" w:hAnsi="宋体" w:cs="宋体"/>
          <w:color w:val="auto"/>
          <w:sz w:val="24"/>
          <w:szCs w:val="24"/>
          <w:highlight w:val="none"/>
        </w:rPr>
        <w:t>。</w:t>
      </w:r>
    </w:p>
    <w:p w14:paraId="10281ADE">
      <w:pPr>
        <w:pStyle w:val="11"/>
        <w:spacing w:line="360" w:lineRule="auto"/>
        <w:rPr>
          <w:rFonts w:hAnsi="宋体" w:cs="宋体"/>
          <w:color w:val="auto"/>
          <w:sz w:val="24"/>
          <w:szCs w:val="24"/>
          <w:highlight w:val="none"/>
        </w:rPr>
      </w:pPr>
      <w:r>
        <w:rPr>
          <w:rFonts w:hAnsi="宋体" w:cs="宋体"/>
          <w:b/>
          <w:color w:val="auto"/>
          <w:sz w:val="24"/>
          <w:szCs w:val="24"/>
          <w:highlight w:val="none"/>
        </w:rPr>
        <w:t>9.合同构成:</w:t>
      </w:r>
      <w:r>
        <w:rPr>
          <w:rFonts w:hAnsi="宋体" w:cs="宋体"/>
          <w:color w:val="auto"/>
          <w:sz w:val="24"/>
          <w:szCs w:val="24"/>
          <w:highlight w:val="none"/>
        </w:rPr>
        <w:t>下列文件构成本合同不可分割的组成部分,与本合同具有同等法律效力</w:t>
      </w:r>
      <w:r>
        <w:rPr>
          <w:rFonts w:hint="eastAsia" w:hAnsi="宋体" w:cs="宋体"/>
          <w:color w:val="auto"/>
          <w:sz w:val="24"/>
          <w:szCs w:val="24"/>
          <w:highlight w:val="none"/>
        </w:rPr>
        <w:t>：</w:t>
      </w:r>
    </w:p>
    <w:p w14:paraId="10527EFE">
      <w:pPr>
        <w:pStyle w:val="11"/>
        <w:spacing w:line="360" w:lineRule="auto"/>
        <w:rPr>
          <w:rFonts w:hAnsi="宋体" w:cs="宋体"/>
          <w:color w:val="auto"/>
          <w:sz w:val="24"/>
          <w:szCs w:val="24"/>
          <w:highlight w:val="none"/>
        </w:rPr>
      </w:pPr>
      <w:r>
        <w:rPr>
          <w:rFonts w:hAnsi="宋体" w:cs="宋体"/>
          <w:color w:val="auto"/>
          <w:sz w:val="24"/>
          <w:szCs w:val="24"/>
          <w:highlight w:val="none"/>
        </w:rPr>
        <w:t>9.1本合同书</w:t>
      </w:r>
      <w:r>
        <w:rPr>
          <w:rFonts w:hint="eastAsia" w:hAnsi="宋体" w:cs="宋体"/>
          <w:color w:val="auto"/>
          <w:sz w:val="24"/>
          <w:szCs w:val="24"/>
          <w:highlight w:val="none"/>
        </w:rPr>
        <w:t>；</w:t>
      </w:r>
    </w:p>
    <w:p w14:paraId="40676989">
      <w:pPr>
        <w:pStyle w:val="11"/>
        <w:spacing w:line="360" w:lineRule="auto"/>
        <w:rPr>
          <w:rFonts w:hAnsi="宋体" w:cs="宋体"/>
          <w:color w:val="auto"/>
          <w:sz w:val="24"/>
          <w:szCs w:val="24"/>
          <w:highlight w:val="none"/>
        </w:rPr>
      </w:pPr>
      <w:r>
        <w:rPr>
          <w:rFonts w:hAnsi="宋体" w:cs="宋体"/>
          <w:color w:val="auto"/>
          <w:sz w:val="24"/>
          <w:szCs w:val="24"/>
          <w:highlight w:val="none"/>
        </w:rPr>
        <w:t>9.2成交通知书</w:t>
      </w:r>
      <w:r>
        <w:rPr>
          <w:rFonts w:hint="eastAsia" w:hAnsi="宋体" w:cs="宋体"/>
          <w:color w:val="auto"/>
          <w:sz w:val="24"/>
          <w:szCs w:val="24"/>
          <w:highlight w:val="none"/>
        </w:rPr>
        <w:t>；</w:t>
      </w:r>
    </w:p>
    <w:p w14:paraId="21C6547E">
      <w:pPr>
        <w:pStyle w:val="11"/>
        <w:spacing w:line="360" w:lineRule="auto"/>
        <w:rPr>
          <w:rFonts w:hAnsi="宋体" w:cs="宋体"/>
          <w:color w:val="auto"/>
          <w:sz w:val="24"/>
          <w:szCs w:val="24"/>
          <w:highlight w:val="none"/>
        </w:rPr>
      </w:pPr>
      <w:r>
        <w:rPr>
          <w:rFonts w:hAnsi="宋体" w:cs="宋体"/>
          <w:color w:val="auto"/>
          <w:sz w:val="24"/>
          <w:szCs w:val="24"/>
          <w:highlight w:val="none"/>
        </w:rPr>
        <w:t>9.3招标文件及澄清、修改、补遗文件</w:t>
      </w:r>
      <w:r>
        <w:rPr>
          <w:rFonts w:hint="eastAsia" w:hAnsi="宋体" w:cs="宋体"/>
          <w:color w:val="auto"/>
          <w:sz w:val="24"/>
          <w:szCs w:val="24"/>
          <w:highlight w:val="none"/>
        </w:rPr>
        <w:t>；</w:t>
      </w:r>
    </w:p>
    <w:p w14:paraId="164FF85E">
      <w:pPr>
        <w:pStyle w:val="11"/>
        <w:spacing w:line="360" w:lineRule="auto"/>
        <w:rPr>
          <w:rFonts w:hAnsi="宋体" w:cs="宋体"/>
          <w:color w:val="auto"/>
          <w:sz w:val="24"/>
          <w:szCs w:val="24"/>
          <w:highlight w:val="none"/>
        </w:rPr>
      </w:pPr>
      <w:r>
        <w:rPr>
          <w:rFonts w:hAnsi="宋体" w:cs="宋体"/>
          <w:color w:val="auto"/>
          <w:sz w:val="24"/>
          <w:szCs w:val="24"/>
          <w:highlight w:val="none"/>
        </w:rPr>
        <w:t>9.4供方的投标文件及书面澄清、说明、补正文件</w:t>
      </w:r>
      <w:r>
        <w:rPr>
          <w:rFonts w:hint="eastAsia" w:hAnsi="宋体" w:cs="宋体"/>
          <w:color w:val="auto"/>
          <w:sz w:val="24"/>
          <w:szCs w:val="24"/>
          <w:highlight w:val="none"/>
        </w:rPr>
        <w:t>；</w:t>
      </w:r>
    </w:p>
    <w:p w14:paraId="592B688A">
      <w:pPr>
        <w:pStyle w:val="11"/>
        <w:spacing w:line="360" w:lineRule="auto"/>
        <w:rPr>
          <w:rFonts w:hAnsi="宋体" w:cs="宋体"/>
          <w:color w:val="auto"/>
          <w:sz w:val="24"/>
          <w:szCs w:val="24"/>
          <w:highlight w:val="none"/>
        </w:rPr>
      </w:pPr>
      <w:r>
        <w:rPr>
          <w:rFonts w:hAnsi="宋体" w:cs="宋体"/>
          <w:color w:val="auto"/>
          <w:sz w:val="24"/>
          <w:szCs w:val="24"/>
          <w:highlight w:val="none"/>
        </w:rPr>
        <w:t>9.5技术方面等有关资料</w:t>
      </w:r>
      <w:r>
        <w:rPr>
          <w:rFonts w:hint="eastAsia" w:hAnsi="宋体" w:cs="宋体"/>
          <w:color w:val="auto"/>
          <w:sz w:val="24"/>
          <w:szCs w:val="24"/>
          <w:highlight w:val="none"/>
        </w:rPr>
        <w:t>；</w:t>
      </w:r>
    </w:p>
    <w:p w14:paraId="1DCB9487">
      <w:pPr>
        <w:pStyle w:val="11"/>
        <w:spacing w:line="360" w:lineRule="auto"/>
        <w:rPr>
          <w:rFonts w:hAnsi="宋体" w:cs="宋体"/>
          <w:color w:val="auto"/>
          <w:sz w:val="24"/>
          <w:szCs w:val="24"/>
          <w:highlight w:val="none"/>
        </w:rPr>
      </w:pPr>
      <w:r>
        <w:rPr>
          <w:rFonts w:hAnsi="宋体" w:cs="宋体"/>
          <w:color w:val="auto"/>
          <w:sz w:val="24"/>
          <w:szCs w:val="24"/>
          <w:highlight w:val="none"/>
        </w:rPr>
        <w:t>9.6采购验收报告单</w:t>
      </w:r>
      <w:r>
        <w:rPr>
          <w:rFonts w:hint="eastAsia" w:hAnsi="宋体" w:cs="宋体"/>
          <w:color w:val="auto"/>
          <w:sz w:val="24"/>
          <w:szCs w:val="24"/>
          <w:highlight w:val="none"/>
        </w:rPr>
        <w:t>；</w:t>
      </w:r>
    </w:p>
    <w:p w14:paraId="2F275F5C">
      <w:pPr>
        <w:pStyle w:val="11"/>
        <w:spacing w:line="360" w:lineRule="auto"/>
        <w:rPr>
          <w:rFonts w:hAnsi="宋体" w:cs="宋体"/>
          <w:color w:val="auto"/>
          <w:sz w:val="24"/>
          <w:szCs w:val="24"/>
          <w:highlight w:val="none"/>
        </w:rPr>
      </w:pPr>
      <w:r>
        <w:rPr>
          <w:rFonts w:hAnsi="宋体" w:cs="宋体"/>
          <w:color w:val="auto"/>
          <w:sz w:val="24"/>
          <w:szCs w:val="24"/>
          <w:highlight w:val="none"/>
        </w:rPr>
        <w:t>9.7合同的</w:t>
      </w:r>
      <w:r>
        <w:rPr>
          <w:rFonts w:hint="eastAsia" w:hAnsi="宋体" w:cs="宋体"/>
          <w:color w:val="auto"/>
          <w:sz w:val="24"/>
          <w:szCs w:val="24"/>
          <w:highlight w:val="none"/>
          <w:lang w:eastAsia="zh-CN"/>
        </w:rPr>
        <w:t>其他</w:t>
      </w:r>
      <w:r>
        <w:rPr>
          <w:rFonts w:hAnsi="宋体" w:cs="宋体"/>
          <w:color w:val="auto"/>
          <w:sz w:val="24"/>
          <w:szCs w:val="24"/>
          <w:highlight w:val="none"/>
        </w:rPr>
        <w:t>附件。</w:t>
      </w:r>
    </w:p>
    <w:p w14:paraId="651E7B26">
      <w:pPr>
        <w:pStyle w:val="11"/>
        <w:spacing w:line="360" w:lineRule="auto"/>
        <w:rPr>
          <w:rFonts w:hAnsi="宋体" w:cs="宋体"/>
          <w:color w:val="auto"/>
          <w:sz w:val="24"/>
          <w:szCs w:val="24"/>
          <w:highlight w:val="none"/>
        </w:rPr>
      </w:pPr>
      <w:r>
        <w:rPr>
          <w:rFonts w:hAnsi="宋体" w:cs="宋体"/>
          <w:color w:val="auto"/>
          <w:sz w:val="24"/>
          <w:szCs w:val="24"/>
          <w:highlight w:val="none"/>
        </w:rPr>
        <w:t>述组成合同的文件如有不一致之处,以日期在后的为准</w:t>
      </w:r>
      <w:r>
        <w:rPr>
          <w:rFonts w:hint="eastAsia" w:hAnsi="宋体" w:cs="宋体"/>
          <w:color w:val="auto"/>
          <w:sz w:val="24"/>
          <w:szCs w:val="24"/>
          <w:highlight w:val="none"/>
        </w:rPr>
        <w:t>。</w:t>
      </w:r>
    </w:p>
    <w:p w14:paraId="6DF81F50">
      <w:pPr>
        <w:pStyle w:val="11"/>
        <w:spacing w:line="360" w:lineRule="auto"/>
        <w:rPr>
          <w:rFonts w:hAnsi="宋体" w:cs="宋体"/>
          <w:color w:val="auto"/>
          <w:sz w:val="24"/>
          <w:szCs w:val="24"/>
          <w:highlight w:val="none"/>
        </w:rPr>
      </w:pPr>
      <w:r>
        <w:rPr>
          <w:rFonts w:hAnsi="宋体" w:cs="宋体"/>
          <w:b/>
          <w:color w:val="auto"/>
          <w:sz w:val="24"/>
          <w:szCs w:val="24"/>
          <w:highlight w:val="none"/>
        </w:rPr>
        <w:t>10.合同份数:</w:t>
      </w:r>
      <w:r>
        <w:rPr>
          <w:rFonts w:hAnsi="宋体" w:cs="宋体"/>
          <w:color w:val="auto"/>
          <w:sz w:val="24"/>
          <w:szCs w:val="24"/>
          <w:highlight w:val="none"/>
        </w:rPr>
        <w:t>本合同一式</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份,供需双方各执</w:t>
      </w:r>
      <w:r>
        <w:rPr>
          <w:rFonts w:hint="eastAsia" w:hAnsi="宋体" w:cs="宋体"/>
          <w:color w:val="auto"/>
          <w:sz w:val="24"/>
          <w:szCs w:val="24"/>
          <w:highlight w:val="none"/>
          <w:u w:val="single"/>
        </w:rPr>
        <w:t xml:space="preserve">      </w:t>
      </w:r>
      <w:r>
        <w:rPr>
          <w:rFonts w:hAnsi="宋体" w:cs="宋体"/>
          <w:color w:val="auto"/>
          <w:sz w:val="24"/>
          <w:szCs w:val="24"/>
          <w:highlight w:val="none"/>
        </w:rPr>
        <w:t>份</w:t>
      </w:r>
      <w:r>
        <w:rPr>
          <w:rFonts w:hint="eastAsia" w:hAnsi="宋体" w:cs="宋体"/>
          <w:color w:val="auto"/>
          <w:sz w:val="24"/>
          <w:szCs w:val="24"/>
          <w:highlight w:val="none"/>
        </w:rPr>
        <w:t>。</w:t>
      </w:r>
    </w:p>
    <w:p w14:paraId="0A564363">
      <w:pPr>
        <w:pStyle w:val="11"/>
        <w:spacing w:line="360" w:lineRule="auto"/>
        <w:rPr>
          <w:rFonts w:hAnsi="宋体" w:cs="宋体"/>
          <w:b/>
          <w:color w:val="auto"/>
          <w:sz w:val="24"/>
          <w:szCs w:val="24"/>
          <w:highlight w:val="none"/>
        </w:rPr>
      </w:pPr>
      <w:r>
        <w:rPr>
          <w:rFonts w:hAnsi="宋体" w:cs="宋体"/>
          <w:b/>
          <w:color w:val="auto"/>
          <w:sz w:val="24"/>
          <w:szCs w:val="24"/>
          <w:highlight w:val="none"/>
        </w:rPr>
        <w:t>11.合同生效:本合同在供需双方法定代表人或其授权代理人签字、加盖双方公章或者合同专用章</w:t>
      </w:r>
      <w:r>
        <w:rPr>
          <w:rFonts w:hint="eastAsia" w:hAnsi="宋体" w:cs="宋体"/>
          <w:b/>
          <w:color w:val="auto"/>
          <w:sz w:val="24"/>
          <w:szCs w:val="24"/>
          <w:highlight w:val="none"/>
        </w:rPr>
        <w:t>。</w:t>
      </w:r>
    </w:p>
    <w:p w14:paraId="3312034B">
      <w:pPr>
        <w:pStyle w:val="11"/>
        <w:spacing w:line="360" w:lineRule="auto"/>
        <w:rPr>
          <w:rFonts w:hAnsi="宋体" w:cs="宋体"/>
          <w:color w:val="auto"/>
          <w:sz w:val="24"/>
          <w:szCs w:val="24"/>
          <w:highlight w:val="none"/>
        </w:rPr>
      </w:pPr>
      <w:r>
        <w:rPr>
          <w:rFonts w:hAnsi="宋体" w:cs="宋体"/>
          <w:b/>
          <w:color w:val="auto"/>
          <w:sz w:val="24"/>
          <w:szCs w:val="24"/>
          <w:highlight w:val="none"/>
        </w:rPr>
        <w:t>12.合同修改:</w:t>
      </w:r>
      <w:r>
        <w:rPr>
          <w:rFonts w:hAnsi="宋体" w:cs="宋体"/>
          <w:color w:val="auto"/>
          <w:sz w:val="24"/>
          <w:szCs w:val="24"/>
          <w:highlight w:val="none"/>
        </w:rPr>
        <w:t>除供需双方和采购中心签署书面修改、补充协议外,本合同条件不得有任何变化或修改</w:t>
      </w:r>
      <w:r>
        <w:rPr>
          <w:rFonts w:hint="eastAsia" w:hAnsi="宋体" w:cs="宋体"/>
          <w:color w:val="auto"/>
          <w:sz w:val="24"/>
          <w:szCs w:val="24"/>
          <w:highlight w:val="none"/>
        </w:rPr>
        <w:t>。</w:t>
      </w:r>
    </w:p>
    <w:p w14:paraId="65079B5B">
      <w:pPr>
        <w:pStyle w:val="11"/>
        <w:rPr>
          <w:rFonts w:hAnsi="宋体" w:cs="宋体"/>
          <w:color w:val="auto"/>
          <w:sz w:val="24"/>
          <w:szCs w:val="24"/>
          <w:highlight w:val="none"/>
        </w:rPr>
      </w:pPr>
    </w:p>
    <w:p w14:paraId="5EBF8A51">
      <w:pPr>
        <w:pStyle w:val="11"/>
        <w:rPr>
          <w:rFonts w:hAnsi="宋体" w:cs="宋体"/>
          <w:color w:val="auto"/>
          <w:sz w:val="24"/>
          <w:szCs w:val="24"/>
          <w:highlight w:val="none"/>
        </w:rPr>
      </w:pPr>
      <w:r>
        <w:rPr>
          <w:rFonts w:hAnsi="宋体" w:cs="宋体"/>
          <w:color w:val="auto"/>
          <w:sz w:val="24"/>
          <w:szCs w:val="24"/>
          <w:highlight w:val="none"/>
        </w:rPr>
        <w:t>需方:                                        供方:</w:t>
      </w:r>
    </w:p>
    <w:p w14:paraId="493454EA">
      <w:pPr>
        <w:pStyle w:val="11"/>
        <w:rPr>
          <w:rFonts w:hAnsi="宋体" w:cs="宋体"/>
          <w:color w:val="auto"/>
          <w:sz w:val="24"/>
          <w:szCs w:val="24"/>
          <w:highlight w:val="none"/>
        </w:rPr>
      </w:pPr>
    </w:p>
    <w:p w14:paraId="6BF83CBE">
      <w:pPr>
        <w:pStyle w:val="11"/>
        <w:rPr>
          <w:rFonts w:hAnsi="宋体" w:cs="宋体"/>
          <w:color w:val="auto"/>
          <w:sz w:val="24"/>
          <w:szCs w:val="24"/>
          <w:highlight w:val="none"/>
        </w:rPr>
      </w:pPr>
      <w:r>
        <w:rPr>
          <w:rFonts w:hAnsi="宋体" w:cs="宋体"/>
          <w:color w:val="auto"/>
          <w:sz w:val="24"/>
          <w:szCs w:val="24"/>
          <w:highlight w:val="none"/>
        </w:rPr>
        <w:t>(加盖公章或合同专用章</w:t>
      </w:r>
      <w:r>
        <w:rPr>
          <w:rFonts w:hint="eastAsia" w:hAnsi="宋体" w:cs="宋体"/>
          <w:color w:val="auto"/>
          <w:sz w:val="24"/>
          <w:szCs w:val="24"/>
          <w:highlight w:val="none"/>
        </w:rPr>
        <w:t>)</w:t>
      </w:r>
      <w:r>
        <w:rPr>
          <w:rFonts w:hAnsi="宋体" w:cs="宋体"/>
          <w:color w:val="auto"/>
          <w:sz w:val="24"/>
          <w:szCs w:val="24"/>
          <w:highlight w:val="none"/>
        </w:rPr>
        <w:t xml:space="preserve">               (加盖公章或合同专用章)</w:t>
      </w:r>
    </w:p>
    <w:p w14:paraId="10BC8AD1">
      <w:pPr>
        <w:pStyle w:val="11"/>
        <w:rPr>
          <w:rFonts w:hAnsi="宋体" w:cs="宋体"/>
          <w:color w:val="auto"/>
          <w:sz w:val="24"/>
          <w:szCs w:val="24"/>
          <w:highlight w:val="none"/>
        </w:rPr>
      </w:pPr>
    </w:p>
    <w:p w14:paraId="09924771">
      <w:pPr>
        <w:pStyle w:val="11"/>
        <w:rPr>
          <w:rFonts w:hAnsi="宋体" w:cs="宋体"/>
          <w:color w:val="auto"/>
          <w:sz w:val="24"/>
          <w:szCs w:val="24"/>
          <w:highlight w:val="none"/>
        </w:rPr>
      </w:pPr>
      <w:r>
        <w:rPr>
          <w:rFonts w:hAnsi="宋体" w:cs="宋体"/>
          <w:color w:val="auto"/>
          <w:sz w:val="24"/>
          <w:szCs w:val="24"/>
          <w:highlight w:val="none"/>
        </w:rPr>
        <w:t>地址</w:t>
      </w:r>
      <w:r>
        <w:rPr>
          <w:rFonts w:hint="eastAsia" w:hAnsi="宋体" w:cs="宋体"/>
          <w:color w:val="auto"/>
          <w:sz w:val="24"/>
          <w:szCs w:val="24"/>
          <w:highlight w:val="non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 xml:space="preserve">   </w:t>
      </w:r>
      <w:r>
        <w:rPr>
          <w:rFonts w:hAnsi="宋体" w:cs="宋体"/>
          <w:color w:val="auto"/>
          <w:sz w:val="24"/>
          <w:szCs w:val="24"/>
          <w:highlight w:val="none"/>
        </w:rPr>
        <w:t>地址</w:t>
      </w:r>
      <w:r>
        <w:rPr>
          <w:rFonts w:hint="eastAsia" w:hAnsi="宋体" w:cs="宋体"/>
          <w:color w:val="auto"/>
          <w:sz w:val="24"/>
          <w:szCs w:val="24"/>
          <w:highlight w:val="none"/>
        </w:rPr>
        <w:t>：</w:t>
      </w:r>
    </w:p>
    <w:p w14:paraId="5B13113C">
      <w:pPr>
        <w:pStyle w:val="11"/>
        <w:rPr>
          <w:rFonts w:hAnsi="宋体" w:cs="宋体"/>
          <w:color w:val="auto"/>
          <w:sz w:val="24"/>
          <w:szCs w:val="24"/>
          <w:highlight w:val="none"/>
        </w:rPr>
      </w:pPr>
    </w:p>
    <w:p w14:paraId="1319ECFC">
      <w:pPr>
        <w:pStyle w:val="11"/>
        <w:ind w:firstLine="240" w:firstLineChars="100"/>
        <w:rPr>
          <w:rFonts w:hint="eastAsia" w:hAnsi="宋体" w:cs="宋体"/>
          <w:color w:val="auto"/>
          <w:sz w:val="24"/>
          <w:szCs w:val="24"/>
          <w:highlight w:val="none"/>
        </w:rPr>
      </w:pPr>
      <w:r>
        <w:rPr>
          <w:rFonts w:hAnsi="宋体" w:cs="宋体"/>
          <w:color w:val="auto"/>
          <w:sz w:val="24"/>
          <w:szCs w:val="24"/>
          <w:highlight w:val="none"/>
        </w:rPr>
        <w:t>法定代表人</w:t>
      </w:r>
      <w:r>
        <w:rPr>
          <w:rFonts w:hint="eastAsia" w:hAnsi="宋体" w:cs="宋体"/>
          <w:color w:val="auto"/>
          <w:sz w:val="24"/>
          <w:szCs w:val="24"/>
          <w:highlight w:val="none"/>
        </w:rPr>
        <w:t xml:space="preserve">                    </w:t>
      </w:r>
      <w:r>
        <w:rPr>
          <w:rFonts w:hAnsi="宋体" w:cs="宋体"/>
          <w:color w:val="auto"/>
          <w:sz w:val="24"/>
          <w:szCs w:val="24"/>
          <w:highlight w:val="none"/>
        </w:rPr>
        <w:t xml:space="preserve">             法定代表人</w:t>
      </w:r>
      <w:r>
        <w:rPr>
          <w:rFonts w:hint="eastAsia" w:hAnsi="宋体" w:cs="宋体"/>
          <w:color w:val="auto"/>
          <w:sz w:val="24"/>
          <w:szCs w:val="24"/>
          <w:highlight w:val="none"/>
        </w:rPr>
        <w:t xml:space="preserve"> </w:t>
      </w:r>
    </w:p>
    <w:p w14:paraId="164A92A6">
      <w:pPr>
        <w:pStyle w:val="11"/>
        <w:rPr>
          <w:rFonts w:hAnsi="宋体" w:cs="宋体"/>
          <w:color w:val="auto"/>
          <w:sz w:val="24"/>
          <w:szCs w:val="24"/>
          <w:highlight w:val="none"/>
        </w:rPr>
      </w:pPr>
      <w:r>
        <w:rPr>
          <w:rFonts w:hAnsi="宋体" w:cs="宋体"/>
          <w:color w:val="auto"/>
          <w:sz w:val="24"/>
          <w:szCs w:val="24"/>
          <w:highlight w:val="none"/>
        </w:rPr>
        <w:t>或授权代理人签字</w:t>
      </w:r>
      <w:r>
        <w:rPr>
          <w:rFonts w:hint="eastAsia" w:hAnsi="宋体" w:cs="宋体"/>
          <w:color w:val="auto"/>
          <w:sz w:val="24"/>
          <w:szCs w:val="24"/>
          <w:highlight w:val="none"/>
        </w:rPr>
        <w:t xml:space="preserve">：   </w:t>
      </w:r>
      <w:r>
        <w:rPr>
          <w:rFonts w:hAnsi="宋体" w:cs="宋体"/>
          <w:color w:val="auto"/>
          <w:sz w:val="24"/>
          <w:szCs w:val="24"/>
          <w:highlight w:val="none"/>
        </w:rPr>
        <w:t xml:space="preserve">                     或授权代理人签字</w:t>
      </w:r>
      <w:r>
        <w:rPr>
          <w:rFonts w:hint="eastAsia" w:hAnsi="宋体" w:cs="宋体"/>
          <w:color w:val="auto"/>
          <w:sz w:val="24"/>
          <w:szCs w:val="24"/>
          <w:highlight w:val="none"/>
        </w:rPr>
        <w:t>：</w:t>
      </w:r>
    </w:p>
    <w:p w14:paraId="2E7AFD79">
      <w:pPr>
        <w:pStyle w:val="11"/>
        <w:rPr>
          <w:rFonts w:hint="eastAsia" w:hAnsi="宋体" w:cs="宋体"/>
          <w:color w:val="auto"/>
          <w:sz w:val="24"/>
          <w:szCs w:val="24"/>
          <w:highlight w:val="none"/>
        </w:rPr>
      </w:pPr>
    </w:p>
    <w:p w14:paraId="39AE7AA5">
      <w:pPr>
        <w:pStyle w:val="11"/>
        <w:rPr>
          <w:rFonts w:hAnsi="宋体" w:cs="宋体"/>
          <w:color w:val="auto"/>
          <w:sz w:val="24"/>
          <w:szCs w:val="24"/>
          <w:highlight w:val="none"/>
        </w:rPr>
      </w:pPr>
      <w:r>
        <w:rPr>
          <w:rFonts w:hAnsi="宋体" w:cs="宋体"/>
          <w:color w:val="auto"/>
          <w:sz w:val="24"/>
          <w:szCs w:val="24"/>
          <w:highlight w:val="none"/>
        </w:rPr>
        <w:t>签字日期:                                     签字日期</w:t>
      </w:r>
      <w:r>
        <w:rPr>
          <w:rFonts w:hint="eastAsia" w:hAnsi="宋体" w:cs="宋体"/>
          <w:color w:val="auto"/>
          <w:sz w:val="24"/>
          <w:szCs w:val="24"/>
          <w:highlight w:val="none"/>
        </w:rPr>
        <w:t>：</w:t>
      </w:r>
    </w:p>
    <w:p w14:paraId="404B6717">
      <w:pPr>
        <w:pStyle w:val="11"/>
        <w:rPr>
          <w:rFonts w:hAnsi="宋体" w:cs="宋体"/>
          <w:color w:val="auto"/>
          <w:sz w:val="24"/>
          <w:szCs w:val="24"/>
          <w:highlight w:val="none"/>
        </w:rPr>
      </w:pPr>
    </w:p>
    <w:p w14:paraId="6276BCBF">
      <w:pPr>
        <w:pStyle w:val="11"/>
        <w:rPr>
          <w:rFonts w:hAnsi="宋体" w:cs="宋体"/>
          <w:color w:val="auto"/>
          <w:sz w:val="24"/>
          <w:szCs w:val="24"/>
          <w:highlight w:val="none"/>
        </w:rPr>
      </w:pPr>
      <w:r>
        <w:rPr>
          <w:rFonts w:hAnsi="宋体" w:cs="宋体"/>
          <w:color w:val="auto"/>
          <w:sz w:val="24"/>
          <w:szCs w:val="24"/>
          <w:highlight w:val="none"/>
        </w:rPr>
        <w:t>邮政编码:                                     邮政编码:</w:t>
      </w:r>
    </w:p>
    <w:p w14:paraId="64CF440E">
      <w:pPr>
        <w:pStyle w:val="11"/>
        <w:rPr>
          <w:rFonts w:hAnsi="宋体" w:cs="宋体"/>
          <w:color w:val="auto"/>
          <w:sz w:val="24"/>
          <w:szCs w:val="24"/>
          <w:highlight w:val="none"/>
        </w:rPr>
      </w:pPr>
    </w:p>
    <w:p w14:paraId="41825B2F">
      <w:pPr>
        <w:pStyle w:val="11"/>
        <w:ind w:firstLine="5640" w:firstLineChars="2350"/>
        <w:rPr>
          <w:rFonts w:hAnsi="宋体" w:cs="宋体"/>
          <w:color w:val="auto"/>
          <w:sz w:val="24"/>
          <w:szCs w:val="24"/>
          <w:highlight w:val="none"/>
        </w:rPr>
      </w:pPr>
      <w:r>
        <w:rPr>
          <w:rFonts w:hAnsi="宋体" w:cs="宋体"/>
          <w:color w:val="auto"/>
          <w:sz w:val="24"/>
          <w:szCs w:val="24"/>
          <w:highlight w:val="none"/>
        </w:rPr>
        <w:t>传真</w:t>
      </w:r>
      <w:r>
        <w:rPr>
          <w:rFonts w:hint="eastAsia" w:hAnsi="宋体" w:cs="宋体"/>
          <w:color w:val="auto"/>
          <w:sz w:val="24"/>
          <w:szCs w:val="24"/>
          <w:highlight w:val="none"/>
        </w:rPr>
        <w:t>：</w:t>
      </w:r>
    </w:p>
    <w:p w14:paraId="52C38419">
      <w:pPr>
        <w:pStyle w:val="11"/>
        <w:rPr>
          <w:rFonts w:hAnsi="宋体" w:cs="宋体"/>
          <w:color w:val="auto"/>
          <w:sz w:val="24"/>
          <w:szCs w:val="24"/>
          <w:highlight w:val="none"/>
        </w:rPr>
      </w:pPr>
    </w:p>
    <w:p w14:paraId="50BAA5F5">
      <w:pPr>
        <w:pStyle w:val="11"/>
        <w:ind w:firstLine="5640" w:firstLineChars="2350"/>
        <w:rPr>
          <w:rFonts w:hAnsi="宋体" w:cs="宋体"/>
          <w:color w:val="auto"/>
          <w:sz w:val="24"/>
          <w:szCs w:val="24"/>
          <w:highlight w:val="none"/>
        </w:rPr>
      </w:pPr>
      <w:r>
        <w:rPr>
          <w:rFonts w:hAnsi="宋体" w:cs="宋体"/>
          <w:color w:val="auto"/>
          <w:sz w:val="24"/>
          <w:szCs w:val="24"/>
          <w:highlight w:val="none"/>
        </w:rPr>
        <w:t>联系人</w:t>
      </w:r>
      <w:r>
        <w:rPr>
          <w:rFonts w:hint="eastAsia" w:hAnsi="宋体" w:cs="宋体"/>
          <w:color w:val="auto"/>
          <w:sz w:val="24"/>
          <w:szCs w:val="24"/>
          <w:highlight w:val="none"/>
        </w:rPr>
        <w:t>：</w:t>
      </w:r>
    </w:p>
    <w:p w14:paraId="1547400B">
      <w:pPr>
        <w:pStyle w:val="11"/>
        <w:rPr>
          <w:rFonts w:hAnsi="宋体" w:cs="宋体"/>
          <w:color w:val="auto"/>
          <w:sz w:val="24"/>
          <w:szCs w:val="24"/>
          <w:highlight w:val="none"/>
        </w:rPr>
      </w:pPr>
    </w:p>
    <w:p w14:paraId="6AA2A0F3">
      <w:pPr>
        <w:pStyle w:val="11"/>
        <w:jc w:val="center"/>
        <w:rPr>
          <w:rFonts w:hAnsi="宋体" w:cs="宋体"/>
          <w:color w:val="auto"/>
          <w:sz w:val="24"/>
          <w:szCs w:val="24"/>
          <w:highlight w:val="none"/>
        </w:rPr>
      </w:pPr>
      <w:r>
        <w:rPr>
          <w:rFonts w:hint="eastAsia" w:hAnsi="宋体" w:cs="宋体"/>
          <w:color w:val="auto"/>
          <w:sz w:val="24"/>
          <w:szCs w:val="24"/>
          <w:highlight w:val="none"/>
        </w:rPr>
        <w:t xml:space="preserve">                        </w:t>
      </w:r>
      <w:r>
        <w:rPr>
          <w:rFonts w:hAnsi="宋体" w:cs="宋体"/>
          <w:color w:val="auto"/>
          <w:sz w:val="24"/>
          <w:szCs w:val="24"/>
          <w:highlight w:val="none"/>
        </w:rPr>
        <w:t>开户银行</w:t>
      </w:r>
      <w:r>
        <w:rPr>
          <w:rFonts w:hint="eastAsia" w:hAnsi="宋体" w:cs="宋体"/>
          <w:color w:val="auto"/>
          <w:sz w:val="24"/>
          <w:szCs w:val="24"/>
          <w:highlight w:val="none"/>
        </w:rPr>
        <w:t>：</w:t>
      </w:r>
    </w:p>
    <w:p w14:paraId="569953CE">
      <w:pPr>
        <w:rPr>
          <w:rFonts w:hint="eastAsia" w:ascii="宋体" w:hAnsi="宋体" w:eastAsia="宋体" w:cs="宋体"/>
          <w:b w:val="0"/>
          <w:sz w:val="21"/>
          <w:szCs w:val="21"/>
          <w:highlight w:val="none"/>
          <w:lang w:eastAsia="zh-CN"/>
        </w:r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lang w:eastAsia="zh-CN"/>
        </w:rPr>
        <w:t>账户</w:t>
      </w:r>
      <w:r>
        <w:rPr>
          <w:rFonts w:hAnsi="宋体" w:cs="宋体"/>
          <w:color w:val="auto"/>
          <w:sz w:val="24"/>
          <w:szCs w:val="24"/>
          <w:highlight w:val="none"/>
        </w:rPr>
        <w:t>名称</w:t>
      </w:r>
      <w:r>
        <w:rPr>
          <w:rFonts w:hint="eastAsia" w:hAnsi="宋体" w:cs="宋体"/>
          <w:color w:val="auto"/>
          <w:sz w:val="24"/>
          <w:szCs w:val="24"/>
          <w:highlight w:val="none"/>
        </w:rPr>
        <w:t>：</w:t>
      </w:r>
    </w:p>
    <w:p w14:paraId="16428577">
      <w:pPr>
        <w:rPr>
          <w:rFonts w:hint="eastAsia" w:ascii="宋体" w:hAnsi="宋体" w:eastAsia="宋体" w:cs="宋体"/>
          <w:b/>
          <w:sz w:val="32"/>
          <w:szCs w:val="28"/>
          <w:highlight w:val="cyan"/>
          <w:lang w:val="zh-CN" w:eastAsia="zh-CN"/>
        </w:rPr>
      </w:pPr>
      <w:bookmarkStart w:id="26" w:name="_Toc382396567"/>
      <w:bookmarkStart w:id="27" w:name="_Toc14358"/>
      <w:bookmarkStart w:id="28" w:name="_Toc16877"/>
      <w:r>
        <w:rPr>
          <w:rFonts w:hint="eastAsia" w:ascii="宋体" w:hAnsi="宋体" w:eastAsia="宋体" w:cs="宋体"/>
          <w:b/>
          <w:sz w:val="32"/>
          <w:szCs w:val="28"/>
          <w:highlight w:val="cyan"/>
          <w:lang w:val="zh-CN" w:eastAsia="zh-CN"/>
        </w:rPr>
        <w:br w:type="page"/>
      </w:r>
    </w:p>
    <w:p w14:paraId="5003DEA4">
      <w:pPr>
        <w:keepNext w:val="0"/>
        <w:keepLines w:val="0"/>
        <w:pageBreakBefore w:val="0"/>
        <w:numPr>
          <w:ilvl w:val="0"/>
          <w:numId w:val="13"/>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r>
        <w:rPr>
          <w:rFonts w:hint="eastAsia" w:ascii="宋体" w:hAnsi="宋体" w:eastAsia="宋体" w:cs="宋体"/>
          <w:b/>
          <w:sz w:val="32"/>
          <w:szCs w:val="28"/>
          <w:highlight w:val="none"/>
          <w:lang w:val="zh-CN" w:eastAsia="zh-CN"/>
        </w:rPr>
        <w:t xml:space="preserve"> </w:t>
      </w:r>
      <w:bookmarkEnd w:id="26"/>
      <w:r>
        <w:rPr>
          <w:rFonts w:hint="eastAsia" w:ascii="宋体" w:hAnsi="宋体" w:eastAsia="宋体" w:cs="宋体"/>
          <w:b/>
          <w:sz w:val="32"/>
          <w:szCs w:val="28"/>
          <w:highlight w:val="none"/>
          <w:lang w:val="en-US" w:eastAsia="zh-CN"/>
        </w:rPr>
        <w:t>服务</w:t>
      </w:r>
      <w:bookmarkEnd w:id="27"/>
      <w:bookmarkEnd w:id="28"/>
      <w:r>
        <w:rPr>
          <w:rFonts w:hint="eastAsia" w:ascii="宋体" w:hAnsi="宋体" w:eastAsia="宋体" w:cs="宋体"/>
          <w:b/>
          <w:sz w:val="32"/>
          <w:szCs w:val="28"/>
          <w:highlight w:val="none"/>
          <w:lang w:val="en-US" w:eastAsia="zh-CN"/>
        </w:rPr>
        <w:t>需求</w:t>
      </w:r>
      <w:bookmarkStart w:id="29" w:name="_Toc382396568"/>
      <w:bookmarkStart w:id="30" w:name="_Toc3197"/>
      <w:bookmarkStart w:id="31" w:name="_Toc8670"/>
    </w:p>
    <w:p w14:paraId="599E2FB3">
      <w:pPr>
        <w:tabs>
          <w:tab w:val="left" w:pos="720"/>
        </w:tabs>
        <w:jc w:val="both"/>
        <w:outlineLvl w:val="9"/>
        <w:rPr>
          <w:rFonts w:hint="eastAsia" w:ascii="宋体" w:hAnsi="宋体" w:eastAsia="宋体" w:cs="宋体"/>
          <w:b w:val="0"/>
          <w:bCs w:val="0"/>
          <w:sz w:val="21"/>
          <w:szCs w:val="16"/>
          <w:highlight w:val="none"/>
          <w:lang w:val="zh-CN"/>
        </w:rPr>
      </w:pPr>
    </w:p>
    <w:p w14:paraId="36C19473">
      <w:pPr>
        <w:spacing w:line="312" w:lineRule="auto"/>
        <w:ind w:firstLine="420"/>
      </w:pPr>
      <w:bookmarkStart w:id="32" w:name="_Toc7032"/>
    </w:p>
    <w:p w14:paraId="6DECC996">
      <w:pPr>
        <w:spacing w:line="312" w:lineRule="auto"/>
        <w:ind w:firstLine="420"/>
      </w:pPr>
      <w:r>
        <w:t>为进一步完善</w:t>
      </w:r>
      <w:r>
        <w:rPr>
          <w:rFonts w:hint="eastAsia"/>
        </w:rPr>
        <w:t>德惠市人民</w:t>
      </w:r>
      <w:r>
        <w:t>医院医疗卫生服务体系，全面落实习近平总书记视察江西重要讲话精神和对卫生健康工作重要指示精神，彰显金融企业社会责任和使命担当，强化公立医院公益属性，</w:t>
      </w:r>
      <w:r>
        <w:rPr>
          <w:rFonts w:hint="eastAsia"/>
          <w:lang w:eastAsia="zh-CN"/>
        </w:rPr>
        <w:t>德惠市人民医院</w:t>
      </w:r>
      <w:r>
        <w:rPr>
          <w:rFonts w:hint="eastAsia"/>
        </w:rPr>
        <w:t>将针对银医项目的软件系统发起采购，</w:t>
      </w:r>
      <w:r>
        <w:t>就“智慧医院”</w:t>
      </w:r>
      <w:r>
        <w:rPr>
          <w:rFonts w:hint="eastAsia"/>
        </w:rPr>
        <w:t>需要新</w:t>
      </w:r>
      <w:r>
        <w:t>建</w:t>
      </w:r>
      <w:r>
        <w:rPr>
          <w:rFonts w:hint="eastAsia"/>
        </w:rPr>
        <w:t>的</w:t>
      </w:r>
      <w:r>
        <w:t>方案达成以下共识。</w:t>
      </w:r>
    </w:p>
    <w:p w14:paraId="35B19B92">
      <w:pPr>
        <w:spacing w:line="312" w:lineRule="auto"/>
        <w:ind w:firstLine="420"/>
      </w:pPr>
    </w:p>
    <w:p w14:paraId="22F36201">
      <w:pPr>
        <w:pStyle w:val="2"/>
        <w:spacing w:before="0" w:beforeAutospacing="0" w:after="0" w:afterAutospacing="0"/>
        <w:rPr>
          <w:sz w:val="32"/>
          <w:szCs w:val="32"/>
        </w:rPr>
      </w:pPr>
      <w:r>
        <w:rPr>
          <w:sz w:val="32"/>
          <w:szCs w:val="32"/>
        </w:rPr>
        <w:t>一、建设背景</w:t>
      </w:r>
    </w:p>
    <w:p w14:paraId="31ADC0DC">
      <w:pPr>
        <w:spacing w:line="312" w:lineRule="auto"/>
        <w:ind w:firstLine="420"/>
        <w:rPr>
          <w:rFonts w:hint="eastAsia"/>
        </w:rPr>
      </w:pPr>
      <w:r>
        <w:rPr>
          <w:rFonts w:hint="eastAsia"/>
          <w:lang w:eastAsia="zh-CN"/>
        </w:rPr>
        <w:t>德惠市人民医院</w:t>
      </w:r>
      <w:r>
        <w:rPr>
          <w:rFonts w:hint="eastAsia"/>
        </w:rPr>
        <w:t>现有</w:t>
      </w:r>
      <w:r>
        <w:rPr>
          <w:rFonts w:cstheme="minorBidi"/>
        </w:rPr>
        <w:t>患者在就医过程中面临诸多不便。具体来说，患者在挂号、缴费、查询报告等环节常常需要长时间排队等待，这不仅浪费了患者的大量时间，也给医院窗口工作人员带来了巨大的工作压力。由于人工服务窗口数量有限，导致服务效率低下，患者在就医过程中体验不佳，尤其是高峰期时，医院拥挤堵塞，进一步加剧了医患之间的矛盾。此外，传统的就医流程繁琐，患者需要在不同科室之间来回奔波，增加了就医的难度和成本。</w:t>
      </w:r>
      <w:r>
        <w:rPr>
          <w:rFonts w:hint="eastAsia"/>
        </w:rPr>
        <w:t>医院急需实</w:t>
      </w:r>
      <w:r>
        <w:t>现</w:t>
      </w:r>
      <w:r>
        <w:rPr>
          <w:rFonts w:hint="eastAsia"/>
        </w:rPr>
        <w:t>院内外</w:t>
      </w:r>
      <w:r>
        <w:t>资源统一管理、接入渠道统一管理、患者统一管理等，有效解决看病“三长一短”的问题。</w:t>
      </w:r>
    </w:p>
    <w:p w14:paraId="76321220">
      <w:pPr>
        <w:spacing w:line="312" w:lineRule="auto"/>
        <w:ind w:firstLine="420"/>
      </w:pPr>
      <w:r>
        <w:t>在提升服务和工作效率的同时，也面临着医院资金安全和财务内控管理压力。随着互联网医院的持续推动发展，医院患者传统等候排队缴费结算的模式逐渐被信息化服务所替代，银行刷卡、微信、支付宝、自助机以及诊间和线上缴费的普及使用，为患者减少“三长一短”排队等候时间、改善就医体验起到了积极的推动作用。在提升服务和工作效率的同时，也面临着医院资金安全和财务内控管理压力。主要存在以下问题：</w:t>
      </w:r>
    </w:p>
    <w:p w14:paraId="79EE554D">
      <w:pPr>
        <w:spacing w:line="312" w:lineRule="auto"/>
      </w:pPr>
      <w:r>
        <w:t>(1)支付种类多（窗口支付、自助机、</w:t>
      </w:r>
      <w:r>
        <w:rPr>
          <w:rFonts w:hint="eastAsia"/>
        </w:rPr>
        <w:t>掌上医院</w:t>
      </w:r>
      <w:r>
        <w:t>等）</w:t>
      </w:r>
      <w:r>
        <w:rPr>
          <w:rFonts w:hint="eastAsia"/>
        </w:rPr>
        <w:t>，</w:t>
      </w:r>
      <w:r>
        <w:t>接口分散，不利管理。</w:t>
      </w:r>
    </w:p>
    <w:p w14:paraId="474B5898">
      <w:pPr>
        <w:spacing w:line="312" w:lineRule="auto"/>
      </w:pPr>
      <w:r>
        <w:t>(2)支付渠道单独手工对账</w:t>
      </w:r>
      <w:r>
        <w:rPr>
          <w:rFonts w:hint="eastAsia"/>
        </w:rPr>
        <w:t>，包括自费和医保，数据</w:t>
      </w:r>
      <w:r>
        <w:t>容易出错</w:t>
      </w:r>
      <w:r>
        <w:rPr>
          <w:rFonts w:hint="eastAsia"/>
        </w:rPr>
        <w:t>并且财务</w:t>
      </w:r>
      <w:r>
        <w:t>人员投入大、耗时耗力。</w:t>
      </w:r>
    </w:p>
    <w:p w14:paraId="30928F2B">
      <w:pPr>
        <w:spacing w:line="312" w:lineRule="auto"/>
      </w:pPr>
      <w:r>
        <w:t>(3)单边账问题众多，如无法实时处理，容易出现医患矛盾。</w:t>
      </w:r>
    </w:p>
    <w:p w14:paraId="428E8EB7">
      <w:pPr>
        <w:spacing w:line="312" w:lineRule="auto"/>
      </w:pPr>
      <w:r>
        <w:t>(4)数据无法实现统一化、本地化，对数据分析，无法做到精细化管理。</w:t>
      </w:r>
    </w:p>
    <w:p w14:paraId="507FD376">
      <w:pPr>
        <w:spacing w:line="312" w:lineRule="auto"/>
        <w:ind w:firstLine="420"/>
      </w:pPr>
      <w:r>
        <w:rPr>
          <w:rFonts w:hint="eastAsia"/>
        </w:rPr>
        <w:t>因此，考虑到全院渠道的多样化，此次将引入统一对账服务平台，减轻财务压力，提升工作效率。</w:t>
      </w:r>
    </w:p>
    <w:p w14:paraId="4F8ED39D">
      <w:pPr>
        <w:spacing w:line="312" w:lineRule="auto"/>
        <w:rPr>
          <w:rFonts w:hint="eastAsia"/>
        </w:rPr>
      </w:pPr>
    </w:p>
    <w:p w14:paraId="6E038AB1">
      <w:pPr>
        <w:pStyle w:val="2"/>
        <w:spacing w:before="0" w:beforeAutospacing="0" w:after="0" w:afterAutospacing="0"/>
        <w:rPr>
          <w:sz w:val="32"/>
          <w:szCs w:val="32"/>
        </w:rPr>
      </w:pPr>
      <w:r>
        <w:rPr>
          <w:sz w:val="32"/>
          <w:szCs w:val="32"/>
        </w:rPr>
        <w:t>二、建设目标</w:t>
      </w:r>
    </w:p>
    <w:p w14:paraId="33E524C2">
      <w:pPr>
        <w:spacing w:line="312" w:lineRule="auto"/>
        <w:ind w:firstLine="420"/>
        <w:rPr>
          <w:lang w:val="ru-RU"/>
        </w:rPr>
      </w:pPr>
      <w:r>
        <w:rPr>
          <w:rFonts w:hint="eastAsia"/>
          <w:lang w:val="ru-RU" w:eastAsia="zh-CN"/>
        </w:rPr>
        <w:t>德惠市人民医院</w:t>
      </w:r>
      <w:r>
        <w:rPr>
          <w:lang w:val="ru-RU"/>
        </w:rPr>
        <w:t>旨在通过诊疗卡、二代身份证、</w:t>
      </w:r>
      <w:r>
        <w:rPr>
          <w:rFonts w:hint="eastAsia"/>
          <w:lang w:val="ru-RU"/>
        </w:rPr>
        <w:t>社保实体卡</w:t>
      </w:r>
      <w:r>
        <w:rPr>
          <w:lang w:val="ru-RU"/>
        </w:rPr>
        <w:t>、</w:t>
      </w:r>
      <w:r>
        <w:rPr>
          <w:rFonts w:hint="eastAsia"/>
          <w:lang w:val="ru-RU"/>
        </w:rPr>
        <w:t>电子医保凭证</w:t>
      </w:r>
      <w:r>
        <w:rPr>
          <w:lang w:val="ru-RU"/>
        </w:rPr>
        <w:t>及其它相关</w:t>
      </w:r>
      <w:r>
        <w:rPr>
          <w:rFonts w:hint="eastAsia"/>
          <w:lang w:val="ru-RU"/>
        </w:rPr>
        <w:t>身份识别，将最大化的覆盖患者服务群体，包括门诊、住院所有核心业务，</w:t>
      </w:r>
      <w:r>
        <w:rPr>
          <w:lang w:val="ru-RU"/>
        </w:rPr>
        <w:t>实现自助</w:t>
      </w:r>
      <w:r>
        <w:rPr>
          <w:rFonts w:hint="eastAsia"/>
          <w:lang w:val="ru-RU"/>
        </w:rPr>
        <w:t>建档</w:t>
      </w:r>
      <w:r>
        <w:rPr>
          <w:lang w:val="ru-RU"/>
        </w:rPr>
        <w:t>、自助挂号/预约挂号/取号、自助缴费、自助打印检验报告单、</w:t>
      </w:r>
      <w:r>
        <w:rPr>
          <w:rFonts w:hint="eastAsia"/>
          <w:lang w:val="ru-RU"/>
        </w:rPr>
        <w:t>出入院一体化自助服务、</w:t>
      </w:r>
      <w:r>
        <w:rPr>
          <w:lang w:val="ru-RU"/>
        </w:rPr>
        <w:t>自助缴纳住院押金和自助打印住院一日清单等便捷医疗服务。</w:t>
      </w:r>
    </w:p>
    <w:p w14:paraId="78C00662">
      <w:pPr>
        <w:spacing w:line="312" w:lineRule="auto"/>
        <w:ind w:firstLine="420"/>
        <w:rPr>
          <w:lang w:val="ru-RU"/>
        </w:rPr>
      </w:pPr>
      <w:r>
        <w:rPr>
          <w:rFonts w:hint="eastAsia"/>
          <w:lang w:val="ru-RU"/>
        </w:rPr>
        <w:t>整体上</w:t>
      </w:r>
      <w:r>
        <w:rPr>
          <w:lang w:val="ru-RU"/>
        </w:rPr>
        <w:t>以“智慧服务”建设为抓手，进一步提升患者就医体验</w:t>
      </w:r>
      <w:r>
        <w:rPr>
          <w:rFonts w:hint="eastAsia"/>
          <w:lang w:val="ru-RU"/>
        </w:rPr>
        <w:t>，将</w:t>
      </w:r>
      <w:r>
        <w:rPr>
          <w:lang w:val="ru-RU"/>
        </w:rPr>
        <w:t>以医院高质量发展为导向，以</w:t>
      </w:r>
      <w:r>
        <w:rPr>
          <w:rFonts w:hint="eastAsia"/>
          <w:lang w:val="ru-RU"/>
        </w:rPr>
        <w:t>患者</w:t>
      </w:r>
      <w:r>
        <w:rPr>
          <w:lang w:val="ru-RU"/>
        </w:rPr>
        <w:t>为中心，结合医院实际需求，参照国内各大示范医院实践经验和智慧医院评价指标体系，为医院精心打造覆盖全诊疗流程的综合性银行-医院-医保融合支付结算平台，实现线上线下互联互通，数据融合，业务融合，为患者提供全流程自助化的支付服务,提高患者就医便利度和满意度</w:t>
      </w:r>
      <w:r>
        <w:rPr>
          <w:rFonts w:hint="eastAsia"/>
          <w:lang w:val="ru-RU"/>
        </w:rPr>
        <w:t>，</w:t>
      </w:r>
      <w:r>
        <w:rPr>
          <w:lang w:val="ru-RU"/>
        </w:rPr>
        <w:t>达到降本增效、精益管理的目的，使医院获得可持续发展的优势。</w:t>
      </w:r>
    </w:p>
    <w:p w14:paraId="23C5B514">
      <w:pPr>
        <w:spacing w:line="312" w:lineRule="auto"/>
        <w:ind w:firstLine="420"/>
        <w:rPr>
          <w:lang w:val="ru-RU"/>
        </w:rPr>
      </w:pPr>
      <w:r>
        <w:rPr>
          <w:lang w:val="ru-RU"/>
        </w:rPr>
        <w:t>针对患者的实际就医需求，推动信息技术与医疗服务深度融合，为患者提供覆盖诊前、诊中、诊后的全流程、个性化、智能化服务。</w:t>
      </w:r>
    </w:p>
    <w:p w14:paraId="33DE2EC4">
      <w:pPr>
        <w:spacing w:line="312" w:lineRule="auto"/>
        <w:ind w:firstLine="420"/>
        <w:rPr>
          <w:rFonts w:hint="eastAsia"/>
          <w:lang w:val="ru-RU"/>
        </w:rPr>
      </w:pPr>
    </w:p>
    <w:p w14:paraId="18EC8956">
      <w:pPr>
        <w:pStyle w:val="2"/>
        <w:spacing w:before="0" w:beforeAutospacing="0" w:after="0" w:afterAutospacing="0"/>
        <w:rPr>
          <w:sz w:val="32"/>
          <w:szCs w:val="32"/>
        </w:rPr>
      </w:pPr>
      <w:r>
        <w:rPr>
          <w:sz w:val="32"/>
          <w:szCs w:val="32"/>
        </w:rPr>
        <w:t>三、技术要求</w:t>
      </w:r>
    </w:p>
    <w:p w14:paraId="417A33DA">
      <w:pPr>
        <w:spacing w:line="312" w:lineRule="auto"/>
        <w:ind w:firstLine="420"/>
      </w:pPr>
      <w:r>
        <w:t>通过ETL及BI技术实现</w:t>
      </w:r>
      <w:r>
        <w:rPr>
          <w:rFonts w:hint="eastAsia"/>
        </w:rPr>
        <w:t>自助服务系统以及</w:t>
      </w:r>
      <w:r>
        <w:t>全院MISPOS、支付宝、微信、医保卡等收入来源自动对账功能，为财务部门提供统一对账报表。提供收入总账（门诊、住院、急诊等），收入统计、收入明细、操作员（含</w:t>
      </w:r>
      <w:r>
        <w:rPr>
          <w:rFonts w:hint="eastAsia"/>
        </w:rPr>
        <w:t>窗口、</w:t>
      </w:r>
      <w:r>
        <w:t>自助设备、线上</w:t>
      </w:r>
      <w:r>
        <w:rPr>
          <w:rFonts w:hint="eastAsia"/>
        </w:rPr>
        <w:t>等</w:t>
      </w:r>
      <w:r>
        <w:t>）、支付方式、单边账统计等功能。</w:t>
      </w:r>
    </w:p>
    <w:p w14:paraId="1A354FC6">
      <w:pPr>
        <w:spacing w:line="312" w:lineRule="auto"/>
        <w:ind w:firstLine="420"/>
      </w:pPr>
      <w:r>
        <w:rPr>
          <w:rFonts w:hint="eastAsia"/>
        </w:rPr>
        <w:t>整体技术需要具备如下性能要求：</w:t>
      </w:r>
    </w:p>
    <w:p w14:paraId="6F9E01B2">
      <w:pPr>
        <w:pStyle w:val="38"/>
        <w:numPr>
          <w:ilvl w:val="1"/>
          <w:numId w:val="14"/>
        </w:numPr>
        <w:spacing w:line="312" w:lineRule="auto"/>
        <w:ind w:left="851" w:firstLineChars="0"/>
        <w:rPr>
          <w:rFonts w:ascii="宋体" w:hAnsi="宋体" w:eastAsia="宋体"/>
          <w:sz w:val="24"/>
        </w:rPr>
      </w:pPr>
      <w:r>
        <w:rPr>
          <w:rFonts w:hint="eastAsia" w:ascii="宋体" w:hAnsi="宋体" w:eastAsia="宋体"/>
          <w:sz w:val="24"/>
        </w:rPr>
        <w:t>稳定性：系统建设采用先进和高度商品化的软硬件平台、网络设备和开发工具。在进行系统设计、实现和测试时采用科学有效的技术和手段，确保系统交付使用后能持续稳定地运行。</w:t>
      </w:r>
    </w:p>
    <w:p w14:paraId="1BB407C5">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安全性：系统具有一定的容错能力，在用户误操作或输入非法数据时不会发生错误，如在编辑等操作功能中，对于用户输入的错误信息系统能自动识别，并进行自动修复或提示用户重新输入。</w:t>
      </w:r>
    </w:p>
    <w:p w14:paraId="649ADF04">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可维护性：系统提供集中的、智能化的维护工具，尽量减少手工维护工作量，确保系统的正常运行。</w:t>
      </w:r>
    </w:p>
    <w:p w14:paraId="246A7D1D">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易操作性：系统提供美观实用、友好直观的中文图形化用户管理界面，充分考虑工作人员的习惯，方便易学、易于操作，含全菜单式处理和各种快捷键操作，保证多数功能一键到达。</w:t>
      </w:r>
    </w:p>
    <w:p w14:paraId="244E8127">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可扩展性：为了满足用户今后系统扩容和扩大应用范围的需求，系统充分考虑从系统结构、功能设计、管理对象等各个方面的功能扩展。</w:t>
      </w:r>
    </w:p>
    <w:p w14:paraId="6B66622E">
      <w:pPr>
        <w:pStyle w:val="38"/>
        <w:numPr>
          <w:ilvl w:val="0"/>
          <w:numId w:val="14"/>
        </w:numPr>
        <w:spacing w:line="312" w:lineRule="auto"/>
        <w:ind w:left="851" w:firstLineChars="0"/>
        <w:rPr>
          <w:rFonts w:ascii="宋体" w:hAnsi="宋体" w:eastAsia="宋体"/>
          <w:sz w:val="24"/>
        </w:rPr>
      </w:pPr>
      <w:r>
        <w:rPr>
          <w:rFonts w:hint="eastAsia" w:ascii="宋体" w:hAnsi="宋体" w:eastAsia="宋体"/>
          <w:sz w:val="24"/>
        </w:rPr>
        <w:t>开发性：为了确保应用系统具有良好的互操作性和可移植性，系统的数据格式符合有关国家标准或行业标准。</w:t>
      </w:r>
    </w:p>
    <w:p w14:paraId="743D2C0E">
      <w:pPr>
        <w:pStyle w:val="38"/>
        <w:numPr>
          <w:ilvl w:val="0"/>
          <w:numId w:val="14"/>
        </w:numPr>
        <w:spacing w:line="312" w:lineRule="auto"/>
        <w:ind w:left="851" w:firstLineChars="0"/>
        <w:rPr>
          <w:rFonts w:hint="eastAsia" w:ascii="宋体" w:hAnsi="宋体" w:eastAsia="宋体"/>
          <w:sz w:val="24"/>
        </w:rPr>
      </w:pPr>
      <w:r>
        <w:rPr>
          <w:rFonts w:hint="eastAsia" w:ascii="宋体" w:hAnsi="宋体" w:eastAsia="宋体"/>
          <w:sz w:val="24"/>
        </w:rPr>
        <w:t>先进性：系统的设计中，在保证系统稳定的前提下，选用最新的开发软件。所选用的开发工具都是成熟产品，同时具有一定的互操作性，便于系统集成，将软件领域最新的成果移植于本系统，在整体设计思想上也具有一定超前性，一方面最大限度保护用户的现有投资，另一方面使系统具有较强的生命力。</w:t>
      </w:r>
    </w:p>
    <w:p w14:paraId="3692F113">
      <w:pPr>
        <w:pStyle w:val="38"/>
        <w:numPr>
          <w:ilvl w:val="0"/>
          <w:numId w:val="0"/>
        </w:numPr>
        <w:spacing w:line="312" w:lineRule="auto"/>
        <w:ind w:left="431" w:leftChars="0"/>
        <w:rPr>
          <w:rFonts w:hint="eastAsia" w:ascii="宋体" w:hAnsi="宋体" w:eastAsia="宋体"/>
          <w:sz w:val="24"/>
        </w:rPr>
      </w:pPr>
    </w:p>
    <w:p w14:paraId="455D6469">
      <w:pPr>
        <w:pStyle w:val="2"/>
        <w:spacing w:before="0" w:beforeAutospacing="0" w:after="0" w:afterAutospacing="0"/>
        <w:rPr>
          <w:sz w:val="32"/>
          <w:szCs w:val="32"/>
        </w:rPr>
      </w:pPr>
      <w:r>
        <w:rPr>
          <w:sz w:val="32"/>
          <w:szCs w:val="32"/>
        </w:rPr>
        <w:t>四、需求清单</w:t>
      </w:r>
    </w:p>
    <w:p w14:paraId="583796A0">
      <w:pPr>
        <w:spacing w:line="312" w:lineRule="auto"/>
        <w:ind w:firstLine="420"/>
      </w:pPr>
      <w:r>
        <w:rPr>
          <w:rFonts w:hint="eastAsia"/>
        </w:rPr>
        <w:t>本次招标采购软件系统的</w:t>
      </w:r>
      <w:r>
        <w:t>主要清单如下：</w:t>
      </w:r>
    </w:p>
    <w:tbl>
      <w:tblPr>
        <w:tblStyle w:val="22"/>
        <w:tblW w:w="9679" w:type="dxa"/>
        <w:tblInd w:w="0" w:type="dxa"/>
        <w:tblLayout w:type="autofit"/>
        <w:tblCellMar>
          <w:top w:w="0" w:type="dxa"/>
          <w:left w:w="108" w:type="dxa"/>
          <w:bottom w:w="0" w:type="dxa"/>
          <w:right w:w="108" w:type="dxa"/>
        </w:tblCellMar>
      </w:tblPr>
      <w:tblGrid>
        <w:gridCol w:w="943"/>
        <w:gridCol w:w="2548"/>
        <w:gridCol w:w="6188"/>
      </w:tblGrid>
      <w:tr w14:paraId="12CDB440">
        <w:tblPrEx>
          <w:tblCellMar>
            <w:top w:w="0" w:type="dxa"/>
            <w:left w:w="108" w:type="dxa"/>
            <w:bottom w:w="0" w:type="dxa"/>
            <w:right w:w="108" w:type="dxa"/>
          </w:tblCellMar>
        </w:tblPrEx>
        <w:trPr>
          <w:trHeight w:val="512"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4D2C4EFE">
            <w:pPr>
              <w:jc w:val="center"/>
              <w:rPr>
                <w:rFonts w:ascii="仿宋" w:hAnsi="仿宋" w:eastAsia="仿宋"/>
              </w:rPr>
            </w:pPr>
            <w:r>
              <w:rPr>
                <w:rFonts w:hint="eastAsia" w:ascii="仿宋" w:hAnsi="仿宋" w:eastAsia="仿宋"/>
              </w:rPr>
              <w:t>序号　</w:t>
            </w:r>
          </w:p>
        </w:tc>
        <w:tc>
          <w:tcPr>
            <w:tcW w:w="2548" w:type="dxa"/>
            <w:tcBorders>
              <w:top w:val="single" w:color="auto" w:sz="4" w:space="0"/>
              <w:left w:val="nil"/>
              <w:bottom w:val="single" w:color="auto" w:sz="4" w:space="0"/>
              <w:right w:val="single" w:color="auto" w:sz="4" w:space="0"/>
            </w:tcBorders>
            <w:shd w:val="clear" w:color="auto" w:fill="auto"/>
            <w:vAlign w:val="center"/>
          </w:tcPr>
          <w:p w14:paraId="37DF340D">
            <w:pPr>
              <w:jc w:val="center"/>
              <w:rPr>
                <w:rFonts w:hint="eastAsia" w:ascii="仿宋" w:hAnsi="仿宋" w:eastAsia="仿宋"/>
              </w:rPr>
            </w:pPr>
            <w:r>
              <w:rPr>
                <w:rFonts w:hint="eastAsia" w:ascii="仿宋" w:hAnsi="仿宋" w:eastAsia="仿宋"/>
              </w:rPr>
              <w:t>名称</w:t>
            </w:r>
          </w:p>
        </w:tc>
        <w:tc>
          <w:tcPr>
            <w:tcW w:w="6188" w:type="dxa"/>
            <w:tcBorders>
              <w:top w:val="single" w:color="auto" w:sz="4" w:space="0"/>
              <w:left w:val="nil"/>
              <w:bottom w:val="single" w:color="auto" w:sz="4" w:space="0"/>
              <w:right w:val="single" w:color="auto" w:sz="4" w:space="0"/>
            </w:tcBorders>
            <w:shd w:val="clear" w:color="auto" w:fill="auto"/>
            <w:vAlign w:val="center"/>
          </w:tcPr>
          <w:p w14:paraId="08DC9F08">
            <w:pPr>
              <w:jc w:val="center"/>
              <w:rPr>
                <w:rFonts w:hint="eastAsia" w:ascii="仿宋" w:hAnsi="仿宋" w:eastAsia="仿宋"/>
              </w:rPr>
            </w:pPr>
            <w:r>
              <w:rPr>
                <w:rFonts w:hint="eastAsia" w:ascii="仿宋" w:hAnsi="仿宋" w:eastAsia="仿宋"/>
              </w:rPr>
              <w:t>功能描述</w:t>
            </w:r>
          </w:p>
        </w:tc>
      </w:tr>
      <w:tr w14:paraId="07C1C1F5">
        <w:tblPrEx>
          <w:tblCellMar>
            <w:top w:w="0" w:type="dxa"/>
            <w:left w:w="108" w:type="dxa"/>
            <w:bottom w:w="0" w:type="dxa"/>
            <w:right w:w="108" w:type="dxa"/>
          </w:tblCellMar>
        </w:tblPrEx>
        <w:trPr>
          <w:trHeight w:val="1617"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7888B385">
            <w:pPr>
              <w:jc w:val="center"/>
              <w:rPr>
                <w:rFonts w:hint="eastAsia" w:ascii="仿宋" w:hAnsi="仿宋" w:eastAsia="仿宋"/>
              </w:rPr>
            </w:pPr>
            <w:r>
              <w:rPr>
                <w:rFonts w:hint="eastAsia" w:ascii="仿宋" w:hAnsi="仿宋" w:eastAsia="仿宋"/>
              </w:rPr>
              <w:t>1</w:t>
            </w:r>
          </w:p>
        </w:tc>
        <w:tc>
          <w:tcPr>
            <w:tcW w:w="2548" w:type="dxa"/>
            <w:tcBorders>
              <w:top w:val="nil"/>
              <w:left w:val="nil"/>
              <w:bottom w:val="single" w:color="auto" w:sz="4" w:space="0"/>
              <w:right w:val="single" w:color="auto" w:sz="4" w:space="0"/>
            </w:tcBorders>
            <w:shd w:val="clear" w:color="000000" w:fill="FFFFFF"/>
            <w:vAlign w:val="center"/>
          </w:tcPr>
          <w:p w14:paraId="2F5BDEF7">
            <w:pPr>
              <w:rPr>
                <w:rFonts w:hint="eastAsia" w:ascii="仿宋" w:hAnsi="仿宋" w:eastAsia="仿宋"/>
              </w:rPr>
            </w:pPr>
            <w:r>
              <w:rPr>
                <w:rFonts w:hint="eastAsia" w:ascii="仿宋" w:hAnsi="仿宋" w:eastAsia="仿宋"/>
              </w:rPr>
              <w:t>自助系统建设及管理平台开发服务</w:t>
            </w:r>
          </w:p>
        </w:tc>
        <w:tc>
          <w:tcPr>
            <w:tcW w:w="6188" w:type="dxa"/>
            <w:tcBorders>
              <w:top w:val="nil"/>
              <w:left w:val="nil"/>
              <w:bottom w:val="single" w:color="auto" w:sz="4" w:space="0"/>
              <w:right w:val="single" w:color="auto" w:sz="4" w:space="0"/>
            </w:tcBorders>
            <w:shd w:val="clear" w:color="000000" w:fill="FFFFFF"/>
            <w:vAlign w:val="center"/>
          </w:tcPr>
          <w:p w14:paraId="72858810">
            <w:pPr>
              <w:rPr>
                <w:rFonts w:hint="eastAsia" w:ascii="仿宋" w:hAnsi="仿宋" w:eastAsia="仿宋"/>
              </w:rPr>
            </w:pPr>
            <w:r>
              <w:rPr>
                <w:rFonts w:hint="eastAsia" w:ascii="仿宋" w:hAnsi="仿宋" w:eastAsia="仿宋"/>
              </w:rPr>
              <w:t>建档、挂号/取号、缴费/充值/退</w:t>
            </w:r>
            <w:r>
              <w:rPr>
                <w:rFonts w:hint="eastAsia" w:ascii="仿宋" w:hAnsi="仿宋" w:eastAsia="仿宋"/>
                <w:lang w:val="en-US" w:eastAsia="zh-CN"/>
              </w:rPr>
              <w:t>费</w:t>
            </w:r>
            <w:r>
              <w:rPr>
                <w:rFonts w:hint="eastAsia" w:ascii="仿宋" w:hAnsi="仿宋" w:eastAsia="仿宋"/>
              </w:rPr>
              <w:t>、报告打印、收费项目查询、满意度评价及账户信息等。实现对院内的资源池管理、设备管理、运维管理、耗材预警功能:管理系统能对自助终端的耗材进行监控，在耗材低于设定值时发出预警。</w:t>
            </w:r>
          </w:p>
        </w:tc>
      </w:tr>
      <w:tr w14:paraId="6D624A08">
        <w:tblPrEx>
          <w:tblCellMar>
            <w:top w:w="0" w:type="dxa"/>
            <w:left w:w="108" w:type="dxa"/>
            <w:bottom w:w="0" w:type="dxa"/>
            <w:right w:w="108" w:type="dxa"/>
          </w:tblCellMar>
        </w:tblPrEx>
        <w:trPr>
          <w:trHeight w:val="974"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2F3A7619">
            <w:pPr>
              <w:jc w:val="center"/>
              <w:rPr>
                <w:rFonts w:hint="eastAsia" w:ascii="仿宋" w:hAnsi="仿宋" w:eastAsia="仿宋"/>
              </w:rPr>
            </w:pPr>
            <w:r>
              <w:rPr>
                <w:rFonts w:hint="eastAsia" w:ascii="仿宋" w:hAnsi="仿宋" w:eastAsia="仿宋"/>
              </w:rPr>
              <w:t>2</w:t>
            </w:r>
          </w:p>
        </w:tc>
        <w:tc>
          <w:tcPr>
            <w:tcW w:w="2548" w:type="dxa"/>
            <w:tcBorders>
              <w:top w:val="nil"/>
              <w:left w:val="nil"/>
              <w:bottom w:val="single" w:color="auto" w:sz="4" w:space="0"/>
              <w:right w:val="single" w:color="auto" w:sz="4" w:space="0"/>
            </w:tcBorders>
            <w:shd w:val="clear" w:color="000000" w:fill="FFFFFF"/>
            <w:vAlign w:val="center"/>
          </w:tcPr>
          <w:p w14:paraId="70D1695B">
            <w:pPr>
              <w:rPr>
                <w:rFonts w:hint="eastAsia" w:ascii="仿宋" w:hAnsi="仿宋" w:eastAsia="仿宋"/>
              </w:rPr>
            </w:pPr>
            <w:r>
              <w:rPr>
                <w:rFonts w:hint="eastAsia" w:ascii="仿宋" w:hAnsi="仿宋" w:eastAsia="仿宋"/>
              </w:rPr>
              <w:t>财务对账系统开发</w:t>
            </w:r>
          </w:p>
        </w:tc>
        <w:tc>
          <w:tcPr>
            <w:tcW w:w="6188" w:type="dxa"/>
            <w:tcBorders>
              <w:top w:val="nil"/>
              <w:left w:val="nil"/>
              <w:bottom w:val="single" w:color="auto" w:sz="4" w:space="0"/>
              <w:right w:val="single" w:color="auto" w:sz="4" w:space="0"/>
            </w:tcBorders>
            <w:shd w:val="clear" w:color="000000" w:fill="FFFFFF"/>
            <w:vAlign w:val="center"/>
          </w:tcPr>
          <w:p w14:paraId="2CC3C4D1">
            <w:pPr>
              <w:rPr>
                <w:rFonts w:hint="eastAsia" w:ascii="仿宋" w:hAnsi="仿宋" w:eastAsia="仿宋"/>
              </w:rPr>
            </w:pPr>
            <w:r>
              <w:rPr>
                <w:rFonts w:hint="eastAsia" w:ascii="仿宋" w:hAnsi="仿宋" w:eastAsia="仿宋"/>
              </w:rPr>
              <w:t>通过智能分析财务账和各渠道流水对账单，自定义配置，自动执行双向匹配，自动识别差异账风险及异常交易，安全、高效完成对账。</w:t>
            </w:r>
          </w:p>
        </w:tc>
      </w:tr>
      <w:tr w14:paraId="3A7B4093">
        <w:tblPrEx>
          <w:tblCellMar>
            <w:top w:w="0" w:type="dxa"/>
            <w:left w:w="108" w:type="dxa"/>
            <w:bottom w:w="0" w:type="dxa"/>
            <w:right w:w="108" w:type="dxa"/>
          </w:tblCellMar>
        </w:tblPrEx>
        <w:trPr>
          <w:trHeight w:val="653"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6EBF1960">
            <w:pPr>
              <w:jc w:val="center"/>
              <w:rPr>
                <w:rFonts w:hint="eastAsia" w:ascii="仿宋" w:hAnsi="仿宋" w:eastAsia="仿宋"/>
              </w:rPr>
            </w:pPr>
            <w:r>
              <w:rPr>
                <w:rFonts w:hint="eastAsia" w:ascii="仿宋" w:hAnsi="仿宋" w:eastAsia="仿宋"/>
              </w:rPr>
              <w:t>3</w:t>
            </w:r>
          </w:p>
        </w:tc>
        <w:tc>
          <w:tcPr>
            <w:tcW w:w="2548" w:type="dxa"/>
            <w:tcBorders>
              <w:top w:val="nil"/>
              <w:left w:val="nil"/>
              <w:bottom w:val="single" w:color="auto" w:sz="4" w:space="0"/>
              <w:right w:val="single" w:color="auto" w:sz="4" w:space="0"/>
            </w:tcBorders>
            <w:shd w:val="clear" w:color="000000" w:fill="FFFFFF"/>
            <w:vAlign w:val="center"/>
          </w:tcPr>
          <w:p w14:paraId="343D7D79">
            <w:pPr>
              <w:rPr>
                <w:rFonts w:hint="eastAsia" w:ascii="仿宋" w:hAnsi="仿宋" w:eastAsia="仿宋"/>
              </w:rPr>
            </w:pPr>
            <w:r>
              <w:rPr>
                <w:rFonts w:hint="eastAsia" w:ascii="仿宋" w:hAnsi="仿宋" w:eastAsia="仿宋"/>
              </w:rPr>
              <w:t>住院端医保结算接口开发</w:t>
            </w:r>
          </w:p>
        </w:tc>
        <w:tc>
          <w:tcPr>
            <w:tcW w:w="6188" w:type="dxa"/>
            <w:tcBorders>
              <w:top w:val="nil"/>
              <w:left w:val="nil"/>
              <w:bottom w:val="single" w:color="auto" w:sz="4" w:space="0"/>
              <w:right w:val="single" w:color="auto" w:sz="4" w:space="0"/>
            </w:tcBorders>
            <w:shd w:val="clear" w:color="000000" w:fill="FFFFFF"/>
            <w:vAlign w:val="center"/>
          </w:tcPr>
          <w:p w14:paraId="36035FB4">
            <w:pPr>
              <w:rPr>
                <w:rFonts w:hint="eastAsia" w:ascii="仿宋" w:hAnsi="仿宋" w:eastAsia="仿宋"/>
              </w:rPr>
            </w:pPr>
            <w:r>
              <w:rPr>
                <w:rFonts w:hint="eastAsia" w:ascii="仿宋" w:hAnsi="仿宋" w:eastAsia="仿宋"/>
              </w:rPr>
              <w:t>可实现住院医保缴费功能;医保电子凭证支付，医保支付及对账接口，符合国家医保标准的认证规范。</w:t>
            </w:r>
          </w:p>
        </w:tc>
      </w:tr>
      <w:tr w14:paraId="70045039">
        <w:tblPrEx>
          <w:tblCellMar>
            <w:top w:w="0" w:type="dxa"/>
            <w:left w:w="108" w:type="dxa"/>
            <w:bottom w:w="0" w:type="dxa"/>
            <w:right w:w="108" w:type="dxa"/>
          </w:tblCellMar>
        </w:tblPrEx>
        <w:trPr>
          <w:trHeight w:val="653"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25692C7C">
            <w:pPr>
              <w:jc w:val="center"/>
              <w:rPr>
                <w:rFonts w:hint="eastAsia" w:ascii="仿宋" w:hAnsi="仿宋" w:eastAsia="仿宋"/>
              </w:rPr>
            </w:pPr>
            <w:r>
              <w:rPr>
                <w:rFonts w:hint="eastAsia" w:ascii="仿宋" w:hAnsi="仿宋" w:eastAsia="仿宋"/>
              </w:rPr>
              <w:t>4</w:t>
            </w:r>
          </w:p>
        </w:tc>
        <w:tc>
          <w:tcPr>
            <w:tcW w:w="2548" w:type="dxa"/>
            <w:tcBorders>
              <w:top w:val="nil"/>
              <w:left w:val="nil"/>
              <w:bottom w:val="single" w:color="auto" w:sz="4" w:space="0"/>
              <w:right w:val="single" w:color="auto" w:sz="4" w:space="0"/>
            </w:tcBorders>
            <w:shd w:val="clear" w:color="000000" w:fill="FFFFFF"/>
            <w:vAlign w:val="center"/>
          </w:tcPr>
          <w:p w14:paraId="4EDC45CC">
            <w:pPr>
              <w:rPr>
                <w:rFonts w:hint="eastAsia" w:ascii="仿宋" w:hAnsi="仿宋" w:eastAsia="仿宋"/>
              </w:rPr>
            </w:pPr>
            <w:r>
              <w:rPr>
                <w:rFonts w:hint="eastAsia" w:ascii="仿宋" w:hAnsi="仿宋" w:eastAsia="仿宋"/>
              </w:rPr>
              <w:t>住院病区自助结算系统开发</w:t>
            </w:r>
          </w:p>
        </w:tc>
        <w:tc>
          <w:tcPr>
            <w:tcW w:w="6188" w:type="dxa"/>
            <w:tcBorders>
              <w:top w:val="nil"/>
              <w:left w:val="nil"/>
              <w:bottom w:val="single" w:color="auto" w:sz="4" w:space="0"/>
              <w:right w:val="single" w:color="auto" w:sz="4" w:space="0"/>
            </w:tcBorders>
            <w:shd w:val="clear" w:color="000000" w:fill="FFFFFF"/>
            <w:vAlign w:val="center"/>
          </w:tcPr>
          <w:p w14:paraId="736E7826">
            <w:pPr>
              <w:rPr>
                <w:rFonts w:hint="eastAsia" w:ascii="仿宋" w:hAnsi="仿宋" w:eastAsia="仿宋"/>
              </w:rPr>
            </w:pPr>
            <w:r>
              <w:rPr>
                <w:rFonts w:hint="eastAsia" w:ascii="仿宋" w:hAnsi="仿宋" w:eastAsia="仿宋"/>
              </w:rPr>
              <w:t>病区设备系统对接开发，入院管理、出院流程改造、一键退费、护士长与住院主任电子签名改造等。</w:t>
            </w:r>
          </w:p>
        </w:tc>
      </w:tr>
      <w:tr w14:paraId="59E34633">
        <w:tblPrEx>
          <w:tblCellMar>
            <w:top w:w="0" w:type="dxa"/>
            <w:left w:w="108" w:type="dxa"/>
            <w:bottom w:w="0" w:type="dxa"/>
            <w:right w:w="108" w:type="dxa"/>
          </w:tblCellMar>
        </w:tblPrEx>
        <w:trPr>
          <w:trHeight w:val="663" w:hRule="atLeast"/>
        </w:trPr>
        <w:tc>
          <w:tcPr>
            <w:tcW w:w="943" w:type="dxa"/>
            <w:tcBorders>
              <w:top w:val="nil"/>
              <w:left w:val="single" w:color="auto" w:sz="4" w:space="0"/>
              <w:bottom w:val="single" w:color="auto" w:sz="4" w:space="0"/>
              <w:right w:val="single" w:color="auto" w:sz="4" w:space="0"/>
            </w:tcBorders>
            <w:shd w:val="clear" w:color="000000" w:fill="FFFFFF"/>
            <w:vAlign w:val="center"/>
          </w:tcPr>
          <w:p w14:paraId="708695D0">
            <w:pPr>
              <w:jc w:val="center"/>
              <w:rPr>
                <w:rFonts w:hint="eastAsia" w:ascii="仿宋" w:hAnsi="仿宋" w:eastAsia="仿宋"/>
              </w:rPr>
            </w:pPr>
            <w:r>
              <w:rPr>
                <w:rFonts w:hint="eastAsia" w:ascii="仿宋" w:hAnsi="仿宋" w:eastAsia="仿宋"/>
              </w:rPr>
              <w:t>5</w:t>
            </w:r>
          </w:p>
        </w:tc>
        <w:tc>
          <w:tcPr>
            <w:tcW w:w="2548" w:type="dxa"/>
            <w:tcBorders>
              <w:top w:val="nil"/>
              <w:left w:val="nil"/>
              <w:bottom w:val="single" w:color="auto" w:sz="4" w:space="0"/>
              <w:right w:val="single" w:color="auto" w:sz="4" w:space="0"/>
            </w:tcBorders>
            <w:shd w:val="clear" w:color="auto" w:fill="auto"/>
            <w:vAlign w:val="center"/>
          </w:tcPr>
          <w:p w14:paraId="762E372F">
            <w:pPr>
              <w:rPr>
                <w:rFonts w:hint="eastAsia" w:ascii="仿宋" w:hAnsi="仿宋" w:eastAsia="仿宋"/>
              </w:rPr>
            </w:pPr>
            <w:r>
              <w:rPr>
                <w:rFonts w:hint="eastAsia" w:ascii="仿宋" w:hAnsi="仿宋" w:eastAsia="仿宋"/>
              </w:rPr>
              <w:t>HIS接口改造服务</w:t>
            </w:r>
          </w:p>
        </w:tc>
        <w:tc>
          <w:tcPr>
            <w:tcW w:w="6188" w:type="dxa"/>
            <w:tcBorders>
              <w:top w:val="nil"/>
              <w:left w:val="nil"/>
              <w:bottom w:val="single" w:color="auto" w:sz="4" w:space="0"/>
              <w:right w:val="single" w:color="auto" w:sz="4" w:space="0"/>
            </w:tcBorders>
            <w:shd w:val="clear" w:color="auto" w:fill="auto"/>
            <w:vAlign w:val="center"/>
          </w:tcPr>
          <w:p w14:paraId="6607F232">
            <w:pPr>
              <w:rPr>
                <w:rFonts w:hint="eastAsia" w:ascii="仿宋" w:hAnsi="仿宋" w:eastAsia="仿宋"/>
              </w:rPr>
            </w:pPr>
            <w:r>
              <w:rPr>
                <w:rFonts w:hint="eastAsia" w:ascii="仿宋" w:hAnsi="仿宋" w:eastAsia="仿宋"/>
              </w:rPr>
              <w:t>通过第三方二次封装银医系统提供SP或WS接口，以实现院内银医自助功能需求、便捷就医等应用。</w:t>
            </w:r>
          </w:p>
        </w:tc>
      </w:tr>
    </w:tbl>
    <w:p w14:paraId="2EF5E721">
      <w:pPr>
        <w:spacing w:line="312" w:lineRule="auto"/>
        <w:rPr>
          <w:rFonts w:hint="eastAsia"/>
        </w:rPr>
      </w:pPr>
    </w:p>
    <w:p w14:paraId="2AE1E484">
      <w:pPr>
        <w:pStyle w:val="2"/>
        <w:spacing w:before="0" w:beforeAutospacing="0" w:after="0" w:afterAutospacing="0"/>
        <w:rPr>
          <w:sz w:val="32"/>
          <w:szCs w:val="32"/>
        </w:rPr>
      </w:pPr>
      <w:r>
        <w:rPr>
          <w:sz w:val="32"/>
          <w:szCs w:val="32"/>
        </w:rPr>
        <w:t>五、详细要求（细化需求清单）</w:t>
      </w:r>
    </w:p>
    <w:p w14:paraId="78B70958">
      <w:pPr>
        <w:pStyle w:val="3"/>
        <w:spacing w:before="0" w:after="0" w:line="415" w:lineRule="auto"/>
        <w:rPr>
          <w:sz w:val="28"/>
          <w:szCs w:val="28"/>
        </w:rPr>
      </w:pPr>
      <w:r>
        <w:rPr>
          <w:rFonts w:hint="eastAsia"/>
          <w:sz w:val="28"/>
          <w:szCs w:val="28"/>
        </w:rPr>
        <w:t>5</w:t>
      </w:r>
      <w:r>
        <w:rPr>
          <w:sz w:val="28"/>
          <w:szCs w:val="28"/>
        </w:rPr>
        <w:t>.1</w:t>
      </w:r>
      <w:r>
        <w:rPr>
          <w:rFonts w:hint="eastAsia"/>
          <w:sz w:val="28"/>
          <w:szCs w:val="28"/>
        </w:rPr>
        <w:t>自助系统建设及管理平台开发服务</w:t>
      </w:r>
    </w:p>
    <w:p w14:paraId="623665C6">
      <w:pPr>
        <w:spacing w:line="312" w:lineRule="auto"/>
        <w:ind w:firstLine="420"/>
        <w:rPr>
          <w:kern w:val="2"/>
        </w:rPr>
      </w:pPr>
      <w:r>
        <w:rPr>
          <w:rFonts w:cstheme="minorBidi"/>
        </w:rPr>
        <w:t>医院上线自助服务终端为患者带来了极大的便利与效率提升。通过这些终端，患者可以自主完成挂号、缴费、</w:t>
      </w:r>
      <w:r>
        <w:rPr>
          <w:rFonts w:hint="eastAsia" w:cstheme="minorBidi"/>
        </w:rPr>
        <w:t>打印</w:t>
      </w:r>
      <w:r>
        <w:rPr>
          <w:rFonts w:cstheme="minorBidi"/>
        </w:rPr>
        <w:t>报告等一系列就医流程，无需长时间排队等待窗口服务，大大缩短了看病时间。同时，自助服务终端还提供了清晰的操作指引和丰富的医疗信息，帮助患者更好地了解就医流程、科室分布及医生专长，增强了患者的就医体验和满意度</w:t>
      </w:r>
      <w:r>
        <w:rPr>
          <w:rFonts w:hint="eastAsia"/>
        </w:rPr>
        <w:t>，自助业务将覆盖诊前、诊中、诊后全流程</w:t>
      </w:r>
      <w:r>
        <w:rPr>
          <w:rFonts w:hint="eastAsia"/>
          <w:kern w:val="2"/>
        </w:rPr>
        <w:t>。</w:t>
      </w:r>
    </w:p>
    <w:p w14:paraId="36BD6973">
      <w:pPr>
        <w:spacing w:line="312" w:lineRule="auto"/>
        <w:ind w:firstLine="420"/>
      </w:pPr>
    </w:p>
    <w:p w14:paraId="6975D72D">
      <w:pPr>
        <w:spacing w:line="312" w:lineRule="auto"/>
        <w:ind w:firstLine="420"/>
        <w:rPr>
          <w:rFonts w:hint="eastAsia"/>
        </w:rPr>
      </w:pPr>
      <w:r>
        <w:rPr>
          <w:rFonts w:hint="eastAsia"/>
        </w:rPr>
        <w:t>自助服务终端需要至少满足如下功能范围：</w:t>
      </w:r>
    </w:p>
    <w:tbl>
      <w:tblPr>
        <w:tblStyle w:val="22"/>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901"/>
        <w:gridCol w:w="6020"/>
      </w:tblGrid>
      <w:tr w14:paraId="5002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01BB6D23">
            <w:pPr>
              <w:rPr>
                <w:rFonts w:hint="eastAsia"/>
                <w:b/>
                <w:bCs/>
                <w:sz w:val="21"/>
                <w:szCs w:val="21"/>
              </w:rPr>
            </w:pPr>
            <w:r>
              <w:rPr>
                <w:rFonts w:hint="eastAsia"/>
                <w:b/>
                <w:bCs/>
                <w:sz w:val="21"/>
                <w:szCs w:val="21"/>
              </w:rPr>
              <w:t>类别</w:t>
            </w:r>
          </w:p>
        </w:tc>
        <w:tc>
          <w:tcPr>
            <w:tcW w:w="1901" w:type="dxa"/>
            <w:shd w:val="clear" w:color="auto" w:fill="auto"/>
            <w:vAlign w:val="center"/>
          </w:tcPr>
          <w:p w14:paraId="0E568892">
            <w:pPr>
              <w:rPr>
                <w:rFonts w:hint="eastAsia"/>
                <w:b/>
                <w:bCs/>
                <w:sz w:val="21"/>
                <w:szCs w:val="21"/>
              </w:rPr>
            </w:pPr>
            <w:r>
              <w:rPr>
                <w:rFonts w:hint="eastAsia"/>
                <w:b/>
                <w:bCs/>
                <w:sz w:val="21"/>
                <w:szCs w:val="21"/>
              </w:rPr>
              <w:t>功能模块</w:t>
            </w:r>
          </w:p>
        </w:tc>
        <w:tc>
          <w:tcPr>
            <w:tcW w:w="6020" w:type="dxa"/>
            <w:shd w:val="clear" w:color="auto" w:fill="auto"/>
            <w:vAlign w:val="center"/>
          </w:tcPr>
          <w:p w14:paraId="28C20D01">
            <w:pPr>
              <w:rPr>
                <w:rFonts w:hint="eastAsia"/>
                <w:b/>
                <w:bCs/>
                <w:sz w:val="21"/>
                <w:szCs w:val="21"/>
              </w:rPr>
            </w:pPr>
            <w:r>
              <w:rPr>
                <w:rFonts w:hint="eastAsia"/>
                <w:b/>
                <w:bCs/>
                <w:sz w:val="21"/>
                <w:szCs w:val="21"/>
              </w:rPr>
              <w:t>功能说明</w:t>
            </w:r>
          </w:p>
        </w:tc>
      </w:tr>
      <w:tr w14:paraId="1021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14103339">
            <w:pPr>
              <w:rPr>
                <w:rFonts w:hint="eastAsia"/>
                <w:sz w:val="21"/>
                <w:szCs w:val="21"/>
              </w:rPr>
            </w:pPr>
            <w:r>
              <w:rPr>
                <w:rFonts w:hint="eastAsia"/>
                <w:sz w:val="21"/>
                <w:szCs w:val="21"/>
              </w:rPr>
              <w:t>建档</w:t>
            </w:r>
          </w:p>
        </w:tc>
        <w:tc>
          <w:tcPr>
            <w:tcW w:w="1901" w:type="dxa"/>
            <w:shd w:val="clear" w:color="auto" w:fill="auto"/>
            <w:vAlign w:val="center"/>
          </w:tcPr>
          <w:p w14:paraId="4C89D5E4">
            <w:pPr>
              <w:rPr>
                <w:rFonts w:hint="eastAsia"/>
                <w:sz w:val="21"/>
                <w:szCs w:val="21"/>
              </w:rPr>
            </w:pPr>
            <w:r>
              <w:rPr>
                <w:rFonts w:hint="eastAsia"/>
                <w:sz w:val="21"/>
                <w:szCs w:val="21"/>
              </w:rPr>
              <w:t>建立院内档案</w:t>
            </w:r>
          </w:p>
        </w:tc>
        <w:tc>
          <w:tcPr>
            <w:tcW w:w="6020" w:type="dxa"/>
            <w:shd w:val="clear" w:color="auto" w:fill="auto"/>
            <w:vAlign w:val="center"/>
          </w:tcPr>
          <w:p w14:paraId="5EDF70E8">
            <w:pPr>
              <w:rPr>
                <w:rFonts w:hint="eastAsia"/>
                <w:sz w:val="21"/>
                <w:szCs w:val="21"/>
              </w:rPr>
            </w:pPr>
            <w:r>
              <w:rPr>
                <w:rFonts w:hint="eastAsia"/>
                <w:sz w:val="21"/>
                <w:szCs w:val="21"/>
              </w:rPr>
              <w:t>支持身份证、医保卡、电子医保凭证识别身份，自助建档，打印电子二维码凭条</w:t>
            </w:r>
          </w:p>
        </w:tc>
      </w:tr>
      <w:tr w14:paraId="349B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38" w:type="dxa"/>
            <w:shd w:val="clear" w:color="auto" w:fill="auto"/>
            <w:vAlign w:val="center"/>
          </w:tcPr>
          <w:p w14:paraId="769FCE5A">
            <w:pPr>
              <w:rPr>
                <w:rFonts w:hint="eastAsia"/>
                <w:sz w:val="21"/>
                <w:szCs w:val="21"/>
              </w:rPr>
            </w:pPr>
            <w:r>
              <w:rPr>
                <w:rFonts w:hint="eastAsia"/>
                <w:sz w:val="21"/>
                <w:szCs w:val="21"/>
              </w:rPr>
              <w:t>身份识别</w:t>
            </w:r>
          </w:p>
        </w:tc>
        <w:tc>
          <w:tcPr>
            <w:tcW w:w="1901" w:type="dxa"/>
            <w:shd w:val="clear" w:color="auto" w:fill="auto"/>
            <w:vAlign w:val="center"/>
          </w:tcPr>
          <w:p w14:paraId="6BBC4DA6">
            <w:pPr>
              <w:rPr>
                <w:rFonts w:hint="eastAsia"/>
                <w:sz w:val="21"/>
                <w:szCs w:val="21"/>
              </w:rPr>
            </w:pPr>
            <w:r>
              <w:rPr>
                <w:rFonts w:hint="eastAsia"/>
                <w:sz w:val="21"/>
                <w:szCs w:val="21"/>
              </w:rPr>
              <w:t>多种身份识别</w:t>
            </w:r>
          </w:p>
        </w:tc>
        <w:tc>
          <w:tcPr>
            <w:tcW w:w="6020" w:type="dxa"/>
            <w:shd w:val="clear" w:color="auto" w:fill="auto"/>
            <w:vAlign w:val="center"/>
          </w:tcPr>
          <w:p w14:paraId="31FBDC5B">
            <w:pPr>
              <w:rPr>
                <w:rFonts w:hint="eastAsia"/>
                <w:sz w:val="21"/>
                <w:szCs w:val="21"/>
              </w:rPr>
            </w:pPr>
            <w:r>
              <w:rPr>
                <w:rFonts w:hint="eastAsia"/>
                <w:sz w:val="21"/>
                <w:szCs w:val="21"/>
              </w:rPr>
              <w:t>支持身份证、医保卡、电子医保凭证识别身份、电子就诊二维码多种识别方式，在身份识别时，如果用户未建档，则自动建档</w:t>
            </w:r>
          </w:p>
        </w:tc>
      </w:tr>
      <w:tr w14:paraId="5E20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5BC65CBC">
            <w:pPr>
              <w:rPr>
                <w:rFonts w:hint="eastAsia"/>
                <w:sz w:val="21"/>
                <w:szCs w:val="21"/>
              </w:rPr>
            </w:pPr>
            <w:r>
              <w:rPr>
                <w:rFonts w:hint="eastAsia"/>
                <w:sz w:val="21"/>
                <w:szCs w:val="21"/>
              </w:rPr>
              <w:t>挂号</w:t>
            </w:r>
          </w:p>
        </w:tc>
        <w:tc>
          <w:tcPr>
            <w:tcW w:w="1901" w:type="dxa"/>
            <w:shd w:val="clear" w:color="auto" w:fill="auto"/>
            <w:vAlign w:val="center"/>
          </w:tcPr>
          <w:p w14:paraId="63E0780E">
            <w:pPr>
              <w:rPr>
                <w:rFonts w:hint="eastAsia"/>
                <w:sz w:val="21"/>
                <w:szCs w:val="21"/>
              </w:rPr>
            </w:pPr>
            <w:r>
              <w:rPr>
                <w:rFonts w:hint="eastAsia"/>
                <w:sz w:val="21"/>
                <w:szCs w:val="21"/>
              </w:rPr>
              <w:t>选择科室</w:t>
            </w:r>
          </w:p>
        </w:tc>
        <w:tc>
          <w:tcPr>
            <w:tcW w:w="6020" w:type="dxa"/>
            <w:shd w:val="clear" w:color="auto" w:fill="auto"/>
            <w:vAlign w:val="center"/>
          </w:tcPr>
          <w:p w14:paraId="356A902C">
            <w:pPr>
              <w:rPr>
                <w:rFonts w:hint="eastAsia"/>
                <w:sz w:val="21"/>
                <w:szCs w:val="21"/>
              </w:rPr>
            </w:pPr>
            <w:r>
              <w:rPr>
                <w:rFonts w:hint="eastAsia"/>
                <w:sz w:val="21"/>
                <w:szCs w:val="21"/>
              </w:rPr>
              <w:t>支持选择就诊科室</w:t>
            </w:r>
          </w:p>
        </w:tc>
      </w:tr>
      <w:tr w14:paraId="0E55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2200086D">
            <w:pPr>
              <w:rPr>
                <w:sz w:val="21"/>
                <w:szCs w:val="21"/>
              </w:rPr>
            </w:pPr>
          </w:p>
        </w:tc>
        <w:tc>
          <w:tcPr>
            <w:tcW w:w="1901" w:type="dxa"/>
            <w:shd w:val="clear" w:color="auto" w:fill="auto"/>
            <w:vAlign w:val="center"/>
          </w:tcPr>
          <w:p w14:paraId="764FF903">
            <w:pPr>
              <w:rPr>
                <w:rFonts w:hint="eastAsia"/>
                <w:sz w:val="21"/>
                <w:szCs w:val="21"/>
              </w:rPr>
            </w:pPr>
            <w:r>
              <w:rPr>
                <w:rFonts w:hint="eastAsia"/>
                <w:sz w:val="21"/>
                <w:szCs w:val="21"/>
              </w:rPr>
              <w:t>选择医生</w:t>
            </w:r>
          </w:p>
        </w:tc>
        <w:tc>
          <w:tcPr>
            <w:tcW w:w="6020" w:type="dxa"/>
            <w:shd w:val="clear" w:color="auto" w:fill="auto"/>
            <w:vAlign w:val="center"/>
          </w:tcPr>
          <w:p w14:paraId="7510E9DD">
            <w:pPr>
              <w:rPr>
                <w:rFonts w:hint="eastAsia"/>
                <w:sz w:val="21"/>
                <w:szCs w:val="21"/>
              </w:rPr>
            </w:pPr>
            <w:r>
              <w:rPr>
                <w:rFonts w:hint="eastAsia"/>
                <w:sz w:val="21"/>
                <w:szCs w:val="21"/>
              </w:rPr>
              <w:t>支持选择就诊医生，显示医生姓名、级别等信息，根据HIS返回</w:t>
            </w:r>
          </w:p>
        </w:tc>
      </w:tr>
      <w:tr w14:paraId="4531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1412D132">
            <w:pPr>
              <w:rPr>
                <w:sz w:val="21"/>
                <w:szCs w:val="21"/>
              </w:rPr>
            </w:pPr>
          </w:p>
        </w:tc>
        <w:tc>
          <w:tcPr>
            <w:tcW w:w="1901" w:type="dxa"/>
            <w:shd w:val="clear" w:color="auto" w:fill="auto"/>
            <w:vAlign w:val="center"/>
          </w:tcPr>
          <w:p w14:paraId="30F03592">
            <w:pPr>
              <w:rPr>
                <w:rFonts w:hint="eastAsia"/>
                <w:sz w:val="21"/>
                <w:szCs w:val="21"/>
              </w:rPr>
            </w:pPr>
            <w:r>
              <w:rPr>
                <w:rFonts w:hint="eastAsia"/>
                <w:sz w:val="21"/>
                <w:szCs w:val="21"/>
              </w:rPr>
              <w:t>挂号支付-自费</w:t>
            </w:r>
          </w:p>
        </w:tc>
        <w:tc>
          <w:tcPr>
            <w:tcW w:w="6020" w:type="dxa"/>
            <w:shd w:val="clear" w:color="auto" w:fill="auto"/>
            <w:vAlign w:val="center"/>
          </w:tcPr>
          <w:p w14:paraId="0A43E3AE">
            <w:pPr>
              <w:rPr>
                <w:rFonts w:hint="eastAsia"/>
                <w:sz w:val="21"/>
                <w:szCs w:val="21"/>
              </w:rPr>
            </w:pPr>
            <w:r>
              <w:rPr>
                <w:rFonts w:hint="eastAsia"/>
                <w:sz w:val="21"/>
                <w:szCs w:val="21"/>
              </w:rPr>
              <w:t>自费包括微信扫码、支付宝扫码、银行卡支付</w:t>
            </w:r>
          </w:p>
        </w:tc>
      </w:tr>
      <w:tr w14:paraId="70F7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2372BD81">
            <w:pPr>
              <w:rPr>
                <w:sz w:val="21"/>
                <w:szCs w:val="21"/>
              </w:rPr>
            </w:pPr>
          </w:p>
        </w:tc>
        <w:tc>
          <w:tcPr>
            <w:tcW w:w="1901" w:type="dxa"/>
            <w:shd w:val="clear" w:color="auto" w:fill="auto"/>
            <w:vAlign w:val="center"/>
          </w:tcPr>
          <w:p w14:paraId="03DCBC35">
            <w:pPr>
              <w:rPr>
                <w:rFonts w:hint="eastAsia"/>
                <w:sz w:val="21"/>
                <w:szCs w:val="21"/>
              </w:rPr>
            </w:pPr>
            <w:r>
              <w:rPr>
                <w:rFonts w:hint="eastAsia"/>
                <w:sz w:val="21"/>
                <w:szCs w:val="21"/>
              </w:rPr>
              <w:t>挂号支付-医保</w:t>
            </w:r>
          </w:p>
        </w:tc>
        <w:tc>
          <w:tcPr>
            <w:tcW w:w="6020" w:type="dxa"/>
            <w:shd w:val="clear" w:color="auto" w:fill="auto"/>
            <w:vAlign w:val="center"/>
          </w:tcPr>
          <w:p w14:paraId="462CF586">
            <w:pPr>
              <w:rPr>
                <w:rFonts w:hint="eastAsia"/>
                <w:sz w:val="21"/>
                <w:szCs w:val="21"/>
              </w:rPr>
            </w:pPr>
            <w:r>
              <w:rPr>
                <w:rFonts w:hint="eastAsia"/>
                <w:sz w:val="21"/>
                <w:szCs w:val="21"/>
              </w:rPr>
              <w:t>医保支持实体医保卡支付、电子医保结算，支持分摊、医保结算及医保余额不足的混合支付</w:t>
            </w:r>
          </w:p>
        </w:tc>
      </w:tr>
      <w:tr w14:paraId="0E54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5255143B">
            <w:pPr>
              <w:rPr>
                <w:rFonts w:hint="eastAsia"/>
                <w:sz w:val="21"/>
                <w:szCs w:val="21"/>
              </w:rPr>
            </w:pPr>
            <w:r>
              <w:rPr>
                <w:rFonts w:hint="eastAsia"/>
                <w:sz w:val="21"/>
                <w:szCs w:val="21"/>
              </w:rPr>
              <w:t>预约挂号</w:t>
            </w:r>
          </w:p>
        </w:tc>
        <w:tc>
          <w:tcPr>
            <w:tcW w:w="1901" w:type="dxa"/>
            <w:shd w:val="clear" w:color="auto" w:fill="auto"/>
            <w:vAlign w:val="center"/>
          </w:tcPr>
          <w:p w14:paraId="24F5EBFC">
            <w:pPr>
              <w:rPr>
                <w:rFonts w:hint="eastAsia"/>
                <w:sz w:val="21"/>
                <w:szCs w:val="21"/>
              </w:rPr>
            </w:pPr>
            <w:r>
              <w:rPr>
                <w:rFonts w:hint="eastAsia"/>
                <w:sz w:val="21"/>
                <w:szCs w:val="21"/>
              </w:rPr>
              <w:t>预约挂号</w:t>
            </w:r>
          </w:p>
        </w:tc>
        <w:tc>
          <w:tcPr>
            <w:tcW w:w="6020" w:type="dxa"/>
            <w:shd w:val="clear" w:color="auto" w:fill="auto"/>
            <w:vAlign w:val="center"/>
          </w:tcPr>
          <w:p w14:paraId="096AE024">
            <w:pPr>
              <w:rPr>
                <w:rFonts w:hint="eastAsia"/>
                <w:sz w:val="21"/>
                <w:szCs w:val="21"/>
              </w:rPr>
            </w:pPr>
            <w:r>
              <w:rPr>
                <w:rFonts w:hint="eastAsia"/>
                <w:sz w:val="21"/>
                <w:szCs w:val="21"/>
              </w:rPr>
              <w:t>支持预约挂号，预约日期根据医院需求进行适配，预约时支付方式支持自费、医保</w:t>
            </w:r>
          </w:p>
        </w:tc>
      </w:tr>
      <w:tr w14:paraId="2603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68A86517">
            <w:pPr>
              <w:rPr>
                <w:sz w:val="21"/>
                <w:szCs w:val="21"/>
              </w:rPr>
            </w:pPr>
          </w:p>
        </w:tc>
        <w:tc>
          <w:tcPr>
            <w:tcW w:w="1901" w:type="dxa"/>
            <w:shd w:val="clear" w:color="auto" w:fill="auto"/>
            <w:vAlign w:val="center"/>
          </w:tcPr>
          <w:p w14:paraId="1F3B066A">
            <w:pPr>
              <w:rPr>
                <w:rFonts w:hint="eastAsia"/>
                <w:sz w:val="21"/>
                <w:szCs w:val="21"/>
              </w:rPr>
            </w:pPr>
            <w:r>
              <w:rPr>
                <w:rFonts w:hint="eastAsia"/>
                <w:sz w:val="21"/>
                <w:szCs w:val="21"/>
              </w:rPr>
              <w:t>预约取号</w:t>
            </w:r>
          </w:p>
        </w:tc>
        <w:tc>
          <w:tcPr>
            <w:tcW w:w="6020" w:type="dxa"/>
            <w:shd w:val="clear" w:color="auto" w:fill="auto"/>
            <w:vAlign w:val="center"/>
          </w:tcPr>
          <w:p w14:paraId="3671C8EE">
            <w:pPr>
              <w:rPr>
                <w:rFonts w:hint="eastAsia"/>
                <w:sz w:val="21"/>
                <w:szCs w:val="21"/>
              </w:rPr>
            </w:pPr>
            <w:r>
              <w:rPr>
                <w:rFonts w:hint="eastAsia"/>
                <w:sz w:val="21"/>
                <w:szCs w:val="21"/>
              </w:rPr>
              <w:t>支持就诊当日取号</w:t>
            </w:r>
          </w:p>
        </w:tc>
      </w:tr>
      <w:tr w14:paraId="0F11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79E39CE7">
            <w:pPr>
              <w:rPr>
                <w:sz w:val="21"/>
                <w:szCs w:val="21"/>
              </w:rPr>
            </w:pPr>
          </w:p>
        </w:tc>
        <w:tc>
          <w:tcPr>
            <w:tcW w:w="1901" w:type="dxa"/>
            <w:shd w:val="clear" w:color="auto" w:fill="auto"/>
            <w:vAlign w:val="center"/>
          </w:tcPr>
          <w:p w14:paraId="2C0739CA">
            <w:pPr>
              <w:rPr>
                <w:rFonts w:hint="eastAsia"/>
                <w:sz w:val="21"/>
                <w:szCs w:val="21"/>
              </w:rPr>
            </w:pPr>
            <w:r>
              <w:rPr>
                <w:rFonts w:hint="eastAsia"/>
                <w:sz w:val="21"/>
                <w:szCs w:val="21"/>
              </w:rPr>
              <w:t>查询预约记录</w:t>
            </w:r>
          </w:p>
        </w:tc>
        <w:tc>
          <w:tcPr>
            <w:tcW w:w="6020" w:type="dxa"/>
            <w:shd w:val="clear" w:color="auto" w:fill="auto"/>
            <w:vAlign w:val="center"/>
          </w:tcPr>
          <w:p w14:paraId="2C40B534">
            <w:pPr>
              <w:rPr>
                <w:rFonts w:hint="eastAsia"/>
                <w:sz w:val="21"/>
                <w:szCs w:val="21"/>
              </w:rPr>
            </w:pPr>
            <w:r>
              <w:rPr>
                <w:rFonts w:hint="eastAsia"/>
                <w:sz w:val="21"/>
                <w:szCs w:val="21"/>
              </w:rPr>
              <w:t>可查询预约记录的日期根据医院的需求进行适配，显示项目包括科室名称、医生名称等</w:t>
            </w:r>
          </w:p>
        </w:tc>
      </w:tr>
      <w:tr w14:paraId="56E5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1ACF34C5">
            <w:pPr>
              <w:rPr>
                <w:rFonts w:hint="eastAsia"/>
                <w:sz w:val="21"/>
                <w:szCs w:val="21"/>
              </w:rPr>
            </w:pPr>
            <w:r>
              <w:rPr>
                <w:rFonts w:hint="eastAsia"/>
                <w:sz w:val="21"/>
                <w:szCs w:val="21"/>
              </w:rPr>
              <w:t>缴费</w:t>
            </w:r>
          </w:p>
        </w:tc>
        <w:tc>
          <w:tcPr>
            <w:tcW w:w="1901" w:type="dxa"/>
            <w:shd w:val="clear" w:color="auto" w:fill="auto"/>
            <w:vAlign w:val="center"/>
          </w:tcPr>
          <w:p w14:paraId="1A283579">
            <w:pPr>
              <w:rPr>
                <w:rFonts w:hint="eastAsia"/>
                <w:sz w:val="21"/>
                <w:szCs w:val="21"/>
              </w:rPr>
            </w:pPr>
            <w:r>
              <w:rPr>
                <w:rFonts w:hint="eastAsia"/>
                <w:sz w:val="21"/>
                <w:szCs w:val="21"/>
              </w:rPr>
              <w:t>查询待缴费处方列表</w:t>
            </w:r>
          </w:p>
        </w:tc>
        <w:tc>
          <w:tcPr>
            <w:tcW w:w="6020" w:type="dxa"/>
            <w:shd w:val="clear" w:color="auto" w:fill="auto"/>
            <w:vAlign w:val="center"/>
          </w:tcPr>
          <w:p w14:paraId="13981683">
            <w:pPr>
              <w:rPr>
                <w:rFonts w:hint="eastAsia"/>
                <w:sz w:val="21"/>
                <w:szCs w:val="21"/>
              </w:rPr>
            </w:pPr>
            <w:r>
              <w:rPr>
                <w:rFonts w:hint="eastAsia"/>
                <w:sz w:val="21"/>
                <w:szCs w:val="21"/>
              </w:rPr>
              <w:t>选择待缴费挂号后，显示待缴费的处方明细，缴费必须处方全部缴纳</w:t>
            </w:r>
          </w:p>
        </w:tc>
      </w:tr>
      <w:tr w14:paraId="2DE5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3E75B3F9">
            <w:pPr>
              <w:rPr>
                <w:sz w:val="21"/>
                <w:szCs w:val="21"/>
              </w:rPr>
            </w:pPr>
          </w:p>
        </w:tc>
        <w:tc>
          <w:tcPr>
            <w:tcW w:w="1901" w:type="dxa"/>
            <w:shd w:val="clear" w:color="auto" w:fill="auto"/>
            <w:vAlign w:val="center"/>
          </w:tcPr>
          <w:p w14:paraId="44861FB0">
            <w:pPr>
              <w:rPr>
                <w:rFonts w:hint="eastAsia"/>
                <w:sz w:val="21"/>
                <w:szCs w:val="21"/>
              </w:rPr>
            </w:pPr>
            <w:r>
              <w:rPr>
                <w:rFonts w:hint="eastAsia"/>
                <w:sz w:val="21"/>
                <w:szCs w:val="21"/>
              </w:rPr>
              <w:t>缴费支付-自费</w:t>
            </w:r>
          </w:p>
        </w:tc>
        <w:tc>
          <w:tcPr>
            <w:tcW w:w="6020" w:type="dxa"/>
            <w:shd w:val="clear" w:color="auto" w:fill="auto"/>
            <w:vAlign w:val="center"/>
          </w:tcPr>
          <w:p w14:paraId="687A80AC">
            <w:pPr>
              <w:rPr>
                <w:rFonts w:hint="eastAsia"/>
                <w:sz w:val="21"/>
                <w:szCs w:val="21"/>
              </w:rPr>
            </w:pPr>
            <w:r>
              <w:rPr>
                <w:rFonts w:hint="eastAsia"/>
                <w:sz w:val="21"/>
                <w:szCs w:val="21"/>
              </w:rPr>
              <w:t>自费包括微信扫码、支付宝扫码、银行卡支付</w:t>
            </w:r>
          </w:p>
        </w:tc>
      </w:tr>
      <w:tr w14:paraId="3A2C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69926E07">
            <w:pPr>
              <w:rPr>
                <w:sz w:val="21"/>
                <w:szCs w:val="21"/>
              </w:rPr>
            </w:pPr>
          </w:p>
        </w:tc>
        <w:tc>
          <w:tcPr>
            <w:tcW w:w="1901" w:type="dxa"/>
            <w:shd w:val="clear" w:color="auto" w:fill="auto"/>
            <w:vAlign w:val="center"/>
          </w:tcPr>
          <w:p w14:paraId="3193FD5A">
            <w:pPr>
              <w:rPr>
                <w:rFonts w:hint="eastAsia"/>
                <w:sz w:val="21"/>
                <w:szCs w:val="21"/>
              </w:rPr>
            </w:pPr>
            <w:r>
              <w:rPr>
                <w:rFonts w:hint="eastAsia"/>
                <w:sz w:val="21"/>
                <w:szCs w:val="21"/>
              </w:rPr>
              <w:t>缴费支付-医保</w:t>
            </w:r>
          </w:p>
        </w:tc>
        <w:tc>
          <w:tcPr>
            <w:tcW w:w="6020" w:type="dxa"/>
            <w:shd w:val="clear" w:color="auto" w:fill="auto"/>
            <w:vAlign w:val="center"/>
          </w:tcPr>
          <w:p w14:paraId="156B345F">
            <w:pPr>
              <w:rPr>
                <w:rFonts w:hint="eastAsia"/>
                <w:sz w:val="21"/>
                <w:szCs w:val="21"/>
              </w:rPr>
            </w:pPr>
            <w:r>
              <w:rPr>
                <w:rFonts w:hint="eastAsia"/>
                <w:sz w:val="21"/>
                <w:szCs w:val="21"/>
              </w:rPr>
              <w:t>医保支持实体医保卡支付、电子医保结算，支持分摊、医保结算及医保余额不足的混合支付</w:t>
            </w:r>
          </w:p>
        </w:tc>
      </w:tr>
      <w:tr w14:paraId="4DA4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51EEFB99">
            <w:pPr>
              <w:rPr>
                <w:rFonts w:hint="eastAsia"/>
                <w:sz w:val="21"/>
                <w:szCs w:val="21"/>
              </w:rPr>
            </w:pPr>
            <w:r>
              <w:rPr>
                <w:rFonts w:hint="eastAsia"/>
                <w:sz w:val="21"/>
                <w:szCs w:val="21"/>
              </w:rPr>
              <w:t>记录查询</w:t>
            </w:r>
          </w:p>
        </w:tc>
        <w:tc>
          <w:tcPr>
            <w:tcW w:w="1901" w:type="dxa"/>
            <w:shd w:val="clear" w:color="auto" w:fill="auto"/>
            <w:vAlign w:val="center"/>
          </w:tcPr>
          <w:p w14:paraId="5836FFF0">
            <w:pPr>
              <w:rPr>
                <w:rFonts w:hint="eastAsia"/>
                <w:sz w:val="21"/>
                <w:szCs w:val="21"/>
              </w:rPr>
            </w:pPr>
            <w:r>
              <w:rPr>
                <w:rFonts w:hint="eastAsia"/>
                <w:sz w:val="21"/>
                <w:szCs w:val="21"/>
              </w:rPr>
              <w:t>查询挂号记录</w:t>
            </w:r>
          </w:p>
        </w:tc>
        <w:tc>
          <w:tcPr>
            <w:tcW w:w="6020" w:type="dxa"/>
            <w:shd w:val="clear" w:color="auto" w:fill="auto"/>
            <w:vAlign w:val="center"/>
          </w:tcPr>
          <w:p w14:paraId="51056E7B">
            <w:pPr>
              <w:rPr>
                <w:rFonts w:hint="eastAsia"/>
                <w:sz w:val="21"/>
                <w:szCs w:val="21"/>
              </w:rPr>
            </w:pPr>
            <w:r>
              <w:rPr>
                <w:rFonts w:hint="eastAsia"/>
                <w:sz w:val="21"/>
                <w:szCs w:val="21"/>
              </w:rPr>
              <w:t>可查询日期根据医院需求进行适配，显示项目包括科室名称、医生名称、金额、日期等</w:t>
            </w:r>
          </w:p>
        </w:tc>
      </w:tr>
      <w:tr w14:paraId="1E28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2FA3C8BC">
            <w:pPr>
              <w:rPr>
                <w:sz w:val="21"/>
                <w:szCs w:val="21"/>
              </w:rPr>
            </w:pPr>
          </w:p>
        </w:tc>
        <w:tc>
          <w:tcPr>
            <w:tcW w:w="1901" w:type="dxa"/>
            <w:shd w:val="clear" w:color="auto" w:fill="auto"/>
            <w:vAlign w:val="center"/>
          </w:tcPr>
          <w:p w14:paraId="3958981C">
            <w:pPr>
              <w:rPr>
                <w:rFonts w:hint="eastAsia"/>
                <w:sz w:val="21"/>
                <w:szCs w:val="21"/>
              </w:rPr>
            </w:pPr>
            <w:r>
              <w:rPr>
                <w:rFonts w:hint="eastAsia"/>
                <w:sz w:val="21"/>
                <w:szCs w:val="21"/>
              </w:rPr>
              <w:t>查询缴费记录</w:t>
            </w:r>
          </w:p>
        </w:tc>
        <w:tc>
          <w:tcPr>
            <w:tcW w:w="6020" w:type="dxa"/>
            <w:shd w:val="clear" w:color="auto" w:fill="auto"/>
            <w:vAlign w:val="center"/>
          </w:tcPr>
          <w:p w14:paraId="16D02C69">
            <w:pPr>
              <w:rPr>
                <w:rFonts w:hint="eastAsia"/>
                <w:sz w:val="21"/>
                <w:szCs w:val="21"/>
              </w:rPr>
            </w:pPr>
            <w:r>
              <w:rPr>
                <w:rFonts w:hint="eastAsia"/>
                <w:sz w:val="21"/>
                <w:szCs w:val="21"/>
              </w:rPr>
              <w:t>可查询日期根据医院需求进行适配，显示项目包括缴费金额、缴费明细、日期等</w:t>
            </w:r>
          </w:p>
        </w:tc>
      </w:tr>
      <w:tr w14:paraId="1E38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20F337CA">
            <w:pPr>
              <w:rPr>
                <w:rFonts w:hint="eastAsia"/>
                <w:sz w:val="21"/>
                <w:szCs w:val="21"/>
              </w:rPr>
            </w:pPr>
            <w:r>
              <w:rPr>
                <w:rFonts w:hint="eastAsia"/>
                <w:sz w:val="21"/>
                <w:szCs w:val="21"/>
              </w:rPr>
              <w:t>检验结果打印</w:t>
            </w:r>
          </w:p>
        </w:tc>
        <w:tc>
          <w:tcPr>
            <w:tcW w:w="1901" w:type="dxa"/>
            <w:shd w:val="clear" w:color="auto" w:fill="auto"/>
            <w:vAlign w:val="center"/>
          </w:tcPr>
          <w:p w14:paraId="2DB008EA">
            <w:pPr>
              <w:rPr>
                <w:rFonts w:hint="eastAsia"/>
                <w:sz w:val="21"/>
                <w:szCs w:val="21"/>
              </w:rPr>
            </w:pPr>
            <w:r>
              <w:rPr>
                <w:rFonts w:hint="eastAsia"/>
                <w:sz w:val="21"/>
                <w:szCs w:val="21"/>
              </w:rPr>
              <w:t>打印检验结果</w:t>
            </w:r>
          </w:p>
        </w:tc>
        <w:tc>
          <w:tcPr>
            <w:tcW w:w="6020" w:type="dxa"/>
            <w:shd w:val="clear" w:color="auto" w:fill="auto"/>
            <w:vAlign w:val="center"/>
          </w:tcPr>
          <w:p w14:paraId="5552CC41">
            <w:pPr>
              <w:rPr>
                <w:rFonts w:hint="eastAsia"/>
                <w:sz w:val="21"/>
                <w:szCs w:val="21"/>
              </w:rPr>
            </w:pPr>
            <w:r>
              <w:rPr>
                <w:rFonts w:hint="eastAsia"/>
                <w:sz w:val="21"/>
                <w:szCs w:val="21"/>
              </w:rPr>
              <w:t>支持一次打印多张检验结果</w:t>
            </w:r>
          </w:p>
        </w:tc>
      </w:tr>
      <w:tr w14:paraId="48EE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08245000">
            <w:pPr>
              <w:rPr>
                <w:rFonts w:hint="eastAsia"/>
                <w:sz w:val="21"/>
                <w:szCs w:val="21"/>
              </w:rPr>
            </w:pPr>
            <w:r>
              <w:rPr>
                <w:rFonts w:hint="eastAsia"/>
                <w:sz w:val="21"/>
                <w:szCs w:val="21"/>
              </w:rPr>
              <w:t>检查结果打印</w:t>
            </w:r>
          </w:p>
        </w:tc>
        <w:tc>
          <w:tcPr>
            <w:tcW w:w="1901" w:type="dxa"/>
            <w:shd w:val="clear" w:color="auto" w:fill="auto"/>
            <w:vAlign w:val="center"/>
          </w:tcPr>
          <w:p w14:paraId="741DB862">
            <w:pPr>
              <w:rPr>
                <w:rFonts w:hint="eastAsia"/>
                <w:sz w:val="21"/>
                <w:szCs w:val="21"/>
              </w:rPr>
            </w:pPr>
            <w:r>
              <w:rPr>
                <w:rFonts w:hint="eastAsia"/>
                <w:sz w:val="21"/>
                <w:szCs w:val="21"/>
              </w:rPr>
              <w:t>打印检查结果</w:t>
            </w:r>
          </w:p>
        </w:tc>
        <w:tc>
          <w:tcPr>
            <w:tcW w:w="6020" w:type="dxa"/>
            <w:shd w:val="clear" w:color="auto" w:fill="auto"/>
            <w:vAlign w:val="center"/>
          </w:tcPr>
          <w:p w14:paraId="33378422">
            <w:pPr>
              <w:rPr>
                <w:rFonts w:hint="eastAsia"/>
                <w:sz w:val="21"/>
                <w:szCs w:val="21"/>
              </w:rPr>
            </w:pPr>
            <w:r>
              <w:rPr>
                <w:rFonts w:hint="eastAsia"/>
                <w:sz w:val="21"/>
                <w:szCs w:val="21"/>
              </w:rPr>
              <w:t>支持一次打印多张检查结果</w:t>
            </w:r>
          </w:p>
        </w:tc>
      </w:tr>
      <w:tr w14:paraId="3AD1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shd w:val="clear" w:color="auto" w:fill="auto"/>
            <w:vAlign w:val="center"/>
          </w:tcPr>
          <w:p w14:paraId="0A174C9F">
            <w:pPr>
              <w:rPr>
                <w:rFonts w:hint="eastAsia"/>
                <w:sz w:val="21"/>
                <w:szCs w:val="21"/>
              </w:rPr>
            </w:pPr>
            <w:r>
              <w:rPr>
                <w:rFonts w:hint="eastAsia"/>
                <w:sz w:val="21"/>
                <w:szCs w:val="21"/>
              </w:rPr>
              <w:t>电子发票打印</w:t>
            </w:r>
          </w:p>
        </w:tc>
        <w:tc>
          <w:tcPr>
            <w:tcW w:w="1901" w:type="dxa"/>
            <w:shd w:val="clear" w:color="auto" w:fill="auto"/>
            <w:vAlign w:val="center"/>
          </w:tcPr>
          <w:p w14:paraId="3AE336F2">
            <w:pPr>
              <w:rPr>
                <w:rFonts w:hint="eastAsia"/>
                <w:sz w:val="21"/>
                <w:szCs w:val="21"/>
              </w:rPr>
            </w:pPr>
            <w:r>
              <w:rPr>
                <w:rFonts w:hint="eastAsia"/>
                <w:sz w:val="21"/>
                <w:szCs w:val="21"/>
              </w:rPr>
              <w:t>打印电子发票</w:t>
            </w:r>
          </w:p>
        </w:tc>
        <w:tc>
          <w:tcPr>
            <w:tcW w:w="6020" w:type="dxa"/>
            <w:shd w:val="clear" w:color="auto" w:fill="auto"/>
            <w:vAlign w:val="center"/>
          </w:tcPr>
          <w:p w14:paraId="39BFAAD2">
            <w:pPr>
              <w:rPr>
                <w:rFonts w:hint="eastAsia"/>
                <w:sz w:val="21"/>
                <w:szCs w:val="21"/>
              </w:rPr>
            </w:pPr>
            <w:r>
              <w:rPr>
                <w:rFonts w:hint="eastAsia"/>
                <w:sz w:val="21"/>
                <w:szCs w:val="21"/>
              </w:rPr>
              <w:t>支持门诊、住院患者在自助机上打印电子发票</w:t>
            </w:r>
          </w:p>
        </w:tc>
      </w:tr>
      <w:tr w14:paraId="3657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52ACEAB9">
            <w:pPr>
              <w:rPr>
                <w:rFonts w:hint="eastAsia"/>
                <w:sz w:val="21"/>
                <w:szCs w:val="21"/>
              </w:rPr>
            </w:pPr>
            <w:r>
              <w:rPr>
                <w:rFonts w:hint="eastAsia"/>
                <w:sz w:val="21"/>
                <w:szCs w:val="21"/>
              </w:rPr>
              <w:t>信息查询</w:t>
            </w:r>
          </w:p>
        </w:tc>
        <w:tc>
          <w:tcPr>
            <w:tcW w:w="1901" w:type="dxa"/>
            <w:shd w:val="clear" w:color="auto" w:fill="auto"/>
            <w:vAlign w:val="center"/>
          </w:tcPr>
          <w:p w14:paraId="4EB589CE">
            <w:pPr>
              <w:rPr>
                <w:rFonts w:hint="eastAsia"/>
                <w:sz w:val="21"/>
                <w:szCs w:val="21"/>
              </w:rPr>
            </w:pPr>
            <w:r>
              <w:rPr>
                <w:rFonts w:hint="eastAsia"/>
                <w:sz w:val="21"/>
                <w:szCs w:val="21"/>
              </w:rPr>
              <w:t>查询医院信息</w:t>
            </w:r>
          </w:p>
        </w:tc>
        <w:tc>
          <w:tcPr>
            <w:tcW w:w="6020" w:type="dxa"/>
            <w:shd w:val="clear" w:color="auto" w:fill="auto"/>
            <w:vAlign w:val="center"/>
          </w:tcPr>
          <w:p w14:paraId="2574926F">
            <w:pPr>
              <w:rPr>
                <w:rFonts w:hint="eastAsia"/>
                <w:sz w:val="21"/>
                <w:szCs w:val="21"/>
              </w:rPr>
            </w:pPr>
            <w:r>
              <w:rPr>
                <w:rFonts w:hint="eastAsia"/>
                <w:sz w:val="21"/>
                <w:szCs w:val="21"/>
              </w:rPr>
              <w:t>介绍医院的详细信息，医院信息可在配置</w:t>
            </w:r>
          </w:p>
        </w:tc>
      </w:tr>
      <w:tr w14:paraId="22BD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56CCA025">
            <w:pPr>
              <w:rPr>
                <w:sz w:val="21"/>
                <w:szCs w:val="21"/>
              </w:rPr>
            </w:pPr>
          </w:p>
        </w:tc>
        <w:tc>
          <w:tcPr>
            <w:tcW w:w="1901" w:type="dxa"/>
            <w:shd w:val="clear" w:color="auto" w:fill="auto"/>
            <w:vAlign w:val="center"/>
          </w:tcPr>
          <w:p w14:paraId="03288D27">
            <w:pPr>
              <w:rPr>
                <w:rFonts w:hint="eastAsia"/>
                <w:sz w:val="21"/>
                <w:szCs w:val="21"/>
              </w:rPr>
            </w:pPr>
            <w:r>
              <w:rPr>
                <w:rFonts w:hint="eastAsia"/>
                <w:sz w:val="21"/>
                <w:szCs w:val="21"/>
              </w:rPr>
              <w:t>查询科室信息</w:t>
            </w:r>
          </w:p>
        </w:tc>
        <w:tc>
          <w:tcPr>
            <w:tcW w:w="6020" w:type="dxa"/>
            <w:shd w:val="clear" w:color="auto" w:fill="auto"/>
            <w:vAlign w:val="center"/>
          </w:tcPr>
          <w:p w14:paraId="45BBBF40">
            <w:pPr>
              <w:rPr>
                <w:rFonts w:hint="eastAsia"/>
                <w:sz w:val="21"/>
                <w:szCs w:val="21"/>
              </w:rPr>
            </w:pPr>
            <w:r>
              <w:rPr>
                <w:rFonts w:hint="eastAsia"/>
                <w:sz w:val="21"/>
                <w:szCs w:val="21"/>
              </w:rPr>
              <w:t>介绍医院的科室概况，科室信息可在前置管理平台上编辑设置</w:t>
            </w:r>
          </w:p>
        </w:tc>
      </w:tr>
      <w:tr w14:paraId="79BF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4A73E485">
            <w:pPr>
              <w:rPr>
                <w:sz w:val="21"/>
                <w:szCs w:val="21"/>
              </w:rPr>
            </w:pPr>
          </w:p>
        </w:tc>
        <w:tc>
          <w:tcPr>
            <w:tcW w:w="1901" w:type="dxa"/>
            <w:shd w:val="clear" w:color="auto" w:fill="auto"/>
            <w:vAlign w:val="center"/>
          </w:tcPr>
          <w:p w14:paraId="5B12A645">
            <w:pPr>
              <w:rPr>
                <w:rFonts w:hint="eastAsia"/>
                <w:sz w:val="21"/>
                <w:szCs w:val="21"/>
              </w:rPr>
            </w:pPr>
            <w:r>
              <w:rPr>
                <w:rFonts w:hint="eastAsia"/>
                <w:sz w:val="21"/>
                <w:szCs w:val="21"/>
              </w:rPr>
              <w:t>查询医生信息</w:t>
            </w:r>
          </w:p>
        </w:tc>
        <w:tc>
          <w:tcPr>
            <w:tcW w:w="6020" w:type="dxa"/>
            <w:shd w:val="clear" w:color="auto" w:fill="auto"/>
            <w:vAlign w:val="center"/>
          </w:tcPr>
          <w:p w14:paraId="75818ABE">
            <w:pPr>
              <w:rPr>
                <w:rFonts w:hint="eastAsia"/>
                <w:sz w:val="21"/>
                <w:szCs w:val="21"/>
              </w:rPr>
            </w:pPr>
            <w:r>
              <w:rPr>
                <w:rFonts w:hint="eastAsia"/>
                <w:sz w:val="21"/>
                <w:szCs w:val="21"/>
              </w:rPr>
              <w:t>介绍医院的名医风采，医生信息可在前置管理平台上编辑设置</w:t>
            </w:r>
          </w:p>
        </w:tc>
      </w:tr>
      <w:tr w14:paraId="69FE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4F2B762B">
            <w:pPr>
              <w:rPr>
                <w:sz w:val="21"/>
                <w:szCs w:val="21"/>
              </w:rPr>
            </w:pPr>
          </w:p>
        </w:tc>
        <w:tc>
          <w:tcPr>
            <w:tcW w:w="1901" w:type="dxa"/>
            <w:shd w:val="clear" w:color="auto" w:fill="auto"/>
            <w:vAlign w:val="center"/>
          </w:tcPr>
          <w:p w14:paraId="51612E8E">
            <w:pPr>
              <w:rPr>
                <w:rFonts w:hint="eastAsia"/>
                <w:sz w:val="21"/>
                <w:szCs w:val="21"/>
              </w:rPr>
            </w:pPr>
            <w:r>
              <w:rPr>
                <w:rFonts w:hint="eastAsia"/>
                <w:sz w:val="21"/>
                <w:szCs w:val="21"/>
              </w:rPr>
              <w:t>查询非药品信息</w:t>
            </w:r>
          </w:p>
        </w:tc>
        <w:tc>
          <w:tcPr>
            <w:tcW w:w="6020" w:type="dxa"/>
            <w:shd w:val="clear" w:color="auto" w:fill="auto"/>
            <w:vAlign w:val="center"/>
          </w:tcPr>
          <w:p w14:paraId="1843DCBF">
            <w:pPr>
              <w:rPr>
                <w:rFonts w:hint="eastAsia"/>
                <w:sz w:val="21"/>
                <w:szCs w:val="21"/>
              </w:rPr>
            </w:pPr>
            <w:r>
              <w:rPr>
                <w:rFonts w:hint="eastAsia"/>
                <w:sz w:val="21"/>
                <w:szCs w:val="21"/>
              </w:rPr>
              <w:t>显示非药品项目的信息，包括名称、价格、规格等</w:t>
            </w:r>
          </w:p>
        </w:tc>
      </w:tr>
      <w:tr w14:paraId="43D7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64CED720">
            <w:pPr>
              <w:rPr>
                <w:sz w:val="21"/>
                <w:szCs w:val="21"/>
              </w:rPr>
            </w:pPr>
          </w:p>
        </w:tc>
        <w:tc>
          <w:tcPr>
            <w:tcW w:w="1901" w:type="dxa"/>
            <w:shd w:val="clear" w:color="auto" w:fill="auto"/>
            <w:vAlign w:val="center"/>
          </w:tcPr>
          <w:p w14:paraId="6E1FC4E2">
            <w:pPr>
              <w:rPr>
                <w:rFonts w:hint="eastAsia"/>
                <w:sz w:val="21"/>
                <w:szCs w:val="21"/>
              </w:rPr>
            </w:pPr>
            <w:r>
              <w:rPr>
                <w:rFonts w:hint="eastAsia"/>
                <w:sz w:val="21"/>
                <w:szCs w:val="21"/>
              </w:rPr>
              <w:t>查询药品信息</w:t>
            </w:r>
          </w:p>
        </w:tc>
        <w:tc>
          <w:tcPr>
            <w:tcW w:w="6020" w:type="dxa"/>
            <w:shd w:val="clear" w:color="auto" w:fill="auto"/>
            <w:vAlign w:val="center"/>
          </w:tcPr>
          <w:p w14:paraId="53D0FF45">
            <w:pPr>
              <w:rPr>
                <w:rFonts w:hint="eastAsia"/>
                <w:sz w:val="21"/>
                <w:szCs w:val="21"/>
              </w:rPr>
            </w:pPr>
            <w:r>
              <w:rPr>
                <w:rFonts w:hint="eastAsia"/>
                <w:sz w:val="21"/>
                <w:szCs w:val="21"/>
              </w:rPr>
              <w:t>显示药品项目的信息，包括名称、价格、规格等</w:t>
            </w:r>
          </w:p>
        </w:tc>
      </w:tr>
      <w:tr w14:paraId="1260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restart"/>
            <w:shd w:val="clear" w:color="auto" w:fill="auto"/>
            <w:vAlign w:val="center"/>
          </w:tcPr>
          <w:p w14:paraId="130E5D7A">
            <w:pPr>
              <w:rPr>
                <w:rFonts w:hint="eastAsia"/>
                <w:sz w:val="21"/>
                <w:szCs w:val="21"/>
              </w:rPr>
            </w:pPr>
            <w:r>
              <w:rPr>
                <w:rFonts w:hint="eastAsia"/>
                <w:sz w:val="21"/>
                <w:szCs w:val="21"/>
              </w:rPr>
              <w:t>满意度调查</w:t>
            </w:r>
          </w:p>
        </w:tc>
        <w:tc>
          <w:tcPr>
            <w:tcW w:w="1901" w:type="dxa"/>
            <w:shd w:val="clear" w:color="auto" w:fill="auto"/>
            <w:vAlign w:val="center"/>
          </w:tcPr>
          <w:p w14:paraId="2924D8CE">
            <w:pPr>
              <w:rPr>
                <w:rFonts w:hint="eastAsia"/>
                <w:sz w:val="21"/>
                <w:szCs w:val="21"/>
              </w:rPr>
            </w:pPr>
            <w:r>
              <w:rPr>
                <w:rFonts w:hint="eastAsia"/>
                <w:sz w:val="21"/>
                <w:szCs w:val="21"/>
              </w:rPr>
              <w:t>门诊与住院问卷获取</w:t>
            </w:r>
          </w:p>
        </w:tc>
        <w:tc>
          <w:tcPr>
            <w:tcW w:w="6020" w:type="dxa"/>
            <w:shd w:val="clear" w:color="auto" w:fill="auto"/>
            <w:vAlign w:val="center"/>
          </w:tcPr>
          <w:p w14:paraId="059E1541">
            <w:pPr>
              <w:rPr>
                <w:rFonts w:hint="eastAsia"/>
                <w:sz w:val="21"/>
                <w:szCs w:val="21"/>
              </w:rPr>
            </w:pPr>
            <w:r>
              <w:rPr>
                <w:rFonts w:hint="eastAsia"/>
                <w:sz w:val="21"/>
                <w:szCs w:val="21"/>
              </w:rPr>
              <w:t>问卷可根据业务场景分类而不同，总体分为门诊、住院两类问卷</w:t>
            </w:r>
          </w:p>
        </w:tc>
      </w:tr>
      <w:tr w14:paraId="5C06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38" w:type="dxa"/>
            <w:vMerge w:val="continue"/>
            <w:shd w:val="clear" w:color="auto" w:fill="auto"/>
            <w:vAlign w:val="center"/>
          </w:tcPr>
          <w:p w14:paraId="0BC7ACC5">
            <w:pPr>
              <w:rPr>
                <w:sz w:val="21"/>
                <w:szCs w:val="21"/>
              </w:rPr>
            </w:pPr>
          </w:p>
        </w:tc>
        <w:tc>
          <w:tcPr>
            <w:tcW w:w="1901" w:type="dxa"/>
            <w:shd w:val="clear" w:color="auto" w:fill="auto"/>
            <w:vAlign w:val="center"/>
          </w:tcPr>
          <w:p w14:paraId="063BBDE3">
            <w:pPr>
              <w:rPr>
                <w:rFonts w:hint="eastAsia"/>
                <w:sz w:val="21"/>
                <w:szCs w:val="21"/>
              </w:rPr>
            </w:pPr>
            <w:r>
              <w:rPr>
                <w:rFonts w:hint="eastAsia"/>
                <w:sz w:val="21"/>
                <w:szCs w:val="21"/>
              </w:rPr>
              <w:t>可设实名或匿名模式</w:t>
            </w:r>
          </w:p>
        </w:tc>
        <w:tc>
          <w:tcPr>
            <w:tcW w:w="6020" w:type="dxa"/>
            <w:shd w:val="clear" w:color="auto" w:fill="auto"/>
            <w:vAlign w:val="center"/>
          </w:tcPr>
          <w:p w14:paraId="3CF06968">
            <w:pPr>
              <w:rPr>
                <w:rFonts w:hint="eastAsia"/>
                <w:sz w:val="21"/>
                <w:szCs w:val="21"/>
              </w:rPr>
            </w:pPr>
            <w:r>
              <w:rPr>
                <w:rFonts w:hint="eastAsia"/>
                <w:sz w:val="21"/>
                <w:szCs w:val="21"/>
              </w:rPr>
              <w:t>支持患者实名制、匿名多种调查模式</w:t>
            </w:r>
          </w:p>
        </w:tc>
      </w:tr>
    </w:tbl>
    <w:p w14:paraId="13758269">
      <w:pPr>
        <w:spacing w:line="312" w:lineRule="auto"/>
        <w:ind w:firstLine="420"/>
      </w:pPr>
      <w:r>
        <w:rPr>
          <w:rFonts w:hint="eastAsia"/>
        </w:rPr>
        <w:t>自助服务管理平台需要至少满足如下功能范围：</w:t>
      </w:r>
    </w:p>
    <w:tbl>
      <w:tblPr>
        <w:tblStyle w:val="22"/>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2067"/>
        <w:gridCol w:w="5887"/>
      </w:tblGrid>
      <w:tr w14:paraId="5B39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45" w:type="dxa"/>
            <w:shd w:val="clear" w:color="auto" w:fill="auto"/>
            <w:vAlign w:val="center"/>
          </w:tcPr>
          <w:p w14:paraId="6148D729">
            <w:pPr>
              <w:rPr>
                <w:b/>
                <w:bCs/>
                <w:sz w:val="21"/>
                <w:szCs w:val="21"/>
              </w:rPr>
            </w:pPr>
            <w:r>
              <w:rPr>
                <w:rFonts w:hint="eastAsia"/>
                <w:b/>
                <w:bCs/>
                <w:sz w:val="21"/>
                <w:szCs w:val="21"/>
              </w:rPr>
              <w:t>功能</w:t>
            </w:r>
          </w:p>
        </w:tc>
        <w:tc>
          <w:tcPr>
            <w:tcW w:w="2067" w:type="dxa"/>
            <w:shd w:val="clear" w:color="auto" w:fill="auto"/>
            <w:vAlign w:val="center"/>
          </w:tcPr>
          <w:p w14:paraId="42732379">
            <w:pPr>
              <w:rPr>
                <w:rFonts w:hint="eastAsia"/>
                <w:b/>
                <w:bCs/>
                <w:sz w:val="21"/>
                <w:szCs w:val="21"/>
              </w:rPr>
            </w:pPr>
            <w:r>
              <w:rPr>
                <w:rFonts w:hint="eastAsia"/>
                <w:b/>
                <w:bCs/>
                <w:sz w:val="21"/>
                <w:szCs w:val="21"/>
              </w:rPr>
              <w:t>模块</w:t>
            </w:r>
          </w:p>
        </w:tc>
        <w:tc>
          <w:tcPr>
            <w:tcW w:w="5887" w:type="dxa"/>
            <w:shd w:val="clear" w:color="auto" w:fill="auto"/>
            <w:vAlign w:val="center"/>
          </w:tcPr>
          <w:p w14:paraId="5624C228">
            <w:pPr>
              <w:rPr>
                <w:rFonts w:hint="eastAsia"/>
                <w:b/>
                <w:bCs/>
                <w:sz w:val="21"/>
                <w:szCs w:val="21"/>
              </w:rPr>
            </w:pPr>
            <w:r>
              <w:rPr>
                <w:rFonts w:hint="eastAsia"/>
                <w:b/>
                <w:bCs/>
                <w:sz w:val="21"/>
                <w:szCs w:val="21"/>
              </w:rPr>
              <w:t>模块说明</w:t>
            </w:r>
          </w:p>
        </w:tc>
      </w:tr>
      <w:tr w14:paraId="5D2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Merge w:val="restart"/>
            <w:shd w:val="clear" w:color="auto" w:fill="auto"/>
            <w:vAlign w:val="center"/>
          </w:tcPr>
          <w:p w14:paraId="413C56A2">
            <w:pPr>
              <w:rPr>
                <w:rFonts w:hint="eastAsia"/>
                <w:sz w:val="21"/>
                <w:szCs w:val="21"/>
              </w:rPr>
            </w:pPr>
            <w:r>
              <w:rPr>
                <w:rFonts w:hint="eastAsia"/>
                <w:sz w:val="21"/>
                <w:szCs w:val="21"/>
              </w:rPr>
              <w:t>设备管理</w:t>
            </w:r>
          </w:p>
        </w:tc>
        <w:tc>
          <w:tcPr>
            <w:tcW w:w="2067" w:type="dxa"/>
            <w:shd w:val="clear" w:color="auto" w:fill="auto"/>
            <w:noWrap/>
            <w:vAlign w:val="center"/>
          </w:tcPr>
          <w:p w14:paraId="42D45327">
            <w:pPr>
              <w:rPr>
                <w:rFonts w:hint="eastAsia"/>
                <w:sz w:val="21"/>
                <w:szCs w:val="21"/>
              </w:rPr>
            </w:pPr>
            <w:r>
              <w:rPr>
                <w:rFonts w:hint="eastAsia"/>
                <w:sz w:val="21"/>
                <w:szCs w:val="21"/>
              </w:rPr>
              <w:t>位置管理</w:t>
            </w:r>
          </w:p>
        </w:tc>
        <w:tc>
          <w:tcPr>
            <w:tcW w:w="5887" w:type="dxa"/>
            <w:shd w:val="clear" w:color="auto" w:fill="auto"/>
            <w:vAlign w:val="center"/>
          </w:tcPr>
          <w:p w14:paraId="6686D1E3">
            <w:pPr>
              <w:rPr>
                <w:rFonts w:hint="eastAsia"/>
                <w:sz w:val="21"/>
                <w:szCs w:val="21"/>
              </w:rPr>
            </w:pPr>
            <w:r>
              <w:rPr>
                <w:rFonts w:hint="eastAsia"/>
                <w:sz w:val="21"/>
                <w:szCs w:val="21"/>
              </w:rPr>
              <w:t>管理自助设备在医院内的摆放位置，包括楼层、方位等</w:t>
            </w:r>
          </w:p>
        </w:tc>
      </w:tr>
      <w:tr w14:paraId="72F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continue"/>
            <w:shd w:val="clear" w:color="auto" w:fill="auto"/>
            <w:vAlign w:val="center"/>
          </w:tcPr>
          <w:p w14:paraId="6A481DD4">
            <w:pPr>
              <w:rPr>
                <w:sz w:val="21"/>
                <w:szCs w:val="21"/>
              </w:rPr>
            </w:pPr>
          </w:p>
        </w:tc>
        <w:tc>
          <w:tcPr>
            <w:tcW w:w="2067" w:type="dxa"/>
            <w:shd w:val="clear" w:color="auto" w:fill="auto"/>
            <w:noWrap/>
            <w:vAlign w:val="center"/>
          </w:tcPr>
          <w:p w14:paraId="6BAD4560">
            <w:pPr>
              <w:rPr>
                <w:rFonts w:hint="eastAsia"/>
                <w:sz w:val="21"/>
                <w:szCs w:val="21"/>
              </w:rPr>
            </w:pPr>
            <w:r>
              <w:rPr>
                <w:rFonts w:hint="eastAsia"/>
                <w:sz w:val="21"/>
                <w:szCs w:val="21"/>
              </w:rPr>
              <w:t>终端管理</w:t>
            </w:r>
          </w:p>
        </w:tc>
        <w:tc>
          <w:tcPr>
            <w:tcW w:w="5887" w:type="dxa"/>
            <w:shd w:val="clear" w:color="auto" w:fill="auto"/>
            <w:vAlign w:val="center"/>
          </w:tcPr>
          <w:p w14:paraId="714B5B46">
            <w:pPr>
              <w:rPr>
                <w:rFonts w:hint="eastAsia"/>
                <w:sz w:val="21"/>
                <w:szCs w:val="21"/>
              </w:rPr>
            </w:pPr>
            <w:r>
              <w:rPr>
                <w:rFonts w:hint="eastAsia"/>
                <w:sz w:val="21"/>
                <w:szCs w:val="21"/>
              </w:rPr>
              <w:t>管理自助机设备数据，包括设备型号、MAC地址、配件等</w:t>
            </w:r>
          </w:p>
        </w:tc>
      </w:tr>
      <w:tr w14:paraId="5B61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restart"/>
            <w:shd w:val="clear" w:color="auto" w:fill="auto"/>
            <w:vAlign w:val="center"/>
          </w:tcPr>
          <w:p w14:paraId="5FB32078">
            <w:pPr>
              <w:rPr>
                <w:rFonts w:hint="eastAsia"/>
                <w:sz w:val="21"/>
                <w:szCs w:val="21"/>
              </w:rPr>
            </w:pPr>
            <w:r>
              <w:rPr>
                <w:rFonts w:hint="eastAsia"/>
                <w:sz w:val="21"/>
                <w:szCs w:val="21"/>
              </w:rPr>
              <w:t>监控预警</w:t>
            </w:r>
          </w:p>
        </w:tc>
        <w:tc>
          <w:tcPr>
            <w:tcW w:w="2067" w:type="dxa"/>
            <w:shd w:val="clear" w:color="auto" w:fill="auto"/>
            <w:noWrap/>
            <w:vAlign w:val="center"/>
          </w:tcPr>
          <w:p w14:paraId="75F17847">
            <w:pPr>
              <w:rPr>
                <w:rFonts w:hint="eastAsia"/>
                <w:sz w:val="21"/>
                <w:szCs w:val="21"/>
              </w:rPr>
            </w:pPr>
            <w:r>
              <w:rPr>
                <w:rFonts w:hint="eastAsia"/>
                <w:sz w:val="21"/>
                <w:szCs w:val="21"/>
              </w:rPr>
              <w:t>实时监控</w:t>
            </w:r>
          </w:p>
        </w:tc>
        <w:tc>
          <w:tcPr>
            <w:tcW w:w="5887" w:type="dxa"/>
            <w:shd w:val="clear" w:color="auto" w:fill="auto"/>
            <w:vAlign w:val="center"/>
          </w:tcPr>
          <w:p w14:paraId="4BA03015">
            <w:pPr>
              <w:rPr>
                <w:rFonts w:hint="eastAsia"/>
                <w:sz w:val="21"/>
                <w:szCs w:val="21"/>
              </w:rPr>
            </w:pPr>
            <w:r>
              <w:rPr>
                <w:rFonts w:hint="eastAsia"/>
                <w:sz w:val="21"/>
                <w:szCs w:val="21"/>
              </w:rPr>
              <w:t>通过可视化窗口模式，实时监控每台自助设备的当前使用界面</w:t>
            </w:r>
          </w:p>
        </w:tc>
      </w:tr>
      <w:tr w14:paraId="1B91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continue"/>
            <w:shd w:val="clear" w:color="auto" w:fill="auto"/>
            <w:vAlign w:val="center"/>
          </w:tcPr>
          <w:p w14:paraId="43742679">
            <w:pPr>
              <w:rPr>
                <w:sz w:val="21"/>
                <w:szCs w:val="21"/>
              </w:rPr>
            </w:pPr>
          </w:p>
        </w:tc>
        <w:tc>
          <w:tcPr>
            <w:tcW w:w="2067" w:type="dxa"/>
            <w:shd w:val="clear" w:color="auto" w:fill="auto"/>
            <w:noWrap/>
            <w:vAlign w:val="center"/>
          </w:tcPr>
          <w:p w14:paraId="59F4CF57">
            <w:pPr>
              <w:rPr>
                <w:rFonts w:hint="eastAsia"/>
                <w:sz w:val="21"/>
                <w:szCs w:val="21"/>
              </w:rPr>
            </w:pPr>
            <w:r>
              <w:rPr>
                <w:rFonts w:hint="eastAsia"/>
                <w:sz w:val="21"/>
                <w:szCs w:val="21"/>
              </w:rPr>
              <w:t>故障监控</w:t>
            </w:r>
          </w:p>
        </w:tc>
        <w:tc>
          <w:tcPr>
            <w:tcW w:w="5887" w:type="dxa"/>
            <w:shd w:val="clear" w:color="auto" w:fill="auto"/>
            <w:vAlign w:val="center"/>
          </w:tcPr>
          <w:p w14:paraId="1FC31F37">
            <w:pPr>
              <w:rPr>
                <w:rFonts w:hint="eastAsia"/>
                <w:sz w:val="21"/>
                <w:szCs w:val="21"/>
              </w:rPr>
            </w:pPr>
            <w:r>
              <w:rPr>
                <w:rFonts w:hint="eastAsia"/>
                <w:sz w:val="21"/>
                <w:szCs w:val="21"/>
              </w:rPr>
              <w:t>自助终端硬件发生故障时，将提交的管理平台，平台端可实时看到故障情况</w:t>
            </w:r>
          </w:p>
        </w:tc>
      </w:tr>
      <w:tr w14:paraId="53AC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shd w:val="clear" w:color="auto" w:fill="auto"/>
            <w:vAlign w:val="center"/>
          </w:tcPr>
          <w:p w14:paraId="2CCFBB97">
            <w:pPr>
              <w:rPr>
                <w:rFonts w:hint="eastAsia"/>
                <w:sz w:val="21"/>
                <w:szCs w:val="21"/>
              </w:rPr>
            </w:pPr>
            <w:r>
              <w:rPr>
                <w:rFonts w:hint="eastAsia"/>
                <w:sz w:val="21"/>
                <w:szCs w:val="21"/>
              </w:rPr>
              <w:t>运维管理</w:t>
            </w:r>
          </w:p>
        </w:tc>
        <w:tc>
          <w:tcPr>
            <w:tcW w:w="2067" w:type="dxa"/>
            <w:shd w:val="clear" w:color="auto" w:fill="auto"/>
            <w:noWrap/>
            <w:vAlign w:val="center"/>
          </w:tcPr>
          <w:p w14:paraId="385C638D">
            <w:pPr>
              <w:rPr>
                <w:rFonts w:hint="eastAsia"/>
                <w:sz w:val="21"/>
                <w:szCs w:val="21"/>
              </w:rPr>
            </w:pPr>
            <w:r>
              <w:rPr>
                <w:rFonts w:hint="eastAsia"/>
                <w:sz w:val="21"/>
                <w:szCs w:val="21"/>
              </w:rPr>
              <w:t>交易明细查询</w:t>
            </w:r>
          </w:p>
        </w:tc>
        <w:tc>
          <w:tcPr>
            <w:tcW w:w="5887" w:type="dxa"/>
            <w:shd w:val="clear" w:color="auto" w:fill="auto"/>
            <w:vAlign w:val="center"/>
          </w:tcPr>
          <w:p w14:paraId="4B63EDF1">
            <w:pPr>
              <w:rPr>
                <w:rFonts w:hint="eastAsia"/>
                <w:sz w:val="21"/>
                <w:szCs w:val="21"/>
              </w:rPr>
            </w:pPr>
            <w:r>
              <w:rPr>
                <w:rFonts w:hint="eastAsia"/>
                <w:sz w:val="21"/>
                <w:szCs w:val="21"/>
              </w:rPr>
              <w:t>查看自助终端的交易流水，包括挂号、缴费、充值等所有业务类别</w:t>
            </w:r>
          </w:p>
        </w:tc>
      </w:tr>
      <w:tr w14:paraId="178E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restart"/>
            <w:shd w:val="clear" w:color="auto" w:fill="auto"/>
            <w:vAlign w:val="center"/>
          </w:tcPr>
          <w:p w14:paraId="09D2AB74">
            <w:pPr>
              <w:rPr>
                <w:rFonts w:hint="eastAsia"/>
                <w:sz w:val="21"/>
                <w:szCs w:val="21"/>
              </w:rPr>
            </w:pPr>
            <w:r>
              <w:rPr>
                <w:rFonts w:hint="eastAsia"/>
                <w:sz w:val="21"/>
                <w:szCs w:val="21"/>
              </w:rPr>
              <w:t>宣传管理</w:t>
            </w:r>
          </w:p>
        </w:tc>
        <w:tc>
          <w:tcPr>
            <w:tcW w:w="2067" w:type="dxa"/>
            <w:shd w:val="clear" w:color="auto" w:fill="auto"/>
            <w:noWrap/>
            <w:vAlign w:val="center"/>
          </w:tcPr>
          <w:p w14:paraId="72083AC2">
            <w:pPr>
              <w:rPr>
                <w:rFonts w:hint="eastAsia"/>
                <w:sz w:val="21"/>
                <w:szCs w:val="21"/>
              </w:rPr>
            </w:pPr>
            <w:r>
              <w:rPr>
                <w:rFonts w:hint="eastAsia"/>
                <w:sz w:val="21"/>
                <w:szCs w:val="21"/>
              </w:rPr>
              <w:t>医院信息</w:t>
            </w:r>
          </w:p>
        </w:tc>
        <w:tc>
          <w:tcPr>
            <w:tcW w:w="5887" w:type="dxa"/>
            <w:shd w:val="clear" w:color="auto" w:fill="auto"/>
            <w:vAlign w:val="center"/>
          </w:tcPr>
          <w:p w14:paraId="40C31877">
            <w:pPr>
              <w:rPr>
                <w:rFonts w:hint="eastAsia"/>
                <w:sz w:val="21"/>
                <w:szCs w:val="21"/>
              </w:rPr>
            </w:pPr>
            <w:r>
              <w:rPr>
                <w:rFonts w:hint="eastAsia"/>
                <w:sz w:val="21"/>
                <w:szCs w:val="21"/>
              </w:rPr>
              <w:t>管理医院的信息，在终端可进行医院介绍查询，医院信息包括图片、文字等</w:t>
            </w:r>
          </w:p>
        </w:tc>
      </w:tr>
      <w:tr w14:paraId="241C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continue"/>
            <w:shd w:val="clear" w:color="auto" w:fill="auto"/>
            <w:vAlign w:val="center"/>
          </w:tcPr>
          <w:p w14:paraId="4E1D6350">
            <w:pPr>
              <w:rPr>
                <w:sz w:val="21"/>
                <w:szCs w:val="21"/>
              </w:rPr>
            </w:pPr>
          </w:p>
        </w:tc>
        <w:tc>
          <w:tcPr>
            <w:tcW w:w="2067" w:type="dxa"/>
            <w:shd w:val="clear" w:color="auto" w:fill="auto"/>
            <w:noWrap/>
            <w:vAlign w:val="center"/>
          </w:tcPr>
          <w:p w14:paraId="5877D1F2">
            <w:pPr>
              <w:rPr>
                <w:rFonts w:hint="eastAsia"/>
                <w:sz w:val="21"/>
                <w:szCs w:val="21"/>
              </w:rPr>
            </w:pPr>
            <w:r>
              <w:rPr>
                <w:rFonts w:hint="eastAsia"/>
                <w:sz w:val="21"/>
                <w:szCs w:val="21"/>
              </w:rPr>
              <w:t>科室信息</w:t>
            </w:r>
          </w:p>
        </w:tc>
        <w:tc>
          <w:tcPr>
            <w:tcW w:w="5887" w:type="dxa"/>
            <w:shd w:val="clear" w:color="auto" w:fill="auto"/>
            <w:vAlign w:val="center"/>
          </w:tcPr>
          <w:p w14:paraId="07BE219C">
            <w:pPr>
              <w:rPr>
                <w:rFonts w:hint="eastAsia"/>
                <w:sz w:val="21"/>
                <w:szCs w:val="21"/>
              </w:rPr>
            </w:pPr>
            <w:r>
              <w:rPr>
                <w:rFonts w:hint="eastAsia"/>
                <w:sz w:val="21"/>
                <w:szCs w:val="21"/>
              </w:rPr>
              <w:t>管理科室的信息，在终端可进行科室介绍查询，包括科室图片、简介等</w:t>
            </w:r>
          </w:p>
        </w:tc>
      </w:tr>
      <w:tr w14:paraId="2A35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continue"/>
            <w:shd w:val="clear" w:color="auto" w:fill="auto"/>
            <w:vAlign w:val="center"/>
          </w:tcPr>
          <w:p w14:paraId="64DEA40F">
            <w:pPr>
              <w:rPr>
                <w:sz w:val="21"/>
                <w:szCs w:val="21"/>
              </w:rPr>
            </w:pPr>
          </w:p>
        </w:tc>
        <w:tc>
          <w:tcPr>
            <w:tcW w:w="2067" w:type="dxa"/>
            <w:shd w:val="clear" w:color="auto" w:fill="auto"/>
            <w:noWrap/>
            <w:vAlign w:val="center"/>
          </w:tcPr>
          <w:p w14:paraId="4C48C737">
            <w:pPr>
              <w:rPr>
                <w:rFonts w:hint="eastAsia"/>
                <w:sz w:val="21"/>
                <w:szCs w:val="21"/>
              </w:rPr>
            </w:pPr>
            <w:r>
              <w:rPr>
                <w:rFonts w:hint="eastAsia"/>
                <w:sz w:val="21"/>
                <w:szCs w:val="21"/>
              </w:rPr>
              <w:t>医生信息</w:t>
            </w:r>
          </w:p>
        </w:tc>
        <w:tc>
          <w:tcPr>
            <w:tcW w:w="5887" w:type="dxa"/>
            <w:shd w:val="clear" w:color="auto" w:fill="auto"/>
            <w:vAlign w:val="center"/>
          </w:tcPr>
          <w:p w14:paraId="1F0F54CF">
            <w:pPr>
              <w:rPr>
                <w:rFonts w:hint="eastAsia"/>
                <w:sz w:val="21"/>
                <w:szCs w:val="21"/>
              </w:rPr>
            </w:pPr>
            <w:r>
              <w:rPr>
                <w:rFonts w:hint="eastAsia"/>
                <w:sz w:val="21"/>
                <w:szCs w:val="21"/>
              </w:rPr>
              <w:t>管理医生的信息，在终端可进行医生介绍查询，包括医生图片、简介、详细介绍等</w:t>
            </w:r>
          </w:p>
        </w:tc>
      </w:tr>
      <w:tr w14:paraId="0535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Merge w:val="restart"/>
            <w:shd w:val="clear" w:color="auto" w:fill="auto"/>
            <w:vAlign w:val="center"/>
          </w:tcPr>
          <w:p w14:paraId="5C1CD434">
            <w:pPr>
              <w:rPr>
                <w:rFonts w:hint="eastAsia"/>
                <w:sz w:val="21"/>
                <w:szCs w:val="21"/>
              </w:rPr>
            </w:pPr>
            <w:r>
              <w:rPr>
                <w:rFonts w:hint="eastAsia"/>
                <w:sz w:val="21"/>
                <w:szCs w:val="21"/>
              </w:rPr>
              <w:t>系统管理</w:t>
            </w:r>
          </w:p>
        </w:tc>
        <w:tc>
          <w:tcPr>
            <w:tcW w:w="2067" w:type="dxa"/>
            <w:shd w:val="clear" w:color="auto" w:fill="auto"/>
            <w:noWrap/>
            <w:vAlign w:val="center"/>
          </w:tcPr>
          <w:p w14:paraId="5905A3C8">
            <w:pPr>
              <w:rPr>
                <w:rFonts w:hint="eastAsia"/>
                <w:sz w:val="21"/>
                <w:szCs w:val="21"/>
              </w:rPr>
            </w:pPr>
            <w:r>
              <w:rPr>
                <w:rFonts w:hint="eastAsia"/>
                <w:sz w:val="21"/>
                <w:szCs w:val="21"/>
              </w:rPr>
              <w:t>菜单管理</w:t>
            </w:r>
          </w:p>
        </w:tc>
        <w:tc>
          <w:tcPr>
            <w:tcW w:w="5887" w:type="dxa"/>
            <w:shd w:val="clear" w:color="auto" w:fill="auto"/>
            <w:vAlign w:val="center"/>
          </w:tcPr>
          <w:p w14:paraId="48692824">
            <w:pPr>
              <w:rPr>
                <w:rFonts w:hint="eastAsia"/>
                <w:sz w:val="21"/>
                <w:szCs w:val="21"/>
              </w:rPr>
            </w:pPr>
            <w:r>
              <w:rPr>
                <w:rFonts w:hint="eastAsia"/>
                <w:sz w:val="21"/>
                <w:szCs w:val="21"/>
              </w:rPr>
              <w:t>管理用于权限配置的菜单项，包括主菜单与子菜单</w:t>
            </w:r>
          </w:p>
        </w:tc>
      </w:tr>
      <w:tr w14:paraId="6848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Merge w:val="continue"/>
            <w:shd w:val="clear" w:color="auto" w:fill="auto"/>
            <w:vAlign w:val="center"/>
          </w:tcPr>
          <w:p w14:paraId="7B8FF1DE">
            <w:pPr>
              <w:rPr>
                <w:sz w:val="21"/>
                <w:szCs w:val="21"/>
              </w:rPr>
            </w:pPr>
          </w:p>
        </w:tc>
        <w:tc>
          <w:tcPr>
            <w:tcW w:w="2067" w:type="dxa"/>
            <w:shd w:val="clear" w:color="auto" w:fill="auto"/>
            <w:noWrap/>
            <w:vAlign w:val="center"/>
          </w:tcPr>
          <w:p w14:paraId="5C3EC603">
            <w:pPr>
              <w:rPr>
                <w:rFonts w:hint="eastAsia"/>
                <w:sz w:val="21"/>
                <w:szCs w:val="21"/>
              </w:rPr>
            </w:pPr>
            <w:r>
              <w:rPr>
                <w:rFonts w:hint="eastAsia"/>
                <w:sz w:val="21"/>
                <w:szCs w:val="21"/>
              </w:rPr>
              <w:t>角色管理</w:t>
            </w:r>
          </w:p>
        </w:tc>
        <w:tc>
          <w:tcPr>
            <w:tcW w:w="5887" w:type="dxa"/>
            <w:shd w:val="clear" w:color="auto" w:fill="auto"/>
            <w:vAlign w:val="center"/>
          </w:tcPr>
          <w:p w14:paraId="6F3F3E5F">
            <w:pPr>
              <w:rPr>
                <w:rFonts w:hint="eastAsia"/>
                <w:sz w:val="21"/>
                <w:szCs w:val="21"/>
              </w:rPr>
            </w:pPr>
            <w:r>
              <w:rPr>
                <w:rFonts w:hint="eastAsia"/>
                <w:sz w:val="21"/>
                <w:szCs w:val="21"/>
              </w:rPr>
              <w:t>定义与管理系统的用户角色，包括定义、修改、删除等</w:t>
            </w:r>
          </w:p>
        </w:tc>
      </w:tr>
      <w:tr w14:paraId="4850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5" w:type="dxa"/>
            <w:vMerge w:val="continue"/>
            <w:shd w:val="clear" w:color="auto" w:fill="auto"/>
            <w:vAlign w:val="center"/>
          </w:tcPr>
          <w:p w14:paraId="4B348EB6">
            <w:pPr>
              <w:rPr>
                <w:sz w:val="21"/>
                <w:szCs w:val="21"/>
              </w:rPr>
            </w:pPr>
          </w:p>
        </w:tc>
        <w:tc>
          <w:tcPr>
            <w:tcW w:w="2067" w:type="dxa"/>
            <w:shd w:val="clear" w:color="auto" w:fill="auto"/>
            <w:noWrap/>
            <w:vAlign w:val="center"/>
          </w:tcPr>
          <w:p w14:paraId="3A53BB94">
            <w:pPr>
              <w:rPr>
                <w:rFonts w:hint="eastAsia"/>
                <w:sz w:val="21"/>
                <w:szCs w:val="21"/>
              </w:rPr>
            </w:pPr>
            <w:r>
              <w:rPr>
                <w:rFonts w:hint="eastAsia"/>
                <w:sz w:val="21"/>
                <w:szCs w:val="21"/>
              </w:rPr>
              <w:t>用户管理</w:t>
            </w:r>
          </w:p>
        </w:tc>
        <w:tc>
          <w:tcPr>
            <w:tcW w:w="5887" w:type="dxa"/>
            <w:shd w:val="clear" w:color="auto" w:fill="auto"/>
            <w:vAlign w:val="center"/>
          </w:tcPr>
          <w:p w14:paraId="394FDFFA">
            <w:pPr>
              <w:rPr>
                <w:rFonts w:hint="eastAsia"/>
                <w:sz w:val="21"/>
                <w:szCs w:val="21"/>
              </w:rPr>
            </w:pPr>
            <w:r>
              <w:rPr>
                <w:rFonts w:hint="eastAsia"/>
                <w:sz w:val="21"/>
                <w:szCs w:val="21"/>
              </w:rPr>
              <w:t>管理系统的用户数据，即系统用户的新增、修改、删除等</w:t>
            </w:r>
          </w:p>
        </w:tc>
      </w:tr>
      <w:tr w14:paraId="3534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45" w:type="dxa"/>
            <w:vMerge w:val="restart"/>
            <w:shd w:val="clear" w:color="auto" w:fill="auto"/>
            <w:vAlign w:val="center"/>
          </w:tcPr>
          <w:p w14:paraId="4C41B098">
            <w:pPr>
              <w:rPr>
                <w:rFonts w:hint="eastAsia"/>
                <w:sz w:val="21"/>
                <w:szCs w:val="21"/>
              </w:rPr>
            </w:pPr>
            <w:r>
              <w:rPr>
                <w:rFonts w:hint="eastAsia"/>
                <w:sz w:val="21"/>
                <w:szCs w:val="21"/>
              </w:rPr>
              <w:t>统计分析</w:t>
            </w:r>
          </w:p>
        </w:tc>
        <w:tc>
          <w:tcPr>
            <w:tcW w:w="2067" w:type="dxa"/>
            <w:shd w:val="clear" w:color="auto" w:fill="auto"/>
            <w:noWrap/>
            <w:vAlign w:val="center"/>
          </w:tcPr>
          <w:p w14:paraId="0F208765">
            <w:pPr>
              <w:rPr>
                <w:rFonts w:hint="eastAsia"/>
                <w:sz w:val="21"/>
                <w:szCs w:val="21"/>
              </w:rPr>
            </w:pPr>
            <w:r>
              <w:rPr>
                <w:rFonts w:hint="eastAsia"/>
                <w:sz w:val="21"/>
                <w:szCs w:val="21"/>
              </w:rPr>
              <w:t>交易类型统计</w:t>
            </w:r>
          </w:p>
        </w:tc>
        <w:tc>
          <w:tcPr>
            <w:tcW w:w="5887" w:type="dxa"/>
            <w:shd w:val="clear" w:color="auto" w:fill="auto"/>
            <w:vAlign w:val="center"/>
          </w:tcPr>
          <w:p w14:paraId="6DF6EECD">
            <w:pPr>
              <w:rPr>
                <w:rFonts w:hint="eastAsia"/>
                <w:sz w:val="21"/>
                <w:szCs w:val="21"/>
              </w:rPr>
            </w:pPr>
            <w:r>
              <w:rPr>
                <w:rFonts w:hint="eastAsia"/>
                <w:sz w:val="21"/>
                <w:szCs w:val="21"/>
              </w:rPr>
              <w:t>根据交易类别进行数据统计分析，包括挂号、缴费、充值等</w:t>
            </w:r>
          </w:p>
        </w:tc>
      </w:tr>
      <w:tr w14:paraId="6733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45" w:type="dxa"/>
            <w:vMerge w:val="continue"/>
            <w:shd w:val="clear" w:color="auto" w:fill="auto"/>
            <w:vAlign w:val="center"/>
          </w:tcPr>
          <w:p w14:paraId="2D0C5EBD">
            <w:pPr>
              <w:rPr>
                <w:sz w:val="21"/>
                <w:szCs w:val="21"/>
              </w:rPr>
            </w:pPr>
          </w:p>
        </w:tc>
        <w:tc>
          <w:tcPr>
            <w:tcW w:w="2067" w:type="dxa"/>
            <w:shd w:val="clear" w:color="auto" w:fill="auto"/>
            <w:noWrap/>
            <w:vAlign w:val="center"/>
          </w:tcPr>
          <w:p w14:paraId="4E9B3E58">
            <w:pPr>
              <w:rPr>
                <w:rFonts w:hint="eastAsia"/>
                <w:sz w:val="21"/>
                <w:szCs w:val="21"/>
              </w:rPr>
            </w:pPr>
            <w:r>
              <w:rPr>
                <w:rFonts w:hint="eastAsia"/>
                <w:sz w:val="21"/>
                <w:szCs w:val="21"/>
              </w:rPr>
              <w:t>终端设备统计</w:t>
            </w:r>
          </w:p>
        </w:tc>
        <w:tc>
          <w:tcPr>
            <w:tcW w:w="5887" w:type="dxa"/>
            <w:shd w:val="clear" w:color="auto" w:fill="auto"/>
            <w:vAlign w:val="center"/>
          </w:tcPr>
          <w:p w14:paraId="34B38CF6">
            <w:pPr>
              <w:rPr>
                <w:rFonts w:hint="eastAsia"/>
                <w:sz w:val="21"/>
                <w:szCs w:val="21"/>
              </w:rPr>
            </w:pPr>
            <w:r>
              <w:rPr>
                <w:rFonts w:hint="eastAsia"/>
                <w:sz w:val="21"/>
                <w:szCs w:val="21"/>
              </w:rPr>
              <w:t>根据终端设备进行单机数据统计分析，以交易数据为主，确认终端的使用效率</w:t>
            </w:r>
          </w:p>
        </w:tc>
      </w:tr>
    </w:tbl>
    <w:p w14:paraId="48441725">
      <w:pPr>
        <w:spacing w:line="312" w:lineRule="auto"/>
        <w:rPr>
          <w:rFonts w:hint="eastAsia"/>
        </w:rPr>
      </w:pPr>
    </w:p>
    <w:p w14:paraId="640B6F19">
      <w:pPr>
        <w:pStyle w:val="3"/>
        <w:spacing w:before="0" w:after="0" w:line="415" w:lineRule="auto"/>
        <w:rPr>
          <w:sz w:val="28"/>
          <w:szCs w:val="28"/>
        </w:rPr>
      </w:pPr>
      <w:r>
        <w:rPr>
          <w:rFonts w:hint="eastAsia"/>
          <w:sz w:val="28"/>
          <w:szCs w:val="28"/>
        </w:rPr>
        <w:t>5</w:t>
      </w:r>
      <w:r>
        <w:rPr>
          <w:sz w:val="28"/>
          <w:szCs w:val="28"/>
        </w:rPr>
        <w:t>.2</w:t>
      </w:r>
      <w:r>
        <w:rPr>
          <w:rFonts w:hint="eastAsia"/>
          <w:sz w:val="28"/>
          <w:szCs w:val="28"/>
        </w:rPr>
        <w:t>全院统一对账服务平台</w:t>
      </w:r>
    </w:p>
    <w:p w14:paraId="7299502B">
      <w:pPr>
        <w:spacing w:line="312" w:lineRule="auto"/>
        <w:ind w:firstLine="420"/>
        <w:rPr>
          <w:lang w:eastAsia="zh-Hans"/>
        </w:rPr>
      </w:pPr>
      <w:r>
        <w:rPr>
          <w:rFonts w:hint="eastAsia"/>
          <w:lang w:eastAsia="zh-Hans"/>
        </w:rPr>
        <w:t>为财务提供统一的支付账目核对，包括自费、医保等，支持多方对账选择，遵循长款机制，最大化实现“零差错、全自动、免人工”的财务简化工作。</w:t>
      </w:r>
      <w:r>
        <w:rPr>
          <w:rFonts w:hint="eastAsia"/>
        </w:rPr>
        <w:t>功能需要达到如下要求：</w:t>
      </w:r>
    </w:p>
    <w:p w14:paraId="72DEA566">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rPr>
        <w:t>对于多渠道、多应用的院内在行服务，搭建平台后将提供</w:t>
      </w:r>
      <w:r>
        <w:rPr>
          <w:rFonts w:hint="eastAsia" w:ascii="宋体" w:hAnsi="宋体" w:eastAsia="宋体"/>
          <w:sz w:val="24"/>
          <w:lang w:eastAsia="zh-Hans"/>
        </w:rPr>
        <w:t>统一</w:t>
      </w:r>
      <w:r>
        <w:rPr>
          <w:rFonts w:hint="eastAsia" w:ascii="宋体" w:hAnsi="宋体" w:eastAsia="宋体"/>
          <w:sz w:val="24"/>
        </w:rPr>
        <w:t>标准账单获取服务接口，快速对接，所有交易数据汇总到平台端，可实现T</w:t>
      </w:r>
      <w:r>
        <w:rPr>
          <w:rFonts w:ascii="宋体" w:hAnsi="宋体" w:eastAsia="宋体"/>
          <w:sz w:val="24"/>
        </w:rPr>
        <w:t>+0</w:t>
      </w:r>
      <w:r>
        <w:rPr>
          <w:rFonts w:hint="eastAsia" w:ascii="宋体" w:hAnsi="宋体" w:eastAsia="宋体"/>
          <w:sz w:val="24"/>
        </w:rPr>
        <w:t>对账，最大化增加纠错的实效性</w:t>
      </w:r>
      <w:r>
        <w:rPr>
          <w:rFonts w:hint="eastAsia" w:ascii="宋体" w:hAnsi="宋体" w:eastAsia="宋体"/>
          <w:sz w:val="24"/>
          <w:lang w:eastAsia="zh-Hans"/>
        </w:rPr>
        <w:t>，</w:t>
      </w:r>
      <w:r>
        <w:rPr>
          <w:rFonts w:hint="eastAsia" w:ascii="宋体" w:hAnsi="宋体" w:eastAsia="宋体"/>
          <w:sz w:val="24"/>
        </w:rPr>
        <w:t>降低</w:t>
      </w:r>
      <w:r>
        <w:rPr>
          <w:rFonts w:ascii="宋体" w:hAnsi="宋体" w:eastAsia="宋体"/>
          <w:sz w:val="24"/>
          <w:lang w:eastAsia="zh-Hans"/>
        </w:rPr>
        <w:t>改造难度</w:t>
      </w:r>
      <w:r>
        <w:rPr>
          <w:rFonts w:hint="eastAsia" w:ascii="宋体" w:hAnsi="宋体" w:eastAsia="宋体"/>
          <w:sz w:val="24"/>
          <w:lang w:eastAsia="zh-Hans"/>
        </w:rPr>
        <w:t>；</w:t>
      </w:r>
    </w:p>
    <w:p w14:paraId="627C3576">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rPr>
        <w:t>所有平台交易数据往来，均</w:t>
      </w:r>
      <w:r>
        <w:rPr>
          <w:rFonts w:hint="eastAsia" w:ascii="宋体" w:hAnsi="宋体" w:eastAsia="宋体"/>
          <w:sz w:val="24"/>
          <w:lang w:eastAsia="zh-Hans"/>
        </w:rPr>
        <w:t>采用安全的密钥体系进行加解密传输保证交易资金</w:t>
      </w:r>
      <w:r>
        <w:rPr>
          <w:rFonts w:hint="eastAsia" w:ascii="宋体" w:hAnsi="宋体" w:eastAsia="宋体"/>
          <w:sz w:val="24"/>
        </w:rPr>
        <w:t>数据的</w:t>
      </w:r>
      <w:r>
        <w:rPr>
          <w:rFonts w:hint="eastAsia" w:ascii="宋体" w:hAnsi="宋体" w:eastAsia="宋体"/>
          <w:sz w:val="24"/>
          <w:lang w:eastAsia="zh-Hans"/>
        </w:rPr>
        <w:t>安全性；</w:t>
      </w:r>
    </w:p>
    <w:p w14:paraId="521BD000">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lang w:eastAsia="zh-Hans"/>
        </w:rPr>
        <w:t>灵活地实现两方、三方财务对账，</w:t>
      </w:r>
      <w:r>
        <w:rPr>
          <w:rFonts w:hint="eastAsia" w:ascii="宋体" w:hAnsi="宋体" w:eastAsia="宋体"/>
          <w:sz w:val="24"/>
        </w:rPr>
        <w:t>可分解为四级数据粒度，</w:t>
      </w:r>
      <w:r>
        <w:rPr>
          <w:rFonts w:ascii="宋体" w:hAnsi="宋体" w:eastAsia="宋体"/>
          <w:sz w:val="24"/>
          <w:lang w:eastAsia="zh-Hans"/>
        </w:rPr>
        <w:t>降低财务科对账工作量和</w:t>
      </w:r>
      <w:r>
        <w:rPr>
          <w:rFonts w:hint="eastAsia" w:ascii="宋体" w:hAnsi="宋体" w:eastAsia="宋体"/>
          <w:sz w:val="24"/>
          <w:lang w:eastAsia="zh-Hans"/>
        </w:rPr>
        <w:t>压力；</w:t>
      </w:r>
    </w:p>
    <w:p w14:paraId="10076B91">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lang w:eastAsia="zh-Hans"/>
        </w:rPr>
        <w:t>实现审核退费，</w:t>
      </w:r>
      <w:r>
        <w:rPr>
          <w:rFonts w:ascii="宋体" w:hAnsi="宋体" w:eastAsia="宋体"/>
          <w:sz w:val="24"/>
          <w:lang w:eastAsia="zh-Hans"/>
        </w:rPr>
        <w:t>保障医院</w:t>
      </w:r>
      <w:r>
        <w:rPr>
          <w:rFonts w:hint="eastAsia" w:ascii="宋体" w:hAnsi="宋体" w:eastAsia="宋体"/>
          <w:sz w:val="24"/>
          <w:lang w:eastAsia="zh-Hans"/>
        </w:rPr>
        <w:t>退费</w:t>
      </w:r>
      <w:r>
        <w:rPr>
          <w:rFonts w:ascii="宋体" w:hAnsi="宋体" w:eastAsia="宋体"/>
          <w:sz w:val="24"/>
          <w:lang w:eastAsia="zh-Hans"/>
        </w:rPr>
        <w:t>资金安全，避免由于退费纠纷而引起医患关系恶化</w:t>
      </w:r>
      <w:r>
        <w:rPr>
          <w:rFonts w:hint="eastAsia" w:ascii="宋体" w:hAnsi="宋体" w:eastAsia="宋体"/>
          <w:sz w:val="24"/>
          <w:lang w:eastAsia="zh-Hans"/>
        </w:rPr>
        <w:t>；</w:t>
      </w:r>
    </w:p>
    <w:p w14:paraId="07B64BCE">
      <w:pPr>
        <w:pStyle w:val="38"/>
        <w:numPr>
          <w:ilvl w:val="0"/>
          <w:numId w:val="15"/>
        </w:numPr>
        <w:spacing w:line="312" w:lineRule="auto"/>
        <w:ind w:firstLineChars="0"/>
        <w:rPr>
          <w:rFonts w:ascii="宋体" w:hAnsi="宋体" w:eastAsia="宋体"/>
          <w:sz w:val="24"/>
          <w:lang w:eastAsia="zh-Hans"/>
        </w:rPr>
      </w:pPr>
      <w:r>
        <w:rPr>
          <w:rFonts w:ascii="宋体" w:hAnsi="宋体" w:eastAsia="宋体"/>
          <w:sz w:val="24"/>
          <w:lang w:eastAsia="zh-Hans"/>
        </w:rPr>
        <w:t>定制化报表及数据可视化</w:t>
      </w:r>
      <w:r>
        <w:rPr>
          <w:rFonts w:hint="eastAsia" w:ascii="宋体" w:hAnsi="宋体" w:eastAsia="宋体"/>
          <w:sz w:val="24"/>
          <w:lang w:eastAsia="zh-Hans"/>
        </w:rPr>
        <w:t>，</w:t>
      </w:r>
      <w:r>
        <w:rPr>
          <w:rFonts w:hint="eastAsia" w:ascii="宋体" w:hAnsi="宋体" w:eastAsia="宋体"/>
          <w:sz w:val="24"/>
        </w:rPr>
        <w:t>提供大屏幕BI领导驾驶舱，</w:t>
      </w:r>
      <w:r>
        <w:rPr>
          <w:rFonts w:ascii="宋体" w:hAnsi="宋体" w:eastAsia="宋体"/>
          <w:sz w:val="24"/>
          <w:lang w:eastAsia="zh-Hans"/>
        </w:rPr>
        <w:t>便于院领导进行财务决策</w:t>
      </w:r>
      <w:r>
        <w:rPr>
          <w:rFonts w:hint="eastAsia" w:ascii="宋体" w:hAnsi="宋体" w:eastAsia="宋体"/>
          <w:sz w:val="24"/>
          <w:lang w:eastAsia="zh-Hans"/>
        </w:rPr>
        <w:t>。</w:t>
      </w:r>
    </w:p>
    <w:p w14:paraId="7786E52A">
      <w:pPr>
        <w:pStyle w:val="38"/>
        <w:numPr>
          <w:ilvl w:val="0"/>
          <w:numId w:val="15"/>
        </w:numPr>
        <w:spacing w:line="312" w:lineRule="auto"/>
        <w:ind w:firstLineChars="0"/>
        <w:rPr>
          <w:rFonts w:ascii="宋体" w:hAnsi="宋体" w:eastAsia="宋体"/>
          <w:sz w:val="24"/>
          <w:lang w:eastAsia="zh-Hans"/>
        </w:rPr>
      </w:pPr>
      <w:r>
        <w:rPr>
          <w:rFonts w:hint="eastAsia" w:ascii="宋体" w:hAnsi="宋体" w:eastAsia="宋体"/>
          <w:sz w:val="24"/>
          <w:lang w:eastAsia="zh-Hans"/>
        </w:rPr>
        <w:t>提供丰富的监管支持，包括院内资产设备的监管与实时状态监控，并可提供公共业务包括多媒体展示屏、满意度评价管理等全院级日常运维服务。</w:t>
      </w:r>
    </w:p>
    <w:p w14:paraId="48A91B10">
      <w:pPr>
        <w:spacing w:line="312" w:lineRule="auto"/>
        <w:rPr>
          <w:rFonts w:hint="eastAsia"/>
          <w:lang w:eastAsia="zh-Hans"/>
        </w:rPr>
      </w:pPr>
      <w:r>
        <w:rPr>
          <w:rFonts w:hint="eastAsia"/>
        </w:rPr>
        <w:t>功能清单需要满足如下，但不限于此列表：</w:t>
      </w:r>
    </w:p>
    <w:tbl>
      <w:tblPr>
        <w:tblStyle w:val="22"/>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2264"/>
        <w:gridCol w:w="5661"/>
      </w:tblGrid>
      <w:tr w14:paraId="421F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774" w:type="dxa"/>
            <w:shd w:val="clear" w:color="auto" w:fill="auto"/>
            <w:vAlign w:val="center"/>
          </w:tcPr>
          <w:p w14:paraId="580E9EF8">
            <w:pPr>
              <w:rPr>
                <w:b/>
                <w:bCs/>
                <w:sz w:val="21"/>
                <w:szCs w:val="21"/>
              </w:rPr>
            </w:pPr>
            <w:r>
              <w:rPr>
                <w:rFonts w:hint="eastAsia"/>
                <w:b/>
                <w:bCs/>
                <w:sz w:val="21"/>
                <w:szCs w:val="21"/>
              </w:rPr>
              <w:t>功能</w:t>
            </w:r>
          </w:p>
        </w:tc>
        <w:tc>
          <w:tcPr>
            <w:tcW w:w="2264" w:type="dxa"/>
            <w:shd w:val="clear" w:color="auto" w:fill="auto"/>
            <w:vAlign w:val="center"/>
          </w:tcPr>
          <w:p w14:paraId="43F57266">
            <w:pPr>
              <w:rPr>
                <w:rFonts w:hint="eastAsia"/>
                <w:b/>
                <w:bCs/>
                <w:sz w:val="21"/>
                <w:szCs w:val="21"/>
              </w:rPr>
            </w:pPr>
            <w:r>
              <w:rPr>
                <w:rFonts w:hint="eastAsia"/>
                <w:b/>
                <w:bCs/>
                <w:sz w:val="21"/>
                <w:szCs w:val="21"/>
              </w:rPr>
              <w:t>模块</w:t>
            </w:r>
          </w:p>
        </w:tc>
        <w:tc>
          <w:tcPr>
            <w:tcW w:w="5661" w:type="dxa"/>
            <w:shd w:val="clear" w:color="auto" w:fill="auto"/>
            <w:vAlign w:val="center"/>
          </w:tcPr>
          <w:p w14:paraId="3A3298E2">
            <w:pPr>
              <w:rPr>
                <w:rFonts w:hint="eastAsia"/>
                <w:b/>
                <w:bCs/>
                <w:sz w:val="21"/>
                <w:szCs w:val="21"/>
              </w:rPr>
            </w:pPr>
            <w:r>
              <w:rPr>
                <w:rFonts w:hint="eastAsia"/>
                <w:b/>
                <w:bCs/>
                <w:sz w:val="21"/>
                <w:szCs w:val="21"/>
              </w:rPr>
              <w:t>模块说明</w:t>
            </w:r>
          </w:p>
        </w:tc>
      </w:tr>
      <w:tr w14:paraId="0630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restart"/>
            <w:shd w:val="clear" w:color="auto" w:fill="auto"/>
            <w:vAlign w:val="center"/>
          </w:tcPr>
          <w:p w14:paraId="5D676C2E">
            <w:pPr>
              <w:rPr>
                <w:rFonts w:hint="eastAsia"/>
                <w:sz w:val="21"/>
                <w:szCs w:val="21"/>
              </w:rPr>
            </w:pPr>
            <w:r>
              <w:rPr>
                <w:rFonts w:hint="eastAsia"/>
                <w:sz w:val="21"/>
                <w:szCs w:val="21"/>
              </w:rPr>
              <w:t>财务对账管理</w:t>
            </w:r>
          </w:p>
        </w:tc>
        <w:tc>
          <w:tcPr>
            <w:tcW w:w="2264" w:type="dxa"/>
            <w:shd w:val="clear" w:color="auto" w:fill="auto"/>
            <w:vAlign w:val="center"/>
          </w:tcPr>
          <w:p w14:paraId="63AE0483">
            <w:pPr>
              <w:rPr>
                <w:rFonts w:hint="eastAsia"/>
                <w:sz w:val="21"/>
                <w:szCs w:val="21"/>
              </w:rPr>
            </w:pPr>
            <w:r>
              <w:rPr>
                <w:rFonts w:hint="eastAsia"/>
                <w:sz w:val="21"/>
                <w:szCs w:val="21"/>
              </w:rPr>
              <w:t>汇总对账</w:t>
            </w:r>
          </w:p>
        </w:tc>
        <w:tc>
          <w:tcPr>
            <w:tcW w:w="5661" w:type="dxa"/>
            <w:shd w:val="clear" w:color="auto" w:fill="auto"/>
            <w:vAlign w:val="center"/>
          </w:tcPr>
          <w:p w14:paraId="25F013B2">
            <w:pPr>
              <w:rPr>
                <w:rFonts w:hint="eastAsia"/>
                <w:sz w:val="21"/>
                <w:szCs w:val="21"/>
              </w:rPr>
            </w:pPr>
            <w:r>
              <w:rPr>
                <w:rFonts w:hint="eastAsia"/>
                <w:sz w:val="21"/>
                <w:szCs w:val="21"/>
              </w:rPr>
              <w:t>财务汇总对账，当天全渠道交易账务汇总对账。</w:t>
            </w:r>
          </w:p>
        </w:tc>
      </w:tr>
      <w:tr w14:paraId="3C6B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continue"/>
            <w:shd w:val="clear" w:color="auto" w:fill="auto"/>
            <w:vAlign w:val="center"/>
          </w:tcPr>
          <w:p w14:paraId="092DF353">
            <w:pPr>
              <w:rPr>
                <w:sz w:val="21"/>
                <w:szCs w:val="21"/>
              </w:rPr>
            </w:pPr>
          </w:p>
        </w:tc>
        <w:tc>
          <w:tcPr>
            <w:tcW w:w="2264" w:type="dxa"/>
            <w:shd w:val="clear" w:color="auto" w:fill="auto"/>
            <w:vAlign w:val="center"/>
          </w:tcPr>
          <w:p w14:paraId="42DC7AE3">
            <w:pPr>
              <w:rPr>
                <w:rFonts w:hint="eastAsia"/>
                <w:sz w:val="21"/>
                <w:szCs w:val="21"/>
              </w:rPr>
            </w:pPr>
            <w:r>
              <w:rPr>
                <w:rFonts w:hint="eastAsia"/>
                <w:sz w:val="21"/>
                <w:szCs w:val="21"/>
              </w:rPr>
              <w:t>渠道对账</w:t>
            </w:r>
          </w:p>
        </w:tc>
        <w:tc>
          <w:tcPr>
            <w:tcW w:w="5661" w:type="dxa"/>
            <w:shd w:val="clear" w:color="auto" w:fill="auto"/>
            <w:vAlign w:val="center"/>
          </w:tcPr>
          <w:p w14:paraId="1F633819">
            <w:pPr>
              <w:rPr>
                <w:rFonts w:hint="eastAsia"/>
                <w:sz w:val="21"/>
                <w:szCs w:val="21"/>
              </w:rPr>
            </w:pPr>
            <w:r>
              <w:rPr>
                <w:rFonts w:hint="eastAsia"/>
                <w:sz w:val="21"/>
                <w:szCs w:val="21"/>
              </w:rPr>
              <w:t>根据门诊、住院，窗口、自助终端、线上等不同渠道，汇总不同渠道交易数据做对账</w:t>
            </w:r>
          </w:p>
        </w:tc>
      </w:tr>
      <w:tr w14:paraId="5038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122C14C0">
            <w:pPr>
              <w:rPr>
                <w:sz w:val="21"/>
                <w:szCs w:val="21"/>
              </w:rPr>
            </w:pPr>
          </w:p>
        </w:tc>
        <w:tc>
          <w:tcPr>
            <w:tcW w:w="2264" w:type="dxa"/>
            <w:shd w:val="clear" w:color="auto" w:fill="auto"/>
            <w:vAlign w:val="center"/>
          </w:tcPr>
          <w:p w14:paraId="4024B236">
            <w:pPr>
              <w:rPr>
                <w:rFonts w:hint="eastAsia"/>
                <w:sz w:val="21"/>
                <w:szCs w:val="21"/>
              </w:rPr>
            </w:pPr>
            <w:r>
              <w:rPr>
                <w:rFonts w:hint="eastAsia"/>
                <w:sz w:val="21"/>
                <w:szCs w:val="21"/>
              </w:rPr>
              <w:t>银行卡财务对账</w:t>
            </w:r>
          </w:p>
        </w:tc>
        <w:tc>
          <w:tcPr>
            <w:tcW w:w="5661" w:type="dxa"/>
            <w:shd w:val="clear" w:color="auto" w:fill="auto"/>
            <w:vAlign w:val="center"/>
          </w:tcPr>
          <w:p w14:paraId="5AD59EC0">
            <w:pPr>
              <w:rPr>
                <w:rFonts w:hint="eastAsia"/>
                <w:sz w:val="21"/>
                <w:szCs w:val="21"/>
              </w:rPr>
            </w:pPr>
            <w:r>
              <w:rPr>
                <w:rFonts w:hint="eastAsia"/>
                <w:sz w:val="21"/>
                <w:szCs w:val="21"/>
              </w:rPr>
              <w:t>银行卡每日交易财务对账</w:t>
            </w:r>
          </w:p>
        </w:tc>
      </w:tr>
      <w:tr w14:paraId="2360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14B62FEE">
            <w:pPr>
              <w:rPr>
                <w:sz w:val="21"/>
                <w:szCs w:val="21"/>
              </w:rPr>
            </w:pPr>
          </w:p>
        </w:tc>
        <w:tc>
          <w:tcPr>
            <w:tcW w:w="2264" w:type="dxa"/>
            <w:shd w:val="clear" w:color="auto" w:fill="auto"/>
            <w:vAlign w:val="center"/>
          </w:tcPr>
          <w:p w14:paraId="2C5975CF">
            <w:pPr>
              <w:rPr>
                <w:rFonts w:hint="eastAsia"/>
                <w:sz w:val="21"/>
                <w:szCs w:val="21"/>
              </w:rPr>
            </w:pPr>
            <w:r>
              <w:rPr>
                <w:rFonts w:hint="eastAsia"/>
                <w:sz w:val="21"/>
                <w:szCs w:val="21"/>
              </w:rPr>
              <w:t>微信财务对账</w:t>
            </w:r>
          </w:p>
        </w:tc>
        <w:tc>
          <w:tcPr>
            <w:tcW w:w="5661" w:type="dxa"/>
            <w:shd w:val="clear" w:color="auto" w:fill="auto"/>
            <w:vAlign w:val="center"/>
          </w:tcPr>
          <w:p w14:paraId="7F095073">
            <w:pPr>
              <w:rPr>
                <w:rFonts w:hint="eastAsia"/>
                <w:sz w:val="21"/>
                <w:szCs w:val="21"/>
              </w:rPr>
            </w:pPr>
            <w:r>
              <w:rPr>
                <w:rFonts w:hint="eastAsia"/>
                <w:sz w:val="21"/>
                <w:szCs w:val="21"/>
              </w:rPr>
              <w:t>每日微信交易财务对账</w:t>
            </w:r>
          </w:p>
        </w:tc>
      </w:tr>
      <w:tr w14:paraId="5FDF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40584D9E">
            <w:pPr>
              <w:rPr>
                <w:sz w:val="21"/>
                <w:szCs w:val="21"/>
              </w:rPr>
            </w:pPr>
          </w:p>
        </w:tc>
        <w:tc>
          <w:tcPr>
            <w:tcW w:w="2264" w:type="dxa"/>
            <w:shd w:val="clear" w:color="auto" w:fill="auto"/>
            <w:vAlign w:val="center"/>
          </w:tcPr>
          <w:p w14:paraId="16A6815D">
            <w:pPr>
              <w:rPr>
                <w:rFonts w:hint="eastAsia"/>
                <w:sz w:val="21"/>
                <w:szCs w:val="21"/>
              </w:rPr>
            </w:pPr>
            <w:r>
              <w:rPr>
                <w:rFonts w:hint="eastAsia"/>
                <w:sz w:val="21"/>
                <w:szCs w:val="21"/>
              </w:rPr>
              <w:t>支付宝财务对账</w:t>
            </w:r>
          </w:p>
        </w:tc>
        <w:tc>
          <w:tcPr>
            <w:tcW w:w="5661" w:type="dxa"/>
            <w:shd w:val="clear" w:color="auto" w:fill="auto"/>
            <w:vAlign w:val="center"/>
          </w:tcPr>
          <w:p w14:paraId="0CBD93E5">
            <w:pPr>
              <w:rPr>
                <w:rFonts w:hint="eastAsia"/>
                <w:sz w:val="21"/>
                <w:szCs w:val="21"/>
              </w:rPr>
            </w:pPr>
            <w:r>
              <w:rPr>
                <w:rFonts w:hint="eastAsia"/>
                <w:sz w:val="21"/>
                <w:szCs w:val="21"/>
              </w:rPr>
              <w:t>每日支付宝交易财务对账</w:t>
            </w:r>
          </w:p>
        </w:tc>
      </w:tr>
      <w:tr w14:paraId="4571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29C02649">
            <w:pPr>
              <w:rPr>
                <w:sz w:val="21"/>
                <w:szCs w:val="21"/>
              </w:rPr>
            </w:pPr>
          </w:p>
        </w:tc>
        <w:tc>
          <w:tcPr>
            <w:tcW w:w="2264" w:type="dxa"/>
            <w:shd w:val="clear" w:color="auto" w:fill="auto"/>
            <w:vAlign w:val="center"/>
          </w:tcPr>
          <w:p w14:paraId="4B897B10">
            <w:pPr>
              <w:rPr>
                <w:rFonts w:hint="eastAsia"/>
                <w:sz w:val="21"/>
                <w:szCs w:val="21"/>
              </w:rPr>
            </w:pPr>
            <w:r>
              <w:rPr>
                <w:rFonts w:hint="eastAsia"/>
                <w:sz w:val="21"/>
                <w:szCs w:val="21"/>
              </w:rPr>
              <w:t>医保对账</w:t>
            </w:r>
          </w:p>
        </w:tc>
        <w:tc>
          <w:tcPr>
            <w:tcW w:w="5661" w:type="dxa"/>
            <w:shd w:val="clear" w:color="auto" w:fill="auto"/>
            <w:vAlign w:val="center"/>
          </w:tcPr>
          <w:p w14:paraId="7442E5A8">
            <w:pPr>
              <w:rPr>
                <w:rFonts w:hint="eastAsia"/>
                <w:sz w:val="21"/>
                <w:szCs w:val="21"/>
              </w:rPr>
            </w:pPr>
            <w:r>
              <w:rPr>
                <w:rFonts w:hint="eastAsia"/>
                <w:sz w:val="21"/>
                <w:szCs w:val="21"/>
              </w:rPr>
              <w:t>按照医保结算周期进行医保交易对账</w:t>
            </w:r>
          </w:p>
        </w:tc>
      </w:tr>
      <w:tr w14:paraId="1C2F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1B5D17D6">
            <w:pPr>
              <w:rPr>
                <w:sz w:val="21"/>
                <w:szCs w:val="21"/>
              </w:rPr>
            </w:pPr>
          </w:p>
        </w:tc>
        <w:tc>
          <w:tcPr>
            <w:tcW w:w="2264" w:type="dxa"/>
            <w:shd w:val="clear" w:color="auto" w:fill="auto"/>
            <w:vAlign w:val="center"/>
          </w:tcPr>
          <w:p w14:paraId="5D682A08">
            <w:pPr>
              <w:rPr>
                <w:rFonts w:hint="eastAsia"/>
                <w:sz w:val="21"/>
                <w:szCs w:val="21"/>
              </w:rPr>
            </w:pPr>
            <w:r>
              <w:rPr>
                <w:rFonts w:hint="eastAsia"/>
                <w:sz w:val="21"/>
                <w:szCs w:val="21"/>
              </w:rPr>
              <w:t>按交易渠道对账</w:t>
            </w:r>
          </w:p>
        </w:tc>
        <w:tc>
          <w:tcPr>
            <w:tcW w:w="5661" w:type="dxa"/>
            <w:shd w:val="clear" w:color="auto" w:fill="auto"/>
            <w:vAlign w:val="center"/>
          </w:tcPr>
          <w:p w14:paraId="00216514">
            <w:pPr>
              <w:rPr>
                <w:rFonts w:hint="eastAsia"/>
                <w:sz w:val="21"/>
                <w:szCs w:val="21"/>
              </w:rPr>
            </w:pPr>
            <w:r>
              <w:rPr>
                <w:rFonts w:hint="eastAsia"/>
                <w:sz w:val="21"/>
                <w:szCs w:val="21"/>
              </w:rPr>
              <w:t>自助机、线上根据渠道不同分别进行对账</w:t>
            </w:r>
          </w:p>
        </w:tc>
      </w:tr>
      <w:tr w14:paraId="72B1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restart"/>
            <w:shd w:val="clear" w:color="auto" w:fill="auto"/>
            <w:vAlign w:val="center"/>
          </w:tcPr>
          <w:p w14:paraId="6096A742">
            <w:pPr>
              <w:rPr>
                <w:rFonts w:hint="eastAsia"/>
                <w:sz w:val="21"/>
                <w:szCs w:val="21"/>
              </w:rPr>
            </w:pPr>
            <w:r>
              <w:rPr>
                <w:rFonts w:hint="eastAsia"/>
                <w:sz w:val="21"/>
                <w:szCs w:val="21"/>
              </w:rPr>
              <w:t>异常账务管理</w:t>
            </w:r>
          </w:p>
        </w:tc>
        <w:tc>
          <w:tcPr>
            <w:tcW w:w="2264" w:type="dxa"/>
            <w:shd w:val="clear" w:color="auto" w:fill="auto"/>
            <w:vAlign w:val="center"/>
          </w:tcPr>
          <w:p w14:paraId="0E9B6825">
            <w:pPr>
              <w:rPr>
                <w:rFonts w:hint="eastAsia"/>
                <w:sz w:val="21"/>
                <w:szCs w:val="21"/>
              </w:rPr>
            </w:pPr>
            <w:r>
              <w:rPr>
                <w:rFonts w:hint="eastAsia"/>
                <w:sz w:val="21"/>
                <w:szCs w:val="21"/>
              </w:rPr>
              <w:t>异常账务警告</w:t>
            </w:r>
          </w:p>
        </w:tc>
        <w:tc>
          <w:tcPr>
            <w:tcW w:w="5661" w:type="dxa"/>
            <w:shd w:val="clear" w:color="auto" w:fill="auto"/>
            <w:vAlign w:val="center"/>
          </w:tcPr>
          <w:p w14:paraId="7AF70CC2">
            <w:pPr>
              <w:rPr>
                <w:rFonts w:hint="eastAsia"/>
                <w:sz w:val="21"/>
                <w:szCs w:val="21"/>
              </w:rPr>
            </w:pPr>
            <w:r>
              <w:rPr>
                <w:rFonts w:hint="eastAsia"/>
                <w:sz w:val="21"/>
                <w:szCs w:val="21"/>
              </w:rPr>
              <w:t>异常账务状态警告，账务长短款金额、笔数、渠道等状态告警</w:t>
            </w:r>
          </w:p>
        </w:tc>
      </w:tr>
      <w:tr w14:paraId="794A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1BADBDDC">
            <w:pPr>
              <w:rPr>
                <w:sz w:val="21"/>
                <w:szCs w:val="21"/>
              </w:rPr>
            </w:pPr>
          </w:p>
        </w:tc>
        <w:tc>
          <w:tcPr>
            <w:tcW w:w="2264" w:type="dxa"/>
            <w:shd w:val="clear" w:color="auto" w:fill="auto"/>
            <w:vAlign w:val="center"/>
          </w:tcPr>
          <w:p w14:paraId="73596614">
            <w:pPr>
              <w:rPr>
                <w:rFonts w:hint="eastAsia"/>
                <w:sz w:val="21"/>
                <w:szCs w:val="21"/>
              </w:rPr>
            </w:pPr>
            <w:r>
              <w:rPr>
                <w:rFonts w:hint="eastAsia"/>
                <w:sz w:val="21"/>
                <w:szCs w:val="21"/>
              </w:rPr>
              <w:t>异常账务定位</w:t>
            </w:r>
          </w:p>
        </w:tc>
        <w:tc>
          <w:tcPr>
            <w:tcW w:w="5661" w:type="dxa"/>
            <w:shd w:val="clear" w:color="auto" w:fill="auto"/>
            <w:vAlign w:val="center"/>
          </w:tcPr>
          <w:p w14:paraId="47AE0035">
            <w:pPr>
              <w:rPr>
                <w:rFonts w:hint="eastAsia"/>
                <w:sz w:val="21"/>
                <w:szCs w:val="21"/>
              </w:rPr>
            </w:pPr>
            <w:r>
              <w:rPr>
                <w:rFonts w:hint="eastAsia"/>
                <w:sz w:val="21"/>
                <w:szCs w:val="21"/>
              </w:rPr>
              <w:t>异常账务对应的具体单据定位</w:t>
            </w:r>
          </w:p>
        </w:tc>
      </w:tr>
      <w:tr w14:paraId="060C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restart"/>
            <w:shd w:val="clear" w:color="auto" w:fill="auto"/>
            <w:vAlign w:val="center"/>
          </w:tcPr>
          <w:p w14:paraId="434D4130">
            <w:pPr>
              <w:rPr>
                <w:rFonts w:hint="eastAsia"/>
                <w:sz w:val="21"/>
                <w:szCs w:val="21"/>
              </w:rPr>
            </w:pPr>
            <w:r>
              <w:rPr>
                <w:rFonts w:hint="eastAsia"/>
                <w:sz w:val="21"/>
                <w:szCs w:val="21"/>
              </w:rPr>
              <w:t>财务报表管理</w:t>
            </w:r>
          </w:p>
        </w:tc>
        <w:tc>
          <w:tcPr>
            <w:tcW w:w="2264" w:type="dxa"/>
            <w:shd w:val="clear" w:color="auto" w:fill="auto"/>
            <w:vAlign w:val="center"/>
          </w:tcPr>
          <w:p w14:paraId="05CA9EFD">
            <w:pPr>
              <w:rPr>
                <w:rFonts w:hint="eastAsia"/>
                <w:sz w:val="21"/>
                <w:szCs w:val="21"/>
              </w:rPr>
            </w:pPr>
            <w:r>
              <w:rPr>
                <w:rFonts w:hint="eastAsia"/>
                <w:sz w:val="21"/>
                <w:szCs w:val="21"/>
              </w:rPr>
              <w:t>财务报表导出</w:t>
            </w:r>
          </w:p>
        </w:tc>
        <w:tc>
          <w:tcPr>
            <w:tcW w:w="5661" w:type="dxa"/>
            <w:shd w:val="clear" w:color="auto" w:fill="auto"/>
            <w:vAlign w:val="center"/>
          </w:tcPr>
          <w:p w14:paraId="49420D80">
            <w:pPr>
              <w:rPr>
                <w:rFonts w:hint="eastAsia"/>
                <w:sz w:val="21"/>
                <w:szCs w:val="21"/>
              </w:rPr>
            </w:pPr>
            <w:r>
              <w:rPr>
                <w:rFonts w:hint="eastAsia"/>
                <w:sz w:val="21"/>
                <w:szCs w:val="21"/>
              </w:rPr>
              <w:t>每日账务流水报表导出excel</w:t>
            </w:r>
          </w:p>
        </w:tc>
      </w:tr>
      <w:tr w14:paraId="482D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774" w:type="dxa"/>
            <w:vMerge w:val="continue"/>
            <w:shd w:val="clear" w:color="auto" w:fill="auto"/>
            <w:vAlign w:val="center"/>
          </w:tcPr>
          <w:p w14:paraId="342823D8">
            <w:pPr>
              <w:rPr>
                <w:sz w:val="21"/>
                <w:szCs w:val="21"/>
              </w:rPr>
            </w:pPr>
          </w:p>
        </w:tc>
        <w:tc>
          <w:tcPr>
            <w:tcW w:w="2264" w:type="dxa"/>
            <w:shd w:val="clear" w:color="auto" w:fill="auto"/>
            <w:vAlign w:val="center"/>
          </w:tcPr>
          <w:p w14:paraId="02F3EFE9">
            <w:pPr>
              <w:rPr>
                <w:rFonts w:hint="eastAsia"/>
                <w:sz w:val="21"/>
                <w:szCs w:val="21"/>
              </w:rPr>
            </w:pPr>
            <w:r>
              <w:rPr>
                <w:rFonts w:hint="eastAsia"/>
                <w:sz w:val="21"/>
                <w:szCs w:val="21"/>
              </w:rPr>
              <w:t>业务报表管理</w:t>
            </w:r>
          </w:p>
        </w:tc>
        <w:tc>
          <w:tcPr>
            <w:tcW w:w="5661" w:type="dxa"/>
            <w:shd w:val="clear" w:color="auto" w:fill="auto"/>
            <w:vAlign w:val="center"/>
          </w:tcPr>
          <w:p w14:paraId="63477A56">
            <w:pPr>
              <w:rPr>
                <w:rFonts w:hint="eastAsia"/>
                <w:sz w:val="21"/>
                <w:szCs w:val="21"/>
              </w:rPr>
            </w:pPr>
            <w:r>
              <w:rPr>
                <w:rFonts w:hint="eastAsia"/>
                <w:sz w:val="21"/>
                <w:szCs w:val="21"/>
              </w:rPr>
              <w:t>汇总自费与医保，业务上分为挂号、缴费、充值、住院预交金业务交易的微信、支付宝、银行账目数据。行：医院业务，列：支付类型。</w:t>
            </w:r>
          </w:p>
        </w:tc>
      </w:tr>
      <w:tr w14:paraId="3D4A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74" w:type="dxa"/>
            <w:vMerge w:val="continue"/>
            <w:shd w:val="clear" w:color="auto" w:fill="auto"/>
            <w:vAlign w:val="center"/>
          </w:tcPr>
          <w:p w14:paraId="046638C6">
            <w:pPr>
              <w:rPr>
                <w:sz w:val="21"/>
                <w:szCs w:val="21"/>
              </w:rPr>
            </w:pPr>
          </w:p>
        </w:tc>
        <w:tc>
          <w:tcPr>
            <w:tcW w:w="2264" w:type="dxa"/>
            <w:shd w:val="clear" w:color="auto" w:fill="auto"/>
            <w:vAlign w:val="center"/>
          </w:tcPr>
          <w:p w14:paraId="609CAA71">
            <w:pPr>
              <w:rPr>
                <w:rFonts w:hint="eastAsia"/>
                <w:sz w:val="21"/>
                <w:szCs w:val="21"/>
              </w:rPr>
            </w:pPr>
            <w:r>
              <w:rPr>
                <w:rFonts w:hint="eastAsia"/>
                <w:sz w:val="21"/>
                <w:szCs w:val="21"/>
              </w:rPr>
              <w:t>渠道报表管理</w:t>
            </w:r>
          </w:p>
        </w:tc>
        <w:tc>
          <w:tcPr>
            <w:tcW w:w="5661" w:type="dxa"/>
            <w:shd w:val="clear" w:color="auto" w:fill="auto"/>
            <w:vAlign w:val="center"/>
          </w:tcPr>
          <w:p w14:paraId="754398D3">
            <w:pPr>
              <w:rPr>
                <w:rFonts w:hint="eastAsia"/>
                <w:sz w:val="21"/>
                <w:szCs w:val="21"/>
              </w:rPr>
            </w:pPr>
            <w:r>
              <w:rPr>
                <w:rFonts w:hint="eastAsia"/>
                <w:sz w:val="21"/>
                <w:szCs w:val="21"/>
              </w:rPr>
              <w:t>汇总挂号、缴费、充值、住院预交金业务交易的微信、支付宝、银行数据。</w:t>
            </w:r>
          </w:p>
        </w:tc>
      </w:tr>
      <w:tr w14:paraId="6C2D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74" w:type="dxa"/>
            <w:vMerge w:val="continue"/>
            <w:shd w:val="clear" w:color="auto" w:fill="auto"/>
            <w:vAlign w:val="center"/>
          </w:tcPr>
          <w:p w14:paraId="78ABDD8D">
            <w:pPr>
              <w:rPr>
                <w:sz w:val="21"/>
                <w:szCs w:val="21"/>
              </w:rPr>
            </w:pPr>
          </w:p>
        </w:tc>
        <w:tc>
          <w:tcPr>
            <w:tcW w:w="2264" w:type="dxa"/>
            <w:shd w:val="clear" w:color="auto" w:fill="auto"/>
            <w:vAlign w:val="center"/>
          </w:tcPr>
          <w:p w14:paraId="745F57C4">
            <w:pPr>
              <w:rPr>
                <w:rFonts w:hint="eastAsia"/>
                <w:sz w:val="21"/>
                <w:szCs w:val="21"/>
              </w:rPr>
            </w:pPr>
            <w:r>
              <w:rPr>
                <w:rFonts w:hint="eastAsia"/>
                <w:sz w:val="21"/>
                <w:szCs w:val="21"/>
              </w:rPr>
              <w:t>支付报表管理</w:t>
            </w:r>
          </w:p>
        </w:tc>
        <w:tc>
          <w:tcPr>
            <w:tcW w:w="5661" w:type="dxa"/>
            <w:shd w:val="clear" w:color="auto" w:fill="auto"/>
            <w:vAlign w:val="center"/>
          </w:tcPr>
          <w:p w14:paraId="08B6E9A0">
            <w:pPr>
              <w:rPr>
                <w:rFonts w:hint="eastAsia"/>
                <w:sz w:val="21"/>
                <w:szCs w:val="21"/>
              </w:rPr>
            </w:pPr>
            <w:r>
              <w:rPr>
                <w:rFonts w:hint="eastAsia"/>
                <w:sz w:val="21"/>
                <w:szCs w:val="21"/>
              </w:rPr>
              <w:t>汇总挂号、缴费、住院预交金业务交易的微信、支付宝、银行账目数据。</w:t>
            </w:r>
          </w:p>
        </w:tc>
      </w:tr>
      <w:tr w14:paraId="7309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restart"/>
            <w:shd w:val="clear" w:color="auto" w:fill="auto"/>
            <w:vAlign w:val="center"/>
          </w:tcPr>
          <w:p w14:paraId="225C28E5">
            <w:pPr>
              <w:rPr>
                <w:rFonts w:hint="eastAsia"/>
                <w:sz w:val="21"/>
                <w:szCs w:val="21"/>
              </w:rPr>
            </w:pPr>
            <w:r>
              <w:rPr>
                <w:rFonts w:hint="eastAsia"/>
                <w:sz w:val="21"/>
                <w:szCs w:val="21"/>
              </w:rPr>
              <w:t>运营管理模块</w:t>
            </w:r>
          </w:p>
        </w:tc>
        <w:tc>
          <w:tcPr>
            <w:tcW w:w="2264" w:type="dxa"/>
            <w:shd w:val="clear" w:color="auto" w:fill="auto"/>
            <w:vAlign w:val="center"/>
          </w:tcPr>
          <w:p w14:paraId="44999C41">
            <w:pPr>
              <w:rPr>
                <w:rFonts w:hint="eastAsia"/>
                <w:sz w:val="21"/>
                <w:szCs w:val="21"/>
              </w:rPr>
            </w:pPr>
            <w:r>
              <w:rPr>
                <w:rFonts w:hint="eastAsia"/>
                <w:sz w:val="21"/>
                <w:szCs w:val="21"/>
              </w:rPr>
              <w:t>交易明细查询</w:t>
            </w:r>
          </w:p>
        </w:tc>
        <w:tc>
          <w:tcPr>
            <w:tcW w:w="5661" w:type="dxa"/>
            <w:shd w:val="clear" w:color="auto" w:fill="auto"/>
            <w:vAlign w:val="center"/>
          </w:tcPr>
          <w:p w14:paraId="540C32E4">
            <w:pPr>
              <w:rPr>
                <w:rFonts w:hint="eastAsia"/>
                <w:sz w:val="21"/>
                <w:szCs w:val="21"/>
              </w:rPr>
            </w:pPr>
            <w:r>
              <w:rPr>
                <w:rFonts w:hint="eastAsia"/>
                <w:sz w:val="21"/>
                <w:szCs w:val="21"/>
              </w:rPr>
              <w:t>挂号、预约挂号、预约取号、缴费、充值、住院预交金、出院结算等交易业务查询</w:t>
            </w:r>
          </w:p>
        </w:tc>
      </w:tr>
      <w:tr w14:paraId="7ACF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74" w:type="dxa"/>
            <w:vMerge w:val="continue"/>
            <w:shd w:val="clear" w:color="auto" w:fill="auto"/>
            <w:vAlign w:val="center"/>
          </w:tcPr>
          <w:p w14:paraId="4604BD1E">
            <w:pPr>
              <w:rPr>
                <w:sz w:val="21"/>
                <w:szCs w:val="21"/>
              </w:rPr>
            </w:pPr>
          </w:p>
        </w:tc>
        <w:tc>
          <w:tcPr>
            <w:tcW w:w="2264" w:type="dxa"/>
            <w:shd w:val="clear" w:color="auto" w:fill="auto"/>
            <w:vAlign w:val="center"/>
          </w:tcPr>
          <w:p w14:paraId="3ED7F00E">
            <w:pPr>
              <w:rPr>
                <w:rFonts w:hint="eastAsia"/>
                <w:sz w:val="21"/>
                <w:szCs w:val="21"/>
              </w:rPr>
            </w:pPr>
            <w:r>
              <w:rPr>
                <w:rFonts w:hint="eastAsia"/>
                <w:sz w:val="21"/>
                <w:szCs w:val="21"/>
              </w:rPr>
              <w:t>扫码退费办理</w:t>
            </w:r>
          </w:p>
        </w:tc>
        <w:tc>
          <w:tcPr>
            <w:tcW w:w="5661" w:type="dxa"/>
            <w:shd w:val="clear" w:color="auto" w:fill="auto"/>
            <w:vAlign w:val="center"/>
          </w:tcPr>
          <w:p w14:paraId="7D211FD9">
            <w:pPr>
              <w:rPr>
                <w:rFonts w:hint="eastAsia"/>
                <w:sz w:val="21"/>
                <w:szCs w:val="21"/>
              </w:rPr>
            </w:pPr>
            <w:r>
              <w:rPr>
                <w:rFonts w:hint="eastAsia"/>
                <w:sz w:val="21"/>
                <w:szCs w:val="21"/>
              </w:rPr>
              <w:t>支付宝/微信交易查询，支付宝/微信退费办理</w:t>
            </w:r>
          </w:p>
        </w:tc>
      </w:tr>
      <w:tr w14:paraId="4DF7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restart"/>
            <w:shd w:val="clear" w:color="auto" w:fill="auto"/>
            <w:vAlign w:val="center"/>
          </w:tcPr>
          <w:p w14:paraId="122DFC84">
            <w:pPr>
              <w:rPr>
                <w:rFonts w:hint="eastAsia"/>
                <w:sz w:val="21"/>
                <w:szCs w:val="21"/>
              </w:rPr>
            </w:pPr>
            <w:r>
              <w:rPr>
                <w:rFonts w:hint="eastAsia"/>
                <w:sz w:val="21"/>
                <w:szCs w:val="21"/>
              </w:rPr>
              <w:t>智能决策分析</w:t>
            </w:r>
          </w:p>
        </w:tc>
        <w:tc>
          <w:tcPr>
            <w:tcW w:w="2264" w:type="dxa"/>
            <w:shd w:val="clear" w:color="auto" w:fill="auto"/>
            <w:vAlign w:val="center"/>
          </w:tcPr>
          <w:p w14:paraId="093D19DD">
            <w:pPr>
              <w:rPr>
                <w:rFonts w:hint="eastAsia"/>
                <w:sz w:val="21"/>
                <w:szCs w:val="21"/>
              </w:rPr>
            </w:pPr>
            <w:r>
              <w:rPr>
                <w:rFonts w:hint="eastAsia"/>
                <w:sz w:val="21"/>
                <w:szCs w:val="21"/>
              </w:rPr>
              <w:t>业务类型统计</w:t>
            </w:r>
          </w:p>
        </w:tc>
        <w:tc>
          <w:tcPr>
            <w:tcW w:w="5661" w:type="dxa"/>
            <w:shd w:val="clear" w:color="auto" w:fill="auto"/>
            <w:vAlign w:val="center"/>
          </w:tcPr>
          <w:p w14:paraId="0815F8D3">
            <w:pPr>
              <w:rPr>
                <w:rFonts w:hint="eastAsia"/>
                <w:sz w:val="21"/>
                <w:szCs w:val="21"/>
              </w:rPr>
            </w:pPr>
            <w:r>
              <w:rPr>
                <w:rFonts w:hint="eastAsia"/>
                <w:sz w:val="21"/>
                <w:szCs w:val="21"/>
              </w:rPr>
              <w:t>针对医院各业务的交易量进行统计和展现，各业务交易量的变化趋势可视化展现。</w:t>
            </w:r>
          </w:p>
        </w:tc>
      </w:tr>
      <w:tr w14:paraId="72E8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continue"/>
            <w:shd w:val="clear" w:color="auto" w:fill="auto"/>
            <w:vAlign w:val="center"/>
          </w:tcPr>
          <w:p w14:paraId="252B62A2">
            <w:pPr>
              <w:rPr>
                <w:sz w:val="21"/>
                <w:szCs w:val="21"/>
              </w:rPr>
            </w:pPr>
          </w:p>
        </w:tc>
        <w:tc>
          <w:tcPr>
            <w:tcW w:w="2264" w:type="dxa"/>
            <w:shd w:val="clear" w:color="auto" w:fill="auto"/>
            <w:vAlign w:val="center"/>
          </w:tcPr>
          <w:p w14:paraId="0C739647">
            <w:pPr>
              <w:rPr>
                <w:rFonts w:hint="eastAsia"/>
                <w:sz w:val="21"/>
                <w:szCs w:val="21"/>
              </w:rPr>
            </w:pPr>
            <w:r>
              <w:rPr>
                <w:rFonts w:hint="eastAsia"/>
                <w:sz w:val="21"/>
                <w:szCs w:val="21"/>
              </w:rPr>
              <w:t>交易类型统计</w:t>
            </w:r>
          </w:p>
        </w:tc>
        <w:tc>
          <w:tcPr>
            <w:tcW w:w="5661" w:type="dxa"/>
            <w:shd w:val="clear" w:color="auto" w:fill="auto"/>
            <w:vAlign w:val="center"/>
          </w:tcPr>
          <w:p w14:paraId="4958E8D3">
            <w:pPr>
              <w:rPr>
                <w:rFonts w:hint="eastAsia"/>
                <w:sz w:val="21"/>
                <w:szCs w:val="21"/>
              </w:rPr>
            </w:pPr>
            <w:r>
              <w:rPr>
                <w:rFonts w:hint="eastAsia"/>
                <w:sz w:val="21"/>
                <w:szCs w:val="21"/>
              </w:rPr>
              <w:t>结合医院的支付渠道进行统计分析，及时掌握各渠道的交易金额及占比，方便领导运营决策。</w:t>
            </w:r>
          </w:p>
        </w:tc>
      </w:tr>
      <w:tr w14:paraId="27ED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4" w:type="dxa"/>
            <w:vMerge w:val="continue"/>
            <w:shd w:val="clear" w:color="auto" w:fill="auto"/>
            <w:vAlign w:val="center"/>
          </w:tcPr>
          <w:p w14:paraId="674CE683">
            <w:pPr>
              <w:rPr>
                <w:sz w:val="21"/>
                <w:szCs w:val="21"/>
              </w:rPr>
            </w:pPr>
          </w:p>
        </w:tc>
        <w:tc>
          <w:tcPr>
            <w:tcW w:w="2264" w:type="dxa"/>
            <w:shd w:val="clear" w:color="auto" w:fill="auto"/>
            <w:vAlign w:val="center"/>
          </w:tcPr>
          <w:p w14:paraId="0C341306">
            <w:pPr>
              <w:rPr>
                <w:rFonts w:hint="eastAsia"/>
                <w:sz w:val="21"/>
                <w:szCs w:val="21"/>
              </w:rPr>
            </w:pPr>
            <w:r>
              <w:rPr>
                <w:rFonts w:hint="eastAsia"/>
                <w:sz w:val="21"/>
                <w:szCs w:val="21"/>
              </w:rPr>
              <w:t>渠道类型统计</w:t>
            </w:r>
          </w:p>
        </w:tc>
        <w:tc>
          <w:tcPr>
            <w:tcW w:w="5661" w:type="dxa"/>
            <w:shd w:val="clear" w:color="auto" w:fill="auto"/>
            <w:vAlign w:val="center"/>
          </w:tcPr>
          <w:p w14:paraId="44CA8214">
            <w:pPr>
              <w:rPr>
                <w:rFonts w:hint="eastAsia"/>
                <w:sz w:val="21"/>
                <w:szCs w:val="21"/>
              </w:rPr>
            </w:pPr>
            <w:r>
              <w:rPr>
                <w:rFonts w:hint="eastAsia"/>
                <w:sz w:val="21"/>
                <w:szCs w:val="21"/>
              </w:rPr>
              <w:t>结合医院的业务类型进行统计分析，方便领导对各业务的运营策略做及时调整。</w:t>
            </w:r>
          </w:p>
        </w:tc>
      </w:tr>
      <w:tr w14:paraId="3D1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74" w:type="dxa"/>
            <w:shd w:val="clear" w:color="auto" w:fill="auto"/>
            <w:vAlign w:val="center"/>
          </w:tcPr>
          <w:p w14:paraId="4E6174B4">
            <w:pPr>
              <w:rPr>
                <w:rFonts w:hint="eastAsia"/>
                <w:sz w:val="21"/>
                <w:szCs w:val="21"/>
              </w:rPr>
            </w:pPr>
            <w:r>
              <w:rPr>
                <w:rFonts w:hint="eastAsia"/>
                <w:sz w:val="21"/>
                <w:szCs w:val="21"/>
              </w:rPr>
              <w:t>基础功能</w:t>
            </w:r>
          </w:p>
        </w:tc>
        <w:tc>
          <w:tcPr>
            <w:tcW w:w="2264" w:type="dxa"/>
            <w:shd w:val="clear" w:color="auto" w:fill="auto"/>
            <w:vAlign w:val="center"/>
          </w:tcPr>
          <w:p w14:paraId="0BC6F2BD">
            <w:pPr>
              <w:rPr>
                <w:rFonts w:hint="eastAsia"/>
                <w:sz w:val="21"/>
                <w:szCs w:val="21"/>
              </w:rPr>
            </w:pPr>
            <w:r>
              <w:rPr>
                <w:rFonts w:hint="eastAsia"/>
                <w:sz w:val="21"/>
                <w:szCs w:val="21"/>
              </w:rPr>
              <w:t>权限、用户管理</w:t>
            </w:r>
          </w:p>
        </w:tc>
        <w:tc>
          <w:tcPr>
            <w:tcW w:w="5661" w:type="dxa"/>
            <w:shd w:val="clear" w:color="auto" w:fill="auto"/>
            <w:vAlign w:val="center"/>
          </w:tcPr>
          <w:p w14:paraId="6A5AEBDD">
            <w:pPr>
              <w:rPr>
                <w:rFonts w:hint="eastAsia"/>
                <w:sz w:val="21"/>
                <w:szCs w:val="21"/>
              </w:rPr>
            </w:pPr>
            <w:r>
              <w:rPr>
                <w:rFonts w:hint="eastAsia"/>
                <w:sz w:val="21"/>
                <w:szCs w:val="21"/>
              </w:rPr>
              <w:t>系统用户、功能、权限等管理</w:t>
            </w:r>
          </w:p>
        </w:tc>
      </w:tr>
    </w:tbl>
    <w:p w14:paraId="1CA49FF6">
      <w:pPr>
        <w:spacing w:line="312" w:lineRule="auto"/>
      </w:pPr>
    </w:p>
    <w:p w14:paraId="04BEAB12">
      <w:pPr>
        <w:pStyle w:val="3"/>
        <w:spacing w:before="0" w:after="0" w:line="415" w:lineRule="auto"/>
        <w:rPr>
          <w:sz w:val="28"/>
          <w:szCs w:val="28"/>
        </w:rPr>
      </w:pPr>
      <w:r>
        <w:rPr>
          <w:rFonts w:hint="eastAsia"/>
          <w:sz w:val="28"/>
          <w:szCs w:val="28"/>
        </w:rPr>
        <w:t>5</w:t>
      </w:r>
      <w:r>
        <w:rPr>
          <w:sz w:val="28"/>
          <w:szCs w:val="28"/>
        </w:rPr>
        <w:t>.3</w:t>
      </w:r>
      <w:r>
        <w:rPr>
          <w:rFonts w:hint="eastAsia"/>
          <w:sz w:val="28"/>
          <w:szCs w:val="28"/>
        </w:rPr>
        <w:t>住院端医保结算接口开发</w:t>
      </w:r>
    </w:p>
    <w:p w14:paraId="13E19F2F">
      <w:pPr>
        <w:spacing w:line="312" w:lineRule="auto"/>
        <w:ind w:firstLine="420"/>
        <w:rPr>
          <w:lang w:eastAsia="zh-Hans"/>
        </w:rPr>
      </w:pPr>
      <w:r>
        <w:rPr>
          <w:lang w:eastAsia="zh-Hans"/>
        </w:rPr>
        <w:t>住院端医保结算接口的开发旨在实现住院患者的医保缴费功能</w:t>
      </w:r>
      <w:r>
        <w:rPr>
          <w:rFonts w:hint="eastAsia"/>
          <w:lang w:eastAsia="zh-Hans"/>
        </w:rPr>
        <w:t>，</w:t>
      </w:r>
      <w:r>
        <w:rPr>
          <w:lang w:eastAsia="zh-Hans"/>
        </w:rPr>
        <w:t>不仅支持传统的医保支付方式，还融入了医保电子凭证支付等现代化手段，确保医保结算的便捷性和安全性。</w:t>
      </w:r>
      <w:r>
        <w:rPr>
          <w:rFonts w:hint="eastAsia"/>
        </w:rPr>
        <w:t>开发过程中需要满足如下几方面要求：</w:t>
      </w:r>
    </w:p>
    <w:p w14:paraId="51A49362">
      <w:pPr>
        <w:pStyle w:val="38"/>
        <w:numPr>
          <w:ilvl w:val="0"/>
          <w:numId w:val="16"/>
        </w:numPr>
        <w:spacing w:line="312" w:lineRule="auto"/>
        <w:ind w:firstLineChars="0"/>
        <w:rPr>
          <w:rFonts w:ascii="宋体" w:hAnsi="宋体" w:eastAsia="宋体"/>
          <w:sz w:val="24"/>
          <w:lang w:eastAsia="zh-Hans"/>
        </w:rPr>
      </w:pPr>
      <w:r>
        <w:rPr>
          <w:rFonts w:ascii="宋体" w:hAnsi="宋体" w:eastAsia="宋体"/>
          <w:sz w:val="24"/>
          <w:lang w:eastAsia="zh-Hans"/>
        </w:rPr>
        <w:t>住院医保缴费功能实现</w:t>
      </w:r>
    </w:p>
    <w:p w14:paraId="31B6F11E">
      <w:pPr>
        <w:spacing w:line="312" w:lineRule="auto"/>
        <w:ind w:firstLine="420"/>
        <w:rPr>
          <w:lang w:eastAsia="zh-Hans"/>
        </w:rPr>
      </w:pPr>
      <w:r>
        <w:rPr>
          <w:lang w:eastAsia="zh-Hans"/>
        </w:rPr>
        <w:t>通过住院端医保结算接口，医院可以高效地处理住院患者的医保缴费事宜。接口与医保系统进行对接，自动读取患者的医保信息，并根据医保政策计算应缴费用。患者或其家属可通过医院提供的支付渠道，如自助缴费机、移动支付平台等，使用医保账户余额或银行卡等方式完成缴费。</w:t>
      </w:r>
    </w:p>
    <w:p w14:paraId="524CCF8F">
      <w:pPr>
        <w:pStyle w:val="38"/>
        <w:numPr>
          <w:ilvl w:val="0"/>
          <w:numId w:val="17"/>
        </w:numPr>
        <w:spacing w:line="312" w:lineRule="auto"/>
        <w:ind w:firstLineChars="0"/>
        <w:rPr>
          <w:rFonts w:ascii="宋体" w:hAnsi="宋体" w:eastAsia="宋体"/>
          <w:sz w:val="24"/>
          <w:lang w:eastAsia="zh-Hans"/>
        </w:rPr>
      </w:pPr>
      <w:r>
        <w:rPr>
          <w:rFonts w:ascii="宋体" w:hAnsi="宋体" w:eastAsia="宋体"/>
          <w:sz w:val="24"/>
          <w:lang w:eastAsia="zh-Hans"/>
        </w:rPr>
        <w:t>医保电子凭证支付</w:t>
      </w:r>
    </w:p>
    <w:p w14:paraId="67C37B9C">
      <w:pPr>
        <w:spacing w:line="312" w:lineRule="auto"/>
        <w:ind w:firstLine="420"/>
        <w:rPr>
          <w:lang w:eastAsia="zh-Hans"/>
        </w:rPr>
      </w:pPr>
      <w:r>
        <w:rPr>
          <w:lang w:eastAsia="zh-Hans"/>
        </w:rPr>
        <w:t>医保电子凭证支付</w:t>
      </w:r>
      <w:r>
        <w:rPr>
          <w:rFonts w:hint="eastAsia"/>
        </w:rPr>
        <w:t>将</w:t>
      </w:r>
      <w:r>
        <w:rPr>
          <w:lang w:eastAsia="zh-Hans"/>
        </w:rPr>
        <w:t>住院端医保结算接口的一大亮点。医保电子凭证作为医保身份认证和支付的媒介，具有便捷、安全、易携带等优点。患者只需通过手机等电子设备出示医保电子凭证，接口即可自动识别并完成支付操作</w:t>
      </w:r>
      <w:r>
        <w:rPr>
          <w:rFonts w:hint="eastAsia"/>
          <w:lang w:eastAsia="zh-Hans"/>
        </w:rPr>
        <w:t>，</w:t>
      </w:r>
      <w:r>
        <w:rPr>
          <w:rFonts w:hint="eastAsia"/>
        </w:rPr>
        <w:t>将</w:t>
      </w:r>
      <w:r>
        <w:rPr>
          <w:lang w:eastAsia="zh-Hans"/>
        </w:rPr>
        <w:t>提高了支付的准确性和速度。</w:t>
      </w:r>
    </w:p>
    <w:p w14:paraId="516A07A2">
      <w:pPr>
        <w:pStyle w:val="38"/>
        <w:numPr>
          <w:ilvl w:val="0"/>
          <w:numId w:val="18"/>
        </w:numPr>
        <w:spacing w:line="312" w:lineRule="auto"/>
        <w:ind w:firstLineChars="0"/>
        <w:rPr>
          <w:rFonts w:ascii="宋体" w:hAnsi="宋体" w:eastAsia="宋体"/>
          <w:sz w:val="24"/>
          <w:lang w:eastAsia="zh-Hans"/>
        </w:rPr>
      </w:pPr>
      <w:r>
        <w:rPr>
          <w:rFonts w:ascii="宋体" w:hAnsi="宋体" w:eastAsia="宋体"/>
          <w:sz w:val="24"/>
          <w:lang w:eastAsia="zh-Hans"/>
        </w:rPr>
        <w:t>医保支付及对账接口</w:t>
      </w:r>
    </w:p>
    <w:p w14:paraId="6BB3A445">
      <w:pPr>
        <w:spacing w:line="312" w:lineRule="auto"/>
        <w:ind w:firstLine="420"/>
        <w:rPr>
          <w:lang w:eastAsia="zh-Hans"/>
        </w:rPr>
      </w:pPr>
      <w:r>
        <w:rPr>
          <w:lang w:eastAsia="zh-Hans"/>
        </w:rPr>
        <w:t>医保支付及对账接口是住院端医保结算接口的核心组成部分。该接口与医保系统实时通信，确保医保支付信息的准确性和及时性。在支付环节，接口将患者的支付信息发送至医保系统，由医保系统进行审核和扣款。同时，接口还具备对账功能，能够自动比对医院和医保系统的支付记录，及时发现并处理差异情况，确保财务数据的准确性和完整性。</w:t>
      </w:r>
    </w:p>
    <w:p w14:paraId="65B1E3C6">
      <w:pPr>
        <w:pStyle w:val="38"/>
        <w:numPr>
          <w:ilvl w:val="0"/>
          <w:numId w:val="18"/>
        </w:numPr>
        <w:spacing w:line="312" w:lineRule="auto"/>
        <w:ind w:firstLineChars="0"/>
        <w:rPr>
          <w:rFonts w:ascii="宋体" w:hAnsi="宋体" w:eastAsia="宋体"/>
          <w:sz w:val="24"/>
          <w:lang w:eastAsia="zh-Hans"/>
        </w:rPr>
      </w:pPr>
      <w:r>
        <w:rPr>
          <w:rFonts w:ascii="宋体" w:hAnsi="宋体" w:eastAsia="宋体"/>
          <w:sz w:val="24"/>
          <w:lang w:eastAsia="zh-Hans"/>
        </w:rPr>
        <w:t>符合国家医保标准的认证规范</w:t>
      </w:r>
    </w:p>
    <w:p w14:paraId="747C14BE">
      <w:pPr>
        <w:spacing w:line="312" w:lineRule="auto"/>
        <w:ind w:firstLine="420"/>
        <w:rPr>
          <w:lang w:eastAsia="zh-Hans"/>
        </w:rPr>
      </w:pPr>
      <w:r>
        <w:rPr>
          <w:lang w:eastAsia="zh-Hans"/>
        </w:rPr>
        <w:t>在住院端医保结算接口的开发过程中，严格遵守国家医保标准的认证规范是至关重要的。这不仅包括接口的技术标准和安全标准，还包括医保政策、支付规则等方面的要求。通过遵循这些规范，可以确保接口与医保系统的兼容性和稳定性，提高医保结算的准确性和可靠性。</w:t>
      </w:r>
    </w:p>
    <w:p w14:paraId="34A04D35">
      <w:pPr>
        <w:spacing w:line="312" w:lineRule="auto"/>
        <w:ind w:firstLine="420"/>
      </w:pPr>
      <w:r>
        <w:rPr>
          <w:lang w:eastAsia="zh-Hans"/>
        </w:rPr>
        <w:t>住院端医保结算接口的开发需要综合考虑技术、政策、安全等多个方面。</w:t>
      </w:r>
      <w:r>
        <w:rPr>
          <w:rFonts w:hint="eastAsia"/>
        </w:rPr>
        <w:t>目标将</w:t>
      </w:r>
      <w:r>
        <w:rPr>
          <w:lang w:eastAsia="zh-Hans"/>
        </w:rPr>
        <w:t>通过不断完善和优化接口功能，可以进一步提升医疗服务质量。</w:t>
      </w:r>
    </w:p>
    <w:p w14:paraId="44DDD479">
      <w:pPr>
        <w:pStyle w:val="3"/>
        <w:spacing w:before="0" w:after="0" w:line="415" w:lineRule="auto"/>
        <w:rPr>
          <w:sz w:val="28"/>
          <w:szCs w:val="28"/>
        </w:rPr>
      </w:pPr>
      <w:r>
        <w:rPr>
          <w:rFonts w:hint="eastAsia"/>
          <w:sz w:val="28"/>
          <w:szCs w:val="28"/>
        </w:rPr>
        <w:t>5</w:t>
      </w:r>
      <w:r>
        <w:rPr>
          <w:sz w:val="28"/>
          <w:szCs w:val="28"/>
        </w:rPr>
        <w:t>.4住院病区自助结算系统开发</w:t>
      </w:r>
    </w:p>
    <w:p w14:paraId="0D2CFB01">
      <w:pPr>
        <w:spacing w:line="312" w:lineRule="auto"/>
        <w:ind w:firstLine="420"/>
        <w:rPr>
          <w:lang w:eastAsia="zh-Hans"/>
        </w:rPr>
      </w:pPr>
      <w:r>
        <w:rPr>
          <w:lang w:eastAsia="zh-Hans"/>
        </w:rPr>
        <w:t>病区设备系统对接开发，入院管理、出院流程改造、一键退费、护士长与住院主任电子签名改造等。</w:t>
      </w:r>
    </w:p>
    <w:p w14:paraId="65DCB5E6">
      <w:pPr>
        <w:spacing w:line="312" w:lineRule="auto"/>
      </w:pPr>
    </w:p>
    <w:p w14:paraId="11DDD25D">
      <w:pPr>
        <w:spacing w:line="312" w:lineRule="auto"/>
        <w:ind w:firstLine="420"/>
        <w:rPr>
          <w:rFonts w:hint="eastAsia"/>
        </w:rPr>
      </w:pPr>
      <w:r>
        <w:rPr>
          <w:rFonts w:hint="eastAsia"/>
        </w:rPr>
        <w:t>住院病区自助结算系统需要至少满足如下功能范围：</w:t>
      </w:r>
    </w:p>
    <w:tbl>
      <w:tblPr>
        <w:tblStyle w:val="22"/>
        <w:tblW w:w="9699" w:type="dxa"/>
        <w:tblInd w:w="0" w:type="dxa"/>
        <w:tblLayout w:type="autofit"/>
        <w:tblCellMar>
          <w:top w:w="0" w:type="dxa"/>
          <w:left w:w="108" w:type="dxa"/>
          <w:bottom w:w="0" w:type="dxa"/>
          <w:right w:w="108" w:type="dxa"/>
        </w:tblCellMar>
      </w:tblPr>
      <w:tblGrid>
        <w:gridCol w:w="2088"/>
        <w:gridCol w:w="7611"/>
      </w:tblGrid>
      <w:tr w14:paraId="05A3CAAC">
        <w:tblPrEx>
          <w:tblCellMar>
            <w:top w:w="0" w:type="dxa"/>
            <w:left w:w="108" w:type="dxa"/>
            <w:bottom w:w="0" w:type="dxa"/>
            <w:right w:w="108" w:type="dxa"/>
          </w:tblCellMar>
        </w:tblPrEx>
        <w:trPr>
          <w:trHeight w:val="422" w:hRule="atLeast"/>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22CFD67B">
            <w:pPr>
              <w:spacing w:line="312" w:lineRule="auto"/>
              <w:rPr>
                <w:rFonts w:hint="eastAsia"/>
                <w:b/>
                <w:bCs/>
                <w:sz w:val="21"/>
                <w:szCs w:val="21"/>
              </w:rPr>
            </w:pPr>
            <w:r>
              <w:rPr>
                <w:rFonts w:hint="eastAsia"/>
                <w:b/>
                <w:bCs/>
                <w:sz w:val="21"/>
                <w:szCs w:val="21"/>
              </w:rPr>
              <w:t>功能</w:t>
            </w:r>
          </w:p>
        </w:tc>
        <w:tc>
          <w:tcPr>
            <w:tcW w:w="7611" w:type="dxa"/>
            <w:tcBorders>
              <w:top w:val="single" w:color="auto" w:sz="4" w:space="0"/>
              <w:left w:val="nil"/>
              <w:bottom w:val="single" w:color="auto" w:sz="4" w:space="0"/>
              <w:right w:val="single" w:color="auto" w:sz="4" w:space="0"/>
            </w:tcBorders>
            <w:shd w:val="clear" w:color="auto" w:fill="auto"/>
            <w:vAlign w:val="center"/>
          </w:tcPr>
          <w:p w14:paraId="1A63E70E">
            <w:pPr>
              <w:spacing w:line="312" w:lineRule="auto"/>
              <w:rPr>
                <w:rFonts w:hint="eastAsia"/>
                <w:b/>
                <w:bCs/>
                <w:sz w:val="21"/>
                <w:szCs w:val="21"/>
              </w:rPr>
            </w:pPr>
            <w:r>
              <w:rPr>
                <w:rFonts w:hint="eastAsia"/>
                <w:b/>
                <w:bCs/>
                <w:sz w:val="21"/>
                <w:szCs w:val="21"/>
              </w:rPr>
              <w:t>描述</w:t>
            </w:r>
          </w:p>
        </w:tc>
      </w:tr>
      <w:tr w14:paraId="48EA41D3">
        <w:tblPrEx>
          <w:tblCellMar>
            <w:top w:w="0" w:type="dxa"/>
            <w:left w:w="108" w:type="dxa"/>
            <w:bottom w:w="0" w:type="dxa"/>
            <w:right w:w="108" w:type="dxa"/>
          </w:tblCellMar>
        </w:tblPrEx>
        <w:trPr>
          <w:trHeight w:val="1230" w:hRule="atLeast"/>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05DBF282">
            <w:pPr>
              <w:spacing w:line="312" w:lineRule="auto"/>
              <w:rPr>
                <w:sz w:val="21"/>
                <w:szCs w:val="21"/>
              </w:rPr>
            </w:pPr>
            <w:r>
              <w:rPr>
                <w:rFonts w:hint="eastAsia"/>
                <w:sz w:val="21"/>
                <w:szCs w:val="21"/>
              </w:rPr>
              <w:t>自助入院</w:t>
            </w:r>
          </w:p>
        </w:tc>
        <w:tc>
          <w:tcPr>
            <w:tcW w:w="7611" w:type="dxa"/>
            <w:tcBorders>
              <w:top w:val="single" w:color="auto" w:sz="4" w:space="0"/>
              <w:left w:val="nil"/>
              <w:bottom w:val="single" w:color="auto" w:sz="4" w:space="0"/>
              <w:right w:val="single" w:color="auto" w:sz="4" w:space="0"/>
            </w:tcBorders>
            <w:shd w:val="clear" w:color="auto" w:fill="auto"/>
            <w:vAlign w:val="center"/>
          </w:tcPr>
          <w:p w14:paraId="61F32BF5">
            <w:pPr>
              <w:spacing w:line="312" w:lineRule="auto"/>
              <w:rPr>
                <w:rFonts w:hint="eastAsia"/>
                <w:sz w:val="21"/>
                <w:szCs w:val="21"/>
              </w:rPr>
            </w:pPr>
            <w:r>
              <w:rPr>
                <w:rFonts w:hint="eastAsia"/>
                <w:sz w:val="21"/>
                <w:szCs w:val="21"/>
              </w:rPr>
              <w:t>患者办理入院登记，使用身份证或者就诊卡、医保卡等进行身份确认，识别个人信息后读取医生开具的电子入院卡，确认信息后自助办理入院登记以及医保身份登记。</w:t>
            </w:r>
          </w:p>
        </w:tc>
      </w:tr>
      <w:tr w14:paraId="5EB41B7B">
        <w:tblPrEx>
          <w:tblCellMar>
            <w:top w:w="0" w:type="dxa"/>
            <w:left w:w="108" w:type="dxa"/>
            <w:bottom w:w="0" w:type="dxa"/>
            <w:right w:w="108" w:type="dxa"/>
          </w:tblCellMar>
        </w:tblPrEx>
        <w:trPr>
          <w:trHeight w:val="824" w:hRule="atLeast"/>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5DEC241A">
            <w:pPr>
              <w:spacing w:line="312" w:lineRule="auto"/>
              <w:rPr>
                <w:rFonts w:hint="eastAsia"/>
                <w:sz w:val="21"/>
                <w:szCs w:val="21"/>
              </w:rPr>
            </w:pPr>
            <w:r>
              <w:rPr>
                <w:rFonts w:hint="eastAsia"/>
                <w:sz w:val="21"/>
                <w:szCs w:val="21"/>
              </w:rPr>
              <w:t>住院押金充值</w:t>
            </w:r>
          </w:p>
        </w:tc>
        <w:tc>
          <w:tcPr>
            <w:tcW w:w="7611" w:type="dxa"/>
            <w:tcBorders>
              <w:top w:val="single" w:color="auto" w:sz="4" w:space="0"/>
              <w:left w:val="nil"/>
              <w:bottom w:val="single" w:color="auto" w:sz="4" w:space="0"/>
              <w:right w:val="single" w:color="auto" w:sz="4" w:space="0"/>
            </w:tcBorders>
            <w:shd w:val="clear" w:color="auto" w:fill="auto"/>
            <w:vAlign w:val="center"/>
          </w:tcPr>
          <w:p w14:paraId="4731DB3A">
            <w:pPr>
              <w:spacing w:line="312" w:lineRule="auto"/>
              <w:rPr>
                <w:rFonts w:hint="eastAsia"/>
                <w:sz w:val="21"/>
                <w:szCs w:val="21"/>
              </w:rPr>
            </w:pPr>
            <w:r>
              <w:rPr>
                <w:rFonts w:hint="eastAsia"/>
                <w:sz w:val="21"/>
                <w:szCs w:val="21"/>
              </w:rPr>
              <w:t>缴纳患者的住院押金，支付类别参照“支付标准”，可根据医院的需求可以配置充值的上限</w:t>
            </w:r>
          </w:p>
        </w:tc>
      </w:tr>
      <w:tr w14:paraId="703D5968">
        <w:tblPrEx>
          <w:tblCellMar>
            <w:top w:w="0" w:type="dxa"/>
            <w:left w:w="108" w:type="dxa"/>
            <w:bottom w:w="0" w:type="dxa"/>
            <w:right w:w="108" w:type="dxa"/>
          </w:tblCellMar>
        </w:tblPrEx>
        <w:trPr>
          <w:trHeight w:val="824" w:hRule="atLeast"/>
        </w:trPr>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3E8F2E9A">
            <w:pPr>
              <w:spacing w:line="312" w:lineRule="auto"/>
              <w:rPr>
                <w:rFonts w:hint="eastAsia"/>
                <w:sz w:val="21"/>
                <w:szCs w:val="21"/>
              </w:rPr>
            </w:pPr>
            <w:r>
              <w:rPr>
                <w:rFonts w:hint="eastAsia"/>
                <w:sz w:val="21"/>
                <w:szCs w:val="21"/>
              </w:rPr>
              <w:t>住院清单查询</w:t>
            </w:r>
          </w:p>
        </w:tc>
        <w:tc>
          <w:tcPr>
            <w:tcW w:w="7611" w:type="dxa"/>
            <w:tcBorders>
              <w:top w:val="single" w:color="auto" w:sz="4" w:space="0"/>
              <w:left w:val="nil"/>
              <w:bottom w:val="single" w:color="auto" w:sz="4" w:space="0"/>
              <w:right w:val="single" w:color="auto" w:sz="4" w:space="0"/>
            </w:tcBorders>
            <w:shd w:val="clear" w:color="auto" w:fill="auto"/>
            <w:vAlign w:val="center"/>
          </w:tcPr>
          <w:p w14:paraId="15FB9986">
            <w:pPr>
              <w:spacing w:line="312" w:lineRule="auto"/>
              <w:rPr>
                <w:rFonts w:hint="eastAsia"/>
                <w:sz w:val="21"/>
                <w:szCs w:val="21"/>
              </w:rPr>
            </w:pPr>
            <w:r>
              <w:rPr>
                <w:rFonts w:hint="eastAsia"/>
                <w:sz w:val="21"/>
                <w:szCs w:val="21"/>
              </w:rPr>
              <w:t>可查询就诊日期内住院详细费用清单，日清单模版默认提供标准模版，可根据医院需求进行适配</w:t>
            </w:r>
          </w:p>
        </w:tc>
      </w:tr>
      <w:tr w14:paraId="7B37A351">
        <w:tblPrEx>
          <w:tblCellMar>
            <w:top w:w="0" w:type="dxa"/>
            <w:left w:w="108" w:type="dxa"/>
            <w:bottom w:w="0" w:type="dxa"/>
            <w:right w:w="108" w:type="dxa"/>
          </w:tblCellMar>
        </w:tblPrEx>
        <w:trPr>
          <w:trHeight w:val="824" w:hRule="atLeast"/>
        </w:trPr>
        <w:tc>
          <w:tcPr>
            <w:tcW w:w="2088" w:type="dxa"/>
            <w:vMerge w:val="restart"/>
            <w:tcBorders>
              <w:top w:val="nil"/>
              <w:left w:val="single" w:color="auto" w:sz="4" w:space="0"/>
              <w:bottom w:val="single" w:color="auto" w:sz="4" w:space="0"/>
              <w:right w:val="single" w:color="auto" w:sz="4" w:space="0"/>
            </w:tcBorders>
            <w:shd w:val="clear" w:color="auto" w:fill="auto"/>
            <w:vAlign w:val="center"/>
          </w:tcPr>
          <w:p w14:paraId="7C9BDFAA">
            <w:pPr>
              <w:spacing w:line="312" w:lineRule="auto"/>
              <w:rPr>
                <w:rFonts w:hint="eastAsia"/>
                <w:sz w:val="21"/>
                <w:szCs w:val="21"/>
              </w:rPr>
            </w:pPr>
            <w:r>
              <w:rPr>
                <w:rFonts w:hint="eastAsia"/>
                <w:sz w:val="21"/>
                <w:szCs w:val="21"/>
              </w:rPr>
              <w:t xml:space="preserve">出院结算    </w:t>
            </w:r>
          </w:p>
        </w:tc>
        <w:tc>
          <w:tcPr>
            <w:tcW w:w="7611" w:type="dxa"/>
            <w:tcBorders>
              <w:top w:val="nil"/>
              <w:left w:val="nil"/>
              <w:bottom w:val="single" w:color="auto" w:sz="4" w:space="0"/>
              <w:right w:val="single" w:color="auto" w:sz="4" w:space="0"/>
            </w:tcBorders>
            <w:shd w:val="clear" w:color="auto" w:fill="auto"/>
            <w:vAlign w:val="center"/>
          </w:tcPr>
          <w:p w14:paraId="02E08AC0">
            <w:pPr>
              <w:spacing w:line="312" w:lineRule="auto"/>
              <w:rPr>
                <w:rFonts w:hint="eastAsia"/>
                <w:sz w:val="21"/>
                <w:szCs w:val="21"/>
              </w:rPr>
            </w:pPr>
            <w:r>
              <w:rPr>
                <w:rFonts w:hint="eastAsia"/>
                <w:sz w:val="21"/>
                <w:szCs w:val="21"/>
              </w:rPr>
              <w:t>患者只需在自助机上按照指引进行身份识别、医保或自费结算、费用退补即可办理完成出院结算手续，减少往返。</w:t>
            </w:r>
          </w:p>
        </w:tc>
      </w:tr>
      <w:tr w14:paraId="3FFDC1CD">
        <w:tblPrEx>
          <w:tblCellMar>
            <w:top w:w="0" w:type="dxa"/>
            <w:left w:w="108" w:type="dxa"/>
            <w:bottom w:w="0" w:type="dxa"/>
            <w:right w:w="108" w:type="dxa"/>
          </w:tblCellMar>
        </w:tblPrEx>
        <w:trPr>
          <w:trHeight w:val="824" w:hRule="atLeast"/>
        </w:trPr>
        <w:tc>
          <w:tcPr>
            <w:tcW w:w="2088" w:type="dxa"/>
            <w:vMerge w:val="continue"/>
            <w:tcBorders>
              <w:top w:val="nil"/>
              <w:left w:val="single" w:color="auto" w:sz="4" w:space="0"/>
              <w:bottom w:val="single" w:color="auto" w:sz="4" w:space="0"/>
              <w:right w:val="single" w:color="auto" w:sz="4" w:space="0"/>
            </w:tcBorders>
            <w:vAlign w:val="center"/>
          </w:tcPr>
          <w:p w14:paraId="208143C8">
            <w:pPr>
              <w:spacing w:line="312" w:lineRule="auto"/>
              <w:rPr>
                <w:sz w:val="21"/>
                <w:szCs w:val="21"/>
              </w:rPr>
            </w:pPr>
          </w:p>
        </w:tc>
        <w:tc>
          <w:tcPr>
            <w:tcW w:w="7611" w:type="dxa"/>
            <w:tcBorders>
              <w:top w:val="nil"/>
              <w:left w:val="nil"/>
              <w:bottom w:val="single" w:color="auto" w:sz="4" w:space="0"/>
              <w:right w:val="single" w:color="auto" w:sz="4" w:space="0"/>
            </w:tcBorders>
            <w:shd w:val="clear" w:color="auto" w:fill="auto"/>
            <w:vAlign w:val="center"/>
          </w:tcPr>
          <w:p w14:paraId="1A1202AF">
            <w:pPr>
              <w:spacing w:line="312" w:lineRule="auto"/>
              <w:rPr>
                <w:rFonts w:hint="eastAsia"/>
                <w:sz w:val="21"/>
                <w:szCs w:val="21"/>
              </w:rPr>
            </w:pPr>
            <w:r>
              <w:rPr>
                <w:rFonts w:hint="eastAsia"/>
                <w:sz w:val="21"/>
                <w:szCs w:val="21"/>
              </w:rPr>
              <w:t>补缴费用出院结算：出院结算支持医保、自费补充支付在院期间有欠费的费用；</w:t>
            </w:r>
          </w:p>
        </w:tc>
      </w:tr>
      <w:tr w14:paraId="25C67F3E">
        <w:tblPrEx>
          <w:tblCellMar>
            <w:top w:w="0" w:type="dxa"/>
            <w:left w:w="108" w:type="dxa"/>
            <w:bottom w:w="0" w:type="dxa"/>
            <w:right w:w="108" w:type="dxa"/>
          </w:tblCellMar>
        </w:tblPrEx>
        <w:trPr>
          <w:trHeight w:val="1230" w:hRule="atLeast"/>
        </w:trPr>
        <w:tc>
          <w:tcPr>
            <w:tcW w:w="2088" w:type="dxa"/>
            <w:vMerge w:val="continue"/>
            <w:tcBorders>
              <w:top w:val="nil"/>
              <w:left w:val="single" w:color="auto" w:sz="4" w:space="0"/>
              <w:bottom w:val="single" w:color="auto" w:sz="4" w:space="0"/>
              <w:right w:val="single" w:color="auto" w:sz="4" w:space="0"/>
            </w:tcBorders>
            <w:vAlign w:val="center"/>
          </w:tcPr>
          <w:p w14:paraId="0500A13B">
            <w:pPr>
              <w:spacing w:line="312" w:lineRule="auto"/>
              <w:rPr>
                <w:sz w:val="21"/>
                <w:szCs w:val="21"/>
              </w:rPr>
            </w:pPr>
          </w:p>
        </w:tc>
        <w:tc>
          <w:tcPr>
            <w:tcW w:w="7611" w:type="dxa"/>
            <w:tcBorders>
              <w:top w:val="nil"/>
              <w:left w:val="nil"/>
              <w:bottom w:val="single" w:color="auto" w:sz="4" w:space="0"/>
              <w:right w:val="single" w:color="auto" w:sz="4" w:space="0"/>
            </w:tcBorders>
            <w:shd w:val="clear" w:color="auto" w:fill="auto"/>
            <w:vAlign w:val="center"/>
          </w:tcPr>
          <w:p w14:paraId="0435FA0D">
            <w:pPr>
              <w:spacing w:line="312" w:lineRule="auto"/>
              <w:rPr>
                <w:rFonts w:hint="eastAsia"/>
                <w:sz w:val="21"/>
                <w:szCs w:val="21"/>
              </w:rPr>
            </w:pPr>
            <w:r>
              <w:rPr>
                <w:rFonts w:hint="eastAsia"/>
                <w:sz w:val="21"/>
                <w:szCs w:val="21"/>
              </w:rPr>
              <w:t>退费出院结算：支持医保、自费退费操作、出院时剩余可退费用支持原路返还。支持自助机使用相关工作量、支付等情况统计查询，相关部门有端口可以查询。</w:t>
            </w:r>
          </w:p>
        </w:tc>
      </w:tr>
      <w:tr w14:paraId="4D03DFA8">
        <w:tblPrEx>
          <w:tblCellMar>
            <w:top w:w="0" w:type="dxa"/>
            <w:left w:w="108" w:type="dxa"/>
            <w:bottom w:w="0" w:type="dxa"/>
            <w:right w:w="108" w:type="dxa"/>
          </w:tblCellMar>
        </w:tblPrEx>
        <w:trPr>
          <w:trHeight w:val="834" w:hRule="atLeast"/>
        </w:trPr>
        <w:tc>
          <w:tcPr>
            <w:tcW w:w="2088" w:type="dxa"/>
            <w:tcBorders>
              <w:top w:val="single" w:color="auto" w:sz="4" w:space="0"/>
              <w:left w:val="single" w:color="auto" w:sz="4" w:space="0"/>
              <w:bottom w:val="single" w:color="auto" w:sz="4" w:space="0"/>
              <w:right w:val="single" w:color="auto" w:sz="4" w:space="0"/>
            </w:tcBorders>
            <w:vAlign w:val="center"/>
          </w:tcPr>
          <w:p w14:paraId="4B0C420B">
            <w:pPr>
              <w:spacing w:line="312" w:lineRule="auto"/>
              <w:rPr>
                <w:sz w:val="21"/>
                <w:szCs w:val="21"/>
              </w:rPr>
            </w:pPr>
            <w:r>
              <w:rPr>
                <w:rFonts w:hint="eastAsia"/>
                <w:sz w:val="21"/>
                <w:szCs w:val="21"/>
              </w:rPr>
              <w:t>出院总清单打印</w:t>
            </w:r>
          </w:p>
        </w:tc>
        <w:tc>
          <w:tcPr>
            <w:tcW w:w="7611" w:type="dxa"/>
            <w:tcBorders>
              <w:top w:val="single" w:color="auto" w:sz="4" w:space="0"/>
              <w:left w:val="nil"/>
              <w:bottom w:val="single" w:color="auto" w:sz="4" w:space="0"/>
              <w:right w:val="single" w:color="auto" w:sz="4" w:space="0"/>
            </w:tcBorders>
            <w:shd w:val="clear" w:color="auto" w:fill="auto"/>
            <w:vAlign w:val="center"/>
          </w:tcPr>
          <w:p w14:paraId="304E75A4">
            <w:pPr>
              <w:spacing w:line="312" w:lineRule="auto"/>
              <w:rPr>
                <w:rFonts w:hint="eastAsia"/>
                <w:sz w:val="21"/>
                <w:szCs w:val="21"/>
              </w:rPr>
            </w:pPr>
            <w:r>
              <w:rPr>
                <w:rFonts w:cs="Arial"/>
                <w:sz w:val="21"/>
                <w:szCs w:val="21"/>
                <w:shd w:val="clear" w:color="auto" w:fill="FFFFFF"/>
              </w:rPr>
              <w:t>患者可以</w:t>
            </w:r>
            <w:r>
              <w:rPr>
                <w:rFonts w:hint="eastAsia" w:cs="Arial"/>
                <w:sz w:val="21"/>
                <w:szCs w:val="21"/>
                <w:shd w:val="clear" w:color="auto" w:fill="FFFFFF"/>
              </w:rPr>
              <w:t>打印</w:t>
            </w:r>
            <w:r>
              <w:rPr>
                <w:rFonts w:cs="Arial"/>
                <w:sz w:val="21"/>
                <w:szCs w:val="21"/>
                <w:shd w:val="clear" w:color="auto" w:fill="FFFFFF"/>
              </w:rPr>
              <w:t>住院费用总清单</w:t>
            </w:r>
            <w:r>
              <w:rPr>
                <w:rFonts w:hint="eastAsia" w:cs="Arial"/>
                <w:sz w:val="21"/>
                <w:szCs w:val="21"/>
                <w:shd w:val="clear" w:color="auto" w:fill="FFFFFF"/>
              </w:rPr>
              <w:t>从而</w:t>
            </w:r>
            <w:r>
              <w:rPr>
                <w:rFonts w:cs="Arial"/>
                <w:sz w:val="21"/>
                <w:szCs w:val="21"/>
                <w:shd w:val="clear" w:color="auto" w:fill="FFFFFF"/>
              </w:rPr>
              <w:t>了解每一项费用的具体内容和金额，确保费用的透明度。</w:t>
            </w:r>
          </w:p>
        </w:tc>
      </w:tr>
    </w:tbl>
    <w:p w14:paraId="6A1F110B">
      <w:pPr>
        <w:spacing w:line="312" w:lineRule="auto"/>
      </w:pPr>
    </w:p>
    <w:p w14:paraId="544660A1">
      <w:pPr>
        <w:pStyle w:val="3"/>
        <w:spacing w:before="0" w:after="0" w:line="415" w:lineRule="auto"/>
        <w:rPr>
          <w:sz w:val="28"/>
          <w:szCs w:val="28"/>
        </w:rPr>
      </w:pPr>
      <w:r>
        <w:rPr>
          <w:rFonts w:hint="eastAsia"/>
          <w:sz w:val="28"/>
          <w:szCs w:val="28"/>
        </w:rPr>
        <w:t>5</w:t>
      </w:r>
      <w:r>
        <w:rPr>
          <w:sz w:val="28"/>
          <w:szCs w:val="28"/>
        </w:rPr>
        <w:t>.5</w:t>
      </w:r>
      <w:r>
        <w:rPr>
          <w:rFonts w:hint="eastAsia"/>
          <w:sz w:val="28"/>
          <w:szCs w:val="28"/>
        </w:rPr>
        <w:t xml:space="preserve"> </w:t>
      </w:r>
      <w:r>
        <w:rPr>
          <w:sz w:val="28"/>
          <w:szCs w:val="28"/>
        </w:rPr>
        <w:t>HIS接口改造服务</w:t>
      </w:r>
    </w:p>
    <w:p w14:paraId="77E546FF">
      <w:pPr>
        <w:spacing w:line="312" w:lineRule="auto"/>
        <w:ind w:firstLine="420"/>
        <w:rPr>
          <w:lang w:eastAsia="zh-Hans"/>
        </w:rPr>
      </w:pPr>
      <w:r>
        <w:rPr>
          <w:lang w:eastAsia="zh-Hans"/>
        </w:rPr>
        <w:t>HIS接口改造</w:t>
      </w:r>
      <w:r>
        <w:rPr>
          <w:rFonts w:hint="eastAsia"/>
        </w:rPr>
        <w:t>需要在银医系统的接口之上，第三方提供SP或WS接口</w:t>
      </w:r>
      <w:r>
        <w:rPr>
          <w:lang w:eastAsia="zh-Hans"/>
        </w:rPr>
        <w:t>，</w:t>
      </w:r>
      <w:r>
        <w:rPr>
          <w:rFonts w:hint="eastAsia"/>
        </w:rPr>
        <w:t>从而</w:t>
      </w:r>
      <w:r>
        <w:rPr>
          <w:lang w:eastAsia="zh-Hans"/>
        </w:rPr>
        <w:t>通过技术手段优化医院业务流程，提升患者就医体验。这一改造过程</w:t>
      </w:r>
      <w:r>
        <w:rPr>
          <w:rFonts w:hint="eastAsia"/>
        </w:rPr>
        <w:t>必须</w:t>
      </w:r>
      <w:r>
        <w:rPr>
          <w:lang w:eastAsia="zh-Hans"/>
        </w:rPr>
        <w:t>第三方开发团队的深度参与，</w:t>
      </w:r>
      <w:r>
        <w:rPr>
          <w:rFonts w:hint="eastAsia"/>
        </w:rPr>
        <w:t>打破传统的接口模式，</w:t>
      </w:r>
      <w:r>
        <w:rPr>
          <w:lang w:eastAsia="zh-Hans"/>
        </w:rPr>
        <w:t>以对</w:t>
      </w:r>
      <w:r>
        <w:rPr>
          <w:rFonts w:hint="eastAsia"/>
        </w:rPr>
        <w:t>医院内</w:t>
      </w:r>
      <w:r>
        <w:rPr>
          <w:lang w:eastAsia="zh-Hans"/>
        </w:rPr>
        <w:t>银医系统</w:t>
      </w:r>
      <w:r>
        <w:rPr>
          <w:rFonts w:hint="eastAsia"/>
        </w:rPr>
        <w:t>接口服务</w:t>
      </w:r>
      <w:r>
        <w:rPr>
          <w:lang w:eastAsia="zh-Hans"/>
        </w:rPr>
        <w:t>的二次封装，以提供更加灵活、高效的接口服务。</w:t>
      </w:r>
      <w:r>
        <w:rPr>
          <w:rFonts w:hint="eastAsia"/>
        </w:rPr>
        <w:t>通过第三方的接口封装改造</w:t>
      </w:r>
      <w:r>
        <w:rPr>
          <w:rFonts w:hint="eastAsia"/>
          <w:lang w:eastAsia="zh-Hans"/>
        </w:rPr>
        <w:t>，</w:t>
      </w:r>
      <w:r>
        <w:rPr>
          <w:lang w:eastAsia="zh-Hans"/>
        </w:rPr>
        <w:t>医院能够实现对内业务流程的智能化管理，同时对外提供多样化的服务接口。</w:t>
      </w:r>
    </w:p>
    <w:p w14:paraId="31E190C2">
      <w:pPr>
        <w:pStyle w:val="38"/>
        <w:numPr>
          <w:ilvl w:val="0"/>
          <w:numId w:val="18"/>
        </w:numPr>
        <w:spacing w:line="312" w:lineRule="auto"/>
        <w:ind w:firstLineChars="0"/>
        <w:rPr>
          <w:rFonts w:ascii="宋体" w:hAnsi="宋体" w:eastAsia="宋体"/>
          <w:sz w:val="24"/>
          <w:lang w:eastAsia="zh-Hans"/>
        </w:rPr>
      </w:pPr>
      <w:r>
        <w:rPr>
          <w:rFonts w:ascii="宋体" w:hAnsi="宋体" w:eastAsia="宋体"/>
          <w:sz w:val="24"/>
          <w:lang w:eastAsia="zh-Hans"/>
        </w:rPr>
        <w:t>第三方开发与银医系统二次封装</w:t>
      </w:r>
    </w:p>
    <w:p w14:paraId="357B4083">
      <w:pPr>
        <w:spacing w:line="312" w:lineRule="auto"/>
        <w:ind w:firstLine="420"/>
        <w:rPr>
          <w:lang w:eastAsia="zh-Hans"/>
        </w:rPr>
      </w:pPr>
      <w:r>
        <w:rPr>
          <w:lang w:eastAsia="zh-Hans"/>
        </w:rPr>
        <w:t>在HIS接口改造中，第三方开发团队扮演着至关重要的角色</w:t>
      </w:r>
      <w:r>
        <w:rPr>
          <w:rFonts w:hint="eastAsia"/>
          <w:lang w:eastAsia="zh-Hans"/>
        </w:rPr>
        <w:t>，</w:t>
      </w:r>
      <w:r>
        <w:rPr>
          <w:lang w:eastAsia="zh-Hans"/>
        </w:rPr>
        <w:t>他们能够根据医院的具体需求，对现有银医系统进行深度定制和二次封装。这一过程不仅包括对</w:t>
      </w:r>
      <w:r>
        <w:rPr>
          <w:rFonts w:hint="eastAsia"/>
        </w:rPr>
        <w:t>银医</w:t>
      </w:r>
      <w:r>
        <w:rPr>
          <w:lang w:eastAsia="zh-Hans"/>
        </w:rPr>
        <w:t>接口的升级和优化，还可能涉及新增接口的开发，以满足医院对自助服务、移动支付、在线预约挂号等功能的迫切需求。通过第三方开发团队的介入，医院能够更快地实现银医系统的升级换代，提升系统的稳定性和安全性。</w:t>
      </w:r>
    </w:p>
    <w:p w14:paraId="5466B9DB">
      <w:pPr>
        <w:pStyle w:val="38"/>
        <w:numPr>
          <w:ilvl w:val="0"/>
          <w:numId w:val="18"/>
        </w:numPr>
        <w:spacing w:line="312" w:lineRule="auto"/>
        <w:ind w:firstLineChars="0"/>
        <w:rPr>
          <w:rFonts w:ascii="宋体" w:hAnsi="宋体" w:eastAsia="宋体"/>
          <w:sz w:val="24"/>
          <w:lang w:eastAsia="zh-Hans"/>
        </w:rPr>
      </w:pPr>
      <w:r>
        <w:rPr>
          <w:rFonts w:ascii="宋体" w:hAnsi="宋体" w:eastAsia="宋体"/>
          <w:sz w:val="24"/>
          <w:lang w:eastAsia="zh-Hans"/>
        </w:rPr>
        <w:t>SP或WS接口提供</w:t>
      </w:r>
    </w:p>
    <w:p w14:paraId="03F4DF5A">
      <w:pPr>
        <w:spacing w:line="312" w:lineRule="auto"/>
        <w:ind w:firstLine="420"/>
        <w:rPr>
          <w:lang w:eastAsia="zh-Hans"/>
        </w:rPr>
      </w:pPr>
      <w:r>
        <w:rPr>
          <w:rFonts w:hint="eastAsia"/>
        </w:rPr>
        <w:t>通过第三方封装后，</w:t>
      </w:r>
      <w:r>
        <w:rPr>
          <w:lang w:eastAsia="zh-Hans"/>
        </w:rPr>
        <w:t>改造的接口通常以SP（Service Provider，服务提供商）或WS（Web Service，网络服务）的形式对外提供服务。SP接口主要用于与银行、支付机构等外部系统的对接，实现资金流的实时处理和监控；而WS接口则更多地用于医院内部系统之间的数据交换和共享，</w:t>
      </w:r>
      <w:r>
        <w:rPr>
          <w:rFonts w:hint="eastAsia"/>
        </w:rPr>
        <w:t>此类</w:t>
      </w:r>
      <w:r>
        <w:rPr>
          <w:lang w:eastAsia="zh-Hans"/>
        </w:rPr>
        <w:t>接口不仅支持同步请求和响应，还具备异步通知和回调机制，确保数据的实时性和准确性。通过SP或WS接口，医院能够实现对银医自助功能的全面支持，如自助缴费、自助查询、自助打印等，极大地提升了患者的就医便捷性。</w:t>
      </w:r>
    </w:p>
    <w:p w14:paraId="51F58D9B">
      <w:pPr>
        <w:spacing w:line="312" w:lineRule="auto"/>
        <w:rPr>
          <w:rFonts w:hint="eastAsia"/>
        </w:rPr>
      </w:pPr>
    </w:p>
    <w:p w14:paraId="09CBA190">
      <w:pPr>
        <w:pStyle w:val="2"/>
        <w:spacing w:before="0" w:beforeAutospacing="0" w:after="0" w:afterAutospacing="0"/>
        <w:rPr>
          <w:sz w:val="32"/>
          <w:szCs w:val="32"/>
        </w:rPr>
      </w:pPr>
      <w:r>
        <w:rPr>
          <w:sz w:val="32"/>
          <w:szCs w:val="32"/>
        </w:rPr>
        <w:t>六、实施方案</w:t>
      </w:r>
    </w:p>
    <w:p w14:paraId="1134D066">
      <w:pPr>
        <w:pStyle w:val="3"/>
        <w:spacing w:before="0" w:after="0" w:line="415" w:lineRule="auto"/>
        <w:rPr>
          <w:sz w:val="28"/>
          <w:szCs w:val="28"/>
        </w:rPr>
      </w:pPr>
      <w:r>
        <w:rPr>
          <w:sz w:val="28"/>
          <w:szCs w:val="28"/>
        </w:rPr>
        <w:t>6.1工期要求</w:t>
      </w:r>
    </w:p>
    <w:p w14:paraId="322B90A7">
      <w:pPr>
        <w:spacing w:line="312" w:lineRule="auto"/>
        <w:ind w:firstLine="420"/>
      </w:pPr>
      <w:r>
        <w:t>供应商应根据项目工程量匡算出项目工期，同时承诺系统</w:t>
      </w:r>
      <w:r>
        <w:rPr>
          <w:rFonts w:hint="eastAsia"/>
        </w:rPr>
        <w:t>开发、</w:t>
      </w:r>
      <w:r>
        <w:t>安装</w:t>
      </w:r>
      <w:r>
        <w:rPr>
          <w:rFonts w:hint="eastAsia"/>
        </w:rPr>
        <w:t>、</w:t>
      </w:r>
      <w:r>
        <w:t>集成</w:t>
      </w:r>
      <w:r>
        <w:rPr>
          <w:rFonts w:hint="eastAsia"/>
        </w:rPr>
        <w:t>、上线</w:t>
      </w:r>
      <w:r>
        <w:t>等严格按照采购方，以及医院方的要求，确保项目在规定时间内完工和投产。</w:t>
      </w:r>
    </w:p>
    <w:p w14:paraId="4C5927F7">
      <w:pPr>
        <w:pStyle w:val="3"/>
        <w:spacing w:before="0" w:after="0" w:line="415" w:lineRule="auto"/>
        <w:rPr>
          <w:sz w:val="28"/>
          <w:szCs w:val="28"/>
        </w:rPr>
      </w:pPr>
      <w:r>
        <w:rPr>
          <w:sz w:val="28"/>
          <w:szCs w:val="28"/>
        </w:rPr>
        <w:t>6.2项目实施与质量控制</w:t>
      </w:r>
    </w:p>
    <w:p w14:paraId="135F0BA5">
      <w:pPr>
        <w:pStyle w:val="38"/>
        <w:numPr>
          <w:ilvl w:val="0"/>
          <w:numId w:val="19"/>
        </w:numPr>
        <w:spacing w:line="312" w:lineRule="auto"/>
        <w:ind w:firstLineChars="0"/>
        <w:rPr>
          <w:rFonts w:ascii="宋体" w:hAnsi="宋体" w:eastAsia="宋体"/>
          <w:sz w:val="24"/>
        </w:rPr>
      </w:pPr>
      <w:r>
        <w:rPr>
          <w:rFonts w:ascii="宋体" w:hAnsi="宋体" w:eastAsia="宋体"/>
          <w:sz w:val="24"/>
        </w:rPr>
        <w:t>供应商应提供项目实施计划，主要包括计划的完整性、合理性、先进性，交货、安装调试、协调、项目验收等内容；</w:t>
      </w:r>
    </w:p>
    <w:p w14:paraId="404E7569">
      <w:pPr>
        <w:pStyle w:val="38"/>
        <w:numPr>
          <w:ilvl w:val="0"/>
          <w:numId w:val="19"/>
        </w:numPr>
        <w:spacing w:line="312" w:lineRule="auto"/>
        <w:ind w:firstLineChars="0"/>
        <w:rPr>
          <w:rFonts w:ascii="宋体" w:hAnsi="宋体" w:eastAsia="宋体"/>
          <w:sz w:val="24"/>
        </w:rPr>
      </w:pPr>
      <w:r>
        <w:rPr>
          <w:rFonts w:ascii="宋体" w:hAnsi="宋体" w:eastAsia="宋体"/>
          <w:sz w:val="24"/>
        </w:rPr>
        <w:t>积极配合采购人完成项目可行性认证及设计，提供最新技术，配合采购人完成实施方案，保证优良性价比以及项目技术先进性。</w:t>
      </w:r>
    </w:p>
    <w:p w14:paraId="1CFB0707">
      <w:pPr>
        <w:pStyle w:val="38"/>
        <w:numPr>
          <w:ilvl w:val="0"/>
          <w:numId w:val="19"/>
        </w:numPr>
        <w:spacing w:line="312" w:lineRule="auto"/>
        <w:ind w:firstLineChars="0"/>
        <w:rPr>
          <w:rFonts w:ascii="宋体" w:hAnsi="宋体" w:eastAsia="宋体"/>
          <w:sz w:val="24"/>
        </w:rPr>
      </w:pPr>
      <w:r>
        <w:rPr>
          <w:rFonts w:ascii="宋体" w:hAnsi="宋体" w:eastAsia="宋体"/>
          <w:sz w:val="24"/>
        </w:rPr>
        <w:t>供应商注重技术人员培训，保证派出有本公司的认证的技术人员在项目施工现场进行安装、调试及技术指导。保障采购人系统正常运行。</w:t>
      </w:r>
    </w:p>
    <w:p w14:paraId="65494EC3">
      <w:pPr>
        <w:pStyle w:val="38"/>
        <w:numPr>
          <w:ilvl w:val="0"/>
          <w:numId w:val="19"/>
        </w:numPr>
        <w:spacing w:line="312" w:lineRule="auto"/>
        <w:ind w:firstLineChars="0"/>
        <w:rPr>
          <w:rFonts w:ascii="宋体" w:hAnsi="宋体" w:eastAsia="宋体"/>
          <w:sz w:val="24"/>
        </w:rPr>
      </w:pPr>
      <w:r>
        <w:rPr>
          <w:rFonts w:ascii="宋体" w:hAnsi="宋体" w:eastAsia="宋体"/>
          <w:sz w:val="24"/>
        </w:rPr>
        <w:t>保证有1-2名认证技术人员为</w:t>
      </w:r>
      <w:r>
        <w:rPr>
          <w:rFonts w:hint="eastAsia" w:ascii="宋体" w:hAnsi="宋体" w:eastAsia="宋体"/>
          <w:sz w:val="24"/>
        </w:rPr>
        <w:t>医院上线</w:t>
      </w:r>
      <w:r>
        <w:rPr>
          <w:rFonts w:ascii="宋体" w:hAnsi="宋体" w:eastAsia="宋体"/>
          <w:sz w:val="24"/>
        </w:rPr>
        <w:t>做好技术服务保障。</w:t>
      </w:r>
    </w:p>
    <w:p w14:paraId="485F8A06">
      <w:pPr>
        <w:pStyle w:val="38"/>
        <w:numPr>
          <w:ilvl w:val="0"/>
          <w:numId w:val="19"/>
        </w:numPr>
        <w:spacing w:line="312" w:lineRule="auto"/>
        <w:ind w:firstLineChars="0"/>
        <w:rPr>
          <w:rFonts w:ascii="宋体" w:hAnsi="宋体" w:eastAsia="宋体"/>
          <w:sz w:val="24"/>
        </w:rPr>
      </w:pPr>
      <w:r>
        <w:rPr>
          <w:rFonts w:ascii="宋体" w:hAnsi="宋体" w:eastAsia="宋体"/>
          <w:sz w:val="24"/>
        </w:rPr>
        <w:t>保证派驻至少1名技术人员配合采购人完成工程项目验收。</w:t>
      </w:r>
    </w:p>
    <w:p w14:paraId="493E44D6">
      <w:pPr>
        <w:pStyle w:val="38"/>
        <w:numPr>
          <w:ilvl w:val="0"/>
          <w:numId w:val="19"/>
        </w:numPr>
        <w:spacing w:line="312" w:lineRule="auto"/>
        <w:ind w:firstLineChars="0"/>
        <w:rPr>
          <w:rFonts w:ascii="宋体" w:hAnsi="宋体" w:eastAsia="宋体"/>
          <w:sz w:val="24"/>
        </w:rPr>
      </w:pPr>
      <w:r>
        <w:rPr>
          <w:rFonts w:ascii="宋体" w:hAnsi="宋体" w:eastAsia="宋体"/>
          <w:sz w:val="24"/>
        </w:rPr>
        <w:t>供应商应提供项目实施质量控制方案，对产品的技术指标和综合性能状况，以及能否很好实现设备的各项功能需求进行说明，并作出相应的承诺；</w:t>
      </w:r>
    </w:p>
    <w:p w14:paraId="74E3A13A">
      <w:pPr>
        <w:pStyle w:val="38"/>
        <w:numPr>
          <w:ilvl w:val="0"/>
          <w:numId w:val="19"/>
        </w:numPr>
        <w:spacing w:line="312" w:lineRule="auto"/>
        <w:ind w:firstLineChars="0"/>
        <w:rPr>
          <w:rFonts w:ascii="宋体" w:hAnsi="宋体" w:eastAsia="宋体"/>
          <w:sz w:val="24"/>
        </w:rPr>
      </w:pPr>
      <w:r>
        <w:rPr>
          <w:rFonts w:ascii="宋体" w:hAnsi="宋体" w:eastAsia="宋体"/>
          <w:sz w:val="24"/>
        </w:rPr>
        <w:t>供应商提供产品为自主研发的，应提供相应专利证明。对与采购人相关系统软硬件产品的适应、兼容和功能扩展性进行响应等。同时就设备外观设计及菜单设置的合理性、操作便捷性进行说明。</w:t>
      </w:r>
    </w:p>
    <w:p w14:paraId="5BAD25F4">
      <w:pPr>
        <w:pStyle w:val="3"/>
        <w:spacing w:before="0" w:after="0" w:line="415" w:lineRule="auto"/>
        <w:rPr>
          <w:sz w:val="28"/>
          <w:szCs w:val="28"/>
        </w:rPr>
      </w:pPr>
      <w:r>
        <w:rPr>
          <w:sz w:val="28"/>
          <w:szCs w:val="28"/>
        </w:rPr>
        <w:t>6.3售后维保服务相关要求</w:t>
      </w:r>
    </w:p>
    <w:p w14:paraId="477ABE05">
      <w:pPr>
        <w:spacing w:line="312" w:lineRule="auto"/>
        <w:ind w:firstLine="420"/>
      </w:pPr>
      <w:r>
        <w:rPr>
          <w:rFonts w:hint="eastAsia"/>
        </w:rPr>
        <w:t>验收合格之日起对医院所购软件产品提供三年的维护支持服务。维护支持服务期内，供应商应提供7×24小时电话、网络等远程支持服务及上门维护支持服务。</w:t>
      </w:r>
    </w:p>
    <w:p w14:paraId="2B33FD7C">
      <w:pPr>
        <w:spacing w:line="312" w:lineRule="auto"/>
        <w:ind w:firstLine="420"/>
        <w:rPr>
          <w:rFonts w:hint="eastAsia"/>
        </w:rPr>
      </w:pPr>
      <w:r>
        <w:rPr>
          <w:rFonts w:hint="eastAsia"/>
        </w:rPr>
        <w:t>供应商可通过电话、网络等远程方式对医院在软件产品使用过程中出现的一般性问题提供咨询解答。软件产品出现故障时，医院可以通过电话或网络方式向供应商报告故障（简称“故障报告”），供应商应按照合同约定立即作出响应。</w:t>
      </w:r>
    </w:p>
    <w:p w14:paraId="2BDF86CF">
      <w:pPr>
        <w:spacing w:line="312" w:lineRule="auto"/>
        <w:ind w:firstLine="420"/>
      </w:pPr>
      <w:r>
        <w:rPr>
          <w:rFonts w:hint="eastAsia"/>
        </w:rPr>
        <w:t>软件系统故障分为严重、一般、轻微三个等级，供应商应根据软件故障的不同级别，提供不同的故障响应及服务：“严重”为软件无法运行或基本无法运行，或软件重要功能失效或基本失效；“一般”为软件可以运行，但非重要性功能的使用受到限制；“轻微”为其它轻微影响软件使用的故障。</w:t>
      </w:r>
    </w:p>
    <w:p w14:paraId="39437C7B">
      <w:pPr>
        <w:spacing w:line="312" w:lineRule="auto"/>
        <w:ind w:firstLine="420"/>
      </w:pPr>
      <w:r>
        <w:rPr>
          <w:rFonts w:hint="eastAsia"/>
        </w:rPr>
        <w:t>供应商应对医院故障报告做出及时响应：</w:t>
      </w:r>
    </w:p>
    <w:p w14:paraId="6D0B46E2">
      <w:pPr>
        <w:pStyle w:val="38"/>
        <w:numPr>
          <w:ilvl w:val="1"/>
          <w:numId w:val="20"/>
        </w:numPr>
        <w:spacing w:line="312" w:lineRule="auto"/>
        <w:ind w:left="851" w:firstLineChars="0"/>
        <w:rPr>
          <w:rFonts w:ascii="宋体" w:hAnsi="宋体" w:eastAsia="宋体"/>
          <w:sz w:val="24"/>
        </w:rPr>
      </w:pPr>
      <w:r>
        <w:rPr>
          <w:rFonts w:hint="eastAsia" w:ascii="宋体" w:hAnsi="宋体" w:eastAsia="宋体"/>
          <w:sz w:val="24"/>
        </w:rPr>
        <w:t>对于严重级别故障，供应商应立即派出高级技术人员到现场进行维修，与此同时，供应商技术支持人员应通过电话、网络等方式尝试排除故障；供应商派出的高级技术人员应当在24小时内（从医院故障报告时间起算，下同）到达故障现场，供应商承诺在收到故障报告后24小时内恢复软件产品正常运行。</w:t>
      </w:r>
    </w:p>
    <w:p w14:paraId="64AB41E3">
      <w:pPr>
        <w:pStyle w:val="38"/>
        <w:numPr>
          <w:ilvl w:val="1"/>
          <w:numId w:val="20"/>
        </w:numPr>
        <w:spacing w:line="312" w:lineRule="auto"/>
        <w:ind w:left="851" w:firstLineChars="0"/>
        <w:rPr>
          <w:rFonts w:ascii="宋体" w:hAnsi="宋体" w:eastAsia="宋体"/>
          <w:sz w:val="24"/>
        </w:rPr>
      </w:pPr>
      <w:r>
        <w:rPr>
          <w:rFonts w:hint="eastAsia" w:ascii="宋体" w:hAnsi="宋体" w:eastAsia="宋体"/>
          <w:sz w:val="24"/>
        </w:rPr>
        <w:t>对于一般级别故障，供应商应立即通过电话、网络等方式尝试排除故障；如故障在48小时内无法排除，供应商应立即派出高级技术人员在48小时内到达故障现场进行维修，供应商承诺在收到故障报告后48小时内恢复软件产品正常运行。</w:t>
      </w:r>
    </w:p>
    <w:p w14:paraId="190B8FFD">
      <w:pPr>
        <w:pStyle w:val="38"/>
        <w:numPr>
          <w:ilvl w:val="1"/>
          <w:numId w:val="20"/>
        </w:numPr>
        <w:spacing w:line="312" w:lineRule="auto"/>
        <w:ind w:left="851" w:firstLineChars="0"/>
        <w:rPr>
          <w:rFonts w:ascii="宋体" w:hAnsi="宋体" w:eastAsia="宋体"/>
          <w:sz w:val="24"/>
        </w:rPr>
      </w:pPr>
      <w:r>
        <w:rPr>
          <w:rFonts w:hint="eastAsia" w:ascii="宋体" w:hAnsi="宋体" w:eastAsia="宋体"/>
          <w:sz w:val="24"/>
        </w:rPr>
        <w:t>对于轻微级别故障，供应商应立即通过电话、网络等方式尝试排除故障；如故障在72小时内无法排除，供应商应在72小时内派出技术人员到达故障现场进行维修，供应商承诺在收到故障报告后72小时内恢复软件产品正常运行。</w:t>
      </w:r>
    </w:p>
    <w:p w14:paraId="6B9F8D50">
      <w:pPr>
        <w:pStyle w:val="38"/>
        <w:numPr>
          <w:ilvl w:val="1"/>
          <w:numId w:val="20"/>
        </w:numPr>
        <w:spacing w:line="312" w:lineRule="auto"/>
        <w:ind w:left="851" w:firstLineChars="0"/>
        <w:rPr>
          <w:rFonts w:ascii="宋体" w:hAnsi="宋体" w:eastAsia="宋体"/>
          <w:sz w:val="24"/>
        </w:rPr>
      </w:pPr>
      <w:r>
        <w:rPr>
          <w:rFonts w:hint="eastAsia" w:ascii="宋体" w:hAnsi="宋体" w:eastAsia="宋体"/>
          <w:sz w:val="24"/>
        </w:rPr>
        <w:t>对于无法现场解决的故障，供应商应当立即以功能相同的符合合同约定的软件产品替换故障软件产品或按照医院要求采取其他补救措施。</w:t>
      </w:r>
    </w:p>
    <w:p w14:paraId="0A1D9043">
      <w:pPr>
        <w:spacing w:line="312" w:lineRule="auto"/>
        <w:ind w:firstLine="420"/>
        <w:rPr>
          <w:rFonts w:hint="eastAsia"/>
        </w:rPr>
      </w:pPr>
      <w:r>
        <w:rPr>
          <w:rFonts w:hint="eastAsia"/>
        </w:rPr>
        <w:t>在维保期内，如医院提出新的需求，供应商将在维护支持服务期外以最优惠的价格为合同项下软件产品提供终身维护支持服务，服务水准应不低于前述服务期内水准，收费标准按照供应商提供给予所有服务采购方中最优惠的服务收费标准执行。</w:t>
      </w:r>
    </w:p>
    <w:p w14:paraId="3FD69AC3">
      <w:pPr>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br w:type="page"/>
      </w:r>
    </w:p>
    <w:p w14:paraId="2AF32CD6">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val="0"/>
          <w:bCs/>
          <w:sz w:val="44"/>
          <w:szCs w:val="44"/>
          <w:highlight w:val="none"/>
          <w:lang w:val="zh-CN" w:eastAsia="zh-CN"/>
        </w:rPr>
      </w:pPr>
      <w:r>
        <w:rPr>
          <w:rFonts w:hint="eastAsia" w:ascii="宋体" w:hAnsi="宋体" w:eastAsia="宋体" w:cs="宋体"/>
          <w:b w:val="0"/>
          <w:bCs/>
          <w:sz w:val="44"/>
          <w:szCs w:val="44"/>
          <w:highlight w:val="none"/>
          <w:lang w:val="zh-CN" w:eastAsia="zh-CN"/>
        </w:rPr>
        <w:t>第</w:t>
      </w:r>
      <w:r>
        <w:rPr>
          <w:rFonts w:hint="eastAsia" w:ascii="宋体" w:hAnsi="宋体" w:eastAsia="宋体" w:cs="宋体"/>
          <w:b w:val="0"/>
          <w:bCs/>
          <w:sz w:val="44"/>
          <w:szCs w:val="44"/>
          <w:highlight w:val="none"/>
          <w:lang w:val="en-US" w:eastAsia="zh-CN"/>
        </w:rPr>
        <w:t>六</w:t>
      </w:r>
      <w:r>
        <w:rPr>
          <w:rFonts w:hint="eastAsia" w:ascii="宋体" w:hAnsi="宋体" w:eastAsia="宋体" w:cs="宋体"/>
          <w:b w:val="0"/>
          <w:bCs/>
          <w:sz w:val="44"/>
          <w:szCs w:val="44"/>
          <w:highlight w:val="none"/>
          <w:lang w:val="zh-CN" w:eastAsia="zh-CN"/>
        </w:rPr>
        <w:t>章  响应文件格式</w:t>
      </w:r>
      <w:bookmarkEnd w:id="29"/>
      <w:bookmarkEnd w:id="30"/>
      <w:bookmarkEnd w:id="31"/>
      <w:bookmarkEnd w:id="32"/>
    </w:p>
    <w:p w14:paraId="7B8C235B">
      <w:pPr>
        <w:autoSpaceDE w:val="0"/>
        <w:autoSpaceDN w:val="0"/>
        <w:adjustRightInd w:val="0"/>
        <w:spacing w:line="600" w:lineRule="exact"/>
        <w:jc w:val="left"/>
        <w:rPr>
          <w:rFonts w:hint="eastAsia" w:ascii="宋体" w:hAnsi="宋体" w:eastAsia="宋体" w:cs="宋体"/>
          <w:b w:val="0"/>
          <w:szCs w:val="18"/>
          <w:highlight w:val="none"/>
          <w:lang w:val="zh-CN"/>
        </w:rPr>
      </w:pPr>
    </w:p>
    <w:p w14:paraId="33DFAA9E">
      <w:pPr>
        <w:spacing w:line="360" w:lineRule="auto"/>
        <w:jc w:val="center"/>
        <w:outlineLvl w:val="9"/>
        <w:rPr>
          <w:rFonts w:hint="eastAsia" w:ascii="宋体" w:hAnsi="宋体" w:eastAsia="宋体" w:cs="宋体"/>
          <w:b w:val="0"/>
          <w:sz w:val="32"/>
          <w:szCs w:val="32"/>
          <w:highlight w:val="none"/>
          <w:u w:val="single"/>
        </w:rPr>
      </w:pPr>
    </w:p>
    <w:p w14:paraId="5527EBC1">
      <w:pPr>
        <w:spacing w:line="360" w:lineRule="auto"/>
        <w:jc w:val="center"/>
        <w:outlineLvl w:val="9"/>
        <w:rPr>
          <w:rFonts w:hint="eastAsia" w:ascii="宋体" w:hAnsi="宋体" w:eastAsia="宋体" w:cs="宋体"/>
          <w:b w:val="0"/>
          <w:sz w:val="32"/>
          <w:szCs w:val="32"/>
          <w:highlight w:val="none"/>
          <w:u w:val="single"/>
        </w:rPr>
      </w:pPr>
      <w:bookmarkStart w:id="33" w:name="_Toc28544"/>
      <w:r>
        <w:rPr>
          <w:rFonts w:hint="eastAsia" w:ascii="宋体" w:hAnsi="宋体" w:eastAsia="宋体" w:cs="宋体"/>
          <w:b w:val="0"/>
          <w:sz w:val="32"/>
          <w:szCs w:val="32"/>
          <w:highlight w:val="none"/>
          <w:u w:val="single"/>
        </w:rPr>
        <w:t>（项目名称）</w:t>
      </w:r>
      <w:bookmarkEnd w:id="33"/>
    </w:p>
    <w:p w14:paraId="30125ABB">
      <w:pPr>
        <w:spacing w:line="360" w:lineRule="auto"/>
        <w:jc w:val="center"/>
        <w:outlineLvl w:val="9"/>
        <w:rPr>
          <w:rFonts w:hint="eastAsia" w:ascii="宋体" w:hAnsi="宋体" w:eastAsia="宋体" w:cs="宋体"/>
          <w:b w:val="0"/>
          <w:szCs w:val="21"/>
          <w:highlight w:val="none"/>
        </w:rPr>
      </w:pPr>
    </w:p>
    <w:p w14:paraId="39FB9390">
      <w:pPr>
        <w:spacing w:line="360" w:lineRule="auto"/>
        <w:jc w:val="center"/>
        <w:outlineLvl w:val="9"/>
        <w:rPr>
          <w:rFonts w:hint="eastAsia" w:ascii="宋体" w:hAnsi="宋体" w:eastAsia="宋体" w:cs="宋体"/>
          <w:b w:val="0"/>
          <w:sz w:val="72"/>
          <w:szCs w:val="72"/>
          <w:highlight w:val="none"/>
        </w:rPr>
      </w:pPr>
    </w:p>
    <w:p w14:paraId="38D35E45">
      <w:pPr>
        <w:spacing w:line="360" w:lineRule="auto"/>
        <w:jc w:val="center"/>
        <w:outlineLvl w:val="9"/>
        <w:rPr>
          <w:rFonts w:hint="eastAsia" w:ascii="宋体" w:hAnsi="宋体" w:eastAsia="宋体" w:cs="宋体"/>
          <w:b w:val="0"/>
          <w:sz w:val="72"/>
          <w:szCs w:val="72"/>
          <w:highlight w:val="none"/>
        </w:rPr>
      </w:pPr>
    </w:p>
    <w:p w14:paraId="2BCE6BFB">
      <w:pPr>
        <w:spacing w:line="360" w:lineRule="auto"/>
        <w:jc w:val="center"/>
        <w:outlineLvl w:val="9"/>
        <w:rPr>
          <w:rFonts w:hint="eastAsia" w:ascii="宋体" w:hAnsi="宋体" w:eastAsia="宋体" w:cs="宋体"/>
          <w:b w:val="0"/>
          <w:sz w:val="72"/>
          <w:szCs w:val="72"/>
          <w:highlight w:val="none"/>
          <w:lang w:eastAsia="zh-CN"/>
        </w:rPr>
      </w:pPr>
      <w:bookmarkStart w:id="34" w:name="_Toc15896"/>
      <w:r>
        <w:rPr>
          <w:rFonts w:hint="eastAsia" w:ascii="宋体" w:hAnsi="宋体" w:eastAsia="宋体" w:cs="宋体"/>
          <w:b w:val="0"/>
          <w:sz w:val="72"/>
          <w:szCs w:val="72"/>
          <w:highlight w:val="none"/>
          <w:lang w:eastAsia="zh-CN"/>
        </w:rPr>
        <w:t>竞争性磋商响应文件</w:t>
      </w:r>
      <w:bookmarkEnd w:id="34"/>
    </w:p>
    <w:p w14:paraId="10DCDF8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ECAFDC8">
      <w:pPr>
        <w:spacing w:line="360" w:lineRule="auto"/>
        <w:jc w:val="center"/>
        <w:outlineLvl w:val="9"/>
        <w:rPr>
          <w:rFonts w:hint="eastAsia" w:ascii="宋体" w:hAnsi="宋体" w:eastAsia="宋体" w:cs="宋体"/>
          <w:b w:val="0"/>
          <w:szCs w:val="21"/>
          <w:highlight w:val="none"/>
        </w:rPr>
      </w:pPr>
    </w:p>
    <w:p w14:paraId="7BC3D7A7">
      <w:pPr>
        <w:spacing w:line="360" w:lineRule="auto"/>
        <w:jc w:val="center"/>
        <w:outlineLvl w:val="9"/>
        <w:rPr>
          <w:rFonts w:hint="eastAsia" w:ascii="宋体" w:hAnsi="宋体" w:eastAsia="宋体" w:cs="宋体"/>
          <w:b w:val="0"/>
          <w:szCs w:val="21"/>
          <w:highlight w:val="none"/>
        </w:rPr>
      </w:pPr>
    </w:p>
    <w:p w14:paraId="7BE55520">
      <w:pPr>
        <w:spacing w:line="360" w:lineRule="auto"/>
        <w:jc w:val="center"/>
        <w:outlineLvl w:val="9"/>
        <w:rPr>
          <w:rFonts w:hint="eastAsia" w:ascii="宋体" w:hAnsi="宋体" w:eastAsia="宋体" w:cs="宋体"/>
          <w:b w:val="0"/>
          <w:szCs w:val="21"/>
          <w:highlight w:val="none"/>
        </w:rPr>
      </w:pPr>
    </w:p>
    <w:p w14:paraId="21817ACA">
      <w:pPr>
        <w:spacing w:line="360" w:lineRule="auto"/>
        <w:jc w:val="center"/>
        <w:outlineLvl w:val="9"/>
        <w:rPr>
          <w:rFonts w:hint="eastAsia" w:ascii="宋体" w:hAnsi="宋体" w:eastAsia="宋体" w:cs="宋体"/>
          <w:b w:val="0"/>
          <w:szCs w:val="21"/>
          <w:highlight w:val="none"/>
        </w:rPr>
      </w:pPr>
    </w:p>
    <w:p w14:paraId="0329156D">
      <w:pPr>
        <w:spacing w:line="360" w:lineRule="auto"/>
        <w:jc w:val="center"/>
        <w:outlineLvl w:val="9"/>
        <w:rPr>
          <w:rFonts w:hint="eastAsia" w:ascii="宋体" w:hAnsi="宋体" w:eastAsia="宋体" w:cs="宋体"/>
          <w:b w:val="0"/>
          <w:szCs w:val="21"/>
          <w:highlight w:val="none"/>
        </w:rPr>
      </w:pPr>
    </w:p>
    <w:p w14:paraId="143DA88E">
      <w:pPr>
        <w:spacing w:line="360" w:lineRule="auto"/>
        <w:jc w:val="center"/>
        <w:outlineLvl w:val="9"/>
        <w:rPr>
          <w:rFonts w:hint="eastAsia" w:ascii="宋体" w:hAnsi="宋体" w:eastAsia="宋体" w:cs="宋体"/>
          <w:b w:val="0"/>
          <w:szCs w:val="21"/>
          <w:highlight w:val="none"/>
        </w:rPr>
      </w:pPr>
    </w:p>
    <w:p w14:paraId="1C473464">
      <w:pPr>
        <w:spacing w:line="360" w:lineRule="auto"/>
        <w:jc w:val="center"/>
        <w:outlineLvl w:val="9"/>
        <w:rPr>
          <w:rFonts w:hint="eastAsia" w:ascii="宋体" w:hAnsi="宋体" w:eastAsia="宋体" w:cs="宋体"/>
          <w:b w:val="0"/>
          <w:sz w:val="28"/>
          <w:szCs w:val="28"/>
          <w:highlight w:val="none"/>
        </w:rPr>
      </w:pPr>
      <w:bookmarkStart w:id="35"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35"/>
    </w:p>
    <w:p w14:paraId="21AB6B71">
      <w:pPr>
        <w:spacing w:line="360" w:lineRule="auto"/>
        <w:jc w:val="center"/>
        <w:outlineLvl w:val="9"/>
        <w:rPr>
          <w:rFonts w:hint="eastAsia" w:ascii="宋体" w:hAnsi="宋体" w:eastAsia="宋体" w:cs="宋体"/>
          <w:b w:val="0"/>
          <w:sz w:val="28"/>
          <w:szCs w:val="28"/>
          <w:highlight w:val="none"/>
        </w:rPr>
      </w:pPr>
    </w:p>
    <w:p w14:paraId="6AEDE3B4">
      <w:pPr>
        <w:spacing w:line="360" w:lineRule="auto"/>
        <w:jc w:val="center"/>
        <w:outlineLvl w:val="9"/>
        <w:rPr>
          <w:rFonts w:hint="eastAsia" w:ascii="宋体" w:hAnsi="宋体" w:eastAsia="宋体" w:cs="宋体"/>
          <w:b w:val="0"/>
          <w:sz w:val="28"/>
          <w:szCs w:val="28"/>
          <w:highlight w:val="none"/>
        </w:rPr>
      </w:pPr>
      <w:bookmarkStart w:id="36"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eastAsia="zh-CN"/>
        </w:rPr>
        <w:t>或</w:t>
      </w:r>
      <w:r>
        <w:rPr>
          <w:rFonts w:hint="eastAsia" w:ascii="宋体" w:hAnsi="宋体" w:eastAsia="宋体" w:cs="宋体"/>
          <w:b w:val="0"/>
          <w:sz w:val="28"/>
          <w:szCs w:val="28"/>
          <w:highlight w:val="none"/>
        </w:rPr>
        <w:t>其委托代理人：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36"/>
    </w:p>
    <w:p w14:paraId="6DF9BFE6">
      <w:pPr>
        <w:spacing w:line="360" w:lineRule="auto"/>
        <w:jc w:val="center"/>
        <w:outlineLvl w:val="9"/>
        <w:rPr>
          <w:rFonts w:hint="eastAsia" w:ascii="宋体" w:hAnsi="宋体" w:eastAsia="宋体" w:cs="宋体"/>
          <w:b w:val="0"/>
          <w:szCs w:val="21"/>
          <w:highlight w:val="none"/>
          <w:u w:val="single"/>
        </w:rPr>
      </w:pPr>
    </w:p>
    <w:p w14:paraId="7A510942">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37"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37"/>
    </w:p>
    <w:p w14:paraId="337AD85B">
      <w:pPr>
        <w:tabs>
          <w:tab w:val="left" w:pos="720"/>
        </w:tabs>
        <w:ind w:left="0" w:firstLine="0"/>
        <w:jc w:val="center"/>
        <w:outlineLvl w:val="9"/>
        <w:rPr>
          <w:rFonts w:hint="eastAsia" w:ascii="宋体" w:hAnsi="宋体" w:eastAsia="宋体" w:cs="宋体"/>
          <w:sz w:val="44"/>
          <w:szCs w:val="44"/>
          <w:highlight w:val="none"/>
        </w:rPr>
      </w:pPr>
      <w:bookmarkStart w:id="38" w:name="_Toc184635137"/>
      <w:bookmarkStart w:id="39" w:name="_Toc382396569"/>
      <w:r>
        <w:rPr>
          <w:rFonts w:hint="eastAsia" w:ascii="宋体" w:hAnsi="宋体" w:eastAsia="宋体" w:cs="宋体"/>
          <w:sz w:val="44"/>
          <w:szCs w:val="44"/>
          <w:highlight w:val="none"/>
        </w:rPr>
        <w:t>目    录</w:t>
      </w:r>
      <w:bookmarkEnd w:id="38"/>
      <w:bookmarkEnd w:id="39"/>
    </w:p>
    <w:p w14:paraId="58B2D21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5B4D35AE">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78C3579F">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6E0E3DD1">
      <w:pPr>
        <w:pStyle w:val="10"/>
        <w:outlineLvl w:val="9"/>
        <w:rPr>
          <w:rFonts w:hint="eastAsia" w:ascii="宋体" w:hAnsi="宋体" w:eastAsia="宋体" w:cs="宋体"/>
          <w:b w:val="0"/>
          <w:sz w:val="24"/>
          <w:szCs w:val="24"/>
          <w:highlight w:val="none"/>
          <w:lang w:val="en-US" w:eastAsia="zh-CN"/>
        </w:rPr>
      </w:pPr>
    </w:p>
    <w:p w14:paraId="0EEE1F44">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296E0BDC">
      <w:pPr>
        <w:jc w:val="center"/>
        <w:outlineLvl w:val="9"/>
        <w:rPr>
          <w:rFonts w:hint="eastAsia" w:ascii="宋体" w:hAnsi="宋体" w:eastAsia="宋体" w:cs="宋体"/>
          <w:b/>
          <w:kern w:val="0"/>
          <w:sz w:val="32"/>
          <w:szCs w:val="20"/>
          <w:highlight w:val="none"/>
          <w:lang w:val="en-US" w:eastAsia="zh-CN" w:bidi="ar-SA"/>
        </w:rPr>
      </w:pPr>
      <w:bookmarkStart w:id="40" w:name="_Toc184635138"/>
      <w:bookmarkStart w:id="41" w:name="_Toc382396570"/>
      <w:bookmarkStart w:id="42" w:name="_Toc31889"/>
      <w:r>
        <w:rPr>
          <w:rFonts w:hint="eastAsia" w:ascii="宋体" w:hAnsi="宋体" w:eastAsia="宋体" w:cs="宋体"/>
          <w:b/>
          <w:kern w:val="0"/>
          <w:sz w:val="32"/>
          <w:szCs w:val="20"/>
          <w:highlight w:val="none"/>
          <w:lang w:val="en-US" w:eastAsia="zh-CN" w:bidi="ar-SA"/>
        </w:rPr>
        <w:t>一、投标函及投标函附录</w:t>
      </w:r>
      <w:bookmarkEnd w:id="40"/>
      <w:bookmarkEnd w:id="41"/>
      <w:bookmarkEnd w:id="42"/>
    </w:p>
    <w:p w14:paraId="56F2B9CD">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67443D60">
      <w:pPr>
        <w:spacing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lang w:eastAsia="zh-CN"/>
        </w:rPr>
        <w:t>采购人</w:t>
      </w:r>
      <w:r>
        <w:rPr>
          <w:rFonts w:hint="eastAsia" w:ascii="宋体" w:hAnsi="宋体" w:eastAsia="宋体" w:cs="宋体"/>
          <w:b w:val="0"/>
          <w:sz w:val="21"/>
          <w:szCs w:val="21"/>
          <w:highlight w:val="none"/>
        </w:rPr>
        <w:t xml:space="preserve">名称）: </w:t>
      </w:r>
    </w:p>
    <w:p w14:paraId="3744369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1．我方已仔细研究了</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cs="宋体"/>
          <w:b w:val="0"/>
          <w:sz w:val="21"/>
          <w:szCs w:val="21"/>
          <w:highlight w:val="none"/>
          <w:lang w:val="en-US" w:eastAsia="zh-CN"/>
        </w:rPr>
        <w:t>竞争性磋商文件</w:t>
      </w:r>
      <w:r>
        <w:rPr>
          <w:rFonts w:hint="eastAsia" w:ascii="宋体" w:hAnsi="宋体" w:eastAsia="宋体" w:cs="宋体"/>
          <w:b w:val="0"/>
          <w:sz w:val="21"/>
          <w:szCs w:val="21"/>
          <w:highlight w:val="none"/>
        </w:rPr>
        <w:t>的全部内容，愿意以人民币（大写）</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元（¥</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）的投标总报价，</w:t>
      </w:r>
      <w:r>
        <w:rPr>
          <w:rFonts w:hint="eastAsia" w:ascii="宋体" w:hAnsi="宋体" w:cs="宋体"/>
          <w:sz w:val="21"/>
          <w:szCs w:val="21"/>
          <w:highlight w:val="none"/>
          <w:lang w:val="en-US" w:eastAsia="zh-CN"/>
        </w:rPr>
        <w:t>合同履行期限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，按合同约定实施</w:t>
      </w:r>
      <w:r>
        <w:rPr>
          <w:rFonts w:hint="eastAsia" w:ascii="宋体" w:hAnsi="宋体" w:cs="宋体"/>
          <w:b w:val="0"/>
          <w:sz w:val="21"/>
          <w:szCs w:val="21"/>
          <w:highlight w:val="none"/>
          <w:lang w:val="en-US" w:eastAsia="zh-CN"/>
        </w:rPr>
        <w:t>服务</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服务</w:t>
      </w:r>
      <w:r>
        <w:rPr>
          <w:rFonts w:hint="eastAsia" w:ascii="宋体" w:hAnsi="宋体" w:eastAsia="宋体" w:cs="宋体"/>
          <w:b w:val="0"/>
          <w:sz w:val="21"/>
          <w:szCs w:val="21"/>
          <w:highlight w:val="none"/>
        </w:rPr>
        <w:t>质量达到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3D6D139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2．我方承诺在投标有效期内不修改、撤销</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w:t>
      </w:r>
    </w:p>
    <w:p w14:paraId="7EFF352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val="en-US" w:eastAsia="zh-CN"/>
        </w:rPr>
        <w:t>3</w:t>
      </w:r>
      <w:r>
        <w:rPr>
          <w:rFonts w:hint="eastAsia" w:ascii="宋体" w:hAnsi="宋体" w:eastAsia="宋体" w:cs="宋体"/>
          <w:b w:val="0"/>
          <w:sz w:val="21"/>
          <w:szCs w:val="21"/>
          <w:highlight w:val="none"/>
        </w:rPr>
        <w:t>．如我方中标：</w:t>
      </w:r>
    </w:p>
    <w:p w14:paraId="47682FC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4130BF9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748D442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663EF71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zh-CN"/>
        </w:rPr>
        <w:t>我们如果在规定的投标有效期内撤回投标，则你方可不予退还我们的投标保证金。</w:t>
      </w:r>
    </w:p>
    <w:p w14:paraId="61A0F2C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lang w:val="zh-CN"/>
        </w:rPr>
        <w:t>我们保证向你方提供你方可能要求的与本投标有关的任何证据或资料。</w:t>
      </w:r>
    </w:p>
    <w:p w14:paraId="1E33B6B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w:t>
      </w:r>
      <w:r>
        <w:rPr>
          <w:rFonts w:hint="eastAsia" w:ascii="宋体" w:hAnsi="宋体" w:cs="宋体"/>
          <w:szCs w:val="21"/>
          <w:highlight w:val="none"/>
          <w:lang w:val="zh-CN"/>
        </w:rPr>
        <w:t>我们完全理解你方不一定要接受最低报价的投标或收到的任何投标。</w:t>
      </w:r>
    </w:p>
    <w:p w14:paraId="4BD34D3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4E392D07">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cs="宋体"/>
          <w:szCs w:val="21"/>
          <w:highlight w:val="none"/>
          <w:lang w:eastAsia="zh-CN"/>
        </w:rPr>
        <w:t>）</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0187735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4858F68D">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4F992D6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5CEE9306">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25FEADB0">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46E787E4">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05F3E378">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B2A7985">
      <w:pPr>
        <w:autoSpaceDE w:val="0"/>
        <w:autoSpaceDN w:val="0"/>
        <w:adjustRightInd w:val="0"/>
        <w:spacing w:line="360" w:lineRule="auto"/>
        <w:ind w:firstLine="480"/>
        <w:rPr>
          <w:rFonts w:hint="eastAsia" w:ascii="宋体" w:hAnsi="宋体" w:eastAsia="宋体" w:cs="宋体"/>
          <w:b w:val="0"/>
          <w:sz w:val="21"/>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01226660">
      <w:pPr>
        <w:spacing w:line="360" w:lineRule="auto"/>
        <w:jc w:val="both"/>
        <w:rPr>
          <w:rFonts w:hint="eastAsia" w:ascii="宋体" w:hAnsi="宋体" w:eastAsia="宋体" w:cs="宋体"/>
          <w:b w:val="0"/>
          <w:sz w:val="21"/>
          <w:szCs w:val="21"/>
          <w:highlight w:val="none"/>
        </w:rPr>
      </w:pPr>
    </w:p>
    <w:p w14:paraId="17304D0E">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3516E04B">
      <w:pPr>
        <w:spacing w:line="360" w:lineRule="auto"/>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或盖章</w:t>
      </w:r>
      <w:r>
        <w:rPr>
          <w:rFonts w:hint="eastAsia" w:ascii="宋体" w:hAnsi="宋体" w:eastAsia="宋体" w:cs="宋体"/>
          <w:b w:val="0"/>
          <w:sz w:val="21"/>
          <w:szCs w:val="21"/>
          <w:highlight w:val="none"/>
        </w:rPr>
        <w:t>）</w:t>
      </w:r>
    </w:p>
    <w:p w14:paraId="5A985515">
      <w:pPr>
        <w:spacing w:line="360" w:lineRule="auto"/>
        <w:ind w:firstLine="3498" w:firstLineChars="1666"/>
        <w:jc w:val="righ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p>
    <w:p w14:paraId="3FE84E0C">
      <w:pPr>
        <w:spacing w:line="360" w:lineRule="auto"/>
        <w:ind w:firstLine="3498" w:firstLineChars="1666"/>
        <w:jc w:val="righ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网址：</w:t>
      </w:r>
      <w:r>
        <w:rPr>
          <w:rFonts w:hint="eastAsia" w:ascii="宋体" w:hAnsi="宋体" w:eastAsia="宋体" w:cs="宋体"/>
          <w:b w:val="0"/>
          <w:sz w:val="21"/>
          <w:szCs w:val="21"/>
          <w:highlight w:val="none"/>
          <w:u w:val="single"/>
        </w:rPr>
        <w:t xml:space="preserve">                                        .</w:t>
      </w:r>
    </w:p>
    <w:p w14:paraId="58C5586D">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r>
        <w:rPr>
          <w:rFonts w:hint="eastAsia" w:ascii="宋体" w:hAnsi="宋体" w:eastAsia="宋体" w:cs="宋体"/>
          <w:b w:val="0"/>
          <w:sz w:val="21"/>
          <w:szCs w:val="21"/>
          <w:highlight w:val="none"/>
          <w:u w:val="single"/>
        </w:rPr>
        <w:t xml:space="preserve">                                        .</w:t>
      </w:r>
    </w:p>
    <w:p w14:paraId="0112741D">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r>
        <w:rPr>
          <w:rFonts w:hint="eastAsia" w:ascii="宋体" w:hAnsi="宋体" w:eastAsia="宋体" w:cs="宋体"/>
          <w:b w:val="0"/>
          <w:sz w:val="21"/>
          <w:szCs w:val="21"/>
          <w:highlight w:val="none"/>
          <w:u w:val="single"/>
        </w:rPr>
        <w:t xml:space="preserve">                                        .</w:t>
      </w:r>
    </w:p>
    <w:p w14:paraId="6A58E2C4">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r>
        <w:rPr>
          <w:rFonts w:hint="eastAsia" w:ascii="宋体" w:hAnsi="宋体" w:eastAsia="宋体" w:cs="宋体"/>
          <w:b w:val="0"/>
          <w:sz w:val="21"/>
          <w:szCs w:val="21"/>
          <w:highlight w:val="none"/>
          <w:u w:val="single"/>
        </w:rPr>
        <w:t xml:space="preserve">                                    .</w:t>
      </w:r>
    </w:p>
    <w:p w14:paraId="2DEB693E">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日期：</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12EB2D28">
      <w:pPr>
        <w:wordWrap w:val="0"/>
        <w:spacing w:line="360" w:lineRule="auto"/>
        <w:ind w:right="420" w:firstLine="3498" w:firstLineChars="1666"/>
        <w:jc w:val="right"/>
        <w:rPr>
          <w:rFonts w:hint="eastAsia" w:ascii="宋体" w:hAnsi="宋体" w:eastAsia="宋体" w:cs="宋体"/>
          <w:b w:val="0"/>
          <w:sz w:val="21"/>
          <w:szCs w:val="21"/>
          <w:highlight w:val="none"/>
        </w:rPr>
      </w:pPr>
    </w:p>
    <w:p w14:paraId="7F26ED1A">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AFC8D42">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1C9C50FC">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1"/>
        <w:gridCol w:w="1456"/>
        <w:gridCol w:w="6127"/>
        <w:gridCol w:w="1334"/>
      </w:tblGrid>
      <w:tr w14:paraId="21A5B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5872BEC3">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551739E9">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6127" w:type="dxa"/>
            <w:tcBorders>
              <w:top w:val="single" w:color="auto" w:sz="4" w:space="0"/>
              <w:left w:val="single" w:color="auto" w:sz="4" w:space="0"/>
              <w:bottom w:val="single" w:color="auto" w:sz="4" w:space="0"/>
              <w:right w:val="single" w:color="auto" w:sz="4" w:space="0"/>
            </w:tcBorders>
            <w:noWrap w:val="0"/>
            <w:vAlign w:val="center"/>
          </w:tcPr>
          <w:p w14:paraId="6FCE729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4E17CF4">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2CF8C44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16179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349AAD3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953E1">
            <w:pPr>
              <w:autoSpaceDE w:val="0"/>
              <w:autoSpaceDN w:val="0"/>
              <w:adjustRightInd w:val="0"/>
              <w:spacing w:line="0" w:lineRule="atLeast"/>
              <w:jc w:val="lef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lang w:val="zh-CN"/>
              </w:rPr>
              <w:t>合同履行期限</w:t>
            </w:r>
          </w:p>
        </w:tc>
        <w:tc>
          <w:tcPr>
            <w:tcW w:w="6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8FDCE5">
            <w:pPr>
              <w:autoSpaceDE w:val="0"/>
              <w:autoSpaceDN w:val="0"/>
              <w:adjustRightInd w:val="0"/>
              <w:spacing w:line="0" w:lineRule="atLeast"/>
              <w:jc w:val="left"/>
              <w:rPr>
                <w:rFonts w:hint="eastAsia" w:ascii="宋体" w:hAnsi="宋体" w:eastAsia="宋体" w:cs="宋体"/>
                <w:color w:val="auto"/>
                <w:kern w:val="2"/>
                <w:sz w:val="21"/>
                <w:szCs w:val="21"/>
                <w:highlight w:val="none"/>
                <w:lang w:val="zh-CN"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664FD17">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23CDB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2622A3A0">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6C1D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供应商名称</w:t>
            </w:r>
          </w:p>
        </w:tc>
        <w:tc>
          <w:tcPr>
            <w:tcW w:w="6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DA77A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zh-CN"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0B7ABF8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24B3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77A61796">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CDA2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zh-CN"/>
              </w:rPr>
              <w:t>投标文件</w:t>
            </w:r>
            <w:r>
              <w:rPr>
                <w:rFonts w:hint="eastAsia" w:ascii="宋体" w:hAnsi="宋体" w:eastAsia="宋体" w:cs="宋体"/>
                <w:b w:val="0"/>
                <w:color w:val="auto"/>
                <w:sz w:val="21"/>
                <w:szCs w:val="21"/>
                <w:highlight w:val="none"/>
                <w:lang w:val="zh-CN"/>
              </w:rPr>
              <w:t>签字、盖章要求</w:t>
            </w:r>
          </w:p>
        </w:tc>
        <w:tc>
          <w:tcPr>
            <w:tcW w:w="6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73320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zh-CN"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4636BC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B268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001" w:type="dxa"/>
            <w:tcBorders>
              <w:top w:val="single" w:color="auto" w:sz="4" w:space="0"/>
              <w:left w:val="single" w:color="auto" w:sz="4" w:space="0"/>
              <w:bottom w:val="single" w:color="auto" w:sz="4" w:space="0"/>
              <w:right w:val="single" w:color="auto" w:sz="4" w:space="0"/>
            </w:tcBorders>
            <w:noWrap w:val="0"/>
            <w:vAlign w:val="center"/>
          </w:tcPr>
          <w:p w14:paraId="32DF73BD">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4</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5F7A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zh-CN"/>
              </w:rPr>
              <w:t>投标文件</w:t>
            </w:r>
            <w:r>
              <w:rPr>
                <w:rFonts w:hint="eastAsia" w:ascii="宋体" w:hAnsi="宋体" w:eastAsia="宋体" w:cs="宋体"/>
                <w:b w:val="0"/>
                <w:color w:val="auto"/>
                <w:sz w:val="21"/>
                <w:szCs w:val="21"/>
                <w:highlight w:val="none"/>
                <w:lang w:val="zh-CN"/>
              </w:rPr>
              <w:t>格式</w:t>
            </w:r>
          </w:p>
        </w:tc>
        <w:tc>
          <w:tcPr>
            <w:tcW w:w="6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6F28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74640998">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18526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auto" w:sz="4" w:space="0"/>
              <w:bottom w:val="single" w:color="auto" w:sz="4" w:space="0"/>
              <w:right w:val="single" w:color="auto" w:sz="4" w:space="0"/>
            </w:tcBorders>
          </w:tcPr>
          <w:p w14:paraId="4B30380B">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646C0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zh-CN"/>
              </w:rPr>
              <w:t>报价唯一</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74E14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p>
        </w:tc>
        <w:tc>
          <w:tcPr>
            <w:tcW w:w="0" w:type="auto"/>
            <w:tcBorders>
              <w:top w:val="single" w:color="auto" w:sz="4" w:space="0"/>
              <w:left w:val="single" w:color="auto" w:sz="4" w:space="0"/>
              <w:bottom w:val="single" w:color="auto" w:sz="4" w:space="0"/>
            </w:tcBorders>
          </w:tcPr>
          <w:p w14:paraId="1D61EEAC">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9A72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auto" w:sz="4" w:space="0"/>
              <w:bottom w:val="single" w:color="auto" w:sz="4" w:space="0"/>
              <w:right w:val="single" w:color="auto" w:sz="4" w:space="0"/>
            </w:tcBorders>
          </w:tcPr>
          <w:p w14:paraId="68A64460">
            <w:pPr>
              <w:autoSpaceDE w:val="0"/>
              <w:autoSpaceDN w:val="0"/>
              <w:adjustRightInd w:val="0"/>
              <w:spacing w:line="300" w:lineRule="exact"/>
              <w:rPr>
                <w:rFonts w:hint="default" w:ascii="宋体" w:hAnsi="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24DC0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E03A8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bottom w:val="single" w:color="auto" w:sz="4" w:space="0"/>
            </w:tcBorders>
          </w:tcPr>
          <w:p w14:paraId="33060D86">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0D4A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auto" w:sz="4" w:space="0"/>
              <w:bottom w:val="single" w:color="auto" w:sz="4" w:space="0"/>
              <w:right w:val="single" w:color="auto" w:sz="4" w:space="0"/>
            </w:tcBorders>
          </w:tcPr>
          <w:p w14:paraId="7DF7E4C2">
            <w:pPr>
              <w:autoSpaceDE w:val="0"/>
              <w:autoSpaceDN w:val="0"/>
              <w:adjustRightInd w:val="0"/>
              <w:spacing w:line="300" w:lineRule="exact"/>
              <w:rPr>
                <w:rFonts w:hint="default" w:ascii="宋体" w:hAnsi="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92DE2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9E06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bottom w:val="single" w:color="auto" w:sz="4" w:space="0"/>
            </w:tcBorders>
          </w:tcPr>
          <w:p w14:paraId="327BCDC8">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7B800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tcBorders>
              <w:top w:val="single" w:color="auto" w:sz="4" w:space="0"/>
              <w:right w:val="single" w:color="auto" w:sz="4" w:space="0"/>
            </w:tcBorders>
          </w:tcPr>
          <w:p w14:paraId="47907A18">
            <w:pPr>
              <w:autoSpaceDE w:val="0"/>
              <w:autoSpaceDN w:val="0"/>
              <w:adjustRightInd w:val="0"/>
              <w:spacing w:line="300" w:lineRule="exact"/>
              <w:rPr>
                <w:rFonts w:hint="default" w:ascii="宋体" w:hAnsi="宋体" w:cs="宋体"/>
                <w:b w:val="0"/>
                <w:kern w:val="2"/>
                <w:sz w:val="21"/>
                <w:szCs w:val="21"/>
                <w:highlight w:val="none"/>
                <w:lang w:val="en-US" w:eastAsia="zh-CN" w:bidi="ar-SA"/>
              </w:rPr>
            </w:pPr>
            <w:r>
              <w:rPr>
                <w:rFonts w:hint="eastAsia" w:ascii="宋体" w:hAnsi="宋体" w:cs="宋体"/>
                <w:b w:val="0"/>
                <w:kern w:val="2"/>
                <w:sz w:val="21"/>
                <w:szCs w:val="21"/>
                <w:highlight w:val="none"/>
                <w:lang w:val="en-US" w:eastAsia="zh-CN" w:bidi="ar-SA"/>
              </w:rPr>
              <w:t>8</w:t>
            </w:r>
          </w:p>
        </w:tc>
        <w:tc>
          <w:tcPr>
            <w:tcW w:w="0" w:type="auto"/>
            <w:tcBorders>
              <w:top w:val="single" w:color="auto" w:sz="4" w:space="0"/>
              <w:left w:val="single" w:color="auto" w:sz="4" w:space="0"/>
              <w:right w:val="single" w:color="auto" w:sz="4" w:space="0"/>
            </w:tcBorders>
            <w:shd w:val="clear" w:color="auto" w:fill="auto"/>
            <w:vAlign w:val="center"/>
          </w:tcPr>
          <w:p w14:paraId="5882A7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right w:val="single" w:color="auto" w:sz="4" w:space="0"/>
            </w:tcBorders>
            <w:shd w:val="clear" w:color="auto" w:fill="auto"/>
            <w:vAlign w:val="center"/>
          </w:tcPr>
          <w:p w14:paraId="4CD4A7A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color w:val="auto"/>
                <w:sz w:val="21"/>
                <w:szCs w:val="21"/>
                <w:highlight w:val="none"/>
                <w:lang w:val="en-US" w:eastAsia="zh-CN"/>
              </w:rPr>
              <w:t>...</w:t>
            </w:r>
          </w:p>
        </w:tc>
        <w:tc>
          <w:tcPr>
            <w:tcW w:w="0" w:type="auto"/>
            <w:tcBorders>
              <w:top w:val="single" w:color="auto" w:sz="4" w:space="0"/>
              <w:left w:val="single" w:color="auto" w:sz="4" w:space="0"/>
            </w:tcBorders>
          </w:tcPr>
          <w:p w14:paraId="5634EC6D">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1EDBEBAE">
      <w:pPr>
        <w:autoSpaceDE w:val="0"/>
        <w:autoSpaceDN w:val="0"/>
        <w:adjustRightInd w:val="0"/>
        <w:spacing w:line="400" w:lineRule="exact"/>
        <w:jc w:val="left"/>
        <w:rPr>
          <w:rFonts w:hint="eastAsia" w:ascii="宋体" w:hAnsi="宋体" w:eastAsia="宋体" w:cs="宋体"/>
          <w:b w:val="0"/>
          <w:szCs w:val="18"/>
          <w:highlight w:val="none"/>
        </w:rPr>
      </w:pPr>
    </w:p>
    <w:p w14:paraId="1816FAB9">
      <w:pPr>
        <w:ind w:left="2663" w:leftChars="1268" w:firstLine="2171" w:firstLineChars="1034"/>
        <w:jc w:val="left"/>
        <w:rPr>
          <w:rFonts w:hint="eastAsia" w:ascii="宋体" w:hAnsi="宋体" w:eastAsia="宋体" w:cs="宋体"/>
          <w:b w:val="0"/>
          <w:sz w:val="21"/>
          <w:szCs w:val="21"/>
          <w:highlight w:val="none"/>
        </w:rPr>
      </w:pPr>
      <w:bookmarkStart w:id="43" w:name="_Toc382396571"/>
      <w:bookmarkStart w:id="44" w:name="_Toc4402"/>
      <w:bookmarkStart w:id="45" w:name="_Toc184635139"/>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0F0C122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011CB267">
      <w:pPr>
        <w:ind w:left="4320" w:firstLine="38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val="en-US"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3FEE6D19">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3E84E97">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3903C5C1">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567E15BA">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43"/>
      <w:bookmarkEnd w:id="44"/>
      <w:bookmarkEnd w:id="45"/>
    </w:p>
    <w:p w14:paraId="0D9E1D85">
      <w:pPr>
        <w:spacing w:line="360" w:lineRule="auto"/>
        <w:ind w:firstLine="480" w:firstLineChars="200"/>
        <w:rPr>
          <w:rFonts w:hint="eastAsia" w:ascii="宋体" w:hAnsi="宋体" w:eastAsia="宋体" w:cs="宋体"/>
          <w:b w:val="0"/>
          <w:sz w:val="24"/>
          <w:szCs w:val="24"/>
          <w:highlight w:val="none"/>
        </w:rPr>
      </w:pPr>
    </w:p>
    <w:p w14:paraId="644FC16E">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4813292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1AA6401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4884BD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75B367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400E171E">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6B26802F">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1958D9F0">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5B7A08C0">
      <w:pPr>
        <w:spacing w:line="360" w:lineRule="auto"/>
        <w:ind w:firstLine="420" w:firstLineChars="200"/>
        <w:jc w:val="both"/>
        <w:rPr>
          <w:rFonts w:hint="eastAsia" w:ascii="宋体" w:hAnsi="宋体" w:eastAsia="宋体" w:cs="宋体"/>
          <w:b w:val="0"/>
          <w:sz w:val="21"/>
          <w:szCs w:val="21"/>
          <w:highlight w:val="none"/>
        </w:rPr>
      </w:pPr>
    </w:p>
    <w:p w14:paraId="7D50A588">
      <w:pPr>
        <w:spacing w:line="360" w:lineRule="auto"/>
        <w:ind w:firstLine="420" w:firstLineChars="200"/>
        <w:jc w:val="both"/>
        <w:rPr>
          <w:rFonts w:hint="eastAsia" w:ascii="宋体" w:hAnsi="宋体" w:eastAsia="宋体" w:cs="宋体"/>
          <w:b w:val="0"/>
          <w:sz w:val="21"/>
          <w:szCs w:val="21"/>
          <w:highlight w:val="none"/>
        </w:rPr>
      </w:pPr>
    </w:p>
    <w:p w14:paraId="17192C98">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68720CD2">
      <w:pPr>
        <w:spacing w:line="360" w:lineRule="auto"/>
        <w:ind w:firstLine="4515" w:firstLineChars="2150"/>
        <w:jc w:val="both"/>
        <w:rPr>
          <w:rFonts w:hint="eastAsia" w:ascii="宋体" w:hAnsi="宋体" w:eastAsia="宋体" w:cs="宋体"/>
          <w:b w:val="0"/>
          <w:sz w:val="21"/>
          <w:szCs w:val="21"/>
          <w:highlight w:val="none"/>
          <w:u w:val="single"/>
        </w:rPr>
      </w:pPr>
    </w:p>
    <w:p w14:paraId="574C38B9">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5E6DCA99">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6BCB0DBB">
      <w:pPr>
        <w:tabs>
          <w:tab w:val="left" w:pos="720"/>
        </w:tabs>
        <w:jc w:val="center"/>
        <w:outlineLvl w:val="9"/>
        <w:rPr>
          <w:rFonts w:hint="eastAsia" w:ascii="宋体" w:hAnsi="宋体" w:eastAsia="宋体" w:cs="宋体"/>
          <w:b/>
          <w:bCs/>
          <w:sz w:val="32"/>
          <w:szCs w:val="36"/>
          <w:highlight w:val="none"/>
        </w:rPr>
      </w:pPr>
      <w:bookmarkStart w:id="46" w:name="_Toc8835"/>
      <w:bookmarkStart w:id="47" w:name="_Toc184635140"/>
      <w:bookmarkStart w:id="48" w:name="_Toc382396572"/>
      <w:r>
        <w:rPr>
          <w:rFonts w:hint="eastAsia" w:ascii="宋体" w:hAnsi="宋体" w:eastAsia="宋体" w:cs="宋体"/>
          <w:b/>
          <w:bCs/>
          <w:sz w:val="32"/>
          <w:szCs w:val="36"/>
          <w:highlight w:val="none"/>
        </w:rPr>
        <w:t>三、授权委托书</w:t>
      </w:r>
      <w:bookmarkEnd w:id="46"/>
      <w:bookmarkEnd w:id="47"/>
      <w:bookmarkEnd w:id="48"/>
    </w:p>
    <w:p w14:paraId="3B1FE2AF">
      <w:pPr>
        <w:spacing w:line="360" w:lineRule="auto"/>
        <w:ind w:firstLine="420" w:firstLineChars="200"/>
        <w:rPr>
          <w:rFonts w:hint="eastAsia" w:ascii="宋体" w:hAnsi="宋体" w:eastAsia="宋体" w:cs="宋体"/>
          <w:b w:val="0"/>
          <w:szCs w:val="21"/>
          <w:highlight w:val="none"/>
        </w:rPr>
      </w:pPr>
    </w:p>
    <w:p w14:paraId="61327CD7">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14:paraId="7380036E">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35C5AA4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4D880C8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22BCE1FF">
      <w:pPr>
        <w:spacing w:line="360" w:lineRule="auto"/>
        <w:ind w:firstLine="420" w:firstLineChars="200"/>
        <w:jc w:val="both"/>
        <w:rPr>
          <w:rFonts w:hint="eastAsia" w:ascii="宋体" w:hAnsi="宋体" w:eastAsia="宋体" w:cs="宋体"/>
          <w:b w:val="0"/>
          <w:sz w:val="21"/>
          <w:szCs w:val="21"/>
          <w:highlight w:val="none"/>
        </w:rPr>
      </w:pPr>
    </w:p>
    <w:p w14:paraId="4294BAC4">
      <w:pPr>
        <w:spacing w:line="360" w:lineRule="auto"/>
        <w:ind w:firstLine="420" w:firstLineChars="200"/>
        <w:jc w:val="both"/>
        <w:rPr>
          <w:rFonts w:hint="eastAsia" w:ascii="宋体" w:hAnsi="宋体" w:eastAsia="宋体" w:cs="宋体"/>
          <w:b w:val="0"/>
          <w:sz w:val="21"/>
          <w:szCs w:val="21"/>
          <w:highlight w:val="none"/>
        </w:rPr>
      </w:pPr>
    </w:p>
    <w:p w14:paraId="20519906">
      <w:pPr>
        <w:spacing w:line="360" w:lineRule="auto"/>
        <w:ind w:firstLine="420" w:firstLineChars="200"/>
        <w:jc w:val="both"/>
        <w:rPr>
          <w:rFonts w:hint="eastAsia" w:ascii="宋体" w:hAnsi="宋体" w:eastAsia="宋体" w:cs="宋体"/>
          <w:b w:val="0"/>
          <w:sz w:val="21"/>
          <w:szCs w:val="21"/>
          <w:highlight w:val="none"/>
        </w:rPr>
      </w:pPr>
    </w:p>
    <w:p w14:paraId="59382D9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20069860">
      <w:pPr>
        <w:spacing w:line="360" w:lineRule="auto"/>
        <w:ind w:firstLine="420" w:firstLineChars="200"/>
        <w:jc w:val="both"/>
        <w:rPr>
          <w:rFonts w:hint="eastAsia" w:ascii="宋体" w:hAnsi="宋体" w:eastAsia="宋体" w:cs="宋体"/>
          <w:b w:val="0"/>
          <w:sz w:val="21"/>
          <w:szCs w:val="21"/>
          <w:highlight w:val="none"/>
        </w:rPr>
      </w:pPr>
    </w:p>
    <w:p w14:paraId="1ACC59F0">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672DBF32">
      <w:pPr>
        <w:spacing w:line="360" w:lineRule="auto"/>
        <w:ind w:firstLine="420" w:firstLineChars="200"/>
        <w:jc w:val="both"/>
        <w:rPr>
          <w:rFonts w:hint="eastAsia" w:ascii="宋体" w:hAnsi="宋体" w:eastAsia="宋体" w:cs="宋体"/>
          <w:b w:val="0"/>
          <w:sz w:val="21"/>
          <w:szCs w:val="21"/>
          <w:highlight w:val="none"/>
        </w:rPr>
      </w:pPr>
    </w:p>
    <w:p w14:paraId="6963CBAC">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0716FD8A">
      <w:pPr>
        <w:spacing w:line="360" w:lineRule="auto"/>
        <w:ind w:firstLine="420" w:firstLineChars="200"/>
        <w:jc w:val="both"/>
        <w:rPr>
          <w:rFonts w:hint="eastAsia" w:ascii="宋体" w:hAnsi="宋体" w:eastAsia="宋体" w:cs="宋体"/>
          <w:b w:val="0"/>
          <w:sz w:val="21"/>
          <w:szCs w:val="21"/>
          <w:highlight w:val="none"/>
        </w:rPr>
      </w:pPr>
    </w:p>
    <w:p w14:paraId="4EF69849">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099D52B2">
      <w:pPr>
        <w:spacing w:line="360" w:lineRule="auto"/>
        <w:ind w:firstLine="420" w:firstLineChars="200"/>
        <w:jc w:val="both"/>
        <w:rPr>
          <w:rFonts w:hint="eastAsia" w:ascii="宋体" w:hAnsi="宋体" w:eastAsia="宋体" w:cs="宋体"/>
          <w:b w:val="0"/>
          <w:sz w:val="21"/>
          <w:szCs w:val="21"/>
          <w:highlight w:val="none"/>
        </w:rPr>
      </w:pPr>
    </w:p>
    <w:p w14:paraId="432A5609">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2AA2BB6C">
      <w:pPr>
        <w:spacing w:line="360" w:lineRule="auto"/>
        <w:ind w:firstLine="5355" w:firstLineChars="2550"/>
        <w:jc w:val="both"/>
        <w:rPr>
          <w:rFonts w:hint="eastAsia" w:ascii="宋体" w:hAnsi="宋体" w:eastAsia="宋体" w:cs="宋体"/>
          <w:b w:val="0"/>
          <w:sz w:val="21"/>
          <w:szCs w:val="21"/>
          <w:highlight w:val="none"/>
        </w:rPr>
      </w:pPr>
    </w:p>
    <w:p w14:paraId="372CEFD3">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E1C17E6">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1BF94A4">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bookmarkStart w:id="49" w:name="_Toc184635142"/>
      <w:r>
        <w:rPr>
          <w:rFonts w:hint="eastAsia" w:ascii="宋体" w:hAnsi="宋体" w:cs="宋体"/>
          <w:b/>
          <w:bCs/>
          <w:kern w:val="2"/>
          <w:sz w:val="32"/>
          <w:szCs w:val="36"/>
          <w:highlight w:val="none"/>
          <w:lang w:val="en-US" w:eastAsia="zh-CN" w:bidi="ar-SA"/>
        </w:rPr>
        <w:t>四、</w:t>
      </w:r>
      <w:r>
        <w:rPr>
          <w:rFonts w:hint="eastAsia" w:ascii="宋体" w:hAnsi="宋体" w:eastAsia="宋体" w:cs="宋体"/>
          <w:b/>
          <w:bCs/>
          <w:kern w:val="2"/>
          <w:sz w:val="32"/>
          <w:szCs w:val="36"/>
          <w:highlight w:val="none"/>
          <w:lang w:val="en-US" w:eastAsia="zh-CN" w:bidi="ar-SA"/>
        </w:rPr>
        <w:t>首次报价一览表</w:t>
      </w:r>
    </w:p>
    <w:p w14:paraId="64F7A996">
      <w:pPr>
        <w:pStyle w:val="37"/>
        <w:spacing w:line="360" w:lineRule="auto"/>
        <w:ind w:left="0" w:leftChars="0" w:firstLine="3840" w:firstLineChars="1600"/>
        <w:jc w:val="both"/>
        <w:rPr>
          <w:rFonts w:hint="eastAsia" w:ascii="宋体" w:hAnsi="宋体" w:eastAsia="宋体"/>
          <w:sz w:val="24"/>
          <w:highlight w:val="none"/>
          <w:lang w:eastAsia="zh-CN"/>
        </w:rPr>
      </w:pPr>
      <w:r>
        <w:rPr>
          <w:rFonts w:hint="eastAsia" w:ascii="宋体" w:hAnsi="宋体"/>
          <w:sz w:val="24"/>
          <w:highlight w:val="none"/>
          <w:lang w:eastAsia="zh-CN"/>
        </w:rPr>
        <w:t>以政采云网站格式为准</w:t>
      </w:r>
    </w:p>
    <w:p w14:paraId="60EFDFA5">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25D0E34E">
      <w:pPr>
        <w:rPr>
          <w:rFonts w:hint="eastAsia" w:ascii="宋体" w:hAnsi="宋体" w:eastAsia="宋体" w:cs="宋体"/>
          <w:szCs w:val="32"/>
          <w:highlight w:val="none"/>
        </w:rPr>
      </w:pPr>
      <w:bookmarkStart w:id="50" w:name="_Toc15393"/>
      <w:bookmarkStart w:id="51" w:name="_Toc382396574"/>
      <w:r>
        <w:rPr>
          <w:rFonts w:hint="eastAsia" w:ascii="宋体" w:hAnsi="宋体" w:eastAsia="宋体" w:cs="宋体"/>
          <w:szCs w:val="32"/>
          <w:highlight w:val="none"/>
        </w:rPr>
        <w:br w:type="page"/>
      </w:r>
    </w:p>
    <w:bookmarkEnd w:id="49"/>
    <w:bookmarkEnd w:id="50"/>
    <w:bookmarkEnd w:id="51"/>
    <w:p w14:paraId="58A0FEAF">
      <w:pPr>
        <w:autoSpaceDE w:val="0"/>
        <w:autoSpaceDN w:val="0"/>
        <w:adjustRightInd w:val="0"/>
        <w:spacing w:line="360" w:lineRule="auto"/>
        <w:jc w:val="center"/>
        <w:rPr>
          <w:rFonts w:hint="eastAsia" w:ascii="宋体" w:hAnsi="宋体" w:eastAsia="宋体" w:cs="宋体"/>
          <w:b/>
          <w:sz w:val="32"/>
          <w:highlight w:val="none"/>
          <w:lang w:val="zh-CN"/>
        </w:rPr>
      </w:pPr>
      <w:bookmarkStart w:id="52" w:name="_Toc382396577"/>
      <w:bookmarkStart w:id="53" w:name="_Toc184635145"/>
      <w:bookmarkStart w:id="54" w:name="_Toc22129"/>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2C07A66B">
      <w:pPr>
        <w:autoSpaceDE w:val="0"/>
        <w:autoSpaceDN w:val="0"/>
        <w:adjustRightInd w:val="0"/>
        <w:spacing w:line="360" w:lineRule="auto"/>
        <w:rPr>
          <w:rFonts w:hint="eastAsia" w:ascii="宋体" w:hAnsi="宋体" w:eastAsia="宋体" w:cs="宋体"/>
          <w:b/>
          <w:sz w:val="24"/>
          <w:highlight w:val="none"/>
          <w:lang w:val="zh-CN"/>
        </w:rPr>
      </w:pPr>
    </w:p>
    <w:p w14:paraId="5AE54C1F">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556FD948">
      <w:pPr>
        <w:tabs>
          <w:tab w:val="left" w:pos="720"/>
        </w:tabs>
        <w:jc w:val="center"/>
        <w:outlineLvl w:val="9"/>
        <w:rPr>
          <w:rFonts w:hint="eastAsia" w:ascii="宋体" w:hAnsi="宋体" w:eastAsia="宋体" w:cs="宋体"/>
          <w:b/>
          <w:bCs/>
          <w:sz w:val="32"/>
          <w:szCs w:val="48"/>
          <w:highlight w:val="none"/>
        </w:rPr>
      </w:pPr>
    </w:p>
    <w:p w14:paraId="6779E749">
      <w:pPr>
        <w:rPr>
          <w:rFonts w:hint="eastAsia" w:ascii="宋体" w:hAnsi="宋体" w:eastAsia="宋体" w:cs="宋体"/>
          <w:b/>
          <w:bCs/>
          <w:sz w:val="32"/>
          <w:szCs w:val="48"/>
          <w:highlight w:val="none"/>
        </w:rPr>
      </w:pPr>
      <w:r>
        <w:rPr>
          <w:rFonts w:hint="eastAsia" w:ascii="宋体" w:hAnsi="宋体" w:eastAsia="宋体" w:cs="宋体"/>
          <w:b/>
          <w:bCs/>
          <w:sz w:val="32"/>
          <w:szCs w:val="48"/>
          <w:highlight w:val="none"/>
        </w:rPr>
        <w:br w:type="page"/>
      </w:r>
    </w:p>
    <w:p w14:paraId="33A6672A">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52"/>
      <w:bookmarkEnd w:id="53"/>
      <w:bookmarkEnd w:id="54"/>
      <w:r>
        <w:rPr>
          <w:rFonts w:hint="eastAsia" w:ascii="宋体" w:hAnsi="宋体" w:cs="宋体"/>
          <w:b/>
          <w:bCs/>
          <w:sz w:val="32"/>
          <w:szCs w:val="48"/>
          <w:highlight w:val="none"/>
          <w:lang w:val="en-US" w:eastAsia="zh-CN"/>
        </w:rPr>
        <w:t>项目核心团队成员</w:t>
      </w:r>
    </w:p>
    <w:p w14:paraId="01B12B30">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2"/>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5D9C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2F22815A">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519B8A9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06FF999A">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25C4D1D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0CADE894">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3B921770">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33E8D004">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1DE1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351731D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97BBB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6C86F1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2B9A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B3B3CD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B9E125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D065FFE">
            <w:pPr>
              <w:spacing w:line="360" w:lineRule="auto"/>
              <w:jc w:val="both"/>
              <w:rPr>
                <w:rFonts w:hint="eastAsia" w:ascii="宋体" w:hAnsi="宋体" w:eastAsia="宋体" w:cs="宋体"/>
                <w:b w:val="0"/>
                <w:sz w:val="21"/>
                <w:szCs w:val="21"/>
                <w:highlight w:val="none"/>
              </w:rPr>
            </w:pPr>
          </w:p>
        </w:tc>
      </w:tr>
      <w:tr w14:paraId="5F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E1DECC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413BE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3A2FFC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74564C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F2D82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A6299E5">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04F6AC">
            <w:pPr>
              <w:spacing w:line="360" w:lineRule="auto"/>
              <w:jc w:val="both"/>
              <w:rPr>
                <w:rFonts w:hint="eastAsia" w:ascii="宋体" w:hAnsi="宋体" w:eastAsia="宋体" w:cs="宋体"/>
                <w:b w:val="0"/>
                <w:sz w:val="21"/>
                <w:szCs w:val="21"/>
                <w:highlight w:val="none"/>
              </w:rPr>
            </w:pPr>
          </w:p>
        </w:tc>
      </w:tr>
      <w:tr w14:paraId="6959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372D8B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DCC0A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37354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E67A7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CCD7C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0714C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A7A4845">
            <w:pPr>
              <w:spacing w:line="360" w:lineRule="auto"/>
              <w:jc w:val="both"/>
              <w:rPr>
                <w:rFonts w:hint="eastAsia" w:ascii="宋体" w:hAnsi="宋体" w:eastAsia="宋体" w:cs="宋体"/>
                <w:b w:val="0"/>
                <w:sz w:val="21"/>
                <w:szCs w:val="21"/>
                <w:highlight w:val="none"/>
              </w:rPr>
            </w:pPr>
          </w:p>
        </w:tc>
      </w:tr>
      <w:tr w14:paraId="2AF2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9C13A4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89EB1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72471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84573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644893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01DEAE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5DB46FC0">
            <w:pPr>
              <w:spacing w:line="360" w:lineRule="auto"/>
              <w:jc w:val="both"/>
              <w:rPr>
                <w:rFonts w:hint="eastAsia" w:ascii="宋体" w:hAnsi="宋体" w:eastAsia="宋体" w:cs="宋体"/>
                <w:b w:val="0"/>
                <w:sz w:val="21"/>
                <w:szCs w:val="21"/>
                <w:highlight w:val="none"/>
              </w:rPr>
            </w:pPr>
          </w:p>
        </w:tc>
      </w:tr>
      <w:tr w14:paraId="4A86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E1EEE8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3D37B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BE2AC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2BA30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4B373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FE8401">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53355B3">
            <w:pPr>
              <w:spacing w:line="360" w:lineRule="auto"/>
              <w:jc w:val="both"/>
              <w:rPr>
                <w:rFonts w:hint="eastAsia" w:ascii="宋体" w:hAnsi="宋体" w:eastAsia="宋体" w:cs="宋体"/>
                <w:b w:val="0"/>
                <w:sz w:val="21"/>
                <w:szCs w:val="21"/>
                <w:highlight w:val="none"/>
              </w:rPr>
            </w:pPr>
          </w:p>
        </w:tc>
      </w:tr>
      <w:tr w14:paraId="7C71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7F187A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C4D61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046C3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93E351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6F9F6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F51FB6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2A951CB">
            <w:pPr>
              <w:spacing w:line="360" w:lineRule="auto"/>
              <w:jc w:val="both"/>
              <w:rPr>
                <w:rFonts w:hint="eastAsia" w:ascii="宋体" w:hAnsi="宋体" w:eastAsia="宋体" w:cs="宋体"/>
                <w:b w:val="0"/>
                <w:sz w:val="21"/>
                <w:szCs w:val="21"/>
                <w:highlight w:val="none"/>
              </w:rPr>
            </w:pPr>
          </w:p>
        </w:tc>
      </w:tr>
      <w:tr w14:paraId="6645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9C8330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E6F6C6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59DEDF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72F61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80F5B5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86785B6">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B044113">
            <w:pPr>
              <w:spacing w:line="360" w:lineRule="auto"/>
              <w:jc w:val="both"/>
              <w:rPr>
                <w:rFonts w:hint="eastAsia" w:ascii="宋体" w:hAnsi="宋体" w:eastAsia="宋体" w:cs="宋体"/>
                <w:b w:val="0"/>
                <w:sz w:val="21"/>
                <w:szCs w:val="21"/>
                <w:highlight w:val="none"/>
              </w:rPr>
            </w:pPr>
          </w:p>
        </w:tc>
      </w:tr>
      <w:tr w14:paraId="1AD0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8D8205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09BC3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C4552C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04D8B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134C9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3A8D4B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7969E609">
            <w:pPr>
              <w:spacing w:line="360" w:lineRule="auto"/>
              <w:jc w:val="both"/>
              <w:rPr>
                <w:rFonts w:hint="eastAsia" w:ascii="宋体" w:hAnsi="宋体" w:eastAsia="宋体" w:cs="宋体"/>
                <w:b w:val="0"/>
                <w:sz w:val="21"/>
                <w:szCs w:val="21"/>
                <w:highlight w:val="none"/>
              </w:rPr>
            </w:pPr>
          </w:p>
        </w:tc>
      </w:tr>
      <w:tr w14:paraId="5CC6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B38C19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2BAC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FFDA43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74FD64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73A54B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9D0BFB">
            <w:pPr>
              <w:spacing w:line="360" w:lineRule="auto"/>
              <w:jc w:val="both"/>
              <w:rPr>
                <w:rFonts w:hint="eastAsia" w:ascii="宋体" w:hAnsi="宋体" w:eastAsia="宋体" w:cs="宋体"/>
                <w:b w:val="0"/>
                <w:sz w:val="21"/>
                <w:szCs w:val="21"/>
                <w:highlight w:val="none"/>
              </w:rPr>
            </w:pPr>
          </w:p>
        </w:tc>
        <w:tc>
          <w:tcPr>
            <w:tcW w:w="1941" w:type="dxa"/>
            <w:noWrap w:val="0"/>
            <w:vAlign w:val="top"/>
          </w:tcPr>
          <w:p w14:paraId="3BE798B3">
            <w:pPr>
              <w:spacing w:line="360" w:lineRule="auto"/>
              <w:jc w:val="both"/>
              <w:rPr>
                <w:rFonts w:hint="eastAsia" w:ascii="宋体" w:hAnsi="宋体" w:eastAsia="宋体" w:cs="宋体"/>
                <w:b w:val="0"/>
                <w:sz w:val="21"/>
                <w:szCs w:val="21"/>
                <w:highlight w:val="none"/>
              </w:rPr>
            </w:pPr>
          </w:p>
        </w:tc>
      </w:tr>
      <w:tr w14:paraId="021E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36EA8F8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6ED80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CA830E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A489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B4A352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F9CBA7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931F8D4">
            <w:pPr>
              <w:spacing w:line="360" w:lineRule="auto"/>
              <w:jc w:val="both"/>
              <w:rPr>
                <w:rFonts w:hint="eastAsia" w:ascii="宋体" w:hAnsi="宋体" w:eastAsia="宋体" w:cs="宋体"/>
                <w:b w:val="0"/>
                <w:sz w:val="21"/>
                <w:szCs w:val="21"/>
                <w:highlight w:val="none"/>
              </w:rPr>
            </w:pPr>
          </w:p>
        </w:tc>
      </w:tr>
      <w:tr w14:paraId="6C88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6D1DC30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20A4DD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A734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06D075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54CD3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961D99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E902782">
            <w:pPr>
              <w:spacing w:line="360" w:lineRule="auto"/>
              <w:jc w:val="both"/>
              <w:rPr>
                <w:rFonts w:hint="eastAsia" w:ascii="宋体" w:hAnsi="宋体" w:eastAsia="宋体" w:cs="宋体"/>
                <w:b w:val="0"/>
                <w:sz w:val="21"/>
                <w:szCs w:val="21"/>
                <w:highlight w:val="none"/>
              </w:rPr>
            </w:pPr>
          </w:p>
        </w:tc>
      </w:tr>
      <w:tr w14:paraId="1235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612F8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C3FA2E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4EB87D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2AC57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9514D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F6D5BD9">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BEDD335">
            <w:pPr>
              <w:spacing w:line="360" w:lineRule="auto"/>
              <w:jc w:val="both"/>
              <w:rPr>
                <w:rFonts w:hint="eastAsia" w:ascii="宋体" w:hAnsi="宋体" w:eastAsia="宋体" w:cs="宋体"/>
                <w:b w:val="0"/>
                <w:sz w:val="21"/>
                <w:szCs w:val="21"/>
                <w:highlight w:val="none"/>
              </w:rPr>
            </w:pPr>
          </w:p>
        </w:tc>
      </w:tr>
      <w:tr w14:paraId="37EC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2FDC019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326B2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38606A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831CE2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E0AD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C768F8">
            <w:pPr>
              <w:spacing w:line="360" w:lineRule="auto"/>
              <w:jc w:val="both"/>
              <w:rPr>
                <w:rFonts w:hint="eastAsia" w:ascii="宋体" w:hAnsi="宋体" w:eastAsia="宋体" w:cs="宋体"/>
                <w:b w:val="0"/>
                <w:sz w:val="21"/>
                <w:szCs w:val="21"/>
                <w:highlight w:val="none"/>
              </w:rPr>
            </w:pPr>
          </w:p>
        </w:tc>
        <w:tc>
          <w:tcPr>
            <w:tcW w:w="1941" w:type="dxa"/>
            <w:noWrap w:val="0"/>
            <w:vAlign w:val="top"/>
          </w:tcPr>
          <w:p w14:paraId="21F6E421">
            <w:pPr>
              <w:spacing w:line="360" w:lineRule="auto"/>
              <w:jc w:val="both"/>
              <w:rPr>
                <w:rFonts w:hint="eastAsia" w:ascii="宋体" w:hAnsi="宋体" w:eastAsia="宋体" w:cs="宋体"/>
                <w:b w:val="0"/>
                <w:sz w:val="21"/>
                <w:szCs w:val="21"/>
                <w:highlight w:val="none"/>
              </w:rPr>
            </w:pPr>
          </w:p>
        </w:tc>
      </w:tr>
    </w:tbl>
    <w:p w14:paraId="1ACF047E">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14DC079A">
      <w:pPr>
        <w:tabs>
          <w:tab w:val="left" w:pos="720"/>
        </w:tabs>
        <w:ind w:left="0" w:firstLine="0"/>
        <w:jc w:val="center"/>
        <w:outlineLvl w:val="9"/>
        <w:rPr>
          <w:rFonts w:hint="eastAsia" w:ascii="宋体" w:hAnsi="宋体" w:eastAsia="宋体" w:cs="宋体"/>
          <w:b/>
          <w:bCs/>
          <w:sz w:val="32"/>
          <w:szCs w:val="48"/>
          <w:highlight w:val="none"/>
        </w:rPr>
      </w:pPr>
      <w:bookmarkStart w:id="55" w:name="_Toc3912"/>
      <w:bookmarkStart w:id="56" w:name="_Toc184635147"/>
      <w:bookmarkStart w:id="57" w:name="_Toc382396579"/>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55"/>
      <w:bookmarkEnd w:id="56"/>
      <w:bookmarkEnd w:id="57"/>
    </w:p>
    <w:p w14:paraId="333355DD">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6C36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3300B2E8">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084BF1C6">
            <w:pPr>
              <w:spacing w:line="300" w:lineRule="exact"/>
              <w:rPr>
                <w:rFonts w:hint="eastAsia" w:ascii="宋体" w:hAnsi="宋体" w:eastAsia="宋体" w:cs="宋体"/>
                <w:b w:val="0"/>
                <w:sz w:val="21"/>
                <w:szCs w:val="21"/>
                <w:highlight w:val="none"/>
              </w:rPr>
            </w:pPr>
          </w:p>
        </w:tc>
      </w:tr>
      <w:tr w14:paraId="6E0B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45FF428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3E8562A8">
            <w:pPr>
              <w:spacing w:line="300" w:lineRule="exact"/>
              <w:rPr>
                <w:rFonts w:hint="eastAsia" w:ascii="宋体" w:hAnsi="宋体" w:eastAsia="宋体" w:cs="宋体"/>
                <w:b w:val="0"/>
                <w:sz w:val="21"/>
                <w:szCs w:val="21"/>
                <w:highlight w:val="none"/>
              </w:rPr>
            </w:pPr>
          </w:p>
        </w:tc>
        <w:tc>
          <w:tcPr>
            <w:tcW w:w="1089" w:type="dxa"/>
            <w:noWrap w:val="0"/>
            <w:vAlign w:val="center"/>
          </w:tcPr>
          <w:p w14:paraId="10BB675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484D3CCE">
            <w:pPr>
              <w:spacing w:line="300" w:lineRule="exact"/>
              <w:rPr>
                <w:rFonts w:hint="eastAsia" w:ascii="宋体" w:hAnsi="宋体" w:eastAsia="宋体" w:cs="宋体"/>
                <w:b w:val="0"/>
                <w:sz w:val="21"/>
                <w:szCs w:val="21"/>
                <w:highlight w:val="none"/>
              </w:rPr>
            </w:pPr>
          </w:p>
        </w:tc>
      </w:tr>
      <w:tr w14:paraId="228B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4161812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6E423B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7FBD2BAC">
            <w:pPr>
              <w:spacing w:line="300" w:lineRule="exact"/>
              <w:rPr>
                <w:rFonts w:hint="eastAsia" w:ascii="宋体" w:hAnsi="宋体" w:eastAsia="宋体" w:cs="宋体"/>
                <w:b w:val="0"/>
                <w:sz w:val="21"/>
                <w:szCs w:val="21"/>
                <w:highlight w:val="none"/>
              </w:rPr>
            </w:pPr>
          </w:p>
        </w:tc>
        <w:tc>
          <w:tcPr>
            <w:tcW w:w="1089" w:type="dxa"/>
            <w:noWrap w:val="0"/>
            <w:vAlign w:val="center"/>
          </w:tcPr>
          <w:p w14:paraId="5D94D7C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52F4ED23">
            <w:pPr>
              <w:spacing w:line="300" w:lineRule="exact"/>
              <w:rPr>
                <w:rFonts w:hint="eastAsia" w:ascii="宋体" w:hAnsi="宋体" w:eastAsia="宋体" w:cs="宋体"/>
                <w:b w:val="0"/>
                <w:sz w:val="21"/>
                <w:szCs w:val="21"/>
                <w:highlight w:val="none"/>
              </w:rPr>
            </w:pPr>
          </w:p>
        </w:tc>
      </w:tr>
      <w:tr w14:paraId="088A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09EC15FA">
            <w:pPr>
              <w:spacing w:line="300" w:lineRule="exact"/>
              <w:rPr>
                <w:rFonts w:hint="eastAsia" w:ascii="宋体" w:hAnsi="宋体" w:eastAsia="宋体" w:cs="宋体"/>
                <w:b w:val="0"/>
                <w:sz w:val="21"/>
                <w:szCs w:val="21"/>
                <w:highlight w:val="none"/>
              </w:rPr>
            </w:pPr>
          </w:p>
        </w:tc>
        <w:tc>
          <w:tcPr>
            <w:tcW w:w="1077" w:type="dxa"/>
            <w:noWrap w:val="0"/>
            <w:vAlign w:val="center"/>
          </w:tcPr>
          <w:p w14:paraId="7E02A8B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0E365079">
            <w:pPr>
              <w:spacing w:line="300" w:lineRule="exact"/>
              <w:rPr>
                <w:rFonts w:hint="eastAsia" w:ascii="宋体" w:hAnsi="宋体" w:eastAsia="宋体" w:cs="宋体"/>
                <w:b w:val="0"/>
                <w:sz w:val="21"/>
                <w:szCs w:val="21"/>
                <w:highlight w:val="none"/>
              </w:rPr>
            </w:pPr>
          </w:p>
        </w:tc>
        <w:tc>
          <w:tcPr>
            <w:tcW w:w="1089" w:type="dxa"/>
            <w:noWrap w:val="0"/>
            <w:vAlign w:val="center"/>
          </w:tcPr>
          <w:p w14:paraId="1059603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78B902A3">
            <w:pPr>
              <w:spacing w:line="300" w:lineRule="exact"/>
              <w:rPr>
                <w:rFonts w:hint="eastAsia" w:ascii="宋体" w:hAnsi="宋体" w:eastAsia="宋体" w:cs="宋体"/>
                <w:b w:val="0"/>
                <w:sz w:val="21"/>
                <w:szCs w:val="21"/>
                <w:highlight w:val="none"/>
              </w:rPr>
            </w:pPr>
          </w:p>
        </w:tc>
      </w:tr>
      <w:tr w14:paraId="5785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18D6691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25A8B535">
            <w:pPr>
              <w:spacing w:line="300" w:lineRule="exact"/>
              <w:rPr>
                <w:rFonts w:hint="eastAsia" w:ascii="宋体" w:hAnsi="宋体" w:eastAsia="宋体" w:cs="宋体"/>
                <w:b w:val="0"/>
                <w:sz w:val="21"/>
                <w:szCs w:val="21"/>
                <w:highlight w:val="none"/>
              </w:rPr>
            </w:pPr>
          </w:p>
        </w:tc>
      </w:tr>
      <w:tr w14:paraId="711C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1869E19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3DE8195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450CD5F3">
            <w:pPr>
              <w:spacing w:line="300" w:lineRule="exact"/>
              <w:rPr>
                <w:rFonts w:hint="eastAsia" w:ascii="宋体" w:hAnsi="宋体" w:eastAsia="宋体" w:cs="宋体"/>
                <w:b w:val="0"/>
                <w:sz w:val="21"/>
                <w:szCs w:val="21"/>
                <w:highlight w:val="none"/>
              </w:rPr>
            </w:pPr>
          </w:p>
        </w:tc>
        <w:tc>
          <w:tcPr>
            <w:tcW w:w="1252" w:type="dxa"/>
            <w:noWrap w:val="0"/>
            <w:vAlign w:val="center"/>
          </w:tcPr>
          <w:p w14:paraId="535B945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104AAEC8">
            <w:pPr>
              <w:spacing w:line="300" w:lineRule="exact"/>
              <w:rPr>
                <w:rFonts w:hint="eastAsia" w:ascii="宋体" w:hAnsi="宋体" w:eastAsia="宋体" w:cs="宋体"/>
                <w:b w:val="0"/>
                <w:sz w:val="21"/>
                <w:szCs w:val="21"/>
                <w:highlight w:val="none"/>
              </w:rPr>
            </w:pPr>
          </w:p>
        </w:tc>
        <w:tc>
          <w:tcPr>
            <w:tcW w:w="900" w:type="dxa"/>
            <w:noWrap w:val="0"/>
            <w:vAlign w:val="center"/>
          </w:tcPr>
          <w:p w14:paraId="6120799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39B59D2A">
            <w:pPr>
              <w:spacing w:line="300" w:lineRule="exact"/>
              <w:rPr>
                <w:rFonts w:hint="eastAsia" w:ascii="宋体" w:hAnsi="宋体" w:eastAsia="宋体" w:cs="宋体"/>
                <w:b w:val="0"/>
                <w:sz w:val="21"/>
                <w:szCs w:val="21"/>
                <w:highlight w:val="none"/>
              </w:rPr>
            </w:pPr>
          </w:p>
        </w:tc>
      </w:tr>
      <w:tr w14:paraId="0173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25BC277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3436234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0B38A8A">
            <w:pPr>
              <w:spacing w:line="300" w:lineRule="exact"/>
              <w:rPr>
                <w:rFonts w:hint="eastAsia" w:ascii="宋体" w:hAnsi="宋体" w:eastAsia="宋体" w:cs="宋体"/>
                <w:b w:val="0"/>
                <w:sz w:val="21"/>
                <w:szCs w:val="21"/>
                <w:highlight w:val="none"/>
              </w:rPr>
            </w:pPr>
          </w:p>
        </w:tc>
        <w:tc>
          <w:tcPr>
            <w:tcW w:w="1252" w:type="dxa"/>
            <w:noWrap w:val="0"/>
            <w:vAlign w:val="center"/>
          </w:tcPr>
          <w:p w14:paraId="76C826F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3A4ACCDB">
            <w:pPr>
              <w:spacing w:line="300" w:lineRule="exact"/>
              <w:rPr>
                <w:rFonts w:hint="eastAsia" w:ascii="宋体" w:hAnsi="宋体" w:eastAsia="宋体" w:cs="宋体"/>
                <w:b w:val="0"/>
                <w:sz w:val="21"/>
                <w:szCs w:val="21"/>
                <w:highlight w:val="none"/>
              </w:rPr>
            </w:pPr>
          </w:p>
        </w:tc>
        <w:tc>
          <w:tcPr>
            <w:tcW w:w="900" w:type="dxa"/>
            <w:noWrap w:val="0"/>
            <w:vAlign w:val="center"/>
          </w:tcPr>
          <w:p w14:paraId="40F6D5A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047B0F71">
            <w:pPr>
              <w:spacing w:line="300" w:lineRule="exact"/>
              <w:rPr>
                <w:rFonts w:hint="eastAsia" w:ascii="宋体" w:hAnsi="宋体" w:eastAsia="宋体" w:cs="宋体"/>
                <w:b w:val="0"/>
                <w:sz w:val="21"/>
                <w:szCs w:val="21"/>
                <w:highlight w:val="none"/>
              </w:rPr>
            </w:pPr>
          </w:p>
        </w:tc>
      </w:tr>
      <w:tr w14:paraId="308B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47F88FE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1C74E1E6">
            <w:pPr>
              <w:spacing w:line="300" w:lineRule="exact"/>
              <w:rPr>
                <w:rFonts w:hint="eastAsia" w:ascii="宋体" w:hAnsi="宋体" w:eastAsia="宋体" w:cs="宋体"/>
                <w:b w:val="0"/>
                <w:sz w:val="21"/>
                <w:szCs w:val="21"/>
                <w:highlight w:val="none"/>
              </w:rPr>
            </w:pPr>
          </w:p>
        </w:tc>
      </w:tr>
      <w:tr w14:paraId="012F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60B8D70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3D8BE5B8">
            <w:pPr>
              <w:spacing w:line="300" w:lineRule="exact"/>
              <w:rPr>
                <w:rFonts w:hint="eastAsia" w:ascii="宋体" w:hAnsi="宋体" w:eastAsia="宋体" w:cs="宋体"/>
                <w:b w:val="0"/>
                <w:sz w:val="21"/>
                <w:szCs w:val="21"/>
                <w:highlight w:val="none"/>
              </w:rPr>
            </w:pPr>
          </w:p>
        </w:tc>
      </w:tr>
      <w:tr w14:paraId="5D5A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1FF927D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63B6BEE8">
            <w:pPr>
              <w:spacing w:line="300" w:lineRule="exact"/>
              <w:rPr>
                <w:rFonts w:hint="eastAsia" w:ascii="宋体" w:hAnsi="宋体" w:eastAsia="宋体" w:cs="宋体"/>
                <w:b w:val="0"/>
                <w:sz w:val="21"/>
                <w:szCs w:val="21"/>
                <w:highlight w:val="none"/>
              </w:rPr>
            </w:pPr>
          </w:p>
        </w:tc>
      </w:tr>
      <w:tr w14:paraId="609C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423A31E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3676E526">
            <w:pPr>
              <w:spacing w:line="300" w:lineRule="exact"/>
              <w:rPr>
                <w:rFonts w:hint="eastAsia" w:ascii="宋体" w:hAnsi="宋体" w:eastAsia="宋体" w:cs="宋体"/>
                <w:b w:val="0"/>
                <w:sz w:val="21"/>
                <w:szCs w:val="21"/>
                <w:highlight w:val="none"/>
              </w:rPr>
            </w:pPr>
          </w:p>
        </w:tc>
      </w:tr>
      <w:tr w14:paraId="43A9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4DA7A4B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79528DF2">
            <w:pPr>
              <w:spacing w:line="300" w:lineRule="exact"/>
              <w:rPr>
                <w:rFonts w:hint="eastAsia" w:ascii="宋体" w:hAnsi="宋体" w:eastAsia="宋体" w:cs="宋体"/>
                <w:b w:val="0"/>
                <w:sz w:val="21"/>
                <w:szCs w:val="21"/>
                <w:highlight w:val="none"/>
              </w:rPr>
            </w:pPr>
          </w:p>
        </w:tc>
      </w:tr>
      <w:tr w14:paraId="3574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7358840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011349DF">
            <w:pPr>
              <w:spacing w:line="300" w:lineRule="exact"/>
              <w:rPr>
                <w:rFonts w:hint="eastAsia" w:ascii="宋体" w:hAnsi="宋体" w:eastAsia="宋体" w:cs="宋体"/>
                <w:b w:val="0"/>
                <w:sz w:val="21"/>
                <w:szCs w:val="21"/>
                <w:highlight w:val="none"/>
              </w:rPr>
            </w:pPr>
          </w:p>
        </w:tc>
      </w:tr>
      <w:tr w14:paraId="6261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1FDF9D5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4AD77441">
            <w:pPr>
              <w:spacing w:line="300" w:lineRule="exact"/>
              <w:ind w:firstLine="420" w:firstLineChars="200"/>
              <w:rPr>
                <w:rFonts w:hint="eastAsia" w:ascii="宋体" w:hAnsi="宋体" w:eastAsia="宋体" w:cs="宋体"/>
                <w:b w:val="0"/>
                <w:sz w:val="21"/>
                <w:szCs w:val="21"/>
                <w:highlight w:val="none"/>
              </w:rPr>
            </w:pPr>
          </w:p>
        </w:tc>
      </w:tr>
    </w:tbl>
    <w:p w14:paraId="0CE35A3B">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7F0F80E0">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4CE5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95DC08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8909473">
            <w:pPr>
              <w:spacing w:line="300" w:lineRule="exact"/>
              <w:ind w:left="-10" w:leftChars="-5" w:firstLine="2" w:firstLineChars="1"/>
              <w:rPr>
                <w:rFonts w:hint="eastAsia" w:ascii="宋体" w:hAnsi="宋体" w:eastAsia="宋体" w:cs="宋体"/>
                <w:b w:val="0"/>
                <w:sz w:val="21"/>
                <w:szCs w:val="21"/>
                <w:highlight w:val="none"/>
              </w:rPr>
            </w:pPr>
          </w:p>
        </w:tc>
      </w:tr>
      <w:tr w14:paraId="0243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CCC4C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011B4CF">
            <w:pPr>
              <w:spacing w:line="300" w:lineRule="exact"/>
              <w:ind w:left="-10" w:leftChars="-5" w:firstLine="2" w:firstLineChars="1"/>
              <w:rPr>
                <w:rFonts w:hint="eastAsia" w:ascii="宋体" w:hAnsi="宋体" w:eastAsia="宋体" w:cs="宋体"/>
                <w:b w:val="0"/>
                <w:sz w:val="21"/>
                <w:szCs w:val="21"/>
                <w:highlight w:val="none"/>
              </w:rPr>
            </w:pPr>
          </w:p>
        </w:tc>
      </w:tr>
      <w:tr w14:paraId="7C6B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685EE2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234DAFF">
            <w:pPr>
              <w:spacing w:line="300" w:lineRule="exact"/>
              <w:ind w:left="-10" w:leftChars="-5" w:firstLine="2" w:firstLineChars="1"/>
              <w:rPr>
                <w:rFonts w:hint="eastAsia" w:ascii="宋体" w:hAnsi="宋体" w:eastAsia="宋体" w:cs="宋体"/>
                <w:b w:val="0"/>
                <w:sz w:val="21"/>
                <w:szCs w:val="21"/>
                <w:highlight w:val="none"/>
              </w:rPr>
            </w:pPr>
          </w:p>
        </w:tc>
      </w:tr>
      <w:tr w14:paraId="1D01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D168D1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170E52F">
            <w:pPr>
              <w:spacing w:line="300" w:lineRule="exact"/>
              <w:ind w:left="-10" w:leftChars="-5" w:firstLine="2" w:firstLineChars="1"/>
              <w:rPr>
                <w:rFonts w:hint="eastAsia" w:ascii="宋体" w:hAnsi="宋体" w:eastAsia="宋体" w:cs="宋体"/>
                <w:b w:val="0"/>
                <w:sz w:val="21"/>
                <w:szCs w:val="21"/>
                <w:highlight w:val="none"/>
              </w:rPr>
            </w:pPr>
          </w:p>
        </w:tc>
      </w:tr>
      <w:tr w14:paraId="1540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2070A0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4CE2434">
            <w:pPr>
              <w:spacing w:line="300" w:lineRule="exact"/>
              <w:ind w:left="-10" w:leftChars="-5" w:firstLine="2" w:firstLineChars="1"/>
              <w:rPr>
                <w:rFonts w:hint="eastAsia" w:ascii="宋体" w:hAnsi="宋体" w:eastAsia="宋体" w:cs="宋体"/>
                <w:b w:val="0"/>
                <w:sz w:val="21"/>
                <w:szCs w:val="21"/>
                <w:highlight w:val="none"/>
              </w:rPr>
            </w:pPr>
          </w:p>
        </w:tc>
      </w:tr>
      <w:tr w14:paraId="0878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81543B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77D99EF">
            <w:pPr>
              <w:spacing w:line="300" w:lineRule="exact"/>
              <w:ind w:left="-10" w:leftChars="-5" w:firstLine="2" w:firstLineChars="1"/>
              <w:rPr>
                <w:rFonts w:hint="eastAsia" w:ascii="宋体" w:hAnsi="宋体" w:eastAsia="宋体" w:cs="宋体"/>
                <w:b w:val="0"/>
                <w:sz w:val="21"/>
                <w:szCs w:val="21"/>
                <w:highlight w:val="none"/>
              </w:rPr>
            </w:pPr>
          </w:p>
        </w:tc>
      </w:tr>
      <w:tr w14:paraId="7E9B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F5DD290">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6731067">
            <w:pPr>
              <w:spacing w:line="300" w:lineRule="exact"/>
              <w:ind w:left="-10" w:leftChars="-5" w:firstLine="2" w:firstLineChars="1"/>
              <w:rPr>
                <w:rFonts w:hint="eastAsia" w:ascii="宋体" w:hAnsi="宋体" w:eastAsia="宋体" w:cs="宋体"/>
                <w:b w:val="0"/>
                <w:sz w:val="21"/>
                <w:szCs w:val="21"/>
                <w:highlight w:val="none"/>
              </w:rPr>
            </w:pPr>
          </w:p>
        </w:tc>
      </w:tr>
      <w:tr w14:paraId="6C8A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47C8FC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0837D8E">
            <w:pPr>
              <w:spacing w:line="300" w:lineRule="exact"/>
              <w:ind w:left="-10" w:leftChars="-5" w:firstLine="2" w:firstLineChars="1"/>
              <w:rPr>
                <w:rFonts w:hint="eastAsia" w:ascii="宋体" w:hAnsi="宋体" w:eastAsia="宋体" w:cs="宋体"/>
                <w:b w:val="0"/>
                <w:sz w:val="21"/>
                <w:szCs w:val="21"/>
                <w:highlight w:val="none"/>
              </w:rPr>
            </w:pPr>
          </w:p>
        </w:tc>
      </w:tr>
      <w:tr w14:paraId="647E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316B1E4">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FAA78C1">
            <w:pPr>
              <w:spacing w:line="300" w:lineRule="exact"/>
              <w:ind w:left="-10" w:leftChars="-5" w:firstLine="2" w:firstLineChars="1"/>
              <w:rPr>
                <w:rFonts w:hint="eastAsia" w:ascii="宋体" w:hAnsi="宋体" w:eastAsia="宋体" w:cs="宋体"/>
                <w:b w:val="0"/>
                <w:sz w:val="21"/>
                <w:szCs w:val="21"/>
                <w:highlight w:val="none"/>
              </w:rPr>
            </w:pPr>
          </w:p>
        </w:tc>
      </w:tr>
      <w:tr w14:paraId="7721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99474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B881523">
            <w:pPr>
              <w:spacing w:line="300" w:lineRule="exact"/>
              <w:ind w:left="-10" w:leftChars="-5" w:firstLine="2" w:firstLineChars="1"/>
              <w:rPr>
                <w:rFonts w:hint="eastAsia" w:ascii="宋体" w:hAnsi="宋体" w:eastAsia="宋体" w:cs="宋体"/>
                <w:b w:val="0"/>
                <w:sz w:val="21"/>
                <w:szCs w:val="21"/>
                <w:highlight w:val="none"/>
              </w:rPr>
            </w:pPr>
          </w:p>
        </w:tc>
      </w:tr>
      <w:tr w14:paraId="70C1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C56537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3DD1DE5">
            <w:pPr>
              <w:spacing w:line="300" w:lineRule="exact"/>
              <w:ind w:left="-13" w:leftChars="-6"/>
              <w:rPr>
                <w:rFonts w:hint="eastAsia" w:ascii="宋体" w:hAnsi="宋体" w:eastAsia="宋体" w:cs="宋体"/>
                <w:b w:val="0"/>
                <w:sz w:val="21"/>
                <w:szCs w:val="21"/>
                <w:highlight w:val="none"/>
              </w:rPr>
            </w:pPr>
          </w:p>
        </w:tc>
      </w:tr>
    </w:tbl>
    <w:p w14:paraId="024B6BE8">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3899EEED">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275744B0">
      <w:pPr>
        <w:rPr>
          <w:rFonts w:hint="eastAsia" w:ascii="宋体" w:hAnsi="宋体" w:eastAsia="宋体" w:cs="宋体"/>
          <w:highlight w:val="none"/>
        </w:rPr>
      </w:pPr>
      <w:bookmarkStart w:id="58" w:name="_Toc184635148"/>
      <w:bookmarkStart w:id="59" w:name="_Toc382396580"/>
      <w:r>
        <w:rPr>
          <w:rFonts w:hint="eastAsia" w:ascii="宋体" w:hAnsi="宋体" w:eastAsia="宋体" w:cs="宋体"/>
          <w:sz w:val="21"/>
          <w:szCs w:val="21"/>
          <w:highlight w:val="none"/>
        </w:rPr>
        <w:br w:type="page"/>
      </w:r>
    </w:p>
    <w:p w14:paraId="27B5BD93">
      <w:pPr>
        <w:spacing w:line="480" w:lineRule="auto"/>
        <w:jc w:val="center"/>
        <w:rPr>
          <w:rFonts w:hint="eastAsia" w:ascii="宋体" w:hAnsi="宋体" w:eastAsia="宋体" w:cs="宋体"/>
          <w:b/>
          <w:bCs/>
          <w:color w:val="auto"/>
          <w:szCs w:val="21"/>
          <w:highlight w:val="none"/>
          <w:lang w:eastAsia="zh-CN"/>
        </w:rPr>
      </w:pPr>
      <w:bookmarkStart w:id="60" w:name="_Toc31214"/>
      <w:r>
        <w:rPr>
          <w:rFonts w:hint="eastAsia" w:ascii="宋体" w:hAnsi="宋体" w:eastAsia="宋体" w:cs="宋体"/>
          <w:b/>
          <w:bCs/>
          <w:color w:val="auto"/>
          <w:szCs w:val="21"/>
          <w:highlight w:val="none"/>
          <w:lang w:eastAsia="zh-CN"/>
        </w:rPr>
        <w:t>资格条件承诺函</w:t>
      </w:r>
    </w:p>
    <w:p w14:paraId="3CCA533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16B3DA38">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7BDDA10C">
      <w:pPr>
        <w:keepNext w:val="0"/>
        <w:keepLines w:val="0"/>
        <w:pageBreakBefore w:val="0"/>
        <w:widowControl w:val="0"/>
        <w:numPr>
          <w:ilvl w:val="0"/>
          <w:numId w:val="21"/>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5D56C3FF">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5DA200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0EFCE84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4E62910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1233E56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392665D1">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60EE571">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53CDEEB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5067792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74DA2B2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6B2049A5">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58"/>
      <w:bookmarkEnd w:id="59"/>
      <w:bookmarkEnd w:id="60"/>
    </w:p>
    <w:p w14:paraId="1198F037">
      <w:pPr>
        <w:autoSpaceDE w:val="0"/>
        <w:autoSpaceDN w:val="0"/>
        <w:adjustRightInd w:val="0"/>
        <w:spacing w:line="600" w:lineRule="exact"/>
        <w:jc w:val="both"/>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1.信誉良好承诺书（格式自拟）</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后附相关信誉截图并加盖单位公章。</w:t>
      </w:r>
    </w:p>
    <w:p w14:paraId="5E1F07B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7ED44967">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61" w:name="_Toc217869471"/>
      <w:bookmarkStart w:id="62"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61"/>
      <w:bookmarkEnd w:id="62"/>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格式自拟</w:t>
      </w:r>
      <w:r>
        <w:rPr>
          <w:rFonts w:hint="eastAsia" w:ascii="宋体" w:hAnsi="宋体" w:eastAsia="宋体" w:cs="宋体"/>
          <w:b/>
          <w:sz w:val="21"/>
          <w:szCs w:val="21"/>
          <w:highlight w:val="none"/>
          <w:lang w:eastAsia="zh-CN"/>
        </w:rPr>
        <w:t>）</w:t>
      </w:r>
    </w:p>
    <w:p w14:paraId="31D8B666">
      <w:pPr>
        <w:autoSpaceDE w:val="0"/>
        <w:autoSpaceDN w:val="0"/>
        <w:adjustRightInd w:val="0"/>
        <w:spacing w:line="600" w:lineRule="exact"/>
        <w:jc w:val="both"/>
        <w:rPr>
          <w:rFonts w:hint="eastAsia" w:ascii="宋体" w:hAnsi="宋体" w:eastAsia="宋体" w:cs="宋体"/>
          <w:b w:val="0"/>
          <w:sz w:val="21"/>
          <w:szCs w:val="21"/>
          <w:highlight w:val="none"/>
        </w:rPr>
      </w:pPr>
    </w:p>
    <w:p w14:paraId="7533E857">
      <w:pPr>
        <w:autoSpaceDE w:val="0"/>
        <w:autoSpaceDN w:val="0"/>
        <w:adjustRightInd w:val="0"/>
        <w:spacing w:line="600" w:lineRule="exact"/>
        <w:jc w:val="both"/>
        <w:rPr>
          <w:rFonts w:hint="eastAsia" w:ascii="宋体" w:hAnsi="宋体" w:eastAsia="宋体" w:cs="宋体"/>
          <w:b w:val="0"/>
          <w:sz w:val="21"/>
          <w:szCs w:val="21"/>
          <w:highlight w:val="none"/>
        </w:rPr>
      </w:pPr>
    </w:p>
    <w:p w14:paraId="3F8FC4CD">
      <w:pPr>
        <w:autoSpaceDE w:val="0"/>
        <w:autoSpaceDN w:val="0"/>
        <w:adjustRightInd w:val="0"/>
        <w:spacing w:line="600" w:lineRule="exact"/>
        <w:jc w:val="both"/>
        <w:rPr>
          <w:rFonts w:hint="eastAsia" w:ascii="宋体" w:hAnsi="宋体" w:eastAsia="宋体" w:cs="宋体"/>
          <w:b w:val="0"/>
          <w:sz w:val="21"/>
          <w:szCs w:val="21"/>
          <w:highlight w:val="none"/>
        </w:rPr>
      </w:pPr>
    </w:p>
    <w:p w14:paraId="56D2F7D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76CF5B10">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66B484D8">
      <w:pPr>
        <w:autoSpaceDE w:val="0"/>
        <w:autoSpaceDN w:val="0"/>
        <w:adjustRightInd w:val="0"/>
        <w:spacing w:line="600" w:lineRule="exact"/>
        <w:jc w:val="both"/>
        <w:rPr>
          <w:rFonts w:hint="eastAsia" w:ascii="宋体" w:hAnsi="宋体" w:eastAsia="宋体" w:cs="宋体"/>
          <w:b w:val="0"/>
          <w:sz w:val="21"/>
          <w:szCs w:val="21"/>
          <w:highlight w:val="none"/>
        </w:rPr>
      </w:pPr>
    </w:p>
    <w:p w14:paraId="176B584A">
      <w:pPr>
        <w:autoSpaceDE w:val="0"/>
        <w:autoSpaceDN w:val="0"/>
        <w:adjustRightInd w:val="0"/>
        <w:spacing w:line="600" w:lineRule="exact"/>
        <w:jc w:val="both"/>
        <w:rPr>
          <w:rFonts w:hint="eastAsia" w:ascii="宋体" w:hAnsi="宋体" w:eastAsia="宋体" w:cs="宋体"/>
          <w:b w:val="0"/>
          <w:sz w:val="21"/>
          <w:szCs w:val="21"/>
          <w:highlight w:val="none"/>
        </w:rPr>
      </w:pPr>
    </w:p>
    <w:p w14:paraId="12CE39DE">
      <w:pPr>
        <w:autoSpaceDE w:val="0"/>
        <w:autoSpaceDN w:val="0"/>
        <w:adjustRightInd w:val="0"/>
        <w:spacing w:line="600" w:lineRule="exact"/>
        <w:jc w:val="both"/>
        <w:rPr>
          <w:rFonts w:hint="eastAsia" w:ascii="宋体" w:hAnsi="宋体" w:eastAsia="宋体" w:cs="宋体"/>
          <w:b w:val="0"/>
          <w:sz w:val="21"/>
          <w:szCs w:val="21"/>
          <w:highlight w:val="none"/>
        </w:rPr>
      </w:pPr>
    </w:p>
    <w:p w14:paraId="3AC1D944">
      <w:pPr>
        <w:autoSpaceDE w:val="0"/>
        <w:autoSpaceDN w:val="0"/>
        <w:adjustRightInd w:val="0"/>
        <w:spacing w:line="600" w:lineRule="exact"/>
        <w:jc w:val="both"/>
        <w:rPr>
          <w:rFonts w:hint="eastAsia" w:ascii="宋体" w:hAnsi="宋体" w:eastAsia="宋体" w:cs="宋体"/>
          <w:b w:val="0"/>
          <w:sz w:val="21"/>
          <w:szCs w:val="21"/>
          <w:highlight w:val="none"/>
        </w:rPr>
      </w:pPr>
    </w:p>
    <w:p w14:paraId="6B491594">
      <w:pPr>
        <w:autoSpaceDE w:val="0"/>
        <w:autoSpaceDN w:val="0"/>
        <w:adjustRightInd w:val="0"/>
        <w:spacing w:line="600" w:lineRule="exact"/>
        <w:jc w:val="both"/>
        <w:rPr>
          <w:rFonts w:hint="eastAsia" w:ascii="宋体" w:hAnsi="宋体" w:eastAsia="宋体" w:cs="宋体"/>
          <w:b w:val="0"/>
          <w:sz w:val="21"/>
          <w:szCs w:val="21"/>
          <w:highlight w:val="none"/>
        </w:rPr>
      </w:pPr>
    </w:p>
    <w:p w14:paraId="6FEBF007">
      <w:pPr>
        <w:autoSpaceDE w:val="0"/>
        <w:autoSpaceDN w:val="0"/>
        <w:adjustRightInd w:val="0"/>
        <w:spacing w:line="600" w:lineRule="exact"/>
        <w:jc w:val="both"/>
        <w:rPr>
          <w:rFonts w:hint="eastAsia" w:ascii="宋体" w:hAnsi="宋体" w:eastAsia="宋体" w:cs="宋体"/>
          <w:b w:val="0"/>
          <w:sz w:val="21"/>
          <w:szCs w:val="21"/>
          <w:highlight w:val="none"/>
        </w:rPr>
      </w:pPr>
    </w:p>
    <w:p w14:paraId="453D56C1">
      <w:pPr>
        <w:autoSpaceDE w:val="0"/>
        <w:autoSpaceDN w:val="0"/>
        <w:adjustRightInd w:val="0"/>
        <w:spacing w:line="600" w:lineRule="exact"/>
        <w:jc w:val="both"/>
        <w:rPr>
          <w:rFonts w:hint="eastAsia" w:ascii="宋体" w:hAnsi="宋体" w:eastAsia="宋体" w:cs="宋体"/>
          <w:b w:val="0"/>
          <w:sz w:val="21"/>
          <w:szCs w:val="21"/>
          <w:highlight w:val="none"/>
        </w:rPr>
      </w:pPr>
    </w:p>
    <w:p w14:paraId="407D05F7">
      <w:pPr>
        <w:autoSpaceDE w:val="0"/>
        <w:autoSpaceDN w:val="0"/>
        <w:adjustRightInd w:val="0"/>
        <w:spacing w:line="600" w:lineRule="exact"/>
        <w:jc w:val="both"/>
        <w:rPr>
          <w:rFonts w:hint="eastAsia" w:ascii="宋体" w:hAnsi="宋体" w:eastAsia="宋体" w:cs="宋体"/>
          <w:b w:val="0"/>
          <w:sz w:val="21"/>
          <w:szCs w:val="21"/>
          <w:highlight w:val="none"/>
        </w:rPr>
      </w:pPr>
    </w:p>
    <w:p w14:paraId="622FBEF9">
      <w:pPr>
        <w:autoSpaceDE w:val="0"/>
        <w:autoSpaceDN w:val="0"/>
        <w:adjustRightInd w:val="0"/>
        <w:spacing w:line="600" w:lineRule="exact"/>
        <w:jc w:val="both"/>
        <w:rPr>
          <w:rFonts w:hint="eastAsia" w:ascii="宋体" w:hAnsi="宋体" w:eastAsia="宋体" w:cs="宋体"/>
          <w:b w:val="0"/>
          <w:sz w:val="21"/>
          <w:szCs w:val="21"/>
          <w:highlight w:val="none"/>
        </w:rPr>
      </w:pPr>
    </w:p>
    <w:p w14:paraId="48C84DD5">
      <w:pPr>
        <w:autoSpaceDE w:val="0"/>
        <w:autoSpaceDN w:val="0"/>
        <w:adjustRightInd w:val="0"/>
        <w:spacing w:line="600" w:lineRule="exact"/>
        <w:jc w:val="both"/>
        <w:rPr>
          <w:rFonts w:hint="eastAsia" w:ascii="宋体" w:hAnsi="宋体" w:eastAsia="宋体" w:cs="宋体"/>
          <w:b w:val="0"/>
          <w:sz w:val="21"/>
          <w:szCs w:val="21"/>
          <w:highlight w:val="none"/>
        </w:rPr>
      </w:pPr>
    </w:p>
    <w:p w14:paraId="799E9714">
      <w:pPr>
        <w:autoSpaceDE w:val="0"/>
        <w:autoSpaceDN w:val="0"/>
        <w:adjustRightInd w:val="0"/>
        <w:spacing w:line="600" w:lineRule="exact"/>
        <w:jc w:val="both"/>
        <w:rPr>
          <w:rFonts w:hint="eastAsia" w:ascii="宋体" w:hAnsi="宋体" w:eastAsia="宋体" w:cs="宋体"/>
          <w:b w:val="0"/>
          <w:sz w:val="21"/>
          <w:szCs w:val="21"/>
          <w:highlight w:val="none"/>
        </w:rPr>
      </w:pPr>
    </w:p>
    <w:p w14:paraId="776E7A44">
      <w:pPr>
        <w:autoSpaceDE w:val="0"/>
        <w:autoSpaceDN w:val="0"/>
        <w:adjustRightInd w:val="0"/>
        <w:spacing w:line="600" w:lineRule="exact"/>
        <w:jc w:val="both"/>
        <w:rPr>
          <w:rFonts w:hint="eastAsia" w:ascii="宋体" w:hAnsi="宋体" w:eastAsia="宋体" w:cs="宋体"/>
          <w:b w:val="0"/>
          <w:sz w:val="21"/>
          <w:szCs w:val="21"/>
          <w:highlight w:val="none"/>
        </w:rPr>
      </w:pPr>
    </w:p>
    <w:p w14:paraId="6D119BB7">
      <w:pPr>
        <w:autoSpaceDE w:val="0"/>
        <w:autoSpaceDN w:val="0"/>
        <w:adjustRightInd w:val="0"/>
        <w:spacing w:line="600" w:lineRule="exact"/>
        <w:jc w:val="both"/>
        <w:rPr>
          <w:rFonts w:hint="eastAsia" w:ascii="宋体" w:hAnsi="宋体" w:eastAsia="宋体" w:cs="宋体"/>
          <w:b w:val="0"/>
          <w:sz w:val="21"/>
          <w:szCs w:val="21"/>
          <w:highlight w:val="none"/>
        </w:rPr>
      </w:pPr>
    </w:p>
    <w:p w14:paraId="77D310DA">
      <w:pPr>
        <w:autoSpaceDE w:val="0"/>
        <w:autoSpaceDN w:val="0"/>
        <w:adjustRightInd w:val="0"/>
        <w:spacing w:line="600" w:lineRule="exact"/>
        <w:jc w:val="both"/>
        <w:rPr>
          <w:rFonts w:hint="eastAsia" w:ascii="宋体" w:hAnsi="宋体" w:eastAsia="宋体" w:cs="宋体"/>
          <w:b w:val="0"/>
          <w:sz w:val="21"/>
          <w:szCs w:val="21"/>
          <w:highlight w:val="none"/>
        </w:rPr>
      </w:pPr>
    </w:p>
    <w:p w14:paraId="5CAD423F">
      <w:pPr>
        <w:autoSpaceDE w:val="0"/>
        <w:autoSpaceDN w:val="0"/>
        <w:adjustRightInd w:val="0"/>
        <w:spacing w:line="600" w:lineRule="exact"/>
        <w:jc w:val="both"/>
        <w:rPr>
          <w:rFonts w:hint="eastAsia" w:ascii="宋体" w:hAnsi="宋体" w:eastAsia="宋体" w:cs="宋体"/>
          <w:b w:val="0"/>
          <w:sz w:val="21"/>
          <w:szCs w:val="21"/>
          <w:highlight w:val="none"/>
        </w:rPr>
      </w:pPr>
    </w:p>
    <w:p w14:paraId="2F1DD9FC">
      <w:pPr>
        <w:widowControl w:val="0"/>
        <w:spacing w:line="400" w:lineRule="exact"/>
        <w:jc w:val="both"/>
        <w:rPr>
          <w:rFonts w:hint="eastAsia" w:ascii="宋体" w:hAnsi="宋体" w:eastAsia="宋体" w:cs="宋体"/>
          <w:b w:val="0"/>
          <w:sz w:val="21"/>
          <w:szCs w:val="21"/>
          <w:highlight w:val="none"/>
        </w:rPr>
      </w:pPr>
    </w:p>
    <w:p w14:paraId="464DACBF">
      <w:pPr>
        <w:spacing w:line="500" w:lineRule="exact"/>
        <w:jc w:val="left"/>
        <w:rPr>
          <w:rFonts w:hint="eastAsia" w:ascii="宋体" w:hAnsi="宋体" w:eastAsia="宋体" w:cs="宋体"/>
          <w:highlight w:val="none"/>
        </w:rPr>
      </w:pPr>
    </w:p>
    <w:p w14:paraId="33D4924D">
      <w:pPr>
        <w:keepNext w:val="0"/>
        <w:keepLines w:val="0"/>
        <w:widowControl/>
        <w:suppressLineNumbers w:val="0"/>
        <w:shd w:val="clear" w:color="auto" w:fill="FFFFFF"/>
        <w:spacing w:before="100" w:beforeAutospacing="1" w:after="100" w:afterAutospacing="1" w:line="435" w:lineRule="atLeast"/>
        <w:ind w:left="0" w:right="0" w:firstLine="0"/>
        <w:jc w:val="center"/>
        <w:outlineLvl w:val="9"/>
        <w:rPr>
          <w:rFonts w:hint="eastAsia" w:ascii="宋体" w:hAnsi="宋体" w:eastAsia="宋体" w:cs="宋体"/>
          <w:b/>
          <w:bCs w:val="0"/>
          <w:i w:val="0"/>
          <w:iCs w:val="0"/>
          <w:caps w:val="0"/>
          <w:color w:val="333333"/>
          <w:spacing w:val="0"/>
          <w:sz w:val="32"/>
          <w:szCs w:val="32"/>
          <w:highlight w:val="none"/>
        </w:rPr>
      </w:pPr>
      <w:r>
        <w:rPr>
          <w:rFonts w:hint="eastAsia" w:ascii="宋体" w:hAnsi="宋体" w:eastAsia="宋体" w:cs="宋体"/>
          <w:sz w:val="24"/>
          <w:highlight w:val="none"/>
        </w:rPr>
        <w:br w:type="page"/>
      </w:r>
      <w:bookmarkStart w:id="63" w:name="_Toc8816"/>
      <w:r>
        <w:rPr>
          <w:rFonts w:hint="eastAsia" w:ascii="宋体" w:hAnsi="宋体" w:eastAsia="宋体" w:cs="宋体"/>
          <w:b/>
          <w:bCs w:val="0"/>
          <w:kern w:val="0"/>
          <w:sz w:val="32"/>
          <w:szCs w:val="32"/>
          <w:highlight w:val="none"/>
          <w:lang w:val="en-US" w:eastAsia="zh-CN" w:bidi="ar-SA"/>
        </w:rPr>
        <w:t>十、中小企业声明函（服务）</w:t>
      </w:r>
      <w:bookmarkEnd w:id="63"/>
    </w:p>
    <w:p w14:paraId="6D8BF713">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（单位名称）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650E149">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1.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；承建（承接）企业为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0E429629">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2.</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color="auto"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1340AAB6">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5BD9AA34">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以上企业，不属于大企业的分支机构，不存在控股股东为大企业的情形，也不存在与大企业的负责人为同一人的情形。</w:t>
      </w:r>
    </w:p>
    <w:p w14:paraId="49BA8BEA">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本企业对上述声明内容的真实性负责。如有虚假，将依法承担相应责任。</w:t>
      </w:r>
    </w:p>
    <w:p w14:paraId="342F468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2FC85434">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3B134EFA">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企业名称（盖章）：</w:t>
      </w:r>
    </w:p>
    <w:p w14:paraId="04B902D7">
      <w:pPr>
        <w:keepNext w:val="0"/>
        <w:keepLines w:val="0"/>
        <w:widowControl/>
        <w:suppressLineNumbers w:val="0"/>
        <w:shd w:val="clear" w:color="auto" w:fill="FFFFFF"/>
        <w:spacing w:before="100" w:beforeAutospacing="1" w:after="100" w:afterAutospacing="1" w:line="435" w:lineRule="atLeast"/>
        <w:ind w:left="0" w:right="0" w:firstLine="0"/>
        <w:jc w:val="left"/>
        <w:rPr>
          <w:rFonts w:hint="eastAsia" w:ascii="宋体" w:hAnsi="宋体" w:eastAsia="宋体" w:cs="宋体"/>
          <w:i w:val="0"/>
          <w:iCs w:val="0"/>
          <w:caps w:val="0"/>
          <w:color w:val="333333"/>
          <w:spacing w:val="0"/>
          <w:sz w:val="21"/>
          <w:szCs w:val="21"/>
          <w:highlight w:val="none"/>
        </w:rPr>
      </w:pPr>
    </w:p>
    <w:p w14:paraId="5051CEB7">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日 期：</w:t>
      </w:r>
    </w:p>
    <w:p w14:paraId="4CC0D63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z w:val="24"/>
          <w:highlight w:val="none"/>
        </w:rPr>
        <w:br w:type="page"/>
      </w:r>
      <w:r>
        <w:rPr>
          <w:rFonts w:hint="eastAsia" w:ascii="宋体" w:hAnsi="宋体" w:eastAsia="宋体" w:cs="宋体"/>
          <w:spacing w:val="0"/>
          <w:w w:val="100"/>
          <w:kern w:val="2"/>
          <w:position w:val="0"/>
          <w:sz w:val="21"/>
          <w:szCs w:val="21"/>
          <w:highlight w:val="none"/>
        </w:rPr>
        <w:t>附件：</w:t>
      </w:r>
    </w:p>
    <w:p w14:paraId="4A6A61D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9ED73E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5432AD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2476C3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3BB703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23B32ED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3F3820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147DDEB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5112F9B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29EB43C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08D2D00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777C373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143B48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57E0BF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002979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5605AB3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1ED3A31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1DFD50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0CBB68E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78408CA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FE800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E0B8F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102B9BF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308B02C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3A1054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00B37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940D3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5B5FF4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5C4423A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354CF3E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FE8032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43E06C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346362D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7A868C2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01F9998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0E22886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7E14E8B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1BB348B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4D8DB88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0A812D1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7FCE5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6F4A36C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541480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16301F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4B0E248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7BDB482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CD9E1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3A67AA2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EE71A3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4A3A079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11BA69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53257F3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5EA2113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72F7D5BA">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0447CE2">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第二十四条 省级财政部门可以会同中小企业主管部门根据本办法的规定制定具体实施办法。</w:t>
      </w:r>
    </w:p>
    <w:p w14:paraId="58FFA9B7">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7A45BEDF">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563448D0">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29F1049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025A7219">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6B7CC4E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3B4E769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 自治区、直辖市、计划单列市财政厅（局）、司法厅（局） ，新疆生产建设兵团 财务局、司法局、监狱管理局：</w:t>
      </w:r>
    </w:p>
    <w:p w14:paraId="4E9689B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497CB4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2ADC65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34E312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22A767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51D707D2">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4AEE63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4FA0C4B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5B3EF73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7AECF91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0DFF9A7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918C2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020293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3FC1E9B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61A2F9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7C66E7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486757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1A50F1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379AE7D9">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358144B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1EA9587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672BDBB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724B683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1B5CEA5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73735A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0F76A92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6F6D3E3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5EA210C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384046A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8497C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186CF6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5D2F82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八、本规定由工业和信息化部、国家统计局会同有关部门根据《国民经济行业分类》 修订情况 和企业发展变化情况适时修订。</w:t>
      </w:r>
    </w:p>
    <w:p w14:paraId="22A355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九、本规定由工业和信息化部、国家统计局会同有关部门负责解释。</w:t>
      </w:r>
    </w:p>
    <w:p w14:paraId="35E877B9">
      <w:pPr>
        <w:pStyle w:val="8"/>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bookmarkStart w:id="64" w:name="_bookmark4"/>
      <w:bookmarkEnd w:id="64"/>
      <w:r>
        <w:rPr>
          <w:rFonts w:hint="eastAsia" w:ascii="宋体" w:hAnsi="宋体" w:eastAsia="宋体" w:cs="宋体"/>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1AACC301">
      <w:pPr>
        <w:rPr>
          <w:rFonts w:hint="eastAsia"/>
        </w:rPr>
      </w:pPr>
      <w:r>
        <w:rPr>
          <w:rFonts w:hint="eastAsia"/>
        </w:rPr>
        <w:br w:type="page"/>
      </w:r>
    </w:p>
    <w:p w14:paraId="4DBB969B">
      <w:pPr>
        <w:keepNext w:val="0"/>
        <w:keepLines w:val="0"/>
        <w:pageBreakBefore/>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最终磋商</w:t>
      </w:r>
      <w:r>
        <w:rPr>
          <w:rFonts w:hint="eastAsia" w:ascii="宋体" w:hAnsi="宋体" w:eastAsia="宋体" w:cs="宋体"/>
          <w:b/>
          <w:color w:val="auto"/>
          <w:sz w:val="28"/>
          <w:szCs w:val="28"/>
          <w:highlight w:val="none"/>
        </w:rPr>
        <w:t>报价</w:t>
      </w:r>
    </w:p>
    <w:p w14:paraId="03D8F759">
      <w:pPr>
        <w:pStyle w:val="37"/>
        <w:spacing w:line="360" w:lineRule="auto"/>
        <w:ind w:left="0" w:leftChars="0" w:firstLine="3840" w:firstLineChars="1600"/>
        <w:jc w:val="both"/>
        <w:rPr>
          <w:rFonts w:hint="eastAsia" w:ascii="宋体" w:hAnsi="宋体" w:eastAsia="宋体"/>
          <w:sz w:val="24"/>
          <w:highlight w:val="none"/>
          <w:lang w:eastAsia="zh-CN"/>
        </w:rPr>
      </w:pPr>
      <w:r>
        <w:rPr>
          <w:rFonts w:hint="eastAsia" w:ascii="宋体" w:hAnsi="宋体"/>
          <w:sz w:val="24"/>
          <w:highlight w:val="none"/>
          <w:lang w:eastAsia="zh-CN"/>
        </w:rPr>
        <w:t>以政采云网站格式为准</w:t>
      </w:r>
    </w:p>
    <w:p w14:paraId="26B7732F">
      <w:pPr>
        <w:rPr>
          <w:rFonts w:hint="eastAsia"/>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0244">
    <w:pPr>
      <w:pStyle w:val="1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90294">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90294">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C646C">
    <w:pPr>
      <w:pStyle w:val="12"/>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4B2770D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911BE">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9C1BB">
    <w:pPr>
      <w:pStyle w:val="13"/>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C9CCF">
    <w:pPr>
      <w:pStyle w:val="13"/>
      <w:framePr w:wrap="around" w:vAnchor="text" w:hAnchor="margin" w:xAlign="right" w:y="1"/>
      <w:rPr>
        <w:rStyle w:val="25"/>
      </w:rPr>
    </w:pPr>
    <w:r>
      <w:fldChar w:fldCharType="begin"/>
    </w:r>
    <w:r>
      <w:rPr>
        <w:rStyle w:val="25"/>
      </w:rPr>
      <w:instrText xml:space="preserve">PAGE  </w:instrText>
    </w:r>
    <w:r>
      <w:fldChar w:fldCharType="separate"/>
    </w:r>
    <w:r>
      <w:fldChar w:fldCharType="end"/>
    </w:r>
  </w:p>
  <w:p w14:paraId="437334F6">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1737">
    <w:pPr>
      <w:pStyle w:val="13"/>
      <w:pBdr>
        <w:bottom w:val="double" w:color="auto" w:sz="4"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B8609A40"/>
    <w:multiLevelType w:val="singleLevel"/>
    <w:tmpl w:val="B8609A40"/>
    <w:lvl w:ilvl="0" w:tentative="0">
      <w:start w:val="1"/>
      <w:numFmt w:val="decimal"/>
      <w:suff w:val="nothing"/>
      <w:lvlText w:val="%1、"/>
      <w:lvlJc w:val="left"/>
    </w:lvl>
  </w:abstractNum>
  <w:abstractNum w:abstractNumId="2">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F187E6D"/>
    <w:multiLevelType w:val="singleLevel"/>
    <w:tmpl w:val="0F187E6D"/>
    <w:lvl w:ilvl="0" w:tentative="0">
      <w:start w:val="1"/>
      <w:numFmt w:val="decimal"/>
      <w:suff w:val="nothing"/>
      <w:lvlText w:val="%1、"/>
      <w:lvlJc w:val="left"/>
    </w:lvl>
  </w:abstractNum>
  <w:abstractNum w:abstractNumId="4">
    <w:nsid w:val="0FEF1997"/>
    <w:multiLevelType w:val="singleLevel"/>
    <w:tmpl w:val="0FEF1997"/>
    <w:lvl w:ilvl="0" w:tentative="0">
      <w:start w:val="1"/>
      <w:numFmt w:val="decimal"/>
      <w:suff w:val="nothing"/>
      <w:lvlText w:val="%1、"/>
      <w:lvlJc w:val="left"/>
    </w:lvl>
  </w:abstractNum>
  <w:abstractNum w:abstractNumId="5">
    <w:nsid w:val="198B2CF9"/>
    <w:multiLevelType w:val="multilevel"/>
    <w:tmpl w:val="198B2C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9A040FF"/>
    <w:multiLevelType w:val="multilevel"/>
    <w:tmpl w:val="19A040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04B11F2"/>
    <w:multiLevelType w:val="multilevel"/>
    <w:tmpl w:val="204B11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07F37FE"/>
    <w:multiLevelType w:val="singleLevel"/>
    <w:tmpl w:val="207F37FE"/>
    <w:lvl w:ilvl="0" w:tentative="0">
      <w:start w:val="1"/>
      <w:numFmt w:val="decimal"/>
      <w:suff w:val="nothing"/>
      <w:lvlText w:val="%1、"/>
      <w:lvlJc w:val="left"/>
    </w:lvl>
  </w:abstractNum>
  <w:abstractNum w:abstractNumId="9">
    <w:nsid w:val="2C020E39"/>
    <w:multiLevelType w:val="multilevel"/>
    <w:tmpl w:val="2C020E3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518A61A4"/>
    <w:multiLevelType w:val="multilevel"/>
    <w:tmpl w:val="518A61A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55EBC7D"/>
    <w:multiLevelType w:val="singleLevel"/>
    <w:tmpl w:val="555EBC7D"/>
    <w:lvl w:ilvl="0" w:tentative="0">
      <w:start w:val="1"/>
      <w:numFmt w:val="decimal"/>
      <w:suff w:val="nothing"/>
      <w:lvlText w:val="%1."/>
      <w:lvlJc w:val="left"/>
    </w:lvl>
  </w:abstractNum>
  <w:abstractNum w:abstractNumId="12">
    <w:nsid w:val="555FE167"/>
    <w:multiLevelType w:val="singleLevel"/>
    <w:tmpl w:val="555FE167"/>
    <w:lvl w:ilvl="0" w:tentative="0">
      <w:start w:val="1"/>
      <w:numFmt w:val="decimal"/>
      <w:suff w:val="nothing"/>
      <w:lvlText w:val="%1."/>
      <w:lvlJc w:val="left"/>
    </w:lvl>
  </w:abstractNum>
  <w:abstractNum w:abstractNumId="13">
    <w:nsid w:val="555FE3C7"/>
    <w:multiLevelType w:val="singleLevel"/>
    <w:tmpl w:val="555FE3C7"/>
    <w:lvl w:ilvl="0" w:tentative="0">
      <w:start w:val="2"/>
      <w:numFmt w:val="decimal"/>
      <w:suff w:val="nothing"/>
      <w:lvlText w:val="%1、"/>
      <w:lvlJc w:val="left"/>
    </w:lvl>
  </w:abstractNum>
  <w:abstractNum w:abstractNumId="14">
    <w:nsid w:val="555FE4F1"/>
    <w:multiLevelType w:val="singleLevel"/>
    <w:tmpl w:val="555FE4F1"/>
    <w:lvl w:ilvl="0" w:tentative="0">
      <w:start w:val="3"/>
      <w:numFmt w:val="decimal"/>
      <w:suff w:val="nothing"/>
      <w:lvlText w:val="%1."/>
      <w:lvlJc w:val="left"/>
    </w:lvl>
  </w:abstractNum>
  <w:abstractNum w:abstractNumId="15">
    <w:nsid w:val="555FE6ED"/>
    <w:multiLevelType w:val="singleLevel"/>
    <w:tmpl w:val="555FE6ED"/>
    <w:lvl w:ilvl="0" w:tentative="0">
      <w:start w:val="1"/>
      <w:numFmt w:val="decimal"/>
      <w:suff w:val="nothing"/>
      <w:lvlText w:val="%1."/>
      <w:lvlJc w:val="left"/>
    </w:lvl>
  </w:abstractNum>
  <w:abstractNum w:abstractNumId="16">
    <w:nsid w:val="555FEA6A"/>
    <w:multiLevelType w:val="singleLevel"/>
    <w:tmpl w:val="555FEA6A"/>
    <w:lvl w:ilvl="0" w:tentative="0">
      <w:start w:val="1"/>
      <w:numFmt w:val="decimal"/>
      <w:suff w:val="nothing"/>
      <w:lvlText w:val="（%1）"/>
      <w:lvlJc w:val="left"/>
    </w:lvl>
  </w:abstractNum>
  <w:abstractNum w:abstractNumId="17">
    <w:nsid w:val="555FEB6A"/>
    <w:multiLevelType w:val="singleLevel"/>
    <w:tmpl w:val="555FEB6A"/>
    <w:lvl w:ilvl="0" w:tentative="0">
      <w:start w:val="5"/>
      <w:numFmt w:val="decimal"/>
      <w:suff w:val="nothing"/>
      <w:lvlText w:val="%1."/>
      <w:lvlJc w:val="left"/>
    </w:lvl>
  </w:abstractNum>
  <w:abstractNum w:abstractNumId="18">
    <w:nsid w:val="58AB569A"/>
    <w:multiLevelType w:val="multilevel"/>
    <w:tmpl w:val="58AB56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5BF7299F"/>
    <w:multiLevelType w:val="singleLevel"/>
    <w:tmpl w:val="5BF7299F"/>
    <w:lvl w:ilvl="0" w:tentative="0">
      <w:start w:val="5"/>
      <w:numFmt w:val="chineseCounting"/>
      <w:suff w:val="space"/>
      <w:lvlText w:val="第%1章"/>
      <w:lvlJc w:val="left"/>
      <w:rPr>
        <w:rFonts w:hint="eastAsia"/>
      </w:rPr>
    </w:lvl>
  </w:abstractNum>
  <w:abstractNum w:abstractNumId="20">
    <w:nsid w:val="76DB6F3A"/>
    <w:multiLevelType w:val="multilevel"/>
    <w:tmpl w:val="76DB6F3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4"/>
  </w:num>
  <w:num w:numId="10">
    <w:abstractNumId w:val="8"/>
  </w:num>
  <w:num w:numId="11">
    <w:abstractNumId w:val="1"/>
  </w:num>
  <w:num w:numId="12">
    <w:abstractNumId w:val="3"/>
  </w:num>
  <w:num w:numId="13">
    <w:abstractNumId w:val="19"/>
  </w:num>
  <w:num w:numId="14">
    <w:abstractNumId w:val="5"/>
  </w:num>
  <w:num w:numId="15">
    <w:abstractNumId w:val="6"/>
  </w:num>
  <w:num w:numId="16">
    <w:abstractNumId w:val="18"/>
  </w:num>
  <w:num w:numId="17">
    <w:abstractNumId w:val="9"/>
  </w:num>
  <w:num w:numId="18">
    <w:abstractNumId w:val="20"/>
  </w:num>
  <w:num w:numId="19">
    <w:abstractNumId w:val="10"/>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YWMxMTcwMjQyM2Q1NTdjMDRmYjc3YjJmODE4MGEifQ=="/>
  </w:docVars>
  <w:rsids>
    <w:rsidRoot w:val="09E449CF"/>
    <w:rsid w:val="00092509"/>
    <w:rsid w:val="000C3DA7"/>
    <w:rsid w:val="004C0647"/>
    <w:rsid w:val="0071209B"/>
    <w:rsid w:val="0086777B"/>
    <w:rsid w:val="00E865C2"/>
    <w:rsid w:val="011A687D"/>
    <w:rsid w:val="01323926"/>
    <w:rsid w:val="01566362"/>
    <w:rsid w:val="01B110AA"/>
    <w:rsid w:val="01CC11DE"/>
    <w:rsid w:val="021A721F"/>
    <w:rsid w:val="026E2AF7"/>
    <w:rsid w:val="026E6F9B"/>
    <w:rsid w:val="02B7624C"/>
    <w:rsid w:val="03630182"/>
    <w:rsid w:val="03B147DF"/>
    <w:rsid w:val="03D1158F"/>
    <w:rsid w:val="040A4AA1"/>
    <w:rsid w:val="044004C3"/>
    <w:rsid w:val="04B728D0"/>
    <w:rsid w:val="051C683A"/>
    <w:rsid w:val="0532605E"/>
    <w:rsid w:val="054B27F0"/>
    <w:rsid w:val="056B77C2"/>
    <w:rsid w:val="056D52E8"/>
    <w:rsid w:val="05A14F91"/>
    <w:rsid w:val="05CB0607"/>
    <w:rsid w:val="060E6ACB"/>
    <w:rsid w:val="06436049"/>
    <w:rsid w:val="06CC4290"/>
    <w:rsid w:val="06ED4932"/>
    <w:rsid w:val="07320CEB"/>
    <w:rsid w:val="07593D76"/>
    <w:rsid w:val="07C02047"/>
    <w:rsid w:val="08047E4C"/>
    <w:rsid w:val="08332547"/>
    <w:rsid w:val="089332B7"/>
    <w:rsid w:val="091778A4"/>
    <w:rsid w:val="09475E50"/>
    <w:rsid w:val="09CF031F"/>
    <w:rsid w:val="09DC0B96"/>
    <w:rsid w:val="09E449CF"/>
    <w:rsid w:val="09FB7366"/>
    <w:rsid w:val="0A334D52"/>
    <w:rsid w:val="0A7863F3"/>
    <w:rsid w:val="0AD11E75"/>
    <w:rsid w:val="0ADB1C5D"/>
    <w:rsid w:val="0BA92DF2"/>
    <w:rsid w:val="0BC47C2C"/>
    <w:rsid w:val="0C0B2B0B"/>
    <w:rsid w:val="0C2F1549"/>
    <w:rsid w:val="0C542D5E"/>
    <w:rsid w:val="0C6F030C"/>
    <w:rsid w:val="0CB679B8"/>
    <w:rsid w:val="0CC00650"/>
    <w:rsid w:val="0CD63D02"/>
    <w:rsid w:val="0CF62067"/>
    <w:rsid w:val="0D4F3EC6"/>
    <w:rsid w:val="0D8D29CB"/>
    <w:rsid w:val="0DBA3094"/>
    <w:rsid w:val="0DD506AB"/>
    <w:rsid w:val="0E06452B"/>
    <w:rsid w:val="0E5057A7"/>
    <w:rsid w:val="0E6B25E0"/>
    <w:rsid w:val="0F36499C"/>
    <w:rsid w:val="0F543075"/>
    <w:rsid w:val="0F73174D"/>
    <w:rsid w:val="0F7751D6"/>
    <w:rsid w:val="0F781103"/>
    <w:rsid w:val="0F781459"/>
    <w:rsid w:val="0F87344A"/>
    <w:rsid w:val="0FFB484F"/>
    <w:rsid w:val="10611EED"/>
    <w:rsid w:val="106E343D"/>
    <w:rsid w:val="10986A51"/>
    <w:rsid w:val="11254CC9"/>
    <w:rsid w:val="113B1005"/>
    <w:rsid w:val="117D0ACE"/>
    <w:rsid w:val="11AE1D79"/>
    <w:rsid w:val="120D5E88"/>
    <w:rsid w:val="12217B86"/>
    <w:rsid w:val="1222745A"/>
    <w:rsid w:val="129A6121"/>
    <w:rsid w:val="12A53EC8"/>
    <w:rsid w:val="12F878A6"/>
    <w:rsid w:val="134F24D1"/>
    <w:rsid w:val="13772926"/>
    <w:rsid w:val="138163C4"/>
    <w:rsid w:val="13985C26"/>
    <w:rsid w:val="13B50586"/>
    <w:rsid w:val="13C474E3"/>
    <w:rsid w:val="13E175CD"/>
    <w:rsid w:val="13F56BD4"/>
    <w:rsid w:val="13F65466"/>
    <w:rsid w:val="141C0605"/>
    <w:rsid w:val="156D6C3E"/>
    <w:rsid w:val="156F0C08"/>
    <w:rsid w:val="15787ABD"/>
    <w:rsid w:val="157B135B"/>
    <w:rsid w:val="157E2810"/>
    <w:rsid w:val="159E393F"/>
    <w:rsid w:val="15F86E50"/>
    <w:rsid w:val="16210154"/>
    <w:rsid w:val="165C73DE"/>
    <w:rsid w:val="16976668"/>
    <w:rsid w:val="16A42B33"/>
    <w:rsid w:val="16DB1A83"/>
    <w:rsid w:val="17033CFE"/>
    <w:rsid w:val="17272224"/>
    <w:rsid w:val="17312619"/>
    <w:rsid w:val="173B52B1"/>
    <w:rsid w:val="17497392"/>
    <w:rsid w:val="17D14C0D"/>
    <w:rsid w:val="17F319E7"/>
    <w:rsid w:val="18AD6D8F"/>
    <w:rsid w:val="18C80D5B"/>
    <w:rsid w:val="18CB4360"/>
    <w:rsid w:val="18D47700"/>
    <w:rsid w:val="192817FA"/>
    <w:rsid w:val="1968609A"/>
    <w:rsid w:val="19987B81"/>
    <w:rsid w:val="19A266CB"/>
    <w:rsid w:val="19D379B8"/>
    <w:rsid w:val="1A5B175B"/>
    <w:rsid w:val="1ABC48F0"/>
    <w:rsid w:val="1B4A3CA9"/>
    <w:rsid w:val="1B4B7A22"/>
    <w:rsid w:val="1B607376"/>
    <w:rsid w:val="1B8540E2"/>
    <w:rsid w:val="1BAC6712"/>
    <w:rsid w:val="1C4526C3"/>
    <w:rsid w:val="1C4C3A51"/>
    <w:rsid w:val="1C9B3E5E"/>
    <w:rsid w:val="1D1C1676"/>
    <w:rsid w:val="1D69418F"/>
    <w:rsid w:val="1D7C1CE5"/>
    <w:rsid w:val="1DE63A32"/>
    <w:rsid w:val="1E0736E7"/>
    <w:rsid w:val="1E4A0464"/>
    <w:rsid w:val="1E603330"/>
    <w:rsid w:val="1ECC70CB"/>
    <w:rsid w:val="1F0371CD"/>
    <w:rsid w:val="1F3F164B"/>
    <w:rsid w:val="1F8C08F3"/>
    <w:rsid w:val="1F923C8B"/>
    <w:rsid w:val="1F9C6A9E"/>
    <w:rsid w:val="1FA74F1F"/>
    <w:rsid w:val="1FB21E1D"/>
    <w:rsid w:val="206F5F60"/>
    <w:rsid w:val="20837948"/>
    <w:rsid w:val="20A43E5C"/>
    <w:rsid w:val="20DD111C"/>
    <w:rsid w:val="2164183D"/>
    <w:rsid w:val="21A97250"/>
    <w:rsid w:val="21D00C81"/>
    <w:rsid w:val="21F52495"/>
    <w:rsid w:val="21F735E1"/>
    <w:rsid w:val="22774B73"/>
    <w:rsid w:val="22995516"/>
    <w:rsid w:val="22E22A19"/>
    <w:rsid w:val="237B67A4"/>
    <w:rsid w:val="23825FAA"/>
    <w:rsid w:val="23841D23"/>
    <w:rsid w:val="23D507D0"/>
    <w:rsid w:val="241E2177"/>
    <w:rsid w:val="24243CE4"/>
    <w:rsid w:val="248F6BD1"/>
    <w:rsid w:val="24AB4534"/>
    <w:rsid w:val="24C50845"/>
    <w:rsid w:val="25137519"/>
    <w:rsid w:val="253022B0"/>
    <w:rsid w:val="2561056D"/>
    <w:rsid w:val="259A75DB"/>
    <w:rsid w:val="26347A30"/>
    <w:rsid w:val="263E21A9"/>
    <w:rsid w:val="26C9444B"/>
    <w:rsid w:val="26D11723"/>
    <w:rsid w:val="26E33204"/>
    <w:rsid w:val="26F176CF"/>
    <w:rsid w:val="26FA787D"/>
    <w:rsid w:val="27182EAE"/>
    <w:rsid w:val="271A2958"/>
    <w:rsid w:val="274A5031"/>
    <w:rsid w:val="27801148"/>
    <w:rsid w:val="278C389C"/>
    <w:rsid w:val="27E965F8"/>
    <w:rsid w:val="27F154AD"/>
    <w:rsid w:val="28035FB0"/>
    <w:rsid w:val="281318C7"/>
    <w:rsid w:val="282B45DC"/>
    <w:rsid w:val="287954DB"/>
    <w:rsid w:val="29824F56"/>
    <w:rsid w:val="298B48AF"/>
    <w:rsid w:val="29A9603F"/>
    <w:rsid w:val="29B50E88"/>
    <w:rsid w:val="2A0373D6"/>
    <w:rsid w:val="2A621372"/>
    <w:rsid w:val="2A924D25"/>
    <w:rsid w:val="2AC309FF"/>
    <w:rsid w:val="2AEF3F25"/>
    <w:rsid w:val="2B083952"/>
    <w:rsid w:val="2B0F6376"/>
    <w:rsid w:val="2B157704"/>
    <w:rsid w:val="2B1B2F6C"/>
    <w:rsid w:val="2B5B01CE"/>
    <w:rsid w:val="2BA56CDA"/>
    <w:rsid w:val="2BC03B14"/>
    <w:rsid w:val="2BD1187D"/>
    <w:rsid w:val="2C1D4AC2"/>
    <w:rsid w:val="2C276851"/>
    <w:rsid w:val="2C520C10"/>
    <w:rsid w:val="2C5A1872"/>
    <w:rsid w:val="2C5A5D16"/>
    <w:rsid w:val="2CA70830"/>
    <w:rsid w:val="2CB76CC5"/>
    <w:rsid w:val="2CF41CC7"/>
    <w:rsid w:val="2D067BEC"/>
    <w:rsid w:val="2D1F2D19"/>
    <w:rsid w:val="2DAD1E76"/>
    <w:rsid w:val="2DC714F8"/>
    <w:rsid w:val="2DC85DAE"/>
    <w:rsid w:val="2DD12008"/>
    <w:rsid w:val="2E0B376C"/>
    <w:rsid w:val="2E7754F2"/>
    <w:rsid w:val="2ECB4CA9"/>
    <w:rsid w:val="2EDA14B1"/>
    <w:rsid w:val="2F1F0B51"/>
    <w:rsid w:val="2F3F2FA2"/>
    <w:rsid w:val="2F4F58DB"/>
    <w:rsid w:val="2F6649D2"/>
    <w:rsid w:val="2F81180C"/>
    <w:rsid w:val="2F8217DB"/>
    <w:rsid w:val="2FB13E9F"/>
    <w:rsid w:val="30542A7D"/>
    <w:rsid w:val="31B639EF"/>
    <w:rsid w:val="31DE2F46"/>
    <w:rsid w:val="322072BC"/>
    <w:rsid w:val="32330746"/>
    <w:rsid w:val="32452FC5"/>
    <w:rsid w:val="32D305D1"/>
    <w:rsid w:val="32E349AB"/>
    <w:rsid w:val="33105381"/>
    <w:rsid w:val="3353526D"/>
    <w:rsid w:val="33813B89"/>
    <w:rsid w:val="33884F17"/>
    <w:rsid w:val="33D22636"/>
    <w:rsid w:val="33D75E9F"/>
    <w:rsid w:val="340824FC"/>
    <w:rsid w:val="347831DE"/>
    <w:rsid w:val="34AA710F"/>
    <w:rsid w:val="34C5219B"/>
    <w:rsid w:val="34CA155F"/>
    <w:rsid w:val="34F14D3E"/>
    <w:rsid w:val="35356F94"/>
    <w:rsid w:val="35470E02"/>
    <w:rsid w:val="357240D1"/>
    <w:rsid w:val="35ED7BFB"/>
    <w:rsid w:val="36114536"/>
    <w:rsid w:val="361B02C4"/>
    <w:rsid w:val="363E0457"/>
    <w:rsid w:val="366C4FC4"/>
    <w:rsid w:val="36965B9D"/>
    <w:rsid w:val="36DF7544"/>
    <w:rsid w:val="3700570C"/>
    <w:rsid w:val="371C0798"/>
    <w:rsid w:val="37421881"/>
    <w:rsid w:val="374675C3"/>
    <w:rsid w:val="37601807"/>
    <w:rsid w:val="376F3581"/>
    <w:rsid w:val="377C2FE5"/>
    <w:rsid w:val="37A61E10"/>
    <w:rsid w:val="37A83DDA"/>
    <w:rsid w:val="38293D99"/>
    <w:rsid w:val="384F06F9"/>
    <w:rsid w:val="385C2E16"/>
    <w:rsid w:val="3905525C"/>
    <w:rsid w:val="39316051"/>
    <w:rsid w:val="396401D4"/>
    <w:rsid w:val="39A5607F"/>
    <w:rsid w:val="39F01A68"/>
    <w:rsid w:val="3A097CB2"/>
    <w:rsid w:val="3A1E0383"/>
    <w:rsid w:val="3B225C51"/>
    <w:rsid w:val="3B482935"/>
    <w:rsid w:val="3B94585F"/>
    <w:rsid w:val="3C522566"/>
    <w:rsid w:val="3C793F97"/>
    <w:rsid w:val="3CE16F85"/>
    <w:rsid w:val="3D103806"/>
    <w:rsid w:val="3D347EBE"/>
    <w:rsid w:val="3D477BF1"/>
    <w:rsid w:val="3D7E17DF"/>
    <w:rsid w:val="3E5A1C90"/>
    <w:rsid w:val="3E9539B9"/>
    <w:rsid w:val="3EA90437"/>
    <w:rsid w:val="3EAF5499"/>
    <w:rsid w:val="3EC05EAD"/>
    <w:rsid w:val="3EEA117C"/>
    <w:rsid w:val="3F3319E8"/>
    <w:rsid w:val="3F7942AE"/>
    <w:rsid w:val="3F852C53"/>
    <w:rsid w:val="3FA37920"/>
    <w:rsid w:val="40AB0497"/>
    <w:rsid w:val="40DC4AF4"/>
    <w:rsid w:val="40FE2CBD"/>
    <w:rsid w:val="415428DD"/>
    <w:rsid w:val="415F2EA0"/>
    <w:rsid w:val="4175144C"/>
    <w:rsid w:val="41792343"/>
    <w:rsid w:val="41A749D5"/>
    <w:rsid w:val="41C96FF3"/>
    <w:rsid w:val="41EB04F2"/>
    <w:rsid w:val="42224789"/>
    <w:rsid w:val="422C51A6"/>
    <w:rsid w:val="426254CD"/>
    <w:rsid w:val="427174BE"/>
    <w:rsid w:val="427F3497"/>
    <w:rsid w:val="42F35A17"/>
    <w:rsid w:val="4335673E"/>
    <w:rsid w:val="436F39FE"/>
    <w:rsid w:val="43A062AD"/>
    <w:rsid w:val="43B52321"/>
    <w:rsid w:val="44C24001"/>
    <w:rsid w:val="4504461A"/>
    <w:rsid w:val="45660E30"/>
    <w:rsid w:val="462F56C6"/>
    <w:rsid w:val="464C0026"/>
    <w:rsid w:val="46683FDD"/>
    <w:rsid w:val="468F6C22"/>
    <w:rsid w:val="469C1719"/>
    <w:rsid w:val="46BA7686"/>
    <w:rsid w:val="46BF4C9C"/>
    <w:rsid w:val="46D3282B"/>
    <w:rsid w:val="46FF153C"/>
    <w:rsid w:val="47264D1B"/>
    <w:rsid w:val="47482EE3"/>
    <w:rsid w:val="47743CD8"/>
    <w:rsid w:val="479559FD"/>
    <w:rsid w:val="47DB4AA0"/>
    <w:rsid w:val="480706A9"/>
    <w:rsid w:val="480C3F11"/>
    <w:rsid w:val="48284AC3"/>
    <w:rsid w:val="483671E0"/>
    <w:rsid w:val="485633DE"/>
    <w:rsid w:val="48E24C72"/>
    <w:rsid w:val="48FD1AAC"/>
    <w:rsid w:val="49290AF3"/>
    <w:rsid w:val="49441489"/>
    <w:rsid w:val="495C7CDB"/>
    <w:rsid w:val="499441BE"/>
    <w:rsid w:val="49A6245D"/>
    <w:rsid w:val="49B84886"/>
    <w:rsid w:val="49C83E68"/>
    <w:rsid w:val="4A2319E6"/>
    <w:rsid w:val="4A7F505F"/>
    <w:rsid w:val="4A987CDE"/>
    <w:rsid w:val="4ACE54AE"/>
    <w:rsid w:val="4B2E23F0"/>
    <w:rsid w:val="4B6A2BC1"/>
    <w:rsid w:val="4BA3693A"/>
    <w:rsid w:val="4BD05255"/>
    <w:rsid w:val="4BD765E4"/>
    <w:rsid w:val="4BF54CBC"/>
    <w:rsid w:val="4C251A45"/>
    <w:rsid w:val="4C684C0D"/>
    <w:rsid w:val="4C820C46"/>
    <w:rsid w:val="4CB608EF"/>
    <w:rsid w:val="4CD80866"/>
    <w:rsid w:val="4CE56900"/>
    <w:rsid w:val="4CE865CF"/>
    <w:rsid w:val="4CE91C3E"/>
    <w:rsid w:val="4D1A2C2C"/>
    <w:rsid w:val="4D727859"/>
    <w:rsid w:val="4E146BE2"/>
    <w:rsid w:val="4E427E6A"/>
    <w:rsid w:val="4E7C58ED"/>
    <w:rsid w:val="4EE74D90"/>
    <w:rsid w:val="4F053468"/>
    <w:rsid w:val="4F895E47"/>
    <w:rsid w:val="4F8B7E11"/>
    <w:rsid w:val="4F9A62A6"/>
    <w:rsid w:val="4FF701A8"/>
    <w:rsid w:val="5006393C"/>
    <w:rsid w:val="507765E7"/>
    <w:rsid w:val="508A6075"/>
    <w:rsid w:val="508A631B"/>
    <w:rsid w:val="508F1B83"/>
    <w:rsid w:val="509E3B74"/>
    <w:rsid w:val="51145BE4"/>
    <w:rsid w:val="513424C7"/>
    <w:rsid w:val="51491D32"/>
    <w:rsid w:val="514C3875"/>
    <w:rsid w:val="515F3303"/>
    <w:rsid w:val="51976D09"/>
    <w:rsid w:val="520E4D2A"/>
    <w:rsid w:val="521B4A13"/>
    <w:rsid w:val="52237943"/>
    <w:rsid w:val="52D40CA7"/>
    <w:rsid w:val="53A05E55"/>
    <w:rsid w:val="53F87A3F"/>
    <w:rsid w:val="54316AAD"/>
    <w:rsid w:val="545F603C"/>
    <w:rsid w:val="54DE09E3"/>
    <w:rsid w:val="54E56216"/>
    <w:rsid w:val="551A5EDA"/>
    <w:rsid w:val="5524161D"/>
    <w:rsid w:val="55A57CE3"/>
    <w:rsid w:val="55CA71B9"/>
    <w:rsid w:val="565C42B5"/>
    <w:rsid w:val="565D12A8"/>
    <w:rsid w:val="568850AA"/>
    <w:rsid w:val="569D042A"/>
    <w:rsid w:val="56AD7656"/>
    <w:rsid w:val="56B22127"/>
    <w:rsid w:val="573E1C0D"/>
    <w:rsid w:val="57461256"/>
    <w:rsid w:val="582D3C81"/>
    <w:rsid w:val="584C2108"/>
    <w:rsid w:val="585F62DF"/>
    <w:rsid w:val="5875340D"/>
    <w:rsid w:val="58C61EBA"/>
    <w:rsid w:val="58CA7BFC"/>
    <w:rsid w:val="59080725"/>
    <w:rsid w:val="590F2F0B"/>
    <w:rsid w:val="59401C6C"/>
    <w:rsid w:val="59945B14"/>
    <w:rsid w:val="59A55F73"/>
    <w:rsid w:val="59D2663D"/>
    <w:rsid w:val="59D40607"/>
    <w:rsid w:val="5A074538"/>
    <w:rsid w:val="5A22381A"/>
    <w:rsid w:val="5AA30C31"/>
    <w:rsid w:val="5AF665B3"/>
    <w:rsid w:val="5B296730"/>
    <w:rsid w:val="5B57504B"/>
    <w:rsid w:val="5B5A2D8E"/>
    <w:rsid w:val="5B5F03A4"/>
    <w:rsid w:val="5B743E4F"/>
    <w:rsid w:val="5BE32D83"/>
    <w:rsid w:val="5C0351D3"/>
    <w:rsid w:val="5C084598"/>
    <w:rsid w:val="5C294C3A"/>
    <w:rsid w:val="5C3D2493"/>
    <w:rsid w:val="5C4F0418"/>
    <w:rsid w:val="5C853E3A"/>
    <w:rsid w:val="5C877BB2"/>
    <w:rsid w:val="5CC23280"/>
    <w:rsid w:val="5D973E25"/>
    <w:rsid w:val="5DBC14D0"/>
    <w:rsid w:val="5E021BE6"/>
    <w:rsid w:val="5E284487"/>
    <w:rsid w:val="5E287173"/>
    <w:rsid w:val="5E532442"/>
    <w:rsid w:val="5EAC1B52"/>
    <w:rsid w:val="5F013C4C"/>
    <w:rsid w:val="5F1514A5"/>
    <w:rsid w:val="5F1F40D2"/>
    <w:rsid w:val="5F3A35AD"/>
    <w:rsid w:val="5F443B39"/>
    <w:rsid w:val="5F906D7E"/>
    <w:rsid w:val="5FEA2932"/>
    <w:rsid w:val="5FFC2665"/>
    <w:rsid w:val="5FFD1529"/>
    <w:rsid w:val="60017C7C"/>
    <w:rsid w:val="608508AD"/>
    <w:rsid w:val="60B371C8"/>
    <w:rsid w:val="60D46BA2"/>
    <w:rsid w:val="6172059E"/>
    <w:rsid w:val="61B01959"/>
    <w:rsid w:val="61C96577"/>
    <w:rsid w:val="621907A5"/>
    <w:rsid w:val="62347E94"/>
    <w:rsid w:val="62596DA5"/>
    <w:rsid w:val="62B45479"/>
    <w:rsid w:val="62E152D1"/>
    <w:rsid w:val="62FB72E3"/>
    <w:rsid w:val="630F5C08"/>
    <w:rsid w:val="6379750C"/>
    <w:rsid w:val="638766EA"/>
    <w:rsid w:val="639A641D"/>
    <w:rsid w:val="639D7CBB"/>
    <w:rsid w:val="643B19AE"/>
    <w:rsid w:val="648D5F82"/>
    <w:rsid w:val="64B90B25"/>
    <w:rsid w:val="64CE68CB"/>
    <w:rsid w:val="64F733FB"/>
    <w:rsid w:val="64FB113D"/>
    <w:rsid w:val="64FD6F44"/>
    <w:rsid w:val="650C334B"/>
    <w:rsid w:val="65D06126"/>
    <w:rsid w:val="66636F9A"/>
    <w:rsid w:val="66BC66AA"/>
    <w:rsid w:val="66F67E0E"/>
    <w:rsid w:val="66FD119D"/>
    <w:rsid w:val="6726071C"/>
    <w:rsid w:val="67370FEC"/>
    <w:rsid w:val="6747066A"/>
    <w:rsid w:val="6759357A"/>
    <w:rsid w:val="67696832"/>
    <w:rsid w:val="67C5612E"/>
    <w:rsid w:val="67CE2B39"/>
    <w:rsid w:val="67D9243E"/>
    <w:rsid w:val="67DB7004"/>
    <w:rsid w:val="69075408"/>
    <w:rsid w:val="691E364C"/>
    <w:rsid w:val="699F478D"/>
    <w:rsid w:val="69A55B1C"/>
    <w:rsid w:val="69AB1384"/>
    <w:rsid w:val="6A31115D"/>
    <w:rsid w:val="6A5F5CCB"/>
    <w:rsid w:val="6A793230"/>
    <w:rsid w:val="6AFE7291"/>
    <w:rsid w:val="6B9876E6"/>
    <w:rsid w:val="6BF32B6E"/>
    <w:rsid w:val="6C123CE5"/>
    <w:rsid w:val="6C2216A6"/>
    <w:rsid w:val="6C223454"/>
    <w:rsid w:val="6C2471CC"/>
    <w:rsid w:val="6C3D64DF"/>
    <w:rsid w:val="6C44786E"/>
    <w:rsid w:val="6C517895"/>
    <w:rsid w:val="6CB910A8"/>
    <w:rsid w:val="6CF63059"/>
    <w:rsid w:val="6D3E42BD"/>
    <w:rsid w:val="6D7032EB"/>
    <w:rsid w:val="6D716441"/>
    <w:rsid w:val="6D7F648C"/>
    <w:rsid w:val="6DAA1953"/>
    <w:rsid w:val="6DF1671D"/>
    <w:rsid w:val="6E381369"/>
    <w:rsid w:val="6E4708A3"/>
    <w:rsid w:val="6E532EF0"/>
    <w:rsid w:val="6E6C09B6"/>
    <w:rsid w:val="6E873A42"/>
    <w:rsid w:val="6E963C85"/>
    <w:rsid w:val="6F63000B"/>
    <w:rsid w:val="6FCD5E62"/>
    <w:rsid w:val="6FF719E0"/>
    <w:rsid w:val="700C5186"/>
    <w:rsid w:val="70545BA6"/>
    <w:rsid w:val="70904E30"/>
    <w:rsid w:val="711772FF"/>
    <w:rsid w:val="714D2D21"/>
    <w:rsid w:val="719C5A56"/>
    <w:rsid w:val="71DB593C"/>
    <w:rsid w:val="72BB015E"/>
    <w:rsid w:val="72C96975"/>
    <w:rsid w:val="72D17828"/>
    <w:rsid w:val="72F83160"/>
    <w:rsid w:val="73694628"/>
    <w:rsid w:val="737D2A18"/>
    <w:rsid w:val="74275AAB"/>
    <w:rsid w:val="745443C6"/>
    <w:rsid w:val="7486053D"/>
    <w:rsid w:val="75135EF9"/>
    <w:rsid w:val="75340715"/>
    <w:rsid w:val="763823E2"/>
    <w:rsid w:val="766C59F7"/>
    <w:rsid w:val="76A35191"/>
    <w:rsid w:val="76E9529A"/>
    <w:rsid w:val="77810731"/>
    <w:rsid w:val="77CE623E"/>
    <w:rsid w:val="780F0D30"/>
    <w:rsid w:val="782F3180"/>
    <w:rsid w:val="78880AE2"/>
    <w:rsid w:val="78CF04BF"/>
    <w:rsid w:val="78EE4DE9"/>
    <w:rsid w:val="791365FE"/>
    <w:rsid w:val="791A5BDE"/>
    <w:rsid w:val="79703A50"/>
    <w:rsid w:val="79B3393D"/>
    <w:rsid w:val="79F71A7C"/>
    <w:rsid w:val="79FE72AE"/>
    <w:rsid w:val="7A6B246A"/>
    <w:rsid w:val="7B0E3521"/>
    <w:rsid w:val="7B247F8E"/>
    <w:rsid w:val="7B2C1223"/>
    <w:rsid w:val="7BC065C3"/>
    <w:rsid w:val="7C4A016F"/>
    <w:rsid w:val="7C915EE5"/>
    <w:rsid w:val="7CB023B6"/>
    <w:rsid w:val="7CCD11BA"/>
    <w:rsid w:val="7D450D50"/>
    <w:rsid w:val="7D7D673C"/>
    <w:rsid w:val="7D99774A"/>
    <w:rsid w:val="7DB54E37"/>
    <w:rsid w:val="7DDB16B4"/>
    <w:rsid w:val="7DE00815"/>
    <w:rsid w:val="7EF667A6"/>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link w:val="39"/>
    <w:autoRedefine/>
    <w:qFormat/>
    <w:uiPriority w:val="0"/>
    <w:pPr>
      <w:keepNext/>
      <w:widowControl/>
      <w:numPr>
        <w:ilvl w:val="0"/>
        <w:numId w:val="1"/>
      </w:numPr>
      <w:jc w:val="center"/>
      <w:outlineLvl w:val="0"/>
    </w:pPr>
    <w:rPr>
      <w:rFonts w:ascii="黑体" w:hAnsi="宋体" w:eastAsia="黑体"/>
      <w:kern w:val="0"/>
      <w:sz w:val="52"/>
      <w:szCs w:val="20"/>
    </w:rPr>
  </w:style>
  <w:style w:type="paragraph" w:styleId="3">
    <w:name w:val="heading 2"/>
    <w:basedOn w:val="1"/>
    <w:next w:val="1"/>
    <w:autoRedefine/>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ascii="Calibri" w:hAnsi="Calibri" w:eastAsia="宋体"/>
    </w:rPr>
  </w:style>
  <w:style w:type="paragraph" w:styleId="7">
    <w:name w:val="annotation text"/>
    <w:basedOn w:val="1"/>
    <w:autoRedefine/>
    <w:unhideWhenUsed/>
    <w:qFormat/>
    <w:uiPriority w:val="99"/>
    <w:pPr>
      <w:jc w:val="left"/>
    </w:pPr>
  </w:style>
  <w:style w:type="paragraph" w:styleId="8">
    <w:name w:val="Body Text"/>
    <w:basedOn w:val="1"/>
    <w:autoRedefine/>
    <w:qFormat/>
    <w:uiPriority w:val="0"/>
    <w:pPr>
      <w:spacing w:line="0" w:lineRule="atLeast"/>
    </w:pPr>
    <w:rPr>
      <w:rFonts w:ascii="Calibri" w:hAnsi="Calibri"/>
      <w:b/>
      <w:sz w:val="30"/>
      <w:szCs w:val="20"/>
    </w:rPr>
  </w:style>
  <w:style w:type="paragraph" w:styleId="9">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0">
    <w:name w:val="List 2"/>
    <w:basedOn w:val="1"/>
    <w:autoRedefine/>
    <w:qFormat/>
    <w:uiPriority w:val="0"/>
    <w:pPr>
      <w:ind w:left="100" w:leftChars="200" w:hanging="200" w:hangingChars="200"/>
    </w:pPr>
  </w:style>
  <w:style w:type="paragraph" w:styleId="11">
    <w:name w:val="Plain Text"/>
    <w:basedOn w:val="1"/>
    <w:autoRedefine/>
    <w:qFormat/>
    <w:uiPriority w:val="0"/>
    <w:rPr>
      <w:rFonts w:ascii="宋体" w:hAnsi="Courier New"/>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4">
    <w:name w:val="toc 1"/>
    <w:basedOn w:val="1"/>
    <w:next w:val="1"/>
    <w:autoRedefine/>
    <w:qFormat/>
    <w:uiPriority w:val="0"/>
  </w:style>
  <w:style w:type="paragraph" w:styleId="15">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6">
    <w:name w:val="Body Text 2"/>
    <w:basedOn w:val="17"/>
    <w:autoRedefine/>
    <w:qFormat/>
    <w:uiPriority w:val="0"/>
    <w:pPr>
      <w:spacing w:after="120" w:afterLines="0" w:line="480" w:lineRule="auto"/>
    </w:pPr>
    <w:rPr>
      <w:szCs w:val="24"/>
    </w:rPr>
  </w:style>
  <w:style w:type="paragraph" w:customStyle="1" w:styleId="17">
    <w:name w:val="Normal_2"/>
    <w:autoRedefine/>
    <w:qFormat/>
    <w:uiPriority w:val="0"/>
    <w:pPr>
      <w:widowControl w:val="0"/>
      <w:jc w:val="both"/>
    </w:pPr>
    <w:rPr>
      <w:rFonts w:ascii="Calibri" w:hAnsi="Calibri" w:eastAsia="宋体" w:cs="Times New Roman"/>
      <w:kern w:val="2"/>
      <w:sz w:val="21"/>
      <w:szCs w:val="24"/>
    </w:rPr>
  </w:style>
  <w:style w:type="paragraph" w:styleId="1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0">
    <w:name w:val="Body Text First Indent"/>
    <w:basedOn w:val="8"/>
    <w:qFormat/>
    <w:uiPriority w:val="0"/>
    <w:pPr>
      <w:ind w:firstLine="420" w:firstLineChars="100"/>
    </w:pPr>
  </w:style>
  <w:style w:type="paragraph" w:styleId="21">
    <w:name w:val="Body Text First Indent 2"/>
    <w:basedOn w:val="9"/>
    <w:next w:val="1"/>
    <w:autoRedefine/>
    <w:qFormat/>
    <w:uiPriority w:val="0"/>
    <w:pPr>
      <w:ind w:firstLine="420" w:firstLineChars="200"/>
    </w:pPr>
  </w:style>
  <w:style w:type="character" w:styleId="24">
    <w:name w:val="Strong"/>
    <w:basedOn w:val="23"/>
    <w:autoRedefine/>
    <w:qFormat/>
    <w:uiPriority w:val="0"/>
  </w:style>
  <w:style w:type="character" w:styleId="25">
    <w:name w:val="page number"/>
    <w:basedOn w:val="23"/>
    <w:autoRedefine/>
    <w:qFormat/>
    <w:uiPriority w:val="0"/>
    <w:rPr>
      <w:rFonts w:ascii="Calibri" w:hAnsi="Calibri" w:eastAsia="宋体" w:cs="Times New Roman"/>
    </w:rPr>
  </w:style>
  <w:style w:type="character" w:styleId="26">
    <w:name w:val="FollowedHyperlink"/>
    <w:basedOn w:val="23"/>
    <w:autoRedefine/>
    <w:qFormat/>
    <w:uiPriority w:val="0"/>
    <w:rPr>
      <w:color w:val="800080"/>
      <w:u w:val="none"/>
    </w:rPr>
  </w:style>
  <w:style w:type="character" w:styleId="27">
    <w:name w:val="Emphasis"/>
    <w:basedOn w:val="23"/>
    <w:autoRedefine/>
    <w:qFormat/>
    <w:uiPriority w:val="0"/>
  </w:style>
  <w:style w:type="character" w:styleId="28">
    <w:name w:val="HTML Definition"/>
    <w:basedOn w:val="23"/>
    <w:autoRedefine/>
    <w:qFormat/>
    <w:uiPriority w:val="0"/>
  </w:style>
  <w:style w:type="character" w:styleId="29">
    <w:name w:val="HTML Typewriter"/>
    <w:basedOn w:val="23"/>
    <w:autoRedefine/>
    <w:qFormat/>
    <w:uiPriority w:val="0"/>
    <w:rPr>
      <w:rFonts w:hint="default" w:ascii="monospace" w:hAnsi="monospace" w:eastAsia="monospace" w:cs="monospace"/>
      <w:sz w:val="20"/>
    </w:rPr>
  </w:style>
  <w:style w:type="character" w:styleId="30">
    <w:name w:val="HTML Acronym"/>
    <w:basedOn w:val="23"/>
    <w:autoRedefine/>
    <w:qFormat/>
    <w:uiPriority w:val="0"/>
  </w:style>
  <w:style w:type="character" w:styleId="31">
    <w:name w:val="HTML Variable"/>
    <w:basedOn w:val="23"/>
    <w:autoRedefine/>
    <w:qFormat/>
    <w:uiPriority w:val="0"/>
  </w:style>
  <w:style w:type="character" w:styleId="32">
    <w:name w:val="Hyperlink"/>
    <w:basedOn w:val="23"/>
    <w:autoRedefine/>
    <w:qFormat/>
    <w:uiPriority w:val="0"/>
    <w:rPr>
      <w:color w:val="0000FF"/>
      <w:u w:val="single"/>
    </w:rPr>
  </w:style>
  <w:style w:type="character" w:styleId="33">
    <w:name w:val="HTML Code"/>
    <w:basedOn w:val="23"/>
    <w:autoRedefine/>
    <w:qFormat/>
    <w:uiPriority w:val="0"/>
    <w:rPr>
      <w:rFonts w:ascii="monospace" w:hAnsi="monospace" w:eastAsia="monospace" w:cs="monospace"/>
      <w:sz w:val="20"/>
    </w:rPr>
  </w:style>
  <w:style w:type="character" w:styleId="34">
    <w:name w:val="HTML Cite"/>
    <w:basedOn w:val="23"/>
    <w:autoRedefine/>
    <w:qFormat/>
    <w:uiPriority w:val="0"/>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列出段落1"/>
    <w:basedOn w:val="1"/>
    <w:autoRedefine/>
    <w:qFormat/>
    <w:uiPriority w:val="0"/>
    <w:pPr>
      <w:ind w:firstLine="420" w:firstLineChars="200"/>
    </w:pPr>
    <w:rPr>
      <w:rFonts w:ascii="Times New Roman" w:hAnsi="Times New Roman" w:eastAsia="宋体"/>
      <w:szCs w:val="24"/>
    </w:rPr>
  </w:style>
  <w:style w:type="paragraph" w:styleId="38">
    <w:name w:val="List Paragraph"/>
    <w:basedOn w:val="1"/>
    <w:autoRedefine/>
    <w:qFormat/>
    <w:uiPriority w:val="0"/>
    <w:pPr>
      <w:ind w:firstLine="420" w:firstLineChars="200"/>
    </w:pPr>
    <w:rPr>
      <w:rFonts w:ascii="Calibri" w:hAnsi="Calibri"/>
      <w:szCs w:val="22"/>
    </w:rPr>
  </w:style>
  <w:style w:type="character" w:customStyle="1" w:styleId="39">
    <w:name w:val="标题 1 Char"/>
    <w:link w:val="2"/>
    <w:autoRedefine/>
    <w:qFormat/>
    <w:uiPriority w:val="0"/>
    <w:rPr>
      <w:rFonts w:ascii="黑体" w:hAnsi="宋体" w:eastAsia="黑体"/>
      <w:kern w:val="0"/>
      <w:sz w:val="52"/>
      <w:szCs w:val="20"/>
    </w:rPr>
  </w:style>
  <w:style w:type="paragraph" w:customStyle="1" w:styleId="4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1">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2">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43">
    <w:name w:val="Normal_0_0_1"/>
    <w:autoRedefine/>
    <w:qFormat/>
    <w:uiPriority w:val="0"/>
    <w:rPr>
      <w:rFonts w:ascii="Times New Roman" w:hAnsi="Times New Roman" w:eastAsia="Times New Roman" w:cs="Times New Roman"/>
      <w:sz w:val="24"/>
      <w:szCs w:val="24"/>
      <w:lang w:val="en-US" w:eastAsia="zh-CN" w:bidi="ar-SA"/>
    </w:rPr>
  </w:style>
  <w:style w:type="paragraph" w:customStyle="1" w:styleId="44">
    <w:name w:val="浅色网格 - 强调文字颜色 31"/>
    <w:basedOn w:val="17"/>
    <w:autoRedefine/>
    <w:qFormat/>
    <w:uiPriority w:val="34"/>
    <w:pPr>
      <w:ind w:firstLine="420" w:firstLineChars="200"/>
    </w:pPr>
    <w:rPr>
      <w:rFonts w:ascii="Calibri" w:hAnsi="Calibri" w:eastAsia="宋体"/>
    </w:rPr>
  </w:style>
  <w:style w:type="paragraph" w:customStyle="1" w:styleId="45">
    <w:name w:val="null3"/>
    <w:autoRedefine/>
    <w:hidden/>
    <w:qFormat/>
    <w:uiPriority w:val="0"/>
    <w:rPr>
      <w:rFonts w:hint="eastAsia" w:asciiTheme="minorHAnsi" w:hAnsiTheme="minorHAnsi" w:eastAsiaTheme="minorEastAsia" w:cstheme="minorBidi"/>
      <w:lang w:val="en-US" w:eastAsia="zh-Hans"/>
    </w:rPr>
  </w:style>
  <w:style w:type="paragraph" w:customStyle="1" w:styleId="46">
    <w:name w:val="@正文要点"/>
    <w:basedOn w:val="1"/>
    <w:qFormat/>
    <w:uiPriority w:val="0"/>
    <w:pPr>
      <w:spacing w:line="360" w:lineRule="auto"/>
      <w:jc w:val="center"/>
    </w:pPr>
    <w:rPr>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13709</Words>
  <Characters>14719</Characters>
  <Lines>0</Lines>
  <Paragraphs>0</Paragraphs>
  <TotalTime>34</TotalTime>
  <ScaleCrop>false</ScaleCrop>
  <LinksUpToDate>false</LinksUpToDate>
  <CharactersWithSpaces>15088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熬夜仙女.</cp:lastModifiedBy>
  <dcterms:modified xsi:type="dcterms:W3CDTF">2025-06-29T23:38:27Z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986849F8318445AB955867DDB57E9FA1_13</vt:lpwstr>
  </property>
  <property fmtid="{D5CDD505-2E9C-101B-9397-08002B2CF9AE}" pid="4" name="KSOTemplateDocerSaveRecord">
    <vt:lpwstr>eyJoZGlkIjoiYjEyYzgyZjA5OTJhYTc0M2ZkNDAzZWNmYjA0ZTNjMzAiLCJ1c2VySWQiOiIxMzAwNzgzNTU1In0=</vt:lpwstr>
  </property>
</Properties>
</file>